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C2DB5" w14:textId="599BC74B" w:rsidR="008F5502" w:rsidRPr="00345388" w:rsidRDefault="00432B58" w:rsidP="00EB0B89">
      <w:pPr>
        <w:spacing w:after="0" w:line="240" w:lineRule="auto"/>
        <w:jc w:val="both"/>
        <w:rPr>
          <w:rFonts w:ascii="Times New Roman" w:hAnsi="Times New Roman" w:cs="Times New Roman"/>
          <w:b/>
          <w:sz w:val="24"/>
          <w:szCs w:val="24"/>
        </w:rPr>
      </w:pPr>
      <w:bookmarkStart w:id="0" w:name="_GoBack"/>
      <w:bookmarkEnd w:id="0"/>
      <w:r w:rsidRPr="00345388">
        <w:rPr>
          <w:rFonts w:ascii="Times New Roman" w:hAnsi="Times New Roman" w:cs="Times New Roman"/>
          <w:b/>
          <w:sz w:val="24"/>
          <w:szCs w:val="24"/>
        </w:rPr>
        <w:t>Non-</w:t>
      </w:r>
      <w:r w:rsidR="004B2FFE" w:rsidRPr="00345388">
        <w:rPr>
          <w:rFonts w:ascii="Times New Roman" w:hAnsi="Times New Roman" w:cs="Times New Roman"/>
          <w:b/>
          <w:sz w:val="24"/>
          <w:szCs w:val="24"/>
        </w:rPr>
        <w:t>V</w:t>
      </w:r>
      <w:r w:rsidRPr="00345388">
        <w:rPr>
          <w:rFonts w:ascii="Times New Roman" w:hAnsi="Times New Roman" w:cs="Times New Roman"/>
          <w:b/>
          <w:sz w:val="24"/>
          <w:szCs w:val="24"/>
        </w:rPr>
        <w:t xml:space="preserve">itamin K Antagonist </w:t>
      </w:r>
      <w:r w:rsidR="003C10BF" w:rsidRPr="00345388">
        <w:rPr>
          <w:rFonts w:ascii="Times New Roman" w:hAnsi="Times New Roman" w:cs="Times New Roman"/>
          <w:b/>
          <w:sz w:val="24"/>
          <w:szCs w:val="24"/>
        </w:rPr>
        <w:t xml:space="preserve">Oral </w:t>
      </w:r>
      <w:r w:rsidRPr="00345388">
        <w:rPr>
          <w:rFonts w:ascii="Times New Roman" w:hAnsi="Times New Roman" w:cs="Times New Roman"/>
          <w:b/>
          <w:sz w:val="24"/>
          <w:szCs w:val="24"/>
        </w:rPr>
        <w:t>Anticoagulants in Patients with Non-</w:t>
      </w:r>
      <w:r w:rsidR="00017CB3" w:rsidRPr="00345388">
        <w:rPr>
          <w:rFonts w:ascii="Times New Roman" w:hAnsi="Times New Roman" w:cs="Times New Roman"/>
          <w:b/>
          <w:sz w:val="24"/>
          <w:szCs w:val="24"/>
        </w:rPr>
        <w:t>Valvular</w:t>
      </w:r>
      <w:r w:rsidRPr="00345388">
        <w:rPr>
          <w:rFonts w:ascii="Times New Roman" w:hAnsi="Times New Roman" w:cs="Times New Roman"/>
          <w:b/>
          <w:sz w:val="24"/>
          <w:szCs w:val="24"/>
        </w:rPr>
        <w:t xml:space="preserve"> Atrial Fibrillation and Low Body Weight</w:t>
      </w:r>
    </w:p>
    <w:p w14:paraId="374418C9" w14:textId="77777777" w:rsidR="00A967FE" w:rsidRPr="00345388" w:rsidRDefault="00A967FE" w:rsidP="00EB0B89">
      <w:pPr>
        <w:spacing w:after="0" w:line="240" w:lineRule="auto"/>
        <w:jc w:val="both"/>
        <w:rPr>
          <w:rFonts w:ascii="Times New Roman" w:hAnsi="Times New Roman" w:cs="Times New Roman"/>
          <w:color w:val="000000" w:themeColor="text1"/>
          <w:sz w:val="24"/>
          <w:szCs w:val="24"/>
        </w:rPr>
      </w:pPr>
    </w:p>
    <w:p w14:paraId="63EE2A9D" w14:textId="44526135" w:rsidR="00A967FE" w:rsidRPr="00345388" w:rsidRDefault="00A967FE" w:rsidP="00EB0B89">
      <w:pPr>
        <w:spacing w:after="0" w:line="240" w:lineRule="auto"/>
        <w:jc w:val="both"/>
        <w:rPr>
          <w:rFonts w:ascii="Times New Roman" w:hAnsi="Times New Roman" w:cs="Times New Roman"/>
          <w:color w:val="000000" w:themeColor="text1"/>
          <w:sz w:val="24"/>
          <w:szCs w:val="24"/>
          <w:vertAlign w:val="superscript"/>
        </w:rPr>
      </w:pPr>
      <w:r w:rsidRPr="00345388">
        <w:rPr>
          <w:rFonts w:ascii="Times New Roman" w:hAnsi="Times New Roman" w:cs="Times New Roman"/>
          <w:color w:val="000000" w:themeColor="text1"/>
          <w:sz w:val="24"/>
          <w:szCs w:val="24"/>
        </w:rPr>
        <w:t>So-Ryoung Lee, MD,</w:t>
      </w:r>
      <w:r w:rsidRPr="00345388">
        <w:rPr>
          <w:rFonts w:ascii="Times New Roman" w:hAnsi="Times New Roman" w:cs="Times New Roman"/>
          <w:color w:val="000000" w:themeColor="text1"/>
          <w:sz w:val="24"/>
          <w:szCs w:val="24"/>
          <w:vertAlign w:val="superscript"/>
        </w:rPr>
        <w:t>a</w:t>
      </w:r>
      <w:r w:rsidRPr="00345388">
        <w:rPr>
          <w:rFonts w:ascii="Times New Roman" w:hAnsi="Times New Roman" w:cs="Times New Roman"/>
          <w:color w:val="000000" w:themeColor="text1"/>
          <w:sz w:val="24"/>
          <w:szCs w:val="24"/>
        </w:rPr>
        <w:t xml:space="preserve"> Eue-Keun Choi, MD, PhD,</w:t>
      </w:r>
      <w:r w:rsidRPr="00345388">
        <w:rPr>
          <w:rFonts w:ascii="Times New Roman" w:hAnsi="Times New Roman" w:cs="Times New Roman"/>
          <w:color w:val="000000" w:themeColor="text1"/>
          <w:sz w:val="24"/>
          <w:szCs w:val="24"/>
          <w:vertAlign w:val="superscript"/>
        </w:rPr>
        <w:t>b</w:t>
      </w:r>
      <w:r w:rsidR="00F87AE5" w:rsidRPr="00345388">
        <w:rPr>
          <w:rFonts w:ascii="Times New Roman" w:hAnsi="Times New Roman" w:cs="Times New Roman"/>
          <w:color w:val="000000" w:themeColor="text1"/>
          <w:sz w:val="24"/>
          <w:szCs w:val="24"/>
        </w:rPr>
        <w:t>*</w:t>
      </w:r>
      <w:r w:rsidRPr="00345388">
        <w:rPr>
          <w:rFonts w:ascii="Times New Roman" w:hAnsi="Times New Roman" w:cs="Times New Roman"/>
          <w:color w:val="000000" w:themeColor="text1"/>
          <w:sz w:val="24"/>
          <w:szCs w:val="24"/>
        </w:rPr>
        <w:t xml:space="preserve"> Chan Soon Park, MD,</w:t>
      </w:r>
      <w:r w:rsidRPr="00345388">
        <w:rPr>
          <w:rFonts w:ascii="Times New Roman" w:hAnsi="Times New Roman" w:cs="Times New Roman"/>
          <w:color w:val="000000" w:themeColor="text1"/>
          <w:sz w:val="24"/>
          <w:szCs w:val="24"/>
          <w:vertAlign w:val="superscript"/>
        </w:rPr>
        <w:t>c</w:t>
      </w:r>
      <w:r w:rsidRPr="00345388">
        <w:rPr>
          <w:rFonts w:ascii="Times New Roman" w:hAnsi="Times New Roman" w:cs="Times New Roman"/>
          <w:color w:val="000000" w:themeColor="text1"/>
          <w:sz w:val="24"/>
          <w:szCs w:val="24"/>
        </w:rPr>
        <w:t xml:space="preserve"> Kyung-Do Han, PhD,</w:t>
      </w:r>
      <w:r w:rsidRPr="00345388">
        <w:rPr>
          <w:rFonts w:ascii="Times New Roman" w:hAnsi="Times New Roman" w:cs="Times New Roman"/>
          <w:color w:val="000000" w:themeColor="text1"/>
          <w:sz w:val="24"/>
          <w:szCs w:val="24"/>
          <w:vertAlign w:val="superscript"/>
        </w:rPr>
        <w:t>d</w:t>
      </w:r>
      <w:r w:rsidRPr="00345388">
        <w:rPr>
          <w:rFonts w:ascii="Times New Roman" w:hAnsi="Times New Roman" w:cs="Times New Roman"/>
          <w:color w:val="000000" w:themeColor="text1"/>
          <w:sz w:val="24"/>
          <w:szCs w:val="24"/>
        </w:rPr>
        <w:t xml:space="preserve"> Jin-Hyung Jung, BSc,</w:t>
      </w:r>
      <w:r w:rsidRPr="00345388">
        <w:rPr>
          <w:rFonts w:ascii="Times New Roman" w:hAnsi="Times New Roman" w:cs="Times New Roman"/>
          <w:color w:val="000000" w:themeColor="text1"/>
          <w:sz w:val="24"/>
          <w:szCs w:val="24"/>
          <w:vertAlign w:val="superscript"/>
        </w:rPr>
        <w:t>d</w:t>
      </w:r>
      <w:r w:rsidRPr="00345388">
        <w:rPr>
          <w:rFonts w:ascii="Times New Roman" w:hAnsi="Times New Roman" w:cs="Times New Roman"/>
          <w:color w:val="000000" w:themeColor="text1"/>
          <w:sz w:val="24"/>
          <w:szCs w:val="24"/>
        </w:rPr>
        <w:t xml:space="preserve"> Seil Oh, MD, PhD,</w:t>
      </w:r>
      <w:r w:rsidRPr="00345388">
        <w:rPr>
          <w:rFonts w:ascii="Times New Roman" w:hAnsi="Times New Roman" w:cs="Times New Roman"/>
          <w:color w:val="000000" w:themeColor="text1"/>
          <w:sz w:val="24"/>
          <w:szCs w:val="24"/>
          <w:vertAlign w:val="superscript"/>
        </w:rPr>
        <w:t>b</w:t>
      </w:r>
      <w:r w:rsidRPr="00345388">
        <w:rPr>
          <w:rFonts w:ascii="Times New Roman" w:hAnsi="Times New Roman" w:cs="Times New Roman"/>
          <w:color w:val="000000" w:themeColor="text1"/>
          <w:sz w:val="24"/>
          <w:szCs w:val="24"/>
        </w:rPr>
        <w:t xml:space="preserve"> Gregory Y H Lip, MD</w:t>
      </w:r>
      <w:r w:rsidRPr="00345388">
        <w:rPr>
          <w:rFonts w:ascii="Times New Roman" w:hAnsi="Times New Roman" w:cs="Times New Roman"/>
          <w:color w:val="000000" w:themeColor="text1"/>
          <w:sz w:val="24"/>
          <w:szCs w:val="24"/>
          <w:vertAlign w:val="superscript"/>
        </w:rPr>
        <w:t>e,f</w:t>
      </w:r>
    </w:p>
    <w:p w14:paraId="42E5A63F" w14:textId="77777777" w:rsidR="00A967FE" w:rsidRPr="00345388" w:rsidRDefault="00A967FE" w:rsidP="00EB0B89">
      <w:pPr>
        <w:spacing w:after="0" w:line="240" w:lineRule="auto"/>
        <w:jc w:val="both"/>
        <w:rPr>
          <w:rFonts w:ascii="Times New Roman" w:hAnsi="Times New Roman" w:cs="Times New Roman"/>
          <w:sz w:val="24"/>
          <w:szCs w:val="24"/>
        </w:rPr>
      </w:pPr>
    </w:p>
    <w:p w14:paraId="7F279739" w14:textId="1D8025EB" w:rsidR="00A967FE" w:rsidRPr="00345388" w:rsidRDefault="00A967FE" w:rsidP="00EB0B89">
      <w:pPr>
        <w:spacing w:after="0" w:line="240" w:lineRule="auto"/>
        <w:jc w:val="both"/>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vertAlign w:val="superscript"/>
        </w:rPr>
        <w:t>a</w:t>
      </w:r>
      <w:r w:rsidR="009B7838" w:rsidRPr="00345388">
        <w:rPr>
          <w:rFonts w:ascii="Times New Roman" w:hAnsi="Times New Roman" w:cs="Times New Roman"/>
          <w:color w:val="000000" w:themeColor="text1"/>
          <w:sz w:val="24"/>
          <w:szCs w:val="24"/>
          <w:vertAlign w:val="superscript"/>
        </w:rPr>
        <w:t xml:space="preserve"> </w:t>
      </w:r>
      <w:r w:rsidRPr="00345388">
        <w:rPr>
          <w:rFonts w:ascii="Times New Roman" w:hAnsi="Times New Roman" w:cs="Times New Roman"/>
          <w:color w:val="000000" w:themeColor="text1"/>
          <w:sz w:val="24"/>
          <w:szCs w:val="24"/>
        </w:rPr>
        <w:t>Division of Cardiology, Department of Internal Medicine, Soon Chun Hyang University Hospital Seoul, Seoul, Republic of Korea</w:t>
      </w:r>
    </w:p>
    <w:p w14:paraId="2CE16BD5" w14:textId="4A82F865" w:rsidR="00A967FE" w:rsidRPr="00345388" w:rsidRDefault="00A967FE" w:rsidP="00EB0B89">
      <w:pPr>
        <w:spacing w:after="0" w:line="240" w:lineRule="auto"/>
        <w:jc w:val="both"/>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vertAlign w:val="superscript"/>
        </w:rPr>
        <w:t>b</w:t>
      </w:r>
      <w:r w:rsidR="009B7838" w:rsidRPr="00345388">
        <w:rPr>
          <w:rFonts w:ascii="Times New Roman" w:hAnsi="Times New Roman" w:cs="Times New Roman"/>
          <w:color w:val="000000" w:themeColor="text1"/>
          <w:sz w:val="24"/>
          <w:szCs w:val="24"/>
          <w:vertAlign w:val="superscript"/>
        </w:rPr>
        <w:t xml:space="preserve"> </w:t>
      </w:r>
      <w:r w:rsidRPr="00345388">
        <w:rPr>
          <w:rFonts w:ascii="Times New Roman" w:hAnsi="Times New Roman" w:cs="Times New Roman"/>
          <w:color w:val="000000" w:themeColor="text1"/>
          <w:sz w:val="24"/>
          <w:szCs w:val="24"/>
        </w:rPr>
        <w:t>Division of Cardiology, Department of Internal Medicine, Seoul National University Hospital, Seoul, Republic of Korea</w:t>
      </w:r>
    </w:p>
    <w:p w14:paraId="5EF2833F" w14:textId="7CEDD14A" w:rsidR="00A967FE" w:rsidRPr="00345388" w:rsidRDefault="00A967FE" w:rsidP="00EB0B89">
      <w:pPr>
        <w:spacing w:after="0" w:line="240" w:lineRule="auto"/>
        <w:jc w:val="both"/>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vertAlign w:val="superscript"/>
        </w:rPr>
        <w:t>c</w:t>
      </w:r>
      <w:r w:rsidR="009B7838" w:rsidRPr="00345388">
        <w:rPr>
          <w:rFonts w:ascii="Times New Roman" w:hAnsi="Times New Roman" w:cs="Times New Roman"/>
          <w:color w:val="000000" w:themeColor="text1"/>
          <w:sz w:val="24"/>
          <w:szCs w:val="24"/>
          <w:vertAlign w:val="superscript"/>
        </w:rPr>
        <w:t xml:space="preserve"> </w:t>
      </w:r>
      <w:r w:rsidRPr="00345388">
        <w:rPr>
          <w:rFonts w:ascii="Times New Roman" w:hAnsi="Times New Roman" w:cs="Times New Roman"/>
          <w:color w:val="000000" w:themeColor="text1"/>
          <w:sz w:val="24"/>
          <w:szCs w:val="24"/>
        </w:rPr>
        <w:t>Graduate School of Medical Science and Engineering, Korea Advanced Institute of Science and Technology, Daejeon, Republic of Korea</w:t>
      </w:r>
    </w:p>
    <w:p w14:paraId="18A202EC" w14:textId="062CBA25" w:rsidR="00A967FE" w:rsidRPr="00345388" w:rsidRDefault="00A967FE" w:rsidP="00EB0B89">
      <w:pPr>
        <w:spacing w:after="0" w:line="240" w:lineRule="auto"/>
        <w:jc w:val="both"/>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vertAlign w:val="superscript"/>
        </w:rPr>
        <w:t>d</w:t>
      </w:r>
      <w:r w:rsidR="009B7838" w:rsidRPr="00345388">
        <w:rPr>
          <w:rFonts w:ascii="Times New Roman" w:hAnsi="Times New Roman" w:cs="Times New Roman"/>
          <w:color w:val="000000" w:themeColor="text1"/>
          <w:sz w:val="24"/>
          <w:szCs w:val="24"/>
          <w:vertAlign w:val="superscript"/>
        </w:rPr>
        <w:t xml:space="preserve"> </w:t>
      </w:r>
      <w:r w:rsidRPr="00345388">
        <w:rPr>
          <w:rFonts w:ascii="Times New Roman" w:hAnsi="Times New Roman" w:cs="Times New Roman"/>
          <w:color w:val="000000" w:themeColor="text1"/>
          <w:sz w:val="24"/>
          <w:szCs w:val="24"/>
        </w:rPr>
        <w:t>Department of Medical Statistics, College of Medicine, Catholic University of Korea, Seoul, Republic of Korea</w:t>
      </w:r>
    </w:p>
    <w:p w14:paraId="1034577B" w14:textId="7904F124" w:rsidR="00A967FE" w:rsidRPr="00345388" w:rsidRDefault="009B7838" w:rsidP="00EB0B89">
      <w:pPr>
        <w:spacing w:after="0" w:line="240" w:lineRule="auto"/>
        <w:jc w:val="both"/>
        <w:rPr>
          <w:rFonts w:ascii="Times New Roman" w:hAnsi="Times New Roman" w:cs="Times New Roman"/>
          <w:color w:val="222222"/>
          <w:sz w:val="24"/>
          <w:szCs w:val="24"/>
          <w:shd w:val="clear" w:color="auto" w:fill="FFFFFF"/>
        </w:rPr>
      </w:pPr>
      <w:r w:rsidRPr="00345388">
        <w:rPr>
          <w:rFonts w:ascii="Times New Roman" w:hAnsi="Times New Roman" w:cs="Times New Roman"/>
          <w:color w:val="222222"/>
          <w:sz w:val="24"/>
          <w:szCs w:val="24"/>
          <w:shd w:val="clear" w:color="auto" w:fill="FFFFFF"/>
          <w:vertAlign w:val="superscript"/>
        </w:rPr>
        <w:t>e</w:t>
      </w:r>
      <w:r w:rsidRPr="00345388">
        <w:rPr>
          <w:rFonts w:ascii="Times New Roman" w:hAnsi="Times New Roman" w:cs="Times New Roman"/>
          <w:color w:val="222222"/>
          <w:sz w:val="24"/>
          <w:szCs w:val="24"/>
          <w:shd w:val="clear" w:color="auto" w:fill="FFFFFF"/>
        </w:rPr>
        <w:t xml:space="preserve"> Liverpool Centre for Cardiovascular Science, University of Liverpool and Liverpool Chest &amp; Heart Hospital, Liverpool, United Kingdom; and </w:t>
      </w:r>
      <w:r w:rsidRPr="00345388">
        <w:rPr>
          <w:rFonts w:ascii="Times New Roman" w:hAnsi="Times New Roman" w:cs="Times New Roman"/>
          <w:color w:val="222222"/>
          <w:sz w:val="24"/>
          <w:szCs w:val="24"/>
          <w:shd w:val="clear" w:color="auto" w:fill="FFFFFF"/>
          <w:vertAlign w:val="superscript"/>
        </w:rPr>
        <w:t>f</w:t>
      </w:r>
      <w:r w:rsidRPr="00345388">
        <w:rPr>
          <w:rFonts w:ascii="Times New Roman" w:hAnsi="Times New Roman" w:cs="Times New Roman"/>
          <w:color w:val="222222"/>
          <w:sz w:val="24"/>
          <w:szCs w:val="24"/>
          <w:shd w:val="clear" w:color="auto" w:fill="FFFFFF"/>
        </w:rPr>
        <w:t xml:space="preserve"> Department of Clinical Medicine, Aalborg University, Aalborg, Denmark</w:t>
      </w:r>
    </w:p>
    <w:p w14:paraId="4DA3F580" w14:textId="77777777" w:rsidR="004F4101" w:rsidRPr="00345388" w:rsidRDefault="004F4101" w:rsidP="00EB0B89">
      <w:pPr>
        <w:spacing w:after="0" w:line="240" w:lineRule="auto"/>
        <w:jc w:val="both"/>
        <w:rPr>
          <w:rFonts w:ascii="Times New Roman" w:hAnsi="Times New Roman" w:cs="Times New Roman"/>
          <w:sz w:val="24"/>
          <w:szCs w:val="24"/>
        </w:rPr>
      </w:pPr>
    </w:p>
    <w:p w14:paraId="6AA65B1F" w14:textId="6A56650A" w:rsidR="00F87AE5" w:rsidRPr="00345388" w:rsidRDefault="00F87AE5" w:rsidP="00EB0B89">
      <w:pPr>
        <w:spacing w:after="0" w:line="240" w:lineRule="auto"/>
        <w:jc w:val="both"/>
        <w:rPr>
          <w:rFonts w:ascii="Times New Roman" w:hAnsi="Times New Roman" w:cs="Times New Roman"/>
          <w:sz w:val="24"/>
          <w:szCs w:val="24"/>
        </w:rPr>
      </w:pPr>
      <w:r w:rsidRPr="00345388">
        <w:rPr>
          <w:rFonts w:ascii="Times New Roman" w:hAnsi="Times New Roman" w:cs="Times New Roman"/>
          <w:b/>
          <w:sz w:val="24"/>
          <w:szCs w:val="24"/>
        </w:rPr>
        <w:t>Short title:</w:t>
      </w:r>
      <w:r w:rsidRPr="00345388">
        <w:rPr>
          <w:rFonts w:ascii="Times New Roman" w:hAnsi="Times New Roman" w:cs="Times New Roman"/>
          <w:sz w:val="24"/>
          <w:szCs w:val="24"/>
        </w:rPr>
        <w:t xml:space="preserve"> NOAC in AF with low body weight</w:t>
      </w:r>
    </w:p>
    <w:p w14:paraId="0754FA55" w14:textId="5B89BC74" w:rsidR="00A967FE" w:rsidRPr="00345388" w:rsidRDefault="00A967FE" w:rsidP="00EB0B89">
      <w:pPr>
        <w:spacing w:after="0" w:line="240" w:lineRule="auto"/>
        <w:jc w:val="both"/>
        <w:rPr>
          <w:rFonts w:ascii="Times New Roman" w:hAnsi="Times New Roman" w:cs="Times New Roman"/>
          <w:b/>
          <w:sz w:val="24"/>
          <w:szCs w:val="24"/>
        </w:rPr>
      </w:pPr>
    </w:p>
    <w:p w14:paraId="4E0F89ED" w14:textId="3B9E4AFF" w:rsidR="00F87AE5" w:rsidRPr="00345388" w:rsidRDefault="00F87AE5" w:rsidP="00EB0B89">
      <w:pPr>
        <w:spacing w:after="0" w:line="240" w:lineRule="auto"/>
        <w:jc w:val="both"/>
        <w:rPr>
          <w:rFonts w:ascii="Times New Roman" w:hAnsi="Times New Roman" w:cs="Times New Roman"/>
          <w:sz w:val="24"/>
          <w:szCs w:val="24"/>
        </w:rPr>
      </w:pPr>
      <w:r w:rsidRPr="00345388">
        <w:rPr>
          <w:rFonts w:ascii="Times New Roman" w:hAnsi="Times New Roman" w:cs="Times New Roman"/>
          <w:b/>
          <w:sz w:val="24"/>
          <w:szCs w:val="24"/>
        </w:rPr>
        <w:t xml:space="preserve">Sources of funding: </w:t>
      </w:r>
      <w:r w:rsidRPr="00345388">
        <w:rPr>
          <w:rFonts w:ascii="Times New Roman" w:hAnsi="Times New Roman" w:cs="Times New Roman"/>
          <w:sz w:val="24"/>
          <w:szCs w:val="24"/>
        </w:rPr>
        <w:t>This study was supported by grant No. 062018245 from the SNUH Research Fund</w:t>
      </w:r>
      <w:r w:rsidRPr="00345388">
        <w:rPr>
          <w:rFonts w:ascii="Times New Roman" w:hAnsi="Times New Roman" w:cs="Times New Roman"/>
          <w:color w:val="000000" w:themeColor="text1"/>
          <w:sz w:val="24"/>
          <w:szCs w:val="24"/>
        </w:rPr>
        <w:t xml:space="preserve"> and </w:t>
      </w:r>
      <w:r w:rsidRPr="00345388">
        <w:rPr>
          <w:rFonts w:ascii="Times New Roman" w:hAnsi="Times New Roman" w:cs="Times New Roman"/>
          <w:sz w:val="24"/>
          <w:szCs w:val="24"/>
        </w:rPr>
        <w:t>SoonChunHyang University Research Fund.</w:t>
      </w:r>
    </w:p>
    <w:p w14:paraId="42AFEE94" w14:textId="72608AB7" w:rsidR="00F87AE5" w:rsidRPr="00345388" w:rsidRDefault="00F87AE5" w:rsidP="00EB0B89">
      <w:pPr>
        <w:spacing w:after="0" w:line="240" w:lineRule="auto"/>
        <w:jc w:val="both"/>
        <w:rPr>
          <w:rFonts w:ascii="Times New Roman" w:hAnsi="Times New Roman" w:cs="Times New Roman"/>
          <w:b/>
          <w:sz w:val="24"/>
          <w:szCs w:val="24"/>
        </w:rPr>
      </w:pPr>
    </w:p>
    <w:p w14:paraId="7CB67E58" w14:textId="47CFE572" w:rsidR="00F87AE5" w:rsidRPr="00345388" w:rsidRDefault="00F87AE5" w:rsidP="00EB0B89">
      <w:pPr>
        <w:spacing w:after="0" w:line="240" w:lineRule="auto"/>
        <w:jc w:val="both"/>
        <w:rPr>
          <w:rFonts w:ascii="Times New Roman" w:hAnsi="Times New Roman" w:cs="Times New Roman"/>
          <w:b/>
          <w:sz w:val="24"/>
          <w:szCs w:val="24"/>
        </w:rPr>
      </w:pPr>
      <w:r w:rsidRPr="00345388">
        <w:rPr>
          <w:rFonts w:ascii="Times New Roman" w:hAnsi="Times New Roman" w:cs="Times New Roman"/>
          <w:b/>
          <w:sz w:val="24"/>
          <w:szCs w:val="24"/>
        </w:rPr>
        <w:t>Disclosures</w:t>
      </w:r>
    </w:p>
    <w:p w14:paraId="645A1F43" w14:textId="77777777" w:rsidR="00F87AE5" w:rsidRPr="00345388" w:rsidRDefault="00F87AE5" w:rsidP="00EB0B89">
      <w:pPr>
        <w:spacing w:after="0" w:line="240" w:lineRule="auto"/>
        <w:jc w:val="both"/>
        <w:rPr>
          <w:rFonts w:ascii="Times New Roman" w:hAnsi="Times New Roman" w:cs="Times New Roman"/>
          <w:sz w:val="24"/>
          <w:szCs w:val="24"/>
        </w:rPr>
      </w:pPr>
      <w:r w:rsidRPr="00345388">
        <w:rPr>
          <w:rFonts w:ascii="Times New Roman" w:hAnsi="Times New Roman" w:cs="Times New Roman"/>
          <w:sz w:val="24"/>
          <w:szCs w:val="24"/>
        </w:rPr>
        <w:t>SRL, PCS, KDH, JHJ, SO: None</w:t>
      </w:r>
    </w:p>
    <w:p w14:paraId="706E3DF4" w14:textId="77777777" w:rsidR="00F87AE5" w:rsidRPr="00345388" w:rsidRDefault="00F87AE5" w:rsidP="00EB0B89">
      <w:pPr>
        <w:spacing w:after="0" w:line="240" w:lineRule="auto"/>
        <w:jc w:val="both"/>
        <w:rPr>
          <w:rFonts w:ascii="Times New Roman" w:hAnsi="Times New Roman" w:cs="Times New Roman"/>
          <w:sz w:val="24"/>
          <w:szCs w:val="24"/>
        </w:rPr>
      </w:pPr>
      <w:r w:rsidRPr="00345388">
        <w:rPr>
          <w:rFonts w:ascii="Times New Roman" w:hAnsi="Times New Roman" w:cs="Times New Roman"/>
          <w:sz w:val="24"/>
          <w:szCs w:val="24"/>
        </w:rPr>
        <w:t>EKC: Research grant from Daiichi-Sankyo, BMS/Pfizer, and Biosense Webster.</w:t>
      </w:r>
    </w:p>
    <w:p w14:paraId="504BBA11" w14:textId="77777777" w:rsidR="00F87AE5" w:rsidRPr="00345388" w:rsidRDefault="00F87AE5" w:rsidP="00EB0B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352824"/>
          <w:sz w:val="24"/>
          <w:szCs w:val="24"/>
        </w:rPr>
      </w:pPr>
      <w:r w:rsidRPr="00345388">
        <w:rPr>
          <w:rFonts w:ascii="Times New Roman" w:hAnsi="Times New Roman" w:cs="Times New Roman"/>
          <w:sz w:val="24"/>
          <w:szCs w:val="24"/>
        </w:rPr>
        <w:t xml:space="preserve">GYHL: </w:t>
      </w:r>
      <w:r w:rsidRPr="00345388">
        <w:rPr>
          <w:rFonts w:ascii="Times New Roman" w:hAnsi="Times New Roman" w:cs="Times New Roman"/>
          <w:color w:val="352824"/>
          <w:sz w:val="24"/>
          <w:szCs w:val="24"/>
        </w:rPr>
        <w:t xml:space="preserve">Consultant for Bayer/Janssen, BMS/Pfizer, Medtronic, Boehringer Ingelheim, Novartis, Verseon and Daiichi-Sankyo. Speaker for Bayer, BMS/Pfizer, Medtronic, Boehringer Ingelheim, and Daiichi-Sankyo. </w:t>
      </w:r>
      <w:r w:rsidRPr="00345388">
        <w:rPr>
          <w:rFonts w:ascii="Times New Roman" w:hAnsi="Times New Roman" w:cs="Times New Roman"/>
          <w:sz w:val="24"/>
          <w:szCs w:val="24"/>
        </w:rPr>
        <w:t>No fees are received personally.</w:t>
      </w:r>
    </w:p>
    <w:p w14:paraId="25417748" w14:textId="77777777" w:rsidR="00F87AE5" w:rsidRPr="00345388" w:rsidRDefault="00F87AE5" w:rsidP="00EB0B89">
      <w:pPr>
        <w:spacing w:after="0" w:line="240" w:lineRule="auto"/>
        <w:jc w:val="both"/>
        <w:rPr>
          <w:rFonts w:ascii="Times New Roman" w:hAnsi="Times New Roman" w:cs="Times New Roman"/>
          <w:b/>
          <w:sz w:val="24"/>
          <w:szCs w:val="24"/>
        </w:rPr>
      </w:pPr>
    </w:p>
    <w:p w14:paraId="1593B7D6" w14:textId="747EECE1" w:rsidR="00A967FE" w:rsidRPr="00345388" w:rsidRDefault="00F87AE5" w:rsidP="00EB0B89">
      <w:pPr>
        <w:spacing w:after="0" w:line="240" w:lineRule="auto"/>
        <w:jc w:val="both"/>
        <w:rPr>
          <w:rFonts w:ascii="Times New Roman" w:hAnsi="Times New Roman" w:cs="Times New Roman"/>
          <w:b/>
          <w:sz w:val="24"/>
          <w:szCs w:val="24"/>
        </w:rPr>
      </w:pPr>
      <w:r w:rsidRPr="00345388">
        <w:rPr>
          <w:rFonts w:ascii="Times New Roman" w:hAnsi="Times New Roman" w:cs="Times New Roman"/>
          <w:b/>
          <w:sz w:val="24"/>
          <w:szCs w:val="24"/>
        </w:rPr>
        <w:t>*</w:t>
      </w:r>
      <w:r w:rsidR="00A967FE" w:rsidRPr="00345388">
        <w:rPr>
          <w:rFonts w:ascii="Times New Roman" w:hAnsi="Times New Roman" w:cs="Times New Roman"/>
          <w:b/>
          <w:sz w:val="24"/>
          <w:szCs w:val="24"/>
        </w:rPr>
        <w:t xml:space="preserve">Corresponding Author: </w:t>
      </w:r>
    </w:p>
    <w:p w14:paraId="5F005499" w14:textId="77777777" w:rsidR="00A967FE" w:rsidRPr="00345388" w:rsidRDefault="00A967FE" w:rsidP="00EB0B89">
      <w:pPr>
        <w:spacing w:after="0" w:line="240" w:lineRule="auto"/>
        <w:jc w:val="both"/>
        <w:rPr>
          <w:rFonts w:ascii="Times New Roman" w:hAnsi="Times New Roman" w:cs="Times New Roman"/>
          <w:sz w:val="24"/>
          <w:szCs w:val="24"/>
        </w:rPr>
      </w:pPr>
      <w:r w:rsidRPr="00345388">
        <w:rPr>
          <w:rFonts w:ascii="Times New Roman" w:hAnsi="Times New Roman" w:cs="Times New Roman"/>
          <w:sz w:val="24"/>
          <w:szCs w:val="24"/>
        </w:rPr>
        <w:t>Eue-Keun Choi, MD, PhD</w:t>
      </w:r>
    </w:p>
    <w:p w14:paraId="2ABA52D7" w14:textId="77777777" w:rsidR="00A967FE" w:rsidRPr="00345388" w:rsidRDefault="00A967FE" w:rsidP="00EB0B89">
      <w:pPr>
        <w:spacing w:after="0" w:line="240" w:lineRule="auto"/>
        <w:jc w:val="both"/>
        <w:rPr>
          <w:rFonts w:ascii="Times New Roman" w:hAnsi="Times New Roman" w:cs="Times New Roman"/>
          <w:sz w:val="24"/>
          <w:szCs w:val="24"/>
        </w:rPr>
      </w:pPr>
      <w:r w:rsidRPr="00345388">
        <w:rPr>
          <w:rFonts w:ascii="Times New Roman" w:hAnsi="Times New Roman" w:cs="Times New Roman"/>
          <w:sz w:val="24"/>
          <w:szCs w:val="24"/>
        </w:rPr>
        <w:t>Department of Internal Medicine, Seoul National University Hospital</w:t>
      </w:r>
    </w:p>
    <w:p w14:paraId="5E0FF4F1" w14:textId="77777777" w:rsidR="00546D0C" w:rsidRPr="00345388" w:rsidRDefault="00A967FE" w:rsidP="00EB0B89">
      <w:pPr>
        <w:spacing w:after="0" w:line="240" w:lineRule="auto"/>
        <w:jc w:val="both"/>
        <w:rPr>
          <w:rFonts w:ascii="Times New Roman" w:hAnsi="Times New Roman" w:cs="Times New Roman"/>
          <w:sz w:val="24"/>
          <w:szCs w:val="24"/>
        </w:rPr>
      </w:pPr>
      <w:r w:rsidRPr="00345388">
        <w:rPr>
          <w:rFonts w:ascii="Times New Roman" w:hAnsi="Times New Roman" w:cs="Times New Roman"/>
          <w:sz w:val="24"/>
          <w:szCs w:val="24"/>
        </w:rPr>
        <w:t>101 Daehak-ro, Jongno-gu, Seoul, 03080, Republic of Korea</w:t>
      </w:r>
    </w:p>
    <w:p w14:paraId="00E9344D" w14:textId="6DC72067" w:rsidR="00E76587" w:rsidRPr="00345388" w:rsidRDefault="00546D0C" w:rsidP="00EB0B89">
      <w:pPr>
        <w:spacing w:after="0" w:line="240" w:lineRule="auto"/>
        <w:jc w:val="both"/>
        <w:rPr>
          <w:rFonts w:ascii="Times New Roman" w:hAnsi="Times New Roman" w:cs="Times New Roman"/>
          <w:sz w:val="24"/>
          <w:szCs w:val="24"/>
        </w:rPr>
      </w:pPr>
      <w:r w:rsidRPr="00345388">
        <w:rPr>
          <w:rFonts w:ascii="Times New Roman" w:hAnsi="Times New Roman" w:cs="Times New Roman"/>
          <w:sz w:val="24"/>
          <w:szCs w:val="24"/>
        </w:rPr>
        <w:t xml:space="preserve">Phone </w:t>
      </w:r>
      <w:r w:rsidR="00E76587" w:rsidRPr="00345388">
        <w:rPr>
          <w:rFonts w:ascii="Times New Roman" w:hAnsi="Times New Roman" w:cs="Times New Roman"/>
          <w:sz w:val="24"/>
          <w:szCs w:val="24"/>
        </w:rPr>
        <w:t>+82-2-2072-0688/Fax +82-2-762-9662</w:t>
      </w:r>
    </w:p>
    <w:p w14:paraId="4908D31A" w14:textId="74B939BE" w:rsidR="00A967FE" w:rsidRPr="00345388" w:rsidRDefault="00A967FE" w:rsidP="00EB0B89">
      <w:pPr>
        <w:spacing w:after="0" w:line="240" w:lineRule="auto"/>
        <w:jc w:val="both"/>
        <w:rPr>
          <w:rFonts w:ascii="Times New Roman" w:hAnsi="Times New Roman" w:cs="Times New Roman"/>
          <w:sz w:val="24"/>
          <w:szCs w:val="24"/>
        </w:rPr>
      </w:pPr>
      <w:r w:rsidRPr="00345388">
        <w:rPr>
          <w:rFonts w:ascii="Times New Roman" w:hAnsi="Times New Roman" w:cs="Times New Roman"/>
          <w:sz w:val="24"/>
          <w:szCs w:val="24"/>
        </w:rPr>
        <w:t xml:space="preserve">E-mail: choiek17@snu.ac.kr </w:t>
      </w:r>
    </w:p>
    <w:p w14:paraId="7ACF04A8" w14:textId="77777777" w:rsidR="006749ED" w:rsidRPr="00345388" w:rsidRDefault="006749ED" w:rsidP="00EB0B89">
      <w:pPr>
        <w:spacing w:after="0" w:line="240" w:lineRule="auto"/>
        <w:rPr>
          <w:rFonts w:ascii="Times New Roman" w:hAnsi="Times New Roman" w:cs="Times New Roman"/>
          <w:sz w:val="24"/>
          <w:szCs w:val="24"/>
        </w:rPr>
      </w:pPr>
      <w:r w:rsidRPr="00345388">
        <w:rPr>
          <w:rFonts w:ascii="Times New Roman" w:hAnsi="Times New Roman" w:cs="Times New Roman"/>
          <w:sz w:val="24"/>
          <w:szCs w:val="24"/>
        </w:rPr>
        <w:br w:type="page"/>
      </w:r>
    </w:p>
    <w:p w14:paraId="62429D76" w14:textId="4A012939" w:rsidR="00432B58" w:rsidRPr="00345388" w:rsidRDefault="009B4B2D" w:rsidP="00EB0B89">
      <w:pPr>
        <w:spacing w:after="0" w:line="240" w:lineRule="auto"/>
        <w:jc w:val="both"/>
        <w:rPr>
          <w:rFonts w:ascii="Times New Roman" w:hAnsi="Times New Roman" w:cs="Times New Roman"/>
          <w:b/>
          <w:sz w:val="24"/>
          <w:szCs w:val="24"/>
        </w:rPr>
      </w:pPr>
      <w:r w:rsidRPr="00345388">
        <w:rPr>
          <w:rFonts w:ascii="Times New Roman" w:hAnsi="Times New Roman" w:cs="Times New Roman"/>
          <w:b/>
          <w:sz w:val="24"/>
          <w:szCs w:val="24"/>
        </w:rPr>
        <w:lastRenderedPageBreak/>
        <w:t>Abstract</w:t>
      </w:r>
    </w:p>
    <w:p w14:paraId="6A6FCA32" w14:textId="2C37F084" w:rsidR="00B448D8" w:rsidRPr="00345388" w:rsidRDefault="00D859BB" w:rsidP="00EB0B89">
      <w:pPr>
        <w:spacing w:after="0" w:line="240" w:lineRule="auto"/>
        <w:jc w:val="both"/>
        <w:rPr>
          <w:rFonts w:ascii="Times New Roman" w:eastAsia="Malgun Gothic" w:hAnsi="Times New Roman" w:cs="Times New Roman"/>
          <w:sz w:val="24"/>
          <w:szCs w:val="24"/>
        </w:rPr>
      </w:pPr>
      <w:r w:rsidRPr="00345388">
        <w:rPr>
          <w:rFonts w:ascii="Times New Roman" w:hAnsi="Times New Roman" w:cs="Times New Roman"/>
          <w:b/>
          <w:sz w:val="24"/>
          <w:szCs w:val="24"/>
        </w:rPr>
        <w:t>Background:</w:t>
      </w:r>
      <w:r w:rsidR="001A2CC2" w:rsidRPr="00345388">
        <w:rPr>
          <w:rFonts w:ascii="Times New Roman" w:hAnsi="Times New Roman" w:cs="Times New Roman"/>
          <w:b/>
          <w:sz w:val="24"/>
          <w:szCs w:val="24"/>
        </w:rPr>
        <w:t xml:space="preserve"> </w:t>
      </w:r>
      <w:r w:rsidR="004B6A30" w:rsidRPr="00345388">
        <w:rPr>
          <w:rFonts w:ascii="Times New Roman" w:hAnsi="Times New Roman" w:cs="Times New Roman"/>
          <w:sz w:val="24"/>
          <w:szCs w:val="24"/>
        </w:rPr>
        <w:t xml:space="preserve">It is unclear </w:t>
      </w:r>
      <w:r w:rsidR="005F434A" w:rsidRPr="00345388">
        <w:rPr>
          <w:rFonts w:ascii="Times New Roman" w:hAnsi="Times New Roman" w:cs="Times New Roman"/>
          <w:sz w:val="24"/>
          <w:szCs w:val="24"/>
        </w:rPr>
        <w:t xml:space="preserve">whether </w:t>
      </w:r>
      <w:r w:rsidR="009A7991" w:rsidRPr="00345388">
        <w:rPr>
          <w:rFonts w:ascii="Times New Roman" w:hAnsi="Times New Roman" w:cs="Times New Roman"/>
          <w:sz w:val="24"/>
          <w:szCs w:val="24"/>
        </w:rPr>
        <w:t>the</w:t>
      </w:r>
      <w:r w:rsidR="009A7991" w:rsidRPr="00345388">
        <w:rPr>
          <w:rFonts w:ascii="Times New Roman" w:hAnsi="Times New Roman" w:cs="Times New Roman"/>
          <w:b/>
          <w:sz w:val="24"/>
          <w:szCs w:val="24"/>
        </w:rPr>
        <w:t xml:space="preserve"> </w:t>
      </w:r>
      <w:r w:rsidR="009A7991" w:rsidRPr="00345388">
        <w:rPr>
          <w:rFonts w:ascii="Times New Roman" w:hAnsi="Times New Roman" w:cs="Times New Roman"/>
          <w:sz w:val="24"/>
          <w:szCs w:val="24"/>
        </w:rPr>
        <w:t>overall</w:t>
      </w:r>
      <w:r w:rsidR="009A7991" w:rsidRPr="00345388">
        <w:rPr>
          <w:rFonts w:ascii="Times New Roman" w:hAnsi="Times New Roman" w:cs="Times New Roman"/>
          <w:b/>
          <w:sz w:val="24"/>
          <w:szCs w:val="24"/>
        </w:rPr>
        <w:t xml:space="preserve"> </w:t>
      </w:r>
      <w:r w:rsidR="006B0991" w:rsidRPr="00345388">
        <w:rPr>
          <w:rFonts w:ascii="Times New Roman" w:hAnsi="Times New Roman" w:cs="Times New Roman"/>
          <w:sz w:val="24"/>
          <w:szCs w:val="24"/>
        </w:rPr>
        <w:t xml:space="preserve">effectiveness and safety of </w:t>
      </w:r>
      <w:r w:rsidR="00F57084" w:rsidRPr="00345388">
        <w:rPr>
          <w:rFonts w:ascii="Times New Roman" w:hAnsi="Times New Roman" w:cs="Times New Roman"/>
          <w:sz w:val="24"/>
          <w:szCs w:val="24"/>
        </w:rPr>
        <w:t xml:space="preserve">non-vitamin K </w:t>
      </w:r>
      <w:r w:rsidR="003C10BF" w:rsidRPr="00345388">
        <w:rPr>
          <w:rFonts w:ascii="Times New Roman" w:hAnsi="Times New Roman" w:cs="Times New Roman"/>
          <w:sz w:val="24"/>
          <w:szCs w:val="24"/>
        </w:rPr>
        <w:t xml:space="preserve">oral </w:t>
      </w:r>
      <w:r w:rsidRPr="00345388">
        <w:rPr>
          <w:rFonts w:ascii="Times New Roman" w:hAnsi="Times New Roman" w:cs="Times New Roman"/>
          <w:sz w:val="24"/>
          <w:szCs w:val="24"/>
        </w:rPr>
        <w:t xml:space="preserve">antagonist </w:t>
      </w:r>
      <w:r w:rsidR="00F57084" w:rsidRPr="00345388">
        <w:rPr>
          <w:rFonts w:ascii="Times New Roman" w:hAnsi="Times New Roman" w:cs="Times New Roman"/>
          <w:sz w:val="24"/>
          <w:szCs w:val="24"/>
        </w:rPr>
        <w:t>anticoagulants</w:t>
      </w:r>
      <w:r w:rsidRPr="00345388">
        <w:rPr>
          <w:rFonts w:ascii="Times New Roman" w:hAnsi="Times New Roman" w:cs="Times New Roman"/>
          <w:sz w:val="24"/>
          <w:szCs w:val="24"/>
        </w:rPr>
        <w:t xml:space="preserve"> (NOACs)</w:t>
      </w:r>
      <w:r w:rsidR="00F57084" w:rsidRPr="00345388">
        <w:rPr>
          <w:rFonts w:ascii="Times New Roman" w:hAnsi="Times New Roman" w:cs="Times New Roman"/>
          <w:sz w:val="24"/>
          <w:szCs w:val="24"/>
        </w:rPr>
        <w:t xml:space="preserve"> </w:t>
      </w:r>
      <w:r w:rsidR="00EF1B1A" w:rsidRPr="00345388">
        <w:rPr>
          <w:rFonts w:ascii="Times New Roman" w:hAnsi="Times New Roman" w:cs="Times New Roman"/>
          <w:sz w:val="24"/>
          <w:szCs w:val="24"/>
        </w:rPr>
        <w:t xml:space="preserve">are </w:t>
      </w:r>
      <w:r w:rsidR="005F434A" w:rsidRPr="00345388">
        <w:rPr>
          <w:rFonts w:ascii="Times New Roman" w:hAnsi="Times New Roman" w:cs="Times New Roman"/>
          <w:sz w:val="24"/>
          <w:szCs w:val="24"/>
        </w:rPr>
        <w:t>consistent</w:t>
      </w:r>
      <w:r w:rsidR="006B0991" w:rsidRPr="00345388">
        <w:rPr>
          <w:rFonts w:ascii="Times New Roman" w:hAnsi="Times New Roman" w:cs="Times New Roman"/>
          <w:sz w:val="24"/>
          <w:szCs w:val="24"/>
        </w:rPr>
        <w:t xml:space="preserve"> </w:t>
      </w:r>
      <w:r w:rsidR="00F57084" w:rsidRPr="00345388">
        <w:rPr>
          <w:rFonts w:ascii="Times New Roman" w:hAnsi="Times New Roman" w:cs="Times New Roman"/>
          <w:sz w:val="24"/>
          <w:szCs w:val="24"/>
        </w:rPr>
        <w:t>in patients with non-valvular atrial fibrillation</w:t>
      </w:r>
      <w:r w:rsidRPr="00345388">
        <w:rPr>
          <w:rFonts w:ascii="Times New Roman" w:hAnsi="Times New Roman" w:cs="Times New Roman"/>
          <w:sz w:val="24"/>
          <w:szCs w:val="24"/>
        </w:rPr>
        <w:t xml:space="preserve"> (AF)</w:t>
      </w:r>
      <w:r w:rsidR="00F57084" w:rsidRPr="00345388">
        <w:rPr>
          <w:rFonts w:ascii="Times New Roman" w:hAnsi="Times New Roman" w:cs="Times New Roman"/>
          <w:sz w:val="24"/>
          <w:szCs w:val="24"/>
        </w:rPr>
        <w:t xml:space="preserve"> </w:t>
      </w:r>
      <w:r w:rsidR="00EF1B1A" w:rsidRPr="00345388">
        <w:rPr>
          <w:rFonts w:ascii="Times New Roman" w:hAnsi="Times New Roman" w:cs="Times New Roman"/>
          <w:sz w:val="24"/>
          <w:szCs w:val="24"/>
        </w:rPr>
        <w:t>and</w:t>
      </w:r>
      <w:r w:rsidR="006B0991" w:rsidRPr="00345388">
        <w:rPr>
          <w:rFonts w:ascii="Times New Roman" w:hAnsi="Times New Roman" w:cs="Times New Roman"/>
          <w:sz w:val="24"/>
          <w:szCs w:val="24"/>
        </w:rPr>
        <w:t xml:space="preserve"> </w:t>
      </w:r>
      <w:r w:rsidR="005F434A" w:rsidRPr="00345388">
        <w:rPr>
          <w:rFonts w:ascii="Times New Roman" w:hAnsi="Times New Roman" w:cs="Times New Roman"/>
          <w:sz w:val="24"/>
          <w:szCs w:val="24"/>
        </w:rPr>
        <w:t>extremely low</w:t>
      </w:r>
      <w:r w:rsidR="001A2CC2" w:rsidRPr="00345388">
        <w:rPr>
          <w:rFonts w:ascii="Times New Roman" w:eastAsia="Malgun Gothic" w:hAnsi="Times New Roman" w:cs="Times New Roman"/>
          <w:sz w:val="24"/>
          <w:szCs w:val="24"/>
        </w:rPr>
        <w:t xml:space="preserve"> body weight</w:t>
      </w:r>
      <w:r w:rsidR="005F434A" w:rsidRPr="00345388">
        <w:rPr>
          <w:rFonts w:ascii="Times New Roman" w:eastAsia="Malgun Gothic" w:hAnsi="Times New Roman" w:cs="Times New Roman"/>
          <w:sz w:val="24"/>
          <w:szCs w:val="24"/>
        </w:rPr>
        <w:t xml:space="preserve"> (&lt;50 kg)</w:t>
      </w:r>
      <w:r w:rsidR="001A2CC2" w:rsidRPr="00345388">
        <w:rPr>
          <w:rFonts w:ascii="Times New Roman" w:eastAsia="Malgun Gothic" w:hAnsi="Times New Roman" w:cs="Times New Roman"/>
          <w:sz w:val="24"/>
          <w:szCs w:val="24"/>
        </w:rPr>
        <w:t xml:space="preserve">. </w:t>
      </w:r>
    </w:p>
    <w:p w14:paraId="309FA6C3" w14:textId="79FCB934" w:rsidR="009B4B2D" w:rsidRPr="00345388" w:rsidRDefault="00D859BB" w:rsidP="00EB0B89">
      <w:pPr>
        <w:spacing w:after="0" w:line="240" w:lineRule="auto"/>
        <w:jc w:val="both"/>
        <w:rPr>
          <w:rFonts w:ascii="Times New Roman" w:hAnsi="Times New Roman" w:cs="Times New Roman"/>
          <w:sz w:val="24"/>
          <w:szCs w:val="24"/>
        </w:rPr>
      </w:pPr>
      <w:r w:rsidRPr="00345388">
        <w:rPr>
          <w:rFonts w:ascii="Times New Roman" w:eastAsia="Malgun Gothic" w:hAnsi="Times New Roman" w:cs="Times New Roman"/>
          <w:b/>
          <w:sz w:val="24"/>
          <w:szCs w:val="24"/>
        </w:rPr>
        <w:t>Objectives:</w:t>
      </w:r>
      <w:r w:rsidR="00B448D8" w:rsidRPr="00345388">
        <w:rPr>
          <w:rFonts w:ascii="Times New Roman" w:eastAsia="Malgun Gothic" w:hAnsi="Times New Roman" w:cs="Times New Roman"/>
          <w:sz w:val="24"/>
          <w:szCs w:val="24"/>
        </w:rPr>
        <w:t xml:space="preserve"> </w:t>
      </w:r>
      <w:r w:rsidR="00FC0F1F" w:rsidRPr="00345388">
        <w:rPr>
          <w:rFonts w:ascii="Times New Roman" w:eastAsia="Malgun Gothic" w:hAnsi="Times New Roman" w:cs="Times New Roman"/>
          <w:sz w:val="24"/>
          <w:szCs w:val="24"/>
        </w:rPr>
        <w:t>To</w:t>
      </w:r>
      <w:r w:rsidR="001A2CC2" w:rsidRPr="00345388">
        <w:rPr>
          <w:rFonts w:ascii="Times New Roman" w:eastAsia="Malgun Gothic" w:hAnsi="Times New Roman" w:cs="Times New Roman"/>
          <w:sz w:val="24"/>
          <w:szCs w:val="24"/>
        </w:rPr>
        <w:t xml:space="preserve"> compare </w:t>
      </w:r>
      <w:r w:rsidR="00573872" w:rsidRPr="00345388">
        <w:rPr>
          <w:rFonts w:ascii="Times New Roman" w:eastAsia="Malgun Gothic" w:hAnsi="Times New Roman" w:cs="Times New Roman"/>
          <w:sz w:val="24"/>
          <w:szCs w:val="24"/>
        </w:rPr>
        <w:t>NOACs</w:t>
      </w:r>
      <w:r w:rsidR="003C65E3" w:rsidRPr="00345388">
        <w:rPr>
          <w:rFonts w:ascii="Times New Roman" w:eastAsia="Malgun Gothic" w:hAnsi="Times New Roman" w:cs="Times New Roman"/>
          <w:sz w:val="24"/>
          <w:szCs w:val="24"/>
        </w:rPr>
        <w:t xml:space="preserve"> </w:t>
      </w:r>
      <w:r w:rsidR="001A2CC2" w:rsidRPr="00345388">
        <w:rPr>
          <w:rFonts w:ascii="Times New Roman" w:eastAsia="Malgun Gothic" w:hAnsi="Times New Roman" w:cs="Times New Roman"/>
          <w:sz w:val="24"/>
          <w:szCs w:val="24"/>
        </w:rPr>
        <w:t xml:space="preserve">with warfarin in </w:t>
      </w:r>
      <w:r w:rsidR="004B6A30" w:rsidRPr="00345388">
        <w:rPr>
          <w:rFonts w:ascii="Times New Roman" w:eastAsia="Malgun Gothic" w:hAnsi="Times New Roman" w:cs="Times New Roman"/>
          <w:sz w:val="24"/>
          <w:szCs w:val="24"/>
        </w:rPr>
        <w:t>AF patients with</w:t>
      </w:r>
      <w:r w:rsidR="001A2CC2" w:rsidRPr="00345388">
        <w:rPr>
          <w:rFonts w:ascii="Times New Roman" w:eastAsia="Malgun Gothic" w:hAnsi="Times New Roman" w:cs="Times New Roman"/>
          <w:sz w:val="24"/>
          <w:szCs w:val="24"/>
        </w:rPr>
        <w:t xml:space="preserve"> low body weight. </w:t>
      </w:r>
    </w:p>
    <w:p w14:paraId="77CD5A15" w14:textId="0BA53B7B" w:rsidR="009B4B2D" w:rsidRPr="00345388" w:rsidRDefault="00573872" w:rsidP="00EB0B89">
      <w:pPr>
        <w:spacing w:after="0" w:line="240" w:lineRule="auto"/>
        <w:jc w:val="both"/>
        <w:rPr>
          <w:rFonts w:ascii="Times New Roman" w:eastAsia="Malgun Gothic" w:hAnsi="Times New Roman" w:cs="Times New Roman"/>
          <w:sz w:val="24"/>
          <w:szCs w:val="24"/>
        </w:rPr>
      </w:pPr>
      <w:r w:rsidRPr="00345388">
        <w:rPr>
          <w:rFonts w:ascii="Times New Roman" w:hAnsi="Times New Roman" w:cs="Times New Roman"/>
          <w:b/>
          <w:sz w:val="24"/>
          <w:szCs w:val="24"/>
        </w:rPr>
        <w:t>Methods:</w:t>
      </w:r>
      <w:r w:rsidR="001A2CC2" w:rsidRPr="00345388">
        <w:rPr>
          <w:rFonts w:ascii="Times New Roman" w:hAnsi="Times New Roman" w:cs="Times New Roman"/>
          <w:sz w:val="24"/>
          <w:szCs w:val="24"/>
        </w:rPr>
        <w:t xml:space="preserve"> Using </w:t>
      </w:r>
      <w:r w:rsidR="00915BAF" w:rsidRPr="00345388">
        <w:rPr>
          <w:rFonts w:ascii="Times New Roman" w:hAnsi="Times New Roman" w:cs="Times New Roman"/>
          <w:sz w:val="24"/>
          <w:szCs w:val="24"/>
        </w:rPr>
        <w:t xml:space="preserve">data from </w:t>
      </w:r>
      <w:r w:rsidR="001A2CC2" w:rsidRPr="00345388">
        <w:rPr>
          <w:rFonts w:ascii="Times New Roman" w:hAnsi="Times New Roman" w:cs="Times New Roman"/>
          <w:sz w:val="24"/>
          <w:szCs w:val="24"/>
        </w:rPr>
        <w:t xml:space="preserve">the Korean National Health Insurance Service database from January 2014 to December 2016, </w:t>
      </w:r>
      <w:r w:rsidR="00FE5521" w:rsidRPr="00345388">
        <w:rPr>
          <w:rFonts w:ascii="Times New Roman" w:hAnsi="Times New Roman" w:cs="Times New Roman"/>
          <w:sz w:val="24"/>
          <w:szCs w:val="24"/>
        </w:rPr>
        <w:t>AF</w:t>
      </w:r>
      <w:r w:rsidR="001A2CC2" w:rsidRPr="00345388">
        <w:rPr>
          <w:rFonts w:ascii="Times New Roman" w:hAnsi="Times New Roman" w:cs="Times New Roman"/>
          <w:sz w:val="24"/>
          <w:szCs w:val="24"/>
        </w:rPr>
        <w:t xml:space="preserve"> patients with body weight </w:t>
      </w:r>
      <w:r w:rsidR="001A2CC2" w:rsidRPr="00345388">
        <w:rPr>
          <w:rFonts w:ascii="Times New Roman" w:eastAsia="Malgun Gothic" w:hAnsi="Times New Roman" w:cs="Times New Roman"/>
          <w:sz w:val="24"/>
          <w:szCs w:val="24"/>
        </w:rPr>
        <w:t>≤60 kg</w:t>
      </w:r>
      <w:r w:rsidR="00FE5521" w:rsidRPr="00345388">
        <w:rPr>
          <w:rFonts w:ascii="Times New Roman" w:eastAsia="Malgun Gothic" w:hAnsi="Times New Roman" w:cs="Times New Roman"/>
          <w:sz w:val="24"/>
          <w:szCs w:val="24"/>
        </w:rPr>
        <w:t xml:space="preserve"> and </w:t>
      </w:r>
      <w:r w:rsidR="001A2CC2" w:rsidRPr="00345388">
        <w:rPr>
          <w:rFonts w:ascii="Times New Roman" w:eastAsia="Malgun Gothic" w:hAnsi="Times New Roman" w:cs="Times New Roman"/>
          <w:sz w:val="24"/>
          <w:szCs w:val="24"/>
        </w:rPr>
        <w:t xml:space="preserve">treated with </w:t>
      </w:r>
      <w:r w:rsidR="00FE5521" w:rsidRPr="00345388">
        <w:rPr>
          <w:rFonts w:ascii="Times New Roman" w:eastAsia="Malgun Gothic" w:hAnsi="Times New Roman" w:cs="Times New Roman"/>
          <w:sz w:val="24"/>
          <w:szCs w:val="24"/>
        </w:rPr>
        <w:t>OAC (</w:t>
      </w:r>
      <w:r w:rsidR="001A2CC2" w:rsidRPr="00345388">
        <w:rPr>
          <w:rFonts w:ascii="Times New Roman" w:eastAsia="Malgun Gothic" w:hAnsi="Times New Roman" w:cs="Times New Roman"/>
          <w:sz w:val="24"/>
          <w:szCs w:val="24"/>
        </w:rPr>
        <w:t>n=14,013</w:t>
      </w:r>
      <w:r w:rsidR="00FE5521" w:rsidRPr="00345388">
        <w:rPr>
          <w:rFonts w:ascii="Times New Roman" w:eastAsia="Malgun Gothic" w:hAnsi="Times New Roman" w:cs="Times New Roman"/>
          <w:sz w:val="24"/>
          <w:szCs w:val="24"/>
        </w:rPr>
        <w:t xml:space="preserve"> taking NOACs</w:t>
      </w:r>
      <w:r w:rsidR="001A2CC2" w:rsidRPr="00345388">
        <w:rPr>
          <w:rFonts w:ascii="Times New Roman" w:eastAsia="Malgun Gothic" w:hAnsi="Times New Roman" w:cs="Times New Roman"/>
          <w:sz w:val="24"/>
          <w:szCs w:val="24"/>
        </w:rPr>
        <w:t xml:space="preserve"> and n=7,576</w:t>
      </w:r>
      <w:r w:rsidR="00FE5521" w:rsidRPr="00345388">
        <w:rPr>
          <w:rFonts w:ascii="Times New Roman" w:eastAsia="Malgun Gothic" w:hAnsi="Times New Roman" w:cs="Times New Roman"/>
          <w:sz w:val="24"/>
          <w:szCs w:val="24"/>
        </w:rPr>
        <w:t xml:space="preserve"> taking warfarin</w:t>
      </w:r>
      <w:r w:rsidR="001A2CC2" w:rsidRPr="00345388">
        <w:rPr>
          <w:rFonts w:ascii="Times New Roman" w:eastAsia="Malgun Gothic" w:hAnsi="Times New Roman" w:cs="Times New Roman"/>
          <w:sz w:val="24"/>
          <w:szCs w:val="24"/>
        </w:rPr>
        <w:t xml:space="preserve">) were </w:t>
      </w:r>
      <w:r w:rsidR="00FE5521" w:rsidRPr="00345388">
        <w:rPr>
          <w:rFonts w:ascii="Times New Roman" w:eastAsia="Malgun Gothic" w:hAnsi="Times New Roman" w:cs="Times New Roman"/>
          <w:sz w:val="24"/>
          <w:szCs w:val="24"/>
        </w:rPr>
        <w:t>included and analyzed ischemic stroke, intracranial hemorrhage (ICH), gastrointestinal bleeding, major bleeding, all-cause death, and composite outcome.</w:t>
      </w:r>
      <w:r w:rsidR="001A2CC2" w:rsidRPr="00345388">
        <w:rPr>
          <w:rFonts w:ascii="Times New Roman" w:eastAsia="Malgun Gothic" w:hAnsi="Times New Roman" w:cs="Times New Roman"/>
          <w:sz w:val="24"/>
          <w:szCs w:val="24"/>
        </w:rPr>
        <w:t xml:space="preserve"> The propensity score weighting was used to balance </w:t>
      </w:r>
      <w:r w:rsidRPr="00345388">
        <w:rPr>
          <w:rFonts w:ascii="Times New Roman" w:eastAsia="Malgun Gothic" w:hAnsi="Times New Roman" w:cs="Times New Roman"/>
          <w:sz w:val="24"/>
          <w:szCs w:val="24"/>
        </w:rPr>
        <w:t>the two groups</w:t>
      </w:r>
      <w:r w:rsidR="001A2CC2" w:rsidRPr="00345388">
        <w:rPr>
          <w:rFonts w:ascii="Times New Roman" w:eastAsia="Malgun Gothic" w:hAnsi="Times New Roman" w:cs="Times New Roman"/>
          <w:sz w:val="24"/>
          <w:szCs w:val="24"/>
        </w:rPr>
        <w:t xml:space="preserve">. </w:t>
      </w:r>
    </w:p>
    <w:p w14:paraId="1C05D044" w14:textId="3935111E" w:rsidR="009B4B2D" w:rsidRPr="00345388" w:rsidRDefault="00573872" w:rsidP="00EB0B89">
      <w:pPr>
        <w:spacing w:after="0" w:line="240" w:lineRule="auto"/>
        <w:jc w:val="both"/>
        <w:rPr>
          <w:rFonts w:ascii="Times New Roman" w:hAnsi="Times New Roman" w:cs="Times New Roman"/>
          <w:sz w:val="24"/>
          <w:szCs w:val="24"/>
        </w:rPr>
      </w:pPr>
      <w:r w:rsidRPr="00345388">
        <w:rPr>
          <w:rFonts w:ascii="Times New Roman" w:hAnsi="Times New Roman" w:cs="Times New Roman"/>
          <w:b/>
          <w:sz w:val="24"/>
          <w:szCs w:val="24"/>
        </w:rPr>
        <w:t>Results:</w:t>
      </w:r>
      <w:r w:rsidR="001A2CC2" w:rsidRPr="00345388">
        <w:rPr>
          <w:rFonts w:ascii="Times New Roman" w:hAnsi="Times New Roman" w:cs="Times New Roman"/>
          <w:sz w:val="24"/>
          <w:szCs w:val="24"/>
        </w:rPr>
        <w:t xml:space="preserve"> Baseline characteristics were well</w:t>
      </w:r>
      <w:r w:rsidR="00AA6690" w:rsidRPr="00345388">
        <w:rPr>
          <w:rFonts w:ascii="Times New Roman" w:hAnsi="Times New Roman" w:cs="Times New Roman"/>
          <w:sz w:val="24"/>
          <w:szCs w:val="24"/>
        </w:rPr>
        <w:t xml:space="preserve"> </w:t>
      </w:r>
      <w:r w:rsidR="001A2CC2" w:rsidRPr="00345388">
        <w:rPr>
          <w:rFonts w:ascii="Times New Roman" w:hAnsi="Times New Roman" w:cs="Times New Roman"/>
          <w:sz w:val="24"/>
          <w:szCs w:val="24"/>
        </w:rPr>
        <w:t>balanced between the two groups (me</w:t>
      </w:r>
      <w:r w:rsidR="001516CD" w:rsidRPr="00345388">
        <w:rPr>
          <w:rFonts w:ascii="Times New Roman" w:hAnsi="Times New Roman" w:cs="Times New Roman"/>
          <w:sz w:val="24"/>
          <w:szCs w:val="24"/>
        </w:rPr>
        <w:t>an</w:t>
      </w:r>
      <w:r w:rsidR="001A2CC2" w:rsidRPr="00345388">
        <w:rPr>
          <w:rFonts w:ascii="Times New Roman" w:hAnsi="Times New Roman" w:cs="Times New Roman"/>
          <w:sz w:val="24"/>
          <w:szCs w:val="24"/>
        </w:rPr>
        <w:t xml:space="preserve"> age 73 years</w:t>
      </w:r>
      <w:r w:rsidR="004B6A30" w:rsidRPr="00345388">
        <w:rPr>
          <w:rFonts w:ascii="Times New Roman" w:hAnsi="Times New Roman" w:cs="Times New Roman"/>
          <w:sz w:val="24"/>
          <w:szCs w:val="24"/>
        </w:rPr>
        <w:t>,</w:t>
      </w:r>
      <w:r w:rsidR="001A2CC2" w:rsidRPr="00345388">
        <w:rPr>
          <w:rFonts w:ascii="Times New Roman" w:hAnsi="Times New Roman" w:cs="Times New Roman"/>
          <w:sz w:val="24"/>
          <w:szCs w:val="24"/>
        </w:rPr>
        <w:t xml:space="preserve"> me</w:t>
      </w:r>
      <w:r w:rsidR="001516CD" w:rsidRPr="00345388">
        <w:rPr>
          <w:rFonts w:ascii="Times New Roman" w:hAnsi="Times New Roman" w:cs="Times New Roman"/>
          <w:sz w:val="24"/>
          <w:szCs w:val="24"/>
        </w:rPr>
        <w:t>an</w:t>
      </w:r>
      <w:r w:rsidR="001A2CC2" w:rsidRPr="00345388">
        <w:rPr>
          <w:rFonts w:ascii="Times New Roman" w:hAnsi="Times New Roman" w:cs="Times New Roman"/>
          <w:sz w:val="24"/>
          <w:szCs w:val="24"/>
        </w:rPr>
        <w:t xml:space="preserve"> CHA</w:t>
      </w:r>
      <w:r w:rsidR="001A2CC2" w:rsidRPr="00345388">
        <w:rPr>
          <w:rFonts w:ascii="Times New Roman" w:hAnsi="Times New Roman" w:cs="Times New Roman"/>
          <w:sz w:val="24"/>
          <w:szCs w:val="24"/>
          <w:vertAlign w:val="subscript"/>
        </w:rPr>
        <w:t>2</w:t>
      </w:r>
      <w:r w:rsidR="001A2CC2" w:rsidRPr="00345388">
        <w:rPr>
          <w:rFonts w:ascii="Times New Roman" w:hAnsi="Times New Roman" w:cs="Times New Roman"/>
          <w:sz w:val="24"/>
          <w:szCs w:val="24"/>
        </w:rPr>
        <w:t>DS</w:t>
      </w:r>
      <w:r w:rsidR="001A2CC2" w:rsidRPr="00345388">
        <w:rPr>
          <w:rFonts w:ascii="Times New Roman" w:hAnsi="Times New Roman" w:cs="Times New Roman"/>
          <w:sz w:val="24"/>
          <w:szCs w:val="24"/>
          <w:vertAlign w:val="subscript"/>
        </w:rPr>
        <w:t>2</w:t>
      </w:r>
      <w:r w:rsidR="001A2CC2" w:rsidRPr="00345388">
        <w:rPr>
          <w:rFonts w:ascii="Times New Roman" w:hAnsi="Times New Roman" w:cs="Times New Roman"/>
          <w:sz w:val="24"/>
          <w:szCs w:val="24"/>
        </w:rPr>
        <w:t>-VASc score 4</w:t>
      </w:r>
      <w:r w:rsidR="004B6A30" w:rsidRPr="00345388">
        <w:rPr>
          <w:rFonts w:ascii="Times New Roman" w:hAnsi="Times New Roman" w:cs="Times New Roman"/>
          <w:sz w:val="24"/>
          <w:szCs w:val="24"/>
        </w:rPr>
        <w:t xml:space="preserve">, and 28% of patients weighed </w:t>
      </w:r>
      <w:r w:rsidR="004B6A30" w:rsidRPr="00345388">
        <w:rPr>
          <w:rFonts w:ascii="Times New Roman" w:eastAsia="Malgun Gothic" w:hAnsi="Times New Roman" w:cs="Times New Roman"/>
          <w:sz w:val="24"/>
          <w:szCs w:val="24"/>
        </w:rPr>
        <w:t>&lt;50 kg</w:t>
      </w:r>
      <w:r w:rsidR="001A2CC2" w:rsidRPr="00345388">
        <w:rPr>
          <w:rFonts w:ascii="Times New Roman" w:hAnsi="Times New Roman" w:cs="Times New Roman"/>
          <w:sz w:val="24"/>
          <w:szCs w:val="24"/>
        </w:rPr>
        <w:t xml:space="preserve">). </w:t>
      </w:r>
      <w:r w:rsidRPr="00345388">
        <w:rPr>
          <w:rFonts w:ascii="Times New Roman" w:hAnsi="Times New Roman" w:cs="Times New Roman"/>
          <w:sz w:val="24"/>
          <w:szCs w:val="24"/>
        </w:rPr>
        <w:t xml:space="preserve">NOACs </w:t>
      </w:r>
      <w:r w:rsidR="00CC6E50" w:rsidRPr="00345388">
        <w:rPr>
          <w:rFonts w:ascii="Times New Roman" w:hAnsi="Times New Roman" w:cs="Times New Roman"/>
          <w:sz w:val="24"/>
          <w:szCs w:val="24"/>
        </w:rPr>
        <w:t>were</w:t>
      </w:r>
      <w:r w:rsidR="006775F8" w:rsidRPr="00345388">
        <w:rPr>
          <w:rFonts w:ascii="Times New Roman" w:hAnsi="Times New Roman" w:cs="Times New Roman"/>
          <w:sz w:val="24"/>
          <w:szCs w:val="24"/>
        </w:rPr>
        <w:t xml:space="preserve"> associated with</w:t>
      </w:r>
      <w:r w:rsidR="00740F89" w:rsidRPr="00345388">
        <w:rPr>
          <w:rFonts w:ascii="Times New Roman" w:hAnsi="Times New Roman" w:cs="Times New Roman"/>
          <w:sz w:val="24"/>
          <w:szCs w:val="24"/>
        </w:rPr>
        <w:t xml:space="preserve"> lower risk</w:t>
      </w:r>
      <w:r w:rsidR="000674B7" w:rsidRPr="00345388">
        <w:rPr>
          <w:rFonts w:ascii="Times New Roman" w:hAnsi="Times New Roman" w:cs="Times New Roman"/>
          <w:sz w:val="24"/>
          <w:szCs w:val="24"/>
        </w:rPr>
        <w:t>s</w:t>
      </w:r>
      <w:r w:rsidR="00740F89" w:rsidRPr="00345388">
        <w:rPr>
          <w:rFonts w:ascii="Times New Roman" w:hAnsi="Times New Roman" w:cs="Times New Roman"/>
          <w:sz w:val="24"/>
          <w:szCs w:val="24"/>
        </w:rPr>
        <w:t xml:space="preserve"> of ischemic stroke (</w:t>
      </w:r>
      <w:r w:rsidR="00FE5521" w:rsidRPr="00345388">
        <w:rPr>
          <w:rFonts w:ascii="Times New Roman" w:hAnsi="Times New Roman" w:cs="Times New Roman"/>
          <w:sz w:val="24"/>
          <w:szCs w:val="24"/>
        </w:rPr>
        <w:t>hazard ratio (</w:t>
      </w:r>
      <w:r w:rsidRPr="00345388">
        <w:rPr>
          <w:rFonts w:ascii="Times New Roman" w:hAnsi="Times New Roman" w:cs="Times New Roman"/>
          <w:sz w:val="24"/>
          <w:szCs w:val="24"/>
        </w:rPr>
        <w:t>HR</w:t>
      </w:r>
      <w:r w:rsidR="00FE5521" w:rsidRPr="00345388">
        <w:rPr>
          <w:rFonts w:ascii="Times New Roman" w:hAnsi="Times New Roman" w:cs="Times New Roman"/>
          <w:sz w:val="24"/>
          <w:szCs w:val="24"/>
        </w:rPr>
        <w:t>)</w:t>
      </w:r>
      <w:r w:rsidR="00740F89" w:rsidRPr="00345388">
        <w:rPr>
          <w:rFonts w:ascii="Times New Roman" w:hAnsi="Times New Roman" w:cs="Times New Roman"/>
          <w:sz w:val="24"/>
          <w:szCs w:val="24"/>
        </w:rPr>
        <w:t xml:space="preserve"> 0.591, 95% confidence interval</w:t>
      </w:r>
      <w:r w:rsidRPr="00345388">
        <w:rPr>
          <w:rFonts w:ascii="Times New Roman" w:hAnsi="Times New Roman" w:cs="Times New Roman"/>
          <w:sz w:val="24"/>
          <w:szCs w:val="24"/>
        </w:rPr>
        <w:t xml:space="preserve"> (CI)</w:t>
      </w:r>
      <w:r w:rsidR="00740F89" w:rsidRPr="00345388">
        <w:rPr>
          <w:rFonts w:ascii="Times New Roman" w:hAnsi="Times New Roman" w:cs="Times New Roman"/>
          <w:sz w:val="24"/>
          <w:szCs w:val="24"/>
        </w:rPr>
        <w:t xml:space="preserve"> 0.510</w:t>
      </w:r>
      <w:r w:rsidR="000674B7" w:rsidRPr="00345388">
        <w:rPr>
          <w:rFonts w:ascii="Times New Roman" w:hAnsi="Times New Roman" w:cs="Times New Roman"/>
          <w:sz w:val="24"/>
          <w:szCs w:val="24"/>
        </w:rPr>
        <w:t>–</w:t>
      </w:r>
      <w:r w:rsidR="00740F89" w:rsidRPr="00345388">
        <w:rPr>
          <w:rFonts w:ascii="Times New Roman" w:hAnsi="Times New Roman" w:cs="Times New Roman"/>
          <w:sz w:val="24"/>
          <w:szCs w:val="24"/>
        </w:rPr>
        <w:t>0.686)</w:t>
      </w:r>
      <w:r w:rsidR="004B6A30" w:rsidRPr="00345388">
        <w:rPr>
          <w:rFonts w:ascii="Times New Roman" w:hAnsi="Times New Roman" w:cs="Times New Roman"/>
          <w:sz w:val="24"/>
          <w:szCs w:val="24"/>
        </w:rPr>
        <w:t xml:space="preserve"> and</w:t>
      </w:r>
      <w:r w:rsidR="00740F89" w:rsidRPr="00345388">
        <w:rPr>
          <w:rFonts w:ascii="Times New Roman" w:hAnsi="Times New Roman" w:cs="Times New Roman"/>
          <w:sz w:val="24"/>
          <w:szCs w:val="24"/>
        </w:rPr>
        <w:t xml:space="preserve"> major bleeding (</w:t>
      </w:r>
      <w:r w:rsidRPr="00345388">
        <w:rPr>
          <w:rFonts w:ascii="Times New Roman" w:hAnsi="Times New Roman" w:cs="Times New Roman"/>
          <w:sz w:val="24"/>
          <w:szCs w:val="24"/>
        </w:rPr>
        <w:t>HR</w:t>
      </w:r>
      <w:r w:rsidR="00740F89" w:rsidRPr="00345388">
        <w:rPr>
          <w:rFonts w:ascii="Times New Roman" w:hAnsi="Times New Roman" w:cs="Times New Roman"/>
          <w:sz w:val="24"/>
          <w:szCs w:val="24"/>
        </w:rPr>
        <w:t xml:space="preserve"> 0.705, 95% </w:t>
      </w:r>
      <w:r w:rsidRPr="00345388">
        <w:rPr>
          <w:rFonts w:ascii="Times New Roman" w:hAnsi="Times New Roman" w:cs="Times New Roman"/>
          <w:sz w:val="24"/>
          <w:szCs w:val="24"/>
        </w:rPr>
        <w:t>CI</w:t>
      </w:r>
      <w:r w:rsidR="00740F89" w:rsidRPr="00345388">
        <w:rPr>
          <w:rFonts w:ascii="Times New Roman" w:hAnsi="Times New Roman" w:cs="Times New Roman"/>
          <w:sz w:val="24"/>
          <w:szCs w:val="24"/>
        </w:rPr>
        <w:t xml:space="preserve"> 0.601</w:t>
      </w:r>
      <w:r w:rsidR="000674B7" w:rsidRPr="00345388">
        <w:rPr>
          <w:rFonts w:ascii="Times New Roman" w:hAnsi="Times New Roman" w:cs="Times New Roman"/>
          <w:sz w:val="24"/>
          <w:szCs w:val="24"/>
        </w:rPr>
        <w:t>–</w:t>
      </w:r>
      <w:r w:rsidR="00740F89" w:rsidRPr="00345388">
        <w:rPr>
          <w:rFonts w:ascii="Times New Roman" w:hAnsi="Times New Roman" w:cs="Times New Roman"/>
          <w:sz w:val="24"/>
          <w:szCs w:val="24"/>
        </w:rPr>
        <w:t>0.825</w:t>
      </w:r>
      <w:r w:rsidR="00CC6E50" w:rsidRPr="00345388">
        <w:rPr>
          <w:rFonts w:ascii="Times New Roman" w:hAnsi="Times New Roman" w:cs="Times New Roman"/>
          <w:sz w:val="24"/>
          <w:szCs w:val="24"/>
        </w:rPr>
        <w:t>)</w:t>
      </w:r>
      <w:r w:rsidR="0094558C" w:rsidRPr="00345388">
        <w:rPr>
          <w:rFonts w:ascii="Times New Roman" w:hAnsi="Times New Roman" w:cs="Times New Roman"/>
          <w:sz w:val="24"/>
          <w:szCs w:val="24"/>
        </w:rPr>
        <w:t>,</w:t>
      </w:r>
      <w:r w:rsidR="006775F8" w:rsidRPr="00345388">
        <w:rPr>
          <w:rFonts w:ascii="Times New Roman" w:hAnsi="Times New Roman" w:cs="Times New Roman"/>
          <w:sz w:val="24"/>
          <w:szCs w:val="24"/>
        </w:rPr>
        <w:t xml:space="preserve"> </w:t>
      </w:r>
      <w:r w:rsidR="000674B7" w:rsidRPr="00345388">
        <w:rPr>
          <w:rFonts w:ascii="Times New Roman" w:hAnsi="Times New Roman" w:cs="Times New Roman"/>
          <w:sz w:val="24"/>
          <w:szCs w:val="24"/>
        </w:rPr>
        <w:t xml:space="preserve">induced </w:t>
      </w:r>
      <w:r w:rsidR="006775F8" w:rsidRPr="00345388">
        <w:rPr>
          <w:rFonts w:ascii="Times New Roman" w:hAnsi="Times New Roman" w:cs="Times New Roman"/>
          <w:sz w:val="24"/>
          <w:szCs w:val="24"/>
        </w:rPr>
        <w:t>by a</w:t>
      </w:r>
      <w:r w:rsidR="00740F89" w:rsidRPr="00345388">
        <w:rPr>
          <w:rFonts w:ascii="Times New Roman" w:hAnsi="Times New Roman" w:cs="Times New Roman"/>
          <w:sz w:val="24"/>
          <w:szCs w:val="24"/>
        </w:rPr>
        <w:t xml:space="preserve"> reduction in </w:t>
      </w:r>
      <w:r w:rsidRPr="00345388">
        <w:rPr>
          <w:rFonts w:ascii="Times New Roman" w:hAnsi="Times New Roman" w:cs="Times New Roman"/>
          <w:sz w:val="24"/>
          <w:szCs w:val="24"/>
        </w:rPr>
        <w:t>ICH</w:t>
      </w:r>
      <w:r w:rsidR="00000CF3" w:rsidRPr="00345388">
        <w:rPr>
          <w:rFonts w:ascii="Times New Roman" w:hAnsi="Times New Roman" w:cs="Times New Roman"/>
          <w:sz w:val="24"/>
          <w:szCs w:val="24"/>
        </w:rPr>
        <w:t xml:space="preserve"> </w:t>
      </w:r>
      <w:r w:rsidR="00740F89" w:rsidRPr="00345388">
        <w:rPr>
          <w:rFonts w:ascii="Times New Roman" w:hAnsi="Times New Roman" w:cs="Times New Roman"/>
          <w:sz w:val="24"/>
          <w:szCs w:val="24"/>
        </w:rPr>
        <w:t>(</w:t>
      </w:r>
      <w:r w:rsidRPr="00345388">
        <w:rPr>
          <w:rFonts w:ascii="Times New Roman" w:hAnsi="Times New Roman" w:cs="Times New Roman"/>
          <w:sz w:val="24"/>
          <w:szCs w:val="24"/>
        </w:rPr>
        <w:t xml:space="preserve">HR </w:t>
      </w:r>
      <w:r w:rsidR="00740F89" w:rsidRPr="00345388">
        <w:rPr>
          <w:rFonts w:ascii="Times New Roman" w:hAnsi="Times New Roman" w:cs="Times New Roman"/>
          <w:sz w:val="24"/>
          <w:szCs w:val="24"/>
        </w:rPr>
        <w:t>0.554,</w:t>
      </w:r>
      <w:r w:rsidR="006775F8" w:rsidRPr="00345388">
        <w:rPr>
          <w:rFonts w:ascii="Times New Roman" w:hAnsi="Times New Roman" w:cs="Times New Roman"/>
          <w:sz w:val="24"/>
          <w:szCs w:val="24"/>
        </w:rPr>
        <w:t xml:space="preserve"> 95% </w:t>
      </w:r>
      <w:r w:rsidRPr="00345388">
        <w:rPr>
          <w:rFonts w:ascii="Times New Roman" w:hAnsi="Times New Roman" w:cs="Times New Roman"/>
          <w:sz w:val="24"/>
          <w:szCs w:val="24"/>
        </w:rPr>
        <w:t>CI</w:t>
      </w:r>
      <w:r w:rsidR="006775F8" w:rsidRPr="00345388">
        <w:rPr>
          <w:rFonts w:ascii="Times New Roman" w:hAnsi="Times New Roman" w:cs="Times New Roman"/>
          <w:sz w:val="24"/>
          <w:szCs w:val="24"/>
        </w:rPr>
        <w:t xml:space="preserve"> 0.429</w:t>
      </w:r>
      <w:r w:rsidR="000674B7" w:rsidRPr="00345388">
        <w:rPr>
          <w:rFonts w:ascii="Times New Roman" w:hAnsi="Times New Roman" w:cs="Times New Roman"/>
          <w:sz w:val="24"/>
          <w:szCs w:val="24"/>
        </w:rPr>
        <w:t>–</w:t>
      </w:r>
      <w:r w:rsidR="006775F8" w:rsidRPr="00345388">
        <w:rPr>
          <w:rFonts w:ascii="Times New Roman" w:hAnsi="Times New Roman" w:cs="Times New Roman"/>
          <w:sz w:val="24"/>
          <w:szCs w:val="24"/>
        </w:rPr>
        <w:t>0.713)</w:t>
      </w:r>
      <w:r w:rsidR="00665DFA" w:rsidRPr="00345388">
        <w:rPr>
          <w:rFonts w:ascii="Times New Roman" w:hAnsi="Times New Roman" w:cs="Times New Roman"/>
          <w:sz w:val="24"/>
          <w:szCs w:val="24"/>
        </w:rPr>
        <w:t xml:space="preserve"> than warfarin</w:t>
      </w:r>
      <w:r w:rsidR="004B6A30" w:rsidRPr="00345388">
        <w:rPr>
          <w:rFonts w:ascii="Times New Roman" w:hAnsi="Times New Roman" w:cs="Times New Roman"/>
          <w:sz w:val="24"/>
          <w:szCs w:val="24"/>
        </w:rPr>
        <w:t xml:space="preserve">. </w:t>
      </w:r>
      <w:r w:rsidRPr="00345388">
        <w:rPr>
          <w:rFonts w:ascii="Times New Roman" w:hAnsi="Times New Roman" w:cs="Times New Roman"/>
          <w:sz w:val="24"/>
          <w:szCs w:val="24"/>
        </w:rPr>
        <w:t>NOAC</w:t>
      </w:r>
      <w:r w:rsidR="003C65E3" w:rsidRPr="00345388">
        <w:rPr>
          <w:rFonts w:ascii="Times New Roman" w:hAnsi="Times New Roman" w:cs="Times New Roman"/>
          <w:sz w:val="24"/>
          <w:szCs w:val="24"/>
        </w:rPr>
        <w:t xml:space="preserve"> </w:t>
      </w:r>
      <w:r w:rsidR="006775F8" w:rsidRPr="00345388">
        <w:rPr>
          <w:rFonts w:ascii="Times New Roman" w:hAnsi="Times New Roman" w:cs="Times New Roman"/>
          <w:sz w:val="24"/>
          <w:szCs w:val="24"/>
        </w:rPr>
        <w:t>improved</w:t>
      </w:r>
      <w:r w:rsidR="00740F89" w:rsidRPr="00345388">
        <w:rPr>
          <w:rFonts w:ascii="Times New Roman" w:hAnsi="Times New Roman" w:cs="Times New Roman"/>
          <w:sz w:val="24"/>
          <w:szCs w:val="24"/>
        </w:rPr>
        <w:t xml:space="preserve"> net clinical benefit compared to warfarin (</w:t>
      </w:r>
      <w:r w:rsidRPr="00345388">
        <w:rPr>
          <w:rFonts w:ascii="Times New Roman" w:hAnsi="Times New Roman" w:cs="Times New Roman"/>
          <w:sz w:val="24"/>
          <w:szCs w:val="24"/>
        </w:rPr>
        <w:t>HR</w:t>
      </w:r>
      <w:r w:rsidR="00740F89" w:rsidRPr="00345388">
        <w:rPr>
          <w:rFonts w:ascii="Times New Roman" w:hAnsi="Times New Roman" w:cs="Times New Roman"/>
          <w:sz w:val="24"/>
          <w:szCs w:val="24"/>
        </w:rPr>
        <w:t xml:space="preserve"> for composite outcome 0.660, 95% </w:t>
      </w:r>
      <w:r w:rsidRPr="00345388">
        <w:rPr>
          <w:rFonts w:ascii="Times New Roman" w:hAnsi="Times New Roman" w:cs="Times New Roman"/>
          <w:sz w:val="24"/>
          <w:szCs w:val="24"/>
        </w:rPr>
        <w:t>CI</w:t>
      </w:r>
      <w:r w:rsidR="00740F89" w:rsidRPr="00345388">
        <w:rPr>
          <w:rFonts w:ascii="Times New Roman" w:hAnsi="Times New Roman" w:cs="Times New Roman"/>
          <w:sz w:val="24"/>
          <w:szCs w:val="24"/>
        </w:rPr>
        <w:t xml:space="preserve"> 0.606-0.717)</w:t>
      </w:r>
      <w:r w:rsidR="00FE5521" w:rsidRPr="00345388">
        <w:rPr>
          <w:rFonts w:ascii="Times New Roman" w:hAnsi="Times New Roman" w:cs="Times New Roman"/>
          <w:sz w:val="24"/>
          <w:szCs w:val="24"/>
        </w:rPr>
        <w:t xml:space="preserve">, and this was </w:t>
      </w:r>
      <w:r w:rsidR="004B6A30" w:rsidRPr="00345388">
        <w:rPr>
          <w:rFonts w:ascii="Times New Roman" w:hAnsi="Times New Roman" w:cs="Times New Roman"/>
          <w:sz w:val="24"/>
          <w:szCs w:val="24"/>
        </w:rPr>
        <w:t>consistent</w:t>
      </w:r>
      <w:r w:rsidR="00FE5521" w:rsidRPr="00345388">
        <w:rPr>
          <w:rFonts w:ascii="Times New Roman" w:hAnsi="Times New Roman" w:cs="Times New Roman"/>
          <w:sz w:val="24"/>
          <w:szCs w:val="24"/>
        </w:rPr>
        <w:t xml:space="preserve"> in patients weighed &lt;50 kg</w:t>
      </w:r>
      <w:r w:rsidR="004B6A30" w:rsidRPr="00345388">
        <w:rPr>
          <w:rFonts w:ascii="Times New Roman" w:hAnsi="Times New Roman" w:cs="Times New Roman"/>
          <w:sz w:val="24"/>
          <w:szCs w:val="24"/>
        </w:rPr>
        <w:t xml:space="preserve"> (HR for composite outcome 0.665, 95% CI 0.581-0.762)</w:t>
      </w:r>
      <w:r w:rsidR="00FE5521" w:rsidRPr="00345388">
        <w:rPr>
          <w:rFonts w:ascii="Times New Roman" w:hAnsi="Times New Roman" w:cs="Times New Roman"/>
          <w:sz w:val="24"/>
          <w:szCs w:val="24"/>
        </w:rPr>
        <w:t xml:space="preserve">. </w:t>
      </w:r>
    </w:p>
    <w:p w14:paraId="78BE51C1" w14:textId="633ADF38" w:rsidR="002C455A" w:rsidRPr="00345388" w:rsidRDefault="006224DB" w:rsidP="00EB0B89">
      <w:pPr>
        <w:spacing w:after="0" w:line="240" w:lineRule="auto"/>
        <w:jc w:val="both"/>
        <w:rPr>
          <w:rFonts w:ascii="Times New Roman" w:hAnsi="Times New Roman" w:cs="Times New Roman"/>
          <w:sz w:val="24"/>
          <w:szCs w:val="24"/>
        </w:rPr>
      </w:pPr>
      <w:bookmarkStart w:id="1" w:name="_Hlk528729117"/>
      <w:r w:rsidRPr="00345388">
        <w:rPr>
          <w:rFonts w:ascii="Times New Roman" w:hAnsi="Times New Roman" w:cs="Times New Roman"/>
          <w:b/>
          <w:sz w:val="24"/>
          <w:szCs w:val="24"/>
        </w:rPr>
        <w:t xml:space="preserve">Conclusion: </w:t>
      </w:r>
      <w:r w:rsidRPr="00345388">
        <w:rPr>
          <w:rFonts w:ascii="Times New Roman" w:hAnsi="Times New Roman" w:cs="Times New Roman"/>
          <w:sz w:val="24"/>
          <w:szCs w:val="24"/>
        </w:rPr>
        <w:t>In this real-world Asian AF population with low body weight, NOACs showed better effectiveness and safety than warfarin. These results were consistent in patients with extremely low body weight.</w:t>
      </w:r>
      <w:bookmarkEnd w:id="1"/>
      <w:r w:rsidRPr="00345388">
        <w:rPr>
          <w:rFonts w:ascii="Times New Roman" w:hAnsi="Times New Roman" w:cs="Times New Roman"/>
          <w:sz w:val="24"/>
          <w:szCs w:val="24"/>
        </w:rPr>
        <w:t xml:space="preserve"> Regular dose of NOACs showed comparable results as reduced dose of NOACs in both effectiveness and safety.</w:t>
      </w:r>
    </w:p>
    <w:p w14:paraId="524C5F0F" w14:textId="0CE9BE99" w:rsidR="006224DB" w:rsidRPr="00345388" w:rsidRDefault="006224DB" w:rsidP="00EB0B89">
      <w:pPr>
        <w:spacing w:after="0" w:line="240" w:lineRule="auto"/>
        <w:jc w:val="both"/>
        <w:rPr>
          <w:rFonts w:ascii="Times New Roman" w:hAnsi="Times New Roman" w:cs="Times New Roman"/>
          <w:sz w:val="24"/>
          <w:szCs w:val="24"/>
        </w:rPr>
      </w:pPr>
    </w:p>
    <w:p w14:paraId="70DE26DD" w14:textId="37D2C1D6" w:rsidR="002C455A" w:rsidRPr="00345388" w:rsidRDefault="002C455A" w:rsidP="00EB0B89">
      <w:pPr>
        <w:spacing w:after="0" w:line="240" w:lineRule="auto"/>
        <w:jc w:val="both"/>
        <w:rPr>
          <w:rFonts w:ascii="Times New Roman" w:hAnsi="Times New Roman" w:cs="Times New Roman"/>
          <w:b/>
          <w:sz w:val="24"/>
          <w:szCs w:val="24"/>
        </w:rPr>
      </w:pPr>
      <w:r w:rsidRPr="00345388">
        <w:rPr>
          <w:rFonts w:ascii="Times New Roman" w:hAnsi="Times New Roman" w:cs="Times New Roman"/>
          <w:b/>
          <w:sz w:val="24"/>
          <w:szCs w:val="24"/>
        </w:rPr>
        <w:t>Condensed Abstract</w:t>
      </w:r>
    </w:p>
    <w:p w14:paraId="70C729F3" w14:textId="1398CED3" w:rsidR="002C455A" w:rsidRPr="00345388" w:rsidRDefault="006224DB" w:rsidP="00EB0B89">
      <w:pPr>
        <w:spacing w:after="0" w:line="240" w:lineRule="auto"/>
        <w:jc w:val="both"/>
        <w:rPr>
          <w:rFonts w:ascii="Times New Roman" w:hAnsi="Times New Roman" w:cs="Times New Roman"/>
          <w:sz w:val="24"/>
          <w:szCs w:val="24"/>
        </w:rPr>
      </w:pPr>
      <w:bookmarkStart w:id="2" w:name="_Hlk528729150"/>
      <w:r w:rsidRPr="00345388">
        <w:rPr>
          <w:rFonts w:ascii="Times New Roman" w:hAnsi="Times New Roman" w:cs="Times New Roman"/>
          <w:sz w:val="24"/>
          <w:szCs w:val="24"/>
        </w:rPr>
        <w:t>We compared NOACs with warfarin in AF patients with low body weight (≤60 kg) (n=14,013 taking NOACs and n=7,576 taking warfarin). In this real-world Asian AF population with low body weight, NOAC was associated with lower risks of ischemic stroke, major bleeding, and all-cause death than warfarin. These results were consistently observed in patients with extremely low body weight (&lt;50 kg). Both regular and reduced doses of NOACs had an improved net clinical benefit compared to warfarin; regular dose of NOACs showed comparable results as reduced dose NOACs in both effectiveness and safety.</w:t>
      </w:r>
      <w:bookmarkEnd w:id="2"/>
    </w:p>
    <w:p w14:paraId="68432893" w14:textId="77777777" w:rsidR="006224DB" w:rsidRPr="00345388" w:rsidRDefault="006224DB" w:rsidP="00EB0B89">
      <w:pPr>
        <w:spacing w:after="0" w:line="240" w:lineRule="auto"/>
        <w:jc w:val="both"/>
        <w:rPr>
          <w:rFonts w:ascii="Times New Roman" w:hAnsi="Times New Roman" w:cs="Times New Roman"/>
          <w:sz w:val="24"/>
          <w:szCs w:val="24"/>
        </w:rPr>
      </w:pPr>
    </w:p>
    <w:p w14:paraId="0D11D552" w14:textId="5BE66481" w:rsidR="002C455A" w:rsidRPr="00345388" w:rsidRDefault="002C455A" w:rsidP="00EB0B89">
      <w:pPr>
        <w:spacing w:after="0" w:line="240" w:lineRule="auto"/>
        <w:jc w:val="both"/>
        <w:rPr>
          <w:rFonts w:ascii="Times New Roman" w:hAnsi="Times New Roman" w:cs="Times New Roman"/>
          <w:sz w:val="24"/>
          <w:szCs w:val="24"/>
        </w:rPr>
      </w:pPr>
      <w:r w:rsidRPr="00345388">
        <w:rPr>
          <w:rFonts w:ascii="Times New Roman" w:hAnsi="Times New Roman" w:cs="Times New Roman"/>
          <w:b/>
          <w:sz w:val="24"/>
          <w:szCs w:val="24"/>
        </w:rPr>
        <w:t>Keywords:</w:t>
      </w:r>
      <w:r w:rsidRPr="00345388">
        <w:rPr>
          <w:rFonts w:ascii="Times New Roman" w:hAnsi="Times New Roman" w:cs="Times New Roman"/>
          <w:sz w:val="24"/>
          <w:szCs w:val="24"/>
        </w:rPr>
        <w:t xml:space="preserve"> Atrial fibrillation, non-vitamin K antagonist oral anticoagulants, warfarin, low body weight</w:t>
      </w:r>
    </w:p>
    <w:p w14:paraId="30AA82B4" w14:textId="18650511" w:rsidR="002C455A" w:rsidRPr="00345388" w:rsidRDefault="002C455A" w:rsidP="00EB0B89">
      <w:pPr>
        <w:spacing w:after="0" w:line="240" w:lineRule="auto"/>
        <w:jc w:val="both"/>
        <w:rPr>
          <w:rFonts w:ascii="Times New Roman" w:hAnsi="Times New Roman" w:cs="Times New Roman"/>
          <w:sz w:val="24"/>
          <w:szCs w:val="24"/>
        </w:rPr>
      </w:pPr>
    </w:p>
    <w:p w14:paraId="76801033" w14:textId="2DA43E6E" w:rsidR="002C455A" w:rsidRPr="00345388" w:rsidRDefault="002C455A" w:rsidP="00EB0B89">
      <w:pPr>
        <w:spacing w:after="0" w:line="240" w:lineRule="auto"/>
        <w:rPr>
          <w:rFonts w:ascii="Times New Roman" w:hAnsi="Times New Roman" w:cs="Times New Roman"/>
          <w:b/>
          <w:sz w:val="24"/>
          <w:szCs w:val="24"/>
        </w:rPr>
      </w:pPr>
      <w:r w:rsidRPr="00345388">
        <w:rPr>
          <w:rFonts w:ascii="Times New Roman" w:hAnsi="Times New Roman" w:cs="Times New Roman"/>
          <w:b/>
          <w:sz w:val="24"/>
          <w:szCs w:val="24"/>
        </w:rPr>
        <w:t>ABBREVIATIONS and ACRONYMS</w:t>
      </w:r>
    </w:p>
    <w:p w14:paraId="48508C54" w14:textId="0165459F" w:rsidR="002C455A" w:rsidRPr="00345388" w:rsidRDefault="002C455A" w:rsidP="00EB0B89">
      <w:pPr>
        <w:spacing w:after="0" w:line="240" w:lineRule="auto"/>
        <w:jc w:val="both"/>
        <w:rPr>
          <w:rFonts w:ascii="Times New Roman" w:hAnsi="Times New Roman" w:cs="Times New Roman"/>
          <w:sz w:val="24"/>
          <w:szCs w:val="24"/>
        </w:rPr>
      </w:pPr>
      <w:r w:rsidRPr="00345388">
        <w:rPr>
          <w:rFonts w:ascii="Times New Roman" w:hAnsi="Times New Roman" w:cs="Times New Roman"/>
          <w:sz w:val="24"/>
          <w:szCs w:val="24"/>
        </w:rPr>
        <w:t>AF = atrial fibrillation</w:t>
      </w:r>
    </w:p>
    <w:p w14:paraId="252CA7D3" w14:textId="347EFB16" w:rsidR="002C455A" w:rsidRPr="00345388" w:rsidRDefault="002C455A" w:rsidP="00EB0B89">
      <w:pPr>
        <w:spacing w:after="0" w:line="240" w:lineRule="auto"/>
        <w:jc w:val="both"/>
        <w:rPr>
          <w:rFonts w:ascii="Times New Roman" w:hAnsi="Times New Roman" w:cs="Times New Roman"/>
          <w:sz w:val="24"/>
          <w:szCs w:val="24"/>
        </w:rPr>
      </w:pPr>
      <w:r w:rsidRPr="00345388">
        <w:rPr>
          <w:rFonts w:ascii="Times New Roman" w:hAnsi="Times New Roman" w:cs="Times New Roman"/>
          <w:sz w:val="24"/>
          <w:szCs w:val="24"/>
        </w:rPr>
        <w:t>ASD = absolute standardized difference</w:t>
      </w:r>
    </w:p>
    <w:p w14:paraId="067356DC" w14:textId="237A4A50" w:rsidR="002C455A" w:rsidRPr="00345388" w:rsidRDefault="002C455A" w:rsidP="00EB0B89">
      <w:pPr>
        <w:spacing w:after="0" w:line="240" w:lineRule="auto"/>
        <w:jc w:val="both"/>
        <w:rPr>
          <w:rFonts w:ascii="Times New Roman" w:hAnsi="Times New Roman" w:cs="Times New Roman"/>
          <w:sz w:val="24"/>
          <w:szCs w:val="24"/>
        </w:rPr>
      </w:pPr>
      <w:r w:rsidRPr="00345388">
        <w:rPr>
          <w:rFonts w:ascii="Times New Roman" w:hAnsi="Times New Roman" w:cs="Times New Roman"/>
          <w:sz w:val="24"/>
          <w:szCs w:val="24"/>
        </w:rPr>
        <w:t>CI = confidence interval</w:t>
      </w:r>
    </w:p>
    <w:p w14:paraId="4B25F2D6" w14:textId="6792C0B3" w:rsidR="002C455A" w:rsidRPr="00345388" w:rsidRDefault="002C455A" w:rsidP="00EB0B89">
      <w:pPr>
        <w:spacing w:after="0" w:line="240" w:lineRule="auto"/>
        <w:jc w:val="both"/>
        <w:rPr>
          <w:rFonts w:ascii="Times New Roman" w:hAnsi="Times New Roman" w:cs="Times New Roman"/>
          <w:sz w:val="24"/>
          <w:szCs w:val="24"/>
        </w:rPr>
      </w:pPr>
      <w:r w:rsidRPr="00345388">
        <w:rPr>
          <w:rFonts w:ascii="Times New Roman" w:hAnsi="Times New Roman" w:cs="Times New Roman"/>
          <w:sz w:val="24"/>
          <w:szCs w:val="24"/>
        </w:rPr>
        <w:t>CrCl = creatinine clearance</w:t>
      </w:r>
    </w:p>
    <w:p w14:paraId="03F78167" w14:textId="1AE36962" w:rsidR="002C455A" w:rsidRPr="00345388" w:rsidRDefault="002C455A" w:rsidP="00EB0B89">
      <w:pPr>
        <w:spacing w:after="0" w:line="240" w:lineRule="auto"/>
        <w:jc w:val="both"/>
        <w:rPr>
          <w:rFonts w:ascii="Times New Roman" w:hAnsi="Times New Roman" w:cs="Times New Roman"/>
          <w:sz w:val="24"/>
          <w:szCs w:val="24"/>
        </w:rPr>
      </w:pPr>
      <w:r w:rsidRPr="00345388">
        <w:rPr>
          <w:rFonts w:ascii="Times New Roman" w:hAnsi="Times New Roman" w:cs="Times New Roman"/>
          <w:sz w:val="24"/>
          <w:szCs w:val="24"/>
        </w:rPr>
        <w:t>GI = gastrointestinal</w:t>
      </w:r>
    </w:p>
    <w:p w14:paraId="214E91F8" w14:textId="7C29D662" w:rsidR="002C455A" w:rsidRPr="00345388" w:rsidRDefault="002C455A" w:rsidP="00EB0B89">
      <w:pPr>
        <w:spacing w:after="0" w:line="240" w:lineRule="auto"/>
        <w:jc w:val="both"/>
        <w:rPr>
          <w:rFonts w:ascii="Times New Roman" w:hAnsi="Times New Roman" w:cs="Times New Roman"/>
          <w:sz w:val="24"/>
          <w:szCs w:val="24"/>
        </w:rPr>
      </w:pPr>
      <w:r w:rsidRPr="00345388">
        <w:rPr>
          <w:rFonts w:ascii="Times New Roman" w:hAnsi="Times New Roman" w:cs="Times New Roman"/>
          <w:sz w:val="24"/>
          <w:szCs w:val="24"/>
        </w:rPr>
        <w:t>HR = hazard ratio</w:t>
      </w:r>
    </w:p>
    <w:p w14:paraId="6C126923" w14:textId="244CE2A2" w:rsidR="002C455A" w:rsidRPr="00345388" w:rsidRDefault="002C455A" w:rsidP="00EB0B89">
      <w:pPr>
        <w:spacing w:after="0" w:line="240" w:lineRule="auto"/>
        <w:jc w:val="both"/>
        <w:rPr>
          <w:rFonts w:ascii="Times New Roman" w:hAnsi="Times New Roman" w:cs="Times New Roman"/>
          <w:sz w:val="24"/>
          <w:szCs w:val="24"/>
        </w:rPr>
      </w:pPr>
      <w:r w:rsidRPr="00345388">
        <w:rPr>
          <w:rFonts w:ascii="Times New Roman" w:hAnsi="Times New Roman" w:cs="Times New Roman"/>
          <w:sz w:val="24"/>
          <w:szCs w:val="24"/>
        </w:rPr>
        <w:t>ICH = intracranial hemorrhage</w:t>
      </w:r>
    </w:p>
    <w:p w14:paraId="042E22E6" w14:textId="1FC5512D" w:rsidR="002C455A" w:rsidRPr="00345388" w:rsidRDefault="002C455A" w:rsidP="00EB0B89">
      <w:pPr>
        <w:spacing w:after="0" w:line="240" w:lineRule="auto"/>
        <w:jc w:val="both"/>
        <w:rPr>
          <w:rFonts w:ascii="Times New Roman" w:hAnsi="Times New Roman" w:cs="Times New Roman"/>
          <w:sz w:val="24"/>
          <w:szCs w:val="24"/>
        </w:rPr>
      </w:pPr>
      <w:r w:rsidRPr="00345388">
        <w:rPr>
          <w:rFonts w:ascii="Times New Roman" w:hAnsi="Times New Roman" w:cs="Times New Roman"/>
          <w:sz w:val="24"/>
          <w:szCs w:val="24"/>
        </w:rPr>
        <w:t>NHIS = National Health Insurance System</w:t>
      </w:r>
    </w:p>
    <w:p w14:paraId="6FC7E411" w14:textId="5A88761F" w:rsidR="002C455A" w:rsidRPr="00345388" w:rsidRDefault="002C455A" w:rsidP="00EB0B89">
      <w:pPr>
        <w:spacing w:after="0" w:line="240" w:lineRule="auto"/>
        <w:jc w:val="both"/>
        <w:rPr>
          <w:rFonts w:ascii="Times New Roman" w:hAnsi="Times New Roman" w:cs="Times New Roman"/>
          <w:sz w:val="24"/>
          <w:szCs w:val="24"/>
        </w:rPr>
      </w:pPr>
      <w:r w:rsidRPr="00345388">
        <w:rPr>
          <w:rFonts w:ascii="Times New Roman" w:hAnsi="Times New Roman" w:cs="Times New Roman"/>
          <w:sz w:val="24"/>
          <w:szCs w:val="24"/>
        </w:rPr>
        <w:t>NOAC = non-vitamin K antagonist oral anticoagulant</w:t>
      </w:r>
    </w:p>
    <w:p w14:paraId="40285F59" w14:textId="07ECB025" w:rsidR="002C455A" w:rsidRPr="00345388" w:rsidRDefault="002C455A" w:rsidP="00EB0B89">
      <w:pPr>
        <w:spacing w:after="0" w:line="240" w:lineRule="auto"/>
        <w:jc w:val="both"/>
        <w:rPr>
          <w:rFonts w:ascii="Times New Roman" w:hAnsi="Times New Roman" w:cs="Times New Roman"/>
          <w:sz w:val="24"/>
          <w:szCs w:val="24"/>
        </w:rPr>
      </w:pPr>
      <w:r w:rsidRPr="00345388">
        <w:rPr>
          <w:rFonts w:ascii="Times New Roman" w:hAnsi="Times New Roman" w:cs="Times New Roman"/>
          <w:sz w:val="24"/>
          <w:szCs w:val="24"/>
        </w:rPr>
        <w:lastRenderedPageBreak/>
        <w:t>OAC = oral anticoagulant</w:t>
      </w:r>
    </w:p>
    <w:p w14:paraId="3FC1547A" w14:textId="10FBDDAD" w:rsidR="002C455A" w:rsidRPr="00345388" w:rsidRDefault="002C455A" w:rsidP="002C455A">
      <w:pPr>
        <w:spacing w:line="240" w:lineRule="auto"/>
        <w:rPr>
          <w:rFonts w:ascii="Times New Roman" w:hAnsi="Times New Roman" w:cs="Times New Roman"/>
          <w:b/>
          <w:sz w:val="24"/>
          <w:szCs w:val="24"/>
        </w:rPr>
      </w:pPr>
    </w:p>
    <w:p w14:paraId="2133DEBB" w14:textId="574651EA" w:rsidR="009B4B2D" w:rsidRPr="00345388" w:rsidRDefault="005A3A85"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t>Introduction</w:t>
      </w:r>
    </w:p>
    <w:p w14:paraId="59328CD4" w14:textId="2C9555B8" w:rsidR="00E77D2B" w:rsidRPr="00345388" w:rsidRDefault="00082C4B"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Oral anticoagulation (OAC) therapy is the most fundamental treatment for patients with atrial fibrillation</w:t>
      </w:r>
      <w:r w:rsidR="0025708D" w:rsidRPr="00345388">
        <w:rPr>
          <w:rFonts w:ascii="Times New Roman" w:hAnsi="Times New Roman" w:cs="Times New Roman"/>
          <w:sz w:val="24"/>
          <w:szCs w:val="24"/>
        </w:rPr>
        <w:t xml:space="preserve"> (AF) by preventing ischemic stroke and reducing mortality</w:t>
      </w:r>
      <w:r w:rsidR="00087638" w:rsidRPr="00345388">
        <w:rPr>
          <w:rFonts w:ascii="Times New Roman" w:hAnsi="Times New Roman" w:cs="Times New Roman"/>
          <w:sz w:val="24"/>
          <w:szCs w:val="24"/>
        </w:rPr>
        <w:t xml:space="preserve"> (1)</w:t>
      </w:r>
      <w:r w:rsidR="0025708D" w:rsidRPr="00345388">
        <w:rPr>
          <w:rFonts w:ascii="Times New Roman" w:hAnsi="Times New Roman" w:cs="Times New Roman"/>
          <w:sz w:val="24"/>
          <w:szCs w:val="24"/>
        </w:rPr>
        <w:t xml:space="preserve">. </w:t>
      </w:r>
      <w:r w:rsidR="004A408D" w:rsidRPr="00345388">
        <w:rPr>
          <w:rFonts w:ascii="Times New Roman" w:hAnsi="Times New Roman" w:cs="Times New Roman"/>
          <w:sz w:val="24"/>
          <w:szCs w:val="24"/>
        </w:rPr>
        <w:t xml:space="preserve">With </w:t>
      </w:r>
      <w:r w:rsidR="0093266F" w:rsidRPr="00345388">
        <w:rPr>
          <w:rFonts w:ascii="Times New Roman" w:hAnsi="Times New Roman" w:cs="Times New Roman"/>
          <w:sz w:val="24"/>
          <w:szCs w:val="24"/>
        </w:rPr>
        <w:t xml:space="preserve">the aging </w:t>
      </w:r>
      <w:r w:rsidR="004A408D" w:rsidRPr="00345388">
        <w:rPr>
          <w:rFonts w:ascii="Times New Roman" w:hAnsi="Times New Roman" w:cs="Times New Roman"/>
          <w:sz w:val="24"/>
          <w:szCs w:val="24"/>
        </w:rPr>
        <w:t xml:space="preserve">population, </w:t>
      </w:r>
      <w:r w:rsidR="0093266F" w:rsidRPr="00345388">
        <w:rPr>
          <w:rFonts w:ascii="Times New Roman" w:hAnsi="Times New Roman" w:cs="Times New Roman"/>
          <w:sz w:val="24"/>
          <w:szCs w:val="24"/>
        </w:rPr>
        <w:t xml:space="preserve">the </w:t>
      </w:r>
      <w:r w:rsidR="004A408D" w:rsidRPr="00345388">
        <w:rPr>
          <w:rFonts w:ascii="Times New Roman" w:hAnsi="Times New Roman" w:cs="Times New Roman"/>
          <w:sz w:val="24"/>
          <w:szCs w:val="24"/>
        </w:rPr>
        <w:t>prevalence of AF has been increasing</w:t>
      </w:r>
      <w:r w:rsidR="00087638" w:rsidRPr="00345388">
        <w:rPr>
          <w:rFonts w:ascii="Times New Roman" w:hAnsi="Times New Roman" w:cs="Times New Roman"/>
          <w:sz w:val="24"/>
          <w:szCs w:val="24"/>
        </w:rPr>
        <w:t xml:space="preserve"> (2,3)</w:t>
      </w:r>
      <w:r w:rsidR="000674B7" w:rsidRPr="00345388">
        <w:rPr>
          <w:rFonts w:ascii="Times New Roman" w:hAnsi="Times New Roman" w:cs="Times New Roman"/>
          <w:sz w:val="24"/>
          <w:szCs w:val="24"/>
        </w:rPr>
        <w:t xml:space="preserve">. </w:t>
      </w:r>
      <w:r w:rsidR="00AA709D" w:rsidRPr="00345388">
        <w:rPr>
          <w:rFonts w:ascii="Times New Roman" w:hAnsi="Times New Roman" w:cs="Times New Roman"/>
          <w:sz w:val="24"/>
          <w:szCs w:val="24"/>
        </w:rPr>
        <w:t>P</w:t>
      </w:r>
      <w:r w:rsidR="004A408D" w:rsidRPr="00345388">
        <w:rPr>
          <w:rFonts w:ascii="Times New Roman" w:hAnsi="Times New Roman" w:cs="Times New Roman"/>
          <w:sz w:val="24"/>
          <w:szCs w:val="24"/>
        </w:rPr>
        <w:t xml:space="preserve">atients with AF </w:t>
      </w:r>
      <w:r w:rsidR="00AA709D" w:rsidRPr="00345388">
        <w:rPr>
          <w:rFonts w:ascii="Times New Roman" w:hAnsi="Times New Roman" w:cs="Times New Roman"/>
          <w:sz w:val="24"/>
          <w:szCs w:val="24"/>
        </w:rPr>
        <w:t>tend to be</w:t>
      </w:r>
      <w:r w:rsidR="004A408D" w:rsidRPr="00345388">
        <w:rPr>
          <w:rFonts w:ascii="Times New Roman" w:hAnsi="Times New Roman" w:cs="Times New Roman"/>
          <w:sz w:val="24"/>
          <w:szCs w:val="24"/>
        </w:rPr>
        <w:t xml:space="preserve"> older </w:t>
      </w:r>
      <w:r w:rsidR="00AA709D" w:rsidRPr="00345388">
        <w:rPr>
          <w:rFonts w:ascii="Times New Roman" w:hAnsi="Times New Roman" w:cs="Times New Roman"/>
          <w:sz w:val="24"/>
          <w:szCs w:val="24"/>
        </w:rPr>
        <w:t xml:space="preserve">with </w:t>
      </w:r>
      <w:r w:rsidR="004A408D" w:rsidRPr="00345388">
        <w:rPr>
          <w:rFonts w:ascii="Times New Roman" w:hAnsi="Times New Roman" w:cs="Times New Roman"/>
          <w:sz w:val="24"/>
          <w:szCs w:val="24"/>
        </w:rPr>
        <w:t>more comorbidities</w:t>
      </w:r>
      <w:r w:rsidR="00AA709D" w:rsidRPr="00345388">
        <w:rPr>
          <w:rFonts w:ascii="Times New Roman" w:hAnsi="Times New Roman" w:cs="Times New Roman"/>
          <w:sz w:val="24"/>
          <w:szCs w:val="24"/>
        </w:rPr>
        <w:t>;</w:t>
      </w:r>
      <w:r w:rsidR="004A408D" w:rsidRPr="00345388">
        <w:rPr>
          <w:rFonts w:ascii="Times New Roman" w:hAnsi="Times New Roman" w:cs="Times New Roman"/>
          <w:sz w:val="24"/>
          <w:szCs w:val="24"/>
        </w:rPr>
        <w:t xml:space="preserve"> thus, almost 85% of patients</w:t>
      </w:r>
      <w:r w:rsidR="00AA709D" w:rsidRPr="00345388">
        <w:rPr>
          <w:rFonts w:ascii="Times New Roman" w:hAnsi="Times New Roman" w:cs="Times New Roman"/>
          <w:sz w:val="24"/>
          <w:szCs w:val="24"/>
        </w:rPr>
        <w:t xml:space="preserve"> with</w:t>
      </w:r>
      <w:r w:rsidR="004A408D" w:rsidRPr="00345388">
        <w:rPr>
          <w:rFonts w:ascii="Times New Roman" w:hAnsi="Times New Roman" w:cs="Times New Roman"/>
          <w:sz w:val="24"/>
          <w:szCs w:val="24"/>
        </w:rPr>
        <w:t xml:space="preserve"> </w:t>
      </w:r>
      <w:r w:rsidR="00AA709D" w:rsidRPr="00345388">
        <w:rPr>
          <w:rFonts w:ascii="Times New Roman" w:hAnsi="Times New Roman" w:cs="Times New Roman"/>
          <w:sz w:val="24"/>
          <w:szCs w:val="24"/>
        </w:rPr>
        <w:t xml:space="preserve">AF </w:t>
      </w:r>
      <w:r w:rsidR="00E505DC" w:rsidRPr="00345388">
        <w:rPr>
          <w:rFonts w:ascii="Times New Roman" w:hAnsi="Times New Roman" w:cs="Times New Roman"/>
          <w:sz w:val="24"/>
          <w:szCs w:val="24"/>
        </w:rPr>
        <w:t xml:space="preserve">are </w:t>
      </w:r>
      <w:r w:rsidR="00552271" w:rsidRPr="00345388">
        <w:rPr>
          <w:rFonts w:ascii="Times New Roman" w:hAnsi="Times New Roman" w:cs="Times New Roman"/>
          <w:sz w:val="24"/>
          <w:szCs w:val="24"/>
        </w:rPr>
        <w:t>prescribed</w:t>
      </w:r>
      <w:r w:rsidR="004A408D" w:rsidRPr="00345388">
        <w:rPr>
          <w:rFonts w:ascii="Times New Roman" w:hAnsi="Times New Roman" w:cs="Times New Roman"/>
          <w:sz w:val="24"/>
          <w:szCs w:val="24"/>
        </w:rPr>
        <w:t xml:space="preserve"> OAC</w:t>
      </w:r>
      <w:r w:rsidR="004036C8" w:rsidRPr="00345388">
        <w:rPr>
          <w:rFonts w:ascii="Times New Roman" w:hAnsi="Times New Roman" w:cs="Times New Roman"/>
          <w:sz w:val="24"/>
          <w:szCs w:val="24"/>
        </w:rPr>
        <w:t>s</w:t>
      </w:r>
      <w:r w:rsidR="00087638" w:rsidRPr="00345388">
        <w:rPr>
          <w:rFonts w:ascii="Times New Roman" w:hAnsi="Times New Roman" w:cs="Times New Roman"/>
          <w:sz w:val="24"/>
          <w:szCs w:val="24"/>
        </w:rPr>
        <w:t xml:space="preserve"> (3,4)</w:t>
      </w:r>
      <w:r w:rsidR="004A408D" w:rsidRPr="00345388">
        <w:rPr>
          <w:rFonts w:ascii="Times New Roman" w:hAnsi="Times New Roman" w:cs="Times New Roman"/>
          <w:sz w:val="24"/>
          <w:szCs w:val="24"/>
        </w:rPr>
        <w:t xml:space="preserve">. </w:t>
      </w:r>
      <w:r w:rsidR="00792815" w:rsidRPr="00345388">
        <w:rPr>
          <w:rFonts w:ascii="Times New Roman" w:hAnsi="Times New Roman" w:cs="Times New Roman"/>
          <w:sz w:val="24"/>
          <w:szCs w:val="24"/>
        </w:rPr>
        <w:t>For decades, warfarin was the only available OAC for these patients</w:t>
      </w:r>
      <w:r w:rsidR="004036C8" w:rsidRPr="00345388">
        <w:rPr>
          <w:rFonts w:ascii="Times New Roman" w:hAnsi="Times New Roman" w:cs="Times New Roman"/>
          <w:sz w:val="24"/>
          <w:szCs w:val="24"/>
        </w:rPr>
        <w:t>,</w:t>
      </w:r>
      <w:r w:rsidR="00BF466C" w:rsidRPr="00345388">
        <w:rPr>
          <w:rFonts w:ascii="Times New Roman" w:hAnsi="Times New Roman" w:cs="Times New Roman"/>
          <w:sz w:val="24"/>
          <w:szCs w:val="24"/>
        </w:rPr>
        <w:t xml:space="preserve"> but </w:t>
      </w:r>
      <w:r w:rsidR="004036C8" w:rsidRPr="00345388">
        <w:rPr>
          <w:rFonts w:ascii="Times New Roman" w:hAnsi="Times New Roman" w:cs="Times New Roman"/>
          <w:sz w:val="24"/>
          <w:szCs w:val="24"/>
        </w:rPr>
        <w:t xml:space="preserve">it </w:t>
      </w:r>
      <w:r w:rsidR="00BF466C" w:rsidRPr="00345388">
        <w:rPr>
          <w:rFonts w:ascii="Times New Roman" w:hAnsi="Times New Roman" w:cs="Times New Roman"/>
          <w:sz w:val="24"/>
          <w:szCs w:val="24"/>
        </w:rPr>
        <w:t>was</w:t>
      </w:r>
      <w:r w:rsidR="00792815" w:rsidRPr="00345388">
        <w:rPr>
          <w:rFonts w:ascii="Times New Roman" w:hAnsi="Times New Roman" w:cs="Times New Roman"/>
          <w:sz w:val="24"/>
          <w:szCs w:val="24"/>
        </w:rPr>
        <w:t xml:space="preserve"> largely underutilized </w:t>
      </w:r>
      <w:r w:rsidR="006B5233" w:rsidRPr="00345388">
        <w:rPr>
          <w:rFonts w:ascii="Times New Roman" w:hAnsi="Times New Roman" w:cs="Times New Roman"/>
          <w:sz w:val="24"/>
          <w:szCs w:val="24"/>
        </w:rPr>
        <w:t>owing to</w:t>
      </w:r>
      <w:r w:rsidR="00792815" w:rsidRPr="00345388">
        <w:rPr>
          <w:rFonts w:ascii="Times New Roman" w:hAnsi="Times New Roman" w:cs="Times New Roman"/>
          <w:sz w:val="24"/>
          <w:szCs w:val="24"/>
        </w:rPr>
        <w:t xml:space="preserve"> </w:t>
      </w:r>
      <w:r w:rsidR="004036C8" w:rsidRPr="00345388">
        <w:rPr>
          <w:rFonts w:ascii="Times New Roman" w:hAnsi="Times New Roman" w:cs="Times New Roman"/>
          <w:sz w:val="24"/>
          <w:szCs w:val="24"/>
        </w:rPr>
        <w:t xml:space="preserve">its </w:t>
      </w:r>
      <w:r w:rsidR="00792815" w:rsidRPr="00345388">
        <w:rPr>
          <w:rFonts w:ascii="Times New Roman" w:hAnsi="Times New Roman" w:cs="Times New Roman"/>
          <w:sz w:val="24"/>
          <w:szCs w:val="24"/>
        </w:rPr>
        <w:t>narrow therapeutic range, the need for frequent monitoring</w:t>
      </w:r>
      <w:r w:rsidR="00552271" w:rsidRPr="00345388">
        <w:rPr>
          <w:rFonts w:ascii="Times New Roman" w:hAnsi="Times New Roman" w:cs="Times New Roman"/>
          <w:sz w:val="24"/>
          <w:szCs w:val="24"/>
        </w:rPr>
        <w:t>,</w:t>
      </w:r>
      <w:r w:rsidR="00792815" w:rsidRPr="00345388">
        <w:rPr>
          <w:rFonts w:ascii="Times New Roman" w:hAnsi="Times New Roman" w:cs="Times New Roman"/>
          <w:sz w:val="24"/>
          <w:szCs w:val="24"/>
        </w:rPr>
        <w:t xml:space="preserve"> and </w:t>
      </w:r>
      <w:r w:rsidR="00E17C9D" w:rsidRPr="00345388">
        <w:rPr>
          <w:rFonts w:ascii="Times New Roman" w:hAnsi="Times New Roman" w:cs="Times New Roman"/>
          <w:sz w:val="24"/>
          <w:szCs w:val="24"/>
        </w:rPr>
        <w:t>concern</w:t>
      </w:r>
      <w:r w:rsidR="00552271" w:rsidRPr="00345388">
        <w:rPr>
          <w:rFonts w:ascii="Times New Roman" w:hAnsi="Times New Roman" w:cs="Times New Roman"/>
          <w:sz w:val="24"/>
          <w:szCs w:val="24"/>
        </w:rPr>
        <w:t>s</w:t>
      </w:r>
      <w:r w:rsidR="00E17C9D" w:rsidRPr="00345388">
        <w:rPr>
          <w:rFonts w:ascii="Times New Roman" w:hAnsi="Times New Roman" w:cs="Times New Roman"/>
          <w:sz w:val="24"/>
          <w:szCs w:val="24"/>
        </w:rPr>
        <w:t xml:space="preserve"> about </w:t>
      </w:r>
      <w:r w:rsidR="00792815" w:rsidRPr="00345388">
        <w:rPr>
          <w:rFonts w:ascii="Times New Roman" w:hAnsi="Times New Roman" w:cs="Times New Roman"/>
          <w:sz w:val="24"/>
          <w:szCs w:val="24"/>
        </w:rPr>
        <w:t>bleeding complication</w:t>
      </w:r>
      <w:r w:rsidR="00375978" w:rsidRPr="00345388">
        <w:rPr>
          <w:rFonts w:ascii="Times New Roman" w:hAnsi="Times New Roman" w:cs="Times New Roman"/>
          <w:sz w:val="24"/>
          <w:szCs w:val="24"/>
        </w:rPr>
        <w:t>s</w:t>
      </w:r>
      <w:r w:rsidR="00FB066F" w:rsidRPr="00345388">
        <w:rPr>
          <w:rFonts w:ascii="Times New Roman" w:hAnsi="Times New Roman" w:cs="Times New Roman"/>
          <w:sz w:val="24"/>
          <w:szCs w:val="24"/>
        </w:rPr>
        <w:t>,</w:t>
      </w:r>
      <w:r w:rsidR="00792815" w:rsidRPr="00345388">
        <w:rPr>
          <w:rFonts w:ascii="Times New Roman" w:hAnsi="Times New Roman" w:cs="Times New Roman"/>
          <w:sz w:val="24"/>
          <w:szCs w:val="24"/>
        </w:rPr>
        <w:t xml:space="preserve"> such as intracranial hemorrhage (ICH)</w:t>
      </w:r>
      <w:r w:rsidR="00087638" w:rsidRPr="00345388">
        <w:rPr>
          <w:rFonts w:ascii="Times New Roman" w:hAnsi="Times New Roman" w:cs="Times New Roman"/>
          <w:sz w:val="24"/>
          <w:szCs w:val="24"/>
        </w:rPr>
        <w:t xml:space="preserve"> (5-7)</w:t>
      </w:r>
      <w:r w:rsidR="00792815" w:rsidRPr="00345388">
        <w:rPr>
          <w:rFonts w:ascii="Times New Roman" w:hAnsi="Times New Roman" w:cs="Times New Roman"/>
          <w:sz w:val="24"/>
          <w:szCs w:val="24"/>
        </w:rPr>
        <w:t xml:space="preserve">. </w:t>
      </w:r>
      <w:r w:rsidR="0025708D" w:rsidRPr="00345388">
        <w:rPr>
          <w:rFonts w:ascii="Times New Roman" w:hAnsi="Times New Roman" w:cs="Times New Roman"/>
          <w:sz w:val="24"/>
          <w:szCs w:val="24"/>
        </w:rPr>
        <w:t xml:space="preserve">Since </w:t>
      </w:r>
      <w:r w:rsidR="00375978" w:rsidRPr="00345388">
        <w:rPr>
          <w:rFonts w:ascii="Times New Roman" w:hAnsi="Times New Roman" w:cs="Times New Roman"/>
          <w:sz w:val="24"/>
          <w:szCs w:val="24"/>
        </w:rPr>
        <w:t xml:space="preserve">the </w:t>
      </w:r>
      <w:r w:rsidR="0025708D" w:rsidRPr="00345388">
        <w:rPr>
          <w:rFonts w:ascii="Times New Roman" w:hAnsi="Times New Roman" w:cs="Times New Roman"/>
          <w:sz w:val="24"/>
          <w:szCs w:val="24"/>
        </w:rPr>
        <w:t>introduction of non-vitamin K antagonist oral anticoagulants (NOACs)</w:t>
      </w:r>
      <w:r w:rsidR="00375978" w:rsidRPr="00345388">
        <w:rPr>
          <w:rFonts w:ascii="Times New Roman" w:hAnsi="Times New Roman" w:cs="Times New Roman"/>
          <w:sz w:val="24"/>
          <w:szCs w:val="24"/>
        </w:rPr>
        <w:t>,</w:t>
      </w:r>
      <w:r w:rsidR="0025708D" w:rsidRPr="00345388">
        <w:rPr>
          <w:rFonts w:ascii="Times New Roman" w:hAnsi="Times New Roman" w:cs="Times New Roman"/>
          <w:sz w:val="24"/>
          <w:szCs w:val="24"/>
        </w:rPr>
        <w:t xml:space="preserve"> </w:t>
      </w:r>
      <w:r w:rsidR="00E17C9D" w:rsidRPr="00345388">
        <w:rPr>
          <w:rFonts w:ascii="Times New Roman" w:hAnsi="Times New Roman" w:cs="Times New Roman"/>
          <w:sz w:val="24"/>
          <w:szCs w:val="24"/>
        </w:rPr>
        <w:t>which are convenient, safe, and effective alternative</w:t>
      </w:r>
      <w:r w:rsidR="00FC0F1F" w:rsidRPr="00345388">
        <w:rPr>
          <w:rFonts w:ascii="Times New Roman" w:hAnsi="Times New Roman" w:cs="Times New Roman"/>
          <w:sz w:val="24"/>
          <w:szCs w:val="24"/>
        </w:rPr>
        <w:t>s</w:t>
      </w:r>
      <w:r w:rsidR="00E17C9D" w:rsidRPr="00345388">
        <w:rPr>
          <w:rFonts w:ascii="Times New Roman" w:hAnsi="Times New Roman" w:cs="Times New Roman"/>
          <w:sz w:val="24"/>
          <w:szCs w:val="24"/>
        </w:rPr>
        <w:t xml:space="preserve"> to warfarin, OAC use has become</w:t>
      </w:r>
      <w:r w:rsidR="00BF466C" w:rsidRPr="00345388">
        <w:rPr>
          <w:rFonts w:ascii="Times New Roman" w:hAnsi="Times New Roman" w:cs="Times New Roman"/>
          <w:sz w:val="24"/>
          <w:szCs w:val="24"/>
        </w:rPr>
        <w:t xml:space="preserve"> more</w:t>
      </w:r>
      <w:r w:rsidR="00E17C9D" w:rsidRPr="00345388">
        <w:rPr>
          <w:rFonts w:ascii="Times New Roman" w:hAnsi="Times New Roman" w:cs="Times New Roman"/>
          <w:sz w:val="24"/>
          <w:szCs w:val="24"/>
        </w:rPr>
        <w:t xml:space="preserve"> widespread</w:t>
      </w:r>
      <w:r w:rsidR="00FC0F1F" w:rsidRPr="00345388">
        <w:rPr>
          <w:rFonts w:ascii="Times New Roman" w:hAnsi="Times New Roman" w:cs="Times New Roman"/>
          <w:sz w:val="24"/>
          <w:szCs w:val="24"/>
        </w:rPr>
        <w:t xml:space="preserve"> (3,4,8)</w:t>
      </w:r>
      <w:r w:rsidR="00E17C9D" w:rsidRPr="00345388">
        <w:rPr>
          <w:rFonts w:ascii="Times New Roman" w:hAnsi="Times New Roman" w:cs="Times New Roman"/>
          <w:sz w:val="24"/>
          <w:szCs w:val="24"/>
        </w:rPr>
        <w:t xml:space="preserve">. </w:t>
      </w:r>
    </w:p>
    <w:p w14:paraId="667A2B98" w14:textId="09454B41" w:rsidR="00E77D2B" w:rsidRPr="00345388" w:rsidRDefault="00BF466C" w:rsidP="00EB0B89">
      <w:pPr>
        <w:spacing w:after="0" w:line="480" w:lineRule="auto"/>
        <w:ind w:firstLine="800"/>
        <w:rPr>
          <w:rFonts w:ascii="Times New Roman" w:hAnsi="Times New Roman" w:cs="Times New Roman"/>
          <w:sz w:val="24"/>
          <w:szCs w:val="24"/>
        </w:rPr>
      </w:pPr>
      <w:r w:rsidRPr="00345388">
        <w:rPr>
          <w:rFonts w:ascii="Times New Roman" w:hAnsi="Times New Roman" w:cs="Times New Roman"/>
          <w:sz w:val="24"/>
          <w:szCs w:val="24"/>
        </w:rPr>
        <w:t>W</w:t>
      </w:r>
      <w:r w:rsidR="00E77D2B" w:rsidRPr="00345388">
        <w:rPr>
          <w:rFonts w:ascii="Times New Roman" w:hAnsi="Times New Roman" w:cs="Times New Roman"/>
          <w:sz w:val="24"/>
          <w:szCs w:val="24"/>
        </w:rPr>
        <w:t xml:space="preserve">ith increasing OAC </w:t>
      </w:r>
      <w:r w:rsidR="006B5233" w:rsidRPr="00345388">
        <w:rPr>
          <w:rFonts w:ascii="Times New Roman" w:hAnsi="Times New Roman" w:cs="Times New Roman"/>
          <w:sz w:val="24"/>
          <w:szCs w:val="24"/>
        </w:rPr>
        <w:t>use</w:t>
      </w:r>
      <w:r w:rsidR="00E77D2B" w:rsidRPr="00345388">
        <w:rPr>
          <w:rFonts w:ascii="Times New Roman" w:hAnsi="Times New Roman" w:cs="Times New Roman"/>
          <w:sz w:val="24"/>
          <w:szCs w:val="24"/>
        </w:rPr>
        <w:t xml:space="preserve">, the prevalence of frailty in patients </w:t>
      </w:r>
      <w:r w:rsidR="00A23350" w:rsidRPr="00345388">
        <w:rPr>
          <w:rFonts w:ascii="Times New Roman" w:hAnsi="Times New Roman" w:cs="Times New Roman"/>
          <w:sz w:val="24"/>
          <w:szCs w:val="24"/>
        </w:rPr>
        <w:t xml:space="preserve">using </w:t>
      </w:r>
      <w:r w:rsidR="00E77D2B" w:rsidRPr="00345388">
        <w:rPr>
          <w:rFonts w:ascii="Times New Roman" w:hAnsi="Times New Roman" w:cs="Times New Roman"/>
          <w:sz w:val="24"/>
          <w:szCs w:val="24"/>
        </w:rPr>
        <w:t>OAC</w:t>
      </w:r>
      <w:r w:rsidR="00A23350" w:rsidRPr="00345388">
        <w:rPr>
          <w:rFonts w:ascii="Times New Roman" w:hAnsi="Times New Roman" w:cs="Times New Roman"/>
          <w:sz w:val="24"/>
          <w:szCs w:val="24"/>
        </w:rPr>
        <w:t>s</w:t>
      </w:r>
      <w:r w:rsidR="00E77D2B" w:rsidRPr="00345388">
        <w:rPr>
          <w:rFonts w:ascii="Times New Roman" w:hAnsi="Times New Roman" w:cs="Times New Roman"/>
          <w:sz w:val="24"/>
          <w:szCs w:val="24"/>
        </w:rPr>
        <w:t xml:space="preserve"> </w:t>
      </w:r>
      <w:r w:rsidR="00A23350" w:rsidRPr="00345388">
        <w:rPr>
          <w:rFonts w:ascii="Times New Roman" w:hAnsi="Times New Roman" w:cs="Times New Roman"/>
          <w:sz w:val="24"/>
          <w:szCs w:val="24"/>
        </w:rPr>
        <w:t xml:space="preserve">has </w:t>
      </w:r>
      <w:r w:rsidRPr="00345388">
        <w:rPr>
          <w:rFonts w:ascii="Times New Roman" w:hAnsi="Times New Roman" w:cs="Times New Roman"/>
          <w:sz w:val="24"/>
          <w:szCs w:val="24"/>
        </w:rPr>
        <w:t xml:space="preserve">also </w:t>
      </w:r>
      <w:r w:rsidR="00E77D2B" w:rsidRPr="00345388">
        <w:rPr>
          <w:rFonts w:ascii="Times New Roman" w:hAnsi="Times New Roman" w:cs="Times New Roman"/>
          <w:sz w:val="24"/>
          <w:szCs w:val="24"/>
        </w:rPr>
        <w:t>increased</w:t>
      </w:r>
      <w:r w:rsidR="006B5233" w:rsidRPr="00345388">
        <w:rPr>
          <w:rFonts w:ascii="Times New Roman" w:hAnsi="Times New Roman" w:cs="Times New Roman"/>
          <w:sz w:val="24"/>
          <w:szCs w:val="24"/>
        </w:rPr>
        <w:t xml:space="preserve"> </w:t>
      </w:r>
      <w:r w:rsidR="00FB066F" w:rsidRPr="00345388">
        <w:rPr>
          <w:rFonts w:ascii="Times New Roman" w:hAnsi="Times New Roman" w:cs="Times New Roman"/>
          <w:sz w:val="24"/>
          <w:szCs w:val="24"/>
        </w:rPr>
        <w:t xml:space="preserve">in </w:t>
      </w:r>
      <w:r w:rsidRPr="00345388">
        <w:rPr>
          <w:rFonts w:ascii="Times New Roman" w:hAnsi="Times New Roman" w:cs="Times New Roman"/>
          <w:sz w:val="24"/>
          <w:szCs w:val="24"/>
        </w:rPr>
        <w:t xml:space="preserve">the aging </w:t>
      </w:r>
      <w:r w:rsidR="006B5233" w:rsidRPr="00345388">
        <w:rPr>
          <w:rFonts w:ascii="Times New Roman" w:hAnsi="Times New Roman" w:cs="Times New Roman"/>
          <w:sz w:val="24"/>
          <w:szCs w:val="24"/>
        </w:rPr>
        <w:t>population</w:t>
      </w:r>
      <w:r w:rsidR="00E77D2B" w:rsidRPr="00345388">
        <w:rPr>
          <w:rFonts w:ascii="Times New Roman" w:hAnsi="Times New Roman" w:cs="Times New Roman"/>
          <w:sz w:val="24"/>
          <w:szCs w:val="24"/>
        </w:rPr>
        <w:t xml:space="preserve">. </w:t>
      </w:r>
      <w:r w:rsidR="00FB066F" w:rsidRPr="00345388">
        <w:rPr>
          <w:rFonts w:ascii="Times New Roman" w:hAnsi="Times New Roman" w:cs="Times New Roman"/>
          <w:sz w:val="24"/>
          <w:szCs w:val="24"/>
        </w:rPr>
        <w:t>P</w:t>
      </w:r>
      <w:r w:rsidR="00ED75D0" w:rsidRPr="00345388">
        <w:rPr>
          <w:rFonts w:ascii="Times New Roman" w:hAnsi="Times New Roman" w:cs="Times New Roman"/>
          <w:sz w:val="24"/>
          <w:szCs w:val="24"/>
        </w:rPr>
        <w:t xml:space="preserve">atients with low body weight are more common </w:t>
      </w:r>
      <w:r w:rsidR="00FB066F" w:rsidRPr="00345388">
        <w:rPr>
          <w:rFonts w:ascii="Times New Roman" w:hAnsi="Times New Roman" w:cs="Times New Roman"/>
          <w:sz w:val="24"/>
          <w:szCs w:val="24"/>
        </w:rPr>
        <w:t xml:space="preserve">among Asians </w:t>
      </w:r>
      <w:r w:rsidR="00ED75D0" w:rsidRPr="00345388">
        <w:rPr>
          <w:rFonts w:ascii="Times New Roman" w:hAnsi="Times New Roman" w:cs="Times New Roman"/>
          <w:sz w:val="24"/>
          <w:szCs w:val="24"/>
        </w:rPr>
        <w:t>than</w:t>
      </w:r>
      <w:r w:rsidR="00A23350" w:rsidRPr="00345388">
        <w:rPr>
          <w:rFonts w:ascii="Times New Roman" w:hAnsi="Times New Roman" w:cs="Times New Roman"/>
          <w:sz w:val="24"/>
          <w:szCs w:val="24"/>
        </w:rPr>
        <w:t xml:space="preserve"> </w:t>
      </w:r>
      <w:r w:rsidRPr="00345388">
        <w:rPr>
          <w:rFonts w:ascii="Times New Roman" w:hAnsi="Times New Roman" w:cs="Times New Roman"/>
          <w:sz w:val="24"/>
          <w:szCs w:val="24"/>
        </w:rPr>
        <w:t xml:space="preserve">among </w:t>
      </w:r>
      <w:r w:rsidR="00ED75D0" w:rsidRPr="00345388">
        <w:rPr>
          <w:rFonts w:ascii="Times New Roman" w:hAnsi="Times New Roman" w:cs="Times New Roman"/>
          <w:sz w:val="24"/>
          <w:szCs w:val="24"/>
        </w:rPr>
        <w:t>non-Asian</w:t>
      </w:r>
      <w:r w:rsidR="00095E52" w:rsidRPr="00345388">
        <w:rPr>
          <w:rFonts w:ascii="Times New Roman" w:hAnsi="Times New Roman" w:cs="Times New Roman"/>
          <w:sz w:val="24"/>
          <w:szCs w:val="24"/>
        </w:rPr>
        <w:t>s</w:t>
      </w:r>
      <w:r w:rsidR="00FC0F1F" w:rsidRPr="00345388">
        <w:rPr>
          <w:rFonts w:ascii="Times New Roman" w:hAnsi="Times New Roman" w:cs="Times New Roman"/>
          <w:sz w:val="24"/>
          <w:szCs w:val="24"/>
        </w:rPr>
        <w:t xml:space="preserve"> (9)</w:t>
      </w:r>
      <w:r w:rsidR="00ED75D0" w:rsidRPr="00345388">
        <w:rPr>
          <w:rFonts w:ascii="Times New Roman" w:hAnsi="Times New Roman" w:cs="Times New Roman"/>
          <w:sz w:val="24"/>
          <w:szCs w:val="24"/>
        </w:rPr>
        <w:t xml:space="preserve">. </w:t>
      </w:r>
      <w:r w:rsidR="005645D1" w:rsidRPr="00345388">
        <w:rPr>
          <w:rFonts w:ascii="Times New Roman" w:hAnsi="Times New Roman" w:cs="Times New Roman"/>
          <w:sz w:val="24"/>
          <w:szCs w:val="24"/>
        </w:rPr>
        <w:t>The effects of NOACs are closely related to plasma concentrations</w:t>
      </w:r>
      <w:r w:rsidR="00A23350" w:rsidRPr="00345388">
        <w:rPr>
          <w:rFonts w:ascii="Times New Roman" w:hAnsi="Times New Roman" w:cs="Times New Roman"/>
          <w:sz w:val="24"/>
          <w:szCs w:val="24"/>
        </w:rPr>
        <w:t>, which are</w:t>
      </w:r>
      <w:r w:rsidR="005645D1" w:rsidRPr="00345388">
        <w:rPr>
          <w:rFonts w:ascii="Times New Roman" w:hAnsi="Times New Roman" w:cs="Times New Roman"/>
          <w:sz w:val="24"/>
          <w:szCs w:val="24"/>
        </w:rPr>
        <w:t xml:space="preserve"> affected by body distribution volume</w:t>
      </w:r>
      <w:r w:rsidR="00095E52" w:rsidRPr="00345388">
        <w:rPr>
          <w:rFonts w:ascii="Times New Roman" w:hAnsi="Times New Roman" w:cs="Times New Roman"/>
          <w:sz w:val="24"/>
          <w:szCs w:val="24"/>
        </w:rPr>
        <w:t>;</w:t>
      </w:r>
      <w:r w:rsidR="005645D1" w:rsidRPr="00345388">
        <w:rPr>
          <w:rFonts w:ascii="Times New Roman" w:hAnsi="Times New Roman" w:cs="Times New Roman"/>
          <w:sz w:val="24"/>
          <w:szCs w:val="24"/>
        </w:rPr>
        <w:t xml:space="preserve"> thus, extremely low body weight </w:t>
      </w:r>
      <w:r w:rsidR="00FB066F" w:rsidRPr="00345388">
        <w:rPr>
          <w:rFonts w:ascii="Times New Roman" w:hAnsi="Times New Roman" w:cs="Times New Roman"/>
          <w:sz w:val="24"/>
          <w:szCs w:val="24"/>
        </w:rPr>
        <w:t xml:space="preserve">may </w:t>
      </w:r>
      <w:r w:rsidR="00C05283" w:rsidRPr="00345388">
        <w:rPr>
          <w:rFonts w:ascii="Times New Roman" w:hAnsi="Times New Roman" w:cs="Times New Roman"/>
          <w:sz w:val="24"/>
          <w:szCs w:val="24"/>
        </w:rPr>
        <w:t>influence</w:t>
      </w:r>
      <w:r w:rsidR="005645D1" w:rsidRPr="00345388">
        <w:rPr>
          <w:rFonts w:ascii="Times New Roman" w:hAnsi="Times New Roman" w:cs="Times New Roman"/>
          <w:sz w:val="24"/>
          <w:szCs w:val="24"/>
        </w:rPr>
        <w:t xml:space="preserve"> </w:t>
      </w:r>
      <w:r w:rsidR="00C05283" w:rsidRPr="00345388">
        <w:rPr>
          <w:rFonts w:ascii="Times New Roman" w:hAnsi="Times New Roman" w:cs="Times New Roman"/>
          <w:sz w:val="24"/>
          <w:szCs w:val="24"/>
        </w:rPr>
        <w:t xml:space="preserve">the </w:t>
      </w:r>
      <w:r w:rsidR="005645D1" w:rsidRPr="00345388">
        <w:rPr>
          <w:rFonts w:ascii="Times New Roman" w:hAnsi="Times New Roman" w:cs="Times New Roman"/>
          <w:sz w:val="24"/>
          <w:szCs w:val="24"/>
        </w:rPr>
        <w:t>efficacy and safety of NOACs</w:t>
      </w:r>
      <w:r w:rsidR="00FC0F1F" w:rsidRPr="00345388">
        <w:rPr>
          <w:rFonts w:ascii="Times New Roman" w:hAnsi="Times New Roman" w:cs="Times New Roman"/>
          <w:sz w:val="24"/>
          <w:szCs w:val="24"/>
        </w:rPr>
        <w:t xml:space="preserve"> (10)</w:t>
      </w:r>
      <w:r w:rsidR="00C05283" w:rsidRPr="00345388">
        <w:rPr>
          <w:rFonts w:ascii="Times New Roman" w:hAnsi="Times New Roman" w:cs="Times New Roman"/>
          <w:sz w:val="24"/>
          <w:szCs w:val="24"/>
        </w:rPr>
        <w:t xml:space="preserve">. Although NOACs </w:t>
      </w:r>
      <w:r w:rsidR="003C28A5" w:rsidRPr="00345388">
        <w:rPr>
          <w:rFonts w:ascii="Times New Roman" w:hAnsi="Times New Roman" w:cs="Times New Roman"/>
          <w:sz w:val="24"/>
          <w:szCs w:val="24"/>
        </w:rPr>
        <w:t xml:space="preserve">have shown </w:t>
      </w:r>
      <w:r w:rsidR="00C05283" w:rsidRPr="00345388">
        <w:rPr>
          <w:rFonts w:ascii="Times New Roman" w:hAnsi="Times New Roman" w:cs="Times New Roman"/>
          <w:sz w:val="24"/>
          <w:szCs w:val="24"/>
        </w:rPr>
        <w:t xml:space="preserve">better net clinical benefits </w:t>
      </w:r>
      <w:r w:rsidR="003C28A5" w:rsidRPr="00345388">
        <w:rPr>
          <w:rFonts w:ascii="Times New Roman" w:hAnsi="Times New Roman" w:cs="Times New Roman"/>
          <w:sz w:val="24"/>
          <w:szCs w:val="24"/>
        </w:rPr>
        <w:t>than</w:t>
      </w:r>
      <w:r w:rsidR="00C05283" w:rsidRPr="00345388">
        <w:rPr>
          <w:rFonts w:ascii="Times New Roman" w:hAnsi="Times New Roman" w:cs="Times New Roman"/>
          <w:sz w:val="24"/>
          <w:szCs w:val="24"/>
        </w:rPr>
        <w:t xml:space="preserve"> warfarin</w:t>
      </w:r>
      <w:r w:rsidR="00095E52" w:rsidRPr="00345388">
        <w:rPr>
          <w:rFonts w:ascii="Times New Roman" w:hAnsi="Times New Roman" w:cs="Times New Roman"/>
          <w:sz w:val="24"/>
          <w:szCs w:val="24"/>
        </w:rPr>
        <w:t>,</w:t>
      </w:r>
      <w:r w:rsidR="00C05283" w:rsidRPr="00345388">
        <w:rPr>
          <w:rFonts w:ascii="Times New Roman" w:hAnsi="Times New Roman" w:cs="Times New Roman"/>
          <w:sz w:val="24"/>
          <w:szCs w:val="24"/>
        </w:rPr>
        <w:t xml:space="preserve"> mainly </w:t>
      </w:r>
      <w:r w:rsidR="00FB066F" w:rsidRPr="00345388">
        <w:rPr>
          <w:rFonts w:ascii="Times New Roman" w:hAnsi="Times New Roman" w:cs="Times New Roman"/>
          <w:sz w:val="24"/>
          <w:szCs w:val="24"/>
        </w:rPr>
        <w:t xml:space="preserve">due to </w:t>
      </w:r>
      <w:r w:rsidR="00C05283" w:rsidRPr="00345388">
        <w:rPr>
          <w:rFonts w:ascii="Times New Roman" w:hAnsi="Times New Roman" w:cs="Times New Roman"/>
          <w:sz w:val="24"/>
          <w:szCs w:val="24"/>
        </w:rPr>
        <w:t xml:space="preserve">a reduction in ICH, being underweight was associated with an increased risk of major bleeding in patients </w:t>
      </w:r>
      <w:r w:rsidR="00A76A85" w:rsidRPr="00345388">
        <w:rPr>
          <w:rFonts w:ascii="Times New Roman" w:hAnsi="Times New Roman" w:cs="Times New Roman"/>
          <w:sz w:val="24"/>
          <w:szCs w:val="24"/>
        </w:rPr>
        <w:t xml:space="preserve">taking </w:t>
      </w:r>
      <w:r w:rsidR="00C05283" w:rsidRPr="00345388">
        <w:rPr>
          <w:rFonts w:ascii="Times New Roman" w:hAnsi="Times New Roman" w:cs="Times New Roman"/>
          <w:sz w:val="24"/>
          <w:szCs w:val="24"/>
        </w:rPr>
        <w:t>NOACs</w:t>
      </w:r>
      <w:r w:rsidR="00FC0F1F" w:rsidRPr="00345388">
        <w:rPr>
          <w:rFonts w:ascii="Times New Roman" w:hAnsi="Times New Roman" w:cs="Times New Roman"/>
          <w:sz w:val="24"/>
          <w:szCs w:val="24"/>
        </w:rPr>
        <w:t xml:space="preserve"> (11)</w:t>
      </w:r>
      <w:r w:rsidR="00C05283" w:rsidRPr="00345388">
        <w:rPr>
          <w:rFonts w:ascii="Times New Roman" w:hAnsi="Times New Roman" w:cs="Times New Roman"/>
          <w:sz w:val="24"/>
          <w:szCs w:val="24"/>
        </w:rPr>
        <w:t>.</w:t>
      </w:r>
      <w:r w:rsidR="005645D1" w:rsidRPr="00345388">
        <w:rPr>
          <w:rFonts w:ascii="Times New Roman" w:hAnsi="Times New Roman" w:cs="Times New Roman"/>
          <w:sz w:val="24"/>
          <w:szCs w:val="24"/>
        </w:rPr>
        <w:t xml:space="preserve"> </w:t>
      </w:r>
      <w:r w:rsidR="003C28A5" w:rsidRPr="00345388">
        <w:rPr>
          <w:rFonts w:ascii="Times New Roman" w:hAnsi="Times New Roman" w:cs="Times New Roman"/>
          <w:sz w:val="24"/>
          <w:szCs w:val="24"/>
        </w:rPr>
        <w:t>I</w:t>
      </w:r>
      <w:r w:rsidR="009F534E" w:rsidRPr="00345388">
        <w:rPr>
          <w:rFonts w:ascii="Times New Roman" w:hAnsi="Times New Roman" w:cs="Times New Roman"/>
          <w:sz w:val="24"/>
          <w:szCs w:val="24"/>
        </w:rPr>
        <w:t>t has not been established</w:t>
      </w:r>
      <w:r w:rsidR="00ED75D0" w:rsidRPr="00345388">
        <w:rPr>
          <w:rFonts w:ascii="Times New Roman" w:hAnsi="Times New Roman" w:cs="Times New Roman"/>
          <w:sz w:val="24"/>
          <w:szCs w:val="24"/>
        </w:rPr>
        <w:t xml:space="preserve"> whether </w:t>
      </w:r>
      <w:r w:rsidR="00C05283" w:rsidRPr="00345388">
        <w:rPr>
          <w:rFonts w:ascii="Times New Roman" w:hAnsi="Times New Roman" w:cs="Times New Roman"/>
          <w:sz w:val="24"/>
          <w:szCs w:val="24"/>
        </w:rPr>
        <w:t>NOACs</w:t>
      </w:r>
      <w:r w:rsidR="00ED75D0" w:rsidRPr="00345388">
        <w:rPr>
          <w:rFonts w:ascii="Times New Roman" w:hAnsi="Times New Roman" w:cs="Times New Roman"/>
          <w:sz w:val="24"/>
          <w:szCs w:val="24"/>
        </w:rPr>
        <w:t xml:space="preserve"> </w:t>
      </w:r>
      <w:r w:rsidR="009F534E" w:rsidRPr="00345388">
        <w:rPr>
          <w:rFonts w:ascii="Times New Roman" w:hAnsi="Times New Roman" w:cs="Times New Roman"/>
          <w:sz w:val="24"/>
          <w:szCs w:val="24"/>
        </w:rPr>
        <w:t>have similar benefits</w:t>
      </w:r>
      <w:r w:rsidR="00ED75D0" w:rsidRPr="00345388">
        <w:rPr>
          <w:rFonts w:ascii="Times New Roman" w:hAnsi="Times New Roman" w:cs="Times New Roman"/>
          <w:sz w:val="24"/>
          <w:szCs w:val="24"/>
        </w:rPr>
        <w:t xml:space="preserve"> in patients with low body weight</w:t>
      </w:r>
      <w:r w:rsidR="001F1D85" w:rsidRPr="00345388">
        <w:rPr>
          <w:rFonts w:ascii="Times New Roman" w:hAnsi="Times New Roman" w:cs="Times New Roman"/>
          <w:sz w:val="24"/>
          <w:szCs w:val="24"/>
        </w:rPr>
        <w:t>, especially those with extremely low</w:t>
      </w:r>
      <w:r w:rsidR="001F1D85" w:rsidRPr="00345388">
        <w:rPr>
          <w:rFonts w:ascii="Times New Roman" w:eastAsia="Malgun Gothic" w:hAnsi="Times New Roman" w:cs="Times New Roman"/>
          <w:sz w:val="24"/>
          <w:szCs w:val="24"/>
        </w:rPr>
        <w:t xml:space="preserve"> body weight (&lt;50 kg). In this nationwide cohort </w:t>
      </w:r>
      <w:r w:rsidR="001F1D85" w:rsidRPr="00345388">
        <w:rPr>
          <w:rFonts w:ascii="Times New Roman" w:eastAsia="Malgun Gothic" w:hAnsi="Times New Roman" w:cs="Times New Roman"/>
          <w:sz w:val="24"/>
          <w:szCs w:val="24"/>
        </w:rPr>
        <w:lastRenderedPageBreak/>
        <w:t xml:space="preserve">study, we aimed to compare the </w:t>
      </w:r>
      <w:r w:rsidR="00E77D2B" w:rsidRPr="00345388">
        <w:rPr>
          <w:rFonts w:ascii="Times New Roman" w:eastAsia="Malgun Gothic" w:hAnsi="Times New Roman" w:cs="Times New Roman"/>
          <w:sz w:val="24"/>
          <w:szCs w:val="24"/>
        </w:rPr>
        <w:t>effectiveness and safety of NOACs with those of warfarin in patients with non-valvular AF and low body weight.</w:t>
      </w:r>
    </w:p>
    <w:p w14:paraId="0F5CB75B" w14:textId="77777777" w:rsidR="00572D52" w:rsidRPr="00345388" w:rsidRDefault="00572D52" w:rsidP="00EB0B89">
      <w:pPr>
        <w:spacing w:after="0" w:line="480" w:lineRule="auto"/>
        <w:rPr>
          <w:rFonts w:ascii="Times New Roman" w:hAnsi="Times New Roman" w:cs="Times New Roman"/>
          <w:b/>
          <w:sz w:val="24"/>
          <w:szCs w:val="24"/>
        </w:rPr>
        <w:sectPr w:rsidR="00572D52" w:rsidRPr="00345388" w:rsidSect="00FB644B">
          <w:footerReference w:type="even" r:id="rId8"/>
          <w:footerReference w:type="default" r:id="rId9"/>
          <w:type w:val="continuous"/>
          <w:pgSz w:w="11906" w:h="16838"/>
          <w:pgMar w:top="1701" w:right="1440" w:bottom="1440" w:left="1440" w:header="851" w:footer="992" w:gutter="0"/>
          <w:cols w:space="425"/>
          <w:docGrid w:linePitch="360"/>
        </w:sectPr>
      </w:pPr>
    </w:p>
    <w:p w14:paraId="5DF47A62" w14:textId="2D82D61C" w:rsidR="005A3A85" w:rsidRPr="00345388" w:rsidRDefault="005A3A85"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t>Methods</w:t>
      </w:r>
    </w:p>
    <w:p w14:paraId="3DF04E55" w14:textId="62C26A17" w:rsidR="00D4330B" w:rsidRPr="00345388" w:rsidRDefault="001A2F81" w:rsidP="00EB0B89">
      <w:pPr>
        <w:spacing w:after="0" w:line="480" w:lineRule="auto"/>
        <w:rPr>
          <w:rFonts w:ascii="Times New Roman" w:hAnsi="Times New Roman" w:cs="Times New Roman"/>
          <w:sz w:val="24"/>
          <w:szCs w:val="24"/>
        </w:rPr>
      </w:pPr>
      <w:bookmarkStart w:id="3" w:name="_Hlk527361535"/>
      <w:bookmarkStart w:id="4" w:name="_Hlk527361586"/>
      <w:r w:rsidRPr="00345388">
        <w:rPr>
          <w:rFonts w:ascii="Times New Roman" w:hAnsi="Times New Roman" w:cs="Times New Roman"/>
          <w:sz w:val="24"/>
          <w:szCs w:val="24"/>
        </w:rPr>
        <w:t>In this retrospective cohort, all patient data were acquired from the Korean National Health Insurance Service (NHIS) (a registry of approximately 50 million entire Korean population) and the National Health Insurance Corporation Health checkup database. Briefly, the Korean NHIS database includes subjects’ demographic information, prescription dispensing records, procedure and diagnosis codes for inpatient and outpatient services. Diagnoses were coded based on the International Classification of Disease, Tenth Revision, Clinical Modification codes. Detailed information regarding Korea NHIS database has been described elsewhere (12).</w:t>
      </w:r>
      <w:bookmarkEnd w:id="3"/>
      <w:r w:rsidRPr="00345388">
        <w:rPr>
          <w:rFonts w:ascii="Times New Roman" w:hAnsi="Times New Roman" w:cs="Times New Roman"/>
          <w:sz w:val="24"/>
          <w:szCs w:val="24"/>
        </w:rPr>
        <w:t xml:space="preserve"> </w:t>
      </w:r>
      <w:r w:rsidR="00095785" w:rsidRPr="00345388">
        <w:rPr>
          <w:rFonts w:ascii="Times New Roman" w:hAnsi="Times New Roman" w:cs="Times New Roman"/>
          <w:sz w:val="24"/>
          <w:szCs w:val="24"/>
        </w:rPr>
        <w:t>This study was exempt from review by the Seoul National University Hospital Institutional Review Board (</w:t>
      </w:r>
      <w:r w:rsidR="00EA4783" w:rsidRPr="00345388">
        <w:rPr>
          <w:rFonts w:ascii="Times New Roman" w:hAnsi="Times New Roman" w:cs="Times New Roman"/>
          <w:sz w:val="24"/>
          <w:szCs w:val="24"/>
        </w:rPr>
        <w:t>E-1802</w:t>
      </w:r>
      <w:r w:rsidR="00095785" w:rsidRPr="00345388">
        <w:rPr>
          <w:rFonts w:ascii="Times New Roman" w:hAnsi="Times New Roman" w:cs="Times New Roman"/>
          <w:sz w:val="24"/>
          <w:szCs w:val="24"/>
        </w:rPr>
        <w:t>-</w:t>
      </w:r>
      <w:r w:rsidR="00EA4783" w:rsidRPr="00345388">
        <w:rPr>
          <w:rFonts w:ascii="Times New Roman" w:hAnsi="Times New Roman" w:cs="Times New Roman"/>
          <w:sz w:val="24"/>
          <w:szCs w:val="24"/>
        </w:rPr>
        <w:t>091</w:t>
      </w:r>
      <w:r w:rsidR="00095785" w:rsidRPr="00345388">
        <w:rPr>
          <w:rFonts w:ascii="Times New Roman" w:hAnsi="Times New Roman" w:cs="Times New Roman"/>
          <w:sz w:val="24"/>
          <w:szCs w:val="24"/>
        </w:rPr>
        <w:t>-</w:t>
      </w:r>
      <w:r w:rsidR="00EA4783" w:rsidRPr="00345388">
        <w:rPr>
          <w:rFonts w:ascii="Times New Roman" w:hAnsi="Times New Roman" w:cs="Times New Roman"/>
          <w:sz w:val="24"/>
          <w:szCs w:val="24"/>
        </w:rPr>
        <w:t>923</w:t>
      </w:r>
      <w:r w:rsidR="00095785" w:rsidRPr="00345388">
        <w:rPr>
          <w:rFonts w:ascii="Times New Roman" w:hAnsi="Times New Roman" w:cs="Times New Roman"/>
          <w:sz w:val="24"/>
          <w:szCs w:val="24"/>
        </w:rPr>
        <w:t xml:space="preserve">). </w:t>
      </w:r>
      <w:bookmarkEnd w:id="4"/>
    </w:p>
    <w:p w14:paraId="5BAF25B5" w14:textId="618D6A51" w:rsidR="00095785" w:rsidRPr="00345388" w:rsidRDefault="00095785"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t>Study design</w:t>
      </w:r>
    </w:p>
    <w:p w14:paraId="09347E98" w14:textId="3C740E0A" w:rsidR="00095785" w:rsidRPr="00345388" w:rsidRDefault="00095785"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 xml:space="preserve">We studied </w:t>
      </w:r>
      <w:r w:rsidR="00D1327A" w:rsidRPr="00345388">
        <w:rPr>
          <w:rFonts w:ascii="Times New Roman" w:hAnsi="Times New Roman" w:cs="Times New Roman"/>
          <w:sz w:val="24"/>
          <w:szCs w:val="24"/>
        </w:rPr>
        <w:t xml:space="preserve">adult </w:t>
      </w:r>
      <w:r w:rsidRPr="00345388">
        <w:rPr>
          <w:rFonts w:ascii="Times New Roman" w:hAnsi="Times New Roman" w:cs="Times New Roman"/>
          <w:sz w:val="24"/>
          <w:szCs w:val="24"/>
        </w:rPr>
        <w:t>patients with non-valvular AF</w:t>
      </w:r>
      <w:r w:rsidR="000B61EE" w:rsidRPr="00345388">
        <w:rPr>
          <w:rFonts w:ascii="Times New Roman" w:hAnsi="Times New Roman" w:cs="Times New Roman"/>
          <w:sz w:val="24"/>
          <w:szCs w:val="24"/>
        </w:rPr>
        <w:t xml:space="preserve"> </w:t>
      </w:r>
      <w:r w:rsidRPr="00345388">
        <w:rPr>
          <w:rFonts w:ascii="Times New Roman" w:hAnsi="Times New Roman" w:cs="Times New Roman"/>
          <w:sz w:val="24"/>
          <w:szCs w:val="24"/>
        </w:rPr>
        <w:t xml:space="preserve">treated with warfarin or NOACs (rivaroxaban, dabigatran, apixaban, or edoxaban). </w:t>
      </w:r>
      <w:r w:rsidR="00957564" w:rsidRPr="00345388">
        <w:rPr>
          <w:rFonts w:ascii="Times New Roman" w:hAnsi="Times New Roman" w:cs="Times New Roman"/>
          <w:sz w:val="24"/>
          <w:szCs w:val="24"/>
          <w:u w:val="single"/>
        </w:rPr>
        <w:t xml:space="preserve">We identified 263,263 patients who had ≥1 pharmacy claim for warfarin or NOACs during identification period (from January 1, 2013 to December 31, 2016) and excluded the patients prescribed any OAC before January 1, 2014 for only including new-user of index OAC. </w:t>
      </w:r>
      <w:r w:rsidR="00D1327A" w:rsidRPr="00345388">
        <w:rPr>
          <w:rFonts w:ascii="Times New Roman" w:hAnsi="Times New Roman" w:cs="Times New Roman"/>
          <w:sz w:val="24"/>
          <w:szCs w:val="24"/>
        </w:rPr>
        <w:t xml:space="preserve">We excluded patients with </w:t>
      </w:r>
      <w:r w:rsidR="00D623DC" w:rsidRPr="00345388">
        <w:rPr>
          <w:rFonts w:ascii="Times New Roman" w:hAnsi="Times New Roman" w:cs="Times New Roman"/>
          <w:sz w:val="24"/>
          <w:szCs w:val="24"/>
        </w:rPr>
        <w:t xml:space="preserve">valvular AF, </w:t>
      </w:r>
      <w:r w:rsidR="002A0E79" w:rsidRPr="00345388">
        <w:rPr>
          <w:rFonts w:ascii="Times New Roman" w:hAnsi="Times New Roman" w:cs="Times New Roman"/>
          <w:sz w:val="24"/>
          <w:szCs w:val="24"/>
        </w:rPr>
        <w:t xml:space="preserve">end-stage renal disease, </w:t>
      </w:r>
      <w:r w:rsidR="00274550" w:rsidRPr="00345388">
        <w:rPr>
          <w:rFonts w:ascii="Times New Roman" w:hAnsi="Times New Roman" w:cs="Times New Roman"/>
          <w:sz w:val="24"/>
          <w:szCs w:val="24"/>
        </w:rPr>
        <w:t xml:space="preserve">those </w:t>
      </w:r>
      <w:r w:rsidR="00D1327A" w:rsidRPr="00345388">
        <w:rPr>
          <w:rFonts w:ascii="Times New Roman" w:hAnsi="Times New Roman" w:cs="Times New Roman"/>
          <w:sz w:val="24"/>
          <w:szCs w:val="24"/>
        </w:rPr>
        <w:t xml:space="preserve">under 20 years old, and </w:t>
      </w:r>
      <w:r w:rsidR="00D94846" w:rsidRPr="00345388">
        <w:rPr>
          <w:rFonts w:ascii="Times New Roman" w:hAnsi="Times New Roman" w:cs="Times New Roman"/>
          <w:sz w:val="24"/>
          <w:szCs w:val="24"/>
        </w:rPr>
        <w:t xml:space="preserve">those </w:t>
      </w:r>
      <w:r w:rsidR="00D1327A" w:rsidRPr="00345388">
        <w:rPr>
          <w:rFonts w:ascii="Times New Roman" w:hAnsi="Times New Roman" w:cs="Times New Roman"/>
          <w:sz w:val="24"/>
          <w:szCs w:val="24"/>
        </w:rPr>
        <w:t>who had alternative indication</w:t>
      </w:r>
      <w:r w:rsidR="00D94846" w:rsidRPr="00345388">
        <w:rPr>
          <w:rFonts w:ascii="Times New Roman" w:hAnsi="Times New Roman" w:cs="Times New Roman"/>
          <w:sz w:val="24"/>
          <w:szCs w:val="24"/>
        </w:rPr>
        <w:t>s</w:t>
      </w:r>
      <w:r w:rsidR="00D1327A" w:rsidRPr="00345388">
        <w:rPr>
          <w:rFonts w:ascii="Times New Roman" w:hAnsi="Times New Roman" w:cs="Times New Roman"/>
          <w:sz w:val="24"/>
          <w:szCs w:val="24"/>
        </w:rPr>
        <w:t xml:space="preserve"> for OAC treatment, such as deep vein thrombosis, pulmonary embolism, or joint replacement surgery. In the Korean NHIS database, </w:t>
      </w:r>
      <w:r w:rsidR="00AE6A2A" w:rsidRPr="00345388">
        <w:rPr>
          <w:rFonts w:ascii="Times New Roman" w:hAnsi="Times New Roman" w:cs="Times New Roman"/>
          <w:sz w:val="24"/>
          <w:szCs w:val="24"/>
        </w:rPr>
        <w:t xml:space="preserve">we could not differentiate between new and </w:t>
      </w:r>
      <w:r w:rsidR="00D1327A" w:rsidRPr="00345388">
        <w:rPr>
          <w:rFonts w:ascii="Times New Roman" w:hAnsi="Times New Roman" w:cs="Times New Roman"/>
          <w:sz w:val="24"/>
          <w:szCs w:val="24"/>
        </w:rPr>
        <w:t>recurrent episodes</w:t>
      </w:r>
      <w:r w:rsidR="00AE6A2A" w:rsidRPr="00345388">
        <w:rPr>
          <w:rFonts w:ascii="Times New Roman" w:hAnsi="Times New Roman" w:cs="Times New Roman"/>
          <w:sz w:val="24"/>
          <w:szCs w:val="24"/>
        </w:rPr>
        <w:t>;</w:t>
      </w:r>
      <w:r w:rsidR="00D1327A" w:rsidRPr="00345388">
        <w:rPr>
          <w:rFonts w:ascii="Times New Roman" w:hAnsi="Times New Roman" w:cs="Times New Roman"/>
          <w:sz w:val="24"/>
          <w:szCs w:val="24"/>
        </w:rPr>
        <w:t xml:space="preserve"> </w:t>
      </w:r>
      <w:r w:rsidR="00D1327A" w:rsidRPr="00345388">
        <w:rPr>
          <w:rFonts w:ascii="Times New Roman" w:hAnsi="Times New Roman" w:cs="Times New Roman"/>
          <w:sz w:val="24"/>
          <w:szCs w:val="24"/>
        </w:rPr>
        <w:lastRenderedPageBreak/>
        <w:t xml:space="preserve">thus, we excluded patients with </w:t>
      </w:r>
      <w:r w:rsidR="00AE6A2A" w:rsidRPr="00345388">
        <w:rPr>
          <w:rFonts w:ascii="Times New Roman" w:hAnsi="Times New Roman" w:cs="Times New Roman"/>
          <w:sz w:val="24"/>
          <w:szCs w:val="24"/>
        </w:rPr>
        <w:t xml:space="preserve">a </w:t>
      </w:r>
      <w:r w:rsidR="00D1327A" w:rsidRPr="00345388">
        <w:rPr>
          <w:rFonts w:ascii="Times New Roman" w:hAnsi="Times New Roman" w:cs="Times New Roman"/>
          <w:sz w:val="24"/>
          <w:szCs w:val="24"/>
        </w:rPr>
        <w:t>history of ischemic stroke, ICH, or gastrointestinal (GI) bleeding</w:t>
      </w:r>
      <w:r w:rsidR="00FC0F1F" w:rsidRPr="00345388">
        <w:rPr>
          <w:rFonts w:ascii="Times New Roman" w:hAnsi="Times New Roman" w:cs="Times New Roman"/>
          <w:sz w:val="24"/>
          <w:szCs w:val="24"/>
        </w:rPr>
        <w:t xml:space="preserve"> (</w:t>
      </w:r>
      <w:r w:rsidR="00B11EDE" w:rsidRPr="00345388">
        <w:rPr>
          <w:rFonts w:ascii="Times New Roman" w:hAnsi="Times New Roman" w:cs="Times New Roman"/>
          <w:sz w:val="24"/>
          <w:szCs w:val="24"/>
        </w:rPr>
        <w:t>13</w:t>
      </w:r>
      <w:r w:rsidR="00FC0F1F" w:rsidRPr="00345388">
        <w:rPr>
          <w:rFonts w:ascii="Times New Roman" w:hAnsi="Times New Roman" w:cs="Times New Roman"/>
          <w:sz w:val="24"/>
          <w:szCs w:val="24"/>
        </w:rPr>
        <w:t>,</w:t>
      </w:r>
      <w:r w:rsidR="00B11EDE" w:rsidRPr="00345388">
        <w:rPr>
          <w:rFonts w:ascii="Times New Roman" w:hAnsi="Times New Roman" w:cs="Times New Roman"/>
          <w:sz w:val="24"/>
          <w:szCs w:val="24"/>
        </w:rPr>
        <w:t>14</w:t>
      </w:r>
      <w:r w:rsidR="00FC0F1F" w:rsidRPr="00345388">
        <w:rPr>
          <w:rFonts w:ascii="Times New Roman" w:hAnsi="Times New Roman" w:cs="Times New Roman"/>
          <w:sz w:val="24"/>
          <w:szCs w:val="24"/>
        </w:rPr>
        <w:t>)</w:t>
      </w:r>
      <w:r w:rsidR="00D1327A" w:rsidRPr="00345388">
        <w:rPr>
          <w:rFonts w:ascii="Times New Roman" w:hAnsi="Times New Roman" w:cs="Times New Roman"/>
          <w:sz w:val="24"/>
          <w:szCs w:val="24"/>
        </w:rPr>
        <w:t xml:space="preserve">. </w:t>
      </w:r>
      <w:r w:rsidR="001C7F64" w:rsidRPr="00345388">
        <w:rPr>
          <w:rFonts w:ascii="Times New Roman" w:hAnsi="Times New Roman" w:cs="Times New Roman"/>
          <w:sz w:val="24"/>
          <w:szCs w:val="24"/>
        </w:rPr>
        <w:t xml:space="preserve">Of </w:t>
      </w:r>
      <w:r w:rsidR="00D1327A" w:rsidRPr="00345388">
        <w:rPr>
          <w:rFonts w:ascii="Times New Roman" w:hAnsi="Times New Roman" w:cs="Times New Roman"/>
          <w:sz w:val="24"/>
          <w:szCs w:val="24"/>
        </w:rPr>
        <w:t xml:space="preserve">the 85,818 patients, </w:t>
      </w:r>
      <w:r w:rsidR="001C7F64" w:rsidRPr="00345388">
        <w:rPr>
          <w:rFonts w:ascii="Times New Roman" w:hAnsi="Times New Roman" w:cs="Times New Roman"/>
          <w:sz w:val="24"/>
          <w:szCs w:val="24"/>
        </w:rPr>
        <w:t xml:space="preserve">body weight </w:t>
      </w:r>
      <w:r w:rsidR="00D2328D" w:rsidRPr="00345388">
        <w:rPr>
          <w:rFonts w:ascii="Times New Roman" w:hAnsi="Times New Roman" w:cs="Times New Roman"/>
          <w:sz w:val="24"/>
          <w:szCs w:val="24"/>
        </w:rPr>
        <w:t xml:space="preserve">data </w:t>
      </w:r>
      <w:r w:rsidR="001C7F64" w:rsidRPr="00345388">
        <w:rPr>
          <w:rFonts w:ascii="Times New Roman" w:hAnsi="Times New Roman" w:cs="Times New Roman"/>
          <w:sz w:val="24"/>
          <w:szCs w:val="24"/>
        </w:rPr>
        <w:t xml:space="preserve">was available for </w:t>
      </w:r>
      <w:r w:rsidR="00D1327A" w:rsidRPr="00345388">
        <w:rPr>
          <w:rFonts w:ascii="Times New Roman" w:hAnsi="Times New Roman" w:cs="Times New Roman"/>
          <w:sz w:val="24"/>
          <w:szCs w:val="24"/>
        </w:rPr>
        <w:t>58,838 patients</w:t>
      </w:r>
      <w:r w:rsidR="001C7F64" w:rsidRPr="00345388">
        <w:rPr>
          <w:rFonts w:ascii="Times New Roman" w:hAnsi="Times New Roman" w:cs="Times New Roman"/>
          <w:sz w:val="24"/>
          <w:szCs w:val="24"/>
        </w:rPr>
        <w:t>,</w:t>
      </w:r>
      <w:r w:rsidR="00D1327A" w:rsidRPr="00345388">
        <w:rPr>
          <w:rFonts w:ascii="Times New Roman" w:hAnsi="Times New Roman" w:cs="Times New Roman"/>
          <w:sz w:val="24"/>
          <w:szCs w:val="24"/>
        </w:rPr>
        <w:t xml:space="preserve"> </w:t>
      </w:r>
      <w:r w:rsidR="00B12BBB" w:rsidRPr="00345388">
        <w:rPr>
          <w:rFonts w:ascii="Times New Roman" w:hAnsi="Times New Roman" w:cs="Times New Roman"/>
          <w:sz w:val="24"/>
          <w:szCs w:val="24"/>
        </w:rPr>
        <w:t>and finally, 21,</w:t>
      </w:r>
      <w:r w:rsidR="0051429A" w:rsidRPr="00345388">
        <w:rPr>
          <w:rFonts w:ascii="Times New Roman" w:hAnsi="Times New Roman" w:cs="Times New Roman"/>
          <w:sz w:val="24"/>
          <w:szCs w:val="24"/>
        </w:rPr>
        <w:t>679</w:t>
      </w:r>
      <w:r w:rsidR="00B12BBB" w:rsidRPr="00345388">
        <w:rPr>
          <w:rFonts w:ascii="Times New Roman" w:hAnsi="Times New Roman" w:cs="Times New Roman"/>
          <w:sz w:val="24"/>
          <w:szCs w:val="24"/>
        </w:rPr>
        <w:t xml:space="preserve"> patients with </w:t>
      </w:r>
      <w:r w:rsidR="001C7F64" w:rsidRPr="00345388">
        <w:rPr>
          <w:rFonts w:ascii="Times New Roman" w:hAnsi="Times New Roman" w:cs="Times New Roman"/>
          <w:sz w:val="24"/>
          <w:szCs w:val="24"/>
        </w:rPr>
        <w:t xml:space="preserve">a </w:t>
      </w:r>
      <w:r w:rsidR="00B12BBB" w:rsidRPr="00345388">
        <w:rPr>
          <w:rFonts w:ascii="Times New Roman" w:hAnsi="Times New Roman" w:cs="Times New Roman"/>
          <w:sz w:val="24"/>
          <w:szCs w:val="24"/>
        </w:rPr>
        <w:t xml:space="preserve">body weight </w:t>
      </w:r>
      <w:r w:rsidR="00D2328D" w:rsidRPr="00345388">
        <w:rPr>
          <w:rFonts w:ascii="Times New Roman" w:hAnsi="Times New Roman" w:cs="Times New Roman"/>
          <w:sz w:val="24"/>
          <w:szCs w:val="24"/>
        </w:rPr>
        <w:t>≤</w:t>
      </w:r>
      <w:r w:rsidR="00B12BBB" w:rsidRPr="00345388">
        <w:rPr>
          <w:rFonts w:ascii="Times New Roman" w:hAnsi="Times New Roman" w:cs="Times New Roman"/>
          <w:sz w:val="24"/>
          <w:szCs w:val="24"/>
        </w:rPr>
        <w:t>60 kg were included in the analysis</w:t>
      </w:r>
      <w:r w:rsidR="00DB1D65" w:rsidRPr="00345388">
        <w:rPr>
          <w:rFonts w:ascii="Times New Roman" w:hAnsi="Times New Roman" w:cs="Times New Roman"/>
          <w:sz w:val="24"/>
          <w:szCs w:val="24"/>
        </w:rPr>
        <w:t xml:space="preserve"> (</w:t>
      </w:r>
      <w:r w:rsidR="00D623DC" w:rsidRPr="00345388">
        <w:rPr>
          <w:rFonts w:ascii="Times New Roman" w:hAnsi="Times New Roman" w:cs="Times New Roman"/>
          <w:sz w:val="24"/>
          <w:szCs w:val="24"/>
        </w:rPr>
        <w:t>Figure 1</w:t>
      </w:r>
      <w:r w:rsidR="00DB1D65" w:rsidRPr="00345388">
        <w:rPr>
          <w:rFonts w:ascii="Times New Roman" w:hAnsi="Times New Roman" w:cs="Times New Roman"/>
          <w:sz w:val="24"/>
          <w:szCs w:val="24"/>
        </w:rPr>
        <w:t>)</w:t>
      </w:r>
      <w:r w:rsidR="00B12BBB" w:rsidRPr="00345388">
        <w:rPr>
          <w:rFonts w:ascii="Times New Roman" w:hAnsi="Times New Roman" w:cs="Times New Roman"/>
          <w:sz w:val="24"/>
          <w:szCs w:val="24"/>
        </w:rPr>
        <w:t xml:space="preserve">. </w:t>
      </w:r>
    </w:p>
    <w:p w14:paraId="670FB7D2" w14:textId="77777777" w:rsidR="00914E19" w:rsidRPr="00345388" w:rsidRDefault="00914E19"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t>Covariates</w:t>
      </w:r>
    </w:p>
    <w:p w14:paraId="1C7D31F5" w14:textId="09D97E41" w:rsidR="00F95862" w:rsidRPr="00345388" w:rsidRDefault="00BC0DC6"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 xml:space="preserve">Baseline characteristics including age, sex, and comorbidities </w:t>
      </w:r>
      <w:r w:rsidR="00F76711" w:rsidRPr="00345388">
        <w:rPr>
          <w:rFonts w:ascii="Times New Roman" w:hAnsi="Times New Roman" w:cs="Times New Roman"/>
          <w:sz w:val="24"/>
          <w:szCs w:val="24"/>
        </w:rPr>
        <w:t>(</w:t>
      </w:r>
      <w:r w:rsidRPr="00345388">
        <w:rPr>
          <w:rFonts w:ascii="Times New Roman" w:hAnsi="Times New Roman" w:cs="Times New Roman"/>
          <w:sz w:val="24"/>
          <w:szCs w:val="24"/>
        </w:rPr>
        <w:t>hypertension, diabetes, dyslipidemia, congestive heart failure, peripheral artery disease</w:t>
      </w:r>
      <w:r w:rsidR="0001594E" w:rsidRPr="00345388">
        <w:rPr>
          <w:rFonts w:ascii="Times New Roman" w:hAnsi="Times New Roman" w:cs="Times New Roman"/>
          <w:sz w:val="24"/>
          <w:szCs w:val="24"/>
        </w:rPr>
        <w:t xml:space="preserve"> </w:t>
      </w:r>
      <w:r w:rsidR="00681F57" w:rsidRPr="00345388">
        <w:rPr>
          <w:rFonts w:ascii="Times New Roman" w:hAnsi="Times New Roman" w:cs="Times New Roman"/>
          <w:sz w:val="24"/>
          <w:szCs w:val="24"/>
        </w:rPr>
        <w:t>(</w:t>
      </w:r>
      <w:r w:rsidR="0001594E" w:rsidRPr="00345388">
        <w:rPr>
          <w:rFonts w:ascii="Times New Roman" w:hAnsi="Times New Roman" w:cs="Times New Roman"/>
          <w:sz w:val="24"/>
          <w:szCs w:val="24"/>
        </w:rPr>
        <w:t>PAD</w:t>
      </w:r>
      <w:r w:rsidR="00681F57" w:rsidRPr="00345388">
        <w:rPr>
          <w:rFonts w:ascii="Times New Roman" w:hAnsi="Times New Roman" w:cs="Times New Roman"/>
          <w:sz w:val="24"/>
          <w:szCs w:val="24"/>
        </w:rPr>
        <w:t>),</w:t>
      </w:r>
      <w:r w:rsidRPr="00345388">
        <w:rPr>
          <w:rFonts w:ascii="Times New Roman" w:hAnsi="Times New Roman" w:cs="Times New Roman"/>
          <w:sz w:val="24"/>
          <w:szCs w:val="24"/>
        </w:rPr>
        <w:t xml:space="preserve"> chronic obstructive pulmonary disease</w:t>
      </w:r>
      <w:r w:rsidR="0001594E" w:rsidRPr="00345388">
        <w:rPr>
          <w:rFonts w:ascii="Times New Roman" w:hAnsi="Times New Roman" w:cs="Times New Roman"/>
          <w:sz w:val="24"/>
          <w:szCs w:val="24"/>
        </w:rPr>
        <w:t xml:space="preserve"> </w:t>
      </w:r>
      <w:r w:rsidR="00681F57" w:rsidRPr="00345388">
        <w:rPr>
          <w:rFonts w:ascii="Times New Roman" w:hAnsi="Times New Roman" w:cs="Times New Roman"/>
          <w:sz w:val="24"/>
          <w:szCs w:val="24"/>
        </w:rPr>
        <w:t>(</w:t>
      </w:r>
      <w:r w:rsidR="0001594E" w:rsidRPr="00345388">
        <w:rPr>
          <w:rFonts w:ascii="Times New Roman" w:hAnsi="Times New Roman" w:cs="Times New Roman"/>
          <w:sz w:val="24"/>
          <w:szCs w:val="24"/>
        </w:rPr>
        <w:t>COPD</w:t>
      </w:r>
      <w:r w:rsidR="00681F57" w:rsidRPr="00345388">
        <w:rPr>
          <w:rFonts w:ascii="Times New Roman" w:hAnsi="Times New Roman" w:cs="Times New Roman"/>
          <w:sz w:val="24"/>
          <w:szCs w:val="24"/>
        </w:rPr>
        <w:t>),</w:t>
      </w:r>
      <w:r w:rsidRPr="00345388">
        <w:rPr>
          <w:rFonts w:ascii="Times New Roman" w:hAnsi="Times New Roman" w:cs="Times New Roman"/>
          <w:sz w:val="24"/>
          <w:szCs w:val="24"/>
        </w:rPr>
        <w:t xml:space="preserve"> and prior myocardial infarction</w:t>
      </w:r>
      <w:r w:rsidR="0001594E" w:rsidRPr="00345388">
        <w:rPr>
          <w:rFonts w:ascii="Times New Roman" w:hAnsi="Times New Roman" w:cs="Times New Roman"/>
          <w:sz w:val="24"/>
          <w:szCs w:val="24"/>
        </w:rPr>
        <w:t xml:space="preserve"> </w:t>
      </w:r>
      <w:r w:rsidR="00681F57" w:rsidRPr="00345388">
        <w:rPr>
          <w:rFonts w:ascii="Times New Roman" w:hAnsi="Times New Roman" w:cs="Times New Roman"/>
          <w:sz w:val="24"/>
          <w:szCs w:val="24"/>
        </w:rPr>
        <w:t>(</w:t>
      </w:r>
      <w:r w:rsidR="0001594E" w:rsidRPr="00345388">
        <w:rPr>
          <w:rFonts w:ascii="Times New Roman" w:hAnsi="Times New Roman" w:cs="Times New Roman"/>
          <w:sz w:val="24"/>
          <w:szCs w:val="24"/>
        </w:rPr>
        <w:t>MI</w:t>
      </w:r>
      <w:r w:rsidR="008453D5" w:rsidRPr="00345388">
        <w:rPr>
          <w:rFonts w:ascii="Times New Roman" w:hAnsi="Times New Roman" w:cs="Times New Roman"/>
          <w:sz w:val="24"/>
          <w:szCs w:val="24"/>
        </w:rPr>
        <w:t>)</w:t>
      </w:r>
      <w:r w:rsidR="00681F57" w:rsidRPr="00345388">
        <w:rPr>
          <w:rFonts w:ascii="Times New Roman" w:hAnsi="Times New Roman" w:cs="Times New Roman"/>
          <w:sz w:val="24"/>
          <w:szCs w:val="24"/>
        </w:rPr>
        <w:t>)</w:t>
      </w:r>
      <w:r w:rsidRPr="00345388">
        <w:rPr>
          <w:rFonts w:ascii="Times New Roman" w:hAnsi="Times New Roman" w:cs="Times New Roman"/>
          <w:sz w:val="24"/>
          <w:szCs w:val="24"/>
        </w:rPr>
        <w:t xml:space="preserve"> were evaluated. Comorbidities were defined by diagnosis codes, prescription records, and inpatient/outpatient hospital visits within 1</w:t>
      </w:r>
      <w:r w:rsidR="00C13CCD" w:rsidRPr="00345388">
        <w:rPr>
          <w:rFonts w:ascii="Times New Roman" w:hAnsi="Times New Roman" w:cs="Times New Roman"/>
          <w:sz w:val="24"/>
          <w:szCs w:val="24"/>
        </w:rPr>
        <w:t xml:space="preserve"> </w:t>
      </w:r>
      <w:r w:rsidRPr="00345388">
        <w:rPr>
          <w:rFonts w:ascii="Times New Roman" w:hAnsi="Times New Roman" w:cs="Times New Roman"/>
          <w:sz w:val="24"/>
          <w:szCs w:val="24"/>
        </w:rPr>
        <w:t>year prior to the index date (</w:t>
      </w:r>
      <w:r w:rsidR="00B22442" w:rsidRPr="00345388">
        <w:rPr>
          <w:rFonts w:ascii="Times New Roman" w:hAnsi="Times New Roman" w:cs="Times New Roman"/>
          <w:sz w:val="24"/>
          <w:szCs w:val="24"/>
        </w:rPr>
        <w:t>Online Table</w:t>
      </w:r>
      <w:r w:rsidRPr="00345388">
        <w:rPr>
          <w:rFonts w:ascii="Times New Roman" w:hAnsi="Times New Roman" w:cs="Times New Roman"/>
          <w:sz w:val="24"/>
          <w:szCs w:val="24"/>
        </w:rPr>
        <w:t xml:space="preserve"> 1). </w:t>
      </w:r>
      <w:r w:rsidR="00C13CCD" w:rsidRPr="00345388">
        <w:rPr>
          <w:rFonts w:ascii="Times New Roman" w:hAnsi="Times New Roman" w:cs="Times New Roman"/>
          <w:sz w:val="24"/>
          <w:szCs w:val="24"/>
        </w:rPr>
        <w:t xml:space="preserve">The </w:t>
      </w:r>
      <w:r w:rsidR="00E673E4" w:rsidRPr="00345388">
        <w:rPr>
          <w:rFonts w:ascii="Times New Roman" w:hAnsi="Times New Roman" w:cs="Times New Roman"/>
          <w:sz w:val="24"/>
          <w:szCs w:val="24"/>
        </w:rPr>
        <w:t>CHA</w:t>
      </w:r>
      <w:r w:rsidR="00E673E4" w:rsidRPr="00345388">
        <w:rPr>
          <w:rFonts w:ascii="Times New Roman" w:hAnsi="Times New Roman" w:cs="Times New Roman"/>
          <w:sz w:val="24"/>
          <w:szCs w:val="24"/>
          <w:vertAlign w:val="subscript"/>
        </w:rPr>
        <w:t>2</w:t>
      </w:r>
      <w:r w:rsidR="00E673E4" w:rsidRPr="00345388">
        <w:rPr>
          <w:rFonts w:ascii="Times New Roman" w:hAnsi="Times New Roman" w:cs="Times New Roman"/>
          <w:sz w:val="24"/>
          <w:szCs w:val="24"/>
        </w:rPr>
        <w:t>DS</w:t>
      </w:r>
      <w:r w:rsidR="00E673E4" w:rsidRPr="00345388">
        <w:rPr>
          <w:rFonts w:ascii="Times New Roman" w:hAnsi="Times New Roman" w:cs="Times New Roman"/>
          <w:sz w:val="24"/>
          <w:szCs w:val="24"/>
          <w:vertAlign w:val="subscript"/>
        </w:rPr>
        <w:t>2</w:t>
      </w:r>
      <w:r w:rsidR="00E673E4" w:rsidRPr="00345388">
        <w:rPr>
          <w:rFonts w:ascii="Times New Roman" w:hAnsi="Times New Roman" w:cs="Times New Roman"/>
          <w:sz w:val="24"/>
          <w:szCs w:val="24"/>
        </w:rPr>
        <w:t xml:space="preserve">-VASc score was calculated by assigning 2 points each for </w:t>
      </w:r>
      <w:r w:rsidR="00282C2A" w:rsidRPr="00345388">
        <w:rPr>
          <w:rFonts w:ascii="Times New Roman" w:hAnsi="Times New Roman" w:cs="Times New Roman"/>
          <w:sz w:val="24"/>
          <w:szCs w:val="24"/>
        </w:rPr>
        <w:t>≥</w:t>
      </w:r>
      <w:r w:rsidR="00E673E4" w:rsidRPr="00345388">
        <w:rPr>
          <w:rFonts w:ascii="Times New Roman" w:hAnsi="Times New Roman" w:cs="Times New Roman"/>
          <w:sz w:val="24"/>
          <w:szCs w:val="24"/>
        </w:rPr>
        <w:t xml:space="preserve">75 years </w:t>
      </w:r>
      <w:r w:rsidR="00282C2A" w:rsidRPr="00345388">
        <w:rPr>
          <w:rFonts w:ascii="Times New Roman" w:hAnsi="Times New Roman" w:cs="Times New Roman"/>
          <w:sz w:val="24"/>
          <w:szCs w:val="24"/>
        </w:rPr>
        <w:t>old</w:t>
      </w:r>
      <w:r w:rsidR="00E673E4" w:rsidRPr="00345388">
        <w:rPr>
          <w:rFonts w:ascii="Times New Roman" w:hAnsi="Times New Roman" w:cs="Times New Roman"/>
          <w:sz w:val="24"/>
          <w:szCs w:val="24"/>
        </w:rPr>
        <w:t xml:space="preserve"> and prior stroke/transient ischemic attack/systemic thromboembolism and 1 point each for age 65</w:t>
      </w:r>
      <w:r w:rsidR="00D64F90" w:rsidRPr="00345388">
        <w:rPr>
          <w:rFonts w:ascii="Times New Roman" w:hAnsi="Times New Roman" w:cs="Times New Roman"/>
          <w:sz w:val="24"/>
          <w:szCs w:val="24"/>
        </w:rPr>
        <w:t>-</w:t>
      </w:r>
      <w:r w:rsidR="00E673E4" w:rsidRPr="00345388">
        <w:rPr>
          <w:rFonts w:ascii="Times New Roman" w:hAnsi="Times New Roman" w:cs="Times New Roman"/>
          <w:sz w:val="24"/>
          <w:szCs w:val="24"/>
        </w:rPr>
        <w:t>74 years, female sex, congestive heart failure, hypertension, diabetes, and vascular disease (</w:t>
      </w:r>
      <w:r w:rsidR="0001594E" w:rsidRPr="00345388">
        <w:rPr>
          <w:rFonts w:ascii="Times New Roman" w:hAnsi="Times New Roman" w:cs="Times New Roman"/>
          <w:sz w:val="24"/>
          <w:szCs w:val="24"/>
        </w:rPr>
        <w:t>PAD</w:t>
      </w:r>
      <w:r w:rsidR="00E673E4" w:rsidRPr="00345388">
        <w:rPr>
          <w:rFonts w:ascii="Times New Roman" w:hAnsi="Times New Roman" w:cs="Times New Roman"/>
          <w:sz w:val="24"/>
          <w:szCs w:val="24"/>
        </w:rPr>
        <w:t xml:space="preserve"> or prior </w:t>
      </w:r>
      <w:r w:rsidR="0001594E" w:rsidRPr="00345388">
        <w:rPr>
          <w:rFonts w:ascii="Times New Roman" w:hAnsi="Times New Roman" w:cs="Times New Roman"/>
          <w:sz w:val="24"/>
          <w:szCs w:val="24"/>
        </w:rPr>
        <w:t>MI</w:t>
      </w:r>
      <w:r w:rsidR="00E673E4" w:rsidRPr="00345388">
        <w:rPr>
          <w:rFonts w:ascii="Times New Roman" w:hAnsi="Times New Roman" w:cs="Times New Roman"/>
          <w:sz w:val="24"/>
          <w:szCs w:val="24"/>
        </w:rPr>
        <w:t>)</w:t>
      </w:r>
      <w:r w:rsidR="00B22442" w:rsidRPr="00345388">
        <w:rPr>
          <w:rFonts w:ascii="Times New Roman" w:hAnsi="Times New Roman" w:cs="Times New Roman"/>
          <w:sz w:val="24"/>
          <w:szCs w:val="24"/>
        </w:rPr>
        <w:t xml:space="preserve"> (</w:t>
      </w:r>
      <w:r w:rsidR="00B11EDE" w:rsidRPr="00345388">
        <w:rPr>
          <w:rFonts w:ascii="Times New Roman" w:hAnsi="Times New Roman" w:cs="Times New Roman"/>
          <w:sz w:val="24"/>
          <w:szCs w:val="24"/>
        </w:rPr>
        <w:t>15</w:t>
      </w:r>
      <w:r w:rsidR="00B22442" w:rsidRPr="00345388">
        <w:rPr>
          <w:rFonts w:ascii="Times New Roman" w:hAnsi="Times New Roman" w:cs="Times New Roman"/>
          <w:sz w:val="24"/>
          <w:szCs w:val="24"/>
        </w:rPr>
        <w:t>)</w:t>
      </w:r>
      <w:r w:rsidR="00E673E4" w:rsidRPr="00345388">
        <w:rPr>
          <w:rFonts w:ascii="Times New Roman" w:hAnsi="Times New Roman" w:cs="Times New Roman"/>
          <w:color w:val="000000" w:themeColor="text1"/>
          <w:sz w:val="24"/>
          <w:szCs w:val="24"/>
        </w:rPr>
        <w:t xml:space="preserve">. </w:t>
      </w:r>
      <w:r w:rsidR="00B02711" w:rsidRPr="00345388">
        <w:rPr>
          <w:rFonts w:ascii="Times New Roman" w:hAnsi="Times New Roman" w:cs="Times New Roman"/>
          <w:color w:val="000000" w:themeColor="text1"/>
          <w:sz w:val="24"/>
          <w:szCs w:val="24"/>
        </w:rPr>
        <w:t xml:space="preserve">We also analyzed </w:t>
      </w:r>
      <w:r w:rsidR="00B02711" w:rsidRPr="00345388">
        <w:rPr>
          <w:rFonts w:ascii="Times New Roman" w:hAnsi="Times New Roman" w:cs="Times New Roman"/>
          <w:sz w:val="24"/>
          <w:szCs w:val="24"/>
        </w:rPr>
        <w:t>p</w:t>
      </w:r>
      <w:r w:rsidRPr="00345388">
        <w:rPr>
          <w:rFonts w:ascii="Times New Roman" w:hAnsi="Times New Roman" w:cs="Times New Roman"/>
          <w:sz w:val="24"/>
          <w:szCs w:val="24"/>
        </w:rPr>
        <w:t xml:space="preserve">atients’ body weight, body mass index (BMI), and renal function calculated by </w:t>
      </w:r>
      <w:r w:rsidR="008453D5" w:rsidRPr="00345388">
        <w:rPr>
          <w:rFonts w:ascii="Times New Roman" w:hAnsi="Times New Roman" w:cs="Times New Roman"/>
          <w:sz w:val="24"/>
          <w:szCs w:val="24"/>
        </w:rPr>
        <w:t>creatinine clearance (CrCl)</w:t>
      </w:r>
      <w:r w:rsidR="006234F1" w:rsidRPr="00345388">
        <w:rPr>
          <w:rFonts w:ascii="Times New Roman" w:hAnsi="Times New Roman" w:cs="Times New Roman"/>
          <w:sz w:val="24"/>
          <w:szCs w:val="24"/>
        </w:rPr>
        <w:t xml:space="preserve"> using the Cockcroft-Gault method.</w:t>
      </w:r>
      <w:r w:rsidRPr="00345388">
        <w:rPr>
          <w:rFonts w:ascii="Times New Roman" w:hAnsi="Times New Roman" w:cs="Times New Roman"/>
          <w:sz w:val="24"/>
          <w:szCs w:val="24"/>
        </w:rPr>
        <w:t xml:space="preserve"> </w:t>
      </w:r>
    </w:p>
    <w:p w14:paraId="689A874D" w14:textId="1C228141" w:rsidR="00F95862" w:rsidRPr="00345388" w:rsidRDefault="00F95862"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t>Definition</w:t>
      </w:r>
      <w:r w:rsidR="00411AE4" w:rsidRPr="00345388">
        <w:rPr>
          <w:rFonts w:ascii="Times New Roman" w:hAnsi="Times New Roman" w:cs="Times New Roman"/>
          <w:b/>
          <w:sz w:val="24"/>
          <w:szCs w:val="24"/>
        </w:rPr>
        <w:t>s</w:t>
      </w:r>
      <w:r w:rsidRPr="00345388">
        <w:rPr>
          <w:rFonts w:ascii="Times New Roman" w:hAnsi="Times New Roman" w:cs="Times New Roman"/>
          <w:b/>
          <w:sz w:val="24"/>
          <w:szCs w:val="24"/>
        </w:rPr>
        <w:t xml:space="preserve"> </w:t>
      </w:r>
    </w:p>
    <w:p w14:paraId="64726088" w14:textId="77F8042A" w:rsidR="00F95862" w:rsidRPr="00345388" w:rsidRDefault="006738C8"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 xml:space="preserve">We included patients with </w:t>
      </w:r>
      <w:r w:rsidR="00411AE4" w:rsidRPr="00345388">
        <w:rPr>
          <w:rFonts w:ascii="Times New Roman" w:hAnsi="Times New Roman" w:cs="Times New Roman"/>
          <w:sz w:val="24"/>
          <w:szCs w:val="24"/>
        </w:rPr>
        <w:t xml:space="preserve">a </w:t>
      </w:r>
      <w:r w:rsidRPr="00345388">
        <w:rPr>
          <w:rFonts w:ascii="Times New Roman" w:hAnsi="Times New Roman" w:cs="Times New Roman"/>
          <w:sz w:val="24"/>
          <w:szCs w:val="24"/>
        </w:rPr>
        <w:t xml:space="preserve">body weight </w:t>
      </w:r>
      <w:r w:rsidR="00411AE4" w:rsidRPr="00345388">
        <w:rPr>
          <w:rFonts w:ascii="Times New Roman" w:hAnsi="Times New Roman" w:cs="Times New Roman"/>
          <w:sz w:val="24"/>
          <w:szCs w:val="24"/>
        </w:rPr>
        <w:t xml:space="preserve">of </w:t>
      </w:r>
      <w:r w:rsidR="00493A91" w:rsidRPr="00345388">
        <w:rPr>
          <w:rFonts w:ascii="Times New Roman" w:hAnsi="Times New Roman" w:cs="Times New Roman"/>
          <w:sz w:val="24"/>
          <w:szCs w:val="24"/>
        </w:rPr>
        <w:t>≤</w:t>
      </w:r>
      <w:r w:rsidRPr="00345388">
        <w:rPr>
          <w:rFonts w:ascii="Times New Roman" w:hAnsi="Times New Roman" w:cs="Times New Roman"/>
          <w:sz w:val="24"/>
          <w:szCs w:val="24"/>
        </w:rPr>
        <w:t>60</w:t>
      </w:r>
      <w:r w:rsidR="00F26503" w:rsidRPr="00345388">
        <w:rPr>
          <w:rFonts w:ascii="Times New Roman" w:hAnsi="Times New Roman" w:cs="Times New Roman"/>
          <w:sz w:val="24"/>
          <w:szCs w:val="24"/>
        </w:rPr>
        <w:t xml:space="preserve"> </w:t>
      </w:r>
      <w:r w:rsidRPr="00345388">
        <w:rPr>
          <w:rFonts w:ascii="Times New Roman" w:hAnsi="Times New Roman" w:cs="Times New Roman"/>
          <w:sz w:val="24"/>
          <w:szCs w:val="24"/>
        </w:rPr>
        <w:t>kg</w:t>
      </w:r>
      <w:r w:rsidR="00B27D0B" w:rsidRPr="00345388">
        <w:rPr>
          <w:rFonts w:ascii="Times New Roman" w:hAnsi="Times New Roman" w:cs="Times New Roman"/>
          <w:sz w:val="24"/>
          <w:szCs w:val="24"/>
        </w:rPr>
        <w:t xml:space="preserve">, </w:t>
      </w:r>
      <w:r w:rsidRPr="00345388">
        <w:rPr>
          <w:rFonts w:ascii="Times New Roman" w:hAnsi="Times New Roman" w:cs="Times New Roman"/>
          <w:sz w:val="24"/>
          <w:szCs w:val="24"/>
        </w:rPr>
        <w:t>as low body weigh</w:t>
      </w:r>
      <w:r w:rsidR="00B62926" w:rsidRPr="00345388">
        <w:rPr>
          <w:rFonts w:ascii="Times New Roman" w:hAnsi="Times New Roman" w:cs="Times New Roman"/>
          <w:sz w:val="24"/>
          <w:szCs w:val="24"/>
        </w:rPr>
        <w:t xml:space="preserve">t thresholds </w:t>
      </w:r>
      <w:r w:rsidR="00B27D0B" w:rsidRPr="00345388">
        <w:rPr>
          <w:rFonts w:ascii="Times New Roman" w:hAnsi="Times New Roman" w:cs="Times New Roman"/>
          <w:sz w:val="24"/>
          <w:szCs w:val="24"/>
        </w:rPr>
        <w:t xml:space="preserve">are </w:t>
      </w:r>
      <w:r w:rsidR="00B62926" w:rsidRPr="00345388">
        <w:rPr>
          <w:rFonts w:ascii="Times New Roman" w:hAnsi="Times New Roman" w:cs="Times New Roman"/>
          <w:sz w:val="24"/>
          <w:szCs w:val="24"/>
        </w:rPr>
        <w:t>often used to define underweight in randomized clinical trials (RCTs)</w:t>
      </w:r>
      <w:r w:rsidR="00B22442" w:rsidRPr="00345388">
        <w:rPr>
          <w:rFonts w:ascii="Times New Roman" w:hAnsi="Times New Roman" w:cs="Times New Roman"/>
          <w:sz w:val="24"/>
          <w:szCs w:val="24"/>
        </w:rPr>
        <w:t xml:space="preserve"> (</w:t>
      </w:r>
      <w:r w:rsidR="00B11EDE" w:rsidRPr="00345388">
        <w:rPr>
          <w:rFonts w:ascii="Times New Roman" w:hAnsi="Times New Roman" w:cs="Times New Roman"/>
          <w:sz w:val="24"/>
          <w:szCs w:val="24"/>
        </w:rPr>
        <w:t>16-18</w:t>
      </w:r>
      <w:r w:rsidR="00B22442" w:rsidRPr="00345388">
        <w:rPr>
          <w:rFonts w:ascii="Times New Roman" w:hAnsi="Times New Roman" w:cs="Times New Roman"/>
          <w:sz w:val="24"/>
          <w:szCs w:val="24"/>
        </w:rPr>
        <w:t>)</w:t>
      </w:r>
      <w:r w:rsidR="00B62926" w:rsidRPr="00345388">
        <w:rPr>
          <w:rFonts w:ascii="Times New Roman" w:hAnsi="Times New Roman" w:cs="Times New Roman"/>
          <w:sz w:val="24"/>
          <w:szCs w:val="24"/>
        </w:rPr>
        <w:t xml:space="preserve">. </w:t>
      </w:r>
      <w:r w:rsidR="00411AE4" w:rsidRPr="00345388">
        <w:rPr>
          <w:rFonts w:ascii="Times New Roman" w:hAnsi="Times New Roman" w:cs="Times New Roman"/>
          <w:sz w:val="24"/>
          <w:szCs w:val="24"/>
        </w:rPr>
        <w:t>Additionally</w:t>
      </w:r>
      <w:r w:rsidR="00B62926" w:rsidRPr="00345388">
        <w:rPr>
          <w:rFonts w:ascii="Times New Roman" w:hAnsi="Times New Roman" w:cs="Times New Roman"/>
          <w:sz w:val="24"/>
          <w:szCs w:val="24"/>
        </w:rPr>
        <w:t xml:space="preserve">, body weight </w:t>
      </w:r>
      <w:r w:rsidR="00B62926" w:rsidRPr="00345388">
        <w:rPr>
          <w:rFonts w:ascii="Times New Roman" w:eastAsia="Malgun Gothic" w:hAnsi="Times New Roman" w:cs="Times New Roman"/>
          <w:sz w:val="24"/>
          <w:szCs w:val="24"/>
        </w:rPr>
        <w:t xml:space="preserve">≤60 kg was </w:t>
      </w:r>
      <w:r w:rsidR="00493A91" w:rsidRPr="00345388">
        <w:rPr>
          <w:rFonts w:ascii="Times New Roman" w:eastAsia="Malgun Gothic" w:hAnsi="Times New Roman" w:cs="Times New Roman"/>
          <w:sz w:val="24"/>
          <w:szCs w:val="24"/>
        </w:rPr>
        <w:t>a</w:t>
      </w:r>
      <w:r w:rsidRPr="00345388">
        <w:rPr>
          <w:rFonts w:ascii="Times New Roman" w:hAnsi="Times New Roman" w:cs="Times New Roman"/>
          <w:sz w:val="24"/>
          <w:szCs w:val="24"/>
        </w:rPr>
        <w:t xml:space="preserve"> </w:t>
      </w:r>
      <w:r w:rsidR="00B27D0B" w:rsidRPr="00345388">
        <w:rPr>
          <w:rFonts w:ascii="Times New Roman" w:hAnsi="Times New Roman" w:cs="Times New Roman"/>
          <w:sz w:val="24"/>
          <w:szCs w:val="24"/>
        </w:rPr>
        <w:t xml:space="preserve">clinical </w:t>
      </w:r>
      <w:r w:rsidR="00B62926" w:rsidRPr="00345388">
        <w:rPr>
          <w:rFonts w:ascii="Times New Roman" w:hAnsi="Times New Roman" w:cs="Times New Roman"/>
          <w:sz w:val="24"/>
          <w:szCs w:val="24"/>
        </w:rPr>
        <w:t>indication</w:t>
      </w:r>
      <w:r w:rsidRPr="00345388">
        <w:rPr>
          <w:rFonts w:ascii="Times New Roman" w:hAnsi="Times New Roman" w:cs="Times New Roman"/>
          <w:sz w:val="24"/>
          <w:szCs w:val="24"/>
        </w:rPr>
        <w:t xml:space="preserve"> for dose reduction with apixaban </w:t>
      </w:r>
      <w:r w:rsidR="00B27D0B" w:rsidRPr="00345388">
        <w:rPr>
          <w:rFonts w:ascii="Times New Roman" w:hAnsi="Times New Roman" w:cs="Times New Roman"/>
          <w:sz w:val="24"/>
          <w:szCs w:val="24"/>
        </w:rPr>
        <w:t xml:space="preserve">(if age </w:t>
      </w:r>
      <w:r w:rsidR="00811A3F" w:rsidRPr="00345388">
        <w:rPr>
          <w:rFonts w:ascii="Times New Roman" w:eastAsia="Malgun Gothic" w:hAnsi="Times New Roman" w:cs="Times New Roman"/>
          <w:sz w:val="24"/>
          <w:szCs w:val="24"/>
        </w:rPr>
        <w:t>≥</w:t>
      </w:r>
      <w:r w:rsidR="00B27D0B" w:rsidRPr="00345388">
        <w:rPr>
          <w:rFonts w:ascii="Times New Roman" w:hAnsi="Times New Roman" w:cs="Times New Roman"/>
          <w:sz w:val="24"/>
          <w:szCs w:val="24"/>
        </w:rPr>
        <w:t xml:space="preserve">80 and/or serum creatinine </w:t>
      </w:r>
      <w:r w:rsidR="00811A3F" w:rsidRPr="00345388">
        <w:rPr>
          <w:rFonts w:ascii="Times New Roman" w:eastAsia="Malgun Gothic" w:hAnsi="Times New Roman" w:cs="Times New Roman"/>
          <w:sz w:val="24"/>
          <w:szCs w:val="24"/>
        </w:rPr>
        <w:t>≥</w:t>
      </w:r>
      <w:r w:rsidR="00811A3F" w:rsidRPr="00345388">
        <w:rPr>
          <w:rFonts w:ascii="Times New Roman" w:hAnsi="Times New Roman" w:cs="Times New Roman"/>
          <w:sz w:val="24"/>
          <w:szCs w:val="24"/>
        </w:rPr>
        <w:t>1.5</w:t>
      </w:r>
      <w:r w:rsidR="00493A91" w:rsidRPr="00345388">
        <w:rPr>
          <w:rFonts w:ascii="Times New Roman" w:hAnsi="Times New Roman" w:cs="Times New Roman"/>
          <w:sz w:val="24"/>
          <w:szCs w:val="24"/>
        </w:rPr>
        <w:t xml:space="preserve"> </w:t>
      </w:r>
      <w:r w:rsidR="00811A3F" w:rsidRPr="00345388">
        <w:rPr>
          <w:rFonts w:ascii="Times New Roman" w:hAnsi="Times New Roman" w:cs="Times New Roman"/>
          <w:sz w:val="24"/>
          <w:szCs w:val="24"/>
        </w:rPr>
        <w:t>mg/dL</w:t>
      </w:r>
      <w:r w:rsidR="00B27D0B" w:rsidRPr="00345388">
        <w:rPr>
          <w:rFonts w:ascii="Times New Roman" w:hAnsi="Times New Roman" w:cs="Times New Roman"/>
          <w:sz w:val="24"/>
          <w:szCs w:val="24"/>
        </w:rPr>
        <w:t xml:space="preserve"> </w:t>
      </w:r>
      <w:r w:rsidR="00493A91" w:rsidRPr="00345388">
        <w:rPr>
          <w:rFonts w:ascii="Times New Roman" w:hAnsi="Times New Roman" w:cs="Times New Roman"/>
          <w:sz w:val="24"/>
          <w:szCs w:val="24"/>
        </w:rPr>
        <w:t xml:space="preserve">was </w:t>
      </w:r>
      <w:r w:rsidR="00B27D0B" w:rsidRPr="00345388">
        <w:rPr>
          <w:rFonts w:ascii="Times New Roman" w:hAnsi="Times New Roman" w:cs="Times New Roman"/>
          <w:sz w:val="24"/>
          <w:szCs w:val="24"/>
        </w:rPr>
        <w:t xml:space="preserve">also present) </w:t>
      </w:r>
      <w:r w:rsidR="00493A91" w:rsidRPr="00345388">
        <w:rPr>
          <w:rFonts w:ascii="Times New Roman" w:hAnsi="Times New Roman" w:cs="Times New Roman"/>
          <w:sz w:val="24"/>
          <w:szCs w:val="24"/>
        </w:rPr>
        <w:t>and</w:t>
      </w:r>
      <w:r w:rsidR="00B27D0B" w:rsidRPr="00345388">
        <w:rPr>
          <w:rFonts w:ascii="Times New Roman" w:hAnsi="Times New Roman" w:cs="Times New Roman"/>
          <w:sz w:val="24"/>
          <w:szCs w:val="24"/>
        </w:rPr>
        <w:t xml:space="preserve"> </w:t>
      </w:r>
      <w:r w:rsidRPr="00345388">
        <w:rPr>
          <w:rFonts w:ascii="Times New Roman" w:hAnsi="Times New Roman" w:cs="Times New Roman"/>
          <w:sz w:val="24"/>
          <w:szCs w:val="24"/>
        </w:rPr>
        <w:t>edoxaban</w:t>
      </w:r>
      <w:r w:rsidR="00B22442" w:rsidRPr="00345388">
        <w:rPr>
          <w:rFonts w:ascii="Times New Roman" w:hAnsi="Times New Roman" w:cs="Times New Roman"/>
          <w:sz w:val="24"/>
          <w:szCs w:val="24"/>
        </w:rPr>
        <w:t xml:space="preserve"> (</w:t>
      </w:r>
      <w:r w:rsidR="00B11EDE" w:rsidRPr="00345388">
        <w:rPr>
          <w:rFonts w:ascii="Times New Roman" w:hAnsi="Times New Roman" w:cs="Times New Roman"/>
          <w:sz w:val="24"/>
          <w:szCs w:val="24"/>
        </w:rPr>
        <w:t>16</w:t>
      </w:r>
      <w:r w:rsidR="00B22442" w:rsidRPr="00345388">
        <w:rPr>
          <w:rFonts w:ascii="Times New Roman" w:hAnsi="Times New Roman" w:cs="Times New Roman"/>
          <w:sz w:val="24"/>
          <w:szCs w:val="24"/>
        </w:rPr>
        <w:t>,</w:t>
      </w:r>
      <w:r w:rsidR="00B11EDE" w:rsidRPr="00345388">
        <w:rPr>
          <w:rFonts w:ascii="Times New Roman" w:hAnsi="Times New Roman" w:cs="Times New Roman"/>
          <w:sz w:val="24"/>
          <w:szCs w:val="24"/>
        </w:rPr>
        <w:t>17</w:t>
      </w:r>
      <w:r w:rsidR="00B22442" w:rsidRPr="00345388">
        <w:rPr>
          <w:rFonts w:ascii="Times New Roman" w:hAnsi="Times New Roman" w:cs="Times New Roman"/>
          <w:sz w:val="24"/>
          <w:szCs w:val="24"/>
        </w:rPr>
        <w:t>)</w:t>
      </w:r>
      <w:r w:rsidRPr="00345388">
        <w:rPr>
          <w:rFonts w:ascii="Times New Roman" w:hAnsi="Times New Roman" w:cs="Times New Roman"/>
          <w:sz w:val="24"/>
          <w:szCs w:val="24"/>
        </w:rPr>
        <w:t>. Among these population</w:t>
      </w:r>
      <w:r w:rsidR="00493A91" w:rsidRPr="00345388">
        <w:rPr>
          <w:rFonts w:ascii="Times New Roman" w:hAnsi="Times New Roman" w:cs="Times New Roman"/>
          <w:sz w:val="24"/>
          <w:szCs w:val="24"/>
        </w:rPr>
        <w:t>s</w:t>
      </w:r>
      <w:r w:rsidRPr="00345388">
        <w:rPr>
          <w:rFonts w:ascii="Times New Roman" w:hAnsi="Times New Roman" w:cs="Times New Roman"/>
          <w:sz w:val="24"/>
          <w:szCs w:val="24"/>
        </w:rPr>
        <w:t xml:space="preserve">, </w:t>
      </w:r>
      <w:r w:rsidR="00A53E04" w:rsidRPr="00345388">
        <w:rPr>
          <w:rFonts w:ascii="Times New Roman" w:hAnsi="Times New Roman" w:cs="Times New Roman"/>
          <w:sz w:val="24"/>
          <w:szCs w:val="24"/>
        </w:rPr>
        <w:t xml:space="preserve">extremely low body weight </w:t>
      </w:r>
      <w:r w:rsidR="00FC17A2" w:rsidRPr="00345388">
        <w:rPr>
          <w:rFonts w:ascii="Times New Roman" w:hAnsi="Times New Roman" w:cs="Times New Roman"/>
          <w:sz w:val="24"/>
          <w:szCs w:val="24"/>
        </w:rPr>
        <w:t>was defined as &lt;50 kg</w:t>
      </w:r>
      <w:r w:rsidR="00B22442" w:rsidRPr="00345388">
        <w:rPr>
          <w:rFonts w:ascii="Times New Roman" w:hAnsi="Times New Roman" w:cs="Times New Roman"/>
          <w:sz w:val="24"/>
          <w:szCs w:val="24"/>
        </w:rPr>
        <w:t xml:space="preserve"> (10,</w:t>
      </w:r>
      <w:r w:rsidR="00B11EDE" w:rsidRPr="00345388">
        <w:rPr>
          <w:rFonts w:ascii="Times New Roman" w:hAnsi="Times New Roman" w:cs="Times New Roman"/>
          <w:sz w:val="24"/>
          <w:szCs w:val="24"/>
        </w:rPr>
        <w:t>18</w:t>
      </w:r>
      <w:r w:rsidR="00B22442" w:rsidRPr="00345388">
        <w:rPr>
          <w:rFonts w:ascii="Times New Roman" w:hAnsi="Times New Roman" w:cs="Times New Roman"/>
          <w:sz w:val="24"/>
          <w:szCs w:val="24"/>
        </w:rPr>
        <w:t>,</w:t>
      </w:r>
      <w:r w:rsidR="00B11EDE" w:rsidRPr="00345388">
        <w:rPr>
          <w:rFonts w:ascii="Times New Roman" w:hAnsi="Times New Roman" w:cs="Times New Roman"/>
          <w:sz w:val="24"/>
          <w:szCs w:val="24"/>
        </w:rPr>
        <w:t>19</w:t>
      </w:r>
      <w:r w:rsidR="00B22442" w:rsidRPr="00345388">
        <w:rPr>
          <w:rFonts w:ascii="Times New Roman" w:hAnsi="Times New Roman" w:cs="Times New Roman"/>
          <w:sz w:val="24"/>
          <w:szCs w:val="24"/>
        </w:rPr>
        <w:t>)</w:t>
      </w:r>
      <w:r w:rsidR="00A53E04" w:rsidRPr="00345388">
        <w:rPr>
          <w:rFonts w:ascii="Times New Roman" w:hAnsi="Times New Roman" w:cs="Times New Roman"/>
          <w:sz w:val="24"/>
          <w:szCs w:val="24"/>
        </w:rPr>
        <w:t xml:space="preserve">. </w:t>
      </w:r>
    </w:p>
    <w:p w14:paraId="3943F440" w14:textId="24A837D3" w:rsidR="00095785" w:rsidRPr="00345388" w:rsidRDefault="00095785"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t>Study outcomes</w:t>
      </w:r>
      <w:r w:rsidR="00724D4D" w:rsidRPr="00345388">
        <w:rPr>
          <w:rFonts w:ascii="Times New Roman" w:hAnsi="Times New Roman" w:cs="Times New Roman"/>
          <w:b/>
          <w:sz w:val="24"/>
          <w:szCs w:val="24"/>
        </w:rPr>
        <w:t xml:space="preserve"> and follow-up</w:t>
      </w:r>
    </w:p>
    <w:p w14:paraId="0346CF0B" w14:textId="1CA9800F" w:rsidR="006B5233" w:rsidRPr="00345388" w:rsidRDefault="000B61EE"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lastRenderedPageBreak/>
        <w:t xml:space="preserve">Six clinical outcomes were used to determine </w:t>
      </w:r>
      <w:r w:rsidR="00724D4D" w:rsidRPr="00345388">
        <w:rPr>
          <w:rFonts w:ascii="Times New Roman" w:hAnsi="Times New Roman" w:cs="Times New Roman"/>
          <w:sz w:val="24"/>
          <w:szCs w:val="24"/>
        </w:rPr>
        <w:t xml:space="preserve">the effectiveness and safety of NOACs and warfarin, including ischemic stroke, ICH, hospitalization for </w:t>
      </w:r>
      <w:r w:rsidR="00D1327A" w:rsidRPr="00345388">
        <w:rPr>
          <w:rFonts w:ascii="Times New Roman" w:hAnsi="Times New Roman" w:cs="Times New Roman"/>
          <w:sz w:val="24"/>
          <w:szCs w:val="24"/>
        </w:rPr>
        <w:t>GI</w:t>
      </w:r>
      <w:r w:rsidR="00724D4D" w:rsidRPr="00345388">
        <w:rPr>
          <w:rFonts w:ascii="Times New Roman" w:hAnsi="Times New Roman" w:cs="Times New Roman"/>
          <w:sz w:val="24"/>
          <w:szCs w:val="24"/>
        </w:rPr>
        <w:t xml:space="preserve"> bleeding, hospitalization for major bleeding, all-cause death, and composite outcome</w:t>
      </w:r>
      <w:r w:rsidR="0003442B" w:rsidRPr="00345388">
        <w:rPr>
          <w:rFonts w:ascii="Times New Roman" w:hAnsi="Times New Roman" w:cs="Times New Roman"/>
          <w:sz w:val="24"/>
          <w:szCs w:val="24"/>
        </w:rPr>
        <w:t xml:space="preserve"> (ischemic stroke + ICH + hospitalization for GI bleeding + all-cause death)</w:t>
      </w:r>
      <w:r w:rsidR="00CC3208" w:rsidRPr="00345388">
        <w:rPr>
          <w:rFonts w:ascii="Times New Roman" w:hAnsi="Times New Roman" w:cs="Times New Roman"/>
          <w:sz w:val="24"/>
          <w:szCs w:val="24"/>
        </w:rPr>
        <w:t xml:space="preserve"> (</w:t>
      </w:r>
      <w:r w:rsidR="00B11EDE" w:rsidRPr="00345388">
        <w:rPr>
          <w:rFonts w:ascii="Times New Roman" w:hAnsi="Times New Roman" w:cs="Times New Roman"/>
          <w:sz w:val="24"/>
          <w:szCs w:val="24"/>
        </w:rPr>
        <w:t>14</w:t>
      </w:r>
      <w:r w:rsidR="00CC3208" w:rsidRPr="00345388">
        <w:rPr>
          <w:rFonts w:ascii="Times New Roman" w:hAnsi="Times New Roman" w:cs="Times New Roman"/>
          <w:sz w:val="24"/>
          <w:szCs w:val="24"/>
        </w:rPr>
        <w:t>)</w:t>
      </w:r>
      <w:r w:rsidR="00724D4D" w:rsidRPr="00345388">
        <w:rPr>
          <w:rFonts w:ascii="Times New Roman" w:hAnsi="Times New Roman" w:cs="Times New Roman"/>
          <w:sz w:val="24"/>
          <w:szCs w:val="24"/>
        </w:rPr>
        <w:t>. Detailed definition</w:t>
      </w:r>
      <w:r w:rsidR="002B2C41" w:rsidRPr="00345388">
        <w:rPr>
          <w:rFonts w:ascii="Times New Roman" w:hAnsi="Times New Roman" w:cs="Times New Roman"/>
          <w:sz w:val="24"/>
          <w:szCs w:val="24"/>
        </w:rPr>
        <w:t>s</w:t>
      </w:r>
      <w:r w:rsidR="00724D4D" w:rsidRPr="00345388">
        <w:rPr>
          <w:rFonts w:ascii="Times New Roman" w:hAnsi="Times New Roman" w:cs="Times New Roman"/>
          <w:sz w:val="24"/>
          <w:szCs w:val="24"/>
        </w:rPr>
        <w:t xml:space="preserve"> of study outcomes </w:t>
      </w:r>
      <w:r w:rsidR="002B2C41" w:rsidRPr="00345388">
        <w:rPr>
          <w:rFonts w:ascii="Times New Roman" w:hAnsi="Times New Roman" w:cs="Times New Roman"/>
          <w:sz w:val="24"/>
          <w:szCs w:val="24"/>
        </w:rPr>
        <w:t>are</w:t>
      </w:r>
      <w:r w:rsidR="00724D4D" w:rsidRPr="00345388">
        <w:rPr>
          <w:rFonts w:ascii="Times New Roman" w:hAnsi="Times New Roman" w:cs="Times New Roman"/>
          <w:sz w:val="24"/>
          <w:szCs w:val="24"/>
        </w:rPr>
        <w:t xml:space="preserve"> described in </w:t>
      </w:r>
      <w:r w:rsidR="00CC3208" w:rsidRPr="00345388">
        <w:rPr>
          <w:rFonts w:ascii="Times New Roman" w:hAnsi="Times New Roman" w:cs="Times New Roman"/>
          <w:sz w:val="24"/>
          <w:szCs w:val="24"/>
        </w:rPr>
        <w:t xml:space="preserve">Online </w:t>
      </w:r>
      <w:r w:rsidR="00724D4D" w:rsidRPr="00345388">
        <w:rPr>
          <w:rFonts w:ascii="Times New Roman" w:hAnsi="Times New Roman" w:cs="Times New Roman"/>
          <w:sz w:val="24"/>
          <w:szCs w:val="24"/>
        </w:rPr>
        <w:t xml:space="preserve">Table 1. </w:t>
      </w:r>
      <w:r w:rsidR="00AB6628" w:rsidRPr="00345388">
        <w:rPr>
          <w:rFonts w:ascii="Times New Roman" w:hAnsi="Times New Roman" w:cs="Times New Roman"/>
          <w:sz w:val="24"/>
          <w:szCs w:val="24"/>
        </w:rPr>
        <w:t xml:space="preserve">The </w:t>
      </w:r>
      <w:r w:rsidR="002A329E" w:rsidRPr="00345388">
        <w:rPr>
          <w:rFonts w:ascii="Times New Roman" w:hAnsi="Times New Roman" w:cs="Times New Roman"/>
          <w:sz w:val="24"/>
          <w:szCs w:val="24"/>
        </w:rPr>
        <w:t xml:space="preserve">index </w:t>
      </w:r>
      <w:r w:rsidR="00AB6628" w:rsidRPr="00345388">
        <w:rPr>
          <w:rFonts w:ascii="Times New Roman" w:hAnsi="Times New Roman" w:cs="Times New Roman"/>
          <w:sz w:val="24"/>
          <w:szCs w:val="24"/>
        </w:rPr>
        <w:t xml:space="preserve">date </w:t>
      </w:r>
      <w:r w:rsidR="002A329E" w:rsidRPr="00345388">
        <w:rPr>
          <w:rFonts w:ascii="Times New Roman" w:hAnsi="Times New Roman" w:cs="Times New Roman"/>
          <w:sz w:val="24"/>
          <w:szCs w:val="24"/>
        </w:rPr>
        <w:t>was</w:t>
      </w:r>
      <w:r w:rsidR="00AB6628" w:rsidRPr="00345388">
        <w:rPr>
          <w:rFonts w:ascii="Times New Roman" w:hAnsi="Times New Roman" w:cs="Times New Roman"/>
          <w:sz w:val="24"/>
          <w:szCs w:val="24"/>
        </w:rPr>
        <w:t xml:space="preserve"> the first</w:t>
      </w:r>
      <w:r w:rsidR="002A329E" w:rsidRPr="00345388">
        <w:rPr>
          <w:rFonts w:ascii="Times New Roman" w:hAnsi="Times New Roman" w:cs="Times New Roman"/>
          <w:sz w:val="24"/>
          <w:szCs w:val="24"/>
        </w:rPr>
        <w:t xml:space="preserve"> date</w:t>
      </w:r>
      <w:r w:rsidR="00AB6628" w:rsidRPr="00345388">
        <w:rPr>
          <w:rFonts w:ascii="Times New Roman" w:hAnsi="Times New Roman" w:cs="Times New Roman"/>
          <w:sz w:val="24"/>
          <w:szCs w:val="24"/>
        </w:rPr>
        <w:t xml:space="preserve"> warfarin or NOAC use. </w:t>
      </w:r>
      <w:r w:rsidR="00957564" w:rsidRPr="00345388">
        <w:rPr>
          <w:rFonts w:ascii="Times New Roman" w:hAnsi="Times New Roman" w:cs="Times New Roman"/>
          <w:sz w:val="24"/>
          <w:szCs w:val="24"/>
          <w:u w:val="single"/>
        </w:rPr>
        <w:t>To assess the clinical outcomes, patients were censored at the outcome events or the end of the study period (December 31, 2016), whichever occurred first. We also performed a sensitivity analysis in analogy with the on-treatment analysis, whereby patients were also censored at the discontinuation of index treatment during study period. Discontinuation was defined as a 30-day gap from the last day of supply of the last prescription.</w:t>
      </w:r>
    </w:p>
    <w:p w14:paraId="26D8094F" w14:textId="682EF445" w:rsidR="00754300" w:rsidRPr="00345388" w:rsidRDefault="00754300"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t>Statistical analysis</w:t>
      </w:r>
    </w:p>
    <w:p w14:paraId="6575BAC5" w14:textId="08A282BE" w:rsidR="00636D93" w:rsidRPr="00345388" w:rsidRDefault="00734FF8"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 xml:space="preserve">To compare the warfarin and pooled NOAC groups, propensity score (PS) methods were used (20). The PS of being in each treatment group was assessed using a logistic regression model with all baseline covariates (Online Table 2). To balance the baseline characteristics between the two treatment groups, inverse probability weighting (IPW) analysis was used regarding time-to-event analyses by using stabilized weights calculated from PS (21). Because the sample sizes of two treatments were different, IPW was used rather than PS matching not to lose whole study population and keep generalizability. IPW uses the whole dataset, assigns inverse probability of received treatment weighting by applying corresponding to 1/PS for patients in the treated cohort and [1/(1-PS)] for those in the control cohort, and generates a pseudopopulation with almost perfect-covariate balance between the two treatment groups (22). Furthermore, we trimmed the individuals with extreme PS </w:t>
      </w:r>
      <w:r w:rsidRPr="00345388">
        <w:rPr>
          <w:rFonts w:ascii="Times New Roman" w:hAnsi="Times New Roman" w:cs="Times New Roman"/>
          <w:sz w:val="24"/>
          <w:szCs w:val="24"/>
        </w:rPr>
        <w:lastRenderedPageBreak/>
        <w:t xml:space="preserve">values to avoid extreme weights in IPW. In IPW with 5% trimming, stabilized weights were trimmed at the 5th and 95th percentile of the weights (23). </w:t>
      </w:r>
      <w:r w:rsidR="00065B9B" w:rsidRPr="00345388">
        <w:rPr>
          <w:rFonts w:ascii="Times New Roman" w:hAnsi="Times New Roman" w:cs="Times New Roman"/>
          <w:sz w:val="24"/>
          <w:szCs w:val="24"/>
        </w:rPr>
        <w:t>After IPW with trimming, the balance of covariates between the two groups was evaluated using the absolute standardized difference (ASD). The ASD calculated the balance of covariates independently on the sample size of groups (24,25). An ASD ≤0.1 (10%) indicates that the two groups were well-balanced in a covariate with a negligible difference (26).</w:t>
      </w:r>
    </w:p>
    <w:p w14:paraId="7F0F549B" w14:textId="07BE135B" w:rsidR="00D448EE" w:rsidRPr="00345388" w:rsidRDefault="00B8646D" w:rsidP="00EB0B89">
      <w:pPr>
        <w:spacing w:after="0" w:line="480" w:lineRule="auto"/>
        <w:ind w:firstLine="800"/>
        <w:rPr>
          <w:rFonts w:ascii="Times New Roman" w:hAnsi="Times New Roman" w:cs="Times New Roman"/>
          <w:sz w:val="24"/>
          <w:szCs w:val="24"/>
        </w:rPr>
      </w:pPr>
      <w:r w:rsidRPr="00345388">
        <w:rPr>
          <w:rFonts w:ascii="Times New Roman" w:hAnsi="Times New Roman" w:cs="Times New Roman"/>
          <w:sz w:val="24"/>
          <w:szCs w:val="24"/>
        </w:rPr>
        <w:t>I</w:t>
      </w:r>
      <w:r w:rsidR="00D448EE" w:rsidRPr="00345388">
        <w:rPr>
          <w:rFonts w:ascii="Times New Roman" w:hAnsi="Times New Roman" w:cs="Times New Roman"/>
          <w:sz w:val="24"/>
          <w:szCs w:val="24"/>
        </w:rPr>
        <w:t xml:space="preserve">ncidence </w:t>
      </w:r>
      <w:r w:rsidR="00F031FB" w:rsidRPr="00345388">
        <w:rPr>
          <w:rFonts w:ascii="Times New Roman" w:hAnsi="Times New Roman" w:cs="Times New Roman"/>
          <w:sz w:val="24"/>
          <w:szCs w:val="24"/>
        </w:rPr>
        <w:t xml:space="preserve">rates were </w:t>
      </w:r>
      <w:r w:rsidRPr="00345388">
        <w:rPr>
          <w:rFonts w:ascii="Times New Roman" w:hAnsi="Times New Roman" w:cs="Times New Roman"/>
          <w:sz w:val="24"/>
          <w:szCs w:val="24"/>
        </w:rPr>
        <w:t>calculated based on weighted number of events</w:t>
      </w:r>
      <w:r w:rsidR="00F031FB" w:rsidRPr="00345388">
        <w:rPr>
          <w:rFonts w:ascii="Times New Roman" w:hAnsi="Times New Roman" w:cs="Times New Roman"/>
          <w:sz w:val="24"/>
          <w:szCs w:val="24"/>
        </w:rPr>
        <w:t xml:space="preserve"> during the follow-up period divided by 100 person-years (PY) at risk. </w:t>
      </w:r>
      <w:r w:rsidR="00584856" w:rsidRPr="00345388">
        <w:rPr>
          <w:rFonts w:ascii="Times New Roman" w:hAnsi="Times New Roman" w:cs="Times New Roman"/>
          <w:sz w:val="24"/>
          <w:szCs w:val="24"/>
        </w:rPr>
        <w:t xml:space="preserve">The risk of </w:t>
      </w:r>
      <w:r w:rsidR="0023339B" w:rsidRPr="00345388">
        <w:rPr>
          <w:rFonts w:ascii="Times New Roman" w:hAnsi="Times New Roman" w:cs="Times New Roman"/>
          <w:sz w:val="24"/>
          <w:szCs w:val="24"/>
        </w:rPr>
        <w:t xml:space="preserve">six </w:t>
      </w:r>
      <w:r w:rsidR="00584856" w:rsidRPr="00345388">
        <w:rPr>
          <w:rFonts w:ascii="Times New Roman" w:hAnsi="Times New Roman" w:cs="Times New Roman"/>
          <w:sz w:val="24"/>
          <w:szCs w:val="24"/>
        </w:rPr>
        <w:t xml:space="preserve">clinical outcomes for </w:t>
      </w:r>
      <w:r w:rsidR="00257F16" w:rsidRPr="00345388">
        <w:rPr>
          <w:rFonts w:ascii="Times New Roman" w:hAnsi="Times New Roman" w:cs="Times New Roman"/>
          <w:sz w:val="24"/>
          <w:szCs w:val="24"/>
        </w:rPr>
        <w:t xml:space="preserve">pooled </w:t>
      </w:r>
      <w:r w:rsidR="00584856" w:rsidRPr="00345388">
        <w:rPr>
          <w:rFonts w:ascii="Times New Roman" w:hAnsi="Times New Roman" w:cs="Times New Roman"/>
          <w:sz w:val="24"/>
          <w:szCs w:val="24"/>
        </w:rPr>
        <w:t xml:space="preserve">NOAC </w:t>
      </w:r>
      <w:r w:rsidR="0023339B" w:rsidRPr="00345388">
        <w:rPr>
          <w:rFonts w:ascii="Times New Roman" w:hAnsi="Times New Roman" w:cs="Times New Roman"/>
          <w:sz w:val="24"/>
          <w:szCs w:val="24"/>
        </w:rPr>
        <w:t>versus</w:t>
      </w:r>
      <w:r w:rsidR="00584856" w:rsidRPr="00345388">
        <w:rPr>
          <w:rFonts w:ascii="Times New Roman" w:hAnsi="Times New Roman" w:cs="Times New Roman"/>
          <w:sz w:val="24"/>
          <w:szCs w:val="24"/>
        </w:rPr>
        <w:t xml:space="preserve"> warfarin (reference) was </w:t>
      </w:r>
      <w:r w:rsidR="0023339B" w:rsidRPr="00345388">
        <w:rPr>
          <w:rFonts w:ascii="Times New Roman" w:hAnsi="Times New Roman" w:cs="Times New Roman"/>
          <w:sz w:val="24"/>
          <w:szCs w:val="24"/>
        </w:rPr>
        <w:t>obtained</w:t>
      </w:r>
      <w:r w:rsidR="00584856" w:rsidRPr="00345388">
        <w:rPr>
          <w:rFonts w:ascii="Times New Roman" w:hAnsi="Times New Roman" w:cs="Times New Roman"/>
          <w:sz w:val="24"/>
          <w:szCs w:val="24"/>
        </w:rPr>
        <w:t xml:space="preserve"> using a survival analysis with the Kaplan-Meier method (log-rank test) and weighted Cox proportional hazards regression models with IPW. </w:t>
      </w:r>
      <w:r w:rsidR="0023339B" w:rsidRPr="00345388">
        <w:rPr>
          <w:rFonts w:ascii="Times New Roman" w:hAnsi="Times New Roman" w:cs="Times New Roman"/>
          <w:sz w:val="24"/>
          <w:szCs w:val="24"/>
        </w:rPr>
        <w:t xml:space="preserve">For clinical outcome analysis </w:t>
      </w:r>
      <w:r w:rsidR="00F50938" w:rsidRPr="00345388">
        <w:rPr>
          <w:rFonts w:ascii="Times New Roman" w:hAnsi="Times New Roman" w:cs="Times New Roman"/>
          <w:sz w:val="24"/>
          <w:szCs w:val="24"/>
        </w:rPr>
        <w:t xml:space="preserve">of the </w:t>
      </w:r>
      <w:r w:rsidR="0023339B" w:rsidRPr="00345388">
        <w:rPr>
          <w:rFonts w:ascii="Times New Roman" w:hAnsi="Times New Roman" w:cs="Times New Roman"/>
          <w:sz w:val="24"/>
          <w:szCs w:val="24"/>
        </w:rPr>
        <w:t>extremely low body weight group (&lt;50</w:t>
      </w:r>
      <w:r w:rsidR="00537D9E" w:rsidRPr="00345388">
        <w:rPr>
          <w:rFonts w:ascii="Times New Roman" w:hAnsi="Times New Roman" w:cs="Times New Roman"/>
          <w:sz w:val="24"/>
          <w:szCs w:val="24"/>
        </w:rPr>
        <w:t xml:space="preserve"> </w:t>
      </w:r>
      <w:r w:rsidR="0023339B" w:rsidRPr="00345388">
        <w:rPr>
          <w:rFonts w:ascii="Times New Roman" w:hAnsi="Times New Roman" w:cs="Times New Roman"/>
          <w:sz w:val="24"/>
          <w:szCs w:val="24"/>
        </w:rPr>
        <w:t xml:space="preserve">kg), subgroup analysis was conducted, and patients were categorized by body weight </w:t>
      </w:r>
      <w:r w:rsidR="00F50938" w:rsidRPr="00345388">
        <w:rPr>
          <w:rFonts w:ascii="Times New Roman" w:hAnsi="Times New Roman" w:cs="Times New Roman"/>
          <w:sz w:val="24"/>
          <w:szCs w:val="24"/>
        </w:rPr>
        <w:t>(</w:t>
      </w:r>
      <w:r w:rsidR="0023339B" w:rsidRPr="00345388">
        <w:rPr>
          <w:rFonts w:ascii="Times New Roman" w:hAnsi="Times New Roman" w:cs="Times New Roman"/>
          <w:sz w:val="24"/>
          <w:szCs w:val="24"/>
        </w:rPr>
        <w:t>&lt;50</w:t>
      </w:r>
      <w:r w:rsidR="00537D9E" w:rsidRPr="00345388">
        <w:rPr>
          <w:rFonts w:ascii="Times New Roman" w:hAnsi="Times New Roman" w:cs="Times New Roman"/>
          <w:sz w:val="24"/>
          <w:szCs w:val="24"/>
        </w:rPr>
        <w:t xml:space="preserve"> </w:t>
      </w:r>
      <w:r w:rsidR="0023339B" w:rsidRPr="00345388">
        <w:rPr>
          <w:rFonts w:ascii="Times New Roman" w:hAnsi="Times New Roman" w:cs="Times New Roman"/>
          <w:sz w:val="24"/>
          <w:szCs w:val="24"/>
        </w:rPr>
        <w:t>kg and 50-60</w:t>
      </w:r>
      <w:r w:rsidR="00537D9E" w:rsidRPr="00345388">
        <w:rPr>
          <w:rFonts w:ascii="Times New Roman" w:hAnsi="Times New Roman" w:cs="Times New Roman"/>
          <w:sz w:val="24"/>
          <w:szCs w:val="24"/>
        </w:rPr>
        <w:t xml:space="preserve"> </w:t>
      </w:r>
      <w:r w:rsidR="0023339B" w:rsidRPr="00345388">
        <w:rPr>
          <w:rFonts w:ascii="Times New Roman" w:hAnsi="Times New Roman" w:cs="Times New Roman"/>
          <w:sz w:val="24"/>
          <w:szCs w:val="24"/>
        </w:rPr>
        <w:t>kg</w:t>
      </w:r>
      <w:r w:rsidR="00F50938" w:rsidRPr="00345388">
        <w:rPr>
          <w:rFonts w:ascii="Times New Roman" w:hAnsi="Times New Roman" w:cs="Times New Roman"/>
          <w:sz w:val="24"/>
          <w:szCs w:val="24"/>
        </w:rPr>
        <w:t>)</w:t>
      </w:r>
      <w:r w:rsidR="0023339B" w:rsidRPr="00345388">
        <w:rPr>
          <w:rFonts w:ascii="Times New Roman" w:hAnsi="Times New Roman" w:cs="Times New Roman"/>
          <w:sz w:val="24"/>
          <w:szCs w:val="24"/>
        </w:rPr>
        <w:t xml:space="preserve">. </w:t>
      </w:r>
      <w:r w:rsidR="003418E1" w:rsidRPr="00345388">
        <w:rPr>
          <w:rFonts w:ascii="Times New Roman" w:hAnsi="Times New Roman" w:cs="Times New Roman"/>
          <w:sz w:val="24"/>
          <w:szCs w:val="24"/>
        </w:rPr>
        <w:t xml:space="preserve">The balance of covariates between the warfarin and NOAC groups was evaluated in each subgroup using ASD. </w:t>
      </w:r>
    </w:p>
    <w:p w14:paraId="138C170F" w14:textId="674C5F7C" w:rsidR="0001594E" w:rsidRPr="00345388" w:rsidRDefault="00F031FB"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 xml:space="preserve">Statistical significance was defined as p&lt;0.05. Statistical analyses were performed using SAS 9.3 (SAS Institute Inc, Cary, NC, USA). </w:t>
      </w:r>
    </w:p>
    <w:p w14:paraId="672CE2E9" w14:textId="2F16A258" w:rsidR="002B759A" w:rsidRPr="00345388" w:rsidRDefault="00F95862"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t>Sensitivity analys</w:t>
      </w:r>
      <w:r w:rsidR="00AE044F" w:rsidRPr="00345388">
        <w:rPr>
          <w:rFonts w:ascii="Times New Roman" w:hAnsi="Times New Roman" w:cs="Times New Roman"/>
          <w:b/>
          <w:sz w:val="24"/>
          <w:szCs w:val="24"/>
        </w:rPr>
        <w:t>e</w:t>
      </w:r>
      <w:r w:rsidRPr="00345388">
        <w:rPr>
          <w:rFonts w:ascii="Times New Roman" w:hAnsi="Times New Roman" w:cs="Times New Roman"/>
          <w:b/>
          <w:sz w:val="24"/>
          <w:szCs w:val="24"/>
        </w:rPr>
        <w:t>s</w:t>
      </w:r>
    </w:p>
    <w:p w14:paraId="22859B20" w14:textId="41049170" w:rsidR="002B759A" w:rsidRPr="00345388" w:rsidRDefault="002B759A"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 xml:space="preserve">For the clinical outcome analysis, we </w:t>
      </w:r>
      <w:r w:rsidR="005C2D43" w:rsidRPr="00345388">
        <w:rPr>
          <w:rFonts w:ascii="Times New Roman" w:hAnsi="Times New Roman" w:cs="Times New Roman"/>
          <w:sz w:val="24"/>
          <w:szCs w:val="24"/>
        </w:rPr>
        <w:t xml:space="preserve">used a </w:t>
      </w:r>
      <w:r w:rsidRPr="00345388">
        <w:rPr>
          <w:rFonts w:ascii="Times New Roman" w:hAnsi="Times New Roman" w:cs="Times New Roman"/>
          <w:sz w:val="24"/>
          <w:szCs w:val="24"/>
        </w:rPr>
        <w:t xml:space="preserve">weighted Cox proportional hazards regression model with 5% trimmed IPW in </w:t>
      </w:r>
      <w:r w:rsidR="005C2D43" w:rsidRPr="00345388">
        <w:rPr>
          <w:rFonts w:ascii="Times New Roman" w:hAnsi="Times New Roman" w:cs="Times New Roman"/>
          <w:sz w:val="24"/>
          <w:szCs w:val="24"/>
        </w:rPr>
        <w:t xml:space="preserve">the </w:t>
      </w:r>
      <w:r w:rsidRPr="00345388">
        <w:rPr>
          <w:rFonts w:ascii="Times New Roman" w:hAnsi="Times New Roman" w:cs="Times New Roman"/>
          <w:sz w:val="24"/>
          <w:szCs w:val="24"/>
        </w:rPr>
        <w:t>main analysis. To provide complementary analys</w:t>
      </w:r>
      <w:r w:rsidR="00CF3092" w:rsidRPr="00345388">
        <w:rPr>
          <w:rFonts w:ascii="Times New Roman" w:hAnsi="Times New Roman" w:cs="Times New Roman"/>
          <w:sz w:val="24"/>
          <w:szCs w:val="24"/>
        </w:rPr>
        <w:t>e</w:t>
      </w:r>
      <w:r w:rsidRPr="00345388">
        <w:rPr>
          <w:rFonts w:ascii="Times New Roman" w:hAnsi="Times New Roman" w:cs="Times New Roman"/>
          <w:sz w:val="24"/>
          <w:szCs w:val="24"/>
        </w:rPr>
        <w:t xml:space="preserve">s, we also </w:t>
      </w:r>
      <w:r w:rsidR="007A6096" w:rsidRPr="00345388">
        <w:rPr>
          <w:rFonts w:ascii="Times New Roman" w:hAnsi="Times New Roman" w:cs="Times New Roman"/>
          <w:sz w:val="24"/>
          <w:szCs w:val="24"/>
        </w:rPr>
        <w:t xml:space="preserve">used </w:t>
      </w:r>
      <w:r w:rsidRPr="00345388">
        <w:rPr>
          <w:rFonts w:ascii="Times New Roman" w:hAnsi="Times New Roman" w:cs="Times New Roman"/>
          <w:sz w:val="24"/>
          <w:szCs w:val="24"/>
        </w:rPr>
        <w:t>multivariable Cox proportional hazards regression models</w:t>
      </w:r>
      <w:r w:rsidR="0001594E" w:rsidRPr="00345388">
        <w:rPr>
          <w:rFonts w:ascii="Times New Roman" w:hAnsi="Times New Roman" w:cs="Times New Roman"/>
          <w:sz w:val="24"/>
          <w:szCs w:val="24"/>
        </w:rPr>
        <w:t>.</w:t>
      </w:r>
      <w:r w:rsidRPr="00345388">
        <w:rPr>
          <w:rFonts w:ascii="Times New Roman" w:hAnsi="Times New Roman" w:cs="Times New Roman"/>
          <w:sz w:val="24"/>
          <w:szCs w:val="24"/>
        </w:rPr>
        <w:t xml:space="preserve"> </w:t>
      </w:r>
      <w:r w:rsidR="0001594E" w:rsidRPr="00345388">
        <w:rPr>
          <w:rFonts w:ascii="Times New Roman" w:hAnsi="Times New Roman" w:cs="Times New Roman"/>
          <w:sz w:val="24"/>
          <w:szCs w:val="24"/>
        </w:rPr>
        <w:t xml:space="preserve">All variables </w:t>
      </w:r>
      <w:r w:rsidR="008E5130" w:rsidRPr="00345388">
        <w:rPr>
          <w:rFonts w:ascii="Times New Roman" w:hAnsi="Times New Roman" w:cs="Times New Roman"/>
          <w:sz w:val="24"/>
          <w:szCs w:val="24"/>
        </w:rPr>
        <w:t xml:space="preserve">using </w:t>
      </w:r>
      <w:r w:rsidR="00DF5C81" w:rsidRPr="00345388">
        <w:rPr>
          <w:rFonts w:ascii="Times New Roman" w:hAnsi="Times New Roman" w:cs="Times New Roman"/>
          <w:sz w:val="24"/>
          <w:szCs w:val="24"/>
        </w:rPr>
        <w:t>PS</w:t>
      </w:r>
      <w:r w:rsidR="0001594E" w:rsidRPr="00345388">
        <w:rPr>
          <w:rFonts w:ascii="Times New Roman" w:hAnsi="Times New Roman" w:cs="Times New Roman"/>
          <w:sz w:val="24"/>
          <w:szCs w:val="24"/>
        </w:rPr>
        <w:t xml:space="preserve"> calculation were included for multivariable adjust</w:t>
      </w:r>
      <w:r w:rsidR="0001594E" w:rsidRPr="00345388">
        <w:rPr>
          <w:rFonts w:ascii="Times New Roman" w:hAnsi="Times New Roman" w:cs="Times New Roman"/>
          <w:sz w:val="24"/>
          <w:szCs w:val="24"/>
        </w:rPr>
        <w:lastRenderedPageBreak/>
        <w:t>ment</w:t>
      </w:r>
      <w:r w:rsidR="00FB066F" w:rsidRPr="00345388">
        <w:rPr>
          <w:rFonts w:ascii="Times New Roman" w:hAnsi="Times New Roman" w:cs="Times New Roman"/>
          <w:sz w:val="24"/>
          <w:szCs w:val="24"/>
        </w:rPr>
        <w:t>:</w:t>
      </w:r>
      <w:r w:rsidR="0001594E" w:rsidRPr="00345388">
        <w:rPr>
          <w:rFonts w:ascii="Times New Roman" w:hAnsi="Times New Roman" w:cs="Times New Roman"/>
          <w:sz w:val="24"/>
          <w:szCs w:val="24"/>
        </w:rPr>
        <w:t xml:space="preserve"> age, sex, CHA</w:t>
      </w:r>
      <w:r w:rsidR="0001594E" w:rsidRPr="00345388">
        <w:rPr>
          <w:rFonts w:ascii="Times New Roman" w:hAnsi="Times New Roman" w:cs="Times New Roman"/>
          <w:sz w:val="24"/>
          <w:szCs w:val="24"/>
          <w:vertAlign w:val="subscript"/>
        </w:rPr>
        <w:t>2</w:t>
      </w:r>
      <w:r w:rsidR="0001594E" w:rsidRPr="00345388">
        <w:rPr>
          <w:rFonts w:ascii="Times New Roman" w:hAnsi="Times New Roman" w:cs="Times New Roman"/>
          <w:sz w:val="24"/>
          <w:szCs w:val="24"/>
        </w:rPr>
        <w:t>DS</w:t>
      </w:r>
      <w:r w:rsidR="0001594E" w:rsidRPr="00345388">
        <w:rPr>
          <w:rFonts w:ascii="Times New Roman" w:hAnsi="Times New Roman" w:cs="Times New Roman"/>
          <w:sz w:val="24"/>
          <w:szCs w:val="24"/>
          <w:vertAlign w:val="subscript"/>
        </w:rPr>
        <w:t>2</w:t>
      </w:r>
      <w:r w:rsidR="0001594E" w:rsidRPr="00345388">
        <w:rPr>
          <w:rFonts w:ascii="Times New Roman" w:hAnsi="Times New Roman" w:cs="Times New Roman"/>
          <w:sz w:val="24"/>
          <w:szCs w:val="24"/>
        </w:rPr>
        <w:t xml:space="preserve">-VASc score, hypertension, diabetes, dyslipidemia, congestive heart failure, PAD, prior MI, COPD, body weight, and </w:t>
      </w:r>
      <w:r w:rsidR="00AA4B4D" w:rsidRPr="00345388">
        <w:rPr>
          <w:rFonts w:ascii="Times New Roman" w:hAnsi="Times New Roman" w:cs="Times New Roman"/>
          <w:sz w:val="24"/>
          <w:szCs w:val="24"/>
        </w:rPr>
        <w:t>CrCl</w:t>
      </w:r>
      <w:r w:rsidR="0001594E" w:rsidRPr="00345388">
        <w:rPr>
          <w:rFonts w:ascii="Times New Roman" w:hAnsi="Times New Roman" w:cs="Times New Roman"/>
          <w:sz w:val="24"/>
          <w:szCs w:val="24"/>
        </w:rPr>
        <w:t>.</w:t>
      </w:r>
      <w:r w:rsidR="00AE044F" w:rsidRPr="00345388">
        <w:rPr>
          <w:rFonts w:ascii="Times New Roman" w:hAnsi="Times New Roman" w:cs="Times New Roman"/>
          <w:sz w:val="24"/>
          <w:szCs w:val="24"/>
        </w:rPr>
        <w:t xml:space="preserve"> Also, we performed IPW without trimming for sensitive analysis.</w:t>
      </w:r>
    </w:p>
    <w:p w14:paraId="103AEDCF" w14:textId="47E104F4" w:rsidR="0023339B" w:rsidRPr="00345388" w:rsidRDefault="002B759A"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t>S</w:t>
      </w:r>
      <w:r w:rsidR="00F95862" w:rsidRPr="00345388">
        <w:rPr>
          <w:rFonts w:ascii="Times New Roman" w:hAnsi="Times New Roman" w:cs="Times New Roman"/>
          <w:b/>
          <w:sz w:val="24"/>
          <w:szCs w:val="24"/>
        </w:rPr>
        <w:t>ubgroup analys</w:t>
      </w:r>
      <w:r w:rsidRPr="00345388">
        <w:rPr>
          <w:rFonts w:ascii="Times New Roman" w:hAnsi="Times New Roman" w:cs="Times New Roman"/>
          <w:b/>
          <w:sz w:val="24"/>
          <w:szCs w:val="24"/>
        </w:rPr>
        <w:t>es</w:t>
      </w:r>
    </w:p>
    <w:p w14:paraId="7527FB0B" w14:textId="70F8C724" w:rsidR="00805EFB" w:rsidRPr="00345388" w:rsidRDefault="003418E1"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 xml:space="preserve">The </w:t>
      </w:r>
      <w:r w:rsidR="00905B43" w:rsidRPr="00345388">
        <w:rPr>
          <w:rFonts w:ascii="Times New Roman" w:hAnsi="Times New Roman" w:cs="Times New Roman"/>
          <w:sz w:val="24"/>
          <w:szCs w:val="24"/>
        </w:rPr>
        <w:t>analys</w:t>
      </w:r>
      <w:r w:rsidR="00D57CF8" w:rsidRPr="00345388">
        <w:rPr>
          <w:rFonts w:ascii="Times New Roman" w:hAnsi="Times New Roman" w:cs="Times New Roman"/>
          <w:sz w:val="24"/>
          <w:szCs w:val="24"/>
        </w:rPr>
        <w:t>e</w:t>
      </w:r>
      <w:r w:rsidR="00905B43" w:rsidRPr="00345388">
        <w:rPr>
          <w:rFonts w:ascii="Times New Roman" w:hAnsi="Times New Roman" w:cs="Times New Roman"/>
          <w:sz w:val="24"/>
          <w:szCs w:val="24"/>
        </w:rPr>
        <w:t>s of comparison</w:t>
      </w:r>
      <w:r w:rsidR="00D57CF8" w:rsidRPr="00345388">
        <w:rPr>
          <w:rFonts w:ascii="Times New Roman" w:hAnsi="Times New Roman" w:cs="Times New Roman"/>
          <w:sz w:val="24"/>
          <w:szCs w:val="24"/>
        </w:rPr>
        <w:t>s</w:t>
      </w:r>
      <w:r w:rsidR="00905B43" w:rsidRPr="00345388">
        <w:rPr>
          <w:rFonts w:ascii="Times New Roman" w:hAnsi="Times New Roman" w:cs="Times New Roman"/>
          <w:sz w:val="24"/>
          <w:szCs w:val="24"/>
        </w:rPr>
        <w:t xml:space="preserve"> between pooled NOAC and warfarin </w:t>
      </w:r>
      <w:r w:rsidR="00D57CF8" w:rsidRPr="00345388">
        <w:rPr>
          <w:rFonts w:ascii="Times New Roman" w:hAnsi="Times New Roman" w:cs="Times New Roman"/>
          <w:sz w:val="24"/>
          <w:szCs w:val="24"/>
        </w:rPr>
        <w:t xml:space="preserve">in the </w:t>
      </w:r>
      <w:r w:rsidR="00905B43" w:rsidRPr="00345388">
        <w:rPr>
          <w:rFonts w:ascii="Times New Roman" w:hAnsi="Times New Roman" w:cs="Times New Roman"/>
          <w:sz w:val="24"/>
          <w:szCs w:val="24"/>
        </w:rPr>
        <w:t>total study population were supplemented by stratified analyses according to</w:t>
      </w:r>
      <w:r w:rsidR="00EA4338" w:rsidRPr="00345388">
        <w:rPr>
          <w:rFonts w:ascii="Times New Roman" w:hAnsi="Times New Roman" w:cs="Times New Roman"/>
          <w:sz w:val="24"/>
          <w:szCs w:val="24"/>
        </w:rPr>
        <w:t xml:space="preserve"> the</w:t>
      </w:r>
      <w:r w:rsidR="00905B43" w:rsidRPr="00345388">
        <w:rPr>
          <w:rFonts w:ascii="Times New Roman" w:hAnsi="Times New Roman" w:cs="Times New Roman"/>
          <w:sz w:val="24"/>
          <w:szCs w:val="24"/>
        </w:rPr>
        <w:t xml:space="preserve"> </w:t>
      </w:r>
      <w:r w:rsidR="00D4509C" w:rsidRPr="00345388">
        <w:rPr>
          <w:rFonts w:ascii="Times New Roman" w:hAnsi="Times New Roman" w:cs="Times New Roman"/>
          <w:sz w:val="24"/>
          <w:szCs w:val="24"/>
        </w:rPr>
        <w:t xml:space="preserve">doses (regular and reduced), label adherence of NOAC dosing, and </w:t>
      </w:r>
      <w:r w:rsidR="00905B43" w:rsidRPr="00345388">
        <w:rPr>
          <w:rFonts w:ascii="Times New Roman" w:hAnsi="Times New Roman" w:cs="Times New Roman"/>
          <w:sz w:val="24"/>
          <w:szCs w:val="24"/>
        </w:rPr>
        <w:t>NOAC types (rivaroxaban, dabigatran, apixaban, and edoxaban).</w:t>
      </w:r>
    </w:p>
    <w:p w14:paraId="54ED3E66" w14:textId="62CBD704" w:rsidR="003418E1" w:rsidRPr="00345388" w:rsidRDefault="00805EFB" w:rsidP="00EB0B89">
      <w:pPr>
        <w:spacing w:after="0" w:line="480" w:lineRule="auto"/>
        <w:ind w:firstLine="800"/>
        <w:rPr>
          <w:rFonts w:ascii="Times New Roman" w:hAnsi="Times New Roman" w:cs="Times New Roman"/>
          <w:sz w:val="24"/>
          <w:szCs w:val="24"/>
        </w:rPr>
      </w:pPr>
      <w:r w:rsidRPr="00345388">
        <w:rPr>
          <w:rFonts w:ascii="Times New Roman" w:hAnsi="Times New Roman" w:cs="Times New Roman"/>
          <w:sz w:val="24"/>
          <w:szCs w:val="24"/>
        </w:rPr>
        <w:t>Regular dose NOACs were defined as rivaroxaban 20</w:t>
      </w:r>
      <w:r w:rsidR="00D57CF8" w:rsidRPr="00345388">
        <w:rPr>
          <w:rFonts w:ascii="Times New Roman" w:hAnsi="Times New Roman" w:cs="Times New Roman"/>
          <w:sz w:val="24"/>
          <w:szCs w:val="24"/>
        </w:rPr>
        <w:t xml:space="preserve"> </w:t>
      </w:r>
      <w:r w:rsidRPr="00345388">
        <w:rPr>
          <w:rFonts w:ascii="Times New Roman" w:hAnsi="Times New Roman" w:cs="Times New Roman"/>
          <w:sz w:val="24"/>
          <w:szCs w:val="24"/>
        </w:rPr>
        <w:t xml:space="preserve">mg once daily, </w:t>
      </w:r>
      <w:r w:rsidR="003C0A97" w:rsidRPr="00345388">
        <w:rPr>
          <w:rFonts w:ascii="Times New Roman" w:hAnsi="Times New Roman" w:cs="Times New Roman"/>
          <w:sz w:val="24"/>
          <w:szCs w:val="24"/>
        </w:rPr>
        <w:t>d</w:t>
      </w:r>
      <w:r w:rsidRPr="00345388">
        <w:rPr>
          <w:rFonts w:ascii="Times New Roman" w:hAnsi="Times New Roman" w:cs="Times New Roman"/>
          <w:sz w:val="24"/>
          <w:szCs w:val="24"/>
        </w:rPr>
        <w:t>abigatran 150</w:t>
      </w:r>
      <w:r w:rsidR="00D57CF8" w:rsidRPr="00345388">
        <w:rPr>
          <w:rFonts w:ascii="Times New Roman" w:hAnsi="Times New Roman" w:cs="Times New Roman"/>
          <w:sz w:val="24"/>
          <w:szCs w:val="24"/>
        </w:rPr>
        <w:t xml:space="preserve"> </w:t>
      </w:r>
      <w:r w:rsidRPr="00345388">
        <w:rPr>
          <w:rFonts w:ascii="Times New Roman" w:hAnsi="Times New Roman" w:cs="Times New Roman"/>
          <w:sz w:val="24"/>
          <w:szCs w:val="24"/>
        </w:rPr>
        <w:t xml:space="preserve">mg twice daily, </w:t>
      </w:r>
      <w:r w:rsidR="003C0A97" w:rsidRPr="00345388">
        <w:rPr>
          <w:rFonts w:ascii="Times New Roman" w:hAnsi="Times New Roman" w:cs="Times New Roman"/>
          <w:sz w:val="24"/>
          <w:szCs w:val="24"/>
        </w:rPr>
        <w:t>a</w:t>
      </w:r>
      <w:r w:rsidRPr="00345388">
        <w:rPr>
          <w:rFonts w:ascii="Times New Roman" w:hAnsi="Times New Roman" w:cs="Times New Roman"/>
          <w:sz w:val="24"/>
          <w:szCs w:val="24"/>
        </w:rPr>
        <w:t>pixaban 5</w:t>
      </w:r>
      <w:r w:rsidR="00D57CF8" w:rsidRPr="00345388">
        <w:rPr>
          <w:rFonts w:ascii="Times New Roman" w:hAnsi="Times New Roman" w:cs="Times New Roman"/>
          <w:sz w:val="24"/>
          <w:szCs w:val="24"/>
        </w:rPr>
        <w:t xml:space="preserve"> </w:t>
      </w:r>
      <w:r w:rsidRPr="00345388">
        <w:rPr>
          <w:rFonts w:ascii="Times New Roman" w:hAnsi="Times New Roman" w:cs="Times New Roman"/>
          <w:sz w:val="24"/>
          <w:szCs w:val="24"/>
        </w:rPr>
        <w:t>mg twice daily</w:t>
      </w:r>
      <w:r w:rsidR="003C0A97" w:rsidRPr="00345388">
        <w:rPr>
          <w:rFonts w:ascii="Times New Roman" w:hAnsi="Times New Roman" w:cs="Times New Roman"/>
          <w:sz w:val="24"/>
          <w:szCs w:val="24"/>
        </w:rPr>
        <w:t>, and edoxaban 60</w:t>
      </w:r>
      <w:r w:rsidR="00D57CF8" w:rsidRPr="00345388">
        <w:rPr>
          <w:rFonts w:ascii="Times New Roman" w:hAnsi="Times New Roman" w:cs="Times New Roman"/>
          <w:sz w:val="24"/>
          <w:szCs w:val="24"/>
        </w:rPr>
        <w:t xml:space="preserve"> </w:t>
      </w:r>
      <w:r w:rsidR="003C0A97" w:rsidRPr="00345388">
        <w:rPr>
          <w:rFonts w:ascii="Times New Roman" w:hAnsi="Times New Roman" w:cs="Times New Roman"/>
          <w:sz w:val="24"/>
          <w:szCs w:val="24"/>
        </w:rPr>
        <w:t xml:space="preserve">mg once daily. </w:t>
      </w:r>
      <w:r w:rsidR="00385EC3" w:rsidRPr="00345388">
        <w:rPr>
          <w:rFonts w:ascii="Times New Roman" w:hAnsi="Times New Roman" w:cs="Times New Roman"/>
          <w:sz w:val="24"/>
          <w:szCs w:val="24"/>
        </w:rPr>
        <w:t>For subgroup analysis by label adherence of NOAC dosing, patients were categorized as follows: dosing consistent with label (on-label), off-label underdosed, and off-label overdose, according to the approved dose criteria. Dose reduction criteria were specific to each NOAC based on patient baseline characteristics (Online Table 3). Because there were some differences in dosing label among different countries, we applied the criteria used in pivotal clinical trials which was generally consistent with approved drug labelling in Korea during study period</w:t>
      </w:r>
      <w:r w:rsidR="000F5374" w:rsidRPr="00345388">
        <w:rPr>
          <w:rFonts w:ascii="Times New Roman" w:hAnsi="Times New Roman" w:cs="Times New Roman"/>
          <w:sz w:val="24"/>
          <w:szCs w:val="24"/>
        </w:rPr>
        <w:t xml:space="preserve">. </w:t>
      </w:r>
      <w:r w:rsidR="009D32F8" w:rsidRPr="00345388">
        <w:rPr>
          <w:rFonts w:ascii="Times New Roman" w:hAnsi="Times New Roman" w:cs="Times New Roman"/>
          <w:sz w:val="24"/>
          <w:szCs w:val="24"/>
        </w:rPr>
        <w:t xml:space="preserve">Patients for whom a selected NOAC was contraindicated were classified as off-label overdosed. </w:t>
      </w:r>
      <w:r w:rsidR="00905B43" w:rsidRPr="00345388">
        <w:rPr>
          <w:rFonts w:ascii="Times New Roman" w:hAnsi="Times New Roman" w:cs="Times New Roman"/>
          <w:sz w:val="24"/>
          <w:szCs w:val="24"/>
        </w:rPr>
        <w:t xml:space="preserve">Subgroup analyses were performed using </w:t>
      </w:r>
      <w:r w:rsidR="008E5130" w:rsidRPr="00345388">
        <w:rPr>
          <w:rFonts w:ascii="Times New Roman" w:hAnsi="Times New Roman" w:cs="Times New Roman"/>
          <w:sz w:val="24"/>
          <w:szCs w:val="24"/>
        </w:rPr>
        <w:t xml:space="preserve">a </w:t>
      </w:r>
      <w:r w:rsidR="00905B43" w:rsidRPr="00345388">
        <w:rPr>
          <w:rFonts w:ascii="Times New Roman" w:hAnsi="Times New Roman" w:cs="Times New Roman"/>
          <w:sz w:val="24"/>
          <w:szCs w:val="24"/>
        </w:rPr>
        <w:t xml:space="preserve">multivariable Cox proportional hazards regression model. </w:t>
      </w:r>
    </w:p>
    <w:p w14:paraId="0707E243" w14:textId="026C1BA4" w:rsidR="005A3A85" w:rsidRPr="00345388" w:rsidRDefault="005A3A85"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t>Results</w:t>
      </w:r>
    </w:p>
    <w:p w14:paraId="6429AB01" w14:textId="55573C03" w:rsidR="00AA4B4D" w:rsidRPr="00345388" w:rsidRDefault="00AA4B4D"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t>Baseline characteristics</w:t>
      </w:r>
    </w:p>
    <w:p w14:paraId="5C10DF45" w14:textId="63A24206" w:rsidR="000E1714" w:rsidRPr="00345388" w:rsidRDefault="00440472"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After application of inclusion and exclusion criteria</w:t>
      </w:r>
      <w:r w:rsidR="00FF40FE" w:rsidRPr="00345388">
        <w:rPr>
          <w:rFonts w:ascii="Times New Roman" w:hAnsi="Times New Roman" w:cs="Times New Roman"/>
          <w:sz w:val="24"/>
          <w:szCs w:val="24"/>
        </w:rPr>
        <w:t xml:space="preserve">, </w:t>
      </w:r>
      <w:r w:rsidR="00837B80" w:rsidRPr="00345388">
        <w:rPr>
          <w:rFonts w:ascii="Times New Roman" w:hAnsi="Times New Roman" w:cs="Times New Roman"/>
          <w:sz w:val="24"/>
          <w:szCs w:val="24"/>
        </w:rPr>
        <w:t>21,589 patients with AF</w:t>
      </w:r>
      <w:r w:rsidR="00232A1F" w:rsidRPr="00345388">
        <w:rPr>
          <w:rFonts w:ascii="Times New Roman" w:hAnsi="Times New Roman" w:cs="Times New Roman"/>
          <w:sz w:val="24"/>
          <w:szCs w:val="24"/>
        </w:rPr>
        <w:t>,</w:t>
      </w:r>
      <w:r w:rsidR="00837B80" w:rsidRPr="00345388">
        <w:rPr>
          <w:rFonts w:ascii="Times New Roman" w:hAnsi="Times New Roman" w:cs="Times New Roman"/>
          <w:sz w:val="24"/>
          <w:szCs w:val="24"/>
        </w:rPr>
        <w:t xml:space="preserve"> low body weight (</w:t>
      </w:r>
      <w:r w:rsidR="00837B80" w:rsidRPr="00345388">
        <w:rPr>
          <w:rFonts w:ascii="Times New Roman" w:eastAsia="Malgun Gothic" w:hAnsi="Times New Roman" w:cs="Times New Roman"/>
          <w:sz w:val="24"/>
          <w:szCs w:val="24"/>
        </w:rPr>
        <w:t>≤</w:t>
      </w:r>
      <w:r w:rsidR="00837B80" w:rsidRPr="00345388">
        <w:rPr>
          <w:rFonts w:ascii="Times New Roman" w:hAnsi="Times New Roman" w:cs="Times New Roman"/>
          <w:sz w:val="24"/>
          <w:szCs w:val="24"/>
        </w:rPr>
        <w:t>60</w:t>
      </w:r>
      <w:r w:rsidR="00537D9E" w:rsidRPr="00345388">
        <w:rPr>
          <w:rFonts w:ascii="Times New Roman" w:hAnsi="Times New Roman" w:cs="Times New Roman"/>
          <w:sz w:val="24"/>
          <w:szCs w:val="24"/>
        </w:rPr>
        <w:t xml:space="preserve"> </w:t>
      </w:r>
      <w:r w:rsidR="00837B80" w:rsidRPr="00345388">
        <w:rPr>
          <w:rFonts w:ascii="Times New Roman" w:hAnsi="Times New Roman" w:cs="Times New Roman"/>
          <w:sz w:val="24"/>
          <w:szCs w:val="24"/>
        </w:rPr>
        <w:t>kg)</w:t>
      </w:r>
      <w:r w:rsidR="00232A1F" w:rsidRPr="00345388">
        <w:rPr>
          <w:rFonts w:ascii="Times New Roman" w:hAnsi="Times New Roman" w:cs="Times New Roman"/>
          <w:sz w:val="24"/>
          <w:szCs w:val="24"/>
        </w:rPr>
        <w:t>,</w:t>
      </w:r>
      <w:r w:rsidR="00FF40FE" w:rsidRPr="00345388">
        <w:rPr>
          <w:rFonts w:ascii="Times New Roman" w:hAnsi="Times New Roman" w:cs="Times New Roman"/>
          <w:sz w:val="24"/>
          <w:szCs w:val="24"/>
        </w:rPr>
        <w:t xml:space="preserve"> and</w:t>
      </w:r>
      <w:r w:rsidR="00837B80" w:rsidRPr="00345388">
        <w:rPr>
          <w:rFonts w:ascii="Times New Roman" w:hAnsi="Times New Roman" w:cs="Times New Roman"/>
          <w:sz w:val="24"/>
          <w:szCs w:val="24"/>
        </w:rPr>
        <w:t xml:space="preserve"> newly prescribed warfarin (n=7,576) </w:t>
      </w:r>
      <w:r w:rsidR="00FF40FE" w:rsidRPr="00345388">
        <w:rPr>
          <w:rFonts w:ascii="Times New Roman" w:hAnsi="Times New Roman" w:cs="Times New Roman"/>
          <w:sz w:val="24"/>
          <w:szCs w:val="24"/>
        </w:rPr>
        <w:t xml:space="preserve">or </w:t>
      </w:r>
      <w:r w:rsidR="00837B80" w:rsidRPr="00345388">
        <w:rPr>
          <w:rFonts w:ascii="Times New Roman" w:hAnsi="Times New Roman" w:cs="Times New Roman"/>
          <w:sz w:val="24"/>
          <w:szCs w:val="24"/>
        </w:rPr>
        <w:t xml:space="preserve">NOACs </w:t>
      </w:r>
      <w:r w:rsidR="00837B80" w:rsidRPr="00345388">
        <w:rPr>
          <w:rFonts w:ascii="Times New Roman" w:hAnsi="Times New Roman" w:cs="Times New Roman"/>
          <w:sz w:val="24"/>
          <w:szCs w:val="24"/>
        </w:rPr>
        <w:lastRenderedPageBreak/>
        <w:t>(n=14,</w:t>
      </w:r>
      <w:r w:rsidR="00BD6258" w:rsidRPr="00345388">
        <w:rPr>
          <w:rFonts w:ascii="Times New Roman" w:hAnsi="Times New Roman" w:cs="Times New Roman"/>
          <w:sz w:val="24"/>
          <w:szCs w:val="24"/>
        </w:rPr>
        <w:t>10</w:t>
      </w:r>
      <w:r w:rsidR="00837B80" w:rsidRPr="00345388">
        <w:rPr>
          <w:rFonts w:ascii="Times New Roman" w:hAnsi="Times New Roman" w:cs="Times New Roman"/>
          <w:sz w:val="24"/>
          <w:szCs w:val="24"/>
        </w:rPr>
        <w:t>3) were included. In</w:t>
      </w:r>
      <w:r w:rsidR="00FF40FE" w:rsidRPr="00345388">
        <w:rPr>
          <w:rFonts w:ascii="Times New Roman" w:hAnsi="Times New Roman" w:cs="Times New Roman"/>
          <w:sz w:val="24"/>
          <w:szCs w:val="24"/>
        </w:rPr>
        <w:t xml:space="preserve"> the</w:t>
      </w:r>
      <w:r w:rsidR="00837B80" w:rsidRPr="00345388">
        <w:rPr>
          <w:rFonts w:ascii="Times New Roman" w:hAnsi="Times New Roman" w:cs="Times New Roman"/>
          <w:sz w:val="24"/>
          <w:szCs w:val="24"/>
        </w:rPr>
        <w:t xml:space="preserve"> </w:t>
      </w:r>
      <w:r w:rsidR="00C525EA" w:rsidRPr="00345388">
        <w:rPr>
          <w:rFonts w:ascii="Times New Roman" w:hAnsi="Times New Roman" w:cs="Times New Roman"/>
          <w:sz w:val="24"/>
          <w:szCs w:val="24"/>
        </w:rPr>
        <w:t xml:space="preserve">pooled </w:t>
      </w:r>
      <w:r w:rsidR="00837B80" w:rsidRPr="00345388">
        <w:rPr>
          <w:rFonts w:ascii="Times New Roman" w:hAnsi="Times New Roman" w:cs="Times New Roman"/>
          <w:sz w:val="24"/>
          <w:szCs w:val="24"/>
        </w:rPr>
        <w:t xml:space="preserve">NOAC group, 43% of patients received rivaroxaban, 26% received dabigatran, 24% </w:t>
      </w:r>
      <w:r w:rsidR="00232A1F" w:rsidRPr="00345388">
        <w:rPr>
          <w:rFonts w:ascii="Times New Roman" w:hAnsi="Times New Roman" w:cs="Times New Roman"/>
          <w:sz w:val="24"/>
          <w:szCs w:val="24"/>
        </w:rPr>
        <w:t>received</w:t>
      </w:r>
      <w:r w:rsidR="00837B80" w:rsidRPr="00345388">
        <w:rPr>
          <w:rFonts w:ascii="Times New Roman" w:hAnsi="Times New Roman" w:cs="Times New Roman"/>
          <w:sz w:val="24"/>
          <w:szCs w:val="24"/>
        </w:rPr>
        <w:t xml:space="preserve"> apixaban, and 8% received edoxaban.</w:t>
      </w:r>
      <w:r w:rsidR="00A0355F" w:rsidRPr="00345388">
        <w:rPr>
          <w:rFonts w:ascii="Times New Roman" w:hAnsi="Times New Roman" w:cs="Times New Roman"/>
          <w:sz w:val="24"/>
          <w:szCs w:val="24"/>
        </w:rPr>
        <w:t xml:space="preserve"> </w:t>
      </w:r>
      <w:r w:rsidR="001A2F81" w:rsidRPr="00345388">
        <w:rPr>
          <w:rFonts w:ascii="Times New Roman" w:hAnsi="Times New Roman" w:cs="Times New Roman"/>
          <w:sz w:val="24"/>
          <w:szCs w:val="24"/>
        </w:rPr>
        <w:t>Before PS weighting, patients treated with NOACs were older, had slightly higher BMI, and showed lower prevalence of heart failure than those treated with warfarin (Table 1). After PS weighting, the warfarin and NOAC groups were well balanced in all variables (all ASDs &lt;0.1%) (Table 1 and Online Figure 1). The mean age was 73 years, and the mean CHA</w:t>
      </w:r>
      <w:r w:rsidR="001A2F81" w:rsidRPr="00345388">
        <w:rPr>
          <w:rFonts w:ascii="Times New Roman" w:hAnsi="Times New Roman" w:cs="Times New Roman"/>
          <w:sz w:val="24"/>
          <w:szCs w:val="24"/>
          <w:vertAlign w:val="subscript"/>
        </w:rPr>
        <w:t>2</w:t>
      </w:r>
      <w:r w:rsidR="001A2F81" w:rsidRPr="00345388">
        <w:rPr>
          <w:rFonts w:ascii="Times New Roman" w:hAnsi="Times New Roman" w:cs="Times New Roman"/>
          <w:sz w:val="24"/>
          <w:szCs w:val="24"/>
        </w:rPr>
        <w:t>DS</w:t>
      </w:r>
      <w:r w:rsidR="001A2F81" w:rsidRPr="00345388">
        <w:rPr>
          <w:rFonts w:ascii="Times New Roman" w:hAnsi="Times New Roman" w:cs="Times New Roman"/>
          <w:sz w:val="24"/>
          <w:szCs w:val="24"/>
          <w:vertAlign w:val="subscript"/>
        </w:rPr>
        <w:t>2</w:t>
      </w:r>
      <w:r w:rsidR="001A2F81" w:rsidRPr="00345388">
        <w:rPr>
          <w:rFonts w:ascii="Times New Roman" w:hAnsi="Times New Roman" w:cs="Times New Roman"/>
          <w:sz w:val="24"/>
          <w:szCs w:val="24"/>
        </w:rPr>
        <w:t>-VASc score was 4. In both the warfarin and NOAC groups, 28% of patients weighed 50 kg. In the NOAC group, 60% of patients received reduced dose NOACs</w:t>
      </w:r>
      <w:r w:rsidR="00A56F02" w:rsidRPr="00345388">
        <w:rPr>
          <w:rFonts w:ascii="Times New Roman" w:hAnsi="Times New Roman" w:cs="Times New Roman"/>
          <w:sz w:val="24"/>
          <w:szCs w:val="24"/>
        </w:rPr>
        <w:t>.</w:t>
      </w:r>
    </w:p>
    <w:p w14:paraId="02228285" w14:textId="4E4917F0" w:rsidR="000E1714" w:rsidRPr="00345388" w:rsidRDefault="00AA4B4D"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t xml:space="preserve">Clinical </w:t>
      </w:r>
      <w:r w:rsidR="00530F1F" w:rsidRPr="00345388">
        <w:rPr>
          <w:rFonts w:ascii="Times New Roman" w:hAnsi="Times New Roman" w:cs="Times New Roman"/>
          <w:b/>
          <w:sz w:val="24"/>
          <w:szCs w:val="24"/>
        </w:rPr>
        <w:t>outcome</w:t>
      </w:r>
      <w:r w:rsidRPr="00345388">
        <w:rPr>
          <w:rFonts w:ascii="Times New Roman" w:hAnsi="Times New Roman" w:cs="Times New Roman"/>
          <w:b/>
          <w:sz w:val="24"/>
          <w:szCs w:val="24"/>
        </w:rPr>
        <w:t>s</w:t>
      </w:r>
      <w:r w:rsidR="00530F1F" w:rsidRPr="00345388">
        <w:rPr>
          <w:rFonts w:ascii="Times New Roman" w:hAnsi="Times New Roman" w:cs="Times New Roman"/>
          <w:b/>
          <w:sz w:val="24"/>
          <w:szCs w:val="24"/>
        </w:rPr>
        <w:t xml:space="preserve"> </w:t>
      </w:r>
      <w:r w:rsidR="00103415" w:rsidRPr="00345388">
        <w:rPr>
          <w:rFonts w:ascii="Times New Roman" w:hAnsi="Times New Roman" w:cs="Times New Roman"/>
          <w:b/>
          <w:sz w:val="24"/>
          <w:szCs w:val="24"/>
        </w:rPr>
        <w:t xml:space="preserve">in patients </w:t>
      </w:r>
      <w:r w:rsidR="00AF3615" w:rsidRPr="00345388">
        <w:rPr>
          <w:rFonts w:ascii="Times New Roman" w:hAnsi="Times New Roman" w:cs="Times New Roman"/>
          <w:b/>
          <w:sz w:val="24"/>
          <w:szCs w:val="24"/>
        </w:rPr>
        <w:t>weighing</w:t>
      </w:r>
      <w:r w:rsidR="00103415" w:rsidRPr="00345388">
        <w:rPr>
          <w:rFonts w:ascii="Times New Roman" w:hAnsi="Times New Roman" w:cs="Times New Roman"/>
          <w:b/>
          <w:sz w:val="24"/>
          <w:szCs w:val="24"/>
        </w:rPr>
        <w:t xml:space="preserve"> </w:t>
      </w:r>
      <w:r w:rsidR="00103415" w:rsidRPr="00345388">
        <w:rPr>
          <w:rFonts w:ascii="Times New Roman" w:eastAsia="Malgun Gothic" w:hAnsi="Times New Roman" w:cs="Times New Roman"/>
          <w:b/>
          <w:sz w:val="24"/>
          <w:szCs w:val="24"/>
        </w:rPr>
        <w:t>≤</w:t>
      </w:r>
      <w:r w:rsidR="00103415" w:rsidRPr="00345388">
        <w:rPr>
          <w:rFonts w:ascii="Times New Roman" w:hAnsi="Times New Roman" w:cs="Times New Roman"/>
          <w:b/>
          <w:sz w:val="24"/>
          <w:szCs w:val="24"/>
        </w:rPr>
        <w:t>60</w:t>
      </w:r>
      <w:r w:rsidR="004C703B" w:rsidRPr="00345388">
        <w:rPr>
          <w:rFonts w:ascii="Times New Roman" w:hAnsi="Times New Roman" w:cs="Times New Roman"/>
          <w:b/>
          <w:sz w:val="24"/>
          <w:szCs w:val="24"/>
        </w:rPr>
        <w:t xml:space="preserve"> </w:t>
      </w:r>
      <w:r w:rsidR="00103415" w:rsidRPr="00345388">
        <w:rPr>
          <w:rFonts w:ascii="Times New Roman" w:hAnsi="Times New Roman" w:cs="Times New Roman"/>
          <w:b/>
          <w:sz w:val="24"/>
          <w:szCs w:val="24"/>
        </w:rPr>
        <w:t>kg</w:t>
      </w:r>
    </w:p>
    <w:p w14:paraId="641B76D8" w14:textId="032BD231" w:rsidR="00103415" w:rsidRPr="00345388" w:rsidRDefault="0003442B"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 xml:space="preserve">The cumulative incidence curves of six clinical outcomes are shown in Figure </w:t>
      </w:r>
      <w:r w:rsidR="001516CD" w:rsidRPr="00345388">
        <w:rPr>
          <w:rFonts w:ascii="Times New Roman" w:hAnsi="Times New Roman" w:cs="Times New Roman"/>
          <w:sz w:val="24"/>
          <w:szCs w:val="24"/>
        </w:rPr>
        <w:t>2</w:t>
      </w:r>
      <w:r w:rsidRPr="00345388">
        <w:rPr>
          <w:rFonts w:ascii="Times New Roman" w:hAnsi="Times New Roman" w:cs="Times New Roman"/>
          <w:sz w:val="24"/>
          <w:szCs w:val="24"/>
        </w:rPr>
        <w:t xml:space="preserve"> and</w:t>
      </w:r>
      <w:r w:rsidR="002A11D0" w:rsidRPr="00345388">
        <w:rPr>
          <w:rFonts w:ascii="Times New Roman" w:hAnsi="Times New Roman" w:cs="Times New Roman"/>
          <w:sz w:val="24"/>
          <w:szCs w:val="24"/>
        </w:rPr>
        <w:t xml:space="preserve"> hazard ratios</w:t>
      </w:r>
      <w:r w:rsidRPr="00345388">
        <w:rPr>
          <w:rFonts w:ascii="Times New Roman" w:hAnsi="Times New Roman" w:cs="Times New Roman"/>
          <w:sz w:val="24"/>
          <w:szCs w:val="24"/>
        </w:rPr>
        <w:t xml:space="preserve"> </w:t>
      </w:r>
      <w:r w:rsidR="002A11D0" w:rsidRPr="00345388">
        <w:rPr>
          <w:rFonts w:ascii="Times New Roman" w:hAnsi="Times New Roman" w:cs="Times New Roman"/>
          <w:sz w:val="24"/>
          <w:szCs w:val="24"/>
        </w:rPr>
        <w:t>(</w:t>
      </w:r>
      <w:r w:rsidRPr="00345388">
        <w:rPr>
          <w:rFonts w:ascii="Times New Roman" w:hAnsi="Times New Roman" w:cs="Times New Roman"/>
          <w:sz w:val="24"/>
          <w:szCs w:val="24"/>
        </w:rPr>
        <w:t>HRs</w:t>
      </w:r>
      <w:r w:rsidR="002A11D0" w:rsidRPr="00345388">
        <w:rPr>
          <w:rFonts w:ascii="Times New Roman" w:hAnsi="Times New Roman" w:cs="Times New Roman"/>
          <w:sz w:val="24"/>
          <w:szCs w:val="24"/>
        </w:rPr>
        <w:t>)</w:t>
      </w:r>
      <w:r w:rsidRPr="00345388">
        <w:rPr>
          <w:rFonts w:ascii="Times New Roman" w:hAnsi="Times New Roman" w:cs="Times New Roman"/>
          <w:sz w:val="24"/>
          <w:szCs w:val="24"/>
        </w:rPr>
        <w:t xml:space="preserve"> of NOAC treatment with warfarin as the reference </w:t>
      </w:r>
      <w:r w:rsidR="002A11D0" w:rsidRPr="00345388">
        <w:rPr>
          <w:rFonts w:ascii="Times New Roman" w:hAnsi="Times New Roman" w:cs="Times New Roman"/>
          <w:sz w:val="24"/>
          <w:szCs w:val="24"/>
        </w:rPr>
        <w:t xml:space="preserve">are </w:t>
      </w:r>
      <w:r w:rsidRPr="00345388">
        <w:rPr>
          <w:rFonts w:ascii="Times New Roman" w:hAnsi="Times New Roman" w:cs="Times New Roman"/>
          <w:sz w:val="24"/>
          <w:szCs w:val="24"/>
        </w:rPr>
        <w:t xml:space="preserve">summarized in </w:t>
      </w:r>
      <w:r w:rsidR="001516CD" w:rsidRPr="00345388">
        <w:rPr>
          <w:rFonts w:ascii="Times New Roman" w:hAnsi="Times New Roman" w:cs="Times New Roman"/>
          <w:sz w:val="24"/>
          <w:szCs w:val="24"/>
        </w:rPr>
        <w:t>Central Illustration</w:t>
      </w:r>
      <w:r w:rsidRPr="00345388">
        <w:rPr>
          <w:rFonts w:ascii="Times New Roman" w:hAnsi="Times New Roman" w:cs="Times New Roman"/>
          <w:sz w:val="24"/>
          <w:szCs w:val="24"/>
        </w:rPr>
        <w:t xml:space="preserve">. </w:t>
      </w:r>
      <w:r w:rsidR="00AC627C" w:rsidRPr="00345388">
        <w:rPr>
          <w:rFonts w:ascii="Times New Roman" w:hAnsi="Times New Roman" w:cs="Times New Roman"/>
          <w:sz w:val="24"/>
          <w:szCs w:val="24"/>
        </w:rPr>
        <w:t xml:space="preserve">The incidence </w:t>
      </w:r>
      <w:r w:rsidR="00B8646D" w:rsidRPr="00345388">
        <w:rPr>
          <w:rFonts w:ascii="Times New Roman" w:hAnsi="Times New Roman" w:cs="Times New Roman"/>
          <w:sz w:val="24"/>
          <w:szCs w:val="24"/>
        </w:rPr>
        <w:t xml:space="preserve">rates </w:t>
      </w:r>
      <w:r w:rsidR="00AC627C" w:rsidRPr="00345388">
        <w:rPr>
          <w:rFonts w:ascii="Times New Roman" w:hAnsi="Times New Roman" w:cs="Times New Roman"/>
          <w:sz w:val="24"/>
          <w:szCs w:val="24"/>
        </w:rPr>
        <w:t xml:space="preserve">of all outcomes during a median of 1.2 years (interquartile range, 0.6-1.7 years) were summarized in Table 2. </w:t>
      </w:r>
      <w:r w:rsidR="00FC7FCF" w:rsidRPr="00345388">
        <w:rPr>
          <w:rFonts w:ascii="Times New Roman" w:hAnsi="Times New Roman" w:cs="Times New Roman"/>
          <w:sz w:val="24"/>
          <w:szCs w:val="24"/>
        </w:rPr>
        <w:t xml:space="preserve">Compared to warfarin, NOAC was associated with a 41% lower risk of ischemic stroke (HR: 0.591, 95% confidence interval </w:t>
      </w:r>
      <w:r w:rsidR="00681F57" w:rsidRPr="00345388">
        <w:rPr>
          <w:rFonts w:ascii="Times New Roman" w:hAnsi="Times New Roman" w:cs="Times New Roman"/>
          <w:sz w:val="24"/>
          <w:szCs w:val="24"/>
        </w:rPr>
        <w:t>(</w:t>
      </w:r>
      <w:r w:rsidR="00FC7FCF" w:rsidRPr="00345388">
        <w:rPr>
          <w:rFonts w:ascii="Times New Roman" w:hAnsi="Times New Roman" w:cs="Times New Roman"/>
          <w:sz w:val="24"/>
          <w:szCs w:val="24"/>
        </w:rPr>
        <w:t>CI</w:t>
      </w:r>
      <w:r w:rsidR="00681F57" w:rsidRPr="00345388">
        <w:rPr>
          <w:rFonts w:ascii="Times New Roman" w:hAnsi="Times New Roman" w:cs="Times New Roman"/>
          <w:sz w:val="24"/>
          <w:szCs w:val="24"/>
        </w:rPr>
        <w:t>):</w:t>
      </w:r>
      <w:r w:rsidR="00FC7FCF" w:rsidRPr="00345388">
        <w:rPr>
          <w:rFonts w:ascii="Times New Roman" w:hAnsi="Times New Roman" w:cs="Times New Roman"/>
          <w:sz w:val="24"/>
          <w:szCs w:val="24"/>
        </w:rPr>
        <w:t xml:space="preserve"> 0.510-0.686, p&lt;0.001)</w:t>
      </w:r>
      <w:r w:rsidR="00EE6C40" w:rsidRPr="00345388">
        <w:rPr>
          <w:rFonts w:ascii="Times New Roman" w:hAnsi="Times New Roman" w:cs="Times New Roman"/>
          <w:sz w:val="24"/>
          <w:szCs w:val="24"/>
        </w:rPr>
        <w:t>.</w:t>
      </w:r>
      <w:r w:rsidR="00FC7FCF" w:rsidRPr="00345388">
        <w:rPr>
          <w:rFonts w:ascii="Times New Roman" w:hAnsi="Times New Roman" w:cs="Times New Roman"/>
          <w:sz w:val="24"/>
          <w:szCs w:val="24"/>
        </w:rPr>
        <w:t xml:space="preserve"> Compared to warfarin, NOAC use was associated with a 30% reduction </w:t>
      </w:r>
      <w:r w:rsidR="006B14C5" w:rsidRPr="00345388">
        <w:rPr>
          <w:rFonts w:ascii="Times New Roman" w:hAnsi="Times New Roman" w:cs="Times New Roman"/>
          <w:sz w:val="24"/>
          <w:szCs w:val="24"/>
        </w:rPr>
        <w:t>in</w:t>
      </w:r>
      <w:r w:rsidR="00FC7FCF" w:rsidRPr="00345388">
        <w:rPr>
          <w:rFonts w:ascii="Times New Roman" w:hAnsi="Times New Roman" w:cs="Times New Roman"/>
          <w:sz w:val="24"/>
          <w:szCs w:val="24"/>
        </w:rPr>
        <w:t xml:space="preserve"> </w:t>
      </w:r>
      <w:r w:rsidR="00D932F8" w:rsidRPr="00345388">
        <w:rPr>
          <w:rFonts w:ascii="Times New Roman" w:hAnsi="Times New Roman" w:cs="Times New Roman"/>
          <w:sz w:val="24"/>
          <w:szCs w:val="24"/>
        </w:rPr>
        <w:t xml:space="preserve">the risk of </w:t>
      </w:r>
      <w:r w:rsidR="00FC7FCF" w:rsidRPr="00345388">
        <w:rPr>
          <w:rFonts w:ascii="Times New Roman" w:hAnsi="Times New Roman" w:cs="Times New Roman"/>
          <w:sz w:val="24"/>
          <w:szCs w:val="24"/>
        </w:rPr>
        <w:t>major bleeding (HR: 0.705, 95% CI: 0.601</w:t>
      </w:r>
      <w:r w:rsidR="00FB066F" w:rsidRPr="00345388">
        <w:rPr>
          <w:rFonts w:ascii="Times New Roman" w:hAnsi="Times New Roman" w:cs="Times New Roman"/>
          <w:sz w:val="24"/>
          <w:szCs w:val="24"/>
        </w:rPr>
        <w:t>–</w:t>
      </w:r>
      <w:r w:rsidR="00FC7FCF" w:rsidRPr="00345388">
        <w:rPr>
          <w:rFonts w:ascii="Times New Roman" w:hAnsi="Times New Roman" w:cs="Times New Roman"/>
          <w:sz w:val="24"/>
          <w:szCs w:val="24"/>
        </w:rPr>
        <w:t>0.825, p&lt;0.001)</w:t>
      </w:r>
      <w:r w:rsidR="006B14C5" w:rsidRPr="00345388">
        <w:rPr>
          <w:rFonts w:ascii="Times New Roman" w:hAnsi="Times New Roman" w:cs="Times New Roman"/>
          <w:sz w:val="24"/>
          <w:szCs w:val="24"/>
        </w:rPr>
        <w:t xml:space="preserve">, </w:t>
      </w:r>
      <w:r w:rsidR="00FC7FCF" w:rsidRPr="00345388">
        <w:rPr>
          <w:rFonts w:ascii="Times New Roman" w:hAnsi="Times New Roman" w:cs="Times New Roman"/>
          <w:sz w:val="24"/>
          <w:szCs w:val="24"/>
        </w:rPr>
        <w:t>mainly driven by a reduction in ICH (HR: 0.554, 95% CI: 0.429</w:t>
      </w:r>
      <w:r w:rsidR="00FB066F" w:rsidRPr="00345388">
        <w:rPr>
          <w:rFonts w:ascii="Times New Roman" w:hAnsi="Times New Roman" w:cs="Times New Roman"/>
          <w:sz w:val="24"/>
          <w:szCs w:val="24"/>
        </w:rPr>
        <w:t>–</w:t>
      </w:r>
      <w:r w:rsidR="00FC7FCF" w:rsidRPr="00345388">
        <w:rPr>
          <w:rFonts w:ascii="Times New Roman" w:hAnsi="Times New Roman" w:cs="Times New Roman"/>
          <w:sz w:val="24"/>
          <w:szCs w:val="24"/>
        </w:rPr>
        <w:t xml:space="preserve">0.713, p&lt;0.001). </w:t>
      </w:r>
      <w:r w:rsidR="006B14C5" w:rsidRPr="00345388">
        <w:rPr>
          <w:rFonts w:ascii="Times New Roman" w:hAnsi="Times New Roman" w:cs="Times New Roman"/>
          <w:sz w:val="24"/>
          <w:szCs w:val="24"/>
        </w:rPr>
        <w:t>For</w:t>
      </w:r>
      <w:r w:rsidR="00103415" w:rsidRPr="00345388">
        <w:rPr>
          <w:rFonts w:ascii="Times New Roman" w:hAnsi="Times New Roman" w:cs="Times New Roman"/>
          <w:sz w:val="24"/>
          <w:szCs w:val="24"/>
        </w:rPr>
        <w:t xml:space="preserve"> hospitalization </w:t>
      </w:r>
      <w:r w:rsidR="006B14C5" w:rsidRPr="00345388">
        <w:rPr>
          <w:rFonts w:ascii="Times New Roman" w:hAnsi="Times New Roman" w:cs="Times New Roman"/>
          <w:sz w:val="24"/>
          <w:szCs w:val="24"/>
        </w:rPr>
        <w:t xml:space="preserve">due to </w:t>
      </w:r>
      <w:r w:rsidR="00103415" w:rsidRPr="00345388">
        <w:rPr>
          <w:rFonts w:ascii="Times New Roman" w:hAnsi="Times New Roman" w:cs="Times New Roman"/>
          <w:sz w:val="24"/>
          <w:szCs w:val="24"/>
        </w:rPr>
        <w:t xml:space="preserve">GI bleeding, NOAC treatment was associated with a lower risk </w:t>
      </w:r>
      <w:r w:rsidR="00A0070A" w:rsidRPr="00345388">
        <w:rPr>
          <w:rFonts w:ascii="Times New Roman" w:hAnsi="Times New Roman" w:cs="Times New Roman"/>
          <w:sz w:val="24"/>
          <w:szCs w:val="24"/>
        </w:rPr>
        <w:t>than</w:t>
      </w:r>
      <w:r w:rsidR="00103415" w:rsidRPr="00345388">
        <w:rPr>
          <w:rFonts w:ascii="Times New Roman" w:hAnsi="Times New Roman" w:cs="Times New Roman"/>
          <w:sz w:val="24"/>
          <w:szCs w:val="24"/>
        </w:rPr>
        <w:t xml:space="preserve"> warfarin (HR: 0.816, 95% CI: 0.668</w:t>
      </w:r>
      <w:r w:rsidR="00FB066F" w:rsidRPr="00345388">
        <w:rPr>
          <w:rFonts w:ascii="Times New Roman" w:hAnsi="Times New Roman" w:cs="Times New Roman"/>
          <w:sz w:val="24"/>
          <w:szCs w:val="24"/>
        </w:rPr>
        <w:t>–</w:t>
      </w:r>
      <w:r w:rsidR="00103415" w:rsidRPr="00345388">
        <w:rPr>
          <w:rFonts w:ascii="Times New Roman" w:hAnsi="Times New Roman" w:cs="Times New Roman"/>
          <w:sz w:val="24"/>
          <w:szCs w:val="24"/>
        </w:rPr>
        <w:t xml:space="preserve">0.996, p=0.045). NOAC </w:t>
      </w:r>
      <w:r w:rsidR="00CA6007" w:rsidRPr="00345388">
        <w:rPr>
          <w:rFonts w:ascii="Times New Roman" w:hAnsi="Times New Roman" w:cs="Times New Roman"/>
          <w:sz w:val="24"/>
          <w:szCs w:val="24"/>
        </w:rPr>
        <w:t xml:space="preserve">use </w:t>
      </w:r>
      <w:r w:rsidR="00103415" w:rsidRPr="00345388">
        <w:rPr>
          <w:rFonts w:ascii="Times New Roman" w:hAnsi="Times New Roman" w:cs="Times New Roman"/>
          <w:sz w:val="24"/>
          <w:szCs w:val="24"/>
        </w:rPr>
        <w:t>was associated with a 30% lower risk of all-cause death (HR: 0.705, 95% CI</w:t>
      </w:r>
      <w:r w:rsidR="00FB066F" w:rsidRPr="00345388">
        <w:rPr>
          <w:rFonts w:ascii="Times New Roman" w:hAnsi="Times New Roman" w:cs="Times New Roman"/>
          <w:sz w:val="24"/>
          <w:szCs w:val="24"/>
        </w:rPr>
        <w:t>:</w:t>
      </w:r>
      <w:r w:rsidR="00103415" w:rsidRPr="00345388">
        <w:rPr>
          <w:rFonts w:ascii="Times New Roman" w:hAnsi="Times New Roman" w:cs="Times New Roman"/>
          <w:sz w:val="24"/>
          <w:szCs w:val="24"/>
        </w:rPr>
        <w:t xml:space="preserve"> 0.630</w:t>
      </w:r>
      <w:r w:rsidR="00296772" w:rsidRPr="00345388">
        <w:rPr>
          <w:rFonts w:ascii="Times New Roman" w:hAnsi="Times New Roman" w:cs="Times New Roman"/>
          <w:sz w:val="24"/>
          <w:szCs w:val="24"/>
        </w:rPr>
        <w:t>–</w:t>
      </w:r>
      <w:r w:rsidR="00103415" w:rsidRPr="00345388">
        <w:rPr>
          <w:rFonts w:ascii="Times New Roman" w:hAnsi="Times New Roman" w:cs="Times New Roman"/>
          <w:sz w:val="24"/>
          <w:szCs w:val="24"/>
        </w:rPr>
        <w:t>0.789, p&lt;0.001)</w:t>
      </w:r>
      <w:r w:rsidR="00CA6007" w:rsidRPr="00345388">
        <w:rPr>
          <w:rFonts w:ascii="Times New Roman" w:hAnsi="Times New Roman" w:cs="Times New Roman"/>
          <w:sz w:val="24"/>
          <w:szCs w:val="24"/>
        </w:rPr>
        <w:t xml:space="preserve"> and an improved </w:t>
      </w:r>
      <w:r w:rsidR="00103415" w:rsidRPr="00345388">
        <w:rPr>
          <w:rFonts w:ascii="Times New Roman" w:hAnsi="Times New Roman" w:cs="Times New Roman"/>
          <w:sz w:val="24"/>
          <w:szCs w:val="24"/>
        </w:rPr>
        <w:t>net clinical benefit compared to warfarin (HR for composite outcome: 0.660, 95% CI: 0.606</w:t>
      </w:r>
      <w:r w:rsidR="00FB066F" w:rsidRPr="00345388">
        <w:rPr>
          <w:rFonts w:ascii="Times New Roman" w:hAnsi="Times New Roman" w:cs="Times New Roman"/>
          <w:sz w:val="24"/>
          <w:szCs w:val="24"/>
        </w:rPr>
        <w:t>–</w:t>
      </w:r>
      <w:r w:rsidR="00103415" w:rsidRPr="00345388">
        <w:rPr>
          <w:rFonts w:ascii="Times New Roman" w:hAnsi="Times New Roman" w:cs="Times New Roman"/>
          <w:sz w:val="24"/>
          <w:szCs w:val="24"/>
        </w:rPr>
        <w:t xml:space="preserve">0.717, p&lt;0.001). </w:t>
      </w:r>
      <w:r w:rsidR="00957564" w:rsidRPr="00345388">
        <w:rPr>
          <w:rFonts w:ascii="Times New Roman" w:hAnsi="Times New Roman" w:cs="Times New Roman"/>
          <w:sz w:val="24"/>
          <w:szCs w:val="24"/>
          <w:u w:val="single"/>
        </w:rPr>
        <w:t xml:space="preserve">On-treatment analysis showed the similar </w:t>
      </w:r>
      <w:r w:rsidR="00957564" w:rsidRPr="00345388">
        <w:rPr>
          <w:rFonts w:ascii="Times New Roman" w:hAnsi="Times New Roman" w:cs="Times New Roman"/>
          <w:sz w:val="24"/>
          <w:szCs w:val="24"/>
          <w:u w:val="single"/>
        </w:rPr>
        <w:lastRenderedPageBreak/>
        <w:t>trends with main results across all six clinical outcomes (Online Table 4 and Online Figure 2). The benefit of NOAC compared to warfarin were slightly accentuated in the on-treatment analysis.</w:t>
      </w:r>
    </w:p>
    <w:p w14:paraId="4E96A488" w14:textId="29B19B97" w:rsidR="00C90DB2" w:rsidRPr="00345388" w:rsidRDefault="00103415"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t xml:space="preserve">Clinical outcomes </w:t>
      </w:r>
      <w:r w:rsidR="00EC425F" w:rsidRPr="00345388">
        <w:rPr>
          <w:rFonts w:ascii="Times New Roman" w:hAnsi="Times New Roman" w:cs="Times New Roman"/>
          <w:b/>
          <w:sz w:val="24"/>
          <w:szCs w:val="24"/>
        </w:rPr>
        <w:t>stratified by</w:t>
      </w:r>
      <w:r w:rsidRPr="00345388">
        <w:rPr>
          <w:rFonts w:ascii="Times New Roman" w:hAnsi="Times New Roman" w:cs="Times New Roman"/>
          <w:b/>
          <w:sz w:val="24"/>
          <w:szCs w:val="24"/>
        </w:rPr>
        <w:t xml:space="preserve"> body weight</w:t>
      </w:r>
    </w:p>
    <w:p w14:paraId="2A915A6A" w14:textId="3D561E92" w:rsidR="00F55FB6" w:rsidRPr="00345388" w:rsidRDefault="001B30C9"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 xml:space="preserve">Before </w:t>
      </w:r>
      <w:r w:rsidR="003C4B7E" w:rsidRPr="00345388">
        <w:rPr>
          <w:rFonts w:ascii="Times New Roman" w:hAnsi="Times New Roman" w:cs="Times New Roman"/>
          <w:sz w:val="24"/>
          <w:szCs w:val="24"/>
        </w:rPr>
        <w:t>comparing</w:t>
      </w:r>
      <w:r w:rsidRPr="00345388">
        <w:rPr>
          <w:rFonts w:ascii="Times New Roman" w:hAnsi="Times New Roman" w:cs="Times New Roman"/>
          <w:sz w:val="24"/>
          <w:szCs w:val="24"/>
        </w:rPr>
        <w:t xml:space="preserve"> clinical outcomes, we evaluated the balance of all covariates between</w:t>
      </w:r>
      <w:r w:rsidR="00597B82" w:rsidRPr="00345388">
        <w:rPr>
          <w:rFonts w:ascii="Times New Roman" w:hAnsi="Times New Roman" w:cs="Times New Roman"/>
          <w:sz w:val="24"/>
          <w:szCs w:val="24"/>
        </w:rPr>
        <w:t xml:space="preserve"> the</w:t>
      </w:r>
      <w:r w:rsidRPr="00345388">
        <w:rPr>
          <w:rFonts w:ascii="Times New Roman" w:hAnsi="Times New Roman" w:cs="Times New Roman"/>
          <w:sz w:val="24"/>
          <w:szCs w:val="24"/>
        </w:rPr>
        <w:t xml:space="preserve"> two study groups in each subgroup categorized by body weight. </w:t>
      </w:r>
      <w:r w:rsidR="00597B82" w:rsidRPr="00345388">
        <w:rPr>
          <w:rFonts w:ascii="Times New Roman" w:hAnsi="Times New Roman" w:cs="Times New Roman"/>
          <w:sz w:val="24"/>
          <w:szCs w:val="24"/>
        </w:rPr>
        <w:t xml:space="preserve">The </w:t>
      </w:r>
      <w:r w:rsidRPr="00345388">
        <w:rPr>
          <w:rFonts w:ascii="Times New Roman" w:hAnsi="Times New Roman" w:cs="Times New Roman"/>
          <w:sz w:val="24"/>
          <w:szCs w:val="24"/>
        </w:rPr>
        <w:t>NOAC and warfarin groups were well balanced in all variables (all ASDs of &lt;0.1) in each subgroup</w:t>
      </w:r>
      <w:r w:rsidR="00597B82" w:rsidRPr="00345388">
        <w:rPr>
          <w:rFonts w:ascii="Times New Roman" w:hAnsi="Times New Roman" w:cs="Times New Roman"/>
          <w:sz w:val="24"/>
          <w:szCs w:val="24"/>
        </w:rPr>
        <w:t xml:space="preserve"> (</w:t>
      </w:r>
      <w:r w:rsidR="001516CD" w:rsidRPr="00345388">
        <w:rPr>
          <w:rFonts w:ascii="Times New Roman" w:hAnsi="Times New Roman" w:cs="Times New Roman"/>
          <w:sz w:val="24"/>
          <w:szCs w:val="24"/>
        </w:rPr>
        <w:t xml:space="preserve">Online </w:t>
      </w:r>
      <w:r w:rsidR="00597B82" w:rsidRPr="00345388">
        <w:rPr>
          <w:rFonts w:ascii="Times New Roman" w:hAnsi="Times New Roman" w:cs="Times New Roman"/>
          <w:sz w:val="24"/>
          <w:szCs w:val="24"/>
        </w:rPr>
        <w:t xml:space="preserve">Table </w:t>
      </w:r>
      <w:r w:rsidR="007515B6" w:rsidRPr="00345388">
        <w:rPr>
          <w:rFonts w:ascii="Times New Roman" w:hAnsi="Times New Roman" w:cs="Times New Roman"/>
          <w:sz w:val="24"/>
          <w:szCs w:val="24"/>
        </w:rPr>
        <w:t>5</w:t>
      </w:r>
      <w:r w:rsidR="00597B82" w:rsidRPr="00345388">
        <w:rPr>
          <w:rFonts w:ascii="Times New Roman" w:hAnsi="Times New Roman" w:cs="Times New Roman"/>
          <w:sz w:val="24"/>
          <w:szCs w:val="24"/>
        </w:rPr>
        <w:t>)</w:t>
      </w:r>
      <w:r w:rsidRPr="00345388">
        <w:rPr>
          <w:rFonts w:ascii="Times New Roman" w:hAnsi="Times New Roman" w:cs="Times New Roman"/>
          <w:sz w:val="24"/>
          <w:szCs w:val="24"/>
        </w:rPr>
        <w:t>.</w:t>
      </w:r>
      <w:r w:rsidR="00FF6129" w:rsidRPr="00345388">
        <w:rPr>
          <w:rFonts w:ascii="Times New Roman" w:hAnsi="Times New Roman" w:cs="Times New Roman"/>
          <w:sz w:val="24"/>
          <w:szCs w:val="24"/>
        </w:rPr>
        <w:t xml:space="preserve"> </w:t>
      </w:r>
      <w:r w:rsidR="003C4B7E" w:rsidRPr="00345388">
        <w:rPr>
          <w:rFonts w:ascii="Times New Roman" w:hAnsi="Times New Roman" w:cs="Times New Roman"/>
          <w:sz w:val="24"/>
          <w:szCs w:val="24"/>
        </w:rPr>
        <w:t xml:space="preserve">Patients weighing </w:t>
      </w:r>
      <w:r w:rsidR="00FF6129" w:rsidRPr="00345388">
        <w:rPr>
          <w:rFonts w:ascii="Times New Roman" w:hAnsi="Times New Roman" w:cs="Times New Roman"/>
          <w:sz w:val="24"/>
          <w:szCs w:val="24"/>
        </w:rPr>
        <w:t>&lt;50</w:t>
      </w:r>
      <w:r w:rsidR="00C3732F" w:rsidRPr="00345388">
        <w:rPr>
          <w:rFonts w:ascii="Times New Roman" w:hAnsi="Times New Roman" w:cs="Times New Roman"/>
          <w:sz w:val="24"/>
          <w:szCs w:val="24"/>
        </w:rPr>
        <w:t xml:space="preserve"> </w:t>
      </w:r>
      <w:r w:rsidR="00FF6129" w:rsidRPr="00345388">
        <w:rPr>
          <w:rFonts w:ascii="Times New Roman" w:hAnsi="Times New Roman" w:cs="Times New Roman"/>
          <w:sz w:val="24"/>
          <w:szCs w:val="24"/>
        </w:rPr>
        <w:t xml:space="preserve">kg </w:t>
      </w:r>
      <w:r w:rsidR="003C4B7E" w:rsidRPr="00345388">
        <w:rPr>
          <w:rFonts w:ascii="Times New Roman" w:hAnsi="Times New Roman" w:cs="Times New Roman"/>
          <w:sz w:val="24"/>
          <w:szCs w:val="24"/>
        </w:rPr>
        <w:t xml:space="preserve">were </w:t>
      </w:r>
      <w:r w:rsidR="00FF6129" w:rsidRPr="00345388">
        <w:rPr>
          <w:rFonts w:ascii="Times New Roman" w:hAnsi="Times New Roman" w:cs="Times New Roman"/>
          <w:sz w:val="24"/>
          <w:szCs w:val="24"/>
        </w:rPr>
        <w:t xml:space="preserve">older, more likely to be </w:t>
      </w:r>
      <w:r w:rsidR="003C4B7E" w:rsidRPr="00345388">
        <w:rPr>
          <w:rFonts w:ascii="Times New Roman" w:hAnsi="Times New Roman" w:cs="Times New Roman"/>
          <w:sz w:val="24"/>
          <w:szCs w:val="24"/>
        </w:rPr>
        <w:t>women,</w:t>
      </w:r>
      <w:r w:rsidR="00CA6007" w:rsidRPr="00345388">
        <w:rPr>
          <w:rFonts w:ascii="Times New Roman" w:hAnsi="Times New Roman" w:cs="Times New Roman"/>
          <w:sz w:val="24"/>
          <w:szCs w:val="24"/>
        </w:rPr>
        <w:t xml:space="preserve"> </w:t>
      </w:r>
      <w:r w:rsidR="00FF6129" w:rsidRPr="00345388">
        <w:rPr>
          <w:rFonts w:ascii="Times New Roman" w:hAnsi="Times New Roman" w:cs="Times New Roman"/>
          <w:sz w:val="24"/>
          <w:szCs w:val="24"/>
        </w:rPr>
        <w:t>and had higher CHA</w:t>
      </w:r>
      <w:r w:rsidR="00FF6129" w:rsidRPr="00345388">
        <w:rPr>
          <w:rFonts w:ascii="Times New Roman" w:hAnsi="Times New Roman" w:cs="Times New Roman"/>
          <w:sz w:val="24"/>
          <w:szCs w:val="24"/>
          <w:vertAlign w:val="subscript"/>
        </w:rPr>
        <w:t>2</w:t>
      </w:r>
      <w:r w:rsidR="00FF6129" w:rsidRPr="00345388">
        <w:rPr>
          <w:rFonts w:ascii="Times New Roman" w:hAnsi="Times New Roman" w:cs="Times New Roman"/>
          <w:sz w:val="24"/>
          <w:szCs w:val="24"/>
        </w:rPr>
        <w:t>DS</w:t>
      </w:r>
      <w:r w:rsidR="00FF6129" w:rsidRPr="00345388">
        <w:rPr>
          <w:rFonts w:ascii="Times New Roman" w:hAnsi="Times New Roman" w:cs="Times New Roman"/>
          <w:sz w:val="24"/>
          <w:szCs w:val="24"/>
          <w:vertAlign w:val="subscript"/>
        </w:rPr>
        <w:t>2</w:t>
      </w:r>
      <w:r w:rsidR="00FF6129" w:rsidRPr="00345388">
        <w:rPr>
          <w:rFonts w:ascii="Times New Roman" w:hAnsi="Times New Roman" w:cs="Times New Roman"/>
          <w:sz w:val="24"/>
          <w:szCs w:val="24"/>
        </w:rPr>
        <w:t>-VASc score</w:t>
      </w:r>
      <w:r w:rsidR="00597B82" w:rsidRPr="00345388">
        <w:rPr>
          <w:rFonts w:ascii="Times New Roman" w:hAnsi="Times New Roman" w:cs="Times New Roman"/>
          <w:sz w:val="24"/>
          <w:szCs w:val="24"/>
        </w:rPr>
        <w:t>s</w:t>
      </w:r>
      <w:r w:rsidR="00FF6129" w:rsidRPr="00345388">
        <w:rPr>
          <w:rFonts w:ascii="Times New Roman" w:hAnsi="Times New Roman" w:cs="Times New Roman"/>
          <w:sz w:val="24"/>
          <w:szCs w:val="24"/>
        </w:rPr>
        <w:t xml:space="preserve"> </w:t>
      </w:r>
      <w:r w:rsidR="00F55FB6" w:rsidRPr="00345388">
        <w:rPr>
          <w:rFonts w:ascii="Times New Roman" w:hAnsi="Times New Roman" w:cs="Times New Roman"/>
          <w:sz w:val="24"/>
          <w:szCs w:val="24"/>
        </w:rPr>
        <w:t xml:space="preserve">than patients </w:t>
      </w:r>
      <w:r w:rsidR="003C4B7E" w:rsidRPr="00345388">
        <w:rPr>
          <w:rFonts w:ascii="Times New Roman" w:hAnsi="Times New Roman" w:cs="Times New Roman"/>
          <w:sz w:val="24"/>
          <w:szCs w:val="24"/>
        </w:rPr>
        <w:t xml:space="preserve">weighing </w:t>
      </w:r>
      <w:r w:rsidR="00F55FB6" w:rsidRPr="00345388">
        <w:rPr>
          <w:rFonts w:ascii="Times New Roman" w:hAnsi="Times New Roman" w:cs="Times New Roman"/>
          <w:sz w:val="24"/>
          <w:szCs w:val="24"/>
        </w:rPr>
        <w:t xml:space="preserve">50-60 kg </w:t>
      </w:r>
      <w:r w:rsidR="00FF6129" w:rsidRPr="00345388">
        <w:rPr>
          <w:rFonts w:ascii="Times New Roman" w:hAnsi="Times New Roman" w:cs="Times New Roman"/>
          <w:sz w:val="24"/>
          <w:szCs w:val="24"/>
        </w:rPr>
        <w:t>(</w:t>
      </w:r>
      <w:r w:rsidR="001516CD" w:rsidRPr="00345388">
        <w:rPr>
          <w:rFonts w:ascii="Times New Roman" w:hAnsi="Times New Roman" w:cs="Times New Roman"/>
          <w:sz w:val="24"/>
          <w:szCs w:val="24"/>
        </w:rPr>
        <w:t xml:space="preserve">Online </w:t>
      </w:r>
      <w:r w:rsidR="00FF6129" w:rsidRPr="00345388">
        <w:rPr>
          <w:rFonts w:ascii="Times New Roman" w:hAnsi="Times New Roman" w:cs="Times New Roman"/>
          <w:sz w:val="24"/>
          <w:szCs w:val="24"/>
        </w:rPr>
        <w:t xml:space="preserve">Table </w:t>
      </w:r>
      <w:r w:rsidR="00C43813" w:rsidRPr="00345388">
        <w:rPr>
          <w:rFonts w:ascii="Times New Roman" w:hAnsi="Times New Roman" w:cs="Times New Roman"/>
          <w:sz w:val="24"/>
          <w:szCs w:val="24"/>
        </w:rPr>
        <w:t>5</w:t>
      </w:r>
      <w:r w:rsidR="00FF6129" w:rsidRPr="00345388">
        <w:rPr>
          <w:rFonts w:ascii="Times New Roman" w:hAnsi="Times New Roman" w:cs="Times New Roman"/>
          <w:sz w:val="24"/>
          <w:szCs w:val="24"/>
        </w:rPr>
        <w:t>).</w:t>
      </w:r>
      <w:r w:rsidR="00C3732F" w:rsidRPr="00345388">
        <w:rPr>
          <w:rFonts w:ascii="Times New Roman" w:hAnsi="Times New Roman" w:cs="Times New Roman"/>
          <w:sz w:val="24"/>
          <w:szCs w:val="24"/>
        </w:rPr>
        <w:t xml:space="preserve"> The proportion of reduced dose NOAC prescription was higher in patients </w:t>
      </w:r>
      <w:r w:rsidR="001E6ECF" w:rsidRPr="00345388">
        <w:rPr>
          <w:rFonts w:ascii="Times New Roman" w:hAnsi="Times New Roman" w:cs="Times New Roman"/>
          <w:sz w:val="24"/>
          <w:szCs w:val="24"/>
        </w:rPr>
        <w:t xml:space="preserve">weighing </w:t>
      </w:r>
      <w:r w:rsidR="00C3732F" w:rsidRPr="00345388">
        <w:rPr>
          <w:rFonts w:ascii="Times New Roman" w:hAnsi="Times New Roman" w:cs="Times New Roman"/>
          <w:sz w:val="24"/>
          <w:szCs w:val="24"/>
        </w:rPr>
        <w:t xml:space="preserve">&lt;50 kg than </w:t>
      </w:r>
      <w:r w:rsidR="001E6ECF" w:rsidRPr="00345388">
        <w:rPr>
          <w:rFonts w:ascii="Times New Roman" w:hAnsi="Times New Roman" w:cs="Times New Roman"/>
          <w:sz w:val="24"/>
          <w:szCs w:val="24"/>
        </w:rPr>
        <w:t xml:space="preserve">in </w:t>
      </w:r>
      <w:r w:rsidR="00C3732F" w:rsidRPr="00345388">
        <w:rPr>
          <w:rFonts w:ascii="Times New Roman" w:hAnsi="Times New Roman" w:cs="Times New Roman"/>
          <w:sz w:val="24"/>
          <w:szCs w:val="24"/>
        </w:rPr>
        <w:t xml:space="preserve">patients </w:t>
      </w:r>
      <w:r w:rsidR="001E6ECF" w:rsidRPr="00345388">
        <w:rPr>
          <w:rFonts w:ascii="Times New Roman" w:hAnsi="Times New Roman" w:cs="Times New Roman"/>
          <w:sz w:val="24"/>
          <w:szCs w:val="24"/>
        </w:rPr>
        <w:t xml:space="preserve">weighing </w:t>
      </w:r>
      <w:r w:rsidR="00C3732F" w:rsidRPr="00345388">
        <w:rPr>
          <w:rFonts w:ascii="Times New Roman" w:hAnsi="Times New Roman" w:cs="Times New Roman"/>
          <w:sz w:val="24"/>
          <w:szCs w:val="24"/>
        </w:rPr>
        <w:t xml:space="preserve">50-60 kg (67% vs. 58%). In general, patients </w:t>
      </w:r>
      <w:r w:rsidR="001E6ECF" w:rsidRPr="00345388">
        <w:rPr>
          <w:rFonts w:ascii="Times New Roman" w:hAnsi="Times New Roman" w:cs="Times New Roman"/>
          <w:sz w:val="24"/>
          <w:szCs w:val="24"/>
        </w:rPr>
        <w:t xml:space="preserve">weighing </w:t>
      </w:r>
      <w:r w:rsidR="00C3732F" w:rsidRPr="00345388">
        <w:rPr>
          <w:rFonts w:ascii="Times New Roman" w:hAnsi="Times New Roman" w:cs="Times New Roman"/>
          <w:sz w:val="24"/>
          <w:szCs w:val="24"/>
        </w:rPr>
        <w:t>&lt;50 kg showed higher incidence</w:t>
      </w:r>
      <w:r w:rsidR="00AE76FD" w:rsidRPr="00345388">
        <w:rPr>
          <w:rFonts w:ascii="Times New Roman" w:hAnsi="Times New Roman" w:cs="Times New Roman"/>
          <w:sz w:val="24"/>
          <w:szCs w:val="24"/>
        </w:rPr>
        <w:t xml:space="preserve">s of </w:t>
      </w:r>
      <w:r w:rsidR="00C3732F" w:rsidRPr="00345388">
        <w:rPr>
          <w:rFonts w:ascii="Times New Roman" w:hAnsi="Times New Roman" w:cs="Times New Roman"/>
          <w:sz w:val="24"/>
          <w:szCs w:val="24"/>
        </w:rPr>
        <w:t xml:space="preserve">all </w:t>
      </w:r>
      <w:r w:rsidR="00F55FB6" w:rsidRPr="00345388">
        <w:rPr>
          <w:rFonts w:ascii="Times New Roman" w:hAnsi="Times New Roman" w:cs="Times New Roman"/>
          <w:sz w:val="24"/>
          <w:szCs w:val="24"/>
        </w:rPr>
        <w:t>six</w:t>
      </w:r>
      <w:r w:rsidR="00C3732F" w:rsidRPr="00345388">
        <w:rPr>
          <w:rFonts w:ascii="Times New Roman" w:hAnsi="Times New Roman" w:cs="Times New Roman"/>
          <w:sz w:val="24"/>
          <w:szCs w:val="24"/>
        </w:rPr>
        <w:t xml:space="preserve"> clinical outcomes </w:t>
      </w:r>
      <w:r w:rsidR="00DE4F78" w:rsidRPr="00345388">
        <w:rPr>
          <w:rFonts w:ascii="Times New Roman" w:hAnsi="Times New Roman" w:cs="Times New Roman"/>
          <w:sz w:val="24"/>
          <w:szCs w:val="24"/>
        </w:rPr>
        <w:t>than</w:t>
      </w:r>
      <w:r w:rsidR="00C3732F" w:rsidRPr="00345388">
        <w:rPr>
          <w:rFonts w:ascii="Times New Roman" w:hAnsi="Times New Roman" w:cs="Times New Roman"/>
          <w:sz w:val="24"/>
          <w:szCs w:val="24"/>
        </w:rPr>
        <w:t xml:space="preserve"> patients </w:t>
      </w:r>
      <w:r w:rsidR="001E6ECF" w:rsidRPr="00345388">
        <w:rPr>
          <w:rFonts w:ascii="Times New Roman" w:hAnsi="Times New Roman" w:cs="Times New Roman"/>
          <w:sz w:val="24"/>
          <w:szCs w:val="24"/>
        </w:rPr>
        <w:t xml:space="preserve">weighing </w:t>
      </w:r>
      <w:r w:rsidR="00C3732F" w:rsidRPr="00345388">
        <w:rPr>
          <w:rFonts w:ascii="Times New Roman" w:hAnsi="Times New Roman" w:cs="Times New Roman"/>
          <w:sz w:val="24"/>
          <w:szCs w:val="24"/>
        </w:rPr>
        <w:t>50-60 kg</w:t>
      </w:r>
      <w:r w:rsidR="00E334EE" w:rsidRPr="00345388">
        <w:rPr>
          <w:rFonts w:ascii="Times New Roman" w:hAnsi="Times New Roman" w:cs="Times New Roman"/>
          <w:sz w:val="24"/>
          <w:szCs w:val="24"/>
        </w:rPr>
        <w:t xml:space="preserve"> (Table 2)</w:t>
      </w:r>
      <w:r w:rsidR="00C3732F" w:rsidRPr="00345388">
        <w:rPr>
          <w:rFonts w:ascii="Times New Roman" w:hAnsi="Times New Roman" w:cs="Times New Roman"/>
          <w:sz w:val="24"/>
          <w:szCs w:val="24"/>
        </w:rPr>
        <w:t xml:space="preserve">. </w:t>
      </w:r>
      <w:r w:rsidR="00E334EE" w:rsidRPr="00345388">
        <w:rPr>
          <w:rFonts w:ascii="Times New Roman" w:hAnsi="Times New Roman" w:cs="Times New Roman"/>
          <w:sz w:val="24"/>
          <w:szCs w:val="24"/>
        </w:rPr>
        <w:t>Central Illustration</w:t>
      </w:r>
      <w:r w:rsidR="00F32D8A" w:rsidRPr="00345388">
        <w:rPr>
          <w:rFonts w:ascii="Times New Roman" w:hAnsi="Times New Roman" w:cs="Times New Roman"/>
          <w:sz w:val="24"/>
          <w:szCs w:val="24"/>
        </w:rPr>
        <w:t xml:space="preserve"> </w:t>
      </w:r>
      <w:r w:rsidRPr="00345388">
        <w:rPr>
          <w:rFonts w:ascii="Times New Roman" w:hAnsi="Times New Roman" w:cs="Times New Roman"/>
          <w:sz w:val="24"/>
          <w:szCs w:val="24"/>
        </w:rPr>
        <w:t>summarize</w:t>
      </w:r>
      <w:r w:rsidR="00BB05E8" w:rsidRPr="00345388">
        <w:rPr>
          <w:rFonts w:ascii="Times New Roman" w:hAnsi="Times New Roman" w:cs="Times New Roman"/>
          <w:sz w:val="24"/>
          <w:szCs w:val="24"/>
        </w:rPr>
        <w:t>s</w:t>
      </w:r>
      <w:r w:rsidRPr="00345388">
        <w:rPr>
          <w:rFonts w:ascii="Times New Roman" w:hAnsi="Times New Roman" w:cs="Times New Roman"/>
          <w:sz w:val="24"/>
          <w:szCs w:val="24"/>
        </w:rPr>
        <w:t xml:space="preserve"> the HRs of the clinical outcomes for NOAC</w:t>
      </w:r>
      <w:r w:rsidR="00DE4F78" w:rsidRPr="00345388">
        <w:rPr>
          <w:rFonts w:ascii="Times New Roman" w:hAnsi="Times New Roman" w:cs="Times New Roman"/>
          <w:sz w:val="24"/>
          <w:szCs w:val="24"/>
        </w:rPr>
        <w:t>s</w:t>
      </w:r>
      <w:r w:rsidRPr="00345388">
        <w:rPr>
          <w:rFonts w:ascii="Times New Roman" w:hAnsi="Times New Roman" w:cs="Times New Roman"/>
          <w:sz w:val="24"/>
          <w:szCs w:val="24"/>
        </w:rPr>
        <w:t xml:space="preserve"> </w:t>
      </w:r>
      <w:r w:rsidR="00DE4F78" w:rsidRPr="00345388">
        <w:rPr>
          <w:rFonts w:ascii="Times New Roman" w:hAnsi="Times New Roman" w:cs="Times New Roman"/>
          <w:sz w:val="24"/>
          <w:szCs w:val="24"/>
        </w:rPr>
        <w:t>compared to</w:t>
      </w:r>
      <w:r w:rsidRPr="00345388">
        <w:rPr>
          <w:rFonts w:ascii="Times New Roman" w:hAnsi="Times New Roman" w:cs="Times New Roman"/>
          <w:sz w:val="24"/>
          <w:szCs w:val="24"/>
        </w:rPr>
        <w:t xml:space="preserve"> warfarin</w:t>
      </w:r>
      <w:r w:rsidR="00C3732F" w:rsidRPr="00345388">
        <w:rPr>
          <w:rFonts w:ascii="Times New Roman" w:hAnsi="Times New Roman" w:cs="Times New Roman"/>
          <w:sz w:val="24"/>
          <w:szCs w:val="24"/>
        </w:rPr>
        <w:t xml:space="preserve"> in each subgroup</w:t>
      </w:r>
      <w:r w:rsidRPr="00345388">
        <w:rPr>
          <w:rFonts w:ascii="Times New Roman" w:hAnsi="Times New Roman" w:cs="Times New Roman"/>
          <w:sz w:val="24"/>
          <w:szCs w:val="24"/>
        </w:rPr>
        <w:t xml:space="preserve">. </w:t>
      </w:r>
    </w:p>
    <w:p w14:paraId="0C8C6BF3" w14:textId="3993D2CC" w:rsidR="00C14D19" w:rsidRPr="00345388" w:rsidRDefault="001B30C9" w:rsidP="00EB0B89">
      <w:pPr>
        <w:spacing w:after="0" w:line="480" w:lineRule="auto"/>
        <w:ind w:firstLine="800"/>
        <w:rPr>
          <w:rFonts w:ascii="Times New Roman" w:hAnsi="Times New Roman" w:cs="Times New Roman"/>
          <w:sz w:val="24"/>
          <w:szCs w:val="24"/>
        </w:rPr>
      </w:pPr>
      <w:r w:rsidRPr="00345388">
        <w:rPr>
          <w:rFonts w:ascii="Times New Roman" w:hAnsi="Times New Roman" w:cs="Times New Roman"/>
          <w:sz w:val="24"/>
          <w:szCs w:val="24"/>
        </w:rPr>
        <w:t>In both subgroup</w:t>
      </w:r>
      <w:r w:rsidR="00F55FB6" w:rsidRPr="00345388">
        <w:rPr>
          <w:rFonts w:ascii="Times New Roman" w:hAnsi="Times New Roman" w:cs="Times New Roman"/>
          <w:sz w:val="24"/>
          <w:szCs w:val="24"/>
        </w:rPr>
        <w:t>s</w:t>
      </w:r>
      <w:r w:rsidRPr="00345388">
        <w:rPr>
          <w:rFonts w:ascii="Times New Roman" w:hAnsi="Times New Roman" w:cs="Times New Roman"/>
          <w:sz w:val="24"/>
          <w:szCs w:val="24"/>
        </w:rPr>
        <w:t xml:space="preserve">, </w:t>
      </w:r>
      <w:r w:rsidR="00C3732F" w:rsidRPr="00345388">
        <w:rPr>
          <w:rFonts w:ascii="Times New Roman" w:hAnsi="Times New Roman" w:cs="Times New Roman"/>
          <w:sz w:val="24"/>
          <w:szCs w:val="24"/>
        </w:rPr>
        <w:t>NOAC</w:t>
      </w:r>
      <w:r w:rsidR="00DE4F78" w:rsidRPr="00345388">
        <w:rPr>
          <w:rFonts w:ascii="Times New Roman" w:hAnsi="Times New Roman" w:cs="Times New Roman"/>
          <w:sz w:val="24"/>
          <w:szCs w:val="24"/>
        </w:rPr>
        <w:t>s</w:t>
      </w:r>
      <w:r w:rsidR="00C3732F" w:rsidRPr="00345388">
        <w:rPr>
          <w:rFonts w:ascii="Times New Roman" w:hAnsi="Times New Roman" w:cs="Times New Roman"/>
          <w:sz w:val="24"/>
          <w:szCs w:val="24"/>
        </w:rPr>
        <w:t xml:space="preserve"> showed consistently better outcomes </w:t>
      </w:r>
      <w:r w:rsidR="00DE4F78" w:rsidRPr="00345388">
        <w:rPr>
          <w:rFonts w:ascii="Times New Roman" w:hAnsi="Times New Roman" w:cs="Times New Roman"/>
          <w:sz w:val="24"/>
          <w:szCs w:val="24"/>
        </w:rPr>
        <w:t>than</w:t>
      </w:r>
      <w:r w:rsidR="00C3732F" w:rsidRPr="00345388">
        <w:rPr>
          <w:rFonts w:ascii="Times New Roman" w:hAnsi="Times New Roman" w:cs="Times New Roman"/>
          <w:sz w:val="24"/>
          <w:szCs w:val="24"/>
        </w:rPr>
        <w:t xml:space="preserve"> warfarin </w:t>
      </w:r>
      <w:r w:rsidR="00DE4F78" w:rsidRPr="00345388">
        <w:rPr>
          <w:rFonts w:ascii="Times New Roman" w:hAnsi="Times New Roman" w:cs="Times New Roman"/>
          <w:sz w:val="24"/>
          <w:szCs w:val="24"/>
        </w:rPr>
        <w:t xml:space="preserve">for </w:t>
      </w:r>
      <w:r w:rsidR="00C3732F" w:rsidRPr="00345388">
        <w:rPr>
          <w:rFonts w:ascii="Times New Roman" w:hAnsi="Times New Roman" w:cs="Times New Roman"/>
          <w:sz w:val="24"/>
          <w:szCs w:val="24"/>
        </w:rPr>
        <w:t>ischemic stroke, ICH, hospitalization for major bleeding, all-cause death, and composite outcome</w:t>
      </w:r>
      <w:r w:rsidR="00F55FB6" w:rsidRPr="00345388">
        <w:rPr>
          <w:rFonts w:ascii="Times New Roman" w:hAnsi="Times New Roman" w:cs="Times New Roman"/>
          <w:sz w:val="24"/>
          <w:szCs w:val="24"/>
        </w:rPr>
        <w:t xml:space="preserve"> (</w:t>
      </w:r>
      <w:r w:rsidR="00E334EE" w:rsidRPr="00345388">
        <w:rPr>
          <w:rFonts w:ascii="Times New Roman" w:hAnsi="Times New Roman" w:cs="Times New Roman"/>
          <w:sz w:val="24"/>
          <w:szCs w:val="24"/>
        </w:rPr>
        <w:t>Central Illustration</w:t>
      </w:r>
      <w:r w:rsidR="00F55FB6" w:rsidRPr="00345388">
        <w:rPr>
          <w:rFonts w:ascii="Times New Roman" w:hAnsi="Times New Roman" w:cs="Times New Roman"/>
          <w:sz w:val="24"/>
          <w:szCs w:val="24"/>
        </w:rPr>
        <w:t>)</w:t>
      </w:r>
      <w:r w:rsidR="00C3732F" w:rsidRPr="00345388">
        <w:rPr>
          <w:rFonts w:ascii="Times New Roman" w:hAnsi="Times New Roman" w:cs="Times New Roman"/>
          <w:sz w:val="24"/>
          <w:szCs w:val="24"/>
        </w:rPr>
        <w:t xml:space="preserve">. </w:t>
      </w:r>
      <w:r w:rsidR="002117DB" w:rsidRPr="00345388">
        <w:rPr>
          <w:rFonts w:ascii="Times New Roman" w:hAnsi="Times New Roman" w:cs="Times New Roman"/>
          <w:sz w:val="24"/>
          <w:szCs w:val="24"/>
        </w:rPr>
        <w:t xml:space="preserve">Although </w:t>
      </w:r>
      <w:r w:rsidR="00C14D19" w:rsidRPr="00345388">
        <w:rPr>
          <w:rFonts w:ascii="Times New Roman" w:hAnsi="Times New Roman" w:cs="Times New Roman"/>
          <w:sz w:val="24"/>
          <w:szCs w:val="24"/>
        </w:rPr>
        <w:t>NOAC</w:t>
      </w:r>
      <w:r w:rsidR="00AE76FD" w:rsidRPr="00345388">
        <w:rPr>
          <w:rFonts w:ascii="Times New Roman" w:hAnsi="Times New Roman" w:cs="Times New Roman"/>
          <w:sz w:val="24"/>
          <w:szCs w:val="24"/>
        </w:rPr>
        <w:t>s</w:t>
      </w:r>
      <w:r w:rsidR="00C14D19" w:rsidRPr="00345388">
        <w:rPr>
          <w:rFonts w:ascii="Times New Roman" w:hAnsi="Times New Roman" w:cs="Times New Roman"/>
          <w:sz w:val="24"/>
          <w:szCs w:val="24"/>
        </w:rPr>
        <w:t xml:space="preserve"> showed outcome</w:t>
      </w:r>
      <w:r w:rsidR="00BB05E8" w:rsidRPr="00345388">
        <w:rPr>
          <w:rFonts w:ascii="Times New Roman" w:hAnsi="Times New Roman" w:cs="Times New Roman"/>
          <w:sz w:val="24"/>
          <w:szCs w:val="24"/>
        </w:rPr>
        <w:t>s</w:t>
      </w:r>
      <w:r w:rsidR="00C14D19" w:rsidRPr="00345388">
        <w:rPr>
          <w:rFonts w:ascii="Times New Roman" w:hAnsi="Times New Roman" w:cs="Times New Roman"/>
          <w:sz w:val="24"/>
          <w:szCs w:val="24"/>
        </w:rPr>
        <w:t xml:space="preserve"> </w:t>
      </w:r>
      <w:r w:rsidR="00DE4F78" w:rsidRPr="00345388">
        <w:rPr>
          <w:rFonts w:ascii="Times New Roman" w:hAnsi="Times New Roman" w:cs="Times New Roman"/>
          <w:sz w:val="24"/>
          <w:szCs w:val="24"/>
        </w:rPr>
        <w:t xml:space="preserve">comparable </w:t>
      </w:r>
      <w:r w:rsidR="00C14D19" w:rsidRPr="00345388">
        <w:rPr>
          <w:rFonts w:ascii="Times New Roman" w:hAnsi="Times New Roman" w:cs="Times New Roman"/>
          <w:sz w:val="24"/>
          <w:szCs w:val="24"/>
        </w:rPr>
        <w:t xml:space="preserve">to </w:t>
      </w:r>
      <w:r w:rsidR="00DE4F78" w:rsidRPr="00345388">
        <w:rPr>
          <w:rFonts w:ascii="Times New Roman" w:hAnsi="Times New Roman" w:cs="Times New Roman"/>
          <w:sz w:val="24"/>
          <w:szCs w:val="24"/>
        </w:rPr>
        <w:t xml:space="preserve">those of </w:t>
      </w:r>
      <w:r w:rsidR="00C14D19" w:rsidRPr="00345388">
        <w:rPr>
          <w:rFonts w:ascii="Times New Roman" w:hAnsi="Times New Roman" w:cs="Times New Roman"/>
          <w:sz w:val="24"/>
          <w:szCs w:val="24"/>
        </w:rPr>
        <w:t>warfarin for hospitalization for GI bleeding</w:t>
      </w:r>
      <w:r w:rsidR="002117DB" w:rsidRPr="00345388">
        <w:rPr>
          <w:rFonts w:ascii="Times New Roman" w:hAnsi="Times New Roman" w:cs="Times New Roman"/>
          <w:sz w:val="24"/>
          <w:szCs w:val="24"/>
        </w:rPr>
        <w:t xml:space="preserve"> in patients </w:t>
      </w:r>
      <w:r w:rsidR="00D53137" w:rsidRPr="00345388">
        <w:rPr>
          <w:rFonts w:ascii="Times New Roman" w:hAnsi="Times New Roman" w:cs="Times New Roman"/>
          <w:sz w:val="24"/>
          <w:szCs w:val="24"/>
        </w:rPr>
        <w:t>weighing</w:t>
      </w:r>
      <w:r w:rsidR="002117DB" w:rsidRPr="00345388">
        <w:rPr>
          <w:rFonts w:ascii="Times New Roman" w:hAnsi="Times New Roman" w:cs="Times New Roman"/>
          <w:sz w:val="24"/>
          <w:szCs w:val="24"/>
        </w:rPr>
        <w:t xml:space="preserve"> &lt;50 kg, </w:t>
      </w:r>
      <w:r w:rsidR="00AE76FD" w:rsidRPr="00345388">
        <w:rPr>
          <w:rFonts w:ascii="Times New Roman" w:hAnsi="Times New Roman" w:cs="Times New Roman"/>
          <w:sz w:val="24"/>
          <w:szCs w:val="24"/>
        </w:rPr>
        <w:t xml:space="preserve">the </w:t>
      </w:r>
      <w:r w:rsidR="002117DB" w:rsidRPr="00345388">
        <w:rPr>
          <w:rFonts w:ascii="Times New Roman" w:hAnsi="Times New Roman" w:cs="Times New Roman"/>
          <w:sz w:val="24"/>
          <w:szCs w:val="24"/>
        </w:rPr>
        <w:t>NOAC group was associated with</w:t>
      </w:r>
      <w:r w:rsidR="00D53137" w:rsidRPr="00345388">
        <w:rPr>
          <w:rFonts w:ascii="Times New Roman" w:hAnsi="Times New Roman" w:cs="Times New Roman"/>
          <w:sz w:val="24"/>
          <w:szCs w:val="24"/>
        </w:rPr>
        <w:t xml:space="preserve"> a</w:t>
      </w:r>
      <w:r w:rsidR="002117DB" w:rsidRPr="00345388">
        <w:rPr>
          <w:rFonts w:ascii="Times New Roman" w:hAnsi="Times New Roman" w:cs="Times New Roman"/>
          <w:sz w:val="24"/>
          <w:szCs w:val="24"/>
        </w:rPr>
        <w:t xml:space="preserve"> lower risk of major bleeding and </w:t>
      </w:r>
      <w:r w:rsidR="00AE76FD" w:rsidRPr="00345388">
        <w:rPr>
          <w:rFonts w:ascii="Times New Roman" w:hAnsi="Times New Roman" w:cs="Times New Roman"/>
          <w:sz w:val="24"/>
          <w:szCs w:val="24"/>
        </w:rPr>
        <w:t xml:space="preserve">improved </w:t>
      </w:r>
      <w:r w:rsidR="002117DB" w:rsidRPr="00345388">
        <w:rPr>
          <w:rFonts w:ascii="Times New Roman" w:hAnsi="Times New Roman" w:cs="Times New Roman"/>
          <w:sz w:val="24"/>
          <w:szCs w:val="24"/>
        </w:rPr>
        <w:t>net clinical benefit.</w:t>
      </w:r>
      <w:r w:rsidR="00C14D19" w:rsidRPr="00345388">
        <w:rPr>
          <w:rFonts w:ascii="Times New Roman" w:hAnsi="Times New Roman" w:cs="Times New Roman"/>
          <w:sz w:val="24"/>
          <w:szCs w:val="24"/>
        </w:rPr>
        <w:t xml:space="preserve"> T</w:t>
      </w:r>
      <w:r w:rsidR="00FF6129" w:rsidRPr="00345388">
        <w:rPr>
          <w:rFonts w:ascii="Times New Roman" w:hAnsi="Times New Roman" w:cs="Times New Roman"/>
          <w:sz w:val="24"/>
          <w:szCs w:val="24"/>
        </w:rPr>
        <w:t xml:space="preserve">he cumulative incidence curves for </w:t>
      </w:r>
      <w:r w:rsidR="00AE76FD" w:rsidRPr="00345388">
        <w:rPr>
          <w:rFonts w:ascii="Times New Roman" w:hAnsi="Times New Roman" w:cs="Times New Roman"/>
          <w:sz w:val="24"/>
          <w:szCs w:val="24"/>
        </w:rPr>
        <w:t xml:space="preserve">the </w:t>
      </w:r>
      <w:r w:rsidR="002117DB" w:rsidRPr="00345388">
        <w:rPr>
          <w:rFonts w:ascii="Times New Roman" w:hAnsi="Times New Roman" w:cs="Times New Roman"/>
          <w:sz w:val="24"/>
          <w:szCs w:val="24"/>
        </w:rPr>
        <w:t>six</w:t>
      </w:r>
      <w:r w:rsidR="00FF6129" w:rsidRPr="00345388">
        <w:rPr>
          <w:rFonts w:ascii="Times New Roman" w:hAnsi="Times New Roman" w:cs="Times New Roman"/>
          <w:sz w:val="24"/>
          <w:szCs w:val="24"/>
        </w:rPr>
        <w:t xml:space="preserve"> clinical outcomes are presented in</w:t>
      </w:r>
      <w:r w:rsidR="00E334EE" w:rsidRPr="00345388">
        <w:rPr>
          <w:rFonts w:ascii="Times New Roman" w:hAnsi="Times New Roman" w:cs="Times New Roman"/>
          <w:sz w:val="24"/>
          <w:szCs w:val="24"/>
        </w:rPr>
        <w:t xml:space="preserve"> Online Figure </w:t>
      </w:r>
      <w:r w:rsidR="00C43813" w:rsidRPr="00345388">
        <w:rPr>
          <w:rFonts w:ascii="Times New Roman" w:hAnsi="Times New Roman" w:cs="Times New Roman"/>
          <w:sz w:val="24"/>
          <w:szCs w:val="24"/>
        </w:rPr>
        <w:t>3</w:t>
      </w:r>
      <w:r w:rsidR="00AC6AE8" w:rsidRPr="00345388">
        <w:rPr>
          <w:rFonts w:ascii="Times New Roman" w:hAnsi="Times New Roman" w:cs="Times New Roman"/>
          <w:sz w:val="24"/>
          <w:szCs w:val="24"/>
        </w:rPr>
        <w:t xml:space="preserve"> </w:t>
      </w:r>
      <w:r w:rsidR="00FF6129" w:rsidRPr="00345388">
        <w:rPr>
          <w:rFonts w:ascii="Times New Roman" w:hAnsi="Times New Roman" w:cs="Times New Roman"/>
          <w:sz w:val="24"/>
          <w:szCs w:val="24"/>
        </w:rPr>
        <w:t xml:space="preserve">and </w:t>
      </w:r>
      <w:r w:rsidR="00AA1C34" w:rsidRPr="00345388">
        <w:rPr>
          <w:rFonts w:ascii="Times New Roman" w:hAnsi="Times New Roman" w:cs="Times New Roman"/>
          <w:sz w:val="24"/>
          <w:szCs w:val="24"/>
        </w:rPr>
        <w:t xml:space="preserve">Figure </w:t>
      </w:r>
      <w:r w:rsidR="00E334EE" w:rsidRPr="00345388">
        <w:rPr>
          <w:rFonts w:ascii="Times New Roman" w:hAnsi="Times New Roman" w:cs="Times New Roman"/>
          <w:sz w:val="24"/>
          <w:szCs w:val="24"/>
        </w:rPr>
        <w:t>3</w:t>
      </w:r>
      <w:r w:rsidR="00FF6129" w:rsidRPr="00345388">
        <w:rPr>
          <w:rFonts w:ascii="Times New Roman" w:hAnsi="Times New Roman" w:cs="Times New Roman"/>
          <w:sz w:val="24"/>
          <w:szCs w:val="24"/>
        </w:rPr>
        <w:t>.</w:t>
      </w:r>
    </w:p>
    <w:p w14:paraId="37067ADE" w14:textId="77777777" w:rsidR="002117DB" w:rsidRPr="00345388" w:rsidRDefault="002117DB"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t>Sensitivity analysis</w:t>
      </w:r>
    </w:p>
    <w:p w14:paraId="3F38989A" w14:textId="4AA90DD8" w:rsidR="002117DB" w:rsidRPr="00345388" w:rsidRDefault="00A31E01"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lastRenderedPageBreak/>
        <w:t xml:space="preserve">The consistent benefits of NOAC were shown </w:t>
      </w:r>
      <w:r w:rsidR="00D53137" w:rsidRPr="00345388">
        <w:rPr>
          <w:rFonts w:ascii="Times New Roman" w:hAnsi="Times New Roman" w:cs="Times New Roman"/>
          <w:sz w:val="24"/>
          <w:szCs w:val="24"/>
        </w:rPr>
        <w:t xml:space="preserve">by </w:t>
      </w:r>
      <w:r w:rsidRPr="00345388">
        <w:rPr>
          <w:rFonts w:ascii="Times New Roman" w:hAnsi="Times New Roman" w:cs="Times New Roman"/>
          <w:sz w:val="24"/>
          <w:szCs w:val="24"/>
        </w:rPr>
        <w:t>the sensitivity analysis. Using</w:t>
      </w:r>
      <w:r w:rsidR="00D53137" w:rsidRPr="00345388">
        <w:rPr>
          <w:rFonts w:ascii="Times New Roman" w:hAnsi="Times New Roman" w:cs="Times New Roman"/>
          <w:sz w:val="24"/>
          <w:szCs w:val="24"/>
        </w:rPr>
        <w:t xml:space="preserve"> a</w:t>
      </w:r>
      <w:r w:rsidRPr="00345388">
        <w:rPr>
          <w:rFonts w:ascii="Times New Roman" w:hAnsi="Times New Roman" w:cs="Times New Roman"/>
          <w:sz w:val="24"/>
          <w:szCs w:val="24"/>
        </w:rPr>
        <w:t xml:space="preserve"> multivariable Cox regression model</w:t>
      </w:r>
      <w:r w:rsidR="00AE044F" w:rsidRPr="00345388">
        <w:rPr>
          <w:rFonts w:ascii="Times New Roman" w:hAnsi="Times New Roman" w:cs="Times New Roman"/>
          <w:sz w:val="24"/>
          <w:szCs w:val="24"/>
        </w:rPr>
        <w:t xml:space="preserve"> and IPW without trimming</w:t>
      </w:r>
      <w:r w:rsidRPr="00345388">
        <w:rPr>
          <w:rFonts w:ascii="Times New Roman" w:hAnsi="Times New Roman" w:cs="Times New Roman"/>
          <w:sz w:val="24"/>
          <w:szCs w:val="24"/>
        </w:rPr>
        <w:t>, NOAC</w:t>
      </w:r>
      <w:r w:rsidR="0051342B" w:rsidRPr="00345388">
        <w:rPr>
          <w:rFonts w:ascii="Times New Roman" w:hAnsi="Times New Roman" w:cs="Times New Roman"/>
          <w:sz w:val="24"/>
          <w:szCs w:val="24"/>
        </w:rPr>
        <w:t>s</w:t>
      </w:r>
      <w:r w:rsidRPr="00345388">
        <w:rPr>
          <w:rFonts w:ascii="Times New Roman" w:hAnsi="Times New Roman" w:cs="Times New Roman"/>
          <w:sz w:val="24"/>
          <w:szCs w:val="24"/>
        </w:rPr>
        <w:t xml:space="preserve"> </w:t>
      </w:r>
      <w:r w:rsidR="0051342B" w:rsidRPr="00345388">
        <w:rPr>
          <w:rFonts w:ascii="Times New Roman" w:hAnsi="Times New Roman" w:cs="Times New Roman"/>
          <w:sz w:val="24"/>
          <w:szCs w:val="24"/>
        </w:rPr>
        <w:t xml:space="preserve">were </w:t>
      </w:r>
      <w:r w:rsidRPr="00345388">
        <w:rPr>
          <w:rFonts w:ascii="Times New Roman" w:hAnsi="Times New Roman" w:cs="Times New Roman"/>
          <w:sz w:val="24"/>
          <w:szCs w:val="24"/>
        </w:rPr>
        <w:t xml:space="preserve">associated with better outcomes </w:t>
      </w:r>
      <w:r w:rsidR="0051342B" w:rsidRPr="00345388">
        <w:rPr>
          <w:rFonts w:ascii="Times New Roman" w:hAnsi="Times New Roman" w:cs="Times New Roman"/>
          <w:sz w:val="24"/>
          <w:szCs w:val="24"/>
        </w:rPr>
        <w:t>than</w:t>
      </w:r>
      <w:r w:rsidR="00D53137" w:rsidRPr="00345388">
        <w:rPr>
          <w:rFonts w:ascii="Times New Roman" w:hAnsi="Times New Roman" w:cs="Times New Roman"/>
          <w:sz w:val="24"/>
          <w:szCs w:val="24"/>
        </w:rPr>
        <w:t xml:space="preserve"> </w:t>
      </w:r>
      <w:r w:rsidRPr="00345388">
        <w:rPr>
          <w:rFonts w:ascii="Times New Roman" w:hAnsi="Times New Roman" w:cs="Times New Roman"/>
          <w:sz w:val="24"/>
          <w:szCs w:val="24"/>
        </w:rPr>
        <w:t xml:space="preserve">warfarin, with similar HRs for all six clinical outcomes as </w:t>
      </w:r>
      <w:r w:rsidR="00D53137" w:rsidRPr="00345388">
        <w:rPr>
          <w:rFonts w:ascii="Times New Roman" w:hAnsi="Times New Roman" w:cs="Times New Roman"/>
          <w:sz w:val="24"/>
          <w:szCs w:val="24"/>
        </w:rPr>
        <w:t xml:space="preserve">shown </w:t>
      </w:r>
      <w:r w:rsidR="00DA1999" w:rsidRPr="00345388">
        <w:rPr>
          <w:rFonts w:ascii="Times New Roman" w:hAnsi="Times New Roman" w:cs="Times New Roman"/>
          <w:sz w:val="24"/>
          <w:szCs w:val="24"/>
        </w:rPr>
        <w:t>in main analysis using IPW with 5% trimming</w:t>
      </w:r>
      <w:r w:rsidRPr="00345388">
        <w:rPr>
          <w:rFonts w:ascii="Times New Roman" w:hAnsi="Times New Roman" w:cs="Times New Roman"/>
          <w:sz w:val="24"/>
          <w:szCs w:val="24"/>
        </w:rPr>
        <w:t xml:space="preserve"> (</w:t>
      </w:r>
      <w:r w:rsidR="00E334EE" w:rsidRPr="00345388">
        <w:rPr>
          <w:rFonts w:ascii="Times New Roman" w:hAnsi="Times New Roman" w:cs="Times New Roman"/>
          <w:sz w:val="24"/>
          <w:szCs w:val="24"/>
        </w:rPr>
        <w:t xml:space="preserve">Online Figure </w:t>
      </w:r>
      <w:r w:rsidR="00C43813" w:rsidRPr="00345388">
        <w:rPr>
          <w:rFonts w:ascii="Times New Roman" w:hAnsi="Times New Roman" w:cs="Times New Roman"/>
          <w:sz w:val="24"/>
          <w:szCs w:val="24"/>
        </w:rPr>
        <w:t>4</w:t>
      </w:r>
      <w:r w:rsidRPr="00345388">
        <w:rPr>
          <w:rFonts w:ascii="Times New Roman" w:hAnsi="Times New Roman" w:cs="Times New Roman"/>
          <w:sz w:val="24"/>
          <w:szCs w:val="24"/>
        </w:rPr>
        <w:t xml:space="preserve">). </w:t>
      </w:r>
    </w:p>
    <w:p w14:paraId="791CE99C" w14:textId="25D43306" w:rsidR="00103415" w:rsidRPr="00345388" w:rsidRDefault="002117DB"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t>Subgroup analyses</w:t>
      </w:r>
      <w:r w:rsidR="000A3E25" w:rsidRPr="00345388">
        <w:rPr>
          <w:rFonts w:ascii="Times New Roman" w:hAnsi="Times New Roman" w:cs="Times New Roman"/>
          <w:b/>
          <w:sz w:val="24"/>
          <w:szCs w:val="24"/>
        </w:rPr>
        <w:t xml:space="preserve"> </w:t>
      </w:r>
    </w:p>
    <w:p w14:paraId="762F225F" w14:textId="2871FF60" w:rsidR="00C628F7" w:rsidRPr="00345388" w:rsidRDefault="00C628F7" w:rsidP="00EB0B89">
      <w:pPr>
        <w:spacing w:after="0" w:line="480" w:lineRule="auto"/>
        <w:rPr>
          <w:rFonts w:ascii="Times New Roman" w:hAnsi="Times New Roman" w:cs="Times New Roman"/>
          <w:i/>
          <w:sz w:val="24"/>
          <w:szCs w:val="24"/>
        </w:rPr>
      </w:pPr>
      <w:bookmarkStart w:id="5" w:name="_Hlk527372512"/>
      <w:bookmarkStart w:id="6" w:name="_Hlk528170035"/>
      <w:r w:rsidRPr="00345388">
        <w:rPr>
          <w:rFonts w:ascii="Times New Roman" w:hAnsi="Times New Roman" w:cs="Times New Roman"/>
          <w:i/>
          <w:sz w:val="24"/>
          <w:szCs w:val="24"/>
        </w:rPr>
        <w:t>(</w:t>
      </w:r>
      <w:r w:rsidR="00D4509C" w:rsidRPr="00345388">
        <w:rPr>
          <w:rFonts w:ascii="Times New Roman" w:hAnsi="Times New Roman" w:cs="Times New Roman"/>
          <w:i/>
          <w:sz w:val="24"/>
          <w:szCs w:val="24"/>
        </w:rPr>
        <w:t>a</w:t>
      </w:r>
      <w:r w:rsidRPr="00345388">
        <w:rPr>
          <w:rFonts w:ascii="Times New Roman" w:hAnsi="Times New Roman" w:cs="Times New Roman"/>
          <w:i/>
          <w:sz w:val="24"/>
          <w:szCs w:val="24"/>
        </w:rPr>
        <w:t>) NOAC doses</w:t>
      </w:r>
      <w:r w:rsidR="00CE09E0" w:rsidRPr="00345388">
        <w:rPr>
          <w:rFonts w:ascii="Times New Roman" w:hAnsi="Times New Roman" w:cs="Times New Roman"/>
          <w:i/>
          <w:sz w:val="24"/>
          <w:szCs w:val="24"/>
        </w:rPr>
        <w:t>: regular dose vs. reduced dose</w:t>
      </w:r>
    </w:p>
    <w:p w14:paraId="2B645700" w14:textId="53D65697" w:rsidR="00385EC3" w:rsidRPr="00345388" w:rsidRDefault="00385EC3" w:rsidP="00EB0B89">
      <w:pPr>
        <w:spacing w:after="0" w:line="480" w:lineRule="auto"/>
        <w:rPr>
          <w:rFonts w:ascii="Times New Roman" w:hAnsi="Times New Roman" w:cs="Times New Roman"/>
          <w:sz w:val="24"/>
          <w:szCs w:val="24"/>
        </w:rPr>
      </w:pPr>
      <w:bookmarkStart w:id="7" w:name="_Hlk527372496"/>
      <w:bookmarkEnd w:id="5"/>
      <w:r w:rsidRPr="00345388">
        <w:rPr>
          <w:rFonts w:ascii="Times New Roman" w:hAnsi="Times New Roman" w:cs="Times New Roman"/>
          <w:sz w:val="24"/>
          <w:szCs w:val="24"/>
        </w:rPr>
        <w:t xml:space="preserve">Among NOAC users, 8,723 (61.9%) patients used reduced dose. Among patients weighing &lt;50 kg, 2,704 (68.3%) NOAC users were prescribed reduced dose NOACs (Online Table </w:t>
      </w:r>
      <w:r w:rsidR="00C43813" w:rsidRPr="00345388">
        <w:rPr>
          <w:rFonts w:ascii="Times New Roman" w:hAnsi="Times New Roman" w:cs="Times New Roman"/>
          <w:sz w:val="24"/>
          <w:szCs w:val="24"/>
        </w:rPr>
        <w:t>6</w:t>
      </w:r>
      <w:r w:rsidRPr="00345388">
        <w:rPr>
          <w:rFonts w:ascii="Times New Roman" w:hAnsi="Times New Roman" w:cs="Times New Roman"/>
          <w:sz w:val="24"/>
          <w:szCs w:val="24"/>
        </w:rPr>
        <w:t xml:space="preserve">). The results for six clinical outcomes were consistent across regular and reduced doses of NOACs (Online Figure </w:t>
      </w:r>
      <w:r w:rsidR="00C43813" w:rsidRPr="00345388">
        <w:rPr>
          <w:rFonts w:ascii="Times New Roman" w:hAnsi="Times New Roman" w:cs="Times New Roman"/>
          <w:sz w:val="24"/>
          <w:szCs w:val="24"/>
        </w:rPr>
        <w:t>5</w:t>
      </w:r>
      <w:r w:rsidRPr="00345388">
        <w:rPr>
          <w:rFonts w:ascii="Times New Roman" w:hAnsi="Times New Roman" w:cs="Times New Roman"/>
          <w:sz w:val="24"/>
          <w:szCs w:val="24"/>
        </w:rPr>
        <w:t xml:space="preserve">). </w:t>
      </w:r>
    </w:p>
    <w:p w14:paraId="436A71C4" w14:textId="77777777" w:rsidR="00385EC3" w:rsidRPr="00345388" w:rsidRDefault="00385EC3" w:rsidP="00EB0B89">
      <w:pPr>
        <w:spacing w:after="0" w:line="480" w:lineRule="auto"/>
        <w:ind w:firstLine="800"/>
        <w:rPr>
          <w:rFonts w:ascii="Times New Roman" w:hAnsi="Times New Roman" w:cs="Times New Roman"/>
          <w:sz w:val="24"/>
          <w:szCs w:val="24"/>
        </w:rPr>
      </w:pPr>
      <w:r w:rsidRPr="00345388">
        <w:rPr>
          <w:rFonts w:ascii="Times New Roman" w:hAnsi="Times New Roman" w:cs="Times New Roman"/>
          <w:sz w:val="24"/>
          <w:szCs w:val="24"/>
        </w:rPr>
        <w:t>Baseline characteristics between reduced and regular doses NOACs are summarized in Table 3. Before propensity score weighting, patients treated with reduced dose NOACs were significantly older and had higher CHA</w:t>
      </w:r>
      <w:r w:rsidRPr="00345388">
        <w:rPr>
          <w:rFonts w:ascii="Times New Roman" w:hAnsi="Times New Roman" w:cs="Times New Roman"/>
          <w:sz w:val="24"/>
          <w:szCs w:val="24"/>
          <w:vertAlign w:val="subscript"/>
        </w:rPr>
        <w:t>2</w:t>
      </w:r>
      <w:r w:rsidRPr="00345388">
        <w:rPr>
          <w:rFonts w:ascii="Times New Roman" w:hAnsi="Times New Roman" w:cs="Times New Roman"/>
          <w:sz w:val="24"/>
          <w:szCs w:val="24"/>
        </w:rPr>
        <w:t>DS</w:t>
      </w:r>
      <w:r w:rsidRPr="00345388">
        <w:rPr>
          <w:rFonts w:ascii="Times New Roman" w:hAnsi="Times New Roman" w:cs="Times New Roman"/>
          <w:sz w:val="24"/>
          <w:szCs w:val="24"/>
          <w:vertAlign w:val="subscript"/>
        </w:rPr>
        <w:t>2</w:t>
      </w:r>
      <w:r w:rsidRPr="00345388">
        <w:rPr>
          <w:rFonts w:ascii="Times New Roman" w:hAnsi="Times New Roman" w:cs="Times New Roman"/>
          <w:sz w:val="24"/>
          <w:szCs w:val="24"/>
        </w:rPr>
        <w:t xml:space="preserve">-VASc score than patients treated with regular dose NOACs. After propensity score weighting using a 5% trimmed IPW method, all covariates were well balanced. In weighted cohorts, patients with reduced dose NOACs showed slightly higher incidence rates of ischemic stroke in the total population, patients weighing 50-60 kg, and &lt;50 kg (Table 4). The incidence of ICH was slightly higher in patients with regular dose in the total population and in patients weighing 50-60 kg, but not in patients weighing &lt;50 kg. </w:t>
      </w:r>
    </w:p>
    <w:p w14:paraId="23910FAF" w14:textId="28038A98" w:rsidR="00385EC3" w:rsidRPr="00345388" w:rsidRDefault="00385EC3" w:rsidP="00EB0B89">
      <w:pPr>
        <w:spacing w:after="0" w:line="480" w:lineRule="auto"/>
        <w:ind w:firstLine="800"/>
        <w:rPr>
          <w:rFonts w:ascii="Times New Roman" w:hAnsi="Times New Roman" w:cs="Times New Roman"/>
          <w:sz w:val="24"/>
          <w:szCs w:val="24"/>
        </w:rPr>
      </w:pPr>
      <w:r w:rsidRPr="00345388">
        <w:rPr>
          <w:rFonts w:ascii="Times New Roman" w:hAnsi="Times New Roman" w:cs="Times New Roman"/>
          <w:sz w:val="24"/>
          <w:szCs w:val="24"/>
        </w:rPr>
        <w:t xml:space="preserve">Figure 4 summarizes the HRs of the clinical outcomes for regular dose NOACs compared to reduced dose NOACs in each subgroup. In patients weighing 50-60 kg, regular dose NOACs showed a slightly favorable trend for ischemic stroke and an unfavorable trend in ICH, but there was no statistical significance and the </w:t>
      </w:r>
      <w:r w:rsidRPr="00345388">
        <w:rPr>
          <w:rFonts w:ascii="Times New Roman" w:hAnsi="Times New Roman" w:cs="Times New Roman"/>
          <w:sz w:val="24"/>
          <w:szCs w:val="24"/>
        </w:rPr>
        <w:lastRenderedPageBreak/>
        <w:t>net clinical benefit was almost neutral compared with reduced dose NOACs. As 73% of the patients were 50-60 kg, the trends in the total study population followed that of patients with 50-60 kg. In patients weighing &lt;50 kg, wider CIs were observed due to the small number of patients, but all six clinical outcomes of regular dose NOACs were neutral compared with reduced dose NOACs.</w:t>
      </w:r>
      <w:bookmarkEnd w:id="6"/>
    </w:p>
    <w:bookmarkEnd w:id="7"/>
    <w:p w14:paraId="6CED1811" w14:textId="144BB908" w:rsidR="00C628F7" w:rsidRPr="00345388" w:rsidRDefault="00C628F7" w:rsidP="00EB0B89">
      <w:pPr>
        <w:spacing w:after="0" w:line="480" w:lineRule="auto"/>
        <w:rPr>
          <w:rFonts w:ascii="Times New Roman" w:hAnsi="Times New Roman" w:cs="Times New Roman"/>
          <w:i/>
          <w:sz w:val="24"/>
          <w:szCs w:val="24"/>
        </w:rPr>
      </w:pPr>
      <w:r w:rsidRPr="00345388">
        <w:rPr>
          <w:rFonts w:ascii="Times New Roman" w:hAnsi="Times New Roman" w:cs="Times New Roman"/>
          <w:i/>
          <w:sz w:val="24"/>
          <w:szCs w:val="24"/>
        </w:rPr>
        <w:t>(</w:t>
      </w:r>
      <w:r w:rsidR="00D4509C" w:rsidRPr="00345388">
        <w:rPr>
          <w:rFonts w:ascii="Times New Roman" w:hAnsi="Times New Roman" w:cs="Times New Roman"/>
          <w:i/>
          <w:sz w:val="24"/>
          <w:szCs w:val="24"/>
        </w:rPr>
        <w:t>b</w:t>
      </w:r>
      <w:r w:rsidRPr="00345388">
        <w:rPr>
          <w:rFonts w:ascii="Times New Roman" w:hAnsi="Times New Roman" w:cs="Times New Roman"/>
          <w:i/>
          <w:sz w:val="24"/>
          <w:szCs w:val="24"/>
        </w:rPr>
        <w:t>) Label adherence of NOAC dosing</w:t>
      </w:r>
    </w:p>
    <w:p w14:paraId="393B4C08" w14:textId="067D0DD2" w:rsidR="00914E19" w:rsidRPr="00345388" w:rsidRDefault="002D59DE" w:rsidP="00EB0B89">
      <w:pPr>
        <w:spacing w:after="0" w:line="480" w:lineRule="auto"/>
        <w:ind w:firstLine="800"/>
        <w:rPr>
          <w:rFonts w:ascii="Times New Roman" w:hAnsi="Times New Roman" w:cs="Times New Roman"/>
          <w:sz w:val="24"/>
          <w:szCs w:val="24"/>
        </w:rPr>
      </w:pPr>
      <w:r w:rsidRPr="00345388">
        <w:rPr>
          <w:rFonts w:ascii="Times New Roman" w:hAnsi="Times New Roman" w:cs="Times New Roman"/>
          <w:sz w:val="24"/>
          <w:szCs w:val="24"/>
        </w:rPr>
        <w:t>Patients were categorized by label adherence of NOAC dosing (</w:t>
      </w:r>
      <w:r w:rsidR="00E334EE" w:rsidRPr="00345388">
        <w:rPr>
          <w:rFonts w:ascii="Times New Roman" w:hAnsi="Times New Roman" w:cs="Times New Roman"/>
          <w:sz w:val="24"/>
          <w:szCs w:val="24"/>
        </w:rPr>
        <w:t xml:space="preserve">Online </w:t>
      </w:r>
      <w:r w:rsidRPr="00345388">
        <w:rPr>
          <w:rFonts w:ascii="Times New Roman" w:hAnsi="Times New Roman" w:cs="Times New Roman"/>
          <w:sz w:val="24"/>
          <w:szCs w:val="24"/>
        </w:rPr>
        <w:t xml:space="preserve">Table 3). </w:t>
      </w:r>
      <w:r w:rsidR="00FF0304" w:rsidRPr="00345388">
        <w:rPr>
          <w:rFonts w:ascii="Times New Roman" w:hAnsi="Times New Roman" w:cs="Times New Roman"/>
          <w:sz w:val="24"/>
          <w:szCs w:val="24"/>
        </w:rPr>
        <w:t xml:space="preserve">Of the </w:t>
      </w:r>
      <w:r w:rsidRPr="00345388">
        <w:rPr>
          <w:rFonts w:ascii="Times New Roman" w:hAnsi="Times New Roman" w:cs="Times New Roman"/>
          <w:sz w:val="24"/>
          <w:szCs w:val="24"/>
        </w:rPr>
        <w:t>total study population, 65.3%</w:t>
      </w:r>
      <w:r w:rsidR="00122E7B" w:rsidRPr="00345388">
        <w:rPr>
          <w:rFonts w:ascii="Times New Roman" w:hAnsi="Times New Roman" w:cs="Times New Roman"/>
          <w:sz w:val="24"/>
          <w:szCs w:val="24"/>
        </w:rPr>
        <w:t xml:space="preserve"> </w:t>
      </w:r>
      <w:r w:rsidR="005921F6" w:rsidRPr="00345388">
        <w:rPr>
          <w:rFonts w:ascii="Times New Roman" w:hAnsi="Times New Roman" w:cs="Times New Roman"/>
          <w:sz w:val="24"/>
          <w:szCs w:val="24"/>
        </w:rPr>
        <w:t xml:space="preserve">were prescribed </w:t>
      </w:r>
      <w:r w:rsidRPr="00345388">
        <w:rPr>
          <w:rFonts w:ascii="Times New Roman" w:hAnsi="Times New Roman" w:cs="Times New Roman"/>
          <w:sz w:val="24"/>
          <w:szCs w:val="24"/>
        </w:rPr>
        <w:t xml:space="preserve">on-label dosed NOAC, 30.7% were prescribed off-label underdosed NOAC, and 4% were prescribed off-label overdosed NOAC. </w:t>
      </w:r>
      <w:r w:rsidR="00C43C2C" w:rsidRPr="00345388">
        <w:rPr>
          <w:rFonts w:ascii="Times New Roman" w:hAnsi="Times New Roman" w:cs="Times New Roman"/>
          <w:sz w:val="24"/>
          <w:szCs w:val="24"/>
        </w:rPr>
        <w:t xml:space="preserve">Edoxaban showed </w:t>
      </w:r>
      <w:r w:rsidR="00FF0304" w:rsidRPr="00345388">
        <w:rPr>
          <w:rFonts w:ascii="Times New Roman" w:hAnsi="Times New Roman" w:cs="Times New Roman"/>
          <w:sz w:val="24"/>
          <w:szCs w:val="24"/>
        </w:rPr>
        <w:t xml:space="preserve">a </w:t>
      </w:r>
      <w:r w:rsidR="00C43C2C" w:rsidRPr="00345388">
        <w:rPr>
          <w:rFonts w:ascii="Times New Roman" w:hAnsi="Times New Roman" w:cs="Times New Roman"/>
          <w:sz w:val="24"/>
          <w:szCs w:val="24"/>
        </w:rPr>
        <w:t xml:space="preserve">higher off-label overdosing rate (27.8%) </w:t>
      </w:r>
      <w:r w:rsidR="00A66B48" w:rsidRPr="00345388">
        <w:rPr>
          <w:rFonts w:ascii="Times New Roman" w:hAnsi="Times New Roman" w:cs="Times New Roman"/>
          <w:sz w:val="24"/>
          <w:szCs w:val="24"/>
        </w:rPr>
        <w:t>than</w:t>
      </w:r>
      <w:r w:rsidR="00C43C2C" w:rsidRPr="00345388">
        <w:rPr>
          <w:rFonts w:ascii="Times New Roman" w:hAnsi="Times New Roman" w:cs="Times New Roman"/>
          <w:sz w:val="24"/>
          <w:szCs w:val="24"/>
        </w:rPr>
        <w:t xml:space="preserve"> other NOACs (rivaroxaban, dabigatran, and apixaban: 1.9%, 0.2%, and 4.4%, respectively) </w:t>
      </w:r>
      <w:r w:rsidR="00974DDE" w:rsidRPr="00345388">
        <w:rPr>
          <w:rFonts w:ascii="Times New Roman" w:hAnsi="Times New Roman" w:cs="Times New Roman"/>
          <w:sz w:val="24"/>
          <w:szCs w:val="24"/>
        </w:rPr>
        <w:t>(</w:t>
      </w:r>
      <w:r w:rsidR="00E334EE" w:rsidRPr="00345388">
        <w:rPr>
          <w:rFonts w:ascii="Times New Roman" w:hAnsi="Times New Roman" w:cs="Times New Roman"/>
          <w:sz w:val="24"/>
          <w:szCs w:val="24"/>
        </w:rPr>
        <w:t xml:space="preserve">Online </w:t>
      </w:r>
      <w:r w:rsidR="00974DDE" w:rsidRPr="00345388">
        <w:rPr>
          <w:rFonts w:ascii="Times New Roman" w:hAnsi="Times New Roman" w:cs="Times New Roman"/>
          <w:sz w:val="24"/>
          <w:szCs w:val="24"/>
        </w:rPr>
        <w:t xml:space="preserve">Table </w:t>
      </w:r>
      <w:r w:rsidR="00C43813" w:rsidRPr="00345388">
        <w:rPr>
          <w:rFonts w:ascii="Times New Roman" w:hAnsi="Times New Roman" w:cs="Times New Roman"/>
          <w:sz w:val="24"/>
          <w:szCs w:val="24"/>
        </w:rPr>
        <w:t>7</w:t>
      </w:r>
      <w:r w:rsidR="00974DDE" w:rsidRPr="00345388">
        <w:rPr>
          <w:rFonts w:ascii="Times New Roman" w:hAnsi="Times New Roman" w:cs="Times New Roman"/>
          <w:sz w:val="24"/>
          <w:szCs w:val="24"/>
        </w:rPr>
        <w:t>).</w:t>
      </w:r>
    </w:p>
    <w:p w14:paraId="4E33DF6F" w14:textId="7E374D97" w:rsidR="00122864" w:rsidRPr="00345388" w:rsidRDefault="00DF3DA6" w:rsidP="00EB0B89">
      <w:pPr>
        <w:spacing w:after="0" w:line="480" w:lineRule="auto"/>
        <w:ind w:firstLine="800"/>
        <w:rPr>
          <w:rFonts w:ascii="Times New Roman" w:hAnsi="Times New Roman" w:cs="Times New Roman"/>
          <w:sz w:val="24"/>
          <w:szCs w:val="24"/>
        </w:rPr>
      </w:pPr>
      <w:r w:rsidRPr="00345388">
        <w:rPr>
          <w:rFonts w:ascii="Times New Roman" w:hAnsi="Times New Roman" w:cs="Times New Roman"/>
          <w:sz w:val="24"/>
          <w:szCs w:val="24"/>
        </w:rPr>
        <w:t xml:space="preserve">Patients with on-label dosed NOAC showed consistently lower crude </w:t>
      </w:r>
      <w:r w:rsidR="00B8646D" w:rsidRPr="00345388">
        <w:rPr>
          <w:rFonts w:ascii="Times New Roman" w:hAnsi="Times New Roman" w:cs="Times New Roman"/>
          <w:sz w:val="24"/>
          <w:szCs w:val="24"/>
        </w:rPr>
        <w:t>incidence</w:t>
      </w:r>
      <w:r w:rsidRPr="00345388">
        <w:rPr>
          <w:rFonts w:ascii="Times New Roman" w:hAnsi="Times New Roman" w:cs="Times New Roman"/>
          <w:sz w:val="24"/>
          <w:szCs w:val="24"/>
        </w:rPr>
        <w:t xml:space="preserve"> rates </w:t>
      </w:r>
      <w:r w:rsidR="00810D1A" w:rsidRPr="00345388">
        <w:rPr>
          <w:rFonts w:ascii="Times New Roman" w:hAnsi="Times New Roman" w:cs="Times New Roman"/>
          <w:sz w:val="24"/>
          <w:szCs w:val="24"/>
        </w:rPr>
        <w:t xml:space="preserve">than warfarin </w:t>
      </w:r>
      <w:r w:rsidR="00FF0304" w:rsidRPr="00345388">
        <w:rPr>
          <w:rFonts w:ascii="Times New Roman" w:hAnsi="Times New Roman" w:cs="Times New Roman"/>
          <w:sz w:val="24"/>
          <w:szCs w:val="24"/>
        </w:rPr>
        <w:t xml:space="preserve">for </w:t>
      </w:r>
      <w:r w:rsidRPr="00345388">
        <w:rPr>
          <w:rFonts w:ascii="Times New Roman" w:hAnsi="Times New Roman" w:cs="Times New Roman"/>
          <w:sz w:val="24"/>
          <w:szCs w:val="24"/>
        </w:rPr>
        <w:t>six clinical outcomes (</w:t>
      </w:r>
      <w:r w:rsidR="00580F31" w:rsidRPr="00345388">
        <w:rPr>
          <w:rFonts w:ascii="Times New Roman" w:hAnsi="Times New Roman" w:cs="Times New Roman"/>
          <w:sz w:val="24"/>
          <w:szCs w:val="24"/>
        </w:rPr>
        <w:t xml:space="preserve">Online </w:t>
      </w:r>
      <w:r w:rsidR="00E334EE" w:rsidRPr="00345388">
        <w:rPr>
          <w:rFonts w:ascii="Times New Roman" w:hAnsi="Times New Roman" w:cs="Times New Roman"/>
          <w:sz w:val="24"/>
          <w:szCs w:val="24"/>
        </w:rPr>
        <w:t xml:space="preserve">Figure </w:t>
      </w:r>
      <w:r w:rsidR="00C43813" w:rsidRPr="00345388">
        <w:rPr>
          <w:rFonts w:ascii="Times New Roman" w:hAnsi="Times New Roman" w:cs="Times New Roman"/>
          <w:sz w:val="24"/>
          <w:szCs w:val="24"/>
        </w:rPr>
        <w:t>6</w:t>
      </w:r>
      <w:r w:rsidR="00F47CED" w:rsidRPr="00345388">
        <w:rPr>
          <w:rFonts w:ascii="Times New Roman" w:hAnsi="Times New Roman" w:cs="Times New Roman"/>
          <w:sz w:val="24"/>
          <w:szCs w:val="24"/>
        </w:rPr>
        <w:t xml:space="preserve"> </w:t>
      </w:r>
      <w:r w:rsidR="00E334EE" w:rsidRPr="00345388">
        <w:rPr>
          <w:rFonts w:ascii="Times New Roman" w:hAnsi="Times New Roman" w:cs="Times New Roman"/>
          <w:sz w:val="24"/>
          <w:szCs w:val="24"/>
        </w:rPr>
        <w:t xml:space="preserve">and Online Figure </w:t>
      </w:r>
      <w:r w:rsidR="00C43813" w:rsidRPr="00345388">
        <w:rPr>
          <w:rFonts w:ascii="Times New Roman" w:hAnsi="Times New Roman" w:cs="Times New Roman"/>
          <w:sz w:val="24"/>
          <w:szCs w:val="24"/>
        </w:rPr>
        <w:t>7</w:t>
      </w:r>
      <w:r w:rsidRPr="00345388">
        <w:rPr>
          <w:rFonts w:ascii="Times New Roman" w:hAnsi="Times New Roman" w:cs="Times New Roman"/>
          <w:sz w:val="24"/>
          <w:szCs w:val="24"/>
        </w:rPr>
        <w:t xml:space="preserve">). </w:t>
      </w:r>
      <w:r w:rsidR="00122E7B" w:rsidRPr="00345388">
        <w:rPr>
          <w:rFonts w:ascii="Times New Roman" w:hAnsi="Times New Roman" w:cs="Times New Roman"/>
          <w:sz w:val="24"/>
          <w:szCs w:val="24"/>
        </w:rPr>
        <w:t>P</w:t>
      </w:r>
      <w:r w:rsidR="00C43C2C" w:rsidRPr="00345388">
        <w:rPr>
          <w:rFonts w:ascii="Times New Roman" w:hAnsi="Times New Roman" w:cs="Times New Roman"/>
          <w:sz w:val="24"/>
          <w:szCs w:val="24"/>
        </w:rPr>
        <w:t xml:space="preserve">atients prescribed off-label overdosed NOAC showed </w:t>
      </w:r>
      <w:r w:rsidR="00FF0304" w:rsidRPr="00345388">
        <w:rPr>
          <w:rFonts w:ascii="Times New Roman" w:hAnsi="Times New Roman" w:cs="Times New Roman"/>
          <w:sz w:val="24"/>
          <w:szCs w:val="24"/>
        </w:rPr>
        <w:t xml:space="preserve">a </w:t>
      </w:r>
      <w:r w:rsidR="00C43C2C" w:rsidRPr="00345388">
        <w:rPr>
          <w:rFonts w:ascii="Times New Roman" w:hAnsi="Times New Roman" w:cs="Times New Roman"/>
          <w:sz w:val="24"/>
          <w:szCs w:val="24"/>
        </w:rPr>
        <w:t xml:space="preserve">higher </w:t>
      </w:r>
      <w:r w:rsidR="0065010B" w:rsidRPr="00345388">
        <w:rPr>
          <w:rFonts w:ascii="Times New Roman" w:hAnsi="Times New Roman" w:cs="Times New Roman"/>
          <w:sz w:val="24"/>
          <w:szCs w:val="24"/>
        </w:rPr>
        <w:t xml:space="preserve">incidence of </w:t>
      </w:r>
      <w:r w:rsidR="00F32D8A" w:rsidRPr="00345388">
        <w:rPr>
          <w:rFonts w:ascii="Times New Roman" w:hAnsi="Times New Roman" w:cs="Times New Roman"/>
          <w:sz w:val="24"/>
          <w:szCs w:val="24"/>
        </w:rPr>
        <w:t>ischemic stroke</w:t>
      </w:r>
      <w:r w:rsidR="0065010B" w:rsidRPr="00345388">
        <w:rPr>
          <w:rFonts w:ascii="Times New Roman" w:hAnsi="Times New Roman" w:cs="Times New Roman"/>
          <w:sz w:val="24"/>
          <w:szCs w:val="24"/>
        </w:rPr>
        <w:t xml:space="preserve">, bleeding, all-cause death, and composite outcome compared with those with on-label dosed NOAC and even compared with those with warfarin. </w:t>
      </w:r>
    </w:p>
    <w:p w14:paraId="6B00C771" w14:textId="1E622345" w:rsidR="00A24897" w:rsidRPr="00345388" w:rsidRDefault="0065010B" w:rsidP="00EB0B89">
      <w:pPr>
        <w:spacing w:after="0" w:line="480" w:lineRule="auto"/>
        <w:ind w:firstLine="800"/>
        <w:rPr>
          <w:rFonts w:ascii="Times New Roman" w:hAnsi="Times New Roman" w:cs="Times New Roman"/>
          <w:sz w:val="24"/>
          <w:szCs w:val="24"/>
        </w:rPr>
      </w:pPr>
      <w:r w:rsidRPr="00345388">
        <w:rPr>
          <w:rFonts w:ascii="Times New Roman" w:hAnsi="Times New Roman" w:cs="Times New Roman"/>
          <w:sz w:val="24"/>
          <w:szCs w:val="24"/>
        </w:rPr>
        <w:t>Overall, on-label</w:t>
      </w:r>
      <w:r w:rsidR="008C6D99" w:rsidRPr="00345388">
        <w:rPr>
          <w:rFonts w:ascii="Times New Roman" w:hAnsi="Times New Roman" w:cs="Times New Roman"/>
          <w:sz w:val="24"/>
          <w:szCs w:val="24"/>
        </w:rPr>
        <w:t xml:space="preserve"> dosed NOAC</w:t>
      </w:r>
      <w:r w:rsidRPr="00345388">
        <w:rPr>
          <w:rFonts w:ascii="Times New Roman" w:hAnsi="Times New Roman" w:cs="Times New Roman"/>
          <w:sz w:val="24"/>
          <w:szCs w:val="24"/>
        </w:rPr>
        <w:t xml:space="preserve"> showed better clinical outcomes </w:t>
      </w:r>
      <w:r w:rsidR="00D53C6B" w:rsidRPr="00345388">
        <w:rPr>
          <w:rFonts w:ascii="Times New Roman" w:hAnsi="Times New Roman" w:cs="Times New Roman"/>
          <w:sz w:val="24"/>
          <w:szCs w:val="24"/>
        </w:rPr>
        <w:t>than</w:t>
      </w:r>
      <w:r w:rsidRPr="00345388">
        <w:rPr>
          <w:rFonts w:ascii="Times New Roman" w:hAnsi="Times New Roman" w:cs="Times New Roman"/>
          <w:sz w:val="24"/>
          <w:szCs w:val="24"/>
        </w:rPr>
        <w:t xml:space="preserve"> warfarin</w:t>
      </w:r>
      <w:r w:rsidR="00D53C6B" w:rsidRPr="00345388">
        <w:rPr>
          <w:rFonts w:ascii="Times New Roman" w:hAnsi="Times New Roman" w:cs="Times New Roman"/>
          <w:sz w:val="24"/>
          <w:szCs w:val="24"/>
        </w:rPr>
        <w:t>,</w:t>
      </w:r>
      <w:r w:rsidRPr="00345388">
        <w:rPr>
          <w:rFonts w:ascii="Times New Roman" w:hAnsi="Times New Roman" w:cs="Times New Roman"/>
          <w:sz w:val="24"/>
          <w:szCs w:val="24"/>
        </w:rPr>
        <w:t xml:space="preserve"> as </w:t>
      </w:r>
      <w:r w:rsidR="0061215E" w:rsidRPr="00345388">
        <w:rPr>
          <w:rFonts w:ascii="Times New Roman" w:hAnsi="Times New Roman" w:cs="Times New Roman"/>
          <w:sz w:val="24"/>
          <w:szCs w:val="24"/>
        </w:rPr>
        <w:t xml:space="preserve">shown </w:t>
      </w:r>
      <w:r w:rsidRPr="00345388">
        <w:rPr>
          <w:rFonts w:ascii="Times New Roman" w:hAnsi="Times New Roman" w:cs="Times New Roman"/>
          <w:sz w:val="24"/>
          <w:szCs w:val="24"/>
        </w:rPr>
        <w:t xml:space="preserve">in </w:t>
      </w:r>
      <w:r w:rsidR="0061215E" w:rsidRPr="00345388">
        <w:rPr>
          <w:rFonts w:ascii="Times New Roman" w:hAnsi="Times New Roman" w:cs="Times New Roman"/>
          <w:sz w:val="24"/>
          <w:szCs w:val="24"/>
        </w:rPr>
        <w:t xml:space="preserve">the </w:t>
      </w:r>
      <w:r w:rsidRPr="00345388">
        <w:rPr>
          <w:rFonts w:ascii="Times New Roman" w:hAnsi="Times New Roman" w:cs="Times New Roman"/>
          <w:sz w:val="24"/>
          <w:szCs w:val="24"/>
        </w:rPr>
        <w:t>main analysis (</w:t>
      </w:r>
      <w:r w:rsidR="00067242" w:rsidRPr="00345388">
        <w:rPr>
          <w:rFonts w:ascii="Times New Roman" w:hAnsi="Times New Roman" w:cs="Times New Roman"/>
          <w:sz w:val="24"/>
          <w:szCs w:val="24"/>
        </w:rPr>
        <w:t xml:space="preserve">Online Figure </w:t>
      </w:r>
      <w:r w:rsidR="00C43813" w:rsidRPr="00345388">
        <w:rPr>
          <w:rFonts w:ascii="Times New Roman" w:hAnsi="Times New Roman" w:cs="Times New Roman"/>
          <w:sz w:val="24"/>
          <w:szCs w:val="24"/>
        </w:rPr>
        <w:t>8</w:t>
      </w:r>
      <w:r w:rsidRPr="00345388">
        <w:rPr>
          <w:rFonts w:ascii="Times New Roman" w:hAnsi="Times New Roman" w:cs="Times New Roman"/>
          <w:sz w:val="24"/>
          <w:szCs w:val="24"/>
        </w:rPr>
        <w:t xml:space="preserve">). </w:t>
      </w:r>
      <w:r w:rsidR="008C6D99" w:rsidRPr="00345388">
        <w:rPr>
          <w:rFonts w:ascii="Times New Roman" w:hAnsi="Times New Roman" w:cs="Times New Roman"/>
          <w:sz w:val="24"/>
          <w:szCs w:val="24"/>
        </w:rPr>
        <w:t xml:space="preserve">Among </w:t>
      </w:r>
      <w:r w:rsidR="0061215E" w:rsidRPr="00345388">
        <w:rPr>
          <w:rFonts w:ascii="Times New Roman" w:hAnsi="Times New Roman" w:cs="Times New Roman"/>
          <w:sz w:val="24"/>
          <w:szCs w:val="24"/>
        </w:rPr>
        <w:t xml:space="preserve">the </w:t>
      </w:r>
      <w:r w:rsidR="008C6D99" w:rsidRPr="00345388">
        <w:rPr>
          <w:rFonts w:ascii="Times New Roman" w:hAnsi="Times New Roman" w:cs="Times New Roman"/>
          <w:sz w:val="24"/>
          <w:szCs w:val="24"/>
        </w:rPr>
        <w:t>three groups (on-label dosing, off-label underdosing, and off-label overdosing), o</w:t>
      </w:r>
      <w:r w:rsidRPr="00345388">
        <w:rPr>
          <w:rFonts w:ascii="Times New Roman" w:hAnsi="Times New Roman" w:cs="Times New Roman"/>
          <w:sz w:val="24"/>
          <w:szCs w:val="24"/>
        </w:rPr>
        <w:t xml:space="preserve">n-label </w:t>
      </w:r>
      <w:r w:rsidR="008C6D99" w:rsidRPr="00345388">
        <w:rPr>
          <w:rFonts w:ascii="Times New Roman" w:hAnsi="Times New Roman" w:cs="Times New Roman"/>
          <w:sz w:val="24"/>
          <w:szCs w:val="24"/>
        </w:rPr>
        <w:t>prescription of NOAC</w:t>
      </w:r>
      <w:r w:rsidRPr="00345388">
        <w:rPr>
          <w:rFonts w:ascii="Times New Roman" w:hAnsi="Times New Roman" w:cs="Times New Roman"/>
          <w:sz w:val="24"/>
          <w:szCs w:val="24"/>
        </w:rPr>
        <w:t xml:space="preserve"> </w:t>
      </w:r>
      <w:r w:rsidR="008C6D99" w:rsidRPr="00345388">
        <w:rPr>
          <w:rFonts w:ascii="Times New Roman" w:hAnsi="Times New Roman" w:cs="Times New Roman"/>
          <w:sz w:val="24"/>
          <w:szCs w:val="24"/>
        </w:rPr>
        <w:t>was associated with the largest risk reduction for composite clinical outcome</w:t>
      </w:r>
      <w:r w:rsidR="00D53C6B" w:rsidRPr="00345388">
        <w:rPr>
          <w:rFonts w:ascii="Times New Roman" w:hAnsi="Times New Roman" w:cs="Times New Roman"/>
          <w:sz w:val="24"/>
          <w:szCs w:val="24"/>
        </w:rPr>
        <w:t>s</w:t>
      </w:r>
      <w:r w:rsidR="008C6D99" w:rsidRPr="00345388">
        <w:rPr>
          <w:rFonts w:ascii="Times New Roman" w:hAnsi="Times New Roman" w:cs="Times New Roman"/>
          <w:sz w:val="24"/>
          <w:szCs w:val="24"/>
        </w:rPr>
        <w:t xml:space="preserve"> compared to warfarin</w:t>
      </w:r>
      <w:r w:rsidR="0061215E" w:rsidRPr="00345388">
        <w:rPr>
          <w:rFonts w:ascii="Times New Roman" w:hAnsi="Times New Roman" w:cs="Times New Roman"/>
          <w:sz w:val="24"/>
          <w:szCs w:val="24"/>
        </w:rPr>
        <w:t>,</w:t>
      </w:r>
      <w:r w:rsidR="008C6D99" w:rsidRPr="00345388">
        <w:rPr>
          <w:rFonts w:ascii="Times New Roman" w:hAnsi="Times New Roman" w:cs="Times New Roman"/>
          <w:sz w:val="24"/>
          <w:szCs w:val="24"/>
        </w:rPr>
        <w:t xml:space="preserve"> and this result was consistent </w:t>
      </w:r>
      <w:r w:rsidR="00122864" w:rsidRPr="00345388">
        <w:rPr>
          <w:rFonts w:ascii="Times New Roman" w:hAnsi="Times New Roman" w:cs="Times New Roman"/>
          <w:sz w:val="24"/>
          <w:szCs w:val="24"/>
        </w:rPr>
        <w:t xml:space="preserve">even </w:t>
      </w:r>
      <w:r w:rsidR="008C6D99" w:rsidRPr="00345388">
        <w:rPr>
          <w:rFonts w:ascii="Times New Roman" w:hAnsi="Times New Roman" w:cs="Times New Roman"/>
          <w:sz w:val="24"/>
          <w:szCs w:val="24"/>
        </w:rPr>
        <w:t xml:space="preserve">in </w:t>
      </w:r>
      <w:r w:rsidR="008F4F0B" w:rsidRPr="00345388">
        <w:rPr>
          <w:rFonts w:ascii="Times New Roman" w:hAnsi="Times New Roman" w:cs="Times New Roman"/>
          <w:sz w:val="24"/>
          <w:szCs w:val="24"/>
        </w:rPr>
        <w:t xml:space="preserve">patients </w:t>
      </w:r>
      <w:r w:rsidR="0061215E" w:rsidRPr="00345388">
        <w:rPr>
          <w:rFonts w:ascii="Times New Roman" w:hAnsi="Times New Roman" w:cs="Times New Roman"/>
          <w:sz w:val="24"/>
          <w:szCs w:val="24"/>
        </w:rPr>
        <w:t>weighing</w:t>
      </w:r>
      <w:r w:rsidR="008F4F0B" w:rsidRPr="00345388">
        <w:rPr>
          <w:rFonts w:ascii="Times New Roman" w:hAnsi="Times New Roman" w:cs="Times New Roman"/>
          <w:sz w:val="24"/>
          <w:szCs w:val="24"/>
        </w:rPr>
        <w:t xml:space="preserve"> &lt;50 kg</w:t>
      </w:r>
      <w:r w:rsidR="008C6D99" w:rsidRPr="00345388">
        <w:rPr>
          <w:rFonts w:ascii="Times New Roman" w:hAnsi="Times New Roman" w:cs="Times New Roman"/>
          <w:sz w:val="24"/>
          <w:szCs w:val="24"/>
        </w:rPr>
        <w:t>.</w:t>
      </w:r>
    </w:p>
    <w:p w14:paraId="2FC740AF" w14:textId="73DC71A5" w:rsidR="00D4509C" w:rsidRPr="00345388" w:rsidRDefault="00D4509C" w:rsidP="00EB0B89">
      <w:pPr>
        <w:spacing w:after="0" w:line="480" w:lineRule="auto"/>
        <w:rPr>
          <w:rFonts w:ascii="Times New Roman" w:hAnsi="Times New Roman" w:cs="Times New Roman"/>
          <w:i/>
          <w:sz w:val="24"/>
          <w:szCs w:val="24"/>
        </w:rPr>
      </w:pPr>
      <w:r w:rsidRPr="00345388">
        <w:rPr>
          <w:rFonts w:ascii="Times New Roman" w:hAnsi="Times New Roman" w:cs="Times New Roman"/>
          <w:i/>
          <w:sz w:val="24"/>
          <w:szCs w:val="24"/>
        </w:rPr>
        <w:t>(c) NOAC types</w:t>
      </w:r>
    </w:p>
    <w:p w14:paraId="6BD06F93" w14:textId="5D8D604F" w:rsidR="00D4509C" w:rsidRPr="00345388" w:rsidRDefault="00D4509C" w:rsidP="00EB0B89">
      <w:pPr>
        <w:spacing w:after="0" w:line="480" w:lineRule="auto"/>
        <w:ind w:firstLine="800"/>
        <w:rPr>
          <w:rFonts w:ascii="Times New Roman" w:hAnsi="Times New Roman" w:cs="Times New Roman"/>
          <w:sz w:val="24"/>
          <w:szCs w:val="24"/>
        </w:rPr>
      </w:pPr>
      <w:r w:rsidRPr="00345388">
        <w:rPr>
          <w:rFonts w:ascii="Times New Roman" w:hAnsi="Times New Roman" w:cs="Times New Roman"/>
          <w:sz w:val="24"/>
          <w:szCs w:val="24"/>
        </w:rPr>
        <w:lastRenderedPageBreak/>
        <w:t xml:space="preserve">Baseline characteristics by NOAC types are shown in Online Table </w:t>
      </w:r>
      <w:r w:rsidR="00C43813" w:rsidRPr="00345388">
        <w:rPr>
          <w:rFonts w:ascii="Times New Roman" w:hAnsi="Times New Roman" w:cs="Times New Roman"/>
          <w:sz w:val="24"/>
          <w:szCs w:val="24"/>
        </w:rPr>
        <w:t>8</w:t>
      </w:r>
      <w:r w:rsidRPr="00345388">
        <w:rPr>
          <w:rFonts w:ascii="Times New Roman" w:hAnsi="Times New Roman" w:cs="Times New Roman"/>
          <w:sz w:val="24"/>
          <w:szCs w:val="24"/>
        </w:rPr>
        <w:t xml:space="preserve">. Overall, the net clinical benefit of NOAC compared to warfarin was consistent across all type of NOACs (Online Figures </w:t>
      </w:r>
      <w:r w:rsidR="00C43813" w:rsidRPr="00345388">
        <w:rPr>
          <w:rFonts w:ascii="Times New Roman" w:hAnsi="Times New Roman" w:cs="Times New Roman"/>
          <w:sz w:val="24"/>
          <w:szCs w:val="24"/>
        </w:rPr>
        <w:t>9</w:t>
      </w:r>
      <w:r w:rsidRPr="00345388">
        <w:rPr>
          <w:rFonts w:ascii="Times New Roman" w:hAnsi="Times New Roman" w:cs="Times New Roman"/>
          <w:sz w:val="24"/>
          <w:szCs w:val="24"/>
        </w:rPr>
        <w:t xml:space="preserve"> and </w:t>
      </w:r>
      <w:r w:rsidR="00C43813" w:rsidRPr="00345388">
        <w:rPr>
          <w:rFonts w:ascii="Times New Roman" w:hAnsi="Times New Roman" w:cs="Times New Roman"/>
          <w:sz w:val="24"/>
          <w:szCs w:val="24"/>
        </w:rPr>
        <w:t>10</w:t>
      </w:r>
      <w:r w:rsidRPr="00345388">
        <w:rPr>
          <w:rFonts w:ascii="Times New Roman" w:hAnsi="Times New Roman" w:cs="Times New Roman"/>
          <w:sz w:val="24"/>
          <w:szCs w:val="24"/>
        </w:rPr>
        <w:t xml:space="preserve">). The number of patients prescribed edoxaban was small, leading to wide confidence intervals and statistical non-significance. </w:t>
      </w:r>
    </w:p>
    <w:p w14:paraId="547FE3F4" w14:textId="0F427958" w:rsidR="005A3A85" w:rsidRPr="00345388" w:rsidRDefault="005A3A85"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t>Discussion</w:t>
      </w:r>
    </w:p>
    <w:p w14:paraId="55EC5C47" w14:textId="65391B4F" w:rsidR="00F06A0C" w:rsidRPr="00345388" w:rsidRDefault="00F06A0C"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To</w:t>
      </w:r>
      <w:r w:rsidR="00DB46AA" w:rsidRPr="00345388">
        <w:rPr>
          <w:rFonts w:ascii="Times New Roman" w:hAnsi="Times New Roman" w:cs="Times New Roman"/>
          <w:sz w:val="24"/>
          <w:szCs w:val="24"/>
        </w:rPr>
        <w:t xml:space="preserve"> the best of</w:t>
      </w:r>
      <w:r w:rsidRPr="00345388">
        <w:rPr>
          <w:rFonts w:ascii="Times New Roman" w:hAnsi="Times New Roman" w:cs="Times New Roman"/>
          <w:sz w:val="24"/>
          <w:szCs w:val="24"/>
        </w:rPr>
        <w:t xml:space="preserve"> our knowledge, this is the first comparison of the effectiveness and safety of warfarin and NOACs in a large</w:t>
      </w:r>
      <w:r w:rsidR="00122864" w:rsidRPr="00345388">
        <w:rPr>
          <w:rFonts w:ascii="Times New Roman" w:hAnsi="Times New Roman" w:cs="Times New Roman"/>
          <w:sz w:val="24"/>
          <w:szCs w:val="24"/>
        </w:rPr>
        <w:t xml:space="preserve"> nationwide</w:t>
      </w:r>
      <w:r w:rsidRPr="00345388">
        <w:rPr>
          <w:rFonts w:ascii="Times New Roman" w:hAnsi="Times New Roman" w:cs="Times New Roman"/>
          <w:sz w:val="24"/>
          <w:szCs w:val="24"/>
        </w:rPr>
        <w:t xml:space="preserve"> AF </w:t>
      </w:r>
      <w:r w:rsidR="00122864" w:rsidRPr="00345388">
        <w:rPr>
          <w:rFonts w:ascii="Times New Roman" w:hAnsi="Times New Roman" w:cs="Times New Roman"/>
          <w:sz w:val="24"/>
          <w:szCs w:val="24"/>
        </w:rPr>
        <w:t xml:space="preserve">cohort </w:t>
      </w:r>
      <w:r w:rsidRPr="00345388">
        <w:rPr>
          <w:rFonts w:ascii="Times New Roman" w:hAnsi="Times New Roman" w:cs="Times New Roman"/>
          <w:sz w:val="24"/>
          <w:szCs w:val="24"/>
        </w:rPr>
        <w:t xml:space="preserve">with </w:t>
      </w:r>
      <w:r w:rsidR="00122864" w:rsidRPr="00345388">
        <w:rPr>
          <w:rFonts w:ascii="Times New Roman" w:hAnsi="Times New Roman" w:cs="Times New Roman"/>
          <w:sz w:val="24"/>
          <w:szCs w:val="24"/>
        </w:rPr>
        <w:t xml:space="preserve">data on </w:t>
      </w:r>
      <w:r w:rsidRPr="00345388">
        <w:rPr>
          <w:rFonts w:ascii="Times New Roman" w:hAnsi="Times New Roman" w:cs="Times New Roman"/>
          <w:sz w:val="24"/>
          <w:szCs w:val="24"/>
        </w:rPr>
        <w:t xml:space="preserve">low body weight. </w:t>
      </w:r>
      <w:r w:rsidR="00DB46AA" w:rsidRPr="00345388">
        <w:rPr>
          <w:rFonts w:ascii="Times New Roman" w:hAnsi="Times New Roman" w:cs="Times New Roman"/>
          <w:sz w:val="24"/>
          <w:szCs w:val="24"/>
        </w:rPr>
        <w:t xml:space="preserve">The main findings of this study are as follows: (1) </w:t>
      </w:r>
      <w:r w:rsidRPr="00345388">
        <w:rPr>
          <w:rFonts w:ascii="Times New Roman" w:hAnsi="Times New Roman" w:cs="Times New Roman"/>
          <w:sz w:val="24"/>
          <w:szCs w:val="24"/>
        </w:rPr>
        <w:t xml:space="preserve">NOAC use </w:t>
      </w:r>
      <w:r w:rsidR="008F4F0B" w:rsidRPr="00345388">
        <w:rPr>
          <w:rFonts w:ascii="Times New Roman" w:hAnsi="Times New Roman" w:cs="Times New Roman"/>
          <w:sz w:val="24"/>
          <w:szCs w:val="24"/>
        </w:rPr>
        <w:t xml:space="preserve">was </w:t>
      </w:r>
      <w:r w:rsidRPr="00345388">
        <w:rPr>
          <w:rFonts w:ascii="Times New Roman" w:hAnsi="Times New Roman" w:cs="Times New Roman"/>
          <w:sz w:val="24"/>
          <w:szCs w:val="24"/>
        </w:rPr>
        <w:t>associated with lower risks of ischemic stroke, ICH, hospitalization for GI bleeding, hospitalization for major bleeding, all-cause death</w:t>
      </w:r>
      <w:r w:rsidR="00EC0A5F" w:rsidRPr="00345388">
        <w:rPr>
          <w:rFonts w:ascii="Times New Roman" w:hAnsi="Times New Roman" w:cs="Times New Roman"/>
          <w:sz w:val="24"/>
          <w:szCs w:val="24"/>
        </w:rPr>
        <w:t>,</w:t>
      </w:r>
      <w:r w:rsidRPr="00345388">
        <w:rPr>
          <w:rFonts w:ascii="Times New Roman" w:hAnsi="Times New Roman" w:cs="Times New Roman"/>
          <w:sz w:val="24"/>
          <w:szCs w:val="24"/>
        </w:rPr>
        <w:t xml:space="preserve"> and composite outcome in patients with low body weight (</w:t>
      </w:r>
      <w:r w:rsidRPr="00345388">
        <w:rPr>
          <w:rFonts w:ascii="Times New Roman" w:eastAsia="Malgun Gothic" w:hAnsi="Times New Roman" w:cs="Times New Roman"/>
          <w:sz w:val="24"/>
          <w:szCs w:val="24"/>
        </w:rPr>
        <w:t>≤</w:t>
      </w:r>
      <w:r w:rsidRPr="00345388">
        <w:rPr>
          <w:rFonts w:ascii="Times New Roman" w:hAnsi="Times New Roman" w:cs="Times New Roman"/>
          <w:sz w:val="24"/>
          <w:szCs w:val="24"/>
        </w:rPr>
        <w:t>60</w:t>
      </w:r>
      <w:r w:rsidR="00537D9E" w:rsidRPr="00345388">
        <w:rPr>
          <w:rFonts w:ascii="Times New Roman" w:hAnsi="Times New Roman" w:cs="Times New Roman"/>
          <w:sz w:val="24"/>
          <w:szCs w:val="24"/>
        </w:rPr>
        <w:t xml:space="preserve"> </w:t>
      </w:r>
      <w:r w:rsidRPr="00345388">
        <w:rPr>
          <w:rFonts w:ascii="Times New Roman" w:hAnsi="Times New Roman" w:cs="Times New Roman"/>
          <w:sz w:val="24"/>
          <w:szCs w:val="24"/>
        </w:rPr>
        <w:t>kg)</w:t>
      </w:r>
      <w:r w:rsidR="00DB46AA" w:rsidRPr="00345388">
        <w:rPr>
          <w:rFonts w:ascii="Times New Roman" w:hAnsi="Times New Roman" w:cs="Times New Roman"/>
          <w:sz w:val="24"/>
          <w:szCs w:val="24"/>
        </w:rPr>
        <w:t xml:space="preserve">; (2) </w:t>
      </w:r>
      <w:r w:rsidR="00A9794B" w:rsidRPr="00345388">
        <w:rPr>
          <w:rFonts w:ascii="Times New Roman" w:hAnsi="Times New Roman" w:cs="Times New Roman"/>
          <w:sz w:val="24"/>
          <w:szCs w:val="24"/>
        </w:rPr>
        <w:t>a</w:t>
      </w:r>
      <w:r w:rsidRPr="00345388">
        <w:rPr>
          <w:rFonts w:ascii="Times New Roman" w:hAnsi="Times New Roman" w:cs="Times New Roman"/>
          <w:sz w:val="24"/>
          <w:szCs w:val="24"/>
        </w:rPr>
        <w:t xml:space="preserve"> consistent trend was observed in patients with extremely low body weight (</w:t>
      </w:r>
      <w:r w:rsidR="00537D9E" w:rsidRPr="00345388">
        <w:rPr>
          <w:rFonts w:ascii="Times New Roman" w:eastAsia="Malgun Gothic" w:hAnsi="Times New Roman" w:cs="Times New Roman"/>
          <w:sz w:val="24"/>
          <w:szCs w:val="24"/>
        </w:rPr>
        <w:t>&lt;</w:t>
      </w:r>
      <w:r w:rsidRPr="00345388">
        <w:rPr>
          <w:rFonts w:ascii="Times New Roman" w:hAnsi="Times New Roman" w:cs="Times New Roman"/>
          <w:sz w:val="24"/>
          <w:szCs w:val="24"/>
        </w:rPr>
        <w:t>50</w:t>
      </w:r>
      <w:r w:rsidR="00537D9E" w:rsidRPr="00345388">
        <w:rPr>
          <w:rFonts w:ascii="Times New Roman" w:hAnsi="Times New Roman" w:cs="Times New Roman"/>
          <w:sz w:val="24"/>
          <w:szCs w:val="24"/>
        </w:rPr>
        <w:t xml:space="preserve"> </w:t>
      </w:r>
      <w:r w:rsidRPr="00345388">
        <w:rPr>
          <w:rFonts w:ascii="Times New Roman" w:hAnsi="Times New Roman" w:cs="Times New Roman"/>
          <w:sz w:val="24"/>
          <w:szCs w:val="24"/>
        </w:rPr>
        <w:t>kg)</w:t>
      </w:r>
      <w:r w:rsidR="001534A7" w:rsidRPr="00345388">
        <w:rPr>
          <w:rFonts w:ascii="Times New Roman" w:hAnsi="Times New Roman" w:cs="Times New Roman"/>
          <w:sz w:val="24"/>
          <w:szCs w:val="24"/>
        </w:rPr>
        <w:t xml:space="preserve"> except for hospitalization for GI bleeding</w:t>
      </w:r>
      <w:r w:rsidR="00DB46AA" w:rsidRPr="00345388">
        <w:rPr>
          <w:rFonts w:ascii="Times New Roman" w:hAnsi="Times New Roman" w:cs="Times New Roman"/>
          <w:sz w:val="24"/>
          <w:szCs w:val="24"/>
        </w:rPr>
        <w:t xml:space="preserve">; </w:t>
      </w:r>
      <w:r w:rsidR="00831123" w:rsidRPr="00345388">
        <w:rPr>
          <w:rFonts w:ascii="Times New Roman" w:hAnsi="Times New Roman" w:cs="Times New Roman"/>
          <w:sz w:val="24"/>
          <w:szCs w:val="24"/>
        </w:rPr>
        <w:t xml:space="preserve">(3) regular dose NOAC showed comparable results as reduced dose of NOAC; </w:t>
      </w:r>
      <w:r w:rsidR="00DB46AA" w:rsidRPr="00345388">
        <w:rPr>
          <w:rFonts w:ascii="Times New Roman" w:hAnsi="Times New Roman" w:cs="Times New Roman"/>
          <w:sz w:val="24"/>
          <w:szCs w:val="24"/>
        </w:rPr>
        <w:t>and (</w:t>
      </w:r>
      <w:r w:rsidR="00831123" w:rsidRPr="00345388">
        <w:rPr>
          <w:rFonts w:ascii="Times New Roman" w:hAnsi="Times New Roman" w:cs="Times New Roman"/>
          <w:sz w:val="24"/>
          <w:szCs w:val="24"/>
        </w:rPr>
        <w:t>4</w:t>
      </w:r>
      <w:r w:rsidR="00DB46AA" w:rsidRPr="00345388">
        <w:rPr>
          <w:rFonts w:ascii="Times New Roman" w:hAnsi="Times New Roman" w:cs="Times New Roman"/>
          <w:sz w:val="24"/>
          <w:szCs w:val="24"/>
        </w:rPr>
        <w:t xml:space="preserve">) on-label </w:t>
      </w:r>
      <w:r w:rsidR="00571A96" w:rsidRPr="00345388">
        <w:rPr>
          <w:rFonts w:ascii="Times New Roman" w:hAnsi="Times New Roman" w:cs="Times New Roman"/>
          <w:sz w:val="24"/>
          <w:szCs w:val="24"/>
        </w:rPr>
        <w:t xml:space="preserve">NOAC </w:t>
      </w:r>
      <w:r w:rsidR="00DB46AA" w:rsidRPr="00345388">
        <w:rPr>
          <w:rFonts w:ascii="Times New Roman" w:hAnsi="Times New Roman" w:cs="Times New Roman"/>
          <w:sz w:val="24"/>
          <w:szCs w:val="24"/>
        </w:rPr>
        <w:t xml:space="preserve">prescription showed </w:t>
      </w:r>
      <w:r w:rsidR="00571A96" w:rsidRPr="00345388">
        <w:rPr>
          <w:rFonts w:ascii="Times New Roman" w:hAnsi="Times New Roman" w:cs="Times New Roman"/>
          <w:sz w:val="24"/>
          <w:szCs w:val="24"/>
        </w:rPr>
        <w:t xml:space="preserve">the </w:t>
      </w:r>
      <w:r w:rsidR="00DB46AA" w:rsidRPr="00345388">
        <w:rPr>
          <w:rFonts w:ascii="Times New Roman" w:hAnsi="Times New Roman" w:cs="Times New Roman"/>
          <w:sz w:val="24"/>
          <w:szCs w:val="24"/>
        </w:rPr>
        <w:t xml:space="preserve">best </w:t>
      </w:r>
      <w:r w:rsidR="00915589" w:rsidRPr="00345388">
        <w:rPr>
          <w:rFonts w:ascii="Times New Roman" w:hAnsi="Times New Roman" w:cs="Times New Roman"/>
          <w:sz w:val="24"/>
          <w:szCs w:val="24"/>
        </w:rPr>
        <w:t xml:space="preserve">net clinical </w:t>
      </w:r>
      <w:r w:rsidR="00DB46AA" w:rsidRPr="00345388">
        <w:rPr>
          <w:rFonts w:ascii="Times New Roman" w:hAnsi="Times New Roman" w:cs="Times New Roman"/>
          <w:sz w:val="24"/>
          <w:szCs w:val="24"/>
        </w:rPr>
        <w:t xml:space="preserve">outcomes compared </w:t>
      </w:r>
      <w:r w:rsidR="00831123" w:rsidRPr="00345388">
        <w:rPr>
          <w:rFonts w:ascii="Times New Roman" w:hAnsi="Times New Roman" w:cs="Times New Roman"/>
          <w:sz w:val="24"/>
          <w:szCs w:val="24"/>
        </w:rPr>
        <w:t xml:space="preserve">to </w:t>
      </w:r>
      <w:r w:rsidR="00A9794B" w:rsidRPr="00345388">
        <w:rPr>
          <w:rFonts w:ascii="Times New Roman" w:hAnsi="Times New Roman" w:cs="Times New Roman"/>
          <w:sz w:val="24"/>
          <w:szCs w:val="24"/>
        </w:rPr>
        <w:t>(</w:t>
      </w:r>
      <w:r w:rsidR="00DB46AA" w:rsidRPr="00345388">
        <w:rPr>
          <w:rFonts w:ascii="Times New Roman" w:hAnsi="Times New Roman" w:cs="Times New Roman"/>
          <w:sz w:val="24"/>
          <w:szCs w:val="24"/>
        </w:rPr>
        <w:t>off-label</w:t>
      </w:r>
      <w:r w:rsidR="00A9794B" w:rsidRPr="00345388">
        <w:rPr>
          <w:rFonts w:ascii="Times New Roman" w:hAnsi="Times New Roman" w:cs="Times New Roman"/>
          <w:sz w:val="24"/>
          <w:szCs w:val="24"/>
        </w:rPr>
        <w:t>)</w:t>
      </w:r>
      <w:r w:rsidR="00DB46AA" w:rsidRPr="00345388">
        <w:rPr>
          <w:rFonts w:ascii="Times New Roman" w:hAnsi="Times New Roman" w:cs="Times New Roman"/>
          <w:sz w:val="24"/>
          <w:szCs w:val="24"/>
        </w:rPr>
        <w:t xml:space="preserve"> underdosing or overdosing</w:t>
      </w:r>
      <w:r w:rsidR="00831123" w:rsidRPr="00345388">
        <w:rPr>
          <w:rFonts w:ascii="Times New Roman" w:hAnsi="Times New Roman" w:cs="Times New Roman"/>
          <w:sz w:val="24"/>
          <w:szCs w:val="24"/>
        </w:rPr>
        <w:t xml:space="preserve"> NOAC</w:t>
      </w:r>
      <w:r w:rsidRPr="00345388">
        <w:rPr>
          <w:rFonts w:ascii="Times New Roman" w:hAnsi="Times New Roman" w:cs="Times New Roman"/>
          <w:sz w:val="24"/>
          <w:szCs w:val="24"/>
        </w:rPr>
        <w:t xml:space="preserve">. </w:t>
      </w:r>
    </w:p>
    <w:p w14:paraId="22A36E85" w14:textId="685313E8" w:rsidR="00777BD4" w:rsidRPr="00345388" w:rsidRDefault="00C526FD"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 xml:space="preserve">Generally, NOACs </w:t>
      </w:r>
      <w:r w:rsidR="00DA4BED" w:rsidRPr="00345388">
        <w:rPr>
          <w:rFonts w:ascii="Times New Roman" w:hAnsi="Times New Roman" w:cs="Times New Roman"/>
          <w:sz w:val="24"/>
          <w:szCs w:val="24"/>
        </w:rPr>
        <w:t xml:space="preserve">resulted in </w:t>
      </w:r>
      <w:r w:rsidR="00570F4F" w:rsidRPr="00345388">
        <w:rPr>
          <w:rFonts w:ascii="Times New Roman" w:hAnsi="Times New Roman" w:cs="Times New Roman"/>
          <w:sz w:val="24"/>
          <w:szCs w:val="24"/>
        </w:rPr>
        <w:t xml:space="preserve">comparable or better outcomes </w:t>
      </w:r>
      <w:r w:rsidR="00DA4BED" w:rsidRPr="00345388">
        <w:rPr>
          <w:rFonts w:ascii="Times New Roman" w:hAnsi="Times New Roman" w:cs="Times New Roman"/>
          <w:sz w:val="24"/>
          <w:szCs w:val="24"/>
        </w:rPr>
        <w:t>than</w:t>
      </w:r>
      <w:r w:rsidR="00A21F01" w:rsidRPr="00345388">
        <w:rPr>
          <w:rFonts w:ascii="Times New Roman" w:hAnsi="Times New Roman" w:cs="Times New Roman"/>
          <w:sz w:val="24"/>
          <w:szCs w:val="24"/>
        </w:rPr>
        <w:t xml:space="preserve"> </w:t>
      </w:r>
      <w:r w:rsidR="00E65ACF" w:rsidRPr="00345388">
        <w:rPr>
          <w:rFonts w:ascii="Times New Roman" w:hAnsi="Times New Roman" w:cs="Times New Roman"/>
          <w:sz w:val="24"/>
          <w:szCs w:val="24"/>
        </w:rPr>
        <w:t xml:space="preserve">warfarin in patients with non-valvular AF </w:t>
      </w:r>
      <w:r w:rsidR="00B131EB" w:rsidRPr="00345388">
        <w:rPr>
          <w:rFonts w:ascii="Times New Roman" w:hAnsi="Times New Roman" w:cs="Times New Roman"/>
          <w:sz w:val="24"/>
          <w:szCs w:val="24"/>
        </w:rPr>
        <w:t>(8)</w:t>
      </w:r>
      <w:r w:rsidR="00E65ACF" w:rsidRPr="00345388">
        <w:rPr>
          <w:rFonts w:ascii="Times New Roman" w:hAnsi="Times New Roman" w:cs="Times New Roman"/>
          <w:sz w:val="24"/>
          <w:szCs w:val="24"/>
        </w:rPr>
        <w:t xml:space="preserve">. However, </w:t>
      </w:r>
      <w:r w:rsidR="00C16B8F" w:rsidRPr="00345388">
        <w:rPr>
          <w:rFonts w:ascii="Times New Roman" w:hAnsi="Times New Roman" w:cs="Times New Roman"/>
          <w:sz w:val="24"/>
          <w:szCs w:val="24"/>
        </w:rPr>
        <w:t xml:space="preserve">the </w:t>
      </w:r>
      <w:r w:rsidR="00E65ACF" w:rsidRPr="00345388">
        <w:rPr>
          <w:rFonts w:ascii="Times New Roman" w:hAnsi="Times New Roman" w:cs="Times New Roman"/>
          <w:sz w:val="24"/>
          <w:szCs w:val="24"/>
        </w:rPr>
        <w:t xml:space="preserve">anticoagulant effect </w:t>
      </w:r>
      <w:r w:rsidR="00C16B8F" w:rsidRPr="00345388">
        <w:rPr>
          <w:rFonts w:ascii="Times New Roman" w:hAnsi="Times New Roman" w:cs="Times New Roman"/>
          <w:sz w:val="24"/>
          <w:szCs w:val="24"/>
        </w:rPr>
        <w:t xml:space="preserve">of NOACs is </w:t>
      </w:r>
      <w:r w:rsidR="00E65ACF" w:rsidRPr="00345388">
        <w:rPr>
          <w:rFonts w:ascii="Times New Roman" w:hAnsi="Times New Roman" w:cs="Times New Roman"/>
          <w:sz w:val="24"/>
          <w:szCs w:val="24"/>
        </w:rPr>
        <w:t>closely related to plasma concentration</w:t>
      </w:r>
      <w:r w:rsidR="00C16B8F" w:rsidRPr="00345388">
        <w:rPr>
          <w:rFonts w:ascii="Times New Roman" w:hAnsi="Times New Roman" w:cs="Times New Roman"/>
          <w:sz w:val="24"/>
          <w:szCs w:val="24"/>
        </w:rPr>
        <w:t>, and t</w:t>
      </w:r>
      <w:r w:rsidR="00FC5552" w:rsidRPr="00345388">
        <w:rPr>
          <w:rFonts w:ascii="Times New Roman" w:hAnsi="Times New Roman" w:cs="Times New Roman"/>
          <w:sz w:val="24"/>
          <w:szCs w:val="24"/>
        </w:rPr>
        <w:t xml:space="preserve">heir distribution </w:t>
      </w:r>
      <w:r w:rsidR="0000605C" w:rsidRPr="00345388">
        <w:rPr>
          <w:rFonts w:ascii="Times New Roman" w:hAnsi="Times New Roman" w:cs="Times New Roman"/>
          <w:sz w:val="24"/>
          <w:szCs w:val="24"/>
        </w:rPr>
        <w:t xml:space="preserve">volume </w:t>
      </w:r>
      <w:r w:rsidR="00FC5552" w:rsidRPr="00345388">
        <w:rPr>
          <w:rFonts w:ascii="Times New Roman" w:hAnsi="Times New Roman" w:cs="Times New Roman"/>
          <w:sz w:val="24"/>
          <w:szCs w:val="24"/>
        </w:rPr>
        <w:t xml:space="preserve">is closely related to body size; therefore, body weight </w:t>
      </w:r>
      <w:r w:rsidR="00C16B8F" w:rsidRPr="00345388">
        <w:rPr>
          <w:rFonts w:ascii="Times New Roman" w:hAnsi="Times New Roman" w:cs="Times New Roman"/>
          <w:sz w:val="24"/>
          <w:szCs w:val="24"/>
        </w:rPr>
        <w:t>could</w:t>
      </w:r>
      <w:r w:rsidR="00E65ACF" w:rsidRPr="00345388">
        <w:rPr>
          <w:rFonts w:ascii="Times New Roman" w:hAnsi="Times New Roman" w:cs="Times New Roman"/>
          <w:sz w:val="24"/>
          <w:szCs w:val="24"/>
        </w:rPr>
        <w:t xml:space="preserve"> </w:t>
      </w:r>
      <w:r w:rsidR="00FC5552" w:rsidRPr="00345388">
        <w:rPr>
          <w:rFonts w:ascii="Times New Roman" w:hAnsi="Times New Roman" w:cs="Times New Roman"/>
          <w:sz w:val="24"/>
          <w:szCs w:val="24"/>
        </w:rPr>
        <w:t>affect their</w:t>
      </w:r>
      <w:r w:rsidR="00E65ACF" w:rsidRPr="00345388">
        <w:rPr>
          <w:rFonts w:ascii="Times New Roman" w:hAnsi="Times New Roman" w:cs="Times New Roman"/>
          <w:sz w:val="24"/>
          <w:szCs w:val="24"/>
        </w:rPr>
        <w:t xml:space="preserve"> </w:t>
      </w:r>
      <w:r w:rsidR="00C16B8F" w:rsidRPr="00345388">
        <w:rPr>
          <w:rFonts w:ascii="Times New Roman" w:hAnsi="Times New Roman" w:cs="Times New Roman"/>
          <w:sz w:val="24"/>
          <w:szCs w:val="24"/>
        </w:rPr>
        <w:t xml:space="preserve">anticoagulant </w:t>
      </w:r>
      <w:r w:rsidR="00E65ACF" w:rsidRPr="00345388">
        <w:rPr>
          <w:rFonts w:ascii="Times New Roman" w:hAnsi="Times New Roman" w:cs="Times New Roman"/>
          <w:sz w:val="24"/>
          <w:szCs w:val="24"/>
        </w:rPr>
        <w:t>effect</w:t>
      </w:r>
      <w:r w:rsidR="00B131EB" w:rsidRPr="00345388">
        <w:rPr>
          <w:rFonts w:ascii="Times New Roman" w:hAnsi="Times New Roman" w:cs="Times New Roman"/>
          <w:sz w:val="24"/>
          <w:szCs w:val="24"/>
        </w:rPr>
        <w:t xml:space="preserve"> (</w:t>
      </w:r>
      <w:r w:rsidR="003C3042" w:rsidRPr="00345388">
        <w:rPr>
          <w:rFonts w:ascii="Times New Roman" w:hAnsi="Times New Roman" w:cs="Times New Roman"/>
          <w:sz w:val="24"/>
          <w:szCs w:val="24"/>
        </w:rPr>
        <w:t>27</w:t>
      </w:r>
      <w:r w:rsidR="00B131EB" w:rsidRPr="00345388">
        <w:rPr>
          <w:rFonts w:ascii="Times New Roman" w:hAnsi="Times New Roman" w:cs="Times New Roman"/>
          <w:sz w:val="24"/>
          <w:szCs w:val="24"/>
        </w:rPr>
        <w:t>)</w:t>
      </w:r>
      <w:r w:rsidR="00FC5552" w:rsidRPr="00345388">
        <w:rPr>
          <w:rFonts w:ascii="Times New Roman" w:hAnsi="Times New Roman" w:cs="Times New Roman"/>
          <w:sz w:val="24"/>
          <w:szCs w:val="24"/>
        </w:rPr>
        <w:t xml:space="preserve">. </w:t>
      </w:r>
    </w:p>
    <w:p w14:paraId="52828AC1" w14:textId="2640E02A" w:rsidR="007B016C" w:rsidRPr="00345388" w:rsidRDefault="007B016C" w:rsidP="00EB0B89">
      <w:pPr>
        <w:spacing w:after="0" w:line="480" w:lineRule="auto"/>
        <w:ind w:firstLine="800"/>
        <w:rPr>
          <w:rFonts w:ascii="Times New Roman" w:eastAsia="Malgun Gothic" w:hAnsi="Times New Roman" w:cs="Times New Roman"/>
          <w:sz w:val="24"/>
          <w:szCs w:val="24"/>
        </w:rPr>
      </w:pPr>
      <w:r w:rsidRPr="00345388">
        <w:rPr>
          <w:rFonts w:ascii="Times New Roman" w:hAnsi="Times New Roman" w:cs="Times New Roman"/>
          <w:sz w:val="24"/>
          <w:szCs w:val="24"/>
        </w:rPr>
        <w:t xml:space="preserve">The </w:t>
      </w:r>
      <w:r w:rsidR="00777BD4" w:rsidRPr="00345388">
        <w:rPr>
          <w:rFonts w:ascii="Times New Roman" w:hAnsi="Times New Roman" w:cs="Times New Roman"/>
          <w:sz w:val="24"/>
          <w:szCs w:val="24"/>
        </w:rPr>
        <w:t xml:space="preserve">published </w:t>
      </w:r>
      <w:r w:rsidRPr="00345388">
        <w:rPr>
          <w:rFonts w:ascii="Times New Roman" w:hAnsi="Times New Roman" w:cs="Times New Roman"/>
          <w:sz w:val="24"/>
          <w:szCs w:val="24"/>
        </w:rPr>
        <w:t xml:space="preserve">pharmacokinetics data </w:t>
      </w:r>
      <w:r w:rsidR="00777BD4" w:rsidRPr="00345388">
        <w:rPr>
          <w:rFonts w:ascii="Times New Roman" w:hAnsi="Times New Roman" w:cs="Times New Roman"/>
          <w:sz w:val="24"/>
          <w:szCs w:val="24"/>
        </w:rPr>
        <w:t xml:space="preserve">are </w:t>
      </w:r>
      <w:r w:rsidRPr="00345388">
        <w:rPr>
          <w:rFonts w:ascii="Times New Roman" w:hAnsi="Times New Roman" w:cs="Times New Roman"/>
          <w:sz w:val="24"/>
          <w:szCs w:val="24"/>
        </w:rPr>
        <w:t xml:space="preserve">slightly different </w:t>
      </w:r>
      <w:r w:rsidR="00777BD4" w:rsidRPr="00345388">
        <w:rPr>
          <w:rFonts w:ascii="Times New Roman" w:hAnsi="Times New Roman" w:cs="Times New Roman"/>
          <w:sz w:val="24"/>
          <w:szCs w:val="24"/>
        </w:rPr>
        <w:t>for</w:t>
      </w:r>
      <w:r w:rsidRPr="00345388">
        <w:rPr>
          <w:rFonts w:ascii="Times New Roman" w:hAnsi="Times New Roman" w:cs="Times New Roman"/>
          <w:sz w:val="24"/>
          <w:szCs w:val="24"/>
        </w:rPr>
        <w:t xml:space="preserve"> each NOAC. Apixaban show</w:t>
      </w:r>
      <w:r w:rsidR="00FD3CC5" w:rsidRPr="00345388">
        <w:rPr>
          <w:rFonts w:ascii="Times New Roman" w:hAnsi="Times New Roman" w:cs="Times New Roman"/>
          <w:sz w:val="24"/>
          <w:szCs w:val="24"/>
        </w:rPr>
        <w:t>s</w:t>
      </w:r>
      <w:r w:rsidRPr="00345388">
        <w:rPr>
          <w:rFonts w:ascii="Times New Roman" w:hAnsi="Times New Roman" w:cs="Times New Roman"/>
          <w:sz w:val="24"/>
          <w:szCs w:val="24"/>
        </w:rPr>
        <w:t xml:space="preserve"> </w:t>
      </w:r>
      <w:r w:rsidR="00B31A0B" w:rsidRPr="00345388">
        <w:rPr>
          <w:rFonts w:ascii="Times New Roman" w:hAnsi="Times New Roman" w:cs="Times New Roman"/>
          <w:sz w:val="24"/>
          <w:szCs w:val="24"/>
        </w:rPr>
        <w:t>a 27% and 20%</w:t>
      </w:r>
      <w:r w:rsidRPr="00345388">
        <w:rPr>
          <w:rFonts w:ascii="Times New Roman" w:hAnsi="Times New Roman" w:cs="Times New Roman"/>
          <w:sz w:val="24"/>
          <w:szCs w:val="24"/>
        </w:rPr>
        <w:t xml:space="preserve"> increase of </w:t>
      </w:r>
      <w:r w:rsidR="00B31A0B" w:rsidRPr="00345388">
        <w:rPr>
          <w:rFonts w:ascii="Times New Roman" w:hAnsi="Times New Roman" w:cs="Times New Roman"/>
          <w:sz w:val="24"/>
          <w:szCs w:val="24"/>
        </w:rPr>
        <w:t>mean maximal plasma concentration (C</w:t>
      </w:r>
      <w:r w:rsidR="00B31A0B" w:rsidRPr="00345388">
        <w:rPr>
          <w:rFonts w:ascii="Times New Roman" w:hAnsi="Times New Roman" w:cs="Times New Roman"/>
          <w:sz w:val="24"/>
          <w:szCs w:val="24"/>
          <w:vertAlign w:val="subscript"/>
        </w:rPr>
        <w:t>max</w:t>
      </w:r>
      <w:r w:rsidR="00B31A0B" w:rsidRPr="00345388">
        <w:rPr>
          <w:rFonts w:ascii="Times New Roman" w:hAnsi="Times New Roman" w:cs="Times New Roman"/>
          <w:sz w:val="24"/>
          <w:szCs w:val="24"/>
        </w:rPr>
        <w:t>) and the area under the curve (AUC)</w:t>
      </w:r>
      <w:r w:rsidR="00FD3CC5" w:rsidRPr="00345388">
        <w:rPr>
          <w:rFonts w:ascii="Times New Roman" w:hAnsi="Times New Roman" w:cs="Times New Roman"/>
          <w:sz w:val="24"/>
          <w:szCs w:val="24"/>
        </w:rPr>
        <w:t>, respectively,</w:t>
      </w:r>
      <w:r w:rsidR="00B31A0B" w:rsidRPr="00345388">
        <w:rPr>
          <w:rFonts w:ascii="Times New Roman" w:hAnsi="Times New Roman" w:cs="Times New Roman"/>
          <w:sz w:val="24"/>
          <w:szCs w:val="24"/>
        </w:rPr>
        <w:t xml:space="preserve"> in patients </w:t>
      </w:r>
      <w:r w:rsidR="00DD1881" w:rsidRPr="00345388">
        <w:rPr>
          <w:rFonts w:ascii="Times New Roman" w:hAnsi="Times New Roman" w:cs="Times New Roman"/>
          <w:sz w:val="24"/>
          <w:szCs w:val="24"/>
        </w:rPr>
        <w:t>weighing &lt;</w:t>
      </w:r>
      <w:r w:rsidR="00B31A0B" w:rsidRPr="00345388">
        <w:rPr>
          <w:rFonts w:ascii="Times New Roman" w:hAnsi="Times New Roman" w:cs="Times New Roman"/>
          <w:sz w:val="24"/>
          <w:szCs w:val="24"/>
        </w:rPr>
        <w:t>50</w:t>
      </w:r>
      <w:r w:rsidR="004C703B" w:rsidRPr="00345388">
        <w:rPr>
          <w:rFonts w:ascii="Times New Roman" w:hAnsi="Times New Roman" w:cs="Times New Roman"/>
          <w:sz w:val="24"/>
          <w:szCs w:val="24"/>
        </w:rPr>
        <w:t xml:space="preserve"> </w:t>
      </w:r>
      <w:r w:rsidR="00B31A0B" w:rsidRPr="00345388">
        <w:rPr>
          <w:rFonts w:ascii="Times New Roman" w:hAnsi="Times New Roman" w:cs="Times New Roman"/>
          <w:sz w:val="24"/>
          <w:szCs w:val="24"/>
        </w:rPr>
        <w:lastRenderedPageBreak/>
        <w:t xml:space="preserve">kg compared </w:t>
      </w:r>
      <w:r w:rsidR="00DD1881" w:rsidRPr="00345388">
        <w:rPr>
          <w:rFonts w:ascii="Times New Roman" w:hAnsi="Times New Roman" w:cs="Times New Roman"/>
          <w:sz w:val="24"/>
          <w:szCs w:val="24"/>
        </w:rPr>
        <w:t xml:space="preserve">to those </w:t>
      </w:r>
      <w:r w:rsidR="00B31A0B" w:rsidRPr="00345388">
        <w:rPr>
          <w:rFonts w:ascii="Times New Roman" w:hAnsi="Times New Roman" w:cs="Times New Roman"/>
          <w:sz w:val="24"/>
          <w:szCs w:val="24"/>
        </w:rPr>
        <w:t xml:space="preserve">with normal body weight </w:t>
      </w:r>
      <w:r w:rsidR="00EE72AB" w:rsidRPr="00345388">
        <w:rPr>
          <w:rFonts w:ascii="Times New Roman" w:hAnsi="Times New Roman" w:cs="Times New Roman"/>
          <w:sz w:val="24"/>
          <w:szCs w:val="24"/>
        </w:rPr>
        <w:t>(</w:t>
      </w:r>
      <w:r w:rsidR="003C3042" w:rsidRPr="00345388">
        <w:rPr>
          <w:rFonts w:ascii="Times New Roman" w:hAnsi="Times New Roman" w:cs="Times New Roman"/>
          <w:sz w:val="24"/>
          <w:szCs w:val="24"/>
        </w:rPr>
        <w:t>19</w:t>
      </w:r>
      <w:r w:rsidR="00EE72AB" w:rsidRPr="00345388">
        <w:rPr>
          <w:rFonts w:ascii="Times New Roman" w:hAnsi="Times New Roman" w:cs="Times New Roman"/>
          <w:sz w:val="24"/>
          <w:szCs w:val="24"/>
        </w:rPr>
        <w:t>)</w:t>
      </w:r>
      <w:r w:rsidRPr="00345388">
        <w:rPr>
          <w:rFonts w:ascii="Times New Roman" w:hAnsi="Times New Roman" w:cs="Times New Roman"/>
          <w:sz w:val="24"/>
          <w:szCs w:val="24"/>
        </w:rPr>
        <w:t>.</w:t>
      </w:r>
      <w:r w:rsidR="00B31A0B" w:rsidRPr="00345388">
        <w:rPr>
          <w:rFonts w:ascii="Times New Roman" w:hAnsi="Times New Roman" w:cs="Times New Roman"/>
          <w:sz w:val="24"/>
          <w:szCs w:val="24"/>
        </w:rPr>
        <w:t xml:space="preserve"> The effect of low body weight on apixaban exposure </w:t>
      </w:r>
      <w:r w:rsidR="00FD3CC5" w:rsidRPr="00345388">
        <w:rPr>
          <w:rFonts w:ascii="Times New Roman" w:hAnsi="Times New Roman" w:cs="Times New Roman"/>
          <w:sz w:val="24"/>
          <w:szCs w:val="24"/>
        </w:rPr>
        <w:t xml:space="preserve">is </w:t>
      </w:r>
      <w:r w:rsidR="00B31A0B" w:rsidRPr="00345388">
        <w:rPr>
          <w:rFonts w:ascii="Times New Roman" w:hAnsi="Times New Roman" w:cs="Times New Roman"/>
          <w:sz w:val="24"/>
          <w:szCs w:val="24"/>
        </w:rPr>
        <w:t>estimated as modest</w:t>
      </w:r>
      <w:r w:rsidR="00DD1881" w:rsidRPr="00345388">
        <w:rPr>
          <w:rFonts w:ascii="Times New Roman" w:hAnsi="Times New Roman" w:cs="Times New Roman"/>
          <w:sz w:val="24"/>
          <w:szCs w:val="24"/>
        </w:rPr>
        <w:t>,</w:t>
      </w:r>
      <w:r w:rsidR="00B31A0B" w:rsidRPr="00345388">
        <w:rPr>
          <w:rFonts w:ascii="Times New Roman" w:hAnsi="Times New Roman" w:cs="Times New Roman"/>
          <w:sz w:val="24"/>
          <w:szCs w:val="24"/>
        </w:rPr>
        <w:t xml:space="preserve"> and low body weight alone </w:t>
      </w:r>
      <w:r w:rsidR="00FD3CC5" w:rsidRPr="00345388">
        <w:rPr>
          <w:rFonts w:ascii="Times New Roman" w:hAnsi="Times New Roman" w:cs="Times New Roman"/>
          <w:sz w:val="24"/>
          <w:szCs w:val="24"/>
        </w:rPr>
        <w:t xml:space="preserve">does </w:t>
      </w:r>
      <w:r w:rsidR="00B31A0B" w:rsidRPr="00345388">
        <w:rPr>
          <w:rFonts w:ascii="Times New Roman" w:hAnsi="Times New Roman" w:cs="Times New Roman"/>
          <w:sz w:val="24"/>
          <w:szCs w:val="24"/>
        </w:rPr>
        <w:t xml:space="preserve">not </w:t>
      </w:r>
      <w:r w:rsidR="00777BD4" w:rsidRPr="00345388">
        <w:rPr>
          <w:rFonts w:ascii="Times New Roman" w:hAnsi="Times New Roman" w:cs="Times New Roman"/>
          <w:sz w:val="24"/>
          <w:szCs w:val="24"/>
        </w:rPr>
        <w:t xml:space="preserve">suffice </w:t>
      </w:r>
      <w:r w:rsidR="00B31A0B" w:rsidRPr="00345388">
        <w:rPr>
          <w:rFonts w:ascii="Times New Roman" w:hAnsi="Times New Roman" w:cs="Times New Roman"/>
          <w:sz w:val="24"/>
          <w:szCs w:val="24"/>
        </w:rPr>
        <w:t>for dose reduction</w:t>
      </w:r>
      <w:r w:rsidR="00EE72AB" w:rsidRPr="00345388">
        <w:rPr>
          <w:rFonts w:ascii="Times New Roman" w:hAnsi="Times New Roman" w:cs="Times New Roman"/>
          <w:sz w:val="24"/>
          <w:szCs w:val="24"/>
        </w:rPr>
        <w:t xml:space="preserve"> (</w:t>
      </w:r>
      <w:r w:rsidR="003C3042" w:rsidRPr="00345388">
        <w:rPr>
          <w:rFonts w:ascii="Times New Roman" w:hAnsi="Times New Roman" w:cs="Times New Roman"/>
          <w:sz w:val="24"/>
          <w:szCs w:val="24"/>
        </w:rPr>
        <w:t>16</w:t>
      </w:r>
      <w:r w:rsidR="00EE72AB" w:rsidRPr="00345388">
        <w:rPr>
          <w:rFonts w:ascii="Times New Roman" w:hAnsi="Times New Roman" w:cs="Times New Roman"/>
          <w:sz w:val="24"/>
          <w:szCs w:val="24"/>
        </w:rPr>
        <w:t>)</w:t>
      </w:r>
      <w:r w:rsidR="00B31A0B" w:rsidRPr="00345388">
        <w:rPr>
          <w:rFonts w:ascii="Times New Roman" w:hAnsi="Times New Roman" w:cs="Times New Roman"/>
          <w:sz w:val="24"/>
          <w:szCs w:val="24"/>
        </w:rPr>
        <w:t xml:space="preserve">. </w:t>
      </w:r>
      <w:r w:rsidR="00777BD4" w:rsidRPr="00345388">
        <w:rPr>
          <w:rFonts w:ascii="Times New Roman" w:hAnsi="Times New Roman" w:cs="Times New Roman"/>
          <w:sz w:val="24"/>
          <w:szCs w:val="24"/>
        </w:rPr>
        <w:t>Thus</w:t>
      </w:r>
      <w:r w:rsidR="00D96588" w:rsidRPr="00345388">
        <w:rPr>
          <w:rFonts w:ascii="Times New Roman" w:hAnsi="Times New Roman" w:cs="Times New Roman"/>
          <w:sz w:val="24"/>
          <w:szCs w:val="24"/>
        </w:rPr>
        <w:t xml:space="preserve">, apixaban 5 mg twice daily </w:t>
      </w:r>
      <w:r w:rsidR="00B86195" w:rsidRPr="00345388">
        <w:rPr>
          <w:rFonts w:ascii="Times New Roman" w:hAnsi="Times New Roman" w:cs="Times New Roman"/>
          <w:sz w:val="24"/>
          <w:szCs w:val="24"/>
        </w:rPr>
        <w:t>is recommended f</w:t>
      </w:r>
      <w:r w:rsidR="00D96588" w:rsidRPr="00345388">
        <w:rPr>
          <w:rFonts w:ascii="Times New Roman" w:hAnsi="Times New Roman" w:cs="Times New Roman"/>
          <w:sz w:val="24"/>
          <w:szCs w:val="24"/>
        </w:rPr>
        <w:t xml:space="preserve">or patients with isolated body weight </w:t>
      </w:r>
      <w:r w:rsidR="006D4B75" w:rsidRPr="00345388">
        <w:rPr>
          <w:rFonts w:ascii="Times New Roman" w:eastAsia="Malgun Gothic" w:hAnsi="Times New Roman" w:cs="Times New Roman"/>
          <w:sz w:val="24"/>
          <w:szCs w:val="24"/>
        </w:rPr>
        <w:t xml:space="preserve">≤60 kg, and </w:t>
      </w:r>
      <w:r w:rsidR="00B86195" w:rsidRPr="00345388">
        <w:rPr>
          <w:rFonts w:ascii="Times New Roman" w:eastAsia="Malgun Gothic" w:hAnsi="Times New Roman" w:cs="Times New Roman"/>
          <w:sz w:val="24"/>
          <w:szCs w:val="24"/>
        </w:rPr>
        <w:t xml:space="preserve">reduced dose </w:t>
      </w:r>
      <w:r w:rsidR="002A1B5C" w:rsidRPr="00345388">
        <w:rPr>
          <w:rFonts w:ascii="Times New Roman" w:eastAsia="Malgun Gothic" w:hAnsi="Times New Roman" w:cs="Times New Roman"/>
          <w:sz w:val="24"/>
          <w:szCs w:val="24"/>
        </w:rPr>
        <w:t>if</w:t>
      </w:r>
      <w:r w:rsidR="00B86195" w:rsidRPr="00345388">
        <w:rPr>
          <w:rFonts w:ascii="Times New Roman" w:eastAsia="Malgun Gothic" w:hAnsi="Times New Roman" w:cs="Times New Roman"/>
          <w:sz w:val="24"/>
          <w:szCs w:val="24"/>
        </w:rPr>
        <w:t xml:space="preserve"> </w:t>
      </w:r>
      <w:r w:rsidR="006D4B75" w:rsidRPr="00345388">
        <w:rPr>
          <w:rFonts w:ascii="Times New Roman" w:eastAsia="Malgun Gothic" w:hAnsi="Times New Roman" w:cs="Times New Roman"/>
          <w:sz w:val="24"/>
          <w:szCs w:val="24"/>
        </w:rPr>
        <w:t xml:space="preserve">patients </w:t>
      </w:r>
      <w:r w:rsidR="00FD3CC5" w:rsidRPr="00345388">
        <w:rPr>
          <w:rFonts w:ascii="Times New Roman" w:eastAsia="Malgun Gothic" w:hAnsi="Times New Roman" w:cs="Times New Roman"/>
          <w:sz w:val="24"/>
          <w:szCs w:val="24"/>
        </w:rPr>
        <w:t xml:space="preserve">are </w:t>
      </w:r>
      <w:r w:rsidR="002A1B5C" w:rsidRPr="00345388">
        <w:rPr>
          <w:rFonts w:ascii="Times New Roman" w:eastAsia="Malgun Gothic" w:hAnsi="Times New Roman" w:cs="Times New Roman"/>
          <w:sz w:val="24"/>
          <w:szCs w:val="24"/>
        </w:rPr>
        <w:t xml:space="preserve">also </w:t>
      </w:r>
      <w:r w:rsidR="006D4B75" w:rsidRPr="00345388">
        <w:rPr>
          <w:rFonts w:ascii="Times New Roman" w:eastAsia="Malgun Gothic" w:hAnsi="Times New Roman" w:cs="Times New Roman"/>
          <w:sz w:val="24"/>
          <w:szCs w:val="24"/>
        </w:rPr>
        <w:t xml:space="preserve">≥80 years </w:t>
      </w:r>
      <w:r w:rsidR="00DD1881" w:rsidRPr="00345388">
        <w:rPr>
          <w:rFonts w:ascii="Times New Roman" w:eastAsia="Malgun Gothic" w:hAnsi="Times New Roman" w:cs="Times New Roman"/>
          <w:sz w:val="24"/>
          <w:szCs w:val="24"/>
        </w:rPr>
        <w:t xml:space="preserve">old </w:t>
      </w:r>
      <w:r w:rsidR="002A1B5C" w:rsidRPr="00345388">
        <w:rPr>
          <w:rFonts w:ascii="Times New Roman" w:eastAsia="Malgun Gothic" w:hAnsi="Times New Roman" w:cs="Times New Roman"/>
          <w:sz w:val="24"/>
          <w:szCs w:val="24"/>
        </w:rPr>
        <w:t xml:space="preserve">and/or </w:t>
      </w:r>
      <w:r w:rsidR="00FD3CC5" w:rsidRPr="00345388">
        <w:rPr>
          <w:rFonts w:ascii="Times New Roman" w:eastAsia="Malgun Gothic" w:hAnsi="Times New Roman" w:cs="Times New Roman"/>
          <w:sz w:val="24"/>
          <w:szCs w:val="24"/>
        </w:rPr>
        <w:t xml:space="preserve">have </w:t>
      </w:r>
      <w:r w:rsidR="006D4B75" w:rsidRPr="00345388">
        <w:rPr>
          <w:rFonts w:ascii="Times New Roman" w:eastAsia="Malgun Gothic" w:hAnsi="Times New Roman" w:cs="Times New Roman"/>
          <w:sz w:val="24"/>
          <w:szCs w:val="24"/>
        </w:rPr>
        <w:t>serum creatinine</w:t>
      </w:r>
      <w:r w:rsidR="00DD1881" w:rsidRPr="00345388">
        <w:rPr>
          <w:rFonts w:ascii="Times New Roman" w:eastAsia="Malgun Gothic" w:hAnsi="Times New Roman" w:cs="Times New Roman"/>
          <w:sz w:val="24"/>
          <w:szCs w:val="24"/>
        </w:rPr>
        <w:t xml:space="preserve"> </w:t>
      </w:r>
      <w:r w:rsidR="006D4B75" w:rsidRPr="00345388">
        <w:rPr>
          <w:rFonts w:ascii="Times New Roman" w:eastAsia="Malgun Gothic" w:hAnsi="Times New Roman" w:cs="Times New Roman"/>
          <w:sz w:val="24"/>
          <w:szCs w:val="24"/>
        </w:rPr>
        <w:t>≥1.5 mg/dL</w:t>
      </w:r>
      <w:r w:rsidR="00EE72AB" w:rsidRPr="00345388">
        <w:rPr>
          <w:rFonts w:ascii="Times New Roman" w:eastAsia="Malgun Gothic" w:hAnsi="Times New Roman" w:cs="Times New Roman"/>
          <w:sz w:val="24"/>
          <w:szCs w:val="24"/>
        </w:rPr>
        <w:t xml:space="preserve"> (1</w:t>
      </w:r>
      <w:r w:rsidR="003C3042" w:rsidRPr="00345388">
        <w:rPr>
          <w:rFonts w:ascii="Times New Roman" w:eastAsia="Malgun Gothic" w:hAnsi="Times New Roman" w:cs="Times New Roman"/>
          <w:sz w:val="24"/>
          <w:szCs w:val="24"/>
        </w:rPr>
        <w:t>6</w:t>
      </w:r>
      <w:r w:rsidR="00EE72AB" w:rsidRPr="00345388">
        <w:rPr>
          <w:rFonts w:ascii="Times New Roman" w:eastAsia="Malgun Gothic" w:hAnsi="Times New Roman" w:cs="Times New Roman"/>
          <w:sz w:val="24"/>
          <w:szCs w:val="24"/>
        </w:rPr>
        <w:t>,2</w:t>
      </w:r>
      <w:r w:rsidR="003C3042" w:rsidRPr="00345388">
        <w:rPr>
          <w:rFonts w:ascii="Times New Roman" w:eastAsia="Malgun Gothic" w:hAnsi="Times New Roman" w:cs="Times New Roman"/>
          <w:sz w:val="24"/>
          <w:szCs w:val="24"/>
        </w:rPr>
        <w:t>8</w:t>
      </w:r>
      <w:r w:rsidR="00EE72AB" w:rsidRPr="00345388">
        <w:rPr>
          <w:rFonts w:ascii="Times New Roman" w:eastAsia="Malgun Gothic" w:hAnsi="Times New Roman" w:cs="Times New Roman"/>
          <w:sz w:val="24"/>
          <w:szCs w:val="24"/>
        </w:rPr>
        <w:t>)</w:t>
      </w:r>
      <w:r w:rsidR="006D4B75" w:rsidRPr="00345388">
        <w:rPr>
          <w:rFonts w:ascii="Times New Roman" w:eastAsia="Malgun Gothic" w:hAnsi="Times New Roman" w:cs="Times New Roman"/>
          <w:sz w:val="24"/>
          <w:szCs w:val="24"/>
        </w:rPr>
        <w:t xml:space="preserve">. </w:t>
      </w:r>
      <w:r w:rsidR="00B351C3" w:rsidRPr="00345388">
        <w:rPr>
          <w:rFonts w:ascii="Times New Roman" w:eastAsia="Malgun Gothic" w:hAnsi="Times New Roman" w:cs="Times New Roman"/>
          <w:sz w:val="24"/>
          <w:szCs w:val="24"/>
        </w:rPr>
        <w:t>Edoxaban C</w:t>
      </w:r>
      <w:r w:rsidR="00B351C3" w:rsidRPr="00345388">
        <w:rPr>
          <w:rFonts w:ascii="Times New Roman" w:eastAsia="Malgun Gothic" w:hAnsi="Times New Roman" w:cs="Times New Roman"/>
          <w:sz w:val="24"/>
          <w:szCs w:val="24"/>
          <w:vertAlign w:val="subscript"/>
        </w:rPr>
        <w:t>max</w:t>
      </w:r>
      <w:r w:rsidR="00B351C3" w:rsidRPr="00345388">
        <w:rPr>
          <w:rFonts w:ascii="Times New Roman" w:eastAsia="Malgun Gothic" w:hAnsi="Times New Roman" w:cs="Times New Roman"/>
          <w:sz w:val="24"/>
          <w:szCs w:val="24"/>
        </w:rPr>
        <w:t xml:space="preserve"> </w:t>
      </w:r>
      <w:r w:rsidR="00FD3CC5" w:rsidRPr="00345388">
        <w:rPr>
          <w:rFonts w:ascii="Times New Roman" w:eastAsia="Malgun Gothic" w:hAnsi="Times New Roman" w:cs="Times New Roman"/>
          <w:sz w:val="24"/>
          <w:szCs w:val="24"/>
        </w:rPr>
        <w:t>increases</w:t>
      </w:r>
      <w:r w:rsidR="00EB4D2A" w:rsidRPr="00345388">
        <w:rPr>
          <w:rFonts w:ascii="Times New Roman" w:eastAsia="Malgun Gothic" w:hAnsi="Times New Roman" w:cs="Times New Roman"/>
          <w:sz w:val="24"/>
          <w:szCs w:val="24"/>
        </w:rPr>
        <w:t xml:space="preserve"> </w:t>
      </w:r>
      <w:r w:rsidR="00593BB4" w:rsidRPr="00345388">
        <w:rPr>
          <w:rFonts w:ascii="Times New Roman" w:eastAsia="Malgun Gothic" w:hAnsi="Times New Roman" w:cs="Times New Roman"/>
          <w:sz w:val="24"/>
          <w:szCs w:val="24"/>
        </w:rPr>
        <w:t xml:space="preserve">approximately 40% in patients </w:t>
      </w:r>
      <w:r w:rsidR="00EB4D2A" w:rsidRPr="00345388">
        <w:rPr>
          <w:rFonts w:ascii="Times New Roman" w:eastAsia="Malgun Gothic" w:hAnsi="Times New Roman" w:cs="Times New Roman"/>
          <w:sz w:val="24"/>
          <w:szCs w:val="24"/>
        </w:rPr>
        <w:t>&lt;</w:t>
      </w:r>
      <w:r w:rsidR="00593BB4" w:rsidRPr="00345388">
        <w:rPr>
          <w:rFonts w:ascii="Times New Roman" w:eastAsia="Malgun Gothic" w:hAnsi="Times New Roman" w:cs="Times New Roman"/>
          <w:sz w:val="24"/>
          <w:szCs w:val="24"/>
        </w:rPr>
        <w:t>60 kg</w:t>
      </w:r>
      <w:r w:rsidR="00EE72AB" w:rsidRPr="00345388">
        <w:rPr>
          <w:rFonts w:ascii="Times New Roman" w:eastAsia="Malgun Gothic" w:hAnsi="Times New Roman" w:cs="Times New Roman"/>
          <w:sz w:val="24"/>
          <w:szCs w:val="24"/>
        </w:rPr>
        <w:t xml:space="preserve"> (2</w:t>
      </w:r>
      <w:r w:rsidR="003C3042" w:rsidRPr="00345388">
        <w:rPr>
          <w:rFonts w:ascii="Times New Roman" w:eastAsia="Malgun Gothic" w:hAnsi="Times New Roman" w:cs="Times New Roman"/>
          <w:sz w:val="24"/>
          <w:szCs w:val="24"/>
        </w:rPr>
        <w:t>9</w:t>
      </w:r>
      <w:r w:rsidR="00EE72AB" w:rsidRPr="00345388">
        <w:rPr>
          <w:rFonts w:ascii="Times New Roman" w:eastAsia="Malgun Gothic" w:hAnsi="Times New Roman" w:cs="Times New Roman"/>
          <w:sz w:val="24"/>
          <w:szCs w:val="24"/>
        </w:rPr>
        <w:t>)</w:t>
      </w:r>
      <w:r w:rsidR="00EB4D2A" w:rsidRPr="00345388">
        <w:rPr>
          <w:rFonts w:ascii="Times New Roman" w:eastAsia="Malgun Gothic" w:hAnsi="Times New Roman" w:cs="Times New Roman"/>
          <w:sz w:val="24"/>
          <w:szCs w:val="24"/>
        </w:rPr>
        <w:t>,</w:t>
      </w:r>
      <w:r w:rsidR="00593BB4" w:rsidRPr="00345388">
        <w:rPr>
          <w:rFonts w:ascii="Times New Roman" w:eastAsia="Malgun Gothic" w:hAnsi="Times New Roman" w:cs="Times New Roman"/>
          <w:sz w:val="24"/>
          <w:szCs w:val="24"/>
        </w:rPr>
        <w:t xml:space="preserve"> and</w:t>
      </w:r>
      <w:r w:rsidR="00EB4D2A" w:rsidRPr="00345388">
        <w:rPr>
          <w:rFonts w:ascii="Times New Roman" w:eastAsia="Malgun Gothic" w:hAnsi="Times New Roman" w:cs="Times New Roman"/>
          <w:sz w:val="24"/>
          <w:szCs w:val="24"/>
        </w:rPr>
        <w:t xml:space="preserve"> a</w:t>
      </w:r>
      <w:r w:rsidR="00593BB4" w:rsidRPr="00345388">
        <w:rPr>
          <w:rFonts w:ascii="Times New Roman" w:eastAsia="Malgun Gothic" w:hAnsi="Times New Roman" w:cs="Times New Roman"/>
          <w:sz w:val="24"/>
          <w:szCs w:val="24"/>
        </w:rPr>
        <w:t xml:space="preserve"> 50% dose reduction </w:t>
      </w:r>
      <w:r w:rsidR="00FD3CC5" w:rsidRPr="00345388">
        <w:rPr>
          <w:rFonts w:ascii="Times New Roman" w:eastAsia="Malgun Gothic" w:hAnsi="Times New Roman" w:cs="Times New Roman"/>
          <w:sz w:val="24"/>
          <w:szCs w:val="24"/>
        </w:rPr>
        <w:t xml:space="preserve">is </w:t>
      </w:r>
      <w:r w:rsidR="00593BB4" w:rsidRPr="00345388">
        <w:rPr>
          <w:rFonts w:ascii="Times New Roman" w:eastAsia="Malgun Gothic" w:hAnsi="Times New Roman" w:cs="Times New Roman"/>
          <w:sz w:val="24"/>
          <w:szCs w:val="24"/>
        </w:rPr>
        <w:t xml:space="preserve">recommended in </w:t>
      </w:r>
      <w:r w:rsidR="00EB4D2A" w:rsidRPr="00345388">
        <w:rPr>
          <w:rFonts w:ascii="Times New Roman" w:eastAsia="Malgun Gothic" w:hAnsi="Times New Roman" w:cs="Times New Roman"/>
          <w:sz w:val="24"/>
          <w:szCs w:val="24"/>
        </w:rPr>
        <w:t xml:space="preserve">this </w:t>
      </w:r>
      <w:r w:rsidR="00593BB4" w:rsidRPr="00345388">
        <w:rPr>
          <w:rFonts w:ascii="Times New Roman" w:eastAsia="Malgun Gothic" w:hAnsi="Times New Roman" w:cs="Times New Roman"/>
          <w:sz w:val="24"/>
          <w:szCs w:val="24"/>
        </w:rPr>
        <w:t>population</w:t>
      </w:r>
      <w:r w:rsidR="00EE72AB" w:rsidRPr="00345388">
        <w:rPr>
          <w:rFonts w:ascii="Times New Roman" w:eastAsia="Malgun Gothic" w:hAnsi="Times New Roman" w:cs="Times New Roman"/>
          <w:sz w:val="24"/>
          <w:szCs w:val="24"/>
        </w:rPr>
        <w:t xml:space="preserve"> (1</w:t>
      </w:r>
      <w:r w:rsidR="003C3042" w:rsidRPr="00345388">
        <w:rPr>
          <w:rFonts w:ascii="Times New Roman" w:eastAsia="Malgun Gothic" w:hAnsi="Times New Roman" w:cs="Times New Roman"/>
          <w:sz w:val="24"/>
          <w:szCs w:val="24"/>
        </w:rPr>
        <w:t>7</w:t>
      </w:r>
      <w:r w:rsidR="00EE72AB" w:rsidRPr="00345388">
        <w:rPr>
          <w:rFonts w:ascii="Times New Roman" w:eastAsia="Malgun Gothic" w:hAnsi="Times New Roman" w:cs="Times New Roman"/>
          <w:sz w:val="24"/>
          <w:szCs w:val="24"/>
        </w:rPr>
        <w:t>)</w:t>
      </w:r>
      <w:r w:rsidR="00B351C3" w:rsidRPr="00345388">
        <w:rPr>
          <w:rFonts w:ascii="Times New Roman" w:eastAsia="Malgun Gothic" w:hAnsi="Times New Roman" w:cs="Times New Roman"/>
          <w:sz w:val="24"/>
          <w:szCs w:val="24"/>
        </w:rPr>
        <w:t>.</w:t>
      </w:r>
      <w:r w:rsidR="00593BB4" w:rsidRPr="00345388">
        <w:rPr>
          <w:rFonts w:ascii="Times New Roman" w:eastAsia="Malgun Gothic" w:hAnsi="Times New Roman" w:cs="Times New Roman"/>
          <w:sz w:val="24"/>
          <w:szCs w:val="24"/>
        </w:rPr>
        <w:t xml:space="preserve"> </w:t>
      </w:r>
      <w:r w:rsidR="00EB4D2A" w:rsidRPr="00345388">
        <w:rPr>
          <w:rFonts w:ascii="Times New Roman" w:eastAsia="Malgun Gothic" w:hAnsi="Times New Roman" w:cs="Times New Roman"/>
          <w:sz w:val="24"/>
          <w:szCs w:val="24"/>
        </w:rPr>
        <w:t>A</w:t>
      </w:r>
      <w:r w:rsidR="00C749DA" w:rsidRPr="00345388">
        <w:rPr>
          <w:rFonts w:ascii="Times New Roman" w:eastAsia="Malgun Gothic" w:hAnsi="Times New Roman" w:cs="Times New Roman"/>
          <w:sz w:val="24"/>
          <w:szCs w:val="24"/>
        </w:rPr>
        <w:t>lthough dabigatran concentration show</w:t>
      </w:r>
      <w:r w:rsidR="00FD3CC5" w:rsidRPr="00345388">
        <w:rPr>
          <w:rFonts w:ascii="Times New Roman" w:eastAsia="Malgun Gothic" w:hAnsi="Times New Roman" w:cs="Times New Roman"/>
          <w:sz w:val="24"/>
          <w:szCs w:val="24"/>
        </w:rPr>
        <w:t>s</w:t>
      </w:r>
      <w:r w:rsidR="00C749DA" w:rsidRPr="00345388">
        <w:rPr>
          <w:rFonts w:ascii="Times New Roman" w:eastAsia="Malgun Gothic" w:hAnsi="Times New Roman" w:cs="Times New Roman"/>
          <w:sz w:val="24"/>
          <w:szCs w:val="24"/>
        </w:rPr>
        <w:t xml:space="preserve"> a 21% increase in patients </w:t>
      </w:r>
      <w:r w:rsidR="00A03A5C" w:rsidRPr="00345388">
        <w:rPr>
          <w:rFonts w:ascii="Times New Roman" w:eastAsia="Malgun Gothic" w:hAnsi="Times New Roman" w:cs="Times New Roman"/>
          <w:sz w:val="24"/>
          <w:szCs w:val="24"/>
        </w:rPr>
        <w:t xml:space="preserve">weighing </w:t>
      </w:r>
      <w:r w:rsidR="00EB4D2A" w:rsidRPr="00345388">
        <w:rPr>
          <w:rFonts w:ascii="Times New Roman" w:eastAsia="Malgun Gothic" w:hAnsi="Times New Roman" w:cs="Times New Roman"/>
          <w:sz w:val="24"/>
          <w:szCs w:val="24"/>
        </w:rPr>
        <w:t>&lt;</w:t>
      </w:r>
      <w:r w:rsidR="00C749DA" w:rsidRPr="00345388">
        <w:rPr>
          <w:rFonts w:ascii="Times New Roman" w:eastAsia="Malgun Gothic" w:hAnsi="Times New Roman" w:cs="Times New Roman"/>
          <w:sz w:val="24"/>
          <w:szCs w:val="24"/>
        </w:rPr>
        <w:t>50</w:t>
      </w:r>
      <w:r w:rsidR="004C703B" w:rsidRPr="00345388">
        <w:rPr>
          <w:rFonts w:ascii="Times New Roman" w:eastAsia="Malgun Gothic" w:hAnsi="Times New Roman" w:cs="Times New Roman"/>
          <w:sz w:val="24"/>
          <w:szCs w:val="24"/>
        </w:rPr>
        <w:t xml:space="preserve"> </w:t>
      </w:r>
      <w:r w:rsidR="00C749DA" w:rsidRPr="00345388">
        <w:rPr>
          <w:rFonts w:ascii="Times New Roman" w:eastAsia="Malgun Gothic" w:hAnsi="Times New Roman" w:cs="Times New Roman"/>
          <w:sz w:val="24"/>
          <w:szCs w:val="24"/>
        </w:rPr>
        <w:t xml:space="preserve">kg compared </w:t>
      </w:r>
      <w:r w:rsidR="001B21A9" w:rsidRPr="00345388">
        <w:rPr>
          <w:rFonts w:ascii="Times New Roman" w:eastAsia="Malgun Gothic" w:hAnsi="Times New Roman" w:cs="Times New Roman"/>
          <w:sz w:val="24"/>
          <w:szCs w:val="24"/>
        </w:rPr>
        <w:t xml:space="preserve">to </w:t>
      </w:r>
      <w:r w:rsidR="00EB4D2A" w:rsidRPr="00345388">
        <w:rPr>
          <w:rFonts w:ascii="Times New Roman" w:eastAsia="Malgun Gothic" w:hAnsi="Times New Roman" w:cs="Times New Roman"/>
          <w:sz w:val="24"/>
          <w:szCs w:val="24"/>
        </w:rPr>
        <w:t xml:space="preserve">those of </w:t>
      </w:r>
      <w:r w:rsidR="00C749DA" w:rsidRPr="00345388">
        <w:rPr>
          <w:rFonts w:ascii="Times New Roman" w:eastAsia="Malgun Gothic" w:hAnsi="Times New Roman" w:cs="Times New Roman"/>
          <w:sz w:val="24"/>
          <w:szCs w:val="24"/>
        </w:rPr>
        <w:t xml:space="preserve">normal weight, </w:t>
      </w:r>
      <w:r w:rsidR="00EB4D2A" w:rsidRPr="00345388">
        <w:rPr>
          <w:rFonts w:ascii="Times New Roman" w:eastAsia="Malgun Gothic" w:hAnsi="Times New Roman" w:cs="Times New Roman"/>
          <w:sz w:val="24"/>
          <w:szCs w:val="24"/>
        </w:rPr>
        <w:t xml:space="preserve">pharmacokinetic analysis </w:t>
      </w:r>
      <w:r w:rsidR="001B21A9" w:rsidRPr="00345388">
        <w:rPr>
          <w:rFonts w:ascii="Times New Roman" w:eastAsia="Malgun Gothic" w:hAnsi="Times New Roman" w:cs="Times New Roman"/>
          <w:sz w:val="24"/>
          <w:szCs w:val="24"/>
        </w:rPr>
        <w:t>shows</w:t>
      </w:r>
      <w:r w:rsidR="00EB4D2A" w:rsidRPr="00345388">
        <w:rPr>
          <w:rFonts w:ascii="Times New Roman" w:eastAsia="Malgun Gothic" w:hAnsi="Times New Roman" w:cs="Times New Roman"/>
          <w:sz w:val="24"/>
          <w:szCs w:val="24"/>
        </w:rPr>
        <w:t xml:space="preserve"> that </w:t>
      </w:r>
      <w:r w:rsidR="00C749DA" w:rsidRPr="00345388">
        <w:rPr>
          <w:rFonts w:ascii="Times New Roman" w:eastAsia="Malgun Gothic" w:hAnsi="Times New Roman" w:cs="Times New Roman"/>
          <w:sz w:val="24"/>
          <w:szCs w:val="24"/>
        </w:rPr>
        <w:t xml:space="preserve">renal function </w:t>
      </w:r>
      <w:r w:rsidR="002A1B5C" w:rsidRPr="00345388">
        <w:rPr>
          <w:rFonts w:ascii="Times New Roman" w:eastAsia="Malgun Gothic" w:hAnsi="Times New Roman" w:cs="Times New Roman"/>
          <w:sz w:val="24"/>
          <w:szCs w:val="24"/>
        </w:rPr>
        <w:t>ha</w:t>
      </w:r>
      <w:r w:rsidR="001B21A9" w:rsidRPr="00345388">
        <w:rPr>
          <w:rFonts w:ascii="Times New Roman" w:eastAsia="Malgun Gothic" w:hAnsi="Times New Roman" w:cs="Times New Roman"/>
          <w:sz w:val="24"/>
          <w:szCs w:val="24"/>
        </w:rPr>
        <w:t>s</w:t>
      </w:r>
      <w:r w:rsidR="002A1B5C" w:rsidRPr="00345388">
        <w:rPr>
          <w:rFonts w:ascii="Times New Roman" w:eastAsia="Malgun Gothic" w:hAnsi="Times New Roman" w:cs="Times New Roman"/>
          <w:sz w:val="24"/>
          <w:szCs w:val="24"/>
        </w:rPr>
        <w:t xml:space="preserve"> a </w:t>
      </w:r>
      <w:r w:rsidR="00C749DA" w:rsidRPr="00345388">
        <w:rPr>
          <w:rFonts w:ascii="Times New Roman" w:eastAsia="Malgun Gothic" w:hAnsi="Times New Roman" w:cs="Times New Roman"/>
          <w:sz w:val="24"/>
          <w:szCs w:val="24"/>
        </w:rPr>
        <w:t>stronger effect on drug concentration</w:t>
      </w:r>
      <w:r w:rsidR="002A1B5C" w:rsidRPr="00345388">
        <w:rPr>
          <w:rFonts w:ascii="Times New Roman" w:eastAsia="Malgun Gothic" w:hAnsi="Times New Roman" w:cs="Times New Roman"/>
          <w:sz w:val="24"/>
          <w:szCs w:val="24"/>
        </w:rPr>
        <w:t>s</w:t>
      </w:r>
      <w:r w:rsidR="00EB4D2A" w:rsidRPr="00345388">
        <w:rPr>
          <w:rFonts w:ascii="Times New Roman" w:eastAsia="Malgun Gothic" w:hAnsi="Times New Roman" w:cs="Times New Roman"/>
          <w:sz w:val="24"/>
          <w:szCs w:val="24"/>
        </w:rPr>
        <w:t>,</w:t>
      </w:r>
      <w:r w:rsidR="00C749DA" w:rsidRPr="00345388">
        <w:rPr>
          <w:rFonts w:ascii="Times New Roman" w:eastAsia="Malgun Gothic" w:hAnsi="Times New Roman" w:cs="Times New Roman"/>
          <w:sz w:val="24"/>
          <w:szCs w:val="24"/>
        </w:rPr>
        <w:t xml:space="preserve"> and dose adjustment is only recommended in patients with renal impairment (</w:t>
      </w:r>
      <w:r w:rsidR="002672B3" w:rsidRPr="00345388">
        <w:rPr>
          <w:rFonts w:ascii="Times New Roman" w:eastAsia="Malgun Gothic" w:hAnsi="Times New Roman" w:cs="Times New Roman"/>
          <w:sz w:val="24"/>
          <w:szCs w:val="24"/>
        </w:rPr>
        <w:t>dabigatran 75</w:t>
      </w:r>
      <w:r w:rsidR="00EB4D2A" w:rsidRPr="00345388">
        <w:rPr>
          <w:rFonts w:ascii="Times New Roman" w:eastAsia="Malgun Gothic" w:hAnsi="Times New Roman" w:cs="Times New Roman"/>
          <w:sz w:val="24"/>
          <w:szCs w:val="24"/>
        </w:rPr>
        <w:t xml:space="preserve"> </w:t>
      </w:r>
      <w:r w:rsidR="002672B3" w:rsidRPr="00345388">
        <w:rPr>
          <w:rFonts w:ascii="Times New Roman" w:eastAsia="Malgun Gothic" w:hAnsi="Times New Roman" w:cs="Times New Roman"/>
          <w:sz w:val="24"/>
          <w:szCs w:val="24"/>
        </w:rPr>
        <w:t xml:space="preserve">mg </w:t>
      </w:r>
      <w:r w:rsidR="00EB4D2A" w:rsidRPr="00345388">
        <w:rPr>
          <w:rFonts w:ascii="Times New Roman" w:eastAsia="Malgun Gothic" w:hAnsi="Times New Roman" w:cs="Times New Roman"/>
          <w:sz w:val="24"/>
          <w:szCs w:val="24"/>
        </w:rPr>
        <w:t xml:space="preserve">is </w:t>
      </w:r>
      <w:r w:rsidR="002672B3" w:rsidRPr="00345388">
        <w:rPr>
          <w:rFonts w:ascii="Times New Roman" w:eastAsia="Malgun Gothic" w:hAnsi="Times New Roman" w:cs="Times New Roman"/>
          <w:sz w:val="24"/>
          <w:szCs w:val="24"/>
        </w:rPr>
        <w:t>recommended in</w:t>
      </w:r>
      <w:r w:rsidR="00EB4D2A" w:rsidRPr="00345388">
        <w:rPr>
          <w:rFonts w:ascii="Times New Roman" w:eastAsia="Malgun Gothic" w:hAnsi="Times New Roman" w:cs="Times New Roman"/>
          <w:sz w:val="24"/>
          <w:szCs w:val="24"/>
        </w:rPr>
        <w:t xml:space="preserve"> the</w:t>
      </w:r>
      <w:r w:rsidR="002672B3" w:rsidRPr="00345388">
        <w:rPr>
          <w:rFonts w:ascii="Times New Roman" w:eastAsia="Malgun Gothic" w:hAnsi="Times New Roman" w:cs="Times New Roman"/>
          <w:sz w:val="24"/>
          <w:szCs w:val="24"/>
        </w:rPr>
        <w:t xml:space="preserve"> USA for </w:t>
      </w:r>
      <w:r w:rsidR="00C749DA" w:rsidRPr="00345388">
        <w:rPr>
          <w:rFonts w:ascii="Times New Roman" w:eastAsia="Malgun Gothic" w:hAnsi="Times New Roman" w:cs="Times New Roman"/>
          <w:sz w:val="24"/>
          <w:szCs w:val="24"/>
        </w:rPr>
        <w:t>creatinine clearance &lt;30</w:t>
      </w:r>
      <w:r w:rsidR="00EB4D2A" w:rsidRPr="00345388">
        <w:rPr>
          <w:rFonts w:ascii="Times New Roman" w:eastAsia="Malgun Gothic" w:hAnsi="Times New Roman" w:cs="Times New Roman"/>
          <w:sz w:val="24"/>
          <w:szCs w:val="24"/>
        </w:rPr>
        <w:t xml:space="preserve"> </w:t>
      </w:r>
      <w:r w:rsidR="00C749DA" w:rsidRPr="00345388">
        <w:rPr>
          <w:rFonts w:ascii="Times New Roman" w:eastAsia="Malgun Gothic" w:hAnsi="Times New Roman" w:cs="Times New Roman"/>
          <w:sz w:val="24"/>
          <w:szCs w:val="24"/>
        </w:rPr>
        <w:t>mL/min)</w:t>
      </w:r>
      <w:r w:rsidR="00EE72AB" w:rsidRPr="00345388">
        <w:rPr>
          <w:rFonts w:ascii="Times New Roman" w:eastAsia="Malgun Gothic" w:hAnsi="Times New Roman" w:cs="Times New Roman"/>
          <w:sz w:val="24"/>
          <w:szCs w:val="24"/>
        </w:rPr>
        <w:t xml:space="preserve"> (</w:t>
      </w:r>
      <w:r w:rsidR="003C3042" w:rsidRPr="00345388">
        <w:rPr>
          <w:rFonts w:ascii="Times New Roman" w:eastAsia="Malgun Gothic" w:hAnsi="Times New Roman" w:cs="Times New Roman"/>
          <w:sz w:val="24"/>
          <w:szCs w:val="24"/>
        </w:rPr>
        <w:t>31,31</w:t>
      </w:r>
      <w:r w:rsidR="00EE72AB" w:rsidRPr="00345388">
        <w:rPr>
          <w:rFonts w:ascii="Times New Roman" w:eastAsia="Malgun Gothic" w:hAnsi="Times New Roman" w:cs="Times New Roman"/>
          <w:sz w:val="24"/>
          <w:szCs w:val="24"/>
        </w:rPr>
        <w:t>)</w:t>
      </w:r>
      <w:r w:rsidR="00C749DA" w:rsidRPr="00345388">
        <w:rPr>
          <w:rFonts w:ascii="Times New Roman" w:eastAsia="Malgun Gothic" w:hAnsi="Times New Roman" w:cs="Times New Roman"/>
          <w:sz w:val="24"/>
          <w:szCs w:val="24"/>
        </w:rPr>
        <w:t xml:space="preserve">. Patients </w:t>
      </w:r>
      <w:r w:rsidR="00EB4D2A" w:rsidRPr="00345388">
        <w:rPr>
          <w:rFonts w:ascii="Times New Roman" w:eastAsia="Malgun Gothic" w:hAnsi="Times New Roman" w:cs="Times New Roman"/>
          <w:sz w:val="24"/>
          <w:szCs w:val="24"/>
        </w:rPr>
        <w:t xml:space="preserve">weighing </w:t>
      </w:r>
      <w:r w:rsidR="00C749DA" w:rsidRPr="00345388">
        <w:rPr>
          <w:rFonts w:ascii="Times New Roman" w:eastAsia="Malgun Gothic" w:hAnsi="Times New Roman" w:cs="Times New Roman"/>
          <w:sz w:val="24"/>
          <w:szCs w:val="24"/>
        </w:rPr>
        <w:t xml:space="preserve">&lt;50 kg without renal impairment </w:t>
      </w:r>
      <w:r w:rsidR="001B21A9" w:rsidRPr="00345388">
        <w:rPr>
          <w:rFonts w:ascii="Times New Roman" w:eastAsia="Malgun Gothic" w:hAnsi="Times New Roman" w:cs="Times New Roman"/>
          <w:sz w:val="24"/>
          <w:szCs w:val="24"/>
        </w:rPr>
        <w:t xml:space="preserve">are </w:t>
      </w:r>
      <w:r w:rsidR="00C749DA" w:rsidRPr="00345388">
        <w:rPr>
          <w:rFonts w:ascii="Times New Roman" w:eastAsia="Malgun Gothic" w:hAnsi="Times New Roman" w:cs="Times New Roman"/>
          <w:sz w:val="24"/>
          <w:szCs w:val="24"/>
        </w:rPr>
        <w:t xml:space="preserve">not recommended </w:t>
      </w:r>
      <w:r w:rsidR="00EB4D2A" w:rsidRPr="00345388">
        <w:rPr>
          <w:rFonts w:ascii="Times New Roman" w:eastAsia="Malgun Gothic" w:hAnsi="Times New Roman" w:cs="Times New Roman"/>
          <w:sz w:val="24"/>
          <w:szCs w:val="24"/>
        </w:rPr>
        <w:t xml:space="preserve">to have </w:t>
      </w:r>
      <w:r w:rsidR="00C749DA" w:rsidRPr="00345388">
        <w:rPr>
          <w:rFonts w:ascii="Times New Roman" w:eastAsia="Malgun Gothic" w:hAnsi="Times New Roman" w:cs="Times New Roman"/>
          <w:sz w:val="24"/>
          <w:szCs w:val="24"/>
        </w:rPr>
        <w:t xml:space="preserve">routine dose </w:t>
      </w:r>
      <w:r w:rsidR="000A3E86" w:rsidRPr="00345388">
        <w:rPr>
          <w:rFonts w:ascii="Times New Roman" w:eastAsia="Malgun Gothic" w:hAnsi="Times New Roman" w:cs="Times New Roman"/>
          <w:sz w:val="24"/>
          <w:szCs w:val="24"/>
        </w:rPr>
        <w:t>reduction but</w:t>
      </w:r>
      <w:r w:rsidR="00C749DA" w:rsidRPr="00345388">
        <w:rPr>
          <w:rFonts w:ascii="Times New Roman" w:eastAsia="Malgun Gothic" w:hAnsi="Times New Roman" w:cs="Times New Roman"/>
          <w:sz w:val="24"/>
          <w:szCs w:val="24"/>
        </w:rPr>
        <w:t xml:space="preserve"> need close clinical surveillance</w:t>
      </w:r>
      <w:r w:rsidR="00EE72AB" w:rsidRPr="00345388">
        <w:rPr>
          <w:rFonts w:ascii="Times New Roman" w:eastAsia="Malgun Gothic" w:hAnsi="Times New Roman" w:cs="Times New Roman"/>
          <w:sz w:val="24"/>
          <w:szCs w:val="24"/>
        </w:rPr>
        <w:t xml:space="preserve"> (</w:t>
      </w:r>
      <w:r w:rsidR="003C3042" w:rsidRPr="00345388">
        <w:rPr>
          <w:rFonts w:ascii="Times New Roman" w:eastAsia="Malgun Gothic" w:hAnsi="Times New Roman" w:cs="Times New Roman"/>
          <w:sz w:val="24"/>
          <w:szCs w:val="24"/>
        </w:rPr>
        <w:t>32</w:t>
      </w:r>
      <w:r w:rsidR="00EE72AB" w:rsidRPr="00345388">
        <w:rPr>
          <w:rFonts w:ascii="Times New Roman" w:eastAsia="Malgun Gothic" w:hAnsi="Times New Roman" w:cs="Times New Roman"/>
          <w:sz w:val="24"/>
          <w:szCs w:val="24"/>
        </w:rPr>
        <w:t>)</w:t>
      </w:r>
      <w:r w:rsidR="00C749DA" w:rsidRPr="00345388">
        <w:rPr>
          <w:rFonts w:ascii="Times New Roman" w:eastAsia="Malgun Gothic" w:hAnsi="Times New Roman" w:cs="Times New Roman"/>
          <w:sz w:val="24"/>
          <w:szCs w:val="24"/>
        </w:rPr>
        <w:t xml:space="preserve">. </w:t>
      </w:r>
      <w:r w:rsidR="00593BB4" w:rsidRPr="00345388">
        <w:rPr>
          <w:rFonts w:ascii="Times New Roman" w:eastAsia="Malgun Gothic" w:hAnsi="Times New Roman" w:cs="Times New Roman"/>
          <w:sz w:val="24"/>
          <w:szCs w:val="24"/>
        </w:rPr>
        <w:t xml:space="preserve">According to </w:t>
      </w:r>
      <w:r w:rsidR="001F526B" w:rsidRPr="00345388">
        <w:rPr>
          <w:rFonts w:ascii="Times New Roman" w:eastAsia="Malgun Gothic" w:hAnsi="Times New Roman" w:cs="Times New Roman"/>
          <w:sz w:val="24"/>
          <w:szCs w:val="24"/>
        </w:rPr>
        <w:t xml:space="preserve">the </w:t>
      </w:r>
      <w:r w:rsidR="00593BB4" w:rsidRPr="00345388">
        <w:rPr>
          <w:rFonts w:ascii="Times New Roman" w:eastAsia="Malgun Gothic" w:hAnsi="Times New Roman" w:cs="Times New Roman"/>
          <w:sz w:val="24"/>
          <w:szCs w:val="24"/>
        </w:rPr>
        <w:t xml:space="preserve">pharmacokinetics of rivaroxaban, there </w:t>
      </w:r>
      <w:r w:rsidR="00FD3CC5" w:rsidRPr="00345388">
        <w:rPr>
          <w:rFonts w:ascii="Times New Roman" w:eastAsia="Malgun Gothic" w:hAnsi="Times New Roman" w:cs="Times New Roman"/>
          <w:sz w:val="24"/>
          <w:szCs w:val="24"/>
        </w:rPr>
        <w:t xml:space="preserve">are </w:t>
      </w:r>
      <w:r w:rsidR="00593BB4" w:rsidRPr="00345388">
        <w:rPr>
          <w:rFonts w:ascii="Times New Roman" w:eastAsia="Malgun Gothic" w:hAnsi="Times New Roman" w:cs="Times New Roman"/>
          <w:sz w:val="24"/>
          <w:szCs w:val="24"/>
        </w:rPr>
        <w:t>no clinically</w:t>
      </w:r>
      <w:r w:rsidR="001F526B" w:rsidRPr="00345388">
        <w:rPr>
          <w:rFonts w:ascii="Times New Roman" w:eastAsia="Malgun Gothic" w:hAnsi="Times New Roman" w:cs="Times New Roman"/>
          <w:sz w:val="24"/>
          <w:szCs w:val="24"/>
        </w:rPr>
        <w:t xml:space="preserve"> </w:t>
      </w:r>
      <w:r w:rsidR="00593BB4" w:rsidRPr="00345388">
        <w:rPr>
          <w:rFonts w:ascii="Times New Roman" w:eastAsia="Malgun Gothic" w:hAnsi="Times New Roman" w:cs="Times New Roman"/>
          <w:sz w:val="24"/>
          <w:szCs w:val="24"/>
        </w:rPr>
        <w:t>relevant changes in C</w:t>
      </w:r>
      <w:r w:rsidR="00593BB4" w:rsidRPr="00345388">
        <w:rPr>
          <w:rFonts w:ascii="Times New Roman" w:eastAsia="Malgun Gothic" w:hAnsi="Times New Roman" w:cs="Times New Roman"/>
          <w:sz w:val="24"/>
          <w:szCs w:val="24"/>
          <w:vertAlign w:val="subscript"/>
        </w:rPr>
        <w:t>max</w:t>
      </w:r>
      <w:r w:rsidR="00593BB4" w:rsidRPr="00345388">
        <w:rPr>
          <w:rFonts w:ascii="Times New Roman" w:eastAsia="Malgun Gothic" w:hAnsi="Times New Roman" w:cs="Times New Roman"/>
          <w:sz w:val="24"/>
          <w:szCs w:val="24"/>
        </w:rPr>
        <w:t xml:space="preserve"> </w:t>
      </w:r>
      <w:r w:rsidR="001F526B" w:rsidRPr="00345388">
        <w:rPr>
          <w:rFonts w:ascii="Times New Roman" w:eastAsia="Malgun Gothic" w:hAnsi="Times New Roman" w:cs="Times New Roman"/>
          <w:sz w:val="24"/>
          <w:szCs w:val="24"/>
        </w:rPr>
        <w:t xml:space="preserve">or </w:t>
      </w:r>
      <w:r w:rsidR="00593BB4" w:rsidRPr="00345388">
        <w:rPr>
          <w:rFonts w:ascii="Times New Roman" w:eastAsia="Malgun Gothic" w:hAnsi="Times New Roman" w:cs="Times New Roman"/>
          <w:sz w:val="24"/>
          <w:szCs w:val="24"/>
        </w:rPr>
        <w:t xml:space="preserve">AUC in patients </w:t>
      </w:r>
      <w:r w:rsidR="001F526B" w:rsidRPr="00345388">
        <w:rPr>
          <w:rFonts w:ascii="Times New Roman" w:eastAsia="Malgun Gothic" w:hAnsi="Times New Roman" w:cs="Times New Roman"/>
          <w:sz w:val="24"/>
          <w:szCs w:val="24"/>
        </w:rPr>
        <w:t>weighing &lt;</w:t>
      </w:r>
      <w:r w:rsidR="00593BB4" w:rsidRPr="00345388">
        <w:rPr>
          <w:rFonts w:ascii="Times New Roman" w:eastAsia="Malgun Gothic" w:hAnsi="Times New Roman" w:cs="Times New Roman"/>
          <w:sz w:val="24"/>
          <w:szCs w:val="24"/>
        </w:rPr>
        <w:t>50</w:t>
      </w:r>
      <w:r w:rsidR="004C703B" w:rsidRPr="00345388">
        <w:rPr>
          <w:rFonts w:ascii="Times New Roman" w:eastAsia="Malgun Gothic" w:hAnsi="Times New Roman" w:cs="Times New Roman"/>
          <w:sz w:val="24"/>
          <w:szCs w:val="24"/>
        </w:rPr>
        <w:t xml:space="preserve"> </w:t>
      </w:r>
      <w:r w:rsidR="00593BB4" w:rsidRPr="00345388">
        <w:rPr>
          <w:rFonts w:ascii="Times New Roman" w:eastAsia="Malgun Gothic" w:hAnsi="Times New Roman" w:cs="Times New Roman"/>
          <w:sz w:val="24"/>
          <w:szCs w:val="24"/>
        </w:rPr>
        <w:t>kg</w:t>
      </w:r>
      <w:r w:rsidR="00EE72AB" w:rsidRPr="00345388">
        <w:rPr>
          <w:rFonts w:ascii="Times New Roman" w:eastAsia="Malgun Gothic" w:hAnsi="Times New Roman" w:cs="Times New Roman"/>
          <w:sz w:val="24"/>
          <w:szCs w:val="24"/>
        </w:rPr>
        <w:t xml:space="preserve"> (</w:t>
      </w:r>
      <w:r w:rsidR="003C3042" w:rsidRPr="00345388">
        <w:rPr>
          <w:rFonts w:ascii="Times New Roman" w:eastAsia="Malgun Gothic" w:hAnsi="Times New Roman" w:cs="Times New Roman"/>
          <w:sz w:val="24"/>
          <w:szCs w:val="24"/>
        </w:rPr>
        <w:t>33</w:t>
      </w:r>
      <w:r w:rsidR="00EE72AB" w:rsidRPr="00345388">
        <w:rPr>
          <w:rFonts w:ascii="Times New Roman" w:eastAsia="Malgun Gothic" w:hAnsi="Times New Roman" w:cs="Times New Roman"/>
          <w:sz w:val="24"/>
          <w:szCs w:val="24"/>
        </w:rPr>
        <w:t>)</w:t>
      </w:r>
      <w:r w:rsidR="00593BB4" w:rsidRPr="00345388">
        <w:rPr>
          <w:rFonts w:ascii="Times New Roman" w:eastAsia="Malgun Gothic" w:hAnsi="Times New Roman" w:cs="Times New Roman"/>
          <w:sz w:val="24"/>
          <w:szCs w:val="24"/>
        </w:rPr>
        <w:t xml:space="preserve">. </w:t>
      </w:r>
    </w:p>
    <w:p w14:paraId="7611EE41" w14:textId="58F63244" w:rsidR="00027EF7" w:rsidRPr="00345388" w:rsidRDefault="00FC5552" w:rsidP="00EB0B89">
      <w:pPr>
        <w:spacing w:after="0" w:line="480" w:lineRule="auto"/>
        <w:ind w:firstLine="800"/>
        <w:rPr>
          <w:rFonts w:ascii="Times New Roman" w:eastAsia="Malgun Gothic" w:hAnsi="Times New Roman" w:cs="Times New Roman"/>
          <w:sz w:val="24"/>
          <w:szCs w:val="24"/>
        </w:rPr>
      </w:pPr>
      <w:r w:rsidRPr="00345388">
        <w:rPr>
          <w:rFonts w:ascii="Times New Roman" w:hAnsi="Times New Roman" w:cs="Times New Roman"/>
          <w:sz w:val="24"/>
          <w:szCs w:val="24"/>
        </w:rPr>
        <w:t xml:space="preserve">Beyond pharmacokinetic evidence, clinical experience </w:t>
      </w:r>
      <w:r w:rsidR="00ED4CF5" w:rsidRPr="00345388">
        <w:rPr>
          <w:rFonts w:ascii="Times New Roman" w:hAnsi="Times New Roman" w:cs="Times New Roman"/>
          <w:sz w:val="24"/>
          <w:szCs w:val="24"/>
        </w:rPr>
        <w:t>with</w:t>
      </w:r>
      <w:r w:rsidRPr="00345388">
        <w:rPr>
          <w:rFonts w:ascii="Times New Roman" w:hAnsi="Times New Roman" w:cs="Times New Roman"/>
          <w:sz w:val="24"/>
          <w:szCs w:val="24"/>
        </w:rPr>
        <w:t xml:space="preserve"> NOAC</w:t>
      </w:r>
      <w:r w:rsidR="00ED4CF5" w:rsidRPr="00345388">
        <w:rPr>
          <w:rFonts w:ascii="Times New Roman" w:hAnsi="Times New Roman" w:cs="Times New Roman"/>
          <w:sz w:val="24"/>
          <w:szCs w:val="24"/>
        </w:rPr>
        <w:t>s</w:t>
      </w:r>
      <w:r w:rsidRPr="00345388">
        <w:rPr>
          <w:rFonts w:ascii="Times New Roman" w:hAnsi="Times New Roman" w:cs="Times New Roman"/>
          <w:sz w:val="24"/>
          <w:szCs w:val="24"/>
        </w:rPr>
        <w:t xml:space="preserve"> in patients with low body weight </w:t>
      </w:r>
      <w:r w:rsidR="00ED4CF5" w:rsidRPr="00345388">
        <w:rPr>
          <w:rFonts w:ascii="Times New Roman" w:hAnsi="Times New Roman" w:cs="Times New Roman"/>
          <w:sz w:val="24"/>
          <w:szCs w:val="24"/>
        </w:rPr>
        <w:t xml:space="preserve">is </w:t>
      </w:r>
      <w:r w:rsidRPr="00345388">
        <w:rPr>
          <w:rFonts w:ascii="Times New Roman" w:hAnsi="Times New Roman" w:cs="Times New Roman"/>
          <w:sz w:val="24"/>
          <w:szCs w:val="24"/>
        </w:rPr>
        <w:t xml:space="preserve">lacking. </w:t>
      </w:r>
      <w:r w:rsidR="00D16F54" w:rsidRPr="00345388">
        <w:rPr>
          <w:rFonts w:ascii="Times New Roman" w:hAnsi="Times New Roman" w:cs="Times New Roman"/>
          <w:sz w:val="24"/>
          <w:szCs w:val="24"/>
        </w:rPr>
        <w:t>Patients with low body weight (</w:t>
      </w:r>
      <w:r w:rsidR="00D16F54" w:rsidRPr="00345388">
        <w:rPr>
          <w:rFonts w:ascii="Times New Roman" w:eastAsia="Malgun Gothic" w:hAnsi="Times New Roman" w:cs="Times New Roman"/>
          <w:sz w:val="24"/>
          <w:szCs w:val="24"/>
        </w:rPr>
        <w:t>≤60 kg) and extremely low body weight (&lt;50 kg) were under</w:t>
      </w:r>
      <w:r w:rsidR="00F941D0" w:rsidRPr="00345388">
        <w:rPr>
          <w:rFonts w:ascii="Times New Roman" w:eastAsia="Malgun Gothic" w:hAnsi="Times New Roman" w:cs="Times New Roman"/>
          <w:sz w:val="24"/>
          <w:szCs w:val="24"/>
        </w:rPr>
        <w:t>-</w:t>
      </w:r>
      <w:r w:rsidR="00D16F54" w:rsidRPr="00345388">
        <w:rPr>
          <w:rFonts w:ascii="Times New Roman" w:eastAsia="Malgun Gothic" w:hAnsi="Times New Roman" w:cs="Times New Roman"/>
          <w:sz w:val="24"/>
          <w:szCs w:val="24"/>
        </w:rPr>
        <w:t>represented in pivotal RCTs</w:t>
      </w:r>
      <w:r w:rsidR="005E66A8" w:rsidRPr="00345388">
        <w:rPr>
          <w:rFonts w:ascii="Times New Roman" w:eastAsia="Malgun Gothic" w:hAnsi="Times New Roman" w:cs="Times New Roman"/>
          <w:sz w:val="24"/>
          <w:szCs w:val="24"/>
        </w:rPr>
        <w:t xml:space="preserve"> </w:t>
      </w:r>
      <w:r w:rsidR="000E3A5A" w:rsidRPr="00345388">
        <w:rPr>
          <w:rFonts w:ascii="Times New Roman" w:hAnsi="Times New Roman" w:cs="Times New Roman"/>
          <w:sz w:val="24"/>
          <w:szCs w:val="24"/>
        </w:rPr>
        <w:t>(</w:t>
      </w:r>
      <w:r w:rsidR="005E66A8" w:rsidRPr="00345388">
        <w:rPr>
          <w:rFonts w:ascii="Times New Roman" w:hAnsi="Times New Roman" w:cs="Times New Roman"/>
          <w:sz w:val="24"/>
          <w:szCs w:val="24"/>
        </w:rPr>
        <w:t xml:space="preserve">Online </w:t>
      </w:r>
      <w:r w:rsidR="000E3A5A" w:rsidRPr="00345388">
        <w:rPr>
          <w:rFonts w:ascii="Times New Roman" w:hAnsi="Times New Roman" w:cs="Times New Roman"/>
          <w:sz w:val="24"/>
          <w:szCs w:val="24"/>
        </w:rPr>
        <w:t xml:space="preserve">Table </w:t>
      </w:r>
      <w:r w:rsidR="00C43813" w:rsidRPr="00345388">
        <w:rPr>
          <w:rFonts w:ascii="Times New Roman" w:hAnsi="Times New Roman" w:cs="Times New Roman"/>
          <w:sz w:val="24"/>
          <w:szCs w:val="24"/>
        </w:rPr>
        <w:t>9</w:t>
      </w:r>
      <w:r w:rsidR="000E3A5A" w:rsidRPr="00345388">
        <w:rPr>
          <w:rFonts w:ascii="Times New Roman" w:hAnsi="Times New Roman" w:cs="Times New Roman"/>
          <w:sz w:val="24"/>
          <w:szCs w:val="24"/>
        </w:rPr>
        <w:t>)</w:t>
      </w:r>
      <w:r w:rsidR="005E66A8" w:rsidRPr="00345388">
        <w:rPr>
          <w:rFonts w:ascii="Times New Roman" w:hAnsi="Times New Roman" w:cs="Times New Roman"/>
          <w:sz w:val="24"/>
          <w:szCs w:val="24"/>
        </w:rPr>
        <w:t xml:space="preserve"> </w:t>
      </w:r>
      <w:r w:rsidR="005E66A8" w:rsidRPr="00345388">
        <w:rPr>
          <w:rFonts w:ascii="Times New Roman" w:eastAsia="Malgun Gothic" w:hAnsi="Times New Roman" w:cs="Times New Roman"/>
          <w:sz w:val="24"/>
          <w:szCs w:val="24"/>
        </w:rPr>
        <w:t>(</w:t>
      </w:r>
      <w:r w:rsidR="003C3042" w:rsidRPr="00345388">
        <w:rPr>
          <w:rFonts w:ascii="Times New Roman" w:eastAsia="Malgun Gothic" w:hAnsi="Times New Roman" w:cs="Times New Roman"/>
          <w:sz w:val="24"/>
          <w:szCs w:val="24"/>
        </w:rPr>
        <w:t>16</w:t>
      </w:r>
      <w:r w:rsidR="005E66A8" w:rsidRPr="00345388">
        <w:rPr>
          <w:rFonts w:ascii="Times New Roman" w:eastAsia="Malgun Gothic" w:hAnsi="Times New Roman" w:cs="Times New Roman"/>
          <w:sz w:val="24"/>
          <w:szCs w:val="24"/>
        </w:rPr>
        <w:t>,</w:t>
      </w:r>
      <w:r w:rsidR="003C3042" w:rsidRPr="00345388">
        <w:rPr>
          <w:rFonts w:ascii="Times New Roman" w:eastAsia="Malgun Gothic" w:hAnsi="Times New Roman" w:cs="Times New Roman"/>
          <w:sz w:val="24"/>
          <w:szCs w:val="24"/>
        </w:rPr>
        <w:t>17</w:t>
      </w:r>
      <w:r w:rsidR="005E66A8" w:rsidRPr="00345388">
        <w:rPr>
          <w:rFonts w:ascii="Times New Roman" w:eastAsia="Malgun Gothic" w:hAnsi="Times New Roman" w:cs="Times New Roman"/>
          <w:sz w:val="24"/>
          <w:szCs w:val="24"/>
        </w:rPr>
        <w:t>,</w:t>
      </w:r>
      <w:r w:rsidR="003C3042" w:rsidRPr="00345388">
        <w:rPr>
          <w:rFonts w:ascii="Times New Roman" w:eastAsia="Malgun Gothic" w:hAnsi="Times New Roman" w:cs="Times New Roman"/>
          <w:sz w:val="24"/>
          <w:szCs w:val="24"/>
        </w:rPr>
        <w:t>34</w:t>
      </w:r>
      <w:r w:rsidR="005E66A8" w:rsidRPr="00345388">
        <w:rPr>
          <w:rFonts w:ascii="Times New Roman" w:eastAsia="Malgun Gothic" w:hAnsi="Times New Roman" w:cs="Times New Roman"/>
          <w:sz w:val="24"/>
          <w:szCs w:val="24"/>
        </w:rPr>
        <w:t>,</w:t>
      </w:r>
      <w:r w:rsidR="003C3042" w:rsidRPr="00345388">
        <w:rPr>
          <w:rFonts w:ascii="Times New Roman" w:eastAsia="Malgun Gothic" w:hAnsi="Times New Roman" w:cs="Times New Roman"/>
          <w:sz w:val="24"/>
          <w:szCs w:val="24"/>
        </w:rPr>
        <w:t>35</w:t>
      </w:r>
      <w:r w:rsidR="005E66A8" w:rsidRPr="00345388">
        <w:rPr>
          <w:rFonts w:ascii="Times New Roman" w:eastAsia="Malgun Gothic" w:hAnsi="Times New Roman" w:cs="Times New Roman"/>
          <w:sz w:val="24"/>
          <w:szCs w:val="24"/>
        </w:rPr>
        <w:t>)</w:t>
      </w:r>
      <w:r w:rsidR="00D16F54" w:rsidRPr="00345388">
        <w:rPr>
          <w:rFonts w:ascii="Times New Roman" w:eastAsia="Malgun Gothic" w:hAnsi="Times New Roman" w:cs="Times New Roman"/>
          <w:sz w:val="24"/>
          <w:szCs w:val="24"/>
        </w:rPr>
        <w:t xml:space="preserve">. </w:t>
      </w:r>
      <w:r w:rsidR="002E1167" w:rsidRPr="00345388">
        <w:rPr>
          <w:rFonts w:ascii="Times New Roman" w:eastAsia="Malgun Gothic" w:hAnsi="Times New Roman" w:cs="Times New Roman"/>
          <w:sz w:val="24"/>
          <w:szCs w:val="24"/>
        </w:rPr>
        <w:t>Data were limited e</w:t>
      </w:r>
      <w:r w:rsidR="00D16F54" w:rsidRPr="00345388">
        <w:rPr>
          <w:rFonts w:ascii="Times New Roman" w:eastAsia="Malgun Gothic" w:hAnsi="Times New Roman" w:cs="Times New Roman"/>
          <w:sz w:val="24"/>
          <w:szCs w:val="24"/>
        </w:rPr>
        <w:t>ven for NOACs</w:t>
      </w:r>
      <w:r w:rsidR="002E1167" w:rsidRPr="00345388">
        <w:rPr>
          <w:rFonts w:ascii="Times New Roman" w:eastAsia="Malgun Gothic" w:hAnsi="Times New Roman" w:cs="Times New Roman"/>
          <w:sz w:val="24"/>
          <w:szCs w:val="24"/>
        </w:rPr>
        <w:t xml:space="preserve"> that included low body weight as </w:t>
      </w:r>
      <w:r w:rsidR="00B55F67" w:rsidRPr="00345388">
        <w:rPr>
          <w:rFonts w:ascii="Times New Roman" w:eastAsia="Malgun Gothic" w:hAnsi="Times New Roman" w:cs="Times New Roman"/>
          <w:sz w:val="24"/>
          <w:szCs w:val="24"/>
        </w:rPr>
        <w:t>a</w:t>
      </w:r>
      <w:r w:rsidR="002E1167" w:rsidRPr="00345388">
        <w:rPr>
          <w:rFonts w:ascii="Times New Roman" w:eastAsia="Malgun Gothic" w:hAnsi="Times New Roman" w:cs="Times New Roman"/>
          <w:sz w:val="24"/>
          <w:szCs w:val="24"/>
        </w:rPr>
        <w:t xml:space="preserve"> dose reduction criteri</w:t>
      </w:r>
      <w:r w:rsidR="00A57365" w:rsidRPr="00345388">
        <w:rPr>
          <w:rFonts w:ascii="Times New Roman" w:eastAsia="Malgun Gothic" w:hAnsi="Times New Roman" w:cs="Times New Roman"/>
          <w:sz w:val="24"/>
          <w:szCs w:val="24"/>
        </w:rPr>
        <w:t>on</w:t>
      </w:r>
      <w:r w:rsidR="002E1167" w:rsidRPr="00345388">
        <w:rPr>
          <w:rFonts w:ascii="Times New Roman" w:eastAsia="Malgun Gothic" w:hAnsi="Times New Roman" w:cs="Times New Roman"/>
          <w:sz w:val="24"/>
          <w:szCs w:val="24"/>
        </w:rPr>
        <w:t xml:space="preserve"> (apixaban and edoxaban) </w:t>
      </w:r>
      <w:r w:rsidR="005E66A8" w:rsidRPr="00345388">
        <w:rPr>
          <w:rFonts w:ascii="Times New Roman" w:eastAsia="Malgun Gothic" w:hAnsi="Times New Roman" w:cs="Times New Roman"/>
          <w:sz w:val="24"/>
          <w:szCs w:val="24"/>
        </w:rPr>
        <w:t>(1</w:t>
      </w:r>
      <w:r w:rsidR="003C3042" w:rsidRPr="00345388">
        <w:rPr>
          <w:rFonts w:ascii="Times New Roman" w:eastAsia="Malgun Gothic" w:hAnsi="Times New Roman" w:cs="Times New Roman"/>
          <w:sz w:val="24"/>
          <w:szCs w:val="24"/>
        </w:rPr>
        <w:t>6</w:t>
      </w:r>
      <w:r w:rsidR="005E66A8" w:rsidRPr="00345388">
        <w:rPr>
          <w:rFonts w:ascii="Times New Roman" w:eastAsia="Malgun Gothic" w:hAnsi="Times New Roman" w:cs="Times New Roman"/>
          <w:sz w:val="24"/>
          <w:szCs w:val="24"/>
        </w:rPr>
        <w:t>,1</w:t>
      </w:r>
      <w:r w:rsidR="003C3042" w:rsidRPr="00345388">
        <w:rPr>
          <w:rFonts w:ascii="Times New Roman" w:eastAsia="Malgun Gothic" w:hAnsi="Times New Roman" w:cs="Times New Roman"/>
          <w:sz w:val="24"/>
          <w:szCs w:val="24"/>
        </w:rPr>
        <w:t>7</w:t>
      </w:r>
      <w:r w:rsidR="005E66A8" w:rsidRPr="00345388">
        <w:rPr>
          <w:rFonts w:ascii="Times New Roman" w:eastAsia="Malgun Gothic" w:hAnsi="Times New Roman" w:cs="Times New Roman"/>
          <w:sz w:val="24"/>
          <w:szCs w:val="24"/>
        </w:rPr>
        <w:t>)</w:t>
      </w:r>
      <w:r w:rsidR="002E1167" w:rsidRPr="00345388">
        <w:rPr>
          <w:rFonts w:ascii="Times New Roman" w:eastAsia="Malgun Gothic" w:hAnsi="Times New Roman" w:cs="Times New Roman"/>
          <w:sz w:val="24"/>
          <w:szCs w:val="24"/>
        </w:rPr>
        <w:t>.</w:t>
      </w:r>
      <w:r w:rsidR="00622755" w:rsidRPr="00345388">
        <w:rPr>
          <w:rFonts w:ascii="Times New Roman" w:eastAsia="Malgun Gothic" w:hAnsi="Times New Roman" w:cs="Times New Roman"/>
          <w:sz w:val="24"/>
          <w:szCs w:val="24"/>
        </w:rPr>
        <w:t xml:space="preserve"> </w:t>
      </w:r>
    </w:p>
    <w:p w14:paraId="3701D394" w14:textId="6DB79097" w:rsidR="007B32E9" w:rsidRPr="00345388" w:rsidRDefault="00622755" w:rsidP="00EB0B89">
      <w:pPr>
        <w:spacing w:after="0" w:line="480" w:lineRule="auto"/>
        <w:ind w:firstLine="800"/>
        <w:rPr>
          <w:rFonts w:ascii="Times New Roman" w:eastAsia="Malgun Gothic" w:hAnsi="Times New Roman" w:cs="Times New Roman"/>
          <w:sz w:val="24"/>
          <w:szCs w:val="24"/>
        </w:rPr>
      </w:pPr>
      <w:r w:rsidRPr="00345388">
        <w:rPr>
          <w:rFonts w:ascii="Times New Roman" w:eastAsia="Malgun Gothic" w:hAnsi="Times New Roman" w:cs="Times New Roman"/>
          <w:sz w:val="24"/>
          <w:szCs w:val="24"/>
        </w:rPr>
        <w:t>Low body weight is relatively common in Asian population</w:t>
      </w:r>
      <w:r w:rsidR="00407E04" w:rsidRPr="00345388">
        <w:rPr>
          <w:rFonts w:ascii="Times New Roman" w:eastAsia="Malgun Gothic" w:hAnsi="Times New Roman" w:cs="Times New Roman"/>
          <w:sz w:val="24"/>
          <w:szCs w:val="24"/>
        </w:rPr>
        <w:t>s</w:t>
      </w:r>
      <w:r w:rsidRPr="00345388">
        <w:rPr>
          <w:rFonts w:ascii="Times New Roman" w:eastAsia="Malgun Gothic" w:hAnsi="Times New Roman" w:cs="Times New Roman"/>
          <w:sz w:val="24"/>
          <w:szCs w:val="24"/>
        </w:rPr>
        <w:t xml:space="preserve"> (</w:t>
      </w:r>
      <w:r w:rsidR="007B32E9" w:rsidRPr="00345388">
        <w:rPr>
          <w:rFonts w:ascii="Times New Roman" w:eastAsia="Malgun Gothic" w:hAnsi="Times New Roman" w:cs="Times New Roman"/>
          <w:sz w:val="24"/>
          <w:szCs w:val="24"/>
        </w:rPr>
        <w:t xml:space="preserve">≤60 kg: </w:t>
      </w:r>
      <w:r w:rsidRPr="00345388">
        <w:rPr>
          <w:rFonts w:ascii="Times New Roman" w:eastAsia="Malgun Gothic" w:hAnsi="Times New Roman" w:cs="Times New Roman"/>
          <w:sz w:val="24"/>
          <w:szCs w:val="24"/>
        </w:rPr>
        <w:t>approximately 50%)</w:t>
      </w:r>
      <w:r w:rsidRPr="00345388">
        <w:rPr>
          <w:rFonts w:ascii="Times New Roman" w:eastAsia="Malgun Gothic" w:hAnsi="Times New Roman" w:cs="Times New Roman"/>
          <w:sz w:val="24"/>
          <w:szCs w:val="24"/>
          <w:vertAlign w:val="superscript"/>
        </w:rPr>
        <w:t xml:space="preserve"> </w:t>
      </w:r>
      <w:r w:rsidRPr="00345388">
        <w:rPr>
          <w:rFonts w:ascii="Times New Roman" w:eastAsia="Malgun Gothic" w:hAnsi="Times New Roman" w:cs="Times New Roman"/>
          <w:sz w:val="24"/>
          <w:szCs w:val="24"/>
        </w:rPr>
        <w:t>and frequently presents with comorbidities such as old age, frailty, and renal impairment</w:t>
      </w:r>
      <w:r w:rsidR="00407E04" w:rsidRPr="00345388">
        <w:rPr>
          <w:rFonts w:ascii="Times New Roman" w:eastAsia="Malgun Gothic" w:hAnsi="Times New Roman" w:cs="Times New Roman"/>
          <w:sz w:val="24"/>
          <w:szCs w:val="24"/>
        </w:rPr>
        <w:t>,</w:t>
      </w:r>
      <w:r w:rsidRPr="00345388">
        <w:rPr>
          <w:rFonts w:ascii="Times New Roman" w:eastAsia="Malgun Gothic" w:hAnsi="Times New Roman" w:cs="Times New Roman"/>
          <w:sz w:val="24"/>
          <w:szCs w:val="24"/>
        </w:rPr>
        <w:t xml:space="preserve"> which may increase the risk of thromboembolic and bleeding events</w:t>
      </w:r>
      <w:r w:rsidR="005E66A8" w:rsidRPr="00345388">
        <w:rPr>
          <w:rFonts w:ascii="Times New Roman" w:eastAsia="Malgun Gothic" w:hAnsi="Times New Roman" w:cs="Times New Roman"/>
          <w:sz w:val="24"/>
          <w:szCs w:val="24"/>
        </w:rPr>
        <w:t xml:space="preserve"> (1</w:t>
      </w:r>
      <w:r w:rsidR="003C3042" w:rsidRPr="00345388">
        <w:rPr>
          <w:rFonts w:ascii="Times New Roman" w:eastAsia="Malgun Gothic" w:hAnsi="Times New Roman" w:cs="Times New Roman"/>
          <w:sz w:val="24"/>
          <w:szCs w:val="24"/>
        </w:rPr>
        <w:t>4</w:t>
      </w:r>
      <w:r w:rsidR="005E66A8" w:rsidRPr="00345388">
        <w:rPr>
          <w:rFonts w:ascii="Times New Roman" w:eastAsia="Malgun Gothic" w:hAnsi="Times New Roman" w:cs="Times New Roman"/>
          <w:sz w:val="24"/>
          <w:szCs w:val="24"/>
        </w:rPr>
        <w:t>)</w:t>
      </w:r>
      <w:r w:rsidRPr="00345388">
        <w:rPr>
          <w:rFonts w:ascii="Times New Roman" w:eastAsia="Malgun Gothic" w:hAnsi="Times New Roman" w:cs="Times New Roman"/>
          <w:sz w:val="24"/>
          <w:szCs w:val="24"/>
        </w:rPr>
        <w:t xml:space="preserve">. </w:t>
      </w:r>
      <w:r w:rsidR="00ED3B3C" w:rsidRPr="00345388">
        <w:rPr>
          <w:rFonts w:ascii="Times New Roman" w:eastAsia="Malgun Gothic" w:hAnsi="Times New Roman" w:cs="Times New Roman"/>
          <w:sz w:val="24"/>
          <w:szCs w:val="24"/>
        </w:rPr>
        <w:t>However</w:t>
      </w:r>
      <w:r w:rsidR="007B32E9" w:rsidRPr="00345388">
        <w:rPr>
          <w:rFonts w:ascii="Times New Roman" w:eastAsia="Malgun Gothic" w:hAnsi="Times New Roman" w:cs="Times New Roman"/>
          <w:sz w:val="24"/>
          <w:szCs w:val="24"/>
        </w:rPr>
        <w:t xml:space="preserve">, no data are available for patients </w:t>
      </w:r>
      <w:r w:rsidR="00116E95" w:rsidRPr="00345388">
        <w:rPr>
          <w:rFonts w:ascii="Times New Roman" w:eastAsia="Malgun Gothic" w:hAnsi="Times New Roman" w:cs="Times New Roman"/>
          <w:sz w:val="24"/>
          <w:szCs w:val="24"/>
        </w:rPr>
        <w:t>&lt;</w:t>
      </w:r>
      <w:r w:rsidR="007B32E9" w:rsidRPr="00345388">
        <w:rPr>
          <w:rFonts w:ascii="Times New Roman" w:eastAsia="Malgun Gothic" w:hAnsi="Times New Roman" w:cs="Times New Roman"/>
          <w:sz w:val="24"/>
          <w:szCs w:val="24"/>
        </w:rPr>
        <w:t xml:space="preserve">60 kg or </w:t>
      </w:r>
      <w:r w:rsidR="00116E95" w:rsidRPr="00345388">
        <w:rPr>
          <w:rFonts w:ascii="Times New Roman" w:eastAsia="Malgun Gothic" w:hAnsi="Times New Roman" w:cs="Times New Roman"/>
          <w:sz w:val="24"/>
          <w:szCs w:val="24"/>
        </w:rPr>
        <w:t>&lt;</w:t>
      </w:r>
      <w:r w:rsidR="007B32E9" w:rsidRPr="00345388">
        <w:rPr>
          <w:rFonts w:ascii="Times New Roman" w:eastAsia="Malgun Gothic" w:hAnsi="Times New Roman" w:cs="Times New Roman"/>
          <w:sz w:val="24"/>
          <w:szCs w:val="24"/>
        </w:rPr>
        <w:t xml:space="preserve">50 kg </w:t>
      </w:r>
      <w:r w:rsidR="007B32E9" w:rsidRPr="00345388">
        <w:rPr>
          <w:rFonts w:ascii="Times New Roman" w:eastAsia="Malgun Gothic" w:hAnsi="Times New Roman" w:cs="Times New Roman"/>
          <w:sz w:val="24"/>
          <w:szCs w:val="24"/>
        </w:rPr>
        <w:lastRenderedPageBreak/>
        <w:t xml:space="preserve">based on a large real-world AF cohort including four NOACs. In our study, we included 14,103 NOAC users and demonstrated that NOAC treatment was associated with better outcomes </w:t>
      </w:r>
      <w:r w:rsidR="004C408C" w:rsidRPr="00345388">
        <w:rPr>
          <w:rFonts w:ascii="Times New Roman" w:eastAsia="Malgun Gothic" w:hAnsi="Times New Roman" w:cs="Times New Roman"/>
          <w:sz w:val="24"/>
          <w:szCs w:val="24"/>
        </w:rPr>
        <w:t xml:space="preserve">for </w:t>
      </w:r>
      <w:r w:rsidR="007B32E9" w:rsidRPr="00345388">
        <w:rPr>
          <w:rFonts w:ascii="Times New Roman" w:eastAsia="Malgun Gothic" w:hAnsi="Times New Roman" w:cs="Times New Roman"/>
          <w:sz w:val="24"/>
          <w:szCs w:val="24"/>
        </w:rPr>
        <w:t>both thromboembolic and bleeding events in patients weighing ≤60 kg. These</w:t>
      </w:r>
      <w:r w:rsidR="00AD358D" w:rsidRPr="00345388">
        <w:rPr>
          <w:rFonts w:ascii="Times New Roman" w:eastAsia="Malgun Gothic" w:hAnsi="Times New Roman" w:cs="Times New Roman"/>
          <w:sz w:val="24"/>
          <w:szCs w:val="24"/>
        </w:rPr>
        <w:t xml:space="preserve"> benefits were consistent in patients </w:t>
      </w:r>
      <w:r w:rsidR="004C408C" w:rsidRPr="00345388">
        <w:rPr>
          <w:rFonts w:ascii="Times New Roman" w:eastAsia="Malgun Gothic" w:hAnsi="Times New Roman" w:cs="Times New Roman"/>
          <w:sz w:val="24"/>
          <w:szCs w:val="24"/>
        </w:rPr>
        <w:t>weighing &lt;</w:t>
      </w:r>
      <w:r w:rsidR="00AD358D" w:rsidRPr="00345388">
        <w:rPr>
          <w:rFonts w:ascii="Times New Roman" w:eastAsia="Malgun Gothic" w:hAnsi="Times New Roman" w:cs="Times New Roman"/>
          <w:sz w:val="24"/>
          <w:szCs w:val="24"/>
        </w:rPr>
        <w:t xml:space="preserve">50 kg except for hospitalization for GI bleeding. The risk of hospitalization for GI bleeding was comparable </w:t>
      </w:r>
      <w:r w:rsidR="004C408C" w:rsidRPr="00345388">
        <w:rPr>
          <w:rFonts w:ascii="Times New Roman" w:eastAsia="Malgun Gothic" w:hAnsi="Times New Roman" w:cs="Times New Roman"/>
          <w:sz w:val="24"/>
          <w:szCs w:val="24"/>
        </w:rPr>
        <w:t xml:space="preserve">for </w:t>
      </w:r>
      <w:r w:rsidR="00E75564" w:rsidRPr="00345388">
        <w:rPr>
          <w:rFonts w:ascii="Times New Roman" w:eastAsia="Malgun Gothic" w:hAnsi="Times New Roman" w:cs="Times New Roman"/>
          <w:sz w:val="24"/>
          <w:szCs w:val="24"/>
        </w:rPr>
        <w:t>NOAC and warfarin</w:t>
      </w:r>
      <w:r w:rsidR="00AD358D" w:rsidRPr="00345388">
        <w:rPr>
          <w:rFonts w:ascii="Times New Roman" w:eastAsia="Malgun Gothic" w:hAnsi="Times New Roman" w:cs="Times New Roman"/>
          <w:sz w:val="24"/>
          <w:szCs w:val="24"/>
        </w:rPr>
        <w:t xml:space="preserve"> groups in patients </w:t>
      </w:r>
      <w:r w:rsidR="004C408C" w:rsidRPr="00345388">
        <w:rPr>
          <w:rFonts w:ascii="Times New Roman" w:eastAsia="Malgun Gothic" w:hAnsi="Times New Roman" w:cs="Times New Roman"/>
          <w:sz w:val="24"/>
          <w:szCs w:val="24"/>
        </w:rPr>
        <w:t xml:space="preserve">weighing </w:t>
      </w:r>
      <w:r w:rsidR="00AD358D" w:rsidRPr="00345388">
        <w:rPr>
          <w:rFonts w:ascii="Times New Roman" w:eastAsia="Malgun Gothic" w:hAnsi="Times New Roman" w:cs="Times New Roman"/>
          <w:sz w:val="24"/>
          <w:szCs w:val="24"/>
        </w:rPr>
        <w:t xml:space="preserve">&lt;50 kg. </w:t>
      </w:r>
    </w:p>
    <w:p w14:paraId="017E2597" w14:textId="6CA3D6FD" w:rsidR="00AD358D" w:rsidRPr="00345388" w:rsidRDefault="00054E98" w:rsidP="00EB0B89">
      <w:pPr>
        <w:spacing w:after="0" w:line="480" w:lineRule="auto"/>
        <w:ind w:firstLine="800"/>
        <w:rPr>
          <w:rFonts w:ascii="Times New Roman" w:hAnsi="Times New Roman" w:cs="Times New Roman"/>
          <w:sz w:val="24"/>
          <w:szCs w:val="24"/>
        </w:rPr>
      </w:pPr>
      <w:r w:rsidRPr="00345388">
        <w:rPr>
          <w:rFonts w:ascii="Times New Roman" w:hAnsi="Times New Roman" w:cs="Times New Roman"/>
          <w:sz w:val="24"/>
          <w:szCs w:val="24"/>
        </w:rPr>
        <w:t>Overall, all NOAC</w:t>
      </w:r>
      <w:r w:rsidR="000E78F8" w:rsidRPr="00345388">
        <w:rPr>
          <w:rFonts w:ascii="Times New Roman" w:hAnsi="Times New Roman" w:cs="Times New Roman"/>
          <w:sz w:val="24"/>
          <w:szCs w:val="24"/>
        </w:rPr>
        <w:t>s</w:t>
      </w:r>
      <w:r w:rsidRPr="00345388">
        <w:rPr>
          <w:rFonts w:ascii="Times New Roman" w:hAnsi="Times New Roman" w:cs="Times New Roman"/>
          <w:sz w:val="24"/>
          <w:szCs w:val="24"/>
        </w:rPr>
        <w:t xml:space="preserve"> showed similar trends </w:t>
      </w:r>
      <w:r w:rsidR="00001019" w:rsidRPr="00345388">
        <w:rPr>
          <w:rFonts w:ascii="Times New Roman" w:hAnsi="Times New Roman" w:cs="Times New Roman"/>
          <w:sz w:val="24"/>
          <w:szCs w:val="24"/>
        </w:rPr>
        <w:t xml:space="preserve">on </w:t>
      </w:r>
      <w:r w:rsidR="00F643E8" w:rsidRPr="00345388">
        <w:rPr>
          <w:rFonts w:ascii="Times New Roman" w:hAnsi="Times New Roman" w:cs="Times New Roman"/>
          <w:sz w:val="24"/>
          <w:szCs w:val="24"/>
        </w:rPr>
        <w:t xml:space="preserve">the </w:t>
      </w:r>
      <w:r w:rsidRPr="00345388">
        <w:rPr>
          <w:rFonts w:ascii="Times New Roman" w:hAnsi="Times New Roman" w:cs="Times New Roman"/>
          <w:sz w:val="24"/>
          <w:szCs w:val="24"/>
        </w:rPr>
        <w:t>main analysis</w:t>
      </w:r>
      <w:r w:rsidR="000E78F8" w:rsidRPr="00345388">
        <w:rPr>
          <w:rFonts w:ascii="Times New Roman" w:hAnsi="Times New Roman" w:cs="Times New Roman"/>
          <w:sz w:val="24"/>
          <w:szCs w:val="24"/>
        </w:rPr>
        <w:t xml:space="preserve"> (</w:t>
      </w:r>
      <w:r w:rsidR="005E66A8" w:rsidRPr="00345388">
        <w:rPr>
          <w:rFonts w:ascii="Times New Roman" w:hAnsi="Times New Roman" w:cs="Times New Roman"/>
          <w:sz w:val="24"/>
          <w:szCs w:val="24"/>
        </w:rPr>
        <w:t xml:space="preserve">Online Figures </w:t>
      </w:r>
      <w:r w:rsidR="00C43813" w:rsidRPr="00345388">
        <w:rPr>
          <w:rFonts w:ascii="Times New Roman" w:hAnsi="Times New Roman" w:cs="Times New Roman"/>
          <w:sz w:val="24"/>
          <w:szCs w:val="24"/>
        </w:rPr>
        <w:t>9</w:t>
      </w:r>
      <w:r w:rsidR="009902B6" w:rsidRPr="00345388">
        <w:rPr>
          <w:rFonts w:ascii="Times New Roman" w:hAnsi="Times New Roman" w:cs="Times New Roman"/>
          <w:sz w:val="24"/>
          <w:szCs w:val="24"/>
        </w:rPr>
        <w:t xml:space="preserve"> </w:t>
      </w:r>
      <w:r w:rsidR="005E66A8" w:rsidRPr="00345388">
        <w:rPr>
          <w:rFonts w:ascii="Times New Roman" w:hAnsi="Times New Roman" w:cs="Times New Roman"/>
          <w:sz w:val="24"/>
          <w:szCs w:val="24"/>
        </w:rPr>
        <w:t xml:space="preserve">and </w:t>
      </w:r>
      <w:r w:rsidR="00C43813" w:rsidRPr="00345388">
        <w:rPr>
          <w:rFonts w:ascii="Times New Roman" w:hAnsi="Times New Roman" w:cs="Times New Roman"/>
          <w:sz w:val="24"/>
          <w:szCs w:val="24"/>
        </w:rPr>
        <w:t>10</w:t>
      </w:r>
      <w:r w:rsidR="000E78F8" w:rsidRPr="00345388">
        <w:rPr>
          <w:rFonts w:ascii="Times New Roman" w:hAnsi="Times New Roman" w:cs="Times New Roman"/>
          <w:sz w:val="24"/>
          <w:szCs w:val="24"/>
        </w:rPr>
        <w:t>)</w:t>
      </w:r>
      <w:r w:rsidRPr="00345388">
        <w:rPr>
          <w:rFonts w:ascii="Times New Roman" w:hAnsi="Times New Roman" w:cs="Times New Roman"/>
          <w:sz w:val="24"/>
          <w:szCs w:val="24"/>
        </w:rPr>
        <w:t xml:space="preserve">. In patients </w:t>
      </w:r>
      <w:r w:rsidR="00001019" w:rsidRPr="00345388">
        <w:rPr>
          <w:rFonts w:ascii="Times New Roman" w:hAnsi="Times New Roman" w:cs="Times New Roman"/>
          <w:sz w:val="24"/>
          <w:szCs w:val="24"/>
        </w:rPr>
        <w:t>weighing</w:t>
      </w:r>
      <w:r w:rsidRPr="00345388">
        <w:rPr>
          <w:rFonts w:ascii="Times New Roman" w:hAnsi="Times New Roman" w:cs="Times New Roman"/>
          <w:sz w:val="24"/>
          <w:szCs w:val="24"/>
        </w:rPr>
        <w:t xml:space="preserve"> &lt;50 kg, rivaroxaban showed a nonsignificant trend toward</w:t>
      </w:r>
      <w:r w:rsidR="00D84D9F" w:rsidRPr="00345388">
        <w:rPr>
          <w:rFonts w:ascii="Times New Roman" w:hAnsi="Times New Roman" w:cs="Times New Roman"/>
          <w:sz w:val="24"/>
          <w:szCs w:val="24"/>
        </w:rPr>
        <w:t>s</w:t>
      </w:r>
      <w:r w:rsidRPr="00345388">
        <w:rPr>
          <w:rFonts w:ascii="Times New Roman" w:hAnsi="Times New Roman" w:cs="Times New Roman"/>
          <w:sz w:val="24"/>
          <w:szCs w:val="24"/>
        </w:rPr>
        <w:t xml:space="preserve"> an increased risk of hospitalization for GI </w:t>
      </w:r>
      <w:r w:rsidR="001A44CC" w:rsidRPr="00345388">
        <w:rPr>
          <w:rFonts w:ascii="Times New Roman" w:hAnsi="Times New Roman" w:cs="Times New Roman"/>
          <w:sz w:val="24"/>
          <w:szCs w:val="24"/>
        </w:rPr>
        <w:t xml:space="preserve">and major </w:t>
      </w:r>
      <w:r w:rsidRPr="00345388">
        <w:rPr>
          <w:rFonts w:ascii="Times New Roman" w:hAnsi="Times New Roman" w:cs="Times New Roman"/>
          <w:sz w:val="24"/>
          <w:szCs w:val="24"/>
        </w:rPr>
        <w:t xml:space="preserve">bleeding compared to warfarin. </w:t>
      </w:r>
      <w:r w:rsidR="000E78F8" w:rsidRPr="00345388">
        <w:rPr>
          <w:rFonts w:ascii="Times New Roman" w:hAnsi="Times New Roman" w:cs="Times New Roman"/>
          <w:sz w:val="24"/>
          <w:szCs w:val="24"/>
        </w:rPr>
        <w:t>Edoxaban showed neutral HRs and wide CI</w:t>
      </w:r>
      <w:r w:rsidR="004A188A" w:rsidRPr="00345388">
        <w:rPr>
          <w:rFonts w:ascii="Times New Roman" w:hAnsi="Times New Roman" w:cs="Times New Roman"/>
          <w:sz w:val="24"/>
          <w:szCs w:val="24"/>
        </w:rPr>
        <w:t>s</w:t>
      </w:r>
      <w:r w:rsidR="000E78F8" w:rsidRPr="00345388">
        <w:rPr>
          <w:rFonts w:ascii="Times New Roman" w:hAnsi="Times New Roman" w:cs="Times New Roman"/>
          <w:sz w:val="24"/>
          <w:szCs w:val="24"/>
        </w:rPr>
        <w:t xml:space="preserve"> in some clinical events</w:t>
      </w:r>
      <w:r w:rsidR="00D84D9F" w:rsidRPr="00345388">
        <w:rPr>
          <w:rFonts w:ascii="Times New Roman" w:hAnsi="Times New Roman" w:cs="Times New Roman"/>
          <w:sz w:val="24"/>
          <w:szCs w:val="24"/>
        </w:rPr>
        <w:t>, given the small numbers and its more recent introduction</w:t>
      </w:r>
      <w:r w:rsidR="00001019" w:rsidRPr="00345388">
        <w:rPr>
          <w:rFonts w:ascii="Times New Roman" w:hAnsi="Times New Roman" w:cs="Times New Roman"/>
          <w:sz w:val="24"/>
          <w:szCs w:val="24"/>
        </w:rPr>
        <w:t>.</w:t>
      </w:r>
      <w:r w:rsidR="000E78F8" w:rsidRPr="00345388">
        <w:rPr>
          <w:rFonts w:ascii="Times New Roman" w:hAnsi="Times New Roman" w:cs="Times New Roman"/>
          <w:sz w:val="24"/>
          <w:szCs w:val="24"/>
        </w:rPr>
        <w:t xml:space="preserve"> T</w:t>
      </w:r>
      <w:r w:rsidR="00AD358D" w:rsidRPr="00345388">
        <w:rPr>
          <w:rFonts w:ascii="Times New Roman" w:hAnsi="Times New Roman" w:cs="Times New Roman"/>
          <w:sz w:val="24"/>
          <w:szCs w:val="24"/>
        </w:rPr>
        <w:t xml:space="preserve">he numbers of </w:t>
      </w:r>
      <w:r w:rsidRPr="00345388">
        <w:rPr>
          <w:rFonts w:ascii="Times New Roman" w:hAnsi="Times New Roman" w:cs="Times New Roman"/>
          <w:sz w:val="24"/>
          <w:szCs w:val="24"/>
        </w:rPr>
        <w:t xml:space="preserve">patients treated </w:t>
      </w:r>
      <w:r w:rsidR="00D84D9F" w:rsidRPr="00345388">
        <w:rPr>
          <w:rFonts w:ascii="Times New Roman" w:hAnsi="Times New Roman" w:cs="Times New Roman"/>
          <w:sz w:val="24"/>
          <w:szCs w:val="24"/>
        </w:rPr>
        <w:t xml:space="preserve">with </w:t>
      </w:r>
      <w:r w:rsidR="00AD358D" w:rsidRPr="00345388">
        <w:rPr>
          <w:rFonts w:ascii="Times New Roman" w:hAnsi="Times New Roman" w:cs="Times New Roman"/>
          <w:sz w:val="24"/>
          <w:szCs w:val="24"/>
        </w:rPr>
        <w:t xml:space="preserve">each NOAC </w:t>
      </w:r>
      <w:r w:rsidRPr="00345388">
        <w:rPr>
          <w:rFonts w:ascii="Times New Roman" w:hAnsi="Times New Roman" w:cs="Times New Roman"/>
          <w:sz w:val="24"/>
          <w:szCs w:val="24"/>
        </w:rPr>
        <w:t>were not sufficient to make definite conclusions</w:t>
      </w:r>
      <w:r w:rsidR="00001019" w:rsidRPr="00345388">
        <w:rPr>
          <w:rFonts w:ascii="Times New Roman" w:hAnsi="Times New Roman" w:cs="Times New Roman"/>
          <w:sz w:val="24"/>
          <w:szCs w:val="24"/>
        </w:rPr>
        <w:t>,</w:t>
      </w:r>
      <w:r w:rsidR="000E78F8" w:rsidRPr="00345388">
        <w:rPr>
          <w:rFonts w:ascii="Times New Roman" w:hAnsi="Times New Roman" w:cs="Times New Roman"/>
          <w:sz w:val="24"/>
          <w:szCs w:val="24"/>
        </w:rPr>
        <w:t xml:space="preserve"> and edoxaban had </w:t>
      </w:r>
      <w:r w:rsidR="00001019" w:rsidRPr="00345388">
        <w:rPr>
          <w:rFonts w:ascii="Times New Roman" w:hAnsi="Times New Roman" w:cs="Times New Roman"/>
          <w:sz w:val="24"/>
          <w:szCs w:val="24"/>
        </w:rPr>
        <w:t xml:space="preserve">a </w:t>
      </w:r>
      <w:r w:rsidR="000E78F8" w:rsidRPr="00345388">
        <w:rPr>
          <w:rFonts w:ascii="Times New Roman" w:hAnsi="Times New Roman" w:cs="Times New Roman"/>
          <w:sz w:val="24"/>
          <w:szCs w:val="24"/>
        </w:rPr>
        <w:t xml:space="preserve">shorter follow-up duration </w:t>
      </w:r>
      <w:r w:rsidR="00390A44" w:rsidRPr="00345388">
        <w:rPr>
          <w:rFonts w:ascii="Times New Roman" w:hAnsi="Times New Roman" w:cs="Times New Roman"/>
          <w:sz w:val="24"/>
          <w:szCs w:val="24"/>
        </w:rPr>
        <w:t>than</w:t>
      </w:r>
      <w:r w:rsidR="000E78F8" w:rsidRPr="00345388">
        <w:rPr>
          <w:rFonts w:ascii="Times New Roman" w:hAnsi="Times New Roman" w:cs="Times New Roman"/>
          <w:sz w:val="24"/>
          <w:szCs w:val="24"/>
        </w:rPr>
        <w:t xml:space="preserve"> other OACs because of </w:t>
      </w:r>
      <w:r w:rsidR="00C35E99" w:rsidRPr="00345388">
        <w:rPr>
          <w:rFonts w:ascii="Times New Roman" w:hAnsi="Times New Roman" w:cs="Times New Roman"/>
          <w:sz w:val="24"/>
          <w:szCs w:val="24"/>
        </w:rPr>
        <w:t xml:space="preserve">its </w:t>
      </w:r>
      <w:r w:rsidR="000E78F8" w:rsidRPr="00345388">
        <w:rPr>
          <w:rFonts w:ascii="Times New Roman" w:hAnsi="Times New Roman" w:cs="Times New Roman"/>
          <w:sz w:val="24"/>
          <w:szCs w:val="24"/>
        </w:rPr>
        <w:t xml:space="preserve">late introduction </w:t>
      </w:r>
      <w:r w:rsidR="00390A44" w:rsidRPr="00345388">
        <w:rPr>
          <w:rFonts w:ascii="Times New Roman" w:hAnsi="Times New Roman" w:cs="Times New Roman"/>
          <w:sz w:val="24"/>
          <w:szCs w:val="24"/>
        </w:rPr>
        <w:t>to</w:t>
      </w:r>
      <w:r w:rsidR="000E78F8" w:rsidRPr="00345388">
        <w:rPr>
          <w:rFonts w:ascii="Times New Roman" w:hAnsi="Times New Roman" w:cs="Times New Roman"/>
          <w:sz w:val="24"/>
          <w:szCs w:val="24"/>
        </w:rPr>
        <w:t xml:space="preserve"> the market</w:t>
      </w:r>
      <w:r w:rsidRPr="00345388">
        <w:rPr>
          <w:rFonts w:ascii="Times New Roman" w:hAnsi="Times New Roman" w:cs="Times New Roman"/>
          <w:sz w:val="24"/>
          <w:szCs w:val="24"/>
        </w:rPr>
        <w:t xml:space="preserve">. In addition, the proportion of regular or reduced doses and label adherence of NOAC dosing was not adjusted in </w:t>
      </w:r>
      <w:r w:rsidR="000E78F8" w:rsidRPr="00345388">
        <w:rPr>
          <w:rFonts w:ascii="Times New Roman" w:hAnsi="Times New Roman" w:cs="Times New Roman"/>
          <w:sz w:val="24"/>
          <w:szCs w:val="24"/>
        </w:rPr>
        <w:t xml:space="preserve">this analysis. </w:t>
      </w:r>
    </w:p>
    <w:p w14:paraId="0AC9F15F" w14:textId="0581ED77" w:rsidR="00F06A0C" w:rsidRPr="00345388" w:rsidRDefault="00C35E99" w:rsidP="00EB0B89">
      <w:pPr>
        <w:spacing w:after="0" w:line="480" w:lineRule="auto"/>
        <w:ind w:firstLine="800"/>
        <w:rPr>
          <w:rFonts w:ascii="Times New Roman" w:hAnsi="Times New Roman" w:cs="Times New Roman"/>
          <w:sz w:val="24"/>
          <w:szCs w:val="24"/>
        </w:rPr>
      </w:pPr>
      <w:r w:rsidRPr="00345388">
        <w:rPr>
          <w:rFonts w:ascii="Times New Roman" w:hAnsi="Times New Roman" w:cs="Times New Roman"/>
          <w:sz w:val="24"/>
          <w:szCs w:val="24"/>
        </w:rPr>
        <w:t xml:space="preserve">When </w:t>
      </w:r>
      <w:r w:rsidR="000E78F8" w:rsidRPr="00345388">
        <w:rPr>
          <w:rFonts w:ascii="Times New Roman" w:hAnsi="Times New Roman" w:cs="Times New Roman"/>
          <w:sz w:val="24"/>
          <w:szCs w:val="24"/>
        </w:rPr>
        <w:t xml:space="preserve">stratifying by NOAC doses, both regular and reduced dose NOACs showed better outcomes </w:t>
      </w:r>
      <w:r w:rsidR="00D37F5C" w:rsidRPr="00345388">
        <w:rPr>
          <w:rFonts w:ascii="Times New Roman" w:hAnsi="Times New Roman" w:cs="Times New Roman"/>
          <w:sz w:val="24"/>
          <w:szCs w:val="24"/>
        </w:rPr>
        <w:t xml:space="preserve">than warfarin </w:t>
      </w:r>
      <w:r w:rsidR="000E78F8" w:rsidRPr="00345388">
        <w:rPr>
          <w:rFonts w:ascii="Times New Roman" w:hAnsi="Times New Roman" w:cs="Times New Roman"/>
          <w:sz w:val="24"/>
          <w:szCs w:val="24"/>
        </w:rPr>
        <w:t>in six clinical outcomes (</w:t>
      </w:r>
      <w:r w:rsidR="009902B6" w:rsidRPr="00345388">
        <w:rPr>
          <w:rFonts w:ascii="Times New Roman" w:hAnsi="Times New Roman" w:cs="Times New Roman"/>
          <w:sz w:val="24"/>
          <w:szCs w:val="24"/>
        </w:rPr>
        <w:t xml:space="preserve">Online </w:t>
      </w:r>
      <w:r w:rsidR="00F47CED" w:rsidRPr="00345388">
        <w:rPr>
          <w:rFonts w:ascii="Times New Roman" w:hAnsi="Times New Roman" w:cs="Times New Roman"/>
          <w:sz w:val="24"/>
          <w:szCs w:val="24"/>
        </w:rPr>
        <w:t xml:space="preserve">Figure </w:t>
      </w:r>
      <w:r w:rsidR="00C43813" w:rsidRPr="00345388">
        <w:rPr>
          <w:rFonts w:ascii="Times New Roman" w:hAnsi="Times New Roman" w:cs="Times New Roman"/>
          <w:sz w:val="24"/>
          <w:szCs w:val="24"/>
        </w:rPr>
        <w:t>5</w:t>
      </w:r>
      <w:r w:rsidR="000E78F8" w:rsidRPr="00345388">
        <w:rPr>
          <w:rFonts w:ascii="Times New Roman" w:hAnsi="Times New Roman" w:cs="Times New Roman"/>
          <w:sz w:val="24"/>
          <w:szCs w:val="24"/>
        </w:rPr>
        <w:t xml:space="preserve">). </w:t>
      </w:r>
      <w:r w:rsidR="006224DB" w:rsidRPr="00345388">
        <w:rPr>
          <w:rFonts w:ascii="Times New Roman" w:hAnsi="Times New Roman" w:cs="Times New Roman"/>
          <w:sz w:val="24"/>
          <w:szCs w:val="24"/>
        </w:rPr>
        <w:t xml:space="preserve">Comparison between regular and reduced dose NOACs, there was no profound differences between the two dose regimens in all six clinical outcomes (Figure 4). </w:t>
      </w:r>
      <w:r w:rsidR="000E78F8" w:rsidRPr="00345388">
        <w:rPr>
          <w:rFonts w:ascii="Times New Roman" w:hAnsi="Times New Roman" w:cs="Times New Roman"/>
          <w:sz w:val="24"/>
          <w:szCs w:val="24"/>
        </w:rPr>
        <w:t xml:space="preserve">Considering label adherence by NOAC dosing, </w:t>
      </w:r>
      <w:r w:rsidR="00C04C0A" w:rsidRPr="00345388">
        <w:rPr>
          <w:rFonts w:ascii="Times New Roman" w:hAnsi="Times New Roman" w:cs="Times New Roman"/>
          <w:sz w:val="24"/>
          <w:szCs w:val="24"/>
        </w:rPr>
        <w:t xml:space="preserve">patients with </w:t>
      </w:r>
      <w:r w:rsidR="00582E1D" w:rsidRPr="00345388">
        <w:rPr>
          <w:rFonts w:ascii="Times New Roman" w:hAnsi="Times New Roman" w:cs="Times New Roman"/>
          <w:sz w:val="24"/>
          <w:szCs w:val="24"/>
        </w:rPr>
        <w:t xml:space="preserve">off-label overdosing of NOAC </w:t>
      </w:r>
      <w:r w:rsidR="009C1166" w:rsidRPr="00345388">
        <w:rPr>
          <w:rFonts w:ascii="Times New Roman" w:hAnsi="Times New Roman" w:cs="Times New Roman"/>
          <w:sz w:val="24"/>
          <w:szCs w:val="24"/>
        </w:rPr>
        <w:t xml:space="preserve">showed </w:t>
      </w:r>
      <w:r w:rsidRPr="00345388">
        <w:rPr>
          <w:rFonts w:ascii="Times New Roman" w:hAnsi="Times New Roman" w:cs="Times New Roman"/>
          <w:sz w:val="24"/>
          <w:szCs w:val="24"/>
        </w:rPr>
        <w:t xml:space="preserve">the </w:t>
      </w:r>
      <w:r w:rsidR="00B10538" w:rsidRPr="00345388">
        <w:rPr>
          <w:rFonts w:ascii="Times New Roman" w:hAnsi="Times New Roman" w:cs="Times New Roman"/>
          <w:sz w:val="24"/>
          <w:szCs w:val="24"/>
        </w:rPr>
        <w:t xml:space="preserve">worst </w:t>
      </w:r>
      <w:r w:rsidR="009C1166" w:rsidRPr="00345388">
        <w:rPr>
          <w:rFonts w:ascii="Times New Roman" w:hAnsi="Times New Roman" w:cs="Times New Roman"/>
          <w:sz w:val="24"/>
          <w:szCs w:val="24"/>
        </w:rPr>
        <w:t>outcome</w:t>
      </w:r>
      <w:r w:rsidRPr="00345388">
        <w:rPr>
          <w:rFonts w:ascii="Times New Roman" w:hAnsi="Times New Roman" w:cs="Times New Roman"/>
          <w:sz w:val="24"/>
          <w:szCs w:val="24"/>
        </w:rPr>
        <w:t>s</w:t>
      </w:r>
      <w:r w:rsidR="009C1166" w:rsidRPr="00345388">
        <w:rPr>
          <w:rFonts w:ascii="Times New Roman" w:hAnsi="Times New Roman" w:cs="Times New Roman"/>
          <w:sz w:val="24"/>
          <w:szCs w:val="24"/>
        </w:rPr>
        <w:t xml:space="preserve"> in </w:t>
      </w:r>
      <w:r w:rsidR="00C04C0A" w:rsidRPr="00345388">
        <w:rPr>
          <w:rFonts w:ascii="Times New Roman" w:hAnsi="Times New Roman" w:cs="Times New Roman"/>
          <w:sz w:val="24"/>
          <w:szCs w:val="24"/>
        </w:rPr>
        <w:t xml:space="preserve">all six clinical outcomes compared to those </w:t>
      </w:r>
      <w:r w:rsidR="00062A19" w:rsidRPr="00345388">
        <w:rPr>
          <w:rFonts w:ascii="Times New Roman" w:hAnsi="Times New Roman" w:cs="Times New Roman"/>
          <w:sz w:val="24"/>
          <w:szCs w:val="24"/>
        </w:rPr>
        <w:t xml:space="preserve">prescribed </w:t>
      </w:r>
      <w:r w:rsidR="00C04C0A" w:rsidRPr="00345388">
        <w:rPr>
          <w:rFonts w:ascii="Times New Roman" w:hAnsi="Times New Roman" w:cs="Times New Roman"/>
          <w:sz w:val="24"/>
          <w:szCs w:val="24"/>
        </w:rPr>
        <w:t xml:space="preserve">on-label </w:t>
      </w:r>
      <w:r w:rsidR="00C3533F" w:rsidRPr="00345388">
        <w:rPr>
          <w:rFonts w:ascii="Times New Roman" w:hAnsi="Times New Roman" w:cs="Times New Roman"/>
          <w:sz w:val="24"/>
          <w:szCs w:val="24"/>
        </w:rPr>
        <w:t xml:space="preserve">dosed </w:t>
      </w:r>
      <w:r w:rsidR="00C04C0A" w:rsidRPr="00345388">
        <w:rPr>
          <w:rFonts w:ascii="Times New Roman" w:hAnsi="Times New Roman" w:cs="Times New Roman"/>
          <w:sz w:val="24"/>
          <w:szCs w:val="24"/>
        </w:rPr>
        <w:t>NOAC and even compared to those with warfarin (</w:t>
      </w:r>
      <w:r w:rsidR="009902B6" w:rsidRPr="00345388">
        <w:rPr>
          <w:rFonts w:ascii="Times New Roman" w:hAnsi="Times New Roman" w:cs="Times New Roman"/>
          <w:sz w:val="24"/>
          <w:szCs w:val="24"/>
        </w:rPr>
        <w:t xml:space="preserve">Online Figure </w:t>
      </w:r>
      <w:r w:rsidR="00C43813" w:rsidRPr="00345388">
        <w:rPr>
          <w:rFonts w:ascii="Times New Roman" w:hAnsi="Times New Roman" w:cs="Times New Roman"/>
          <w:sz w:val="24"/>
          <w:szCs w:val="24"/>
        </w:rPr>
        <w:t>8</w:t>
      </w:r>
      <w:r w:rsidR="00C04C0A" w:rsidRPr="00345388">
        <w:rPr>
          <w:rFonts w:ascii="Times New Roman" w:hAnsi="Times New Roman" w:cs="Times New Roman"/>
          <w:sz w:val="24"/>
          <w:szCs w:val="24"/>
        </w:rPr>
        <w:t xml:space="preserve">). These findings were consistent with </w:t>
      </w:r>
      <w:r w:rsidR="00F95749" w:rsidRPr="00345388">
        <w:rPr>
          <w:rFonts w:ascii="Times New Roman" w:hAnsi="Times New Roman" w:cs="Times New Roman"/>
          <w:sz w:val="24"/>
          <w:szCs w:val="24"/>
        </w:rPr>
        <w:t xml:space="preserve">those of </w:t>
      </w:r>
      <w:r w:rsidR="00C04C0A" w:rsidRPr="00345388">
        <w:rPr>
          <w:rFonts w:ascii="Times New Roman" w:hAnsi="Times New Roman" w:cs="Times New Roman"/>
          <w:sz w:val="24"/>
          <w:szCs w:val="24"/>
        </w:rPr>
        <w:t>previous reports</w:t>
      </w:r>
      <w:r w:rsidR="00E36A22" w:rsidRPr="00345388">
        <w:rPr>
          <w:rFonts w:ascii="Times New Roman" w:hAnsi="Times New Roman" w:cs="Times New Roman"/>
          <w:sz w:val="24"/>
          <w:szCs w:val="24"/>
        </w:rPr>
        <w:t xml:space="preserve"> (</w:t>
      </w:r>
      <w:r w:rsidR="003C3042" w:rsidRPr="00345388">
        <w:rPr>
          <w:rFonts w:ascii="Times New Roman" w:hAnsi="Times New Roman" w:cs="Times New Roman"/>
          <w:sz w:val="24"/>
          <w:szCs w:val="24"/>
        </w:rPr>
        <w:t>36,37</w:t>
      </w:r>
      <w:r w:rsidR="00E36A22" w:rsidRPr="00345388">
        <w:rPr>
          <w:rFonts w:ascii="Times New Roman" w:hAnsi="Times New Roman" w:cs="Times New Roman"/>
          <w:sz w:val="24"/>
          <w:szCs w:val="24"/>
        </w:rPr>
        <w:t>)</w:t>
      </w:r>
      <w:r w:rsidR="00C04C0A" w:rsidRPr="00345388">
        <w:rPr>
          <w:rFonts w:ascii="Times New Roman" w:hAnsi="Times New Roman" w:cs="Times New Roman"/>
          <w:sz w:val="24"/>
          <w:szCs w:val="24"/>
        </w:rPr>
        <w:t xml:space="preserve">. </w:t>
      </w:r>
      <w:r w:rsidR="00C04C0A" w:rsidRPr="00345388">
        <w:rPr>
          <w:rFonts w:ascii="Times New Roman" w:hAnsi="Times New Roman" w:cs="Times New Roman"/>
          <w:sz w:val="24"/>
          <w:szCs w:val="24"/>
        </w:rPr>
        <w:lastRenderedPageBreak/>
        <w:t>Compared to appropriate dosing, off-label overdosing was associated with an increased risk of major bleeding or all-cause death</w:t>
      </w:r>
      <w:r w:rsidR="00E36A22" w:rsidRPr="00345388">
        <w:rPr>
          <w:rFonts w:ascii="Times New Roman" w:hAnsi="Times New Roman" w:cs="Times New Roman"/>
          <w:sz w:val="24"/>
          <w:szCs w:val="24"/>
        </w:rPr>
        <w:t xml:space="preserve"> (</w:t>
      </w:r>
      <w:r w:rsidR="003C3042" w:rsidRPr="00345388">
        <w:rPr>
          <w:rFonts w:ascii="Times New Roman" w:hAnsi="Times New Roman" w:cs="Times New Roman"/>
          <w:sz w:val="24"/>
          <w:szCs w:val="24"/>
        </w:rPr>
        <w:t>36,37</w:t>
      </w:r>
      <w:r w:rsidR="00E36A22" w:rsidRPr="00345388">
        <w:rPr>
          <w:rFonts w:ascii="Times New Roman" w:hAnsi="Times New Roman" w:cs="Times New Roman"/>
          <w:sz w:val="24"/>
          <w:szCs w:val="24"/>
        </w:rPr>
        <w:t>)</w:t>
      </w:r>
      <w:r w:rsidR="00C04C0A" w:rsidRPr="00345388">
        <w:rPr>
          <w:rFonts w:ascii="Times New Roman" w:hAnsi="Times New Roman" w:cs="Times New Roman"/>
          <w:sz w:val="24"/>
          <w:szCs w:val="24"/>
        </w:rPr>
        <w:t xml:space="preserve">. </w:t>
      </w:r>
      <w:r w:rsidR="00203333" w:rsidRPr="00345388">
        <w:rPr>
          <w:rFonts w:ascii="Times New Roman" w:hAnsi="Times New Roman" w:cs="Times New Roman"/>
          <w:sz w:val="24"/>
          <w:szCs w:val="24"/>
        </w:rPr>
        <w:t>Additionally</w:t>
      </w:r>
      <w:r w:rsidR="00C04C0A" w:rsidRPr="00345388">
        <w:rPr>
          <w:rFonts w:ascii="Times New Roman" w:hAnsi="Times New Roman" w:cs="Times New Roman"/>
          <w:sz w:val="24"/>
          <w:szCs w:val="24"/>
        </w:rPr>
        <w:t>, off-label underdosing showed an increased risk of first cardiovascular hospitalization or thromboembolic events (only in apixaban)</w:t>
      </w:r>
      <w:r w:rsidR="00E36A22" w:rsidRPr="00345388">
        <w:rPr>
          <w:rFonts w:ascii="Times New Roman" w:hAnsi="Times New Roman" w:cs="Times New Roman"/>
          <w:sz w:val="24"/>
          <w:szCs w:val="24"/>
        </w:rPr>
        <w:t xml:space="preserve"> (</w:t>
      </w:r>
      <w:r w:rsidR="003C3042" w:rsidRPr="00345388">
        <w:rPr>
          <w:rFonts w:ascii="Times New Roman" w:hAnsi="Times New Roman" w:cs="Times New Roman"/>
          <w:sz w:val="24"/>
          <w:szCs w:val="24"/>
        </w:rPr>
        <w:t>36,37</w:t>
      </w:r>
      <w:r w:rsidR="00E36A22" w:rsidRPr="00345388">
        <w:rPr>
          <w:rFonts w:ascii="Times New Roman" w:hAnsi="Times New Roman" w:cs="Times New Roman"/>
          <w:sz w:val="24"/>
          <w:szCs w:val="24"/>
        </w:rPr>
        <w:t>)</w:t>
      </w:r>
      <w:r w:rsidR="00C04C0A" w:rsidRPr="00345388">
        <w:rPr>
          <w:rFonts w:ascii="Times New Roman" w:hAnsi="Times New Roman" w:cs="Times New Roman"/>
          <w:sz w:val="24"/>
          <w:szCs w:val="24"/>
        </w:rPr>
        <w:t xml:space="preserve">. </w:t>
      </w:r>
      <w:r w:rsidR="00FB55F1" w:rsidRPr="00345388">
        <w:rPr>
          <w:rFonts w:ascii="Times New Roman" w:hAnsi="Times New Roman" w:cs="Times New Roman"/>
          <w:sz w:val="24"/>
          <w:szCs w:val="24"/>
        </w:rPr>
        <w:t xml:space="preserve">In our study, on-label </w:t>
      </w:r>
      <w:r w:rsidR="00810D7A" w:rsidRPr="00345388">
        <w:rPr>
          <w:rFonts w:ascii="Times New Roman" w:hAnsi="Times New Roman" w:cs="Times New Roman"/>
          <w:sz w:val="24"/>
          <w:szCs w:val="24"/>
        </w:rPr>
        <w:t xml:space="preserve">NOAC </w:t>
      </w:r>
      <w:r w:rsidR="00FB55F1" w:rsidRPr="00345388">
        <w:rPr>
          <w:rFonts w:ascii="Times New Roman" w:hAnsi="Times New Roman" w:cs="Times New Roman"/>
          <w:sz w:val="24"/>
          <w:szCs w:val="24"/>
        </w:rPr>
        <w:t xml:space="preserve">dosing showed </w:t>
      </w:r>
      <w:r w:rsidR="00A86EDB" w:rsidRPr="00345388">
        <w:rPr>
          <w:rFonts w:ascii="Times New Roman" w:hAnsi="Times New Roman" w:cs="Times New Roman"/>
          <w:sz w:val="24"/>
          <w:szCs w:val="24"/>
        </w:rPr>
        <w:t>a</w:t>
      </w:r>
      <w:r w:rsidR="00FB55F1" w:rsidRPr="00345388">
        <w:rPr>
          <w:rFonts w:ascii="Times New Roman" w:hAnsi="Times New Roman" w:cs="Times New Roman"/>
          <w:sz w:val="24"/>
          <w:szCs w:val="24"/>
        </w:rPr>
        <w:t xml:space="preserve"> large</w:t>
      </w:r>
      <w:r w:rsidR="00A86EDB" w:rsidRPr="00345388">
        <w:rPr>
          <w:rFonts w:ascii="Times New Roman" w:hAnsi="Times New Roman" w:cs="Times New Roman"/>
          <w:sz w:val="24"/>
          <w:szCs w:val="24"/>
        </w:rPr>
        <w:t>r</w:t>
      </w:r>
      <w:r w:rsidR="00FB55F1" w:rsidRPr="00345388">
        <w:rPr>
          <w:rFonts w:ascii="Times New Roman" w:hAnsi="Times New Roman" w:cs="Times New Roman"/>
          <w:sz w:val="24"/>
          <w:szCs w:val="24"/>
        </w:rPr>
        <w:t xml:space="preserve"> risk reduction in all six clinical outcomes than off-label underdosing and overdosing</w:t>
      </w:r>
      <w:r w:rsidR="00D568E1" w:rsidRPr="00345388">
        <w:rPr>
          <w:rFonts w:ascii="Times New Roman" w:hAnsi="Times New Roman" w:cs="Times New Roman"/>
          <w:sz w:val="24"/>
          <w:szCs w:val="24"/>
        </w:rPr>
        <w:t xml:space="preserve"> when</w:t>
      </w:r>
      <w:r w:rsidR="00810D7A" w:rsidRPr="00345388">
        <w:rPr>
          <w:rFonts w:ascii="Times New Roman" w:hAnsi="Times New Roman" w:cs="Times New Roman"/>
          <w:sz w:val="24"/>
          <w:szCs w:val="24"/>
        </w:rPr>
        <w:t xml:space="preserve"> compared to warfarin</w:t>
      </w:r>
      <w:r w:rsidR="00FB55F1" w:rsidRPr="00345388">
        <w:rPr>
          <w:rFonts w:ascii="Times New Roman" w:hAnsi="Times New Roman" w:cs="Times New Roman"/>
          <w:sz w:val="24"/>
          <w:szCs w:val="24"/>
        </w:rPr>
        <w:t xml:space="preserve">. </w:t>
      </w:r>
      <w:r w:rsidR="006224DB" w:rsidRPr="00345388">
        <w:rPr>
          <w:rFonts w:ascii="Times New Roman" w:hAnsi="Times New Roman" w:cs="Times New Roman"/>
          <w:sz w:val="24"/>
          <w:szCs w:val="24"/>
        </w:rPr>
        <w:t>Although we adopted dosing label from pivotal clinical trials, modified dosing label were implemented among different countries. According to dosing label and what the standard dose is in a particular country’s approved prescribing label, it is possible the patient classification and the clinical outcomes by label adherence of NOAC dosing could be changed. The impact of off-label dosing should therefore be carefully interpreted in a context of each countries’ dosing label.</w:t>
      </w:r>
    </w:p>
    <w:p w14:paraId="4958E9A6" w14:textId="2AD5D421" w:rsidR="005A3A85" w:rsidRPr="00345388" w:rsidRDefault="005A3A85"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t>Study limitation</w:t>
      </w:r>
      <w:r w:rsidR="00810D7A" w:rsidRPr="00345388">
        <w:rPr>
          <w:rFonts w:ascii="Times New Roman" w:hAnsi="Times New Roman" w:cs="Times New Roman"/>
          <w:b/>
          <w:sz w:val="24"/>
          <w:szCs w:val="24"/>
        </w:rPr>
        <w:t>s</w:t>
      </w:r>
      <w:r w:rsidRPr="00345388">
        <w:rPr>
          <w:rFonts w:ascii="Times New Roman" w:hAnsi="Times New Roman" w:cs="Times New Roman"/>
          <w:b/>
          <w:sz w:val="24"/>
          <w:szCs w:val="24"/>
        </w:rPr>
        <w:t xml:space="preserve"> </w:t>
      </w:r>
    </w:p>
    <w:p w14:paraId="569143B7" w14:textId="73A529B6" w:rsidR="00537D9E" w:rsidRPr="00345388" w:rsidRDefault="00537D9E"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 xml:space="preserve">There are several limitations </w:t>
      </w:r>
      <w:r w:rsidR="00111151" w:rsidRPr="00345388">
        <w:rPr>
          <w:rFonts w:ascii="Times New Roman" w:hAnsi="Times New Roman" w:cs="Times New Roman"/>
          <w:sz w:val="24"/>
          <w:szCs w:val="24"/>
        </w:rPr>
        <w:t xml:space="preserve">to </w:t>
      </w:r>
      <w:r w:rsidRPr="00345388">
        <w:rPr>
          <w:rFonts w:ascii="Times New Roman" w:hAnsi="Times New Roman" w:cs="Times New Roman"/>
          <w:sz w:val="24"/>
          <w:szCs w:val="24"/>
        </w:rPr>
        <w:t>this study. First,</w:t>
      </w:r>
      <w:r w:rsidR="00111151" w:rsidRPr="00345388">
        <w:rPr>
          <w:rFonts w:ascii="Times New Roman" w:hAnsi="Times New Roman" w:cs="Times New Roman"/>
          <w:sz w:val="24"/>
          <w:szCs w:val="24"/>
        </w:rPr>
        <w:t xml:space="preserve"> the</w:t>
      </w:r>
      <w:r w:rsidRPr="00345388">
        <w:rPr>
          <w:rFonts w:ascii="Times New Roman" w:hAnsi="Times New Roman" w:cs="Times New Roman"/>
          <w:sz w:val="24"/>
          <w:szCs w:val="24"/>
        </w:rPr>
        <w:t xml:space="preserve"> </w:t>
      </w:r>
      <w:r w:rsidR="009F4B85" w:rsidRPr="00345388">
        <w:rPr>
          <w:rFonts w:ascii="Times New Roman" w:hAnsi="Times New Roman" w:cs="Times New Roman"/>
          <w:sz w:val="24"/>
          <w:szCs w:val="24"/>
        </w:rPr>
        <w:t>quality of warfarin treatment represented as time in the therapeutic range</w:t>
      </w:r>
      <w:r w:rsidR="008B1939" w:rsidRPr="00345388">
        <w:rPr>
          <w:rFonts w:ascii="Times New Roman" w:hAnsi="Times New Roman" w:cs="Times New Roman"/>
          <w:sz w:val="24"/>
          <w:szCs w:val="24"/>
        </w:rPr>
        <w:t xml:space="preserve"> (TTR)</w:t>
      </w:r>
      <w:r w:rsidR="009F4B85" w:rsidRPr="00345388">
        <w:rPr>
          <w:rFonts w:ascii="Times New Roman" w:hAnsi="Times New Roman" w:cs="Times New Roman"/>
          <w:sz w:val="24"/>
          <w:szCs w:val="24"/>
        </w:rPr>
        <w:t xml:space="preserve"> was not evaluated. The Korean NHIS claims database and health checkup database did not include individual</w:t>
      </w:r>
      <w:r w:rsidR="00810D7A" w:rsidRPr="00345388">
        <w:rPr>
          <w:rFonts w:ascii="Times New Roman" w:hAnsi="Times New Roman" w:cs="Times New Roman"/>
          <w:sz w:val="24"/>
          <w:szCs w:val="24"/>
        </w:rPr>
        <w:t xml:space="preserve"> data on</w:t>
      </w:r>
      <w:r w:rsidR="009F4B85" w:rsidRPr="00345388">
        <w:rPr>
          <w:rFonts w:ascii="Times New Roman" w:hAnsi="Times New Roman" w:cs="Times New Roman"/>
          <w:sz w:val="24"/>
          <w:szCs w:val="24"/>
        </w:rPr>
        <w:t xml:space="preserve"> international normalized ratio of prothrombin time. </w:t>
      </w:r>
      <w:r w:rsidR="001A2F81" w:rsidRPr="00345388">
        <w:rPr>
          <w:rFonts w:ascii="Times New Roman" w:hAnsi="Times New Roman" w:cs="Times New Roman"/>
          <w:sz w:val="24"/>
          <w:szCs w:val="24"/>
        </w:rPr>
        <w:t>Poor TTR control in Asian patients treated with warfarin was consistently observed in previous studies (38-40). In sub-analyses of RE-LY trial, even though the benefit of dabigatran was consistent across wide ranges of TTR, TTR of Korean patients was significantly lower (55%) than that of total study population (64%) (41). In a recent retrospective analysis, mean TTR was reported as 50% for Korean AF patients (42). Although we could not provide TTR in our study group, the results should be carefully interpreted considering the relatively lower TTR of Asian patients.</w:t>
      </w:r>
      <w:r w:rsidR="008B1939" w:rsidRPr="00345388">
        <w:rPr>
          <w:rFonts w:ascii="Times New Roman" w:hAnsi="Times New Roman" w:cs="Times New Roman"/>
          <w:sz w:val="24"/>
          <w:szCs w:val="24"/>
        </w:rPr>
        <w:t xml:space="preserve"> </w:t>
      </w:r>
      <w:r w:rsidR="00111151" w:rsidRPr="00345388">
        <w:rPr>
          <w:rFonts w:ascii="Times New Roman" w:hAnsi="Times New Roman" w:cs="Times New Roman"/>
          <w:sz w:val="24"/>
          <w:szCs w:val="24"/>
        </w:rPr>
        <w:t>Additionally</w:t>
      </w:r>
      <w:r w:rsidR="009F4B85" w:rsidRPr="00345388">
        <w:rPr>
          <w:rFonts w:ascii="Times New Roman" w:hAnsi="Times New Roman" w:cs="Times New Roman"/>
          <w:sz w:val="24"/>
          <w:szCs w:val="24"/>
        </w:rPr>
        <w:t xml:space="preserve">, actual </w:t>
      </w:r>
      <w:r w:rsidR="009F4B85" w:rsidRPr="00345388">
        <w:rPr>
          <w:rFonts w:ascii="Times New Roman" w:hAnsi="Times New Roman" w:cs="Times New Roman"/>
          <w:sz w:val="24"/>
          <w:szCs w:val="24"/>
        </w:rPr>
        <w:lastRenderedPageBreak/>
        <w:t>drug adherence could not be evaluated</w:t>
      </w:r>
      <w:r w:rsidR="00810D7A" w:rsidRPr="00345388">
        <w:rPr>
          <w:rFonts w:ascii="Times New Roman" w:hAnsi="Times New Roman" w:cs="Times New Roman"/>
          <w:sz w:val="24"/>
          <w:szCs w:val="24"/>
        </w:rPr>
        <w:t>,</w:t>
      </w:r>
      <w:r w:rsidR="009F4B85" w:rsidRPr="00345388">
        <w:rPr>
          <w:rFonts w:ascii="Times New Roman" w:hAnsi="Times New Roman" w:cs="Times New Roman"/>
          <w:sz w:val="24"/>
          <w:szCs w:val="24"/>
        </w:rPr>
        <w:t xml:space="preserve"> an inherent limitation of claim data. Second, patients with prior history of ischemic stroke, ICH, or GI bleeding were excluded from this study. Third, although we carefully matched two study groups using</w:t>
      </w:r>
      <w:r w:rsidR="009A53F2" w:rsidRPr="00345388">
        <w:rPr>
          <w:rFonts w:ascii="Times New Roman" w:hAnsi="Times New Roman" w:cs="Times New Roman"/>
          <w:sz w:val="24"/>
          <w:szCs w:val="24"/>
        </w:rPr>
        <w:t xml:space="preserve"> the</w:t>
      </w:r>
      <w:r w:rsidR="009F4B85" w:rsidRPr="00345388">
        <w:rPr>
          <w:rFonts w:ascii="Times New Roman" w:hAnsi="Times New Roman" w:cs="Times New Roman"/>
          <w:sz w:val="24"/>
          <w:szCs w:val="24"/>
        </w:rPr>
        <w:t xml:space="preserve"> IPW method and achieved well-balanced cohorts, </w:t>
      </w:r>
      <w:r w:rsidR="009A53F2" w:rsidRPr="00345388">
        <w:rPr>
          <w:rFonts w:ascii="Times New Roman" w:hAnsi="Times New Roman" w:cs="Times New Roman"/>
          <w:sz w:val="24"/>
          <w:szCs w:val="24"/>
        </w:rPr>
        <w:t>the</w:t>
      </w:r>
      <w:r w:rsidR="00C363B6" w:rsidRPr="00345388">
        <w:rPr>
          <w:rFonts w:ascii="Times New Roman" w:hAnsi="Times New Roman" w:cs="Times New Roman"/>
          <w:sz w:val="24"/>
          <w:szCs w:val="24"/>
        </w:rPr>
        <w:t xml:space="preserve"> possibility of residual confounding from unmeasured factors still exist</w:t>
      </w:r>
      <w:r w:rsidR="009A53F2" w:rsidRPr="00345388">
        <w:rPr>
          <w:rFonts w:ascii="Times New Roman" w:hAnsi="Times New Roman" w:cs="Times New Roman"/>
          <w:sz w:val="24"/>
          <w:szCs w:val="24"/>
        </w:rPr>
        <w:t>s</w:t>
      </w:r>
      <w:r w:rsidR="00C363B6" w:rsidRPr="00345388">
        <w:rPr>
          <w:rFonts w:ascii="Times New Roman" w:hAnsi="Times New Roman" w:cs="Times New Roman"/>
          <w:sz w:val="24"/>
          <w:szCs w:val="24"/>
        </w:rPr>
        <w:t xml:space="preserve">. </w:t>
      </w:r>
      <w:r w:rsidR="00AD1924" w:rsidRPr="00345388">
        <w:rPr>
          <w:rFonts w:ascii="Times New Roman" w:hAnsi="Times New Roman" w:cs="Times New Roman"/>
          <w:sz w:val="24"/>
          <w:szCs w:val="24"/>
        </w:rPr>
        <w:t>Lastly, this study was designed from the claims database of entire Korean population, therefore, the ethnic uniformity of the cohort should be considered when this result was interpreted and generalized.</w:t>
      </w:r>
    </w:p>
    <w:p w14:paraId="73084F42" w14:textId="3FD7B9AE" w:rsidR="005A3A85" w:rsidRPr="00345388" w:rsidRDefault="005A3A85"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t>Conclusions</w:t>
      </w:r>
    </w:p>
    <w:p w14:paraId="432C93D2" w14:textId="52B1675B" w:rsidR="005820DB" w:rsidRPr="00345388" w:rsidRDefault="006224DB" w:rsidP="00EB0B89">
      <w:pPr>
        <w:spacing w:after="0" w:line="480" w:lineRule="auto"/>
        <w:rPr>
          <w:rFonts w:ascii="Times New Roman" w:hAnsi="Times New Roman" w:cs="Times New Roman"/>
          <w:sz w:val="24"/>
          <w:szCs w:val="24"/>
        </w:rPr>
      </w:pPr>
      <w:bookmarkStart w:id="8" w:name="_Hlk528729230"/>
      <w:r w:rsidRPr="00345388">
        <w:rPr>
          <w:rFonts w:ascii="Times New Roman" w:hAnsi="Times New Roman" w:cs="Times New Roman"/>
          <w:sz w:val="24"/>
          <w:szCs w:val="24"/>
        </w:rPr>
        <w:t>In this real-world Asian population with non-valvular AF and low body weight (≤60 kg), NOACs showed better effectiveness and safety than warfarin. This result remained consistent in patients with extremely low body weight (&lt;50 kg). Also, regular dose NOACs showed comparable results as reduced dose NOACs</w:t>
      </w:r>
      <w:r w:rsidR="00071301" w:rsidRPr="00345388">
        <w:rPr>
          <w:rFonts w:ascii="Times New Roman" w:hAnsi="Times New Roman" w:cs="Times New Roman"/>
          <w:sz w:val="24"/>
          <w:szCs w:val="24"/>
        </w:rPr>
        <w:t xml:space="preserve">. </w:t>
      </w:r>
    </w:p>
    <w:bookmarkEnd w:id="8"/>
    <w:p w14:paraId="379CE298" w14:textId="77777777" w:rsidR="000F5651" w:rsidRPr="00345388" w:rsidRDefault="000F5651"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br w:type="page"/>
      </w:r>
    </w:p>
    <w:p w14:paraId="15356F9C" w14:textId="7C111D45" w:rsidR="006E2212" w:rsidRPr="00345388" w:rsidRDefault="00E36A22"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lastRenderedPageBreak/>
        <w:t>Clinical Perspectives</w:t>
      </w:r>
    </w:p>
    <w:p w14:paraId="7977FB8B" w14:textId="748A5D80" w:rsidR="00E36A22" w:rsidRPr="00345388" w:rsidRDefault="002F0769" w:rsidP="00EB0B89">
      <w:pPr>
        <w:spacing w:after="0" w:line="480" w:lineRule="auto"/>
        <w:rPr>
          <w:rFonts w:ascii="Times New Roman" w:hAnsi="Times New Roman" w:cs="Times New Roman"/>
          <w:sz w:val="24"/>
          <w:szCs w:val="24"/>
        </w:rPr>
      </w:pPr>
      <w:r w:rsidRPr="00345388">
        <w:rPr>
          <w:rFonts w:ascii="Times New Roman" w:hAnsi="Times New Roman" w:cs="Times New Roman"/>
          <w:b/>
          <w:sz w:val="24"/>
          <w:szCs w:val="24"/>
        </w:rPr>
        <w:t>Competency in Medical Knowledge 1:</w:t>
      </w:r>
      <w:r w:rsidRPr="00345388">
        <w:rPr>
          <w:rFonts w:ascii="Times New Roman" w:hAnsi="Times New Roman" w:cs="Times New Roman"/>
          <w:sz w:val="24"/>
          <w:szCs w:val="24"/>
        </w:rPr>
        <w:t xml:space="preserve"> </w:t>
      </w:r>
      <w:r w:rsidR="00F361C1" w:rsidRPr="00345388">
        <w:rPr>
          <w:rFonts w:ascii="Times New Roman" w:hAnsi="Times New Roman" w:cs="Times New Roman"/>
          <w:sz w:val="24"/>
          <w:szCs w:val="24"/>
        </w:rPr>
        <w:t>This</w:t>
      </w:r>
      <w:r w:rsidR="00F361C1" w:rsidRPr="00345388">
        <w:rPr>
          <w:rFonts w:ascii="Times New Roman" w:hAnsi="Times New Roman" w:cs="Times New Roman"/>
          <w:b/>
          <w:sz w:val="24"/>
          <w:szCs w:val="24"/>
        </w:rPr>
        <w:t xml:space="preserve"> </w:t>
      </w:r>
      <w:r w:rsidR="004B5E69" w:rsidRPr="00345388">
        <w:rPr>
          <w:rFonts w:ascii="Times New Roman" w:hAnsi="Times New Roman" w:cs="Times New Roman"/>
          <w:sz w:val="24"/>
          <w:szCs w:val="24"/>
        </w:rPr>
        <w:t xml:space="preserve">was the first population-based study to demonstrate the effectiveness and safety of NOACs compared with warfarin in AF patients with low body weight. </w:t>
      </w:r>
      <w:r w:rsidR="00AB4466" w:rsidRPr="00345388">
        <w:rPr>
          <w:rFonts w:ascii="Times New Roman" w:hAnsi="Times New Roman" w:cs="Times New Roman"/>
          <w:sz w:val="24"/>
          <w:szCs w:val="24"/>
        </w:rPr>
        <w:t>NOAC improved net clinical benefit both in patients with low (</w:t>
      </w:r>
      <w:r w:rsidR="00AB4466" w:rsidRPr="00345388">
        <w:rPr>
          <w:rFonts w:ascii="Times New Roman" w:eastAsia="Malgun Gothic" w:hAnsi="Times New Roman" w:cs="Times New Roman"/>
          <w:sz w:val="24"/>
          <w:szCs w:val="24"/>
        </w:rPr>
        <w:t>≤</w:t>
      </w:r>
      <w:r w:rsidR="00AB4466" w:rsidRPr="00345388">
        <w:rPr>
          <w:rFonts w:ascii="Times New Roman" w:hAnsi="Times New Roman" w:cs="Times New Roman"/>
          <w:sz w:val="24"/>
          <w:szCs w:val="24"/>
        </w:rPr>
        <w:t>60 kg) and extremely low (&lt;50 kg) body weight.</w:t>
      </w:r>
      <w:r w:rsidR="00AB4466" w:rsidRPr="00345388">
        <w:rPr>
          <w:rFonts w:ascii="Times New Roman" w:hAnsi="Times New Roman" w:cs="Times New Roman"/>
          <w:b/>
          <w:sz w:val="24"/>
          <w:szCs w:val="24"/>
        </w:rPr>
        <w:t xml:space="preserve"> </w:t>
      </w:r>
    </w:p>
    <w:p w14:paraId="27FE3957" w14:textId="5D71BE34" w:rsidR="002F0769" w:rsidRPr="00345388" w:rsidRDefault="002F0769" w:rsidP="00EB0B89">
      <w:pPr>
        <w:spacing w:after="0" w:line="480" w:lineRule="auto"/>
        <w:rPr>
          <w:rFonts w:ascii="Times New Roman" w:hAnsi="Times New Roman" w:cs="Times New Roman"/>
          <w:sz w:val="24"/>
          <w:szCs w:val="24"/>
        </w:rPr>
      </w:pPr>
      <w:r w:rsidRPr="00345388">
        <w:rPr>
          <w:rFonts w:ascii="Times New Roman" w:hAnsi="Times New Roman" w:cs="Times New Roman"/>
          <w:b/>
          <w:sz w:val="24"/>
          <w:szCs w:val="24"/>
        </w:rPr>
        <w:t xml:space="preserve">Translational Outlook: </w:t>
      </w:r>
      <w:r w:rsidR="00F10290" w:rsidRPr="00345388">
        <w:rPr>
          <w:rFonts w:ascii="Times New Roman" w:hAnsi="Times New Roman" w:cs="Times New Roman"/>
          <w:sz w:val="24"/>
          <w:szCs w:val="24"/>
        </w:rPr>
        <w:t>Further study including more Asian patients will be needed to confirm the findings of this study regarding the effectiveness and safety NOAC across the subgroups.</w:t>
      </w:r>
      <w:r w:rsidR="00FE41FF" w:rsidRPr="00345388">
        <w:rPr>
          <w:rFonts w:ascii="Times New Roman" w:hAnsi="Times New Roman" w:cs="Times New Roman"/>
          <w:sz w:val="24"/>
          <w:szCs w:val="24"/>
        </w:rPr>
        <w:t xml:space="preserve"> </w:t>
      </w:r>
    </w:p>
    <w:p w14:paraId="4E954182" w14:textId="1137444A" w:rsidR="006E2212" w:rsidRPr="00345388" w:rsidRDefault="00E36A22"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br w:type="page"/>
      </w:r>
      <w:r w:rsidR="006E2212" w:rsidRPr="00345388">
        <w:rPr>
          <w:rFonts w:ascii="Times New Roman" w:hAnsi="Times New Roman" w:cs="Times New Roman"/>
          <w:b/>
          <w:sz w:val="24"/>
          <w:szCs w:val="24"/>
        </w:rPr>
        <w:lastRenderedPageBreak/>
        <w:t>References</w:t>
      </w:r>
    </w:p>
    <w:p w14:paraId="4EFEE63A" w14:textId="6BF1496D" w:rsidR="006E2212" w:rsidRPr="00345388" w:rsidRDefault="006E2212" w:rsidP="00EB0B89">
      <w:pPr>
        <w:spacing w:after="0" w:line="480" w:lineRule="auto"/>
        <w:rPr>
          <w:rFonts w:ascii="Times New Roman" w:hAnsi="Times New Roman" w:cs="Times New Roman"/>
          <w:sz w:val="24"/>
          <w:szCs w:val="24"/>
        </w:rPr>
      </w:pPr>
      <w:bookmarkStart w:id="9" w:name="_Hlk521237385"/>
      <w:r w:rsidRPr="00345388">
        <w:rPr>
          <w:rFonts w:ascii="Times New Roman" w:hAnsi="Times New Roman" w:cs="Times New Roman"/>
          <w:sz w:val="24"/>
          <w:szCs w:val="24"/>
        </w:rPr>
        <w:t>1</w:t>
      </w:r>
      <w:r w:rsidR="00BE19C4" w:rsidRPr="00345388">
        <w:rPr>
          <w:rFonts w:ascii="Times New Roman" w:hAnsi="Times New Roman" w:cs="Times New Roman"/>
          <w:sz w:val="24"/>
          <w:szCs w:val="24"/>
        </w:rPr>
        <w:t>.</w:t>
      </w:r>
      <w:r w:rsidRPr="00345388">
        <w:rPr>
          <w:rFonts w:ascii="Times New Roman" w:hAnsi="Times New Roman" w:cs="Times New Roman"/>
          <w:sz w:val="24"/>
          <w:szCs w:val="24"/>
        </w:rPr>
        <w:tab/>
        <w:t>Lip G, Freedman B, De Caterina R, Potpara TS. Stroke prevention in atrial fibrillation: Past, present and future. Comparing the guidelines and practical decision-making. Thromb Haemost 2017;117:1230-9.</w:t>
      </w:r>
    </w:p>
    <w:p w14:paraId="23D31C48" w14:textId="0527B0F6" w:rsidR="006E2212" w:rsidRPr="00345388" w:rsidRDefault="006E2212"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2</w:t>
      </w:r>
      <w:r w:rsidR="00BE19C4" w:rsidRPr="00345388">
        <w:rPr>
          <w:rFonts w:ascii="Times New Roman" w:hAnsi="Times New Roman" w:cs="Times New Roman"/>
          <w:sz w:val="24"/>
          <w:szCs w:val="24"/>
        </w:rPr>
        <w:t>.</w:t>
      </w:r>
      <w:r w:rsidRPr="00345388">
        <w:rPr>
          <w:rFonts w:ascii="Times New Roman" w:hAnsi="Times New Roman" w:cs="Times New Roman"/>
          <w:sz w:val="24"/>
          <w:szCs w:val="24"/>
        </w:rPr>
        <w:tab/>
        <w:t xml:space="preserve">Schnabel RB, Yin X, Gona P, </w:t>
      </w:r>
      <w:r w:rsidR="00BE19C4" w:rsidRPr="00345388">
        <w:rPr>
          <w:rFonts w:ascii="Times New Roman" w:hAnsi="Times New Roman" w:cs="Times New Roman"/>
          <w:sz w:val="24"/>
          <w:szCs w:val="24"/>
        </w:rPr>
        <w:t>et al</w:t>
      </w:r>
      <w:r w:rsidRPr="00345388">
        <w:rPr>
          <w:rFonts w:ascii="Times New Roman" w:hAnsi="Times New Roman" w:cs="Times New Roman"/>
          <w:sz w:val="24"/>
          <w:szCs w:val="24"/>
        </w:rPr>
        <w:t xml:space="preserve">. 50 year trends in atrial fibrillation prevalence, incidence, risk factors, and mortality in the Framingham Heart Study: a cohort study. Lancet 2015;386:154-62. </w:t>
      </w:r>
    </w:p>
    <w:p w14:paraId="74F0CE7E" w14:textId="7FF29849" w:rsidR="006E2212" w:rsidRPr="00345388" w:rsidRDefault="006E2212"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3</w:t>
      </w:r>
      <w:r w:rsidR="00BE19C4" w:rsidRPr="00345388">
        <w:rPr>
          <w:rFonts w:ascii="Times New Roman" w:hAnsi="Times New Roman" w:cs="Times New Roman"/>
          <w:sz w:val="24"/>
          <w:szCs w:val="24"/>
        </w:rPr>
        <w:t>.</w:t>
      </w:r>
      <w:r w:rsidRPr="00345388">
        <w:rPr>
          <w:rFonts w:ascii="Times New Roman" w:hAnsi="Times New Roman" w:cs="Times New Roman"/>
          <w:sz w:val="24"/>
          <w:szCs w:val="24"/>
        </w:rPr>
        <w:tab/>
        <w:t>Lee SR, Choi EK, Han KD, Cha MJ, Oh S. Trends in the incidence and prevalence of atrial fibrillation and estimated thromboembolic risk using the CHA</w:t>
      </w:r>
      <w:r w:rsidRPr="00345388">
        <w:rPr>
          <w:rFonts w:ascii="Times New Roman" w:hAnsi="Times New Roman" w:cs="Times New Roman"/>
          <w:sz w:val="24"/>
          <w:szCs w:val="24"/>
          <w:vertAlign w:val="subscript"/>
        </w:rPr>
        <w:t>2</w:t>
      </w:r>
      <w:r w:rsidRPr="00345388">
        <w:rPr>
          <w:rFonts w:ascii="Times New Roman" w:hAnsi="Times New Roman" w:cs="Times New Roman"/>
          <w:sz w:val="24"/>
          <w:szCs w:val="24"/>
        </w:rPr>
        <w:t>DS</w:t>
      </w:r>
      <w:r w:rsidRPr="00345388">
        <w:rPr>
          <w:rFonts w:ascii="Times New Roman" w:hAnsi="Times New Roman" w:cs="Times New Roman"/>
          <w:sz w:val="24"/>
          <w:szCs w:val="24"/>
          <w:vertAlign w:val="subscript"/>
        </w:rPr>
        <w:t>2</w:t>
      </w:r>
      <w:r w:rsidRPr="00345388">
        <w:rPr>
          <w:rFonts w:ascii="Times New Roman" w:hAnsi="Times New Roman" w:cs="Times New Roman"/>
          <w:sz w:val="24"/>
          <w:szCs w:val="24"/>
        </w:rPr>
        <w:t>-VASc score in the entire Korean population. Int J Cardiol 2017;236:226-31.</w:t>
      </w:r>
    </w:p>
    <w:p w14:paraId="552EBDE5" w14:textId="61A633D4" w:rsidR="006E2212" w:rsidRPr="00345388" w:rsidRDefault="006E2212"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4</w:t>
      </w:r>
      <w:r w:rsidR="00BE19C4" w:rsidRPr="00345388">
        <w:rPr>
          <w:rFonts w:ascii="Times New Roman" w:hAnsi="Times New Roman" w:cs="Times New Roman"/>
          <w:sz w:val="24"/>
          <w:szCs w:val="24"/>
        </w:rPr>
        <w:t>.</w:t>
      </w:r>
      <w:r w:rsidRPr="00345388">
        <w:rPr>
          <w:rFonts w:ascii="Times New Roman" w:hAnsi="Times New Roman" w:cs="Times New Roman"/>
          <w:sz w:val="24"/>
          <w:szCs w:val="24"/>
        </w:rPr>
        <w:tab/>
        <w:t xml:space="preserve">Huisman MV, Rothman KJ, Paquette M, </w:t>
      </w:r>
      <w:r w:rsidR="00BE19C4" w:rsidRPr="00345388">
        <w:rPr>
          <w:rFonts w:ascii="Times New Roman" w:hAnsi="Times New Roman" w:cs="Times New Roman"/>
          <w:sz w:val="24"/>
          <w:szCs w:val="24"/>
        </w:rPr>
        <w:t>et al</w:t>
      </w:r>
      <w:r w:rsidRPr="00345388">
        <w:rPr>
          <w:rFonts w:ascii="Times New Roman" w:hAnsi="Times New Roman" w:cs="Times New Roman"/>
          <w:sz w:val="24"/>
          <w:szCs w:val="24"/>
        </w:rPr>
        <w:t xml:space="preserve">. The Changing landscape for stroke prevention in AF: finding from the GLORIA-AF registry phase 2. J Am Coll Cardiol 2017;69:777-85. </w:t>
      </w:r>
    </w:p>
    <w:p w14:paraId="7D37D96C" w14:textId="048B72D7" w:rsidR="006E2212" w:rsidRPr="00345388" w:rsidRDefault="006E2212"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5</w:t>
      </w:r>
      <w:r w:rsidR="00BE19C4" w:rsidRPr="00345388">
        <w:rPr>
          <w:rFonts w:ascii="Times New Roman" w:hAnsi="Times New Roman" w:cs="Times New Roman"/>
          <w:sz w:val="24"/>
          <w:szCs w:val="24"/>
        </w:rPr>
        <w:t>.</w:t>
      </w:r>
      <w:r w:rsidRPr="00345388">
        <w:rPr>
          <w:rFonts w:ascii="Times New Roman" w:hAnsi="Times New Roman" w:cs="Times New Roman"/>
          <w:sz w:val="24"/>
          <w:szCs w:val="24"/>
        </w:rPr>
        <w:tab/>
        <w:t xml:space="preserve">Bungard TJ, Ghali WA, Teo KK, McAlister FA, Tsuyuki RT. Why do patients with atrial fibrillation not receive warfarin? Arch Intern Med 2000;160:41-6. </w:t>
      </w:r>
    </w:p>
    <w:p w14:paraId="629CFF44" w14:textId="30CF7040" w:rsidR="006E2212" w:rsidRPr="00345388" w:rsidRDefault="006E2212"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6</w:t>
      </w:r>
      <w:r w:rsidR="00BE19C4" w:rsidRPr="00345388">
        <w:rPr>
          <w:rFonts w:ascii="Times New Roman" w:hAnsi="Times New Roman" w:cs="Times New Roman"/>
          <w:sz w:val="24"/>
          <w:szCs w:val="24"/>
        </w:rPr>
        <w:t>.</w:t>
      </w:r>
      <w:r w:rsidRPr="00345388">
        <w:rPr>
          <w:rFonts w:ascii="Times New Roman" w:hAnsi="Times New Roman" w:cs="Times New Roman"/>
          <w:sz w:val="24"/>
          <w:szCs w:val="24"/>
        </w:rPr>
        <w:tab/>
        <w:t xml:space="preserve">Lip GY, Wang KL, Chiang CE. Non-vitamin K antagonist oral anticoagulants (NOACs) for stroke prevention in Asian patients with atrial fibrillation: time for a reappraisal. Int J Cardiol 2015;180:246-54. </w:t>
      </w:r>
    </w:p>
    <w:p w14:paraId="3BF9B76F" w14:textId="2AD97D8F" w:rsidR="006E2212" w:rsidRPr="00345388" w:rsidRDefault="006E2212"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7</w:t>
      </w:r>
      <w:r w:rsidR="00BE19C4" w:rsidRPr="00345388">
        <w:rPr>
          <w:rFonts w:ascii="Times New Roman" w:hAnsi="Times New Roman" w:cs="Times New Roman"/>
          <w:sz w:val="24"/>
          <w:szCs w:val="24"/>
        </w:rPr>
        <w:t>.</w:t>
      </w:r>
      <w:r w:rsidRPr="00345388">
        <w:rPr>
          <w:rFonts w:ascii="Times New Roman" w:hAnsi="Times New Roman" w:cs="Times New Roman"/>
          <w:sz w:val="24"/>
          <w:szCs w:val="24"/>
        </w:rPr>
        <w:tab/>
        <w:t>Lee SR, Choi EK, Han KD, Cha MJ, Oh S, Lip GYH. Temporal trends of antithrombotic therapy for stroke prevention in Korean patients with non-valvular atrial fibrillation in the era of non-vitamin K antagonist oral anticoagulants: A nationwide population-based study. PLoS One 2017;12:e0189495.</w:t>
      </w:r>
    </w:p>
    <w:p w14:paraId="75FEEE18" w14:textId="28891758" w:rsidR="006E2212" w:rsidRPr="00345388" w:rsidRDefault="006E2212"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lastRenderedPageBreak/>
        <w:t>8</w:t>
      </w:r>
      <w:r w:rsidR="00BE19C4" w:rsidRPr="00345388">
        <w:rPr>
          <w:rFonts w:ascii="Times New Roman" w:hAnsi="Times New Roman" w:cs="Times New Roman"/>
          <w:sz w:val="24"/>
          <w:szCs w:val="24"/>
        </w:rPr>
        <w:t>.</w:t>
      </w:r>
      <w:r w:rsidRPr="00345388">
        <w:rPr>
          <w:rFonts w:ascii="Times New Roman" w:hAnsi="Times New Roman" w:cs="Times New Roman"/>
          <w:sz w:val="24"/>
          <w:szCs w:val="24"/>
        </w:rPr>
        <w:tab/>
        <w:t xml:space="preserve">Ruff CT, Giugliano RP, Braunwald E, </w:t>
      </w:r>
      <w:r w:rsidR="00BE19C4" w:rsidRPr="00345388">
        <w:rPr>
          <w:rFonts w:ascii="Times New Roman" w:hAnsi="Times New Roman" w:cs="Times New Roman"/>
          <w:sz w:val="24"/>
          <w:szCs w:val="24"/>
        </w:rPr>
        <w:t>et al</w:t>
      </w:r>
      <w:r w:rsidRPr="00345388">
        <w:rPr>
          <w:rFonts w:ascii="Times New Roman" w:hAnsi="Times New Roman" w:cs="Times New Roman"/>
          <w:sz w:val="24"/>
          <w:szCs w:val="24"/>
        </w:rPr>
        <w:t>. Comparison of the efficacy and safety of new oral anticoagulants with warfarin in patients with atrial fibrillation: a meta-analysis of randomised trials. Lancet 2014;383:955-62.</w:t>
      </w:r>
    </w:p>
    <w:p w14:paraId="50010794" w14:textId="4CFA7D8A" w:rsidR="006E2212" w:rsidRPr="00345388" w:rsidRDefault="006E2212"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9</w:t>
      </w:r>
      <w:r w:rsidR="00BE19C4" w:rsidRPr="00345388">
        <w:rPr>
          <w:rFonts w:ascii="Times New Roman" w:hAnsi="Times New Roman" w:cs="Times New Roman"/>
          <w:sz w:val="24"/>
          <w:szCs w:val="24"/>
        </w:rPr>
        <w:t>.</w:t>
      </w:r>
      <w:r w:rsidRPr="00345388">
        <w:rPr>
          <w:rFonts w:ascii="Times New Roman" w:hAnsi="Times New Roman" w:cs="Times New Roman"/>
          <w:sz w:val="24"/>
          <w:szCs w:val="24"/>
        </w:rPr>
        <w:tab/>
        <w:t>Pan WH, Flegal KM, Chang HY, Yeh WT, Yeh CJ, Lee WC. Body mass index and obesity-related metabolic disorders in Taiwanese and US whites and blacks: implications for definitions of overweight and obesity for Asians. Am J Clin Nutr 2004;79:31-9.</w:t>
      </w:r>
    </w:p>
    <w:p w14:paraId="528C9227" w14:textId="332B1515" w:rsidR="006E2212" w:rsidRPr="00345388" w:rsidRDefault="006E2212"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10</w:t>
      </w:r>
      <w:r w:rsidR="00BE19C4" w:rsidRPr="00345388">
        <w:rPr>
          <w:rFonts w:ascii="Times New Roman" w:hAnsi="Times New Roman" w:cs="Times New Roman"/>
          <w:sz w:val="24"/>
          <w:szCs w:val="24"/>
        </w:rPr>
        <w:t>.</w:t>
      </w:r>
      <w:r w:rsidRPr="00345388">
        <w:rPr>
          <w:rFonts w:ascii="Times New Roman" w:hAnsi="Times New Roman" w:cs="Times New Roman"/>
          <w:sz w:val="24"/>
          <w:szCs w:val="24"/>
        </w:rPr>
        <w:tab/>
        <w:t xml:space="preserve">De Caterina R, Lip GYH. The non-vitamin K antagonist oral anticoagulants (NOACs) and extremes of body weight-a systematic literature review. Clin Res Cardiol 2017;106:565-72. </w:t>
      </w:r>
    </w:p>
    <w:p w14:paraId="75CFD6C1" w14:textId="3BE319B4" w:rsidR="006E2212" w:rsidRPr="00345388" w:rsidRDefault="006E2212"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11</w:t>
      </w:r>
      <w:r w:rsidR="00BE19C4" w:rsidRPr="00345388">
        <w:rPr>
          <w:rFonts w:ascii="Times New Roman" w:hAnsi="Times New Roman" w:cs="Times New Roman"/>
          <w:sz w:val="24"/>
          <w:szCs w:val="24"/>
        </w:rPr>
        <w:t>.</w:t>
      </w:r>
      <w:r w:rsidRPr="00345388">
        <w:rPr>
          <w:rFonts w:ascii="Times New Roman" w:hAnsi="Times New Roman" w:cs="Times New Roman"/>
          <w:sz w:val="24"/>
          <w:szCs w:val="24"/>
        </w:rPr>
        <w:tab/>
        <w:t xml:space="preserve">Park CS, Choi EK, Kim HM, Lee SR, Cha MJ, Oh S. Increased risk of major bleeding in underweight patients with atrial fibrillation who were prescribed non-vitamin K antagonist oral anticoagulants. Heart Rhythm 2017;14:501-7. </w:t>
      </w:r>
    </w:p>
    <w:p w14:paraId="125DEFE0" w14:textId="30FE0C6C" w:rsidR="00B11EDE" w:rsidRPr="00345388" w:rsidRDefault="00B11EDE"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12.</w:t>
      </w:r>
      <w:r w:rsidRPr="00345388">
        <w:rPr>
          <w:rFonts w:ascii="Times New Roman" w:hAnsi="Times New Roman" w:cs="Times New Roman"/>
          <w:sz w:val="24"/>
          <w:szCs w:val="24"/>
        </w:rPr>
        <w:tab/>
        <w:t>Song SO, Jung CH, Song YD, et al. Background and data configuration process of a nationwide population-based study using the Korean national health insurance system. Diabetes Metab J 2014;38:395-403.</w:t>
      </w:r>
    </w:p>
    <w:p w14:paraId="416E9C3B" w14:textId="088A4EBA" w:rsidR="006E2212" w:rsidRPr="00345388" w:rsidRDefault="00022E8C"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13</w:t>
      </w:r>
      <w:r w:rsidR="00BE19C4" w:rsidRPr="00345388">
        <w:rPr>
          <w:rFonts w:ascii="Times New Roman" w:hAnsi="Times New Roman" w:cs="Times New Roman"/>
          <w:sz w:val="24"/>
          <w:szCs w:val="24"/>
        </w:rPr>
        <w:t>.</w:t>
      </w:r>
      <w:r w:rsidR="006E2212" w:rsidRPr="00345388">
        <w:rPr>
          <w:rFonts w:ascii="Times New Roman" w:hAnsi="Times New Roman" w:cs="Times New Roman"/>
          <w:sz w:val="24"/>
          <w:szCs w:val="24"/>
        </w:rPr>
        <w:tab/>
        <w:t xml:space="preserve">Cha MJ, Choi EK, Han KD, </w:t>
      </w:r>
      <w:r w:rsidR="00BE19C4" w:rsidRPr="00345388">
        <w:rPr>
          <w:rFonts w:ascii="Times New Roman" w:hAnsi="Times New Roman" w:cs="Times New Roman"/>
          <w:sz w:val="24"/>
          <w:szCs w:val="24"/>
        </w:rPr>
        <w:t>et al</w:t>
      </w:r>
      <w:r w:rsidR="006E2212" w:rsidRPr="00345388">
        <w:rPr>
          <w:rFonts w:ascii="Times New Roman" w:hAnsi="Times New Roman" w:cs="Times New Roman"/>
          <w:sz w:val="24"/>
          <w:szCs w:val="24"/>
        </w:rPr>
        <w:t xml:space="preserve">. Effectiveness and safety of non-vitamin K antagonist oral anticoagulants in Asian patients with atrial fibrillation. Stroke 2017;48:3040-8. </w:t>
      </w:r>
    </w:p>
    <w:p w14:paraId="4B6C4F7C" w14:textId="3CFADB2F" w:rsidR="006E2212" w:rsidRPr="00345388" w:rsidRDefault="00022E8C"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14</w:t>
      </w:r>
      <w:r w:rsidR="00BE19C4" w:rsidRPr="00345388">
        <w:rPr>
          <w:rFonts w:ascii="Times New Roman" w:hAnsi="Times New Roman" w:cs="Times New Roman"/>
          <w:sz w:val="24"/>
          <w:szCs w:val="24"/>
        </w:rPr>
        <w:t>.</w:t>
      </w:r>
      <w:r w:rsidR="006E2212" w:rsidRPr="00345388">
        <w:rPr>
          <w:rFonts w:ascii="Times New Roman" w:hAnsi="Times New Roman" w:cs="Times New Roman"/>
          <w:sz w:val="24"/>
          <w:szCs w:val="24"/>
        </w:rPr>
        <w:tab/>
        <w:t>Lee SR, Choi EK, Han KD, Jung JH, Oh S, Lip GYH. Edoxaban in Asian patients with atrial fibrillation</w:t>
      </w:r>
      <w:r w:rsidR="00BE19C4" w:rsidRPr="00345388">
        <w:rPr>
          <w:rFonts w:ascii="Times New Roman" w:hAnsi="Times New Roman" w:cs="Times New Roman"/>
          <w:sz w:val="24"/>
          <w:szCs w:val="24"/>
        </w:rPr>
        <w:t>: effectiveness and safety</w:t>
      </w:r>
      <w:r w:rsidR="006E2212" w:rsidRPr="00345388">
        <w:rPr>
          <w:rFonts w:ascii="Times New Roman" w:hAnsi="Times New Roman" w:cs="Times New Roman"/>
          <w:sz w:val="24"/>
          <w:szCs w:val="24"/>
        </w:rPr>
        <w:t xml:space="preserve">. J Am Coll Cardiol 2018;72:838-53. </w:t>
      </w:r>
    </w:p>
    <w:p w14:paraId="15322FE7" w14:textId="7EB77AF4" w:rsidR="006E2212" w:rsidRPr="00345388" w:rsidRDefault="00022E8C"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15</w:t>
      </w:r>
      <w:r w:rsidR="00BE19C4" w:rsidRPr="00345388">
        <w:rPr>
          <w:rFonts w:ascii="Times New Roman" w:hAnsi="Times New Roman" w:cs="Times New Roman"/>
          <w:sz w:val="24"/>
          <w:szCs w:val="24"/>
        </w:rPr>
        <w:t>.</w:t>
      </w:r>
      <w:r w:rsidR="006E2212" w:rsidRPr="00345388">
        <w:rPr>
          <w:rFonts w:ascii="Times New Roman" w:hAnsi="Times New Roman" w:cs="Times New Roman"/>
          <w:sz w:val="24"/>
          <w:szCs w:val="24"/>
        </w:rPr>
        <w:tab/>
        <w:t xml:space="preserve">Lip GY, Nieuwlaat R, Pisters R, Lane DA, Crijns HJ. Refining clinical risk stratification for predicting stroke and thromboembolism in atrial fibrillation using a </w:t>
      </w:r>
      <w:r w:rsidR="006E2212" w:rsidRPr="00345388">
        <w:rPr>
          <w:rFonts w:ascii="Times New Roman" w:hAnsi="Times New Roman" w:cs="Times New Roman"/>
          <w:sz w:val="24"/>
          <w:szCs w:val="24"/>
        </w:rPr>
        <w:lastRenderedPageBreak/>
        <w:t>novel risk factor-based approach: the euro heart survey on atrial fibrillation. Chest 2010;137:263-72</w:t>
      </w:r>
      <w:r w:rsidR="00BE19C4" w:rsidRPr="00345388">
        <w:rPr>
          <w:rFonts w:ascii="Times New Roman" w:hAnsi="Times New Roman" w:cs="Times New Roman"/>
          <w:sz w:val="24"/>
          <w:szCs w:val="24"/>
        </w:rPr>
        <w:t>.</w:t>
      </w:r>
    </w:p>
    <w:p w14:paraId="41645AF4" w14:textId="5FF4DD85" w:rsidR="006E2212" w:rsidRPr="00345388" w:rsidRDefault="00022E8C"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16</w:t>
      </w:r>
      <w:r w:rsidR="00223EA0" w:rsidRPr="00345388">
        <w:rPr>
          <w:rFonts w:ascii="Times New Roman" w:hAnsi="Times New Roman" w:cs="Times New Roman"/>
          <w:sz w:val="24"/>
          <w:szCs w:val="24"/>
        </w:rPr>
        <w:t>.</w:t>
      </w:r>
      <w:r w:rsidR="006E2212" w:rsidRPr="00345388">
        <w:rPr>
          <w:rFonts w:ascii="Times New Roman" w:hAnsi="Times New Roman" w:cs="Times New Roman"/>
          <w:sz w:val="24"/>
          <w:szCs w:val="24"/>
        </w:rPr>
        <w:tab/>
        <w:t xml:space="preserve">Granger CB, Alexander JH, McMurray JJ, </w:t>
      </w:r>
      <w:r w:rsidR="00223EA0" w:rsidRPr="00345388">
        <w:rPr>
          <w:rFonts w:ascii="Times New Roman" w:hAnsi="Times New Roman" w:cs="Times New Roman"/>
          <w:sz w:val="24"/>
          <w:szCs w:val="24"/>
        </w:rPr>
        <w:t>et al</w:t>
      </w:r>
      <w:r w:rsidR="006E2212" w:rsidRPr="00345388">
        <w:rPr>
          <w:rFonts w:ascii="Times New Roman" w:hAnsi="Times New Roman" w:cs="Times New Roman"/>
          <w:sz w:val="24"/>
          <w:szCs w:val="24"/>
        </w:rPr>
        <w:t xml:space="preserve">. </w:t>
      </w:r>
      <w:r w:rsidR="00C64F2A" w:rsidRPr="00345388">
        <w:rPr>
          <w:rFonts w:ascii="Times New Roman" w:hAnsi="Times New Roman" w:cs="Times New Roman"/>
          <w:sz w:val="24"/>
          <w:szCs w:val="24"/>
        </w:rPr>
        <w:t xml:space="preserve">Apixaban versus warfarin in patients with atrial fibrillation. </w:t>
      </w:r>
      <w:r w:rsidR="006E2212" w:rsidRPr="00345388">
        <w:rPr>
          <w:rFonts w:ascii="Times New Roman" w:hAnsi="Times New Roman" w:cs="Times New Roman"/>
          <w:sz w:val="24"/>
          <w:szCs w:val="24"/>
        </w:rPr>
        <w:t>N Engl J Med 2011;365:981-92.</w:t>
      </w:r>
    </w:p>
    <w:p w14:paraId="420218A9" w14:textId="4FE33352" w:rsidR="006E2212" w:rsidRPr="00345388" w:rsidRDefault="00022E8C"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17</w:t>
      </w:r>
      <w:r w:rsidR="00223EA0" w:rsidRPr="00345388">
        <w:rPr>
          <w:rFonts w:ascii="Times New Roman" w:hAnsi="Times New Roman" w:cs="Times New Roman"/>
          <w:sz w:val="24"/>
          <w:szCs w:val="24"/>
        </w:rPr>
        <w:t>.</w:t>
      </w:r>
      <w:r w:rsidR="006E2212" w:rsidRPr="00345388">
        <w:rPr>
          <w:rFonts w:ascii="Times New Roman" w:hAnsi="Times New Roman" w:cs="Times New Roman"/>
          <w:sz w:val="24"/>
          <w:szCs w:val="24"/>
        </w:rPr>
        <w:tab/>
        <w:t xml:space="preserve">Giugliano RP, Ruff CT, Braunwald E, </w:t>
      </w:r>
      <w:r w:rsidR="00223EA0" w:rsidRPr="00345388">
        <w:rPr>
          <w:rFonts w:ascii="Times New Roman" w:hAnsi="Times New Roman" w:cs="Times New Roman"/>
          <w:sz w:val="24"/>
          <w:szCs w:val="24"/>
        </w:rPr>
        <w:t>et al</w:t>
      </w:r>
      <w:r w:rsidR="006E2212" w:rsidRPr="00345388">
        <w:rPr>
          <w:rFonts w:ascii="Times New Roman" w:hAnsi="Times New Roman" w:cs="Times New Roman"/>
          <w:sz w:val="24"/>
          <w:szCs w:val="24"/>
        </w:rPr>
        <w:t>. Edoxaban versus warfarin in patients with atrial fibrillation. N Engl J Med 2013;369:2093-104.</w:t>
      </w:r>
    </w:p>
    <w:p w14:paraId="6578D2F3" w14:textId="350C2B6C" w:rsidR="006E2212" w:rsidRPr="00345388" w:rsidRDefault="00022E8C"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18</w:t>
      </w:r>
      <w:r w:rsidR="00223EA0" w:rsidRPr="00345388">
        <w:rPr>
          <w:rFonts w:ascii="Times New Roman" w:hAnsi="Times New Roman" w:cs="Times New Roman"/>
          <w:sz w:val="24"/>
          <w:szCs w:val="24"/>
        </w:rPr>
        <w:t>.</w:t>
      </w:r>
      <w:r w:rsidR="006E2212" w:rsidRPr="00345388">
        <w:rPr>
          <w:rFonts w:ascii="Times New Roman" w:hAnsi="Times New Roman" w:cs="Times New Roman"/>
          <w:sz w:val="24"/>
          <w:szCs w:val="24"/>
        </w:rPr>
        <w:tab/>
        <w:t xml:space="preserve">Rocca B, Fox KAA, Ajjan RA, </w:t>
      </w:r>
      <w:r w:rsidR="00223EA0" w:rsidRPr="00345388">
        <w:rPr>
          <w:rFonts w:ascii="Times New Roman" w:hAnsi="Times New Roman" w:cs="Times New Roman"/>
          <w:sz w:val="24"/>
          <w:szCs w:val="24"/>
        </w:rPr>
        <w:t>et al</w:t>
      </w:r>
      <w:r w:rsidR="006E2212" w:rsidRPr="00345388">
        <w:rPr>
          <w:rFonts w:ascii="Times New Roman" w:hAnsi="Times New Roman" w:cs="Times New Roman"/>
          <w:sz w:val="24"/>
          <w:szCs w:val="24"/>
        </w:rPr>
        <w:t>. Antithrombotic therapy and body mass: an expert position paper of the ESC Working Group on Thrombosis. Eur Heart J 2018;39:1672-86.</w:t>
      </w:r>
    </w:p>
    <w:p w14:paraId="6741A006" w14:textId="2EEAADD8" w:rsidR="006E2212" w:rsidRPr="00345388" w:rsidRDefault="00022E8C"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19</w:t>
      </w:r>
      <w:r w:rsidR="00223EA0" w:rsidRPr="00345388">
        <w:rPr>
          <w:rFonts w:ascii="Times New Roman" w:hAnsi="Times New Roman" w:cs="Times New Roman"/>
          <w:sz w:val="24"/>
          <w:szCs w:val="24"/>
        </w:rPr>
        <w:t>.</w:t>
      </w:r>
      <w:r w:rsidR="006E2212" w:rsidRPr="00345388">
        <w:rPr>
          <w:rFonts w:ascii="Times New Roman" w:hAnsi="Times New Roman" w:cs="Times New Roman"/>
          <w:sz w:val="24"/>
          <w:szCs w:val="24"/>
        </w:rPr>
        <w:tab/>
        <w:t xml:space="preserve">Upreti VV, Wang J, Barrett YC, </w:t>
      </w:r>
      <w:r w:rsidR="00223EA0" w:rsidRPr="00345388">
        <w:rPr>
          <w:rFonts w:ascii="Times New Roman" w:hAnsi="Times New Roman" w:cs="Times New Roman"/>
          <w:sz w:val="24"/>
          <w:szCs w:val="24"/>
        </w:rPr>
        <w:t>et al</w:t>
      </w:r>
      <w:r w:rsidR="006E2212" w:rsidRPr="00345388">
        <w:rPr>
          <w:rFonts w:ascii="Times New Roman" w:hAnsi="Times New Roman" w:cs="Times New Roman"/>
          <w:sz w:val="24"/>
          <w:szCs w:val="24"/>
        </w:rPr>
        <w:t>. Effect of extremes of body weight on the pharmacokinetics, pharmacodynamics, safety and tolerability of apixaban in healthy subjects. Br J Clin Pharmacol 2013;76:908-16.</w:t>
      </w:r>
    </w:p>
    <w:p w14:paraId="5BA4E7A9" w14:textId="7C1C089D" w:rsidR="006E2212" w:rsidRPr="00345388" w:rsidRDefault="00022E8C"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20</w:t>
      </w:r>
      <w:r w:rsidR="00223EA0" w:rsidRPr="00345388">
        <w:rPr>
          <w:rFonts w:ascii="Times New Roman" w:hAnsi="Times New Roman" w:cs="Times New Roman"/>
          <w:sz w:val="24"/>
          <w:szCs w:val="24"/>
        </w:rPr>
        <w:t>.</w:t>
      </w:r>
      <w:r w:rsidR="006E2212" w:rsidRPr="00345388">
        <w:rPr>
          <w:rFonts w:ascii="Times New Roman" w:hAnsi="Times New Roman" w:cs="Times New Roman"/>
          <w:sz w:val="24"/>
          <w:szCs w:val="24"/>
        </w:rPr>
        <w:tab/>
      </w:r>
      <w:bookmarkStart w:id="10" w:name="_Hlk527370373"/>
      <w:r w:rsidR="006E2212" w:rsidRPr="00345388">
        <w:rPr>
          <w:rFonts w:ascii="Times New Roman" w:hAnsi="Times New Roman" w:cs="Times New Roman"/>
          <w:sz w:val="24"/>
          <w:szCs w:val="24"/>
        </w:rPr>
        <w:t xml:space="preserve">Austin PC. The use of propensity score methods with survival or time-to-event outcomes: reporting measures of effect similar to those used in randomized experiments. Stat Med 2014;33:1242-58. </w:t>
      </w:r>
      <w:bookmarkEnd w:id="10"/>
    </w:p>
    <w:p w14:paraId="6058244C" w14:textId="5A83645F" w:rsidR="006E2212" w:rsidRPr="00345388" w:rsidRDefault="00022E8C" w:rsidP="00EB0B89">
      <w:pPr>
        <w:spacing w:after="0" w:line="480" w:lineRule="auto"/>
        <w:rPr>
          <w:rFonts w:ascii="Times New Roman" w:hAnsi="Times New Roman" w:cs="Times New Roman"/>
          <w:sz w:val="24"/>
          <w:szCs w:val="24"/>
        </w:rPr>
      </w:pPr>
      <w:bookmarkStart w:id="11" w:name="_Hlk527370382"/>
      <w:r w:rsidRPr="00345388">
        <w:rPr>
          <w:rFonts w:ascii="Times New Roman" w:hAnsi="Times New Roman" w:cs="Times New Roman"/>
          <w:sz w:val="24"/>
          <w:szCs w:val="24"/>
        </w:rPr>
        <w:t>21</w:t>
      </w:r>
      <w:r w:rsidR="00223EA0" w:rsidRPr="00345388">
        <w:rPr>
          <w:rFonts w:ascii="Times New Roman" w:hAnsi="Times New Roman" w:cs="Times New Roman"/>
          <w:sz w:val="24"/>
          <w:szCs w:val="24"/>
        </w:rPr>
        <w:t>.</w:t>
      </w:r>
      <w:r w:rsidR="006E2212" w:rsidRPr="00345388">
        <w:rPr>
          <w:rFonts w:ascii="Times New Roman" w:hAnsi="Times New Roman" w:cs="Times New Roman"/>
          <w:sz w:val="24"/>
          <w:szCs w:val="24"/>
        </w:rPr>
        <w:tab/>
        <w:t>Austin PC, Stuart EA. Moving towards best practice when using inverse probability of treatment weighting (IPTW) using the propensity score to estimate causal treatment effects in observational studies. Stat Med 2015;34:3661-79.</w:t>
      </w:r>
    </w:p>
    <w:p w14:paraId="703BE10B" w14:textId="37E38DB5" w:rsidR="00E446C4" w:rsidRPr="00345388" w:rsidRDefault="00E446C4"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22.</w:t>
      </w:r>
      <w:r w:rsidRPr="00345388">
        <w:rPr>
          <w:rFonts w:ascii="Times New Roman" w:hAnsi="Times New Roman" w:cs="Times New Roman"/>
          <w:sz w:val="24"/>
          <w:szCs w:val="24"/>
        </w:rPr>
        <w:tab/>
      </w:r>
      <w:r w:rsidR="00DA1999" w:rsidRPr="00345388">
        <w:rPr>
          <w:rFonts w:ascii="Times New Roman" w:hAnsi="Times New Roman" w:cs="Times New Roman"/>
          <w:sz w:val="24"/>
          <w:szCs w:val="24"/>
        </w:rPr>
        <w:t>Heinze G, Jüni P. An overview of the objectives of and the approaches to propensity score analyses. Eur Heart J 2011;32:1704-8.</w:t>
      </w:r>
    </w:p>
    <w:p w14:paraId="51609466" w14:textId="1E0FB04B" w:rsidR="00E446C4" w:rsidRPr="00345388" w:rsidRDefault="00E446C4"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23.</w:t>
      </w:r>
      <w:r w:rsidRPr="00345388">
        <w:rPr>
          <w:rFonts w:ascii="Times New Roman" w:hAnsi="Times New Roman" w:cs="Times New Roman"/>
          <w:sz w:val="24"/>
          <w:szCs w:val="24"/>
        </w:rPr>
        <w:tab/>
      </w:r>
      <w:r w:rsidR="00DA1999" w:rsidRPr="00345388">
        <w:rPr>
          <w:rFonts w:ascii="Times New Roman" w:hAnsi="Times New Roman" w:cs="Times New Roman"/>
          <w:sz w:val="24"/>
          <w:szCs w:val="24"/>
        </w:rPr>
        <w:t>Elze MC, Gregson J, Baber U, et al. Comparison of propensity score methods and covariate adjustment: evaluation in 4 cardiovascular studies. J Am Coll Cardiol 2017;69:345-57.</w:t>
      </w:r>
    </w:p>
    <w:p w14:paraId="19B5A8DD" w14:textId="410ED9F8" w:rsidR="00E446C4" w:rsidRPr="00345388" w:rsidRDefault="00E446C4"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lastRenderedPageBreak/>
        <w:t>24.</w:t>
      </w:r>
      <w:r w:rsidRPr="00345388">
        <w:rPr>
          <w:rFonts w:ascii="Times New Roman" w:hAnsi="Times New Roman" w:cs="Times New Roman"/>
          <w:sz w:val="24"/>
          <w:szCs w:val="24"/>
        </w:rPr>
        <w:tab/>
        <w:t>McMurry TL, Hu Y, Blackstone EH, Kozower BD. Propensity scores: Methods, considerations, and applications in the Journal of Thoracic and Cardiovascular Surgery. J Thorac Cardiovasc Surg 2015;150:14-9.</w:t>
      </w:r>
    </w:p>
    <w:p w14:paraId="56BDC5DB" w14:textId="67B467F7" w:rsidR="00E446C4" w:rsidRPr="00345388" w:rsidRDefault="00E446C4"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25.</w:t>
      </w:r>
      <w:r w:rsidRPr="00345388">
        <w:rPr>
          <w:rFonts w:ascii="Times New Roman" w:hAnsi="Times New Roman" w:cs="Times New Roman"/>
          <w:sz w:val="24"/>
          <w:szCs w:val="24"/>
        </w:rPr>
        <w:tab/>
        <w:t>Imai K, King G, Stuart EA. Misunderstandings between experimentalists and observationalists about causal inference. J Roy Stat Soc: Ser A 2008;171:481-502.</w:t>
      </w:r>
    </w:p>
    <w:bookmarkEnd w:id="11"/>
    <w:p w14:paraId="1FF07862" w14:textId="36A2C86A" w:rsidR="006E2212" w:rsidRPr="00345388" w:rsidRDefault="00E446C4"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26</w:t>
      </w:r>
      <w:r w:rsidR="00223EA0" w:rsidRPr="00345388">
        <w:rPr>
          <w:rFonts w:ascii="Times New Roman" w:hAnsi="Times New Roman" w:cs="Times New Roman"/>
          <w:sz w:val="24"/>
          <w:szCs w:val="24"/>
        </w:rPr>
        <w:t>.</w:t>
      </w:r>
      <w:r w:rsidR="006E2212" w:rsidRPr="00345388">
        <w:rPr>
          <w:rFonts w:ascii="Times New Roman" w:hAnsi="Times New Roman" w:cs="Times New Roman"/>
          <w:sz w:val="24"/>
          <w:szCs w:val="24"/>
        </w:rPr>
        <w:tab/>
        <w:t xml:space="preserve">Austin PC. Balance diagnostics for comparing the distribution of baseline covariates between treatment groups in propensity-score matched samples. Stat Med 2009;28:3083-107. </w:t>
      </w:r>
    </w:p>
    <w:p w14:paraId="6747056A" w14:textId="1DEF5BF5" w:rsidR="006E2212" w:rsidRPr="00345388" w:rsidRDefault="005A2DBB"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27</w:t>
      </w:r>
      <w:r w:rsidR="00223EA0" w:rsidRPr="00345388">
        <w:rPr>
          <w:rFonts w:ascii="Times New Roman" w:hAnsi="Times New Roman" w:cs="Times New Roman"/>
          <w:sz w:val="24"/>
          <w:szCs w:val="24"/>
        </w:rPr>
        <w:t>.</w:t>
      </w:r>
      <w:r w:rsidR="006E2212" w:rsidRPr="00345388">
        <w:rPr>
          <w:rFonts w:ascii="Times New Roman" w:hAnsi="Times New Roman" w:cs="Times New Roman"/>
          <w:sz w:val="24"/>
          <w:szCs w:val="24"/>
        </w:rPr>
        <w:tab/>
        <w:t xml:space="preserve">Scaglione F. New oral anticoagulants: comparative pharmacology with vitamin K antagonists. Clin Pharmacokinet 2013;52:69-82. </w:t>
      </w:r>
    </w:p>
    <w:p w14:paraId="2AA7AE18" w14:textId="02A78A7E" w:rsidR="006E2212" w:rsidRPr="00345388" w:rsidRDefault="005A2DBB"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28</w:t>
      </w:r>
      <w:r w:rsidR="00223EA0" w:rsidRPr="00345388">
        <w:rPr>
          <w:rFonts w:ascii="Times New Roman" w:hAnsi="Times New Roman" w:cs="Times New Roman"/>
          <w:sz w:val="24"/>
          <w:szCs w:val="24"/>
        </w:rPr>
        <w:t>.</w:t>
      </w:r>
      <w:r w:rsidR="006E2212" w:rsidRPr="00345388">
        <w:rPr>
          <w:rFonts w:ascii="Times New Roman" w:hAnsi="Times New Roman" w:cs="Times New Roman"/>
          <w:sz w:val="24"/>
          <w:szCs w:val="24"/>
        </w:rPr>
        <w:tab/>
        <w:t xml:space="preserve">Alexander JH, Andersson U, Lopes RD, </w:t>
      </w:r>
      <w:r w:rsidR="00223EA0" w:rsidRPr="00345388">
        <w:rPr>
          <w:rFonts w:ascii="Times New Roman" w:hAnsi="Times New Roman" w:cs="Times New Roman"/>
          <w:sz w:val="24"/>
          <w:szCs w:val="24"/>
        </w:rPr>
        <w:t>et al</w:t>
      </w:r>
      <w:r w:rsidR="006E2212" w:rsidRPr="00345388">
        <w:rPr>
          <w:rFonts w:ascii="Times New Roman" w:hAnsi="Times New Roman" w:cs="Times New Roman"/>
          <w:sz w:val="24"/>
          <w:szCs w:val="24"/>
        </w:rPr>
        <w:t>. Apixaban 5 mg twice daily and clinical outcomes in patients with atrial fibrillation and advanced age, low body weight, or high creatinine: a secondary analysis of a randomized clinical trial. JAMA Cardiol 2016;1:673-81.</w:t>
      </w:r>
    </w:p>
    <w:p w14:paraId="7DCE887C" w14:textId="7078B7FF" w:rsidR="006E2212" w:rsidRPr="00345388" w:rsidRDefault="005A2DBB"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29</w:t>
      </w:r>
      <w:r w:rsidR="00223EA0" w:rsidRPr="00345388">
        <w:rPr>
          <w:rFonts w:ascii="Times New Roman" w:hAnsi="Times New Roman" w:cs="Times New Roman"/>
          <w:sz w:val="24"/>
          <w:szCs w:val="24"/>
        </w:rPr>
        <w:t>.</w:t>
      </w:r>
      <w:r w:rsidR="006E2212" w:rsidRPr="00345388">
        <w:rPr>
          <w:rFonts w:ascii="Times New Roman" w:hAnsi="Times New Roman" w:cs="Times New Roman"/>
          <w:sz w:val="24"/>
          <w:szCs w:val="24"/>
        </w:rPr>
        <w:tab/>
        <w:t xml:space="preserve">Yin OQ, Tetsuya K, Miller R. Edoxaban population pharmacokinetics and exposure-response analysis in patients with non-valvular atrial fibrillation. Eur J Clin Pharmacol 2017;70:1339-51. </w:t>
      </w:r>
    </w:p>
    <w:p w14:paraId="7756FEF8" w14:textId="6237A2A1" w:rsidR="006E2212" w:rsidRPr="00345388" w:rsidRDefault="005A2DBB"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30</w:t>
      </w:r>
      <w:r w:rsidR="00223EA0" w:rsidRPr="00345388">
        <w:rPr>
          <w:rFonts w:ascii="Times New Roman" w:hAnsi="Times New Roman" w:cs="Times New Roman"/>
          <w:sz w:val="24"/>
          <w:szCs w:val="24"/>
        </w:rPr>
        <w:t>.</w:t>
      </w:r>
      <w:r w:rsidR="006E2212" w:rsidRPr="00345388">
        <w:rPr>
          <w:rFonts w:ascii="Times New Roman" w:hAnsi="Times New Roman" w:cs="Times New Roman"/>
          <w:sz w:val="24"/>
          <w:szCs w:val="24"/>
        </w:rPr>
        <w:tab/>
        <w:t xml:space="preserve">Reilly PA, Lehr T, Haertter S, </w:t>
      </w:r>
      <w:r w:rsidR="00223EA0" w:rsidRPr="00345388">
        <w:rPr>
          <w:rFonts w:ascii="Times New Roman" w:hAnsi="Times New Roman" w:cs="Times New Roman"/>
          <w:sz w:val="24"/>
          <w:szCs w:val="24"/>
        </w:rPr>
        <w:t>et al</w:t>
      </w:r>
      <w:r w:rsidR="006E2212" w:rsidRPr="00345388">
        <w:rPr>
          <w:rFonts w:ascii="Times New Roman" w:hAnsi="Times New Roman" w:cs="Times New Roman"/>
          <w:sz w:val="24"/>
          <w:szCs w:val="24"/>
        </w:rPr>
        <w:t>. The effect of dabigatran plasma concentrations and patient characteristics on the frequency of ischemic stroke and major bleeding in atrial fibrillation patients: the RE-LY Trial (Randomized Evaluation of Long-Term Anticoagulation Therapy). J Am Coll Cardiol 2014;63:321–8.</w:t>
      </w:r>
    </w:p>
    <w:p w14:paraId="5F806F18" w14:textId="0B66E81D" w:rsidR="006E2212" w:rsidRPr="00345388" w:rsidRDefault="005A2DBB"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lastRenderedPageBreak/>
        <w:t>31</w:t>
      </w:r>
      <w:r w:rsidR="00223EA0" w:rsidRPr="00345388">
        <w:rPr>
          <w:rFonts w:ascii="Times New Roman" w:hAnsi="Times New Roman" w:cs="Times New Roman"/>
          <w:sz w:val="24"/>
          <w:szCs w:val="24"/>
        </w:rPr>
        <w:t>.</w:t>
      </w:r>
      <w:r w:rsidR="006E2212" w:rsidRPr="00345388">
        <w:rPr>
          <w:rFonts w:ascii="Times New Roman" w:hAnsi="Times New Roman" w:cs="Times New Roman"/>
          <w:sz w:val="24"/>
          <w:szCs w:val="24"/>
        </w:rPr>
        <w:tab/>
        <w:t xml:space="preserve">Liesenfeld KH, Lehr T, Dansirikul C, </w:t>
      </w:r>
      <w:r w:rsidR="00223EA0" w:rsidRPr="00345388">
        <w:rPr>
          <w:rFonts w:ascii="Times New Roman" w:hAnsi="Times New Roman" w:cs="Times New Roman"/>
          <w:sz w:val="24"/>
          <w:szCs w:val="24"/>
        </w:rPr>
        <w:t>et al</w:t>
      </w:r>
      <w:r w:rsidR="006E2212" w:rsidRPr="00345388">
        <w:rPr>
          <w:rFonts w:ascii="Times New Roman" w:hAnsi="Times New Roman" w:cs="Times New Roman"/>
          <w:sz w:val="24"/>
          <w:szCs w:val="24"/>
        </w:rPr>
        <w:t>. Population pharmacokinetic analysis of the oral thrombin inhibitor dabigatran etexilate in patients with non-valvular atrial fibrillation from the RE-LY trial. J Thromb Haemost 2011;9:2168-75.</w:t>
      </w:r>
    </w:p>
    <w:p w14:paraId="5D32E76D" w14:textId="05E34A0D" w:rsidR="006E2212" w:rsidRPr="00345388" w:rsidRDefault="005A2DBB"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32</w:t>
      </w:r>
      <w:r w:rsidR="00223EA0" w:rsidRPr="00345388">
        <w:rPr>
          <w:rFonts w:ascii="Times New Roman" w:hAnsi="Times New Roman" w:cs="Times New Roman"/>
          <w:sz w:val="24"/>
          <w:szCs w:val="24"/>
        </w:rPr>
        <w:t>.</w:t>
      </w:r>
      <w:r w:rsidR="006E2212" w:rsidRPr="00345388">
        <w:rPr>
          <w:rFonts w:ascii="Times New Roman" w:hAnsi="Times New Roman" w:cs="Times New Roman"/>
          <w:sz w:val="24"/>
          <w:szCs w:val="24"/>
        </w:rPr>
        <w:tab/>
        <w:t>http://www.ema.europa.eu/docs/en_GB/document_library/EPAR_-_Product_Information/human/000829/WC500041059.pdf (August 2018).</w:t>
      </w:r>
    </w:p>
    <w:p w14:paraId="04E5162B" w14:textId="7B9C79F5" w:rsidR="006E2212" w:rsidRPr="00345388" w:rsidRDefault="005A2DBB"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33</w:t>
      </w:r>
      <w:r w:rsidR="00223EA0" w:rsidRPr="00345388">
        <w:rPr>
          <w:rFonts w:ascii="Times New Roman" w:hAnsi="Times New Roman" w:cs="Times New Roman"/>
          <w:sz w:val="24"/>
          <w:szCs w:val="24"/>
        </w:rPr>
        <w:t>.</w:t>
      </w:r>
      <w:r w:rsidR="006E2212" w:rsidRPr="00345388">
        <w:rPr>
          <w:rFonts w:ascii="Times New Roman" w:hAnsi="Times New Roman" w:cs="Times New Roman"/>
          <w:sz w:val="24"/>
          <w:szCs w:val="24"/>
        </w:rPr>
        <w:tab/>
        <w:t>Kubitza D, Becka M, Zuehlsdorf M, Mueck W. Body weight has limited influence on the safety, tolerability, pharmacokinetics, or pharmacodynamics of rivaroxaban (BAY 59-7939) in healthy subjects. J Clin Pharmacol 2007;47:218–26.</w:t>
      </w:r>
    </w:p>
    <w:p w14:paraId="639033BB" w14:textId="3CFFB6C6" w:rsidR="006E2212" w:rsidRPr="00345388" w:rsidRDefault="005A2DBB"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34</w:t>
      </w:r>
      <w:r w:rsidR="00223EA0" w:rsidRPr="00345388">
        <w:rPr>
          <w:rFonts w:ascii="Times New Roman" w:hAnsi="Times New Roman" w:cs="Times New Roman"/>
          <w:sz w:val="24"/>
          <w:szCs w:val="24"/>
        </w:rPr>
        <w:t>.</w:t>
      </w:r>
      <w:r w:rsidR="006E2212" w:rsidRPr="00345388">
        <w:rPr>
          <w:rFonts w:ascii="Times New Roman" w:hAnsi="Times New Roman" w:cs="Times New Roman"/>
          <w:sz w:val="24"/>
          <w:szCs w:val="24"/>
        </w:rPr>
        <w:tab/>
        <w:t xml:space="preserve">Connolly SJ, Ezekowitz MD, Yusuf S, </w:t>
      </w:r>
      <w:r w:rsidR="00223EA0" w:rsidRPr="00345388">
        <w:rPr>
          <w:rFonts w:ascii="Times New Roman" w:hAnsi="Times New Roman" w:cs="Times New Roman"/>
          <w:sz w:val="24"/>
          <w:szCs w:val="24"/>
        </w:rPr>
        <w:t>et al</w:t>
      </w:r>
      <w:r w:rsidR="006E2212" w:rsidRPr="00345388">
        <w:rPr>
          <w:rFonts w:ascii="Times New Roman" w:hAnsi="Times New Roman" w:cs="Times New Roman"/>
          <w:sz w:val="24"/>
          <w:szCs w:val="24"/>
        </w:rPr>
        <w:t>. Dabigatran versus warfarin in patients with atrial fibrillation. N Engl J Med 2009;361:1139-51.</w:t>
      </w:r>
    </w:p>
    <w:p w14:paraId="2E1D6B0C" w14:textId="39138CB1" w:rsidR="006E2212" w:rsidRPr="00345388" w:rsidRDefault="005A2DBB"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35</w:t>
      </w:r>
      <w:r w:rsidR="00223EA0" w:rsidRPr="00345388">
        <w:rPr>
          <w:rFonts w:ascii="Times New Roman" w:hAnsi="Times New Roman" w:cs="Times New Roman"/>
          <w:sz w:val="24"/>
          <w:szCs w:val="24"/>
        </w:rPr>
        <w:t>.</w:t>
      </w:r>
      <w:r w:rsidR="006E2212" w:rsidRPr="00345388">
        <w:rPr>
          <w:rFonts w:ascii="Times New Roman" w:hAnsi="Times New Roman" w:cs="Times New Roman"/>
          <w:sz w:val="24"/>
          <w:szCs w:val="24"/>
        </w:rPr>
        <w:tab/>
        <w:t xml:space="preserve">Patel MR, Mahaffey KW, Garg J, </w:t>
      </w:r>
      <w:r w:rsidR="00223EA0" w:rsidRPr="00345388">
        <w:rPr>
          <w:rFonts w:ascii="Times New Roman" w:hAnsi="Times New Roman" w:cs="Times New Roman"/>
          <w:sz w:val="24"/>
          <w:szCs w:val="24"/>
        </w:rPr>
        <w:t>et al</w:t>
      </w:r>
      <w:r w:rsidR="006E2212" w:rsidRPr="00345388">
        <w:rPr>
          <w:rFonts w:ascii="Times New Roman" w:hAnsi="Times New Roman" w:cs="Times New Roman"/>
          <w:sz w:val="24"/>
          <w:szCs w:val="24"/>
        </w:rPr>
        <w:t>. Rivaroxaban versus warfarin in nonvalvular atrial fibrillation. N Engl J Med 2011;365:883-91.</w:t>
      </w:r>
    </w:p>
    <w:p w14:paraId="39A0643B" w14:textId="3E093612" w:rsidR="006E2212" w:rsidRPr="00345388" w:rsidRDefault="005A2DBB"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36</w:t>
      </w:r>
      <w:r w:rsidR="00223EA0" w:rsidRPr="00345388">
        <w:rPr>
          <w:rFonts w:ascii="Times New Roman" w:hAnsi="Times New Roman" w:cs="Times New Roman"/>
          <w:sz w:val="24"/>
          <w:szCs w:val="24"/>
        </w:rPr>
        <w:t>.</w:t>
      </w:r>
      <w:r w:rsidR="006E2212" w:rsidRPr="00345388">
        <w:rPr>
          <w:rFonts w:ascii="Times New Roman" w:hAnsi="Times New Roman" w:cs="Times New Roman"/>
          <w:sz w:val="24"/>
          <w:szCs w:val="24"/>
        </w:rPr>
        <w:tab/>
        <w:t>Steinberg BA, Shrader P, Thomas L</w:t>
      </w:r>
      <w:r w:rsidR="00223EA0" w:rsidRPr="00345388">
        <w:rPr>
          <w:rFonts w:ascii="Times New Roman" w:hAnsi="Times New Roman" w:cs="Times New Roman"/>
          <w:sz w:val="24"/>
          <w:szCs w:val="24"/>
        </w:rPr>
        <w:t>, et al</w:t>
      </w:r>
      <w:r w:rsidR="006E2212" w:rsidRPr="00345388">
        <w:rPr>
          <w:rFonts w:ascii="Times New Roman" w:hAnsi="Times New Roman" w:cs="Times New Roman"/>
          <w:sz w:val="24"/>
          <w:szCs w:val="24"/>
        </w:rPr>
        <w:t>. Off-label dosing of non-vitamin K antagonist oral anticoagulants and adverse outcomes: The ORBIT-AF II Registry. J Am Coll Cardiol 2016;68:2597-604.</w:t>
      </w:r>
    </w:p>
    <w:p w14:paraId="5932001A" w14:textId="026C2D3B" w:rsidR="006E2212" w:rsidRPr="00345388" w:rsidRDefault="005A2DBB"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37</w:t>
      </w:r>
      <w:r w:rsidR="00223EA0" w:rsidRPr="00345388">
        <w:rPr>
          <w:rFonts w:ascii="Times New Roman" w:hAnsi="Times New Roman" w:cs="Times New Roman"/>
          <w:sz w:val="24"/>
          <w:szCs w:val="24"/>
        </w:rPr>
        <w:t>.</w:t>
      </w:r>
      <w:bookmarkEnd w:id="9"/>
      <w:r w:rsidR="006E2212" w:rsidRPr="00345388">
        <w:rPr>
          <w:rFonts w:ascii="Times New Roman" w:hAnsi="Times New Roman" w:cs="Times New Roman"/>
          <w:sz w:val="24"/>
          <w:szCs w:val="24"/>
        </w:rPr>
        <w:tab/>
        <w:t>Yao X, Shah ND, Sangaralingham LR, Gersh BJ, Noseworthy PA. Non-vitamin K antagonist oral anticoagulant dosing in patients with atrial fibrillation and renal dysfunction. J Am Coll Cardiol 2017;69:2779-90.</w:t>
      </w:r>
    </w:p>
    <w:p w14:paraId="742F7E71" w14:textId="597B91DA" w:rsidR="005A2DBB" w:rsidRPr="00345388" w:rsidRDefault="005A2DBB"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38.</w:t>
      </w:r>
      <w:r w:rsidRPr="00345388">
        <w:rPr>
          <w:rFonts w:ascii="Times New Roman" w:hAnsi="Times New Roman" w:cs="Times New Roman"/>
          <w:sz w:val="24"/>
          <w:szCs w:val="24"/>
        </w:rPr>
        <w:tab/>
        <w:t>Oh S, Goto S, Accetta G, et al. Vitamin K antagonist control in patients with atrial fibrillation in Asia compared with other regions of the world: Real-world data from the GARFIELD-AF registry. Int J Cardiol 2016;223:543-7.</w:t>
      </w:r>
    </w:p>
    <w:p w14:paraId="109566CE" w14:textId="7B770103" w:rsidR="005A2DBB" w:rsidRPr="00345388" w:rsidRDefault="005A2DBB"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39.</w:t>
      </w:r>
      <w:r w:rsidRPr="00345388">
        <w:rPr>
          <w:rFonts w:ascii="Times New Roman" w:hAnsi="Times New Roman" w:cs="Times New Roman"/>
          <w:sz w:val="24"/>
          <w:szCs w:val="24"/>
        </w:rPr>
        <w:tab/>
        <w:t>Singer DE, Hellkamp AS, Piccini JP, et al. Impact of global geographic region on time in therapeutic range on warfarin anticoagulant therapy: data from the ROCKET AF clinical trial. J Am Heart Assoc 2013;2:e000067.</w:t>
      </w:r>
    </w:p>
    <w:p w14:paraId="6A858922" w14:textId="723E7038" w:rsidR="005A2DBB" w:rsidRPr="00345388" w:rsidRDefault="005A2DBB"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lastRenderedPageBreak/>
        <w:t>40.</w:t>
      </w:r>
      <w:r w:rsidRPr="00345388">
        <w:rPr>
          <w:rFonts w:ascii="Times New Roman" w:hAnsi="Times New Roman" w:cs="Times New Roman"/>
          <w:sz w:val="24"/>
          <w:szCs w:val="24"/>
        </w:rPr>
        <w:tab/>
        <w:t>Chiang CE, Wang KL, Lip GY. Stroke prevention in atrial fibrillation: an Asian perspective. Thromb Haemost 2014;111:789-97.</w:t>
      </w:r>
    </w:p>
    <w:p w14:paraId="561FF32A" w14:textId="132D2874" w:rsidR="005A2DBB" w:rsidRPr="00345388" w:rsidRDefault="005A2DBB"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41.</w:t>
      </w:r>
      <w:r w:rsidR="005B1CD6" w:rsidRPr="00345388">
        <w:rPr>
          <w:rFonts w:ascii="Times New Roman" w:hAnsi="Times New Roman" w:cs="Times New Roman"/>
          <w:sz w:val="24"/>
          <w:szCs w:val="24"/>
        </w:rPr>
        <w:tab/>
        <w:t>Wallentin L, Yusuf S, Ezekowitz MD, et al. Efficacy and safety of dabigatran compared with warfarin at different levels of international normalized ratio control for stroke prevention in atrial fibrillation: an analysis of the RE-LY trial. Lancet 2010;376:975-83.</w:t>
      </w:r>
    </w:p>
    <w:p w14:paraId="2926594F" w14:textId="6C830F29" w:rsidR="005A2DBB" w:rsidRPr="00345388" w:rsidRDefault="005A2DBB"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42.</w:t>
      </w:r>
      <w:r w:rsidR="009F4A7F" w:rsidRPr="00345388">
        <w:rPr>
          <w:rFonts w:ascii="Times New Roman" w:hAnsi="Times New Roman" w:cs="Times New Roman"/>
          <w:sz w:val="24"/>
          <w:szCs w:val="24"/>
        </w:rPr>
        <w:tab/>
        <w:t>Hong KS, Kim YK, Bae HJ, et al. Quality of anticoagulation with warfarin in Korean patients with atrial fibrillation and prior stroke: a multicenter retrospective observational study. J Clin Neurol 2017;13:273-80.</w:t>
      </w:r>
    </w:p>
    <w:p w14:paraId="6E3AC906" w14:textId="77777777" w:rsidR="006E2212" w:rsidRPr="00345388" w:rsidRDefault="006E2212"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br w:type="page"/>
      </w:r>
    </w:p>
    <w:p w14:paraId="38719A74" w14:textId="77777777" w:rsidR="006E2212" w:rsidRPr="00345388" w:rsidRDefault="006E2212"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lastRenderedPageBreak/>
        <w:t>Figure legends</w:t>
      </w:r>
    </w:p>
    <w:p w14:paraId="161B903F" w14:textId="19E92D82" w:rsidR="00930CFD" w:rsidRPr="00345388" w:rsidRDefault="00930CFD"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t>Central Illustration.</w:t>
      </w:r>
      <w:r w:rsidR="00090BD6" w:rsidRPr="00345388">
        <w:rPr>
          <w:rFonts w:ascii="Times New Roman" w:hAnsi="Times New Roman" w:cs="Times New Roman"/>
          <w:b/>
          <w:sz w:val="24"/>
          <w:szCs w:val="24"/>
        </w:rPr>
        <w:t xml:space="preserve"> </w:t>
      </w:r>
      <w:r w:rsidRPr="00345388">
        <w:rPr>
          <w:rFonts w:ascii="Times New Roman" w:hAnsi="Times New Roman" w:cs="Times New Roman"/>
          <w:b/>
          <w:sz w:val="24"/>
          <w:szCs w:val="24"/>
        </w:rPr>
        <w:t>Hazard ratios of six clinical outcomes in NOAC versus warfarin (reference) groups in total study population and in subgroup patients with 50-60 kg and &lt;50 kg.</w:t>
      </w:r>
    </w:p>
    <w:p w14:paraId="369D64FC" w14:textId="2973F5EA" w:rsidR="00930CFD" w:rsidRPr="00345388" w:rsidRDefault="00AE0D95"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Compared to warfarin user as the reference, NOACs were associated with lower risks of ischemic stroke (HR 0.591, 95% CI 0.510–0.686), major bleeding (HR 0.705, 95% CI 0.601–0.825), driven by a reduction in ICH (HR 0.554, 95% CI 0.429–0.713) and a lower risk of all-cause death (HR 0.705, 95% CI 0.630-0.789). NOAC use showed improved net clinical benefit compared to warfarin (HR for composite outcome 0.660, 95% CI 0.606-0.717), and this was consistent in patients weighed &lt;50 kg (HR for composite outcome 0.665, 95% CI 0.581-0.762)</w:t>
      </w:r>
      <w:r w:rsidR="00090BD6" w:rsidRPr="00345388">
        <w:rPr>
          <w:rFonts w:ascii="Times New Roman" w:hAnsi="Times New Roman" w:cs="Times New Roman"/>
          <w:sz w:val="24"/>
          <w:szCs w:val="24"/>
        </w:rPr>
        <w:t xml:space="preserve">. </w:t>
      </w:r>
      <w:r w:rsidR="00930CFD" w:rsidRPr="00345388">
        <w:rPr>
          <w:rFonts w:ascii="Times New Roman" w:hAnsi="Times New Roman" w:cs="Times New Roman"/>
          <w:sz w:val="24"/>
          <w:szCs w:val="24"/>
        </w:rPr>
        <w:t>CI, confidence interval; GI, gastrointestinal; HR, hazard ratio; NOAC, non-vitamin K antagonist oral anticoagulant.</w:t>
      </w:r>
    </w:p>
    <w:p w14:paraId="52AF2E7E" w14:textId="33EC4BB4" w:rsidR="00930CFD" w:rsidRPr="00345388" w:rsidRDefault="006E2212"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t xml:space="preserve">Figure 1. </w:t>
      </w:r>
      <w:r w:rsidR="00930CFD" w:rsidRPr="00345388">
        <w:rPr>
          <w:rFonts w:ascii="Times New Roman" w:hAnsi="Times New Roman" w:cs="Times New Roman"/>
          <w:b/>
          <w:sz w:val="24"/>
          <w:szCs w:val="24"/>
        </w:rPr>
        <w:t xml:space="preserve">Study </w:t>
      </w:r>
      <w:r w:rsidR="00170155" w:rsidRPr="00345388">
        <w:rPr>
          <w:rFonts w:ascii="Times New Roman" w:hAnsi="Times New Roman" w:cs="Times New Roman"/>
          <w:b/>
          <w:sz w:val="24"/>
          <w:szCs w:val="24"/>
        </w:rPr>
        <w:t xml:space="preserve">population </w:t>
      </w:r>
      <w:r w:rsidR="00930CFD" w:rsidRPr="00345388">
        <w:rPr>
          <w:rFonts w:ascii="Times New Roman" w:hAnsi="Times New Roman" w:cs="Times New Roman"/>
          <w:b/>
          <w:sz w:val="24"/>
          <w:szCs w:val="24"/>
        </w:rPr>
        <w:t>enrollment flow</w:t>
      </w:r>
    </w:p>
    <w:p w14:paraId="47084FFD" w14:textId="60ADD119" w:rsidR="00170155" w:rsidRPr="00345388" w:rsidRDefault="00170155" w:rsidP="00EB0B89">
      <w:pPr>
        <w:spacing w:after="0" w:line="480" w:lineRule="auto"/>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From a total of 135,939 new users of OAC from January 2014, 7,576 warfarin users and 14,103 NOAC users were included in this study. AF = atrial fibrillation; ESRD = end-stage renal disease; GI = gastrointestinal; ICH = intracranial hemorrhage; NOAC = non-vitamin K antagonist oral anticoagulant; OAC = oral anticoagulation.</w:t>
      </w:r>
    </w:p>
    <w:p w14:paraId="00BC1D74" w14:textId="05786781" w:rsidR="006E2212" w:rsidRPr="00345388" w:rsidRDefault="00930CFD"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t xml:space="preserve">Figure 2. </w:t>
      </w:r>
      <w:r w:rsidR="006E2212" w:rsidRPr="00345388">
        <w:rPr>
          <w:rFonts w:ascii="Times New Roman" w:hAnsi="Times New Roman" w:cs="Times New Roman"/>
          <w:b/>
          <w:sz w:val="24"/>
          <w:szCs w:val="24"/>
        </w:rPr>
        <w:t xml:space="preserve">Cumulative incidence </w:t>
      </w:r>
      <w:r w:rsidR="00D65667" w:rsidRPr="00345388">
        <w:rPr>
          <w:rFonts w:ascii="Times New Roman" w:hAnsi="Times New Roman" w:cs="Times New Roman"/>
          <w:b/>
          <w:sz w:val="24"/>
          <w:szCs w:val="24"/>
        </w:rPr>
        <w:t xml:space="preserve">curves </w:t>
      </w:r>
      <w:r w:rsidR="006E2212" w:rsidRPr="00345388">
        <w:rPr>
          <w:rFonts w:ascii="Times New Roman" w:hAnsi="Times New Roman" w:cs="Times New Roman"/>
          <w:b/>
          <w:sz w:val="24"/>
          <w:szCs w:val="24"/>
        </w:rPr>
        <w:t xml:space="preserve">of </w:t>
      </w:r>
      <w:r w:rsidR="00403BC1" w:rsidRPr="00345388">
        <w:rPr>
          <w:rFonts w:ascii="Times New Roman" w:hAnsi="Times New Roman" w:cs="Times New Roman"/>
          <w:b/>
          <w:sz w:val="24"/>
          <w:szCs w:val="24"/>
        </w:rPr>
        <w:t>six clinical outcomes</w:t>
      </w:r>
      <w:r w:rsidR="006E2212" w:rsidRPr="00345388">
        <w:rPr>
          <w:rFonts w:ascii="Times New Roman" w:hAnsi="Times New Roman" w:cs="Times New Roman"/>
          <w:b/>
          <w:sz w:val="24"/>
          <w:szCs w:val="24"/>
        </w:rPr>
        <w:t xml:space="preserve"> in pooled NOAC versus warfarin </w:t>
      </w:r>
      <w:r w:rsidR="00740DD3" w:rsidRPr="00345388">
        <w:rPr>
          <w:rFonts w:ascii="Times New Roman" w:hAnsi="Times New Roman" w:cs="Times New Roman"/>
          <w:b/>
          <w:sz w:val="24"/>
          <w:szCs w:val="24"/>
        </w:rPr>
        <w:t>in total study population (</w:t>
      </w:r>
      <w:r w:rsidR="00740DD3" w:rsidRPr="00345388">
        <w:rPr>
          <w:rFonts w:ascii="Times New Roman" w:eastAsia="Malgun Gothic" w:hAnsi="Times New Roman" w:cs="Times New Roman"/>
          <w:b/>
          <w:sz w:val="24"/>
          <w:szCs w:val="24"/>
        </w:rPr>
        <w:t>≤</w:t>
      </w:r>
      <w:r w:rsidR="00D65667" w:rsidRPr="00345388">
        <w:rPr>
          <w:rFonts w:ascii="Times New Roman" w:eastAsia="Malgun Gothic" w:hAnsi="Times New Roman" w:cs="Times New Roman"/>
          <w:b/>
          <w:sz w:val="24"/>
          <w:szCs w:val="24"/>
        </w:rPr>
        <w:t xml:space="preserve"> 60kg)</w:t>
      </w:r>
    </w:p>
    <w:p w14:paraId="4BC28909" w14:textId="6D79F86A" w:rsidR="006E2212" w:rsidRPr="00345388" w:rsidRDefault="00403BC1" w:rsidP="00EB0B89">
      <w:pPr>
        <w:spacing w:after="0" w:line="480" w:lineRule="auto"/>
        <w:rPr>
          <w:rFonts w:ascii="Times New Roman" w:hAnsi="Times New Roman" w:cs="Times New Roman"/>
          <w:sz w:val="24"/>
          <w:szCs w:val="24"/>
        </w:rPr>
      </w:pPr>
      <w:bookmarkStart w:id="12" w:name="_Hlk523753946"/>
      <w:r w:rsidRPr="00345388">
        <w:rPr>
          <w:rFonts w:ascii="Times New Roman" w:hAnsi="Times New Roman" w:cs="Times New Roman"/>
          <w:sz w:val="24"/>
          <w:szCs w:val="24"/>
        </w:rPr>
        <w:t xml:space="preserve">Compared with warfarin, NOACs carried significantly lower risks for ischemic stroke, major bleeding, all-cause death, and composite outcome. (A) ischemic stroke, (B) intracranial hemorrhage, (C) all-cause death, (D) hospitalization for GI bleeding, (E) hospitalization for major bleeding, and (F) composite outcome. </w:t>
      </w:r>
      <w:r w:rsidR="006E2212" w:rsidRPr="00345388">
        <w:rPr>
          <w:rFonts w:ascii="Times New Roman" w:hAnsi="Times New Roman" w:cs="Times New Roman"/>
          <w:sz w:val="24"/>
          <w:szCs w:val="24"/>
        </w:rPr>
        <w:t xml:space="preserve">GI, </w:t>
      </w:r>
      <w:r w:rsidR="006E2212" w:rsidRPr="00345388">
        <w:rPr>
          <w:rFonts w:ascii="Times New Roman" w:hAnsi="Times New Roman" w:cs="Times New Roman"/>
          <w:sz w:val="24"/>
          <w:szCs w:val="24"/>
        </w:rPr>
        <w:lastRenderedPageBreak/>
        <w:t>gastrointestinal; NOAC, non-vitamin K antagonist oral anticoagulant; WFR, warfarin.</w:t>
      </w:r>
    </w:p>
    <w:bookmarkEnd w:id="12"/>
    <w:p w14:paraId="7B3BDF48" w14:textId="42F1D933" w:rsidR="00AA1C34" w:rsidRPr="00345388" w:rsidRDefault="00AA1C34" w:rsidP="00EB0B89">
      <w:pPr>
        <w:spacing w:after="0" w:line="480" w:lineRule="auto"/>
        <w:rPr>
          <w:rFonts w:ascii="Times New Roman" w:hAnsi="Times New Roman" w:cs="Times New Roman"/>
          <w:sz w:val="24"/>
          <w:szCs w:val="24"/>
        </w:rPr>
      </w:pPr>
    </w:p>
    <w:p w14:paraId="53263FBC" w14:textId="2586E7DE" w:rsidR="00AA1C34" w:rsidRPr="00345388" w:rsidRDefault="00AA1C34"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t xml:space="preserve">Figure 3. </w:t>
      </w:r>
      <w:r w:rsidR="00740DD3" w:rsidRPr="00345388">
        <w:rPr>
          <w:rFonts w:ascii="Times New Roman" w:hAnsi="Times New Roman" w:cs="Times New Roman"/>
          <w:b/>
          <w:sz w:val="24"/>
          <w:szCs w:val="24"/>
        </w:rPr>
        <w:t xml:space="preserve">Cumulative incidence </w:t>
      </w:r>
      <w:r w:rsidR="00D65667" w:rsidRPr="00345388">
        <w:rPr>
          <w:rFonts w:ascii="Times New Roman" w:hAnsi="Times New Roman" w:cs="Times New Roman"/>
          <w:b/>
          <w:sz w:val="24"/>
          <w:szCs w:val="24"/>
        </w:rPr>
        <w:t xml:space="preserve">curves </w:t>
      </w:r>
      <w:r w:rsidR="00740DD3" w:rsidRPr="00345388">
        <w:rPr>
          <w:rFonts w:ascii="Times New Roman" w:hAnsi="Times New Roman" w:cs="Times New Roman"/>
          <w:b/>
          <w:sz w:val="24"/>
          <w:szCs w:val="24"/>
        </w:rPr>
        <w:t>of six clinical outcomes in pooled NOAC versus warfarin in patients with extremely low body weight (&lt;50 kg)</w:t>
      </w:r>
    </w:p>
    <w:p w14:paraId="1EA06D8C" w14:textId="073B83AD" w:rsidR="00D65667" w:rsidRPr="00345388" w:rsidRDefault="00D65667"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(A) ischemic stroke, (B) intracranial hemorrhage, (C) all-cause death, (D) hospitalization for GI bleeding, (E) hospitalization for major bleeding, and (F) composite outcome. GI, gastrointestinal; NOAC, non-vitamin K antagonist oral anticoagulant; WFR, warfarin.</w:t>
      </w:r>
    </w:p>
    <w:p w14:paraId="3AF56CE3" w14:textId="44B62D38" w:rsidR="00F47CED" w:rsidRPr="00345388" w:rsidRDefault="00F47CED" w:rsidP="00EB0B89">
      <w:pPr>
        <w:spacing w:after="0" w:line="480" w:lineRule="auto"/>
        <w:rPr>
          <w:rFonts w:ascii="Times New Roman" w:hAnsi="Times New Roman" w:cs="Times New Roman"/>
          <w:b/>
          <w:sz w:val="24"/>
          <w:szCs w:val="24"/>
        </w:rPr>
      </w:pPr>
      <w:r w:rsidRPr="00345388">
        <w:rPr>
          <w:rFonts w:ascii="Times New Roman" w:hAnsi="Times New Roman" w:cs="Times New Roman"/>
          <w:b/>
          <w:sz w:val="24"/>
          <w:szCs w:val="24"/>
        </w:rPr>
        <w:t xml:space="preserve">Figure 4. Hazard ratios of six clinical outcomes in </w:t>
      </w:r>
      <w:r w:rsidR="001F3928" w:rsidRPr="00345388">
        <w:rPr>
          <w:rFonts w:ascii="Times New Roman" w:hAnsi="Times New Roman" w:cs="Times New Roman"/>
          <w:b/>
          <w:sz w:val="24"/>
          <w:szCs w:val="24"/>
        </w:rPr>
        <w:t xml:space="preserve">comparison of </w:t>
      </w:r>
      <w:r w:rsidRPr="00345388">
        <w:rPr>
          <w:rFonts w:ascii="Times New Roman" w:hAnsi="Times New Roman" w:cs="Times New Roman"/>
          <w:b/>
          <w:sz w:val="24"/>
          <w:szCs w:val="24"/>
        </w:rPr>
        <w:t xml:space="preserve">reduced </w:t>
      </w:r>
      <w:r w:rsidR="001F3928" w:rsidRPr="00345388">
        <w:rPr>
          <w:rFonts w:ascii="Times New Roman" w:hAnsi="Times New Roman" w:cs="Times New Roman"/>
          <w:b/>
          <w:sz w:val="24"/>
          <w:szCs w:val="24"/>
        </w:rPr>
        <w:t>versus</w:t>
      </w:r>
      <w:r w:rsidRPr="00345388">
        <w:rPr>
          <w:rFonts w:ascii="Times New Roman" w:hAnsi="Times New Roman" w:cs="Times New Roman"/>
          <w:b/>
          <w:sz w:val="24"/>
          <w:szCs w:val="24"/>
        </w:rPr>
        <w:t xml:space="preserve"> regular dose NOACs </w:t>
      </w:r>
    </w:p>
    <w:p w14:paraId="40E8B776" w14:textId="0802879E" w:rsidR="00101D28" w:rsidRPr="00345388" w:rsidRDefault="00C371AD" w:rsidP="00EB0B89">
      <w:pPr>
        <w:spacing w:after="0" w:line="480" w:lineRule="auto"/>
        <w:rPr>
          <w:rFonts w:ascii="Times New Roman" w:hAnsi="Times New Roman" w:cs="Times New Roman"/>
          <w:sz w:val="24"/>
          <w:szCs w:val="24"/>
        </w:rPr>
      </w:pPr>
      <w:r w:rsidRPr="00345388">
        <w:rPr>
          <w:rFonts w:ascii="Times New Roman" w:hAnsi="Times New Roman" w:cs="Times New Roman"/>
          <w:sz w:val="24"/>
          <w:szCs w:val="24"/>
        </w:rPr>
        <w:t xml:space="preserve">Regular dose slightly showed favorable in ischemic stroke and unfavorable in ICH, but there was no statistical significance and net clinical benefit was almost neutral compared with reduced dose in patients weighing 50-60 kg. As 73% of the patients were 50-60kg, the trend in total study population followed that of patients with 50-60 kg. In patients weighing &lt;50 kg, wider CI was observed due to small number of patients, but all six clinical outcomes of regular dose NOACs were neutral compared with reduced dose NOACs. </w:t>
      </w:r>
      <w:r w:rsidR="00101D28" w:rsidRPr="00345388">
        <w:rPr>
          <w:rFonts w:ascii="Times New Roman" w:hAnsi="Times New Roman" w:cs="Times New Roman"/>
          <w:sz w:val="24"/>
          <w:szCs w:val="24"/>
        </w:rPr>
        <w:t xml:space="preserve">CI, confidence interval; GI, gastrointestinal; </w:t>
      </w:r>
      <w:r w:rsidR="001F3928" w:rsidRPr="00345388">
        <w:rPr>
          <w:rFonts w:ascii="Times New Roman" w:hAnsi="Times New Roman" w:cs="Times New Roman"/>
          <w:sz w:val="24"/>
          <w:szCs w:val="24"/>
        </w:rPr>
        <w:t xml:space="preserve">HR, hazard ratio; </w:t>
      </w:r>
      <w:r w:rsidR="00101D28" w:rsidRPr="00345388">
        <w:rPr>
          <w:rFonts w:ascii="Times New Roman" w:hAnsi="Times New Roman" w:cs="Times New Roman"/>
          <w:sz w:val="24"/>
          <w:szCs w:val="24"/>
        </w:rPr>
        <w:t>NOAC, non-vitamin K antagonist oral anticoagulant.</w:t>
      </w:r>
    </w:p>
    <w:p w14:paraId="7E981E7B" w14:textId="77777777" w:rsidR="00F47CED" w:rsidRPr="00345388" w:rsidRDefault="00F47CED" w:rsidP="00930CFD">
      <w:pPr>
        <w:spacing w:line="480" w:lineRule="auto"/>
        <w:jc w:val="both"/>
        <w:rPr>
          <w:rFonts w:ascii="Times New Roman" w:hAnsi="Times New Roman" w:cs="Times New Roman"/>
          <w:b/>
          <w:sz w:val="24"/>
          <w:szCs w:val="24"/>
        </w:rPr>
      </w:pPr>
    </w:p>
    <w:p w14:paraId="12A9BBFC" w14:textId="76F119C1" w:rsidR="006E2212" w:rsidRPr="00345388" w:rsidRDefault="006E2212" w:rsidP="00803A1C">
      <w:pPr>
        <w:spacing w:line="480" w:lineRule="auto"/>
        <w:rPr>
          <w:rFonts w:ascii="Times New Roman" w:hAnsi="Times New Roman" w:cs="Times New Roman"/>
          <w:sz w:val="24"/>
          <w:szCs w:val="24"/>
        </w:rPr>
        <w:sectPr w:rsidR="006E2212" w:rsidRPr="00345388" w:rsidSect="00FB644B">
          <w:type w:val="continuous"/>
          <w:pgSz w:w="11906" w:h="16838"/>
          <w:pgMar w:top="1701" w:right="1440" w:bottom="1440" w:left="1440" w:header="851" w:footer="992" w:gutter="0"/>
          <w:cols w:space="425"/>
          <w:docGrid w:linePitch="360"/>
        </w:sectPr>
      </w:pPr>
    </w:p>
    <w:p w14:paraId="04697E03" w14:textId="77777777" w:rsidR="006E2212" w:rsidRPr="00345388" w:rsidRDefault="006E2212" w:rsidP="00EE3F38">
      <w:pPr>
        <w:spacing w:line="480" w:lineRule="auto"/>
        <w:rPr>
          <w:rFonts w:ascii="Times New Roman" w:hAnsi="Times New Roman" w:cs="Times New Roman"/>
          <w:b/>
          <w:sz w:val="24"/>
          <w:szCs w:val="24"/>
        </w:rPr>
      </w:pPr>
      <w:r w:rsidRPr="00345388">
        <w:rPr>
          <w:rFonts w:ascii="Times New Roman" w:hAnsi="Times New Roman" w:cs="Times New Roman"/>
          <w:b/>
          <w:sz w:val="24"/>
          <w:szCs w:val="24"/>
        </w:rPr>
        <w:lastRenderedPageBreak/>
        <w:t>Table 1. Baseline characteristics of patients using warfarin versus NOACs</w:t>
      </w:r>
    </w:p>
    <w:tbl>
      <w:tblPr>
        <w:tblStyle w:val="TableGrid"/>
        <w:tblW w:w="0" w:type="auto"/>
        <w:tblLayout w:type="fixed"/>
        <w:tblLook w:val="04A0" w:firstRow="1" w:lastRow="0" w:firstColumn="1" w:lastColumn="0" w:noHBand="0" w:noVBand="1"/>
      </w:tblPr>
      <w:tblGrid>
        <w:gridCol w:w="3135"/>
        <w:gridCol w:w="1814"/>
        <w:gridCol w:w="1814"/>
        <w:gridCol w:w="1485"/>
        <w:gridCol w:w="329"/>
        <w:gridCol w:w="1650"/>
        <w:gridCol w:w="1979"/>
        <w:gridCol w:w="1233"/>
      </w:tblGrid>
      <w:tr w:rsidR="006E2212" w:rsidRPr="00345388" w14:paraId="46A5969E" w14:textId="77777777" w:rsidTr="001552A4">
        <w:trPr>
          <w:trHeight w:val="296"/>
        </w:trPr>
        <w:tc>
          <w:tcPr>
            <w:tcW w:w="3135" w:type="dxa"/>
            <w:tcBorders>
              <w:top w:val="single" w:sz="4" w:space="0" w:color="auto"/>
              <w:left w:val="nil"/>
              <w:bottom w:val="nil"/>
              <w:right w:val="nil"/>
            </w:tcBorders>
          </w:tcPr>
          <w:p w14:paraId="5E13DA22" w14:textId="77777777" w:rsidR="006E2212" w:rsidRPr="00345388" w:rsidRDefault="006E2212" w:rsidP="00EE3F38">
            <w:pPr>
              <w:spacing w:line="480" w:lineRule="auto"/>
              <w:rPr>
                <w:rFonts w:ascii="Times New Roman" w:hAnsi="Times New Roman" w:cs="Times New Roman"/>
                <w:color w:val="000000" w:themeColor="text1"/>
                <w:sz w:val="24"/>
                <w:szCs w:val="24"/>
              </w:rPr>
            </w:pPr>
          </w:p>
        </w:tc>
        <w:tc>
          <w:tcPr>
            <w:tcW w:w="10304" w:type="dxa"/>
            <w:gridSpan w:val="7"/>
            <w:tcBorders>
              <w:top w:val="single" w:sz="4" w:space="0" w:color="auto"/>
              <w:left w:val="nil"/>
              <w:bottom w:val="single" w:sz="4" w:space="0" w:color="auto"/>
              <w:right w:val="nil"/>
            </w:tcBorders>
          </w:tcPr>
          <w:p w14:paraId="3AA4282A"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Propensity Score Weighting</w:t>
            </w:r>
          </w:p>
        </w:tc>
      </w:tr>
      <w:tr w:rsidR="006E2212" w:rsidRPr="00345388" w14:paraId="18032938" w14:textId="77777777" w:rsidTr="001552A4">
        <w:trPr>
          <w:trHeight w:val="296"/>
        </w:trPr>
        <w:tc>
          <w:tcPr>
            <w:tcW w:w="3135" w:type="dxa"/>
            <w:tcBorders>
              <w:top w:val="nil"/>
              <w:left w:val="nil"/>
              <w:bottom w:val="nil"/>
              <w:right w:val="nil"/>
            </w:tcBorders>
          </w:tcPr>
          <w:p w14:paraId="5990108D" w14:textId="77777777" w:rsidR="006E2212" w:rsidRPr="00345388" w:rsidRDefault="006E2212" w:rsidP="00EE3F38">
            <w:pPr>
              <w:spacing w:line="480" w:lineRule="auto"/>
              <w:rPr>
                <w:rFonts w:ascii="Times New Roman" w:hAnsi="Times New Roman" w:cs="Times New Roman"/>
                <w:color w:val="000000" w:themeColor="text1"/>
                <w:sz w:val="24"/>
                <w:szCs w:val="24"/>
              </w:rPr>
            </w:pPr>
          </w:p>
        </w:tc>
        <w:tc>
          <w:tcPr>
            <w:tcW w:w="5113" w:type="dxa"/>
            <w:gridSpan w:val="3"/>
            <w:tcBorders>
              <w:top w:val="single" w:sz="4" w:space="0" w:color="auto"/>
              <w:left w:val="nil"/>
              <w:bottom w:val="single" w:sz="4" w:space="0" w:color="auto"/>
              <w:right w:val="nil"/>
            </w:tcBorders>
          </w:tcPr>
          <w:p w14:paraId="06D7D34F"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Before</w:t>
            </w:r>
          </w:p>
        </w:tc>
        <w:tc>
          <w:tcPr>
            <w:tcW w:w="329" w:type="dxa"/>
            <w:tcBorders>
              <w:top w:val="single" w:sz="4" w:space="0" w:color="auto"/>
              <w:left w:val="nil"/>
              <w:bottom w:val="nil"/>
              <w:right w:val="nil"/>
            </w:tcBorders>
          </w:tcPr>
          <w:p w14:paraId="20D22843"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4862" w:type="dxa"/>
            <w:gridSpan w:val="3"/>
            <w:tcBorders>
              <w:top w:val="single" w:sz="4" w:space="0" w:color="auto"/>
              <w:left w:val="nil"/>
              <w:bottom w:val="single" w:sz="4" w:space="0" w:color="auto"/>
              <w:right w:val="nil"/>
            </w:tcBorders>
          </w:tcPr>
          <w:p w14:paraId="395F4C69"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After (with 5% trimming)</w:t>
            </w:r>
          </w:p>
        </w:tc>
      </w:tr>
      <w:tr w:rsidR="006E2212" w:rsidRPr="00345388" w14:paraId="63EDE655" w14:textId="77777777" w:rsidTr="001552A4">
        <w:trPr>
          <w:trHeight w:val="741"/>
        </w:trPr>
        <w:tc>
          <w:tcPr>
            <w:tcW w:w="3135" w:type="dxa"/>
            <w:tcBorders>
              <w:top w:val="nil"/>
              <w:left w:val="nil"/>
              <w:bottom w:val="single" w:sz="4" w:space="0" w:color="auto"/>
              <w:right w:val="nil"/>
            </w:tcBorders>
          </w:tcPr>
          <w:p w14:paraId="4C511159" w14:textId="77777777" w:rsidR="006E2212" w:rsidRPr="00345388" w:rsidRDefault="006E2212" w:rsidP="00EE3F38">
            <w:pPr>
              <w:spacing w:line="480" w:lineRule="auto"/>
              <w:rPr>
                <w:rFonts w:ascii="Times New Roman" w:hAnsi="Times New Roman" w:cs="Times New Roman"/>
                <w:color w:val="000000" w:themeColor="text1"/>
                <w:sz w:val="24"/>
                <w:szCs w:val="24"/>
              </w:rPr>
            </w:pPr>
          </w:p>
        </w:tc>
        <w:tc>
          <w:tcPr>
            <w:tcW w:w="1814" w:type="dxa"/>
            <w:tcBorders>
              <w:top w:val="single" w:sz="4" w:space="0" w:color="auto"/>
              <w:left w:val="nil"/>
              <w:bottom w:val="single" w:sz="4" w:space="0" w:color="auto"/>
              <w:right w:val="nil"/>
            </w:tcBorders>
          </w:tcPr>
          <w:p w14:paraId="5D137286"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NOACs</w:t>
            </w:r>
          </w:p>
          <w:p w14:paraId="4E1D6DCC"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b/>
                <w:color w:val="000000" w:themeColor="text1"/>
                <w:sz w:val="24"/>
                <w:szCs w:val="24"/>
              </w:rPr>
              <w:t>(n=14,103)</w:t>
            </w:r>
          </w:p>
        </w:tc>
        <w:tc>
          <w:tcPr>
            <w:tcW w:w="1814" w:type="dxa"/>
            <w:tcBorders>
              <w:top w:val="single" w:sz="4" w:space="0" w:color="auto"/>
              <w:left w:val="nil"/>
              <w:bottom w:val="single" w:sz="4" w:space="0" w:color="auto"/>
              <w:right w:val="nil"/>
            </w:tcBorders>
          </w:tcPr>
          <w:p w14:paraId="5A0A1342"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Warfarin</w:t>
            </w:r>
          </w:p>
          <w:p w14:paraId="4F91B73F"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(n=7,575)</w:t>
            </w:r>
          </w:p>
        </w:tc>
        <w:tc>
          <w:tcPr>
            <w:tcW w:w="1485" w:type="dxa"/>
            <w:tcBorders>
              <w:top w:val="single" w:sz="4" w:space="0" w:color="auto"/>
              <w:left w:val="nil"/>
              <w:bottom w:val="single" w:sz="4" w:space="0" w:color="auto"/>
              <w:right w:val="nil"/>
            </w:tcBorders>
            <w:vAlign w:val="center"/>
          </w:tcPr>
          <w:p w14:paraId="242FD7C9"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ASD</w:t>
            </w:r>
          </w:p>
        </w:tc>
        <w:tc>
          <w:tcPr>
            <w:tcW w:w="329" w:type="dxa"/>
            <w:tcBorders>
              <w:top w:val="nil"/>
              <w:left w:val="nil"/>
              <w:bottom w:val="single" w:sz="4" w:space="0" w:color="auto"/>
              <w:right w:val="nil"/>
            </w:tcBorders>
          </w:tcPr>
          <w:p w14:paraId="5A760313"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50" w:type="dxa"/>
            <w:tcBorders>
              <w:top w:val="single" w:sz="4" w:space="0" w:color="auto"/>
              <w:left w:val="nil"/>
              <w:bottom w:val="single" w:sz="4" w:space="0" w:color="auto"/>
              <w:right w:val="nil"/>
            </w:tcBorders>
          </w:tcPr>
          <w:p w14:paraId="7C60CD8F"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NOACs</w:t>
            </w:r>
          </w:p>
          <w:p w14:paraId="28BAE91A"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(n=12,810)</w:t>
            </w:r>
          </w:p>
        </w:tc>
        <w:tc>
          <w:tcPr>
            <w:tcW w:w="1979" w:type="dxa"/>
            <w:tcBorders>
              <w:top w:val="single" w:sz="4" w:space="0" w:color="auto"/>
              <w:left w:val="nil"/>
              <w:bottom w:val="single" w:sz="4" w:space="0" w:color="auto"/>
              <w:right w:val="nil"/>
            </w:tcBorders>
          </w:tcPr>
          <w:p w14:paraId="258D518E"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Warfarin</w:t>
            </w:r>
          </w:p>
          <w:p w14:paraId="397E7686"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(n=6,692)</w:t>
            </w:r>
          </w:p>
        </w:tc>
        <w:tc>
          <w:tcPr>
            <w:tcW w:w="1233" w:type="dxa"/>
            <w:tcBorders>
              <w:top w:val="single" w:sz="4" w:space="0" w:color="auto"/>
              <w:left w:val="nil"/>
              <w:bottom w:val="single" w:sz="4" w:space="0" w:color="auto"/>
              <w:right w:val="nil"/>
            </w:tcBorders>
            <w:vAlign w:val="center"/>
          </w:tcPr>
          <w:p w14:paraId="4395C686"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ASD</w:t>
            </w:r>
          </w:p>
        </w:tc>
      </w:tr>
      <w:tr w:rsidR="006E2212" w:rsidRPr="00345388" w14:paraId="5088DEE0" w14:textId="77777777" w:rsidTr="001552A4">
        <w:trPr>
          <w:trHeight w:val="370"/>
        </w:trPr>
        <w:tc>
          <w:tcPr>
            <w:tcW w:w="3135" w:type="dxa"/>
            <w:tcBorders>
              <w:top w:val="single" w:sz="4" w:space="0" w:color="auto"/>
              <w:left w:val="nil"/>
              <w:bottom w:val="nil"/>
              <w:right w:val="nil"/>
            </w:tcBorders>
          </w:tcPr>
          <w:p w14:paraId="38AA3B0C"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Age, years</w:t>
            </w:r>
          </w:p>
        </w:tc>
        <w:tc>
          <w:tcPr>
            <w:tcW w:w="1814" w:type="dxa"/>
            <w:tcBorders>
              <w:top w:val="single" w:sz="4" w:space="0" w:color="auto"/>
              <w:left w:val="nil"/>
              <w:bottom w:val="nil"/>
              <w:right w:val="nil"/>
            </w:tcBorders>
          </w:tcPr>
          <w:p w14:paraId="75A811F9"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73.4</w:t>
            </w:r>
            <w:r w:rsidRPr="00345388">
              <w:rPr>
                <w:rFonts w:ascii="Times New Roman" w:eastAsia="Malgun Gothic" w:hAnsi="Times New Roman" w:cs="Times New Roman"/>
                <w:color w:val="000000" w:themeColor="text1"/>
                <w:sz w:val="24"/>
                <w:szCs w:val="24"/>
              </w:rPr>
              <w:t>±8.1</w:t>
            </w:r>
          </w:p>
        </w:tc>
        <w:tc>
          <w:tcPr>
            <w:tcW w:w="1814" w:type="dxa"/>
            <w:tcBorders>
              <w:top w:val="single" w:sz="4" w:space="0" w:color="auto"/>
              <w:left w:val="nil"/>
              <w:bottom w:val="nil"/>
              <w:right w:val="nil"/>
            </w:tcBorders>
          </w:tcPr>
          <w:p w14:paraId="4BC67CC3"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70.1</w:t>
            </w:r>
            <w:r w:rsidRPr="00345388">
              <w:rPr>
                <w:rFonts w:ascii="Times New Roman" w:eastAsia="Malgun Gothic" w:hAnsi="Times New Roman" w:cs="Times New Roman"/>
                <w:color w:val="000000" w:themeColor="text1"/>
                <w:sz w:val="24"/>
                <w:szCs w:val="24"/>
              </w:rPr>
              <w:t>±10.8</w:t>
            </w:r>
          </w:p>
        </w:tc>
        <w:tc>
          <w:tcPr>
            <w:tcW w:w="1485" w:type="dxa"/>
            <w:tcBorders>
              <w:top w:val="single" w:sz="4" w:space="0" w:color="auto"/>
              <w:left w:val="nil"/>
              <w:bottom w:val="nil"/>
              <w:right w:val="nil"/>
            </w:tcBorders>
            <w:shd w:val="clear" w:color="auto" w:fill="auto"/>
          </w:tcPr>
          <w:p w14:paraId="18AD0FB2"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0.348</w:t>
            </w:r>
          </w:p>
        </w:tc>
        <w:tc>
          <w:tcPr>
            <w:tcW w:w="329" w:type="dxa"/>
            <w:tcBorders>
              <w:top w:val="single" w:sz="4" w:space="0" w:color="auto"/>
              <w:left w:val="nil"/>
              <w:bottom w:val="nil"/>
              <w:right w:val="nil"/>
            </w:tcBorders>
          </w:tcPr>
          <w:p w14:paraId="423FE4C0"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50" w:type="dxa"/>
            <w:tcBorders>
              <w:top w:val="single" w:sz="4" w:space="0" w:color="auto"/>
              <w:left w:val="nil"/>
              <w:bottom w:val="nil"/>
              <w:right w:val="nil"/>
            </w:tcBorders>
          </w:tcPr>
          <w:p w14:paraId="28375F5C"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72.6</w:t>
            </w:r>
            <w:r w:rsidRPr="00345388">
              <w:rPr>
                <w:rFonts w:ascii="Times New Roman" w:eastAsia="Malgun Gothic" w:hAnsi="Times New Roman" w:cs="Times New Roman"/>
                <w:color w:val="000000" w:themeColor="text1"/>
                <w:sz w:val="24"/>
                <w:szCs w:val="24"/>
              </w:rPr>
              <w:t>±7.4</w:t>
            </w:r>
          </w:p>
        </w:tc>
        <w:tc>
          <w:tcPr>
            <w:tcW w:w="1979" w:type="dxa"/>
            <w:tcBorders>
              <w:top w:val="single" w:sz="4" w:space="0" w:color="auto"/>
              <w:left w:val="nil"/>
              <w:bottom w:val="nil"/>
              <w:right w:val="nil"/>
            </w:tcBorders>
          </w:tcPr>
          <w:p w14:paraId="6F521C71"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72.9</w:t>
            </w:r>
            <w:r w:rsidRPr="00345388">
              <w:rPr>
                <w:rFonts w:ascii="Times New Roman" w:eastAsia="Malgun Gothic" w:hAnsi="Times New Roman" w:cs="Times New Roman"/>
                <w:color w:val="000000" w:themeColor="text1"/>
                <w:sz w:val="24"/>
                <w:szCs w:val="24"/>
              </w:rPr>
              <w:t>±8.5</w:t>
            </w:r>
          </w:p>
        </w:tc>
        <w:tc>
          <w:tcPr>
            <w:tcW w:w="1233" w:type="dxa"/>
            <w:tcBorders>
              <w:top w:val="single" w:sz="4" w:space="0" w:color="auto"/>
              <w:left w:val="nil"/>
              <w:bottom w:val="nil"/>
              <w:right w:val="nil"/>
            </w:tcBorders>
            <w:shd w:val="clear" w:color="auto" w:fill="auto"/>
          </w:tcPr>
          <w:p w14:paraId="3C1A1AF4"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0.043</w:t>
            </w:r>
          </w:p>
        </w:tc>
      </w:tr>
      <w:tr w:rsidR="006E2212" w:rsidRPr="00345388" w14:paraId="77DD93F2" w14:textId="77777777" w:rsidTr="001552A4">
        <w:trPr>
          <w:trHeight w:val="370"/>
        </w:trPr>
        <w:tc>
          <w:tcPr>
            <w:tcW w:w="3135" w:type="dxa"/>
            <w:tcBorders>
              <w:top w:val="nil"/>
              <w:left w:val="nil"/>
              <w:bottom w:val="nil"/>
              <w:right w:val="nil"/>
            </w:tcBorders>
          </w:tcPr>
          <w:p w14:paraId="2DDB2838"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 xml:space="preserve"> &lt;65</w:t>
            </w:r>
          </w:p>
        </w:tc>
        <w:tc>
          <w:tcPr>
            <w:tcW w:w="1814" w:type="dxa"/>
            <w:tcBorders>
              <w:top w:val="nil"/>
              <w:left w:val="nil"/>
              <w:bottom w:val="nil"/>
              <w:right w:val="nil"/>
            </w:tcBorders>
          </w:tcPr>
          <w:p w14:paraId="4BA2B4F3"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13</w:t>
            </w:r>
          </w:p>
        </w:tc>
        <w:tc>
          <w:tcPr>
            <w:tcW w:w="1814" w:type="dxa"/>
            <w:tcBorders>
              <w:top w:val="nil"/>
              <w:left w:val="nil"/>
              <w:bottom w:val="nil"/>
              <w:right w:val="nil"/>
            </w:tcBorders>
          </w:tcPr>
          <w:p w14:paraId="3C04A87E"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28</w:t>
            </w:r>
          </w:p>
        </w:tc>
        <w:tc>
          <w:tcPr>
            <w:tcW w:w="1485" w:type="dxa"/>
            <w:tcBorders>
              <w:top w:val="nil"/>
              <w:left w:val="nil"/>
              <w:bottom w:val="nil"/>
              <w:right w:val="nil"/>
            </w:tcBorders>
            <w:shd w:val="clear" w:color="auto" w:fill="auto"/>
          </w:tcPr>
          <w:p w14:paraId="19C0B7ED"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329" w:type="dxa"/>
            <w:tcBorders>
              <w:top w:val="nil"/>
              <w:left w:val="nil"/>
              <w:bottom w:val="nil"/>
              <w:right w:val="nil"/>
            </w:tcBorders>
          </w:tcPr>
          <w:p w14:paraId="115CC3E3"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2ED38534"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14</w:t>
            </w:r>
          </w:p>
        </w:tc>
        <w:tc>
          <w:tcPr>
            <w:tcW w:w="1979" w:type="dxa"/>
            <w:tcBorders>
              <w:top w:val="nil"/>
              <w:left w:val="nil"/>
              <w:bottom w:val="nil"/>
              <w:right w:val="nil"/>
            </w:tcBorders>
          </w:tcPr>
          <w:p w14:paraId="03A9D60A"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17</w:t>
            </w:r>
          </w:p>
        </w:tc>
        <w:tc>
          <w:tcPr>
            <w:tcW w:w="1233" w:type="dxa"/>
            <w:vMerge w:val="restart"/>
            <w:tcBorders>
              <w:top w:val="nil"/>
              <w:left w:val="nil"/>
              <w:right w:val="nil"/>
            </w:tcBorders>
            <w:shd w:val="clear" w:color="auto" w:fill="auto"/>
            <w:vAlign w:val="center"/>
          </w:tcPr>
          <w:p w14:paraId="2584EF50"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r>
      <w:tr w:rsidR="006E2212" w:rsidRPr="00345388" w14:paraId="428ACF56" w14:textId="77777777" w:rsidTr="001552A4">
        <w:trPr>
          <w:trHeight w:val="370"/>
        </w:trPr>
        <w:tc>
          <w:tcPr>
            <w:tcW w:w="3135" w:type="dxa"/>
            <w:tcBorders>
              <w:top w:val="nil"/>
              <w:left w:val="nil"/>
              <w:bottom w:val="nil"/>
              <w:right w:val="nil"/>
            </w:tcBorders>
          </w:tcPr>
          <w:p w14:paraId="0A819A7C"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 xml:space="preserve"> 65-74</w:t>
            </w:r>
          </w:p>
        </w:tc>
        <w:tc>
          <w:tcPr>
            <w:tcW w:w="1814" w:type="dxa"/>
            <w:tcBorders>
              <w:top w:val="nil"/>
              <w:left w:val="nil"/>
              <w:bottom w:val="nil"/>
              <w:right w:val="nil"/>
            </w:tcBorders>
          </w:tcPr>
          <w:p w14:paraId="29104C5B"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39</w:t>
            </w:r>
          </w:p>
        </w:tc>
        <w:tc>
          <w:tcPr>
            <w:tcW w:w="1814" w:type="dxa"/>
            <w:tcBorders>
              <w:top w:val="nil"/>
              <w:left w:val="nil"/>
              <w:bottom w:val="nil"/>
              <w:right w:val="nil"/>
            </w:tcBorders>
          </w:tcPr>
          <w:p w14:paraId="714E1992"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33</w:t>
            </w:r>
          </w:p>
        </w:tc>
        <w:tc>
          <w:tcPr>
            <w:tcW w:w="1485" w:type="dxa"/>
            <w:tcBorders>
              <w:top w:val="nil"/>
              <w:left w:val="nil"/>
              <w:bottom w:val="nil"/>
              <w:right w:val="nil"/>
            </w:tcBorders>
            <w:shd w:val="clear" w:color="auto" w:fill="auto"/>
          </w:tcPr>
          <w:p w14:paraId="5C37E010"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329" w:type="dxa"/>
            <w:tcBorders>
              <w:top w:val="nil"/>
              <w:left w:val="nil"/>
              <w:bottom w:val="nil"/>
              <w:right w:val="nil"/>
            </w:tcBorders>
          </w:tcPr>
          <w:p w14:paraId="669BA08C"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7B6B19C9"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43</w:t>
            </w:r>
          </w:p>
        </w:tc>
        <w:tc>
          <w:tcPr>
            <w:tcW w:w="1979" w:type="dxa"/>
            <w:tcBorders>
              <w:top w:val="nil"/>
              <w:left w:val="nil"/>
              <w:bottom w:val="nil"/>
              <w:right w:val="nil"/>
            </w:tcBorders>
          </w:tcPr>
          <w:p w14:paraId="56C928AF"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36</w:t>
            </w:r>
          </w:p>
        </w:tc>
        <w:tc>
          <w:tcPr>
            <w:tcW w:w="1233" w:type="dxa"/>
            <w:vMerge/>
            <w:tcBorders>
              <w:left w:val="nil"/>
              <w:right w:val="nil"/>
            </w:tcBorders>
            <w:shd w:val="clear" w:color="auto" w:fill="auto"/>
          </w:tcPr>
          <w:p w14:paraId="7E2A945E"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r>
      <w:tr w:rsidR="006E2212" w:rsidRPr="00345388" w14:paraId="7E1E3BA4" w14:textId="77777777" w:rsidTr="001552A4">
        <w:trPr>
          <w:trHeight w:val="370"/>
        </w:trPr>
        <w:tc>
          <w:tcPr>
            <w:tcW w:w="3135" w:type="dxa"/>
            <w:tcBorders>
              <w:top w:val="nil"/>
              <w:left w:val="nil"/>
              <w:bottom w:val="nil"/>
              <w:right w:val="nil"/>
            </w:tcBorders>
          </w:tcPr>
          <w:p w14:paraId="6240F360"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 xml:space="preserve"> </w:t>
            </w:r>
            <w:r w:rsidRPr="00345388">
              <w:rPr>
                <w:rFonts w:ascii="Times New Roman" w:eastAsia="Malgun Gothic" w:hAnsi="Times New Roman" w:cs="Times New Roman"/>
                <w:b/>
                <w:color w:val="000000" w:themeColor="text1"/>
                <w:sz w:val="24"/>
                <w:szCs w:val="24"/>
              </w:rPr>
              <w:t>≥</w:t>
            </w:r>
            <w:r w:rsidRPr="00345388">
              <w:rPr>
                <w:rFonts w:ascii="Times New Roman" w:hAnsi="Times New Roman" w:cs="Times New Roman"/>
                <w:b/>
                <w:color w:val="000000" w:themeColor="text1"/>
                <w:sz w:val="24"/>
                <w:szCs w:val="24"/>
              </w:rPr>
              <w:t>75</w:t>
            </w:r>
          </w:p>
        </w:tc>
        <w:tc>
          <w:tcPr>
            <w:tcW w:w="1814" w:type="dxa"/>
            <w:tcBorders>
              <w:top w:val="nil"/>
              <w:left w:val="nil"/>
              <w:bottom w:val="nil"/>
              <w:right w:val="nil"/>
            </w:tcBorders>
          </w:tcPr>
          <w:p w14:paraId="70C5A19C"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48</w:t>
            </w:r>
          </w:p>
        </w:tc>
        <w:tc>
          <w:tcPr>
            <w:tcW w:w="1814" w:type="dxa"/>
            <w:tcBorders>
              <w:top w:val="nil"/>
              <w:left w:val="nil"/>
              <w:bottom w:val="nil"/>
              <w:right w:val="nil"/>
            </w:tcBorders>
          </w:tcPr>
          <w:p w14:paraId="68D5C18D"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39</w:t>
            </w:r>
          </w:p>
        </w:tc>
        <w:tc>
          <w:tcPr>
            <w:tcW w:w="1485" w:type="dxa"/>
            <w:tcBorders>
              <w:top w:val="nil"/>
              <w:left w:val="nil"/>
              <w:bottom w:val="nil"/>
              <w:right w:val="nil"/>
            </w:tcBorders>
            <w:shd w:val="clear" w:color="auto" w:fill="auto"/>
          </w:tcPr>
          <w:p w14:paraId="6B6F1D01"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329" w:type="dxa"/>
            <w:tcBorders>
              <w:top w:val="nil"/>
              <w:left w:val="nil"/>
              <w:bottom w:val="nil"/>
              <w:right w:val="nil"/>
            </w:tcBorders>
          </w:tcPr>
          <w:p w14:paraId="20B8A6F3"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66E98E38"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43</w:t>
            </w:r>
          </w:p>
        </w:tc>
        <w:tc>
          <w:tcPr>
            <w:tcW w:w="1979" w:type="dxa"/>
            <w:tcBorders>
              <w:top w:val="nil"/>
              <w:left w:val="nil"/>
              <w:bottom w:val="nil"/>
              <w:right w:val="nil"/>
            </w:tcBorders>
          </w:tcPr>
          <w:p w14:paraId="2901E14C"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47</w:t>
            </w:r>
          </w:p>
        </w:tc>
        <w:tc>
          <w:tcPr>
            <w:tcW w:w="1233" w:type="dxa"/>
            <w:vMerge/>
            <w:tcBorders>
              <w:left w:val="nil"/>
              <w:bottom w:val="nil"/>
              <w:right w:val="nil"/>
            </w:tcBorders>
            <w:shd w:val="clear" w:color="auto" w:fill="auto"/>
          </w:tcPr>
          <w:p w14:paraId="482CEA1D"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r>
      <w:tr w:rsidR="006E2212" w:rsidRPr="00345388" w14:paraId="7B6F0E96" w14:textId="77777777" w:rsidTr="001552A4">
        <w:trPr>
          <w:trHeight w:val="370"/>
        </w:trPr>
        <w:tc>
          <w:tcPr>
            <w:tcW w:w="3135" w:type="dxa"/>
            <w:tcBorders>
              <w:top w:val="nil"/>
              <w:left w:val="nil"/>
              <w:bottom w:val="nil"/>
              <w:right w:val="nil"/>
            </w:tcBorders>
          </w:tcPr>
          <w:p w14:paraId="68E2EC00"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Men</w:t>
            </w:r>
          </w:p>
        </w:tc>
        <w:tc>
          <w:tcPr>
            <w:tcW w:w="1814" w:type="dxa"/>
            <w:tcBorders>
              <w:top w:val="nil"/>
              <w:left w:val="nil"/>
              <w:bottom w:val="nil"/>
              <w:right w:val="nil"/>
            </w:tcBorders>
          </w:tcPr>
          <w:p w14:paraId="6484ABB7"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31</w:t>
            </w:r>
          </w:p>
        </w:tc>
        <w:tc>
          <w:tcPr>
            <w:tcW w:w="1814" w:type="dxa"/>
            <w:tcBorders>
              <w:top w:val="nil"/>
              <w:left w:val="nil"/>
              <w:bottom w:val="nil"/>
              <w:right w:val="nil"/>
            </w:tcBorders>
          </w:tcPr>
          <w:p w14:paraId="50BC8503"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34</w:t>
            </w:r>
          </w:p>
        </w:tc>
        <w:tc>
          <w:tcPr>
            <w:tcW w:w="1485" w:type="dxa"/>
            <w:tcBorders>
              <w:top w:val="nil"/>
              <w:left w:val="nil"/>
              <w:bottom w:val="nil"/>
              <w:right w:val="nil"/>
            </w:tcBorders>
            <w:shd w:val="clear" w:color="auto" w:fill="auto"/>
          </w:tcPr>
          <w:p w14:paraId="6B47B5C1"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0.095</w:t>
            </w:r>
          </w:p>
        </w:tc>
        <w:tc>
          <w:tcPr>
            <w:tcW w:w="329" w:type="dxa"/>
            <w:tcBorders>
              <w:top w:val="nil"/>
              <w:left w:val="nil"/>
              <w:bottom w:val="nil"/>
              <w:right w:val="nil"/>
            </w:tcBorders>
          </w:tcPr>
          <w:p w14:paraId="39149C02"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66B1CBF8"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32</w:t>
            </w:r>
          </w:p>
        </w:tc>
        <w:tc>
          <w:tcPr>
            <w:tcW w:w="1979" w:type="dxa"/>
            <w:tcBorders>
              <w:top w:val="nil"/>
              <w:left w:val="nil"/>
              <w:bottom w:val="nil"/>
              <w:right w:val="nil"/>
            </w:tcBorders>
          </w:tcPr>
          <w:p w14:paraId="4DEAE1BA"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32</w:t>
            </w:r>
          </w:p>
        </w:tc>
        <w:tc>
          <w:tcPr>
            <w:tcW w:w="1233" w:type="dxa"/>
            <w:tcBorders>
              <w:top w:val="nil"/>
              <w:left w:val="nil"/>
              <w:bottom w:val="nil"/>
              <w:right w:val="nil"/>
            </w:tcBorders>
            <w:shd w:val="clear" w:color="auto" w:fill="auto"/>
          </w:tcPr>
          <w:p w14:paraId="46E28758"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0.009</w:t>
            </w:r>
          </w:p>
        </w:tc>
      </w:tr>
      <w:tr w:rsidR="006E2212" w:rsidRPr="00345388" w14:paraId="24BC875F" w14:textId="77777777" w:rsidTr="001552A4">
        <w:trPr>
          <w:trHeight w:val="370"/>
        </w:trPr>
        <w:tc>
          <w:tcPr>
            <w:tcW w:w="3135" w:type="dxa"/>
            <w:tcBorders>
              <w:top w:val="nil"/>
              <w:left w:val="nil"/>
              <w:bottom w:val="nil"/>
              <w:right w:val="nil"/>
            </w:tcBorders>
          </w:tcPr>
          <w:p w14:paraId="6E8F859A"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CHA</w:t>
            </w:r>
            <w:r w:rsidRPr="00345388">
              <w:rPr>
                <w:rFonts w:ascii="Times New Roman" w:hAnsi="Times New Roman" w:cs="Times New Roman"/>
                <w:b/>
                <w:color w:val="000000" w:themeColor="text1"/>
                <w:sz w:val="24"/>
                <w:szCs w:val="24"/>
                <w:vertAlign w:val="subscript"/>
              </w:rPr>
              <w:t>2</w:t>
            </w:r>
            <w:r w:rsidRPr="00345388">
              <w:rPr>
                <w:rFonts w:ascii="Times New Roman" w:hAnsi="Times New Roman" w:cs="Times New Roman"/>
                <w:b/>
                <w:color w:val="000000" w:themeColor="text1"/>
                <w:sz w:val="24"/>
                <w:szCs w:val="24"/>
              </w:rPr>
              <w:t>DS</w:t>
            </w:r>
            <w:r w:rsidRPr="00345388">
              <w:rPr>
                <w:rFonts w:ascii="Times New Roman" w:hAnsi="Times New Roman" w:cs="Times New Roman"/>
                <w:b/>
                <w:color w:val="000000" w:themeColor="text1"/>
                <w:sz w:val="24"/>
                <w:szCs w:val="24"/>
                <w:vertAlign w:val="subscript"/>
              </w:rPr>
              <w:t>2</w:t>
            </w:r>
            <w:r w:rsidRPr="00345388">
              <w:rPr>
                <w:rFonts w:ascii="Times New Roman" w:hAnsi="Times New Roman" w:cs="Times New Roman"/>
                <w:b/>
                <w:color w:val="000000" w:themeColor="text1"/>
                <w:sz w:val="24"/>
                <w:szCs w:val="24"/>
              </w:rPr>
              <w:t>-VASc score</w:t>
            </w:r>
          </w:p>
        </w:tc>
        <w:tc>
          <w:tcPr>
            <w:tcW w:w="1814" w:type="dxa"/>
            <w:tcBorders>
              <w:top w:val="nil"/>
              <w:left w:val="nil"/>
              <w:bottom w:val="nil"/>
              <w:right w:val="nil"/>
            </w:tcBorders>
          </w:tcPr>
          <w:p w14:paraId="1305618E"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3.91</w:t>
            </w:r>
            <w:r w:rsidRPr="00345388">
              <w:rPr>
                <w:rFonts w:ascii="Times New Roman" w:eastAsia="Malgun Gothic" w:hAnsi="Times New Roman" w:cs="Times New Roman"/>
                <w:color w:val="000000" w:themeColor="text1"/>
                <w:sz w:val="24"/>
                <w:szCs w:val="24"/>
              </w:rPr>
              <w:t>±1.61</w:t>
            </w:r>
          </w:p>
        </w:tc>
        <w:tc>
          <w:tcPr>
            <w:tcW w:w="1814" w:type="dxa"/>
            <w:tcBorders>
              <w:top w:val="nil"/>
              <w:left w:val="nil"/>
              <w:bottom w:val="nil"/>
              <w:right w:val="nil"/>
            </w:tcBorders>
          </w:tcPr>
          <w:p w14:paraId="507C3AC2"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3.86</w:t>
            </w:r>
            <w:r w:rsidRPr="00345388">
              <w:rPr>
                <w:rFonts w:ascii="Times New Roman" w:eastAsia="Malgun Gothic" w:hAnsi="Times New Roman" w:cs="Times New Roman"/>
                <w:color w:val="000000" w:themeColor="text1"/>
                <w:sz w:val="24"/>
                <w:szCs w:val="24"/>
              </w:rPr>
              <w:t>±1.87</w:t>
            </w:r>
          </w:p>
        </w:tc>
        <w:tc>
          <w:tcPr>
            <w:tcW w:w="1485" w:type="dxa"/>
            <w:tcBorders>
              <w:top w:val="nil"/>
              <w:left w:val="nil"/>
              <w:bottom w:val="nil"/>
              <w:right w:val="nil"/>
            </w:tcBorders>
            <w:shd w:val="clear" w:color="auto" w:fill="auto"/>
          </w:tcPr>
          <w:p w14:paraId="48E70AD4"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0.031</w:t>
            </w:r>
          </w:p>
        </w:tc>
        <w:tc>
          <w:tcPr>
            <w:tcW w:w="329" w:type="dxa"/>
            <w:tcBorders>
              <w:top w:val="nil"/>
              <w:left w:val="nil"/>
              <w:bottom w:val="nil"/>
              <w:right w:val="nil"/>
            </w:tcBorders>
          </w:tcPr>
          <w:p w14:paraId="62974580"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60521B36"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3.92</w:t>
            </w:r>
            <w:r w:rsidRPr="00345388">
              <w:rPr>
                <w:rFonts w:ascii="Times New Roman" w:eastAsia="Malgun Gothic" w:hAnsi="Times New Roman" w:cs="Times New Roman"/>
                <w:color w:val="000000" w:themeColor="text1"/>
                <w:sz w:val="24"/>
                <w:szCs w:val="24"/>
              </w:rPr>
              <w:t>±1.64</w:t>
            </w:r>
          </w:p>
        </w:tc>
        <w:tc>
          <w:tcPr>
            <w:tcW w:w="1979" w:type="dxa"/>
            <w:tcBorders>
              <w:top w:val="nil"/>
              <w:left w:val="nil"/>
              <w:bottom w:val="nil"/>
              <w:right w:val="nil"/>
            </w:tcBorders>
          </w:tcPr>
          <w:p w14:paraId="48EACD0B"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3.97</w:t>
            </w:r>
            <w:r w:rsidRPr="00345388">
              <w:rPr>
                <w:rFonts w:ascii="Times New Roman" w:eastAsia="Malgun Gothic" w:hAnsi="Times New Roman" w:cs="Times New Roman"/>
                <w:color w:val="000000" w:themeColor="text1"/>
                <w:sz w:val="24"/>
                <w:szCs w:val="24"/>
              </w:rPr>
              <w:t>±1.83</w:t>
            </w:r>
          </w:p>
        </w:tc>
        <w:tc>
          <w:tcPr>
            <w:tcW w:w="1233" w:type="dxa"/>
            <w:tcBorders>
              <w:top w:val="nil"/>
              <w:left w:val="nil"/>
              <w:bottom w:val="nil"/>
              <w:right w:val="nil"/>
            </w:tcBorders>
            <w:shd w:val="clear" w:color="auto" w:fill="auto"/>
          </w:tcPr>
          <w:p w14:paraId="72C90472"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0.032</w:t>
            </w:r>
          </w:p>
        </w:tc>
      </w:tr>
      <w:tr w:rsidR="006E2212" w:rsidRPr="00345388" w14:paraId="42C8465C" w14:textId="77777777" w:rsidTr="001552A4">
        <w:trPr>
          <w:trHeight w:val="370"/>
        </w:trPr>
        <w:tc>
          <w:tcPr>
            <w:tcW w:w="3135" w:type="dxa"/>
            <w:tcBorders>
              <w:top w:val="nil"/>
              <w:left w:val="nil"/>
              <w:bottom w:val="nil"/>
              <w:right w:val="nil"/>
            </w:tcBorders>
          </w:tcPr>
          <w:p w14:paraId="6FA20806"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 xml:space="preserve"> 0-1</w:t>
            </w:r>
          </w:p>
        </w:tc>
        <w:tc>
          <w:tcPr>
            <w:tcW w:w="1814" w:type="dxa"/>
            <w:tcBorders>
              <w:top w:val="nil"/>
              <w:left w:val="nil"/>
              <w:bottom w:val="nil"/>
              <w:right w:val="nil"/>
            </w:tcBorders>
          </w:tcPr>
          <w:p w14:paraId="361AB715"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5</w:t>
            </w:r>
          </w:p>
        </w:tc>
        <w:tc>
          <w:tcPr>
            <w:tcW w:w="1814" w:type="dxa"/>
            <w:tcBorders>
              <w:top w:val="nil"/>
              <w:left w:val="nil"/>
              <w:bottom w:val="nil"/>
              <w:right w:val="nil"/>
            </w:tcBorders>
          </w:tcPr>
          <w:p w14:paraId="39EE5F7F"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11</w:t>
            </w:r>
          </w:p>
        </w:tc>
        <w:tc>
          <w:tcPr>
            <w:tcW w:w="1485" w:type="dxa"/>
            <w:tcBorders>
              <w:top w:val="nil"/>
              <w:left w:val="nil"/>
              <w:bottom w:val="nil"/>
              <w:right w:val="nil"/>
            </w:tcBorders>
            <w:shd w:val="clear" w:color="auto" w:fill="auto"/>
          </w:tcPr>
          <w:p w14:paraId="08D24DD4"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329" w:type="dxa"/>
            <w:tcBorders>
              <w:top w:val="nil"/>
              <w:left w:val="nil"/>
              <w:bottom w:val="nil"/>
              <w:right w:val="nil"/>
            </w:tcBorders>
          </w:tcPr>
          <w:p w14:paraId="07006475"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351A96F3"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6</w:t>
            </w:r>
          </w:p>
        </w:tc>
        <w:tc>
          <w:tcPr>
            <w:tcW w:w="1979" w:type="dxa"/>
            <w:tcBorders>
              <w:top w:val="nil"/>
              <w:left w:val="nil"/>
              <w:bottom w:val="nil"/>
              <w:right w:val="nil"/>
            </w:tcBorders>
          </w:tcPr>
          <w:p w14:paraId="581DB5D4"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9</w:t>
            </w:r>
          </w:p>
        </w:tc>
        <w:tc>
          <w:tcPr>
            <w:tcW w:w="1233" w:type="dxa"/>
            <w:vMerge w:val="restart"/>
            <w:tcBorders>
              <w:top w:val="nil"/>
              <w:left w:val="nil"/>
              <w:bottom w:val="nil"/>
              <w:right w:val="nil"/>
            </w:tcBorders>
            <w:shd w:val="clear" w:color="auto" w:fill="auto"/>
            <w:vAlign w:val="center"/>
          </w:tcPr>
          <w:p w14:paraId="06D55FC9"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r>
      <w:tr w:rsidR="006E2212" w:rsidRPr="00345388" w14:paraId="1B6680D7" w14:textId="77777777" w:rsidTr="001552A4">
        <w:trPr>
          <w:trHeight w:val="370"/>
        </w:trPr>
        <w:tc>
          <w:tcPr>
            <w:tcW w:w="3135" w:type="dxa"/>
            <w:tcBorders>
              <w:top w:val="nil"/>
              <w:left w:val="nil"/>
              <w:bottom w:val="nil"/>
              <w:right w:val="nil"/>
            </w:tcBorders>
          </w:tcPr>
          <w:p w14:paraId="184014EF"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 xml:space="preserve"> 2-3</w:t>
            </w:r>
          </w:p>
        </w:tc>
        <w:tc>
          <w:tcPr>
            <w:tcW w:w="1814" w:type="dxa"/>
            <w:tcBorders>
              <w:top w:val="nil"/>
              <w:left w:val="nil"/>
              <w:bottom w:val="nil"/>
              <w:right w:val="nil"/>
            </w:tcBorders>
          </w:tcPr>
          <w:p w14:paraId="6D6FE2AC"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36</w:t>
            </w:r>
          </w:p>
        </w:tc>
        <w:tc>
          <w:tcPr>
            <w:tcW w:w="1814" w:type="dxa"/>
            <w:tcBorders>
              <w:top w:val="nil"/>
              <w:left w:val="nil"/>
              <w:bottom w:val="nil"/>
              <w:right w:val="nil"/>
            </w:tcBorders>
          </w:tcPr>
          <w:p w14:paraId="7857D61E"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33</w:t>
            </w:r>
          </w:p>
        </w:tc>
        <w:tc>
          <w:tcPr>
            <w:tcW w:w="1485" w:type="dxa"/>
            <w:tcBorders>
              <w:top w:val="nil"/>
              <w:left w:val="nil"/>
              <w:bottom w:val="nil"/>
              <w:right w:val="nil"/>
            </w:tcBorders>
            <w:shd w:val="clear" w:color="auto" w:fill="auto"/>
          </w:tcPr>
          <w:p w14:paraId="5CBE43FE"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329" w:type="dxa"/>
            <w:tcBorders>
              <w:top w:val="nil"/>
              <w:left w:val="nil"/>
              <w:bottom w:val="nil"/>
              <w:right w:val="nil"/>
            </w:tcBorders>
          </w:tcPr>
          <w:p w14:paraId="0A43544C"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5405A619"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36</w:t>
            </w:r>
          </w:p>
        </w:tc>
        <w:tc>
          <w:tcPr>
            <w:tcW w:w="1979" w:type="dxa"/>
            <w:tcBorders>
              <w:top w:val="nil"/>
              <w:left w:val="nil"/>
              <w:bottom w:val="nil"/>
              <w:right w:val="nil"/>
            </w:tcBorders>
          </w:tcPr>
          <w:p w14:paraId="77C1F9A6"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32</w:t>
            </w:r>
          </w:p>
        </w:tc>
        <w:tc>
          <w:tcPr>
            <w:tcW w:w="1233" w:type="dxa"/>
            <w:vMerge/>
            <w:tcBorders>
              <w:top w:val="nil"/>
              <w:left w:val="nil"/>
              <w:bottom w:val="nil"/>
              <w:right w:val="nil"/>
            </w:tcBorders>
            <w:shd w:val="clear" w:color="auto" w:fill="auto"/>
          </w:tcPr>
          <w:p w14:paraId="67935D13"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r>
      <w:tr w:rsidR="006E2212" w:rsidRPr="00345388" w14:paraId="5CADEC64" w14:textId="77777777" w:rsidTr="001552A4">
        <w:trPr>
          <w:trHeight w:val="370"/>
        </w:trPr>
        <w:tc>
          <w:tcPr>
            <w:tcW w:w="3135" w:type="dxa"/>
            <w:tcBorders>
              <w:top w:val="nil"/>
              <w:left w:val="nil"/>
              <w:bottom w:val="nil"/>
              <w:right w:val="nil"/>
            </w:tcBorders>
          </w:tcPr>
          <w:p w14:paraId="466970E7"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 xml:space="preserve"> </w:t>
            </w:r>
            <w:r w:rsidRPr="00345388">
              <w:rPr>
                <w:rFonts w:ascii="Times New Roman" w:eastAsia="Malgun Gothic" w:hAnsi="Times New Roman" w:cs="Times New Roman"/>
                <w:b/>
                <w:color w:val="000000" w:themeColor="text1"/>
                <w:sz w:val="24"/>
                <w:szCs w:val="24"/>
              </w:rPr>
              <w:t>≥</w:t>
            </w:r>
            <w:r w:rsidRPr="00345388">
              <w:rPr>
                <w:rFonts w:ascii="Times New Roman" w:hAnsi="Times New Roman" w:cs="Times New Roman"/>
                <w:b/>
                <w:color w:val="000000" w:themeColor="text1"/>
                <w:sz w:val="24"/>
                <w:szCs w:val="24"/>
              </w:rPr>
              <w:t>4</w:t>
            </w:r>
          </w:p>
        </w:tc>
        <w:tc>
          <w:tcPr>
            <w:tcW w:w="1814" w:type="dxa"/>
            <w:tcBorders>
              <w:top w:val="nil"/>
              <w:left w:val="nil"/>
              <w:bottom w:val="nil"/>
              <w:right w:val="nil"/>
            </w:tcBorders>
          </w:tcPr>
          <w:p w14:paraId="561D1B9E"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59</w:t>
            </w:r>
          </w:p>
        </w:tc>
        <w:tc>
          <w:tcPr>
            <w:tcW w:w="1814" w:type="dxa"/>
            <w:tcBorders>
              <w:top w:val="nil"/>
              <w:left w:val="nil"/>
              <w:bottom w:val="nil"/>
              <w:right w:val="nil"/>
            </w:tcBorders>
          </w:tcPr>
          <w:p w14:paraId="35B9641A"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56</w:t>
            </w:r>
          </w:p>
        </w:tc>
        <w:tc>
          <w:tcPr>
            <w:tcW w:w="1485" w:type="dxa"/>
            <w:tcBorders>
              <w:top w:val="nil"/>
              <w:left w:val="nil"/>
              <w:bottom w:val="nil"/>
              <w:right w:val="nil"/>
            </w:tcBorders>
            <w:shd w:val="clear" w:color="auto" w:fill="auto"/>
          </w:tcPr>
          <w:p w14:paraId="2441FBE9"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329" w:type="dxa"/>
            <w:tcBorders>
              <w:top w:val="nil"/>
              <w:left w:val="nil"/>
              <w:bottom w:val="nil"/>
              <w:right w:val="nil"/>
            </w:tcBorders>
          </w:tcPr>
          <w:p w14:paraId="1269D18B"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0098884F"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58</w:t>
            </w:r>
          </w:p>
        </w:tc>
        <w:tc>
          <w:tcPr>
            <w:tcW w:w="1979" w:type="dxa"/>
            <w:tcBorders>
              <w:top w:val="nil"/>
              <w:left w:val="nil"/>
              <w:bottom w:val="nil"/>
              <w:right w:val="nil"/>
            </w:tcBorders>
          </w:tcPr>
          <w:p w14:paraId="76B1E4C3"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59</w:t>
            </w:r>
          </w:p>
        </w:tc>
        <w:tc>
          <w:tcPr>
            <w:tcW w:w="1233" w:type="dxa"/>
            <w:vMerge/>
            <w:tcBorders>
              <w:top w:val="nil"/>
              <w:left w:val="nil"/>
              <w:bottom w:val="nil"/>
              <w:right w:val="nil"/>
            </w:tcBorders>
            <w:shd w:val="clear" w:color="auto" w:fill="auto"/>
          </w:tcPr>
          <w:p w14:paraId="21A1F12C"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r>
      <w:tr w:rsidR="006E2212" w:rsidRPr="00345388" w14:paraId="557B8CC0" w14:textId="77777777" w:rsidTr="001552A4">
        <w:trPr>
          <w:trHeight w:val="370"/>
        </w:trPr>
        <w:tc>
          <w:tcPr>
            <w:tcW w:w="3135" w:type="dxa"/>
            <w:tcBorders>
              <w:top w:val="nil"/>
              <w:left w:val="nil"/>
              <w:bottom w:val="nil"/>
              <w:right w:val="nil"/>
            </w:tcBorders>
          </w:tcPr>
          <w:p w14:paraId="17529624"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Body weight, kg</w:t>
            </w:r>
          </w:p>
        </w:tc>
        <w:tc>
          <w:tcPr>
            <w:tcW w:w="1814" w:type="dxa"/>
            <w:tcBorders>
              <w:top w:val="nil"/>
              <w:left w:val="nil"/>
              <w:bottom w:val="nil"/>
              <w:right w:val="nil"/>
            </w:tcBorders>
          </w:tcPr>
          <w:p w14:paraId="5656A670"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53.2</w:t>
            </w:r>
            <w:r w:rsidRPr="00345388">
              <w:rPr>
                <w:rFonts w:ascii="Times New Roman" w:eastAsia="Malgun Gothic" w:hAnsi="Times New Roman" w:cs="Times New Roman"/>
                <w:color w:val="000000" w:themeColor="text1"/>
                <w:sz w:val="24"/>
                <w:szCs w:val="24"/>
              </w:rPr>
              <w:t>±5.5</w:t>
            </w:r>
          </w:p>
        </w:tc>
        <w:tc>
          <w:tcPr>
            <w:tcW w:w="1814" w:type="dxa"/>
            <w:tcBorders>
              <w:top w:val="nil"/>
              <w:left w:val="nil"/>
              <w:bottom w:val="nil"/>
              <w:right w:val="nil"/>
            </w:tcBorders>
          </w:tcPr>
          <w:p w14:paraId="553BFBD7"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53.3</w:t>
            </w:r>
            <w:r w:rsidRPr="00345388">
              <w:rPr>
                <w:rFonts w:ascii="Times New Roman" w:eastAsia="Malgun Gothic" w:hAnsi="Times New Roman" w:cs="Times New Roman"/>
                <w:color w:val="000000" w:themeColor="text1"/>
                <w:sz w:val="24"/>
                <w:szCs w:val="24"/>
              </w:rPr>
              <w:t>±5.5</w:t>
            </w:r>
          </w:p>
        </w:tc>
        <w:tc>
          <w:tcPr>
            <w:tcW w:w="1485" w:type="dxa"/>
            <w:tcBorders>
              <w:top w:val="nil"/>
              <w:left w:val="nil"/>
              <w:bottom w:val="nil"/>
              <w:right w:val="nil"/>
            </w:tcBorders>
            <w:shd w:val="clear" w:color="auto" w:fill="auto"/>
          </w:tcPr>
          <w:p w14:paraId="7939492F"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0.010</w:t>
            </w:r>
          </w:p>
        </w:tc>
        <w:tc>
          <w:tcPr>
            <w:tcW w:w="329" w:type="dxa"/>
            <w:tcBorders>
              <w:top w:val="nil"/>
              <w:left w:val="nil"/>
              <w:bottom w:val="nil"/>
              <w:right w:val="nil"/>
            </w:tcBorders>
          </w:tcPr>
          <w:p w14:paraId="25B9875D"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598AB4DA"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53.2</w:t>
            </w:r>
            <w:r w:rsidRPr="00345388">
              <w:rPr>
                <w:rFonts w:ascii="Times New Roman" w:eastAsia="Malgun Gothic" w:hAnsi="Times New Roman" w:cs="Times New Roman"/>
                <w:color w:val="000000" w:themeColor="text1"/>
                <w:sz w:val="24"/>
                <w:szCs w:val="24"/>
              </w:rPr>
              <w:t>±5.5</w:t>
            </w:r>
          </w:p>
        </w:tc>
        <w:tc>
          <w:tcPr>
            <w:tcW w:w="1979" w:type="dxa"/>
            <w:tcBorders>
              <w:top w:val="nil"/>
              <w:left w:val="nil"/>
              <w:bottom w:val="nil"/>
              <w:right w:val="nil"/>
            </w:tcBorders>
          </w:tcPr>
          <w:p w14:paraId="394906A2"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53.2</w:t>
            </w:r>
            <w:r w:rsidRPr="00345388">
              <w:rPr>
                <w:rFonts w:ascii="Times New Roman" w:eastAsia="Malgun Gothic" w:hAnsi="Times New Roman" w:cs="Times New Roman"/>
                <w:color w:val="000000" w:themeColor="text1"/>
                <w:sz w:val="24"/>
                <w:szCs w:val="24"/>
              </w:rPr>
              <w:t>±5.6</w:t>
            </w:r>
          </w:p>
        </w:tc>
        <w:tc>
          <w:tcPr>
            <w:tcW w:w="1233" w:type="dxa"/>
            <w:tcBorders>
              <w:top w:val="nil"/>
              <w:left w:val="nil"/>
              <w:bottom w:val="nil"/>
              <w:right w:val="nil"/>
            </w:tcBorders>
            <w:shd w:val="clear" w:color="auto" w:fill="auto"/>
          </w:tcPr>
          <w:p w14:paraId="41903CDC"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0.002</w:t>
            </w:r>
          </w:p>
        </w:tc>
      </w:tr>
      <w:tr w:rsidR="006E2212" w:rsidRPr="00345388" w14:paraId="48709830" w14:textId="77777777" w:rsidTr="001552A4">
        <w:trPr>
          <w:trHeight w:val="370"/>
        </w:trPr>
        <w:tc>
          <w:tcPr>
            <w:tcW w:w="3135" w:type="dxa"/>
            <w:tcBorders>
              <w:top w:val="nil"/>
              <w:left w:val="nil"/>
              <w:bottom w:val="nil"/>
              <w:right w:val="nil"/>
            </w:tcBorders>
          </w:tcPr>
          <w:p w14:paraId="7FD390DD"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 xml:space="preserve"> 50-60 kg</w:t>
            </w:r>
          </w:p>
        </w:tc>
        <w:tc>
          <w:tcPr>
            <w:tcW w:w="1814" w:type="dxa"/>
            <w:tcBorders>
              <w:top w:val="nil"/>
              <w:left w:val="nil"/>
              <w:bottom w:val="nil"/>
              <w:right w:val="nil"/>
            </w:tcBorders>
          </w:tcPr>
          <w:p w14:paraId="72697CCC"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72</w:t>
            </w:r>
          </w:p>
        </w:tc>
        <w:tc>
          <w:tcPr>
            <w:tcW w:w="1814" w:type="dxa"/>
            <w:tcBorders>
              <w:top w:val="nil"/>
              <w:left w:val="nil"/>
              <w:bottom w:val="nil"/>
              <w:right w:val="nil"/>
            </w:tcBorders>
          </w:tcPr>
          <w:p w14:paraId="53E58A88"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72</w:t>
            </w:r>
          </w:p>
        </w:tc>
        <w:tc>
          <w:tcPr>
            <w:tcW w:w="1485" w:type="dxa"/>
            <w:tcBorders>
              <w:top w:val="nil"/>
              <w:left w:val="nil"/>
              <w:bottom w:val="nil"/>
              <w:right w:val="nil"/>
            </w:tcBorders>
            <w:shd w:val="clear" w:color="auto" w:fill="auto"/>
          </w:tcPr>
          <w:p w14:paraId="280056F4"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329" w:type="dxa"/>
            <w:tcBorders>
              <w:top w:val="nil"/>
              <w:left w:val="nil"/>
              <w:bottom w:val="nil"/>
              <w:right w:val="nil"/>
            </w:tcBorders>
          </w:tcPr>
          <w:p w14:paraId="3014966C"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20DB8786"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72</w:t>
            </w:r>
          </w:p>
        </w:tc>
        <w:tc>
          <w:tcPr>
            <w:tcW w:w="1979" w:type="dxa"/>
            <w:tcBorders>
              <w:top w:val="nil"/>
              <w:left w:val="nil"/>
              <w:bottom w:val="nil"/>
              <w:right w:val="nil"/>
            </w:tcBorders>
          </w:tcPr>
          <w:p w14:paraId="20EAF4CD"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72</w:t>
            </w:r>
          </w:p>
        </w:tc>
        <w:tc>
          <w:tcPr>
            <w:tcW w:w="1233" w:type="dxa"/>
            <w:tcBorders>
              <w:top w:val="nil"/>
              <w:left w:val="nil"/>
              <w:bottom w:val="nil"/>
              <w:right w:val="nil"/>
            </w:tcBorders>
            <w:shd w:val="clear" w:color="auto" w:fill="auto"/>
          </w:tcPr>
          <w:p w14:paraId="70BE1D22"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r>
      <w:tr w:rsidR="006E2212" w:rsidRPr="00345388" w14:paraId="550A7B2E" w14:textId="77777777" w:rsidTr="001552A4">
        <w:trPr>
          <w:trHeight w:val="370"/>
        </w:trPr>
        <w:tc>
          <w:tcPr>
            <w:tcW w:w="3135" w:type="dxa"/>
            <w:tcBorders>
              <w:top w:val="nil"/>
              <w:left w:val="nil"/>
              <w:bottom w:val="nil"/>
              <w:right w:val="nil"/>
            </w:tcBorders>
          </w:tcPr>
          <w:p w14:paraId="228B4693"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 xml:space="preserve"> &lt;50 kg</w:t>
            </w:r>
          </w:p>
        </w:tc>
        <w:tc>
          <w:tcPr>
            <w:tcW w:w="1814" w:type="dxa"/>
            <w:tcBorders>
              <w:top w:val="nil"/>
              <w:left w:val="nil"/>
              <w:bottom w:val="nil"/>
              <w:right w:val="nil"/>
            </w:tcBorders>
          </w:tcPr>
          <w:p w14:paraId="541F46C6"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28</w:t>
            </w:r>
          </w:p>
        </w:tc>
        <w:tc>
          <w:tcPr>
            <w:tcW w:w="1814" w:type="dxa"/>
            <w:tcBorders>
              <w:top w:val="nil"/>
              <w:left w:val="nil"/>
              <w:bottom w:val="nil"/>
              <w:right w:val="nil"/>
            </w:tcBorders>
          </w:tcPr>
          <w:p w14:paraId="4EEAFDCF"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28</w:t>
            </w:r>
          </w:p>
        </w:tc>
        <w:tc>
          <w:tcPr>
            <w:tcW w:w="1485" w:type="dxa"/>
            <w:tcBorders>
              <w:top w:val="nil"/>
              <w:left w:val="nil"/>
              <w:bottom w:val="nil"/>
              <w:right w:val="nil"/>
            </w:tcBorders>
            <w:shd w:val="clear" w:color="auto" w:fill="auto"/>
          </w:tcPr>
          <w:p w14:paraId="2817CCE9"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329" w:type="dxa"/>
            <w:tcBorders>
              <w:top w:val="nil"/>
              <w:left w:val="nil"/>
              <w:bottom w:val="nil"/>
              <w:right w:val="nil"/>
            </w:tcBorders>
          </w:tcPr>
          <w:p w14:paraId="341CD0E6"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5086E19E"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28</w:t>
            </w:r>
          </w:p>
        </w:tc>
        <w:tc>
          <w:tcPr>
            <w:tcW w:w="1979" w:type="dxa"/>
            <w:tcBorders>
              <w:top w:val="nil"/>
              <w:left w:val="nil"/>
              <w:bottom w:val="nil"/>
              <w:right w:val="nil"/>
            </w:tcBorders>
          </w:tcPr>
          <w:p w14:paraId="618A50F9"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28</w:t>
            </w:r>
          </w:p>
        </w:tc>
        <w:tc>
          <w:tcPr>
            <w:tcW w:w="1233" w:type="dxa"/>
            <w:tcBorders>
              <w:top w:val="nil"/>
              <w:left w:val="nil"/>
              <w:bottom w:val="nil"/>
              <w:right w:val="nil"/>
            </w:tcBorders>
            <w:shd w:val="clear" w:color="auto" w:fill="auto"/>
          </w:tcPr>
          <w:p w14:paraId="125153DA"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r>
      <w:tr w:rsidR="006E2212" w:rsidRPr="00345388" w14:paraId="22CFE71B" w14:textId="77777777" w:rsidTr="001552A4">
        <w:trPr>
          <w:trHeight w:val="370"/>
        </w:trPr>
        <w:tc>
          <w:tcPr>
            <w:tcW w:w="3135" w:type="dxa"/>
            <w:tcBorders>
              <w:top w:val="nil"/>
              <w:left w:val="nil"/>
              <w:bottom w:val="nil"/>
              <w:right w:val="nil"/>
            </w:tcBorders>
          </w:tcPr>
          <w:p w14:paraId="0E247B44"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Body mass index, kg/m</w:t>
            </w:r>
            <w:r w:rsidRPr="00345388">
              <w:rPr>
                <w:rFonts w:ascii="Times New Roman" w:hAnsi="Times New Roman" w:cs="Times New Roman"/>
                <w:b/>
                <w:color w:val="000000" w:themeColor="text1"/>
                <w:sz w:val="24"/>
                <w:szCs w:val="24"/>
                <w:vertAlign w:val="superscript"/>
              </w:rPr>
              <w:t>2</w:t>
            </w:r>
          </w:p>
        </w:tc>
        <w:tc>
          <w:tcPr>
            <w:tcW w:w="1814" w:type="dxa"/>
            <w:tcBorders>
              <w:top w:val="nil"/>
              <w:left w:val="nil"/>
              <w:bottom w:val="nil"/>
              <w:right w:val="nil"/>
            </w:tcBorders>
          </w:tcPr>
          <w:p w14:paraId="2899943B"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22.3</w:t>
            </w:r>
            <w:r w:rsidRPr="00345388">
              <w:rPr>
                <w:rFonts w:ascii="Times New Roman" w:eastAsia="Malgun Gothic" w:hAnsi="Times New Roman" w:cs="Times New Roman"/>
                <w:color w:val="000000" w:themeColor="text1"/>
                <w:sz w:val="24"/>
                <w:szCs w:val="24"/>
              </w:rPr>
              <w:t>±2.5</w:t>
            </w:r>
          </w:p>
        </w:tc>
        <w:tc>
          <w:tcPr>
            <w:tcW w:w="1814" w:type="dxa"/>
            <w:tcBorders>
              <w:top w:val="nil"/>
              <w:left w:val="nil"/>
              <w:bottom w:val="nil"/>
              <w:right w:val="nil"/>
            </w:tcBorders>
          </w:tcPr>
          <w:p w14:paraId="26D85B93"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22.1</w:t>
            </w:r>
            <w:r w:rsidRPr="00345388">
              <w:rPr>
                <w:rFonts w:ascii="Times New Roman" w:eastAsia="Malgun Gothic" w:hAnsi="Times New Roman" w:cs="Times New Roman"/>
                <w:color w:val="000000" w:themeColor="text1"/>
                <w:sz w:val="24"/>
                <w:szCs w:val="24"/>
              </w:rPr>
              <w:t>±2.5</w:t>
            </w:r>
          </w:p>
        </w:tc>
        <w:tc>
          <w:tcPr>
            <w:tcW w:w="1485" w:type="dxa"/>
            <w:tcBorders>
              <w:top w:val="nil"/>
              <w:left w:val="nil"/>
              <w:bottom w:val="nil"/>
              <w:right w:val="nil"/>
            </w:tcBorders>
            <w:shd w:val="clear" w:color="auto" w:fill="auto"/>
          </w:tcPr>
          <w:p w14:paraId="553DDC76"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0.116</w:t>
            </w:r>
          </w:p>
        </w:tc>
        <w:tc>
          <w:tcPr>
            <w:tcW w:w="329" w:type="dxa"/>
            <w:tcBorders>
              <w:top w:val="nil"/>
              <w:left w:val="nil"/>
              <w:bottom w:val="nil"/>
              <w:right w:val="nil"/>
            </w:tcBorders>
          </w:tcPr>
          <w:p w14:paraId="413F6E56"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3978C06B"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22.3</w:t>
            </w:r>
            <w:r w:rsidRPr="00345388">
              <w:rPr>
                <w:rFonts w:ascii="Times New Roman" w:eastAsia="Malgun Gothic" w:hAnsi="Times New Roman" w:cs="Times New Roman"/>
                <w:color w:val="000000" w:themeColor="text1"/>
                <w:sz w:val="24"/>
                <w:szCs w:val="24"/>
              </w:rPr>
              <w:t>±2.5</w:t>
            </w:r>
          </w:p>
        </w:tc>
        <w:tc>
          <w:tcPr>
            <w:tcW w:w="1979" w:type="dxa"/>
            <w:tcBorders>
              <w:top w:val="nil"/>
              <w:left w:val="nil"/>
              <w:bottom w:val="nil"/>
              <w:right w:val="nil"/>
            </w:tcBorders>
          </w:tcPr>
          <w:p w14:paraId="687AA747"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22.3</w:t>
            </w:r>
            <w:r w:rsidRPr="00345388">
              <w:rPr>
                <w:rFonts w:ascii="Times New Roman" w:eastAsia="Malgun Gothic" w:hAnsi="Times New Roman" w:cs="Times New Roman"/>
                <w:color w:val="000000" w:themeColor="text1"/>
                <w:sz w:val="24"/>
                <w:szCs w:val="24"/>
              </w:rPr>
              <w:t>±2.5</w:t>
            </w:r>
          </w:p>
        </w:tc>
        <w:tc>
          <w:tcPr>
            <w:tcW w:w="1233" w:type="dxa"/>
            <w:tcBorders>
              <w:top w:val="nil"/>
              <w:left w:val="nil"/>
              <w:bottom w:val="nil"/>
              <w:right w:val="nil"/>
            </w:tcBorders>
            <w:shd w:val="clear" w:color="auto" w:fill="auto"/>
          </w:tcPr>
          <w:p w14:paraId="447049E6"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0.007</w:t>
            </w:r>
          </w:p>
        </w:tc>
      </w:tr>
      <w:tr w:rsidR="006E2212" w:rsidRPr="00345388" w14:paraId="50741A02" w14:textId="77777777" w:rsidTr="001552A4">
        <w:trPr>
          <w:trHeight w:val="370"/>
        </w:trPr>
        <w:tc>
          <w:tcPr>
            <w:tcW w:w="3135" w:type="dxa"/>
            <w:tcBorders>
              <w:top w:val="nil"/>
              <w:left w:val="nil"/>
              <w:bottom w:val="nil"/>
              <w:right w:val="nil"/>
            </w:tcBorders>
          </w:tcPr>
          <w:p w14:paraId="1CE1B587"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CrCl, mL/min</w:t>
            </w:r>
          </w:p>
        </w:tc>
        <w:tc>
          <w:tcPr>
            <w:tcW w:w="1814" w:type="dxa"/>
            <w:tcBorders>
              <w:top w:val="nil"/>
              <w:left w:val="nil"/>
              <w:bottom w:val="nil"/>
              <w:right w:val="nil"/>
            </w:tcBorders>
          </w:tcPr>
          <w:p w14:paraId="19FDB0CC"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79.7</w:t>
            </w:r>
            <w:r w:rsidRPr="00345388">
              <w:rPr>
                <w:rFonts w:ascii="Times New Roman" w:eastAsia="Malgun Gothic" w:hAnsi="Times New Roman" w:cs="Times New Roman"/>
                <w:color w:val="000000" w:themeColor="text1"/>
                <w:sz w:val="24"/>
                <w:szCs w:val="24"/>
              </w:rPr>
              <w:t>±35.1</w:t>
            </w:r>
          </w:p>
        </w:tc>
        <w:tc>
          <w:tcPr>
            <w:tcW w:w="1814" w:type="dxa"/>
            <w:tcBorders>
              <w:top w:val="nil"/>
              <w:left w:val="nil"/>
              <w:bottom w:val="nil"/>
              <w:right w:val="nil"/>
            </w:tcBorders>
          </w:tcPr>
          <w:p w14:paraId="347430CA"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80.1</w:t>
            </w:r>
            <w:r w:rsidRPr="00345388">
              <w:rPr>
                <w:rFonts w:ascii="Times New Roman" w:eastAsia="Malgun Gothic" w:hAnsi="Times New Roman" w:cs="Times New Roman"/>
                <w:color w:val="000000" w:themeColor="text1"/>
                <w:sz w:val="24"/>
                <w:szCs w:val="24"/>
              </w:rPr>
              <w:t>±32.7</w:t>
            </w:r>
          </w:p>
        </w:tc>
        <w:tc>
          <w:tcPr>
            <w:tcW w:w="1485" w:type="dxa"/>
            <w:tcBorders>
              <w:top w:val="nil"/>
              <w:left w:val="nil"/>
              <w:bottom w:val="nil"/>
              <w:right w:val="nil"/>
            </w:tcBorders>
            <w:shd w:val="clear" w:color="auto" w:fill="auto"/>
          </w:tcPr>
          <w:p w14:paraId="68809570"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0.011</w:t>
            </w:r>
          </w:p>
        </w:tc>
        <w:tc>
          <w:tcPr>
            <w:tcW w:w="329" w:type="dxa"/>
            <w:tcBorders>
              <w:top w:val="nil"/>
              <w:left w:val="nil"/>
              <w:bottom w:val="nil"/>
              <w:right w:val="nil"/>
            </w:tcBorders>
          </w:tcPr>
          <w:p w14:paraId="27F1E4A6"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05DD6A8F"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78.9</w:t>
            </w:r>
            <w:r w:rsidRPr="00345388">
              <w:rPr>
                <w:rFonts w:ascii="Times New Roman" w:eastAsia="Malgun Gothic" w:hAnsi="Times New Roman" w:cs="Times New Roman"/>
                <w:color w:val="000000" w:themeColor="text1"/>
                <w:sz w:val="24"/>
                <w:szCs w:val="24"/>
              </w:rPr>
              <w:t>±22.7</w:t>
            </w:r>
          </w:p>
        </w:tc>
        <w:tc>
          <w:tcPr>
            <w:tcW w:w="1979" w:type="dxa"/>
            <w:tcBorders>
              <w:top w:val="nil"/>
              <w:left w:val="nil"/>
              <w:bottom w:val="nil"/>
              <w:right w:val="nil"/>
            </w:tcBorders>
          </w:tcPr>
          <w:p w14:paraId="1A4D908C"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78.6</w:t>
            </w:r>
            <w:r w:rsidRPr="00345388">
              <w:rPr>
                <w:rFonts w:ascii="Times New Roman" w:eastAsia="Malgun Gothic" w:hAnsi="Times New Roman" w:cs="Times New Roman"/>
                <w:color w:val="000000" w:themeColor="text1"/>
                <w:sz w:val="24"/>
                <w:szCs w:val="24"/>
              </w:rPr>
              <w:t>±20.4</w:t>
            </w:r>
          </w:p>
        </w:tc>
        <w:tc>
          <w:tcPr>
            <w:tcW w:w="1233" w:type="dxa"/>
            <w:tcBorders>
              <w:top w:val="nil"/>
              <w:left w:val="nil"/>
              <w:bottom w:val="nil"/>
              <w:right w:val="nil"/>
            </w:tcBorders>
            <w:shd w:val="clear" w:color="auto" w:fill="auto"/>
          </w:tcPr>
          <w:p w14:paraId="2CAEFEDC"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0.010</w:t>
            </w:r>
          </w:p>
        </w:tc>
      </w:tr>
      <w:tr w:rsidR="006E2212" w:rsidRPr="00345388" w14:paraId="5B4CC428" w14:textId="77777777" w:rsidTr="001552A4">
        <w:trPr>
          <w:trHeight w:val="370"/>
        </w:trPr>
        <w:tc>
          <w:tcPr>
            <w:tcW w:w="3135" w:type="dxa"/>
            <w:tcBorders>
              <w:top w:val="nil"/>
              <w:left w:val="nil"/>
              <w:bottom w:val="nil"/>
              <w:right w:val="nil"/>
            </w:tcBorders>
          </w:tcPr>
          <w:p w14:paraId="1116A1A3"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Hypertension</w:t>
            </w:r>
          </w:p>
        </w:tc>
        <w:tc>
          <w:tcPr>
            <w:tcW w:w="1814" w:type="dxa"/>
            <w:tcBorders>
              <w:top w:val="nil"/>
              <w:left w:val="nil"/>
              <w:bottom w:val="nil"/>
              <w:right w:val="nil"/>
            </w:tcBorders>
          </w:tcPr>
          <w:p w14:paraId="2C4394B3"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67</w:t>
            </w:r>
          </w:p>
        </w:tc>
        <w:tc>
          <w:tcPr>
            <w:tcW w:w="1814" w:type="dxa"/>
            <w:tcBorders>
              <w:top w:val="nil"/>
              <w:left w:val="nil"/>
              <w:bottom w:val="nil"/>
              <w:right w:val="nil"/>
            </w:tcBorders>
          </w:tcPr>
          <w:p w14:paraId="37AC707E"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67</w:t>
            </w:r>
          </w:p>
        </w:tc>
        <w:tc>
          <w:tcPr>
            <w:tcW w:w="1485" w:type="dxa"/>
            <w:tcBorders>
              <w:top w:val="nil"/>
              <w:left w:val="nil"/>
              <w:bottom w:val="nil"/>
              <w:right w:val="nil"/>
            </w:tcBorders>
            <w:shd w:val="clear" w:color="auto" w:fill="auto"/>
          </w:tcPr>
          <w:p w14:paraId="6D6466F7"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0.003</w:t>
            </w:r>
          </w:p>
        </w:tc>
        <w:tc>
          <w:tcPr>
            <w:tcW w:w="329" w:type="dxa"/>
            <w:tcBorders>
              <w:top w:val="nil"/>
              <w:left w:val="nil"/>
              <w:bottom w:val="nil"/>
              <w:right w:val="nil"/>
            </w:tcBorders>
          </w:tcPr>
          <w:p w14:paraId="3FCEFFBA"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03354EED"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68</w:t>
            </w:r>
          </w:p>
        </w:tc>
        <w:tc>
          <w:tcPr>
            <w:tcW w:w="1979" w:type="dxa"/>
            <w:tcBorders>
              <w:top w:val="nil"/>
              <w:left w:val="nil"/>
              <w:bottom w:val="nil"/>
              <w:right w:val="nil"/>
            </w:tcBorders>
          </w:tcPr>
          <w:p w14:paraId="2F219119"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68</w:t>
            </w:r>
          </w:p>
        </w:tc>
        <w:tc>
          <w:tcPr>
            <w:tcW w:w="1233" w:type="dxa"/>
            <w:tcBorders>
              <w:top w:val="nil"/>
              <w:left w:val="nil"/>
              <w:bottom w:val="nil"/>
              <w:right w:val="nil"/>
            </w:tcBorders>
            <w:shd w:val="clear" w:color="auto" w:fill="auto"/>
          </w:tcPr>
          <w:p w14:paraId="35C82C00"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0.009</w:t>
            </w:r>
          </w:p>
        </w:tc>
      </w:tr>
      <w:tr w:rsidR="006E2212" w:rsidRPr="00345388" w14:paraId="4BD549C8" w14:textId="77777777" w:rsidTr="001552A4">
        <w:trPr>
          <w:trHeight w:val="355"/>
        </w:trPr>
        <w:tc>
          <w:tcPr>
            <w:tcW w:w="3135" w:type="dxa"/>
            <w:tcBorders>
              <w:top w:val="nil"/>
              <w:left w:val="nil"/>
              <w:bottom w:val="nil"/>
              <w:right w:val="nil"/>
            </w:tcBorders>
          </w:tcPr>
          <w:p w14:paraId="2B0E094D"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Diabetes mellitus</w:t>
            </w:r>
          </w:p>
        </w:tc>
        <w:tc>
          <w:tcPr>
            <w:tcW w:w="1814" w:type="dxa"/>
            <w:tcBorders>
              <w:top w:val="nil"/>
              <w:left w:val="nil"/>
              <w:bottom w:val="nil"/>
              <w:right w:val="nil"/>
            </w:tcBorders>
          </w:tcPr>
          <w:p w14:paraId="54878F7C"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18</w:t>
            </w:r>
          </w:p>
        </w:tc>
        <w:tc>
          <w:tcPr>
            <w:tcW w:w="1814" w:type="dxa"/>
            <w:tcBorders>
              <w:top w:val="nil"/>
              <w:left w:val="nil"/>
              <w:bottom w:val="nil"/>
              <w:right w:val="nil"/>
            </w:tcBorders>
          </w:tcPr>
          <w:p w14:paraId="6F9870F2"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18</w:t>
            </w:r>
          </w:p>
        </w:tc>
        <w:tc>
          <w:tcPr>
            <w:tcW w:w="1485" w:type="dxa"/>
            <w:tcBorders>
              <w:top w:val="nil"/>
              <w:left w:val="nil"/>
              <w:bottom w:val="nil"/>
              <w:right w:val="nil"/>
            </w:tcBorders>
            <w:shd w:val="clear" w:color="auto" w:fill="auto"/>
          </w:tcPr>
          <w:p w14:paraId="4631D924"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0.004</w:t>
            </w:r>
          </w:p>
        </w:tc>
        <w:tc>
          <w:tcPr>
            <w:tcW w:w="329" w:type="dxa"/>
            <w:tcBorders>
              <w:top w:val="nil"/>
              <w:left w:val="nil"/>
              <w:bottom w:val="nil"/>
              <w:right w:val="nil"/>
            </w:tcBorders>
          </w:tcPr>
          <w:p w14:paraId="01642335"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79A755A8"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19</w:t>
            </w:r>
          </w:p>
        </w:tc>
        <w:tc>
          <w:tcPr>
            <w:tcW w:w="1979" w:type="dxa"/>
            <w:tcBorders>
              <w:top w:val="nil"/>
              <w:left w:val="nil"/>
              <w:bottom w:val="nil"/>
              <w:right w:val="nil"/>
            </w:tcBorders>
          </w:tcPr>
          <w:p w14:paraId="238E1116"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19</w:t>
            </w:r>
          </w:p>
        </w:tc>
        <w:tc>
          <w:tcPr>
            <w:tcW w:w="1233" w:type="dxa"/>
            <w:tcBorders>
              <w:top w:val="nil"/>
              <w:left w:val="nil"/>
              <w:bottom w:val="nil"/>
              <w:right w:val="nil"/>
            </w:tcBorders>
            <w:shd w:val="clear" w:color="auto" w:fill="auto"/>
          </w:tcPr>
          <w:p w14:paraId="1C322C2C"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0.010</w:t>
            </w:r>
          </w:p>
        </w:tc>
      </w:tr>
      <w:tr w:rsidR="006E2212" w:rsidRPr="00345388" w14:paraId="1FE2EBE7" w14:textId="77777777" w:rsidTr="001552A4">
        <w:trPr>
          <w:trHeight w:val="355"/>
        </w:trPr>
        <w:tc>
          <w:tcPr>
            <w:tcW w:w="3135" w:type="dxa"/>
            <w:tcBorders>
              <w:top w:val="nil"/>
              <w:left w:val="nil"/>
              <w:bottom w:val="nil"/>
              <w:right w:val="nil"/>
            </w:tcBorders>
          </w:tcPr>
          <w:p w14:paraId="507C6787"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Dyslipidemia</w:t>
            </w:r>
          </w:p>
        </w:tc>
        <w:tc>
          <w:tcPr>
            <w:tcW w:w="1814" w:type="dxa"/>
            <w:tcBorders>
              <w:top w:val="nil"/>
              <w:left w:val="nil"/>
              <w:bottom w:val="nil"/>
              <w:right w:val="nil"/>
            </w:tcBorders>
          </w:tcPr>
          <w:p w14:paraId="4F9C9922"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38</w:t>
            </w:r>
          </w:p>
        </w:tc>
        <w:tc>
          <w:tcPr>
            <w:tcW w:w="1814" w:type="dxa"/>
            <w:tcBorders>
              <w:top w:val="nil"/>
              <w:left w:val="nil"/>
              <w:bottom w:val="nil"/>
              <w:right w:val="nil"/>
            </w:tcBorders>
          </w:tcPr>
          <w:p w14:paraId="45AB8731"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36</w:t>
            </w:r>
          </w:p>
        </w:tc>
        <w:tc>
          <w:tcPr>
            <w:tcW w:w="1485" w:type="dxa"/>
            <w:tcBorders>
              <w:top w:val="nil"/>
              <w:left w:val="nil"/>
              <w:bottom w:val="nil"/>
              <w:right w:val="nil"/>
            </w:tcBorders>
            <w:shd w:val="clear" w:color="auto" w:fill="auto"/>
          </w:tcPr>
          <w:p w14:paraId="606E3479"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0.048</w:t>
            </w:r>
          </w:p>
        </w:tc>
        <w:tc>
          <w:tcPr>
            <w:tcW w:w="329" w:type="dxa"/>
            <w:tcBorders>
              <w:top w:val="nil"/>
              <w:left w:val="nil"/>
              <w:bottom w:val="nil"/>
              <w:right w:val="nil"/>
            </w:tcBorders>
          </w:tcPr>
          <w:p w14:paraId="7EDFDF58"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6D88278E"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38</w:t>
            </w:r>
          </w:p>
        </w:tc>
        <w:tc>
          <w:tcPr>
            <w:tcW w:w="1979" w:type="dxa"/>
            <w:tcBorders>
              <w:top w:val="nil"/>
              <w:left w:val="nil"/>
              <w:bottom w:val="nil"/>
              <w:right w:val="nil"/>
            </w:tcBorders>
          </w:tcPr>
          <w:p w14:paraId="1B6264B4"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39</w:t>
            </w:r>
          </w:p>
        </w:tc>
        <w:tc>
          <w:tcPr>
            <w:tcW w:w="1233" w:type="dxa"/>
            <w:tcBorders>
              <w:top w:val="nil"/>
              <w:left w:val="nil"/>
              <w:bottom w:val="nil"/>
              <w:right w:val="nil"/>
            </w:tcBorders>
            <w:shd w:val="clear" w:color="auto" w:fill="auto"/>
          </w:tcPr>
          <w:p w14:paraId="28BE1972"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0.013</w:t>
            </w:r>
          </w:p>
        </w:tc>
      </w:tr>
      <w:tr w:rsidR="006E2212" w:rsidRPr="00345388" w14:paraId="2564ACD0" w14:textId="77777777" w:rsidTr="001552A4">
        <w:trPr>
          <w:trHeight w:val="355"/>
        </w:trPr>
        <w:tc>
          <w:tcPr>
            <w:tcW w:w="3135" w:type="dxa"/>
            <w:tcBorders>
              <w:top w:val="nil"/>
              <w:left w:val="nil"/>
              <w:bottom w:val="nil"/>
              <w:right w:val="nil"/>
            </w:tcBorders>
          </w:tcPr>
          <w:p w14:paraId="5F80CD50"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Heart failure</w:t>
            </w:r>
          </w:p>
        </w:tc>
        <w:tc>
          <w:tcPr>
            <w:tcW w:w="1814" w:type="dxa"/>
            <w:tcBorders>
              <w:top w:val="nil"/>
              <w:left w:val="nil"/>
              <w:bottom w:val="nil"/>
              <w:right w:val="nil"/>
            </w:tcBorders>
          </w:tcPr>
          <w:p w14:paraId="6B517271"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32</w:t>
            </w:r>
          </w:p>
        </w:tc>
        <w:tc>
          <w:tcPr>
            <w:tcW w:w="1814" w:type="dxa"/>
            <w:tcBorders>
              <w:top w:val="nil"/>
              <w:left w:val="nil"/>
              <w:bottom w:val="nil"/>
              <w:right w:val="nil"/>
            </w:tcBorders>
          </w:tcPr>
          <w:p w14:paraId="2EA046F9"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43</w:t>
            </w:r>
          </w:p>
        </w:tc>
        <w:tc>
          <w:tcPr>
            <w:tcW w:w="1485" w:type="dxa"/>
            <w:tcBorders>
              <w:top w:val="nil"/>
              <w:left w:val="nil"/>
              <w:bottom w:val="nil"/>
              <w:right w:val="nil"/>
            </w:tcBorders>
            <w:shd w:val="clear" w:color="auto" w:fill="auto"/>
          </w:tcPr>
          <w:p w14:paraId="55CF83EA"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0.223</w:t>
            </w:r>
          </w:p>
        </w:tc>
        <w:tc>
          <w:tcPr>
            <w:tcW w:w="329" w:type="dxa"/>
            <w:tcBorders>
              <w:top w:val="nil"/>
              <w:left w:val="nil"/>
              <w:bottom w:val="nil"/>
              <w:right w:val="nil"/>
            </w:tcBorders>
          </w:tcPr>
          <w:p w14:paraId="15049076"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6B26BA48"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36</w:t>
            </w:r>
          </w:p>
        </w:tc>
        <w:tc>
          <w:tcPr>
            <w:tcW w:w="1979" w:type="dxa"/>
            <w:tcBorders>
              <w:top w:val="nil"/>
              <w:left w:val="nil"/>
              <w:bottom w:val="nil"/>
              <w:right w:val="nil"/>
            </w:tcBorders>
          </w:tcPr>
          <w:p w14:paraId="47C55DEF"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36</w:t>
            </w:r>
          </w:p>
        </w:tc>
        <w:tc>
          <w:tcPr>
            <w:tcW w:w="1233" w:type="dxa"/>
            <w:tcBorders>
              <w:top w:val="nil"/>
              <w:left w:val="nil"/>
              <w:bottom w:val="nil"/>
              <w:right w:val="nil"/>
            </w:tcBorders>
            <w:shd w:val="clear" w:color="auto" w:fill="auto"/>
          </w:tcPr>
          <w:p w14:paraId="79B16460"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0.013</w:t>
            </w:r>
          </w:p>
        </w:tc>
      </w:tr>
      <w:tr w:rsidR="006E2212" w:rsidRPr="00345388" w14:paraId="6141481B" w14:textId="77777777" w:rsidTr="001552A4">
        <w:trPr>
          <w:trHeight w:val="355"/>
        </w:trPr>
        <w:tc>
          <w:tcPr>
            <w:tcW w:w="3135" w:type="dxa"/>
            <w:tcBorders>
              <w:top w:val="nil"/>
              <w:left w:val="nil"/>
              <w:bottom w:val="nil"/>
              <w:right w:val="nil"/>
            </w:tcBorders>
          </w:tcPr>
          <w:p w14:paraId="22467DCF"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Prior MI</w:t>
            </w:r>
          </w:p>
        </w:tc>
        <w:tc>
          <w:tcPr>
            <w:tcW w:w="1814" w:type="dxa"/>
            <w:tcBorders>
              <w:top w:val="nil"/>
              <w:left w:val="nil"/>
              <w:bottom w:val="nil"/>
              <w:right w:val="nil"/>
            </w:tcBorders>
          </w:tcPr>
          <w:p w14:paraId="0555244D"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w:t>
            </w:r>
          </w:p>
        </w:tc>
        <w:tc>
          <w:tcPr>
            <w:tcW w:w="1814" w:type="dxa"/>
            <w:tcBorders>
              <w:top w:val="nil"/>
              <w:left w:val="nil"/>
              <w:bottom w:val="nil"/>
              <w:right w:val="nil"/>
            </w:tcBorders>
          </w:tcPr>
          <w:p w14:paraId="2E5E56FF"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5</w:t>
            </w:r>
          </w:p>
        </w:tc>
        <w:tc>
          <w:tcPr>
            <w:tcW w:w="1485" w:type="dxa"/>
            <w:tcBorders>
              <w:top w:val="nil"/>
              <w:left w:val="nil"/>
              <w:bottom w:val="nil"/>
              <w:right w:val="nil"/>
            </w:tcBorders>
            <w:shd w:val="clear" w:color="auto" w:fill="auto"/>
          </w:tcPr>
          <w:p w14:paraId="743C30E0"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0.088</w:t>
            </w:r>
          </w:p>
        </w:tc>
        <w:tc>
          <w:tcPr>
            <w:tcW w:w="329" w:type="dxa"/>
            <w:tcBorders>
              <w:top w:val="nil"/>
              <w:left w:val="nil"/>
              <w:bottom w:val="nil"/>
              <w:right w:val="nil"/>
            </w:tcBorders>
          </w:tcPr>
          <w:p w14:paraId="442C0313"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677ED9EC"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w:t>
            </w:r>
          </w:p>
        </w:tc>
        <w:tc>
          <w:tcPr>
            <w:tcW w:w="1979" w:type="dxa"/>
            <w:tcBorders>
              <w:top w:val="nil"/>
              <w:left w:val="nil"/>
              <w:bottom w:val="nil"/>
              <w:right w:val="nil"/>
            </w:tcBorders>
          </w:tcPr>
          <w:p w14:paraId="087B33C4"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4</w:t>
            </w:r>
          </w:p>
        </w:tc>
        <w:tc>
          <w:tcPr>
            <w:tcW w:w="1233" w:type="dxa"/>
            <w:tcBorders>
              <w:top w:val="nil"/>
              <w:left w:val="nil"/>
              <w:bottom w:val="nil"/>
              <w:right w:val="nil"/>
            </w:tcBorders>
            <w:shd w:val="clear" w:color="auto" w:fill="auto"/>
          </w:tcPr>
          <w:p w14:paraId="797D916F"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0.025</w:t>
            </w:r>
          </w:p>
        </w:tc>
      </w:tr>
      <w:tr w:rsidR="006E2212" w:rsidRPr="00345388" w14:paraId="33473E87" w14:textId="77777777" w:rsidTr="001552A4">
        <w:trPr>
          <w:trHeight w:val="355"/>
        </w:trPr>
        <w:tc>
          <w:tcPr>
            <w:tcW w:w="3135" w:type="dxa"/>
            <w:tcBorders>
              <w:top w:val="nil"/>
              <w:left w:val="nil"/>
              <w:bottom w:val="nil"/>
              <w:right w:val="nil"/>
            </w:tcBorders>
          </w:tcPr>
          <w:p w14:paraId="20782C85"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PAD</w:t>
            </w:r>
          </w:p>
        </w:tc>
        <w:tc>
          <w:tcPr>
            <w:tcW w:w="1814" w:type="dxa"/>
            <w:tcBorders>
              <w:top w:val="nil"/>
              <w:left w:val="nil"/>
              <w:bottom w:val="nil"/>
              <w:right w:val="nil"/>
            </w:tcBorders>
          </w:tcPr>
          <w:p w14:paraId="3D50B5B2"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19</w:t>
            </w:r>
          </w:p>
        </w:tc>
        <w:tc>
          <w:tcPr>
            <w:tcW w:w="1814" w:type="dxa"/>
            <w:tcBorders>
              <w:top w:val="nil"/>
              <w:left w:val="nil"/>
              <w:bottom w:val="nil"/>
              <w:right w:val="nil"/>
            </w:tcBorders>
          </w:tcPr>
          <w:p w14:paraId="5C573D29"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17</w:t>
            </w:r>
          </w:p>
        </w:tc>
        <w:tc>
          <w:tcPr>
            <w:tcW w:w="1485" w:type="dxa"/>
            <w:tcBorders>
              <w:top w:val="nil"/>
              <w:left w:val="nil"/>
              <w:bottom w:val="nil"/>
              <w:right w:val="nil"/>
            </w:tcBorders>
            <w:shd w:val="clear" w:color="auto" w:fill="auto"/>
          </w:tcPr>
          <w:p w14:paraId="19D24362"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0.045</w:t>
            </w:r>
          </w:p>
        </w:tc>
        <w:tc>
          <w:tcPr>
            <w:tcW w:w="329" w:type="dxa"/>
            <w:tcBorders>
              <w:top w:val="nil"/>
              <w:left w:val="nil"/>
              <w:bottom w:val="nil"/>
              <w:right w:val="nil"/>
            </w:tcBorders>
          </w:tcPr>
          <w:p w14:paraId="326FD940"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07EE2D24"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18</w:t>
            </w:r>
          </w:p>
        </w:tc>
        <w:tc>
          <w:tcPr>
            <w:tcW w:w="1979" w:type="dxa"/>
            <w:tcBorders>
              <w:top w:val="nil"/>
              <w:left w:val="nil"/>
              <w:bottom w:val="nil"/>
              <w:right w:val="nil"/>
            </w:tcBorders>
          </w:tcPr>
          <w:p w14:paraId="57467D17"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18</w:t>
            </w:r>
          </w:p>
        </w:tc>
        <w:tc>
          <w:tcPr>
            <w:tcW w:w="1233" w:type="dxa"/>
            <w:tcBorders>
              <w:top w:val="nil"/>
              <w:left w:val="nil"/>
              <w:bottom w:val="nil"/>
              <w:right w:val="nil"/>
            </w:tcBorders>
            <w:shd w:val="clear" w:color="auto" w:fill="auto"/>
          </w:tcPr>
          <w:p w14:paraId="4639D257"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0.007</w:t>
            </w:r>
          </w:p>
        </w:tc>
      </w:tr>
      <w:tr w:rsidR="006E2212" w:rsidRPr="00345388" w14:paraId="4449BBA0" w14:textId="77777777" w:rsidTr="001552A4">
        <w:trPr>
          <w:trHeight w:val="355"/>
        </w:trPr>
        <w:tc>
          <w:tcPr>
            <w:tcW w:w="3135" w:type="dxa"/>
            <w:tcBorders>
              <w:top w:val="nil"/>
              <w:left w:val="nil"/>
              <w:bottom w:val="nil"/>
              <w:right w:val="nil"/>
            </w:tcBorders>
          </w:tcPr>
          <w:p w14:paraId="4F36A299"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COPD</w:t>
            </w:r>
          </w:p>
        </w:tc>
        <w:tc>
          <w:tcPr>
            <w:tcW w:w="1814" w:type="dxa"/>
            <w:tcBorders>
              <w:top w:val="nil"/>
              <w:left w:val="nil"/>
              <w:bottom w:val="nil"/>
              <w:right w:val="nil"/>
            </w:tcBorders>
          </w:tcPr>
          <w:p w14:paraId="7E08B473"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21</w:t>
            </w:r>
          </w:p>
        </w:tc>
        <w:tc>
          <w:tcPr>
            <w:tcW w:w="1814" w:type="dxa"/>
            <w:tcBorders>
              <w:top w:val="nil"/>
              <w:left w:val="nil"/>
              <w:bottom w:val="nil"/>
              <w:right w:val="nil"/>
            </w:tcBorders>
          </w:tcPr>
          <w:p w14:paraId="2EFF9D0F"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24</w:t>
            </w:r>
          </w:p>
        </w:tc>
        <w:tc>
          <w:tcPr>
            <w:tcW w:w="1485" w:type="dxa"/>
            <w:tcBorders>
              <w:top w:val="nil"/>
              <w:left w:val="nil"/>
              <w:bottom w:val="nil"/>
              <w:right w:val="nil"/>
            </w:tcBorders>
            <w:shd w:val="clear" w:color="auto" w:fill="auto"/>
          </w:tcPr>
          <w:p w14:paraId="1F3916E7"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0.065</w:t>
            </w:r>
          </w:p>
        </w:tc>
        <w:tc>
          <w:tcPr>
            <w:tcW w:w="329" w:type="dxa"/>
            <w:tcBorders>
              <w:top w:val="nil"/>
              <w:left w:val="nil"/>
              <w:bottom w:val="nil"/>
              <w:right w:val="nil"/>
            </w:tcBorders>
          </w:tcPr>
          <w:p w14:paraId="6C305636"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15683B99"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22</w:t>
            </w:r>
          </w:p>
        </w:tc>
        <w:tc>
          <w:tcPr>
            <w:tcW w:w="1979" w:type="dxa"/>
            <w:tcBorders>
              <w:top w:val="nil"/>
              <w:left w:val="nil"/>
              <w:bottom w:val="nil"/>
              <w:right w:val="nil"/>
            </w:tcBorders>
          </w:tcPr>
          <w:p w14:paraId="5AC3184C"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23</w:t>
            </w:r>
          </w:p>
        </w:tc>
        <w:tc>
          <w:tcPr>
            <w:tcW w:w="1233" w:type="dxa"/>
            <w:tcBorders>
              <w:top w:val="nil"/>
              <w:left w:val="nil"/>
              <w:bottom w:val="nil"/>
              <w:right w:val="nil"/>
            </w:tcBorders>
            <w:shd w:val="clear" w:color="auto" w:fill="auto"/>
          </w:tcPr>
          <w:p w14:paraId="098812E6"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0.012</w:t>
            </w:r>
          </w:p>
        </w:tc>
      </w:tr>
      <w:tr w:rsidR="006E2212" w:rsidRPr="00345388" w14:paraId="79227AA8" w14:textId="77777777" w:rsidTr="001552A4">
        <w:trPr>
          <w:trHeight w:val="355"/>
        </w:trPr>
        <w:tc>
          <w:tcPr>
            <w:tcW w:w="3135" w:type="dxa"/>
            <w:tcBorders>
              <w:top w:val="nil"/>
              <w:left w:val="nil"/>
              <w:bottom w:val="nil"/>
              <w:right w:val="nil"/>
            </w:tcBorders>
          </w:tcPr>
          <w:p w14:paraId="5BAFBA32"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NOAC dose</w:t>
            </w:r>
          </w:p>
        </w:tc>
        <w:tc>
          <w:tcPr>
            <w:tcW w:w="1814" w:type="dxa"/>
            <w:tcBorders>
              <w:top w:val="nil"/>
              <w:left w:val="nil"/>
              <w:bottom w:val="nil"/>
              <w:right w:val="nil"/>
            </w:tcBorders>
          </w:tcPr>
          <w:p w14:paraId="7F86FE88"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814" w:type="dxa"/>
            <w:tcBorders>
              <w:top w:val="nil"/>
              <w:left w:val="nil"/>
              <w:bottom w:val="nil"/>
              <w:right w:val="nil"/>
            </w:tcBorders>
          </w:tcPr>
          <w:p w14:paraId="78DF9699"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485" w:type="dxa"/>
            <w:tcBorders>
              <w:top w:val="nil"/>
              <w:left w:val="nil"/>
              <w:bottom w:val="nil"/>
              <w:right w:val="nil"/>
            </w:tcBorders>
            <w:shd w:val="clear" w:color="auto" w:fill="auto"/>
          </w:tcPr>
          <w:p w14:paraId="34A15AB4"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329" w:type="dxa"/>
            <w:tcBorders>
              <w:top w:val="nil"/>
              <w:left w:val="nil"/>
              <w:bottom w:val="nil"/>
              <w:right w:val="nil"/>
            </w:tcBorders>
          </w:tcPr>
          <w:p w14:paraId="2D216D41"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7669237D"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979" w:type="dxa"/>
            <w:tcBorders>
              <w:top w:val="nil"/>
              <w:left w:val="nil"/>
              <w:bottom w:val="nil"/>
              <w:right w:val="nil"/>
            </w:tcBorders>
          </w:tcPr>
          <w:p w14:paraId="3A835A30"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233" w:type="dxa"/>
            <w:tcBorders>
              <w:top w:val="nil"/>
              <w:left w:val="nil"/>
              <w:bottom w:val="nil"/>
              <w:right w:val="nil"/>
            </w:tcBorders>
            <w:shd w:val="clear" w:color="auto" w:fill="auto"/>
          </w:tcPr>
          <w:p w14:paraId="5C27ACF1"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r>
      <w:tr w:rsidR="006E2212" w:rsidRPr="00345388" w14:paraId="6E18338A" w14:textId="77777777" w:rsidTr="001552A4">
        <w:trPr>
          <w:trHeight w:val="355"/>
        </w:trPr>
        <w:tc>
          <w:tcPr>
            <w:tcW w:w="3135" w:type="dxa"/>
            <w:tcBorders>
              <w:top w:val="nil"/>
              <w:left w:val="nil"/>
              <w:bottom w:val="nil"/>
              <w:right w:val="nil"/>
            </w:tcBorders>
          </w:tcPr>
          <w:p w14:paraId="3AC86875"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 xml:space="preserve">  Regular dose*</w:t>
            </w:r>
          </w:p>
        </w:tc>
        <w:tc>
          <w:tcPr>
            <w:tcW w:w="1814" w:type="dxa"/>
            <w:tcBorders>
              <w:top w:val="nil"/>
              <w:left w:val="nil"/>
              <w:bottom w:val="nil"/>
              <w:right w:val="nil"/>
            </w:tcBorders>
          </w:tcPr>
          <w:p w14:paraId="355C19DC"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38</w:t>
            </w:r>
          </w:p>
        </w:tc>
        <w:tc>
          <w:tcPr>
            <w:tcW w:w="1814" w:type="dxa"/>
            <w:tcBorders>
              <w:top w:val="nil"/>
              <w:left w:val="nil"/>
              <w:bottom w:val="nil"/>
              <w:right w:val="nil"/>
            </w:tcBorders>
          </w:tcPr>
          <w:p w14:paraId="2958E018"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w:t>
            </w:r>
          </w:p>
        </w:tc>
        <w:tc>
          <w:tcPr>
            <w:tcW w:w="1485" w:type="dxa"/>
            <w:tcBorders>
              <w:top w:val="nil"/>
              <w:left w:val="nil"/>
              <w:bottom w:val="nil"/>
              <w:right w:val="nil"/>
            </w:tcBorders>
            <w:shd w:val="clear" w:color="auto" w:fill="auto"/>
          </w:tcPr>
          <w:p w14:paraId="5199C405"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w:t>
            </w:r>
          </w:p>
        </w:tc>
        <w:tc>
          <w:tcPr>
            <w:tcW w:w="329" w:type="dxa"/>
            <w:tcBorders>
              <w:top w:val="nil"/>
              <w:left w:val="nil"/>
              <w:bottom w:val="nil"/>
              <w:right w:val="nil"/>
            </w:tcBorders>
          </w:tcPr>
          <w:p w14:paraId="1301E2B7"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4A63335D"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40</w:t>
            </w:r>
          </w:p>
        </w:tc>
        <w:tc>
          <w:tcPr>
            <w:tcW w:w="1979" w:type="dxa"/>
            <w:tcBorders>
              <w:top w:val="nil"/>
              <w:left w:val="nil"/>
              <w:bottom w:val="nil"/>
              <w:right w:val="nil"/>
            </w:tcBorders>
          </w:tcPr>
          <w:p w14:paraId="5AB6490E"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w:t>
            </w:r>
          </w:p>
        </w:tc>
        <w:tc>
          <w:tcPr>
            <w:tcW w:w="1233" w:type="dxa"/>
            <w:tcBorders>
              <w:top w:val="nil"/>
              <w:left w:val="nil"/>
              <w:bottom w:val="nil"/>
              <w:right w:val="nil"/>
            </w:tcBorders>
            <w:shd w:val="clear" w:color="auto" w:fill="auto"/>
          </w:tcPr>
          <w:p w14:paraId="1E1D88DC"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w:t>
            </w:r>
          </w:p>
        </w:tc>
      </w:tr>
      <w:tr w:rsidR="006E2212" w:rsidRPr="00345388" w14:paraId="35ABB25B" w14:textId="77777777" w:rsidTr="001552A4">
        <w:trPr>
          <w:trHeight w:val="355"/>
        </w:trPr>
        <w:tc>
          <w:tcPr>
            <w:tcW w:w="3135" w:type="dxa"/>
            <w:tcBorders>
              <w:top w:val="nil"/>
              <w:left w:val="nil"/>
              <w:bottom w:val="single" w:sz="4" w:space="0" w:color="auto"/>
              <w:right w:val="nil"/>
            </w:tcBorders>
          </w:tcPr>
          <w:p w14:paraId="317E2A3F"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 xml:space="preserve">  Reduced dose</w:t>
            </w:r>
            <w:r w:rsidRPr="00345388">
              <w:rPr>
                <w:rFonts w:ascii="Times New Roman" w:hAnsi="Times New Roman" w:cs="Times New Roman"/>
                <w:b/>
                <w:color w:val="000000" w:themeColor="text1"/>
                <w:sz w:val="24"/>
                <w:szCs w:val="24"/>
                <w:vertAlign w:val="superscript"/>
              </w:rPr>
              <w:t xml:space="preserve">† </w:t>
            </w:r>
          </w:p>
        </w:tc>
        <w:tc>
          <w:tcPr>
            <w:tcW w:w="1814" w:type="dxa"/>
            <w:tcBorders>
              <w:top w:val="nil"/>
              <w:left w:val="nil"/>
              <w:bottom w:val="single" w:sz="4" w:space="0" w:color="auto"/>
              <w:right w:val="nil"/>
            </w:tcBorders>
          </w:tcPr>
          <w:p w14:paraId="50278921"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62</w:t>
            </w:r>
          </w:p>
        </w:tc>
        <w:tc>
          <w:tcPr>
            <w:tcW w:w="1814" w:type="dxa"/>
            <w:tcBorders>
              <w:top w:val="nil"/>
              <w:left w:val="nil"/>
              <w:bottom w:val="single" w:sz="4" w:space="0" w:color="auto"/>
              <w:right w:val="nil"/>
            </w:tcBorders>
          </w:tcPr>
          <w:p w14:paraId="17C49374"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w:t>
            </w:r>
          </w:p>
        </w:tc>
        <w:tc>
          <w:tcPr>
            <w:tcW w:w="1485" w:type="dxa"/>
            <w:tcBorders>
              <w:top w:val="nil"/>
              <w:left w:val="nil"/>
              <w:bottom w:val="single" w:sz="4" w:space="0" w:color="auto"/>
              <w:right w:val="nil"/>
            </w:tcBorders>
            <w:shd w:val="clear" w:color="auto" w:fill="auto"/>
          </w:tcPr>
          <w:p w14:paraId="6B598229"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w:t>
            </w:r>
          </w:p>
        </w:tc>
        <w:tc>
          <w:tcPr>
            <w:tcW w:w="329" w:type="dxa"/>
            <w:tcBorders>
              <w:top w:val="nil"/>
              <w:left w:val="nil"/>
              <w:bottom w:val="single" w:sz="4" w:space="0" w:color="auto"/>
              <w:right w:val="nil"/>
            </w:tcBorders>
          </w:tcPr>
          <w:p w14:paraId="63E34180"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single" w:sz="4" w:space="0" w:color="auto"/>
              <w:right w:val="nil"/>
            </w:tcBorders>
          </w:tcPr>
          <w:p w14:paraId="2054A6D7"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60</w:t>
            </w:r>
          </w:p>
        </w:tc>
        <w:tc>
          <w:tcPr>
            <w:tcW w:w="1979" w:type="dxa"/>
            <w:tcBorders>
              <w:top w:val="nil"/>
              <w:left w:val="nil"/>
              <w:bottom w:val="single" w:sz="4" w:space="0" w:color="auto"/>
              <w:right w:val="nil"/>
            </w:tcBorders>
          </w:tcPr>
          <w:p w14:paraId="6A9149B0"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w:t>
            </w:r>
          </w:p>
        </w:tc>
        <w:tc>
          <w:tcPr>
            <w:tcW w:w="1233" w:type="dxa"/>
            <w:tcBorders>
              <w:top w:val="nil"/>
              <w:left w:val="nil"/>
              <w:bottom w:val="single" w:sz="4" w:space="0" w:color="auto"/>
              <w:right w:val="nil"/>
            </w:tcBorders>
            <w:shd w:val="clear" w:color="auto" w:fill="auto"/>
          </w:tcPr>
          <w:p w14:paraId="62C4DEFE"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w:t>
            </w:r>
          </w:p>
        </w:tc>
      </w:tr>
    </w:tbl>
    <w:p w14:paraId="16E61F1C" w14:textId="77777777" w:rsidR="006E2212" w:rsidRPr="00345388" w:rsidRDefault="006E2212" w:rsidP="00EE3F38">
      <w:pPr>
        <w:spacing w:line="480" w:lineRule="auto"/>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 xml:space="preserve">Values are mean </w:t>
      </w:r>
      <w:r w:rsidRPr="00345388">
        <w:rPr>
          <w:rFonts w:ascii="Times New Roman" w:eastAsia="Malgun Gothic" w:hAnsi="Times New Roman" w:cs="Times New Roman"/>
          <w:color w:val="000000" w:themeColor="text1"/>
          <w:sz w:val="24"/>
          <w:szCs w:val="24"/>
        </w:rPr>
        <w:t>± standard deviation or %.</w:t>
      </w:r>
    </w:p>
    <w:p w14:paraId="154424AE" w14:textId="77777777" w:rsidR="006E2212" w:rsidRPr="00345388" w:rsidRDefault="006E2212" w:rsidP="00EE3F38">
      <w:pPr>
        <w:spacing w:line="480" w:lineRule="auto"/>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 xml:space="preserve">*Regular dose NOACs are 20 mg rivaroxaban once daily, 150 mg dabigatran twice daily, 5 mg apixaban twice daily, and 60 mg edoxaban once daily. </w:t>
      </w:r>
      <w:r w:rsidRPr="00345388">
        <w:rPr>
          <w:rFonts w:ascii="Times New Roman" w:hAnsi="Times New Roman" w:cs="Times New Roman"/>
          <w:color w:val="000000" w:themeColor="text1"/>
          <w:sz w:val="24"/>
          <w:szCs w:val="24"/>
          <w:vertAlign w:val="superscript"/>
        </w:rPr>
        <w:t>†</w:t>
      </w:r>
      <w:r w:rsidRPr="00345388">
        <w:rPr>
          <w:rFonts w:ascii="Times New Roman" w:hAnsi="Times New Roman" w:cs="Times New Roman"/>
          <w:color w:val="000000" w:themeColor="text1"/>
          <w:sz w:val="24"/>
          <w:szCs w:val="24"/>
        </w:rPr>
        <w:t>Reduced dose NOACs are 15/10 mg rivaroxaban once daily, 110 mg dabigatran once daily, 2.5 mg apixaban twice daily, and 30 mg edoxaban once daily.</w:t>
      </w:r>
    </w:p>
    <w:p w14:paraId="723FE0D4" w14:textId="77777777" w:rsidR="006E2212" w:rsidRPr="00345388" w:rsidRDefault="006E2212" w:rsidP="00EE3F38">
      <w:pPr>
        <w:spacing w:line="480" w:lineRule="auto"/>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lastRenderedPageBreak/>
        <w:t>Abbreviation: ASD, absolute standardized difference; COPD, chronic obstructive pulmonary disease; CrCl, creatinine clearance; IQR, interquartile range; MI, myocardial infarction; PAD, peripheral artery disease; SD, standard deviation.</w:t>
      </w:r>
    </w:p>
    <w:p w14:paraId="17A11902" w14:textId="77777777" w:rsidR="006E2212" w:rsidRPr="00345388" w:rsidRDefault="006E2212" w:rsidP="00EE3F38">
      <w:pPr>
        <w:spacing w:line="480" w:lineRule="auto"/>
        <w:jc w:val="both"/>
        <w:rPr>
          <w:rFonts w:ascii="Times New Roman" w:hAnsi="Times New Roman" w:cs="Times New Roman"/>
          <w:sz w:val="24"/>
          <w:szCs w:val="24"/>
        </w:rPr>
      </w:pPr>
    </w:p>
    <w:p w14:paraId="1A491C19" w14:textId="77777777" w:rsidR="006E2212" w:rsidRPr="00345388" w:rsidRDefault="006E2212" w:rsidP="00EE3F38">
      <w:pPr>
        <w:spacing w:line="480" w:lineRule="auto"/>
        <w:jc w:val="both"/>
        <w:rPr>
          <w:rFonts w:ascii="Times New Roman" w:hAnsi="Times New Roman" w:cs="Times New Roman"/>
          <w:sz w:val="24"/>
          <w:szCs w:val="24"/>
        </w:rPr>
      </w:pPr>
      <w:r w:rsidRPr="00345388">
        <w:rPr>
          <w:rFonts w:ascii="Times New Roman" w:hAnsi="Times New Roman" w:cs="Times New Roman"/>
          <w:sz w:val="24"/>
          <w:szCs w:val="24"/>
        </w:rPr>
        <w:br w:type="page"/>
      </w:r>
    </w:p>
    <w:p w14:paraId="01C7B1AB" w14:textId="5571C565"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sz w:val="24"/>
          <w:szCs w:val="24"/>
        </w:rPr>
        <w:lastRenderedPageBreak/>
        <w:t xml:space="preserve">Table 2. </w:t>
      </w:r>
      <w:r w:rsidR="00B8646D" w:rsidRPr="00345388">
        <w:rPr>
          <w:rFonts w:ascii="Times New Roman" w:hAnsi="Times New Roman" w:cs="Times New Roman"/>
          <w:b/>
          <w:sz w:val="24"/>
          <w:szCs w:val="24"/>
        </w:rPr>
        <w:t>I</w:t>
      </w:r>
      <w:r w:rsidRPr="00345388">
        <w:rPr>
          <w:rFonts w:ascii="Times New Roman" w:hAnsi="Times New Roman" w:cs="Times New Roman"/>
          <w:b/>
          <w:sz w:val="24"/>
          <w:szCs w:val="24"/>
        </w:rPr>
        <w:t>ncidence rates of six clinical outcomes during follow-up period</w:t>
      </w:r>
    </w:p>
    <w:tbl>
      <w:tblPr>
        <w:tblStyle w:val="TableGrid"/>
        <w:tblW w:w="13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2"/>
        <w:gridCol w:w="1628"/>
        <w:gridCol w:w="1478"/>
        <w:gridCol w:w="295"/>
        <w:gridCol w:w="1329"/>
        <w:gridCol w:w="1332"/>
        <w:gridCol w:w="295"/>
        <w:gridCol w:w="1692"/>
        <w:gridCol w:w="1378"/>
      </w:tblGrid>
      <w:tr w:rsidR="006E2212" w:rsidRPr="00345388" w14:paraId="6D843FB3" w14:textId="77777777" w:rsidTr="00B8646D">
        <w:trPr>
          <w:trHeight w:val="313"/>
        </w:trPr>
        <w:tc>
          <w:tcPr>
            <w:tcW w:w="4142" w:type="dxa"/>
            <w:vMerge w:val="restart"/>
            <w:tcBorders>
              <w:top w:val="single" w:sz="4" w:space="0" w:color="auto"/>
            </w:tcBorders>
          </w:tcPr>
          <w:p w14:paraId="64F7A4A4"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p>
        </w:tc>
        <w:tc>
          <w:tcPr>
            <w:tcW w:w="3106" w:type="dxa"/>
            <w:gridSpan w:val="2"/>
            <w:tcBorders>
              <w:top w:val="single" w:sz="4" w:space="0" w:color="auto"/>
              <w:bottom w:val="single" w:sz="4" w:space="0" w:color="auto"/>
            </w:tcBorders>
          </w:tcPr>
          <w:p w14:paraId="0B741847"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Total</w:t>
            </w:r>
          </w:p>
        </w:tc>
        <w:tc>
          <w:tcPr>
            <w:tcW w:w="295" w:type="dxa"/>
            <w:tcBorders>
              <w:top w:val="single" w:sz="4" w:space="0" w:color="auto"/>
            </w:tcBorders>
          </w:tcPr>
          <w:p w14:paraId="7FD40719"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p>
        </w:tc>
        <w:tc>
          <w:tcPr>
            <w:tcW w:w="2661" w:type="dxa"/>
            <w:gridSpan w:val="2"/>
            <w:tcBorders>
              <w:top w:val="single" w:sz="4" w:space="0" w:color="auto"/>
              <w:bottom w:val="single" w:sz="4" w:space="0" w:color="auto"/>
            </w:tcBorders>
          </w:tcPr>
          <w:p w14:paraId="042149D7"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50-60 kg</w:t>
            </w:r>
          </w:p>
        </w:tc>
        <w:tc>
          <w:tcPr>
            <w:tcW w:w="295" w:type="dxa"/>
            <w:tcBorders>
              <w:top w:val="single" w:sz="4" w:space="0" w:color="auto"/>
            </w:tcBorders>
          </w:tcPr>
          <w:p w14:paraId="0C1A650C"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p>
        </w:tc>
        <w:tc>
          <w:tcPr>
            <w:tcW w:w="3070" w:type="dxa"/>
            <w:gridSpan w:val="2"/>
            <w:tcBorders>
              <w:top w:val="single" w:sz="4" w:space="0" w:color="auto"/>
              <w:bottom w:val="single" w:sz="4" w:space="0" w:color="auto"/>
            </w:tcBorders>
          </w:tcPr>
          <w:p w14:paraId="6BA329B7"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&lt;50 kg</w:t>
            </w:r>
          </w:p>
        </w:tc>
      </w:tr>
      <w:tr w:rsidR="006E2212" w:rsidRPr="00345388" w14:paraId="74E7276C" w14:textId="77777777" w:rsidTr="00B8646D">
        <w:trPr>
          <w:trHeight w:val="651"/>
        </w:trPr>
        <w:tc>
          <w:tcPr>
            <w:tcW w:w="4142" w:type="dxa"/>
            <w:vMerge/>
            <w:tcBorders>
              <w:bottom w:val="single" w:sz="4" w:space="0" w:color="auto"/>
            </w:tcBorders>
          </w:tcPr>
          <w:p w14:paraId="058C975D"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3106" w:type="dxa"/>
            <w:gridSpan w:val="2"/>
            <w:tcBorders>
              <w:top w:val="single" w:sz="4" w:space="0" w:color="auto"/>
              <w:bottom w:val="single" w:sz="4" w:space="0" w:color="auto"/>
            </w:tcBorders>
            <w:vAlign w:val="center"/>
          </w:tcPr>
          <w:p w14:paraId="7D977C76" w14:textId="08AE866B" w:rsidR="006E2212" w:rsidRPr="00345388" w:rsidRDefault="00B8646D" w:rsidP="00EE3F38">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I</w:t>
            </w:r>
            <w:r w:rsidR="006E2212" w:rsidRPr="00345388">
              <w:rPr>
                <w:rFonts w:ascii="Times New Roman" w:hAnsi="Times New Roman" w:cs="Times New Roman"/>
                <w:b/>
                <w:color w:val="000000" w:themeColor="text1"/>
                <w:sz w:val="24"/>
                <w:szCs w:val="24"/>
              </w:rPr>
              <w:t>ncidence rate*</w:t>
            </w:r>
          </w:p>
        </w:tc>
        <w:tc>
          <w:tcPr>
            <w:tcW w:w="295" w:type="dxa"/>
            <w:vAlign w:val="center"/>
          </w:tcPr>
          <w:p w14:paraId="378EA51E"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p>
        </w:tc>
        <w:tc>
          <w:tcPr>
            <w:tcW w:w="2661" w:type="dxa"/>
            <w:gridSpan w:val="2"/>
            <w:tcBorders>
              <w:top w:val="single" w:sz="4" w:space="0" w:color="auto"/>
              <w:bottom w:val="single" w:sz="4" w:space="0" w:color="auto"/>
            </w:tcBorders>
            <w:vAlign w:val="center"/>
          </w:tcPr>
          <w:p w14:paraId="76613940" w14:textId="2A676601" w:rsidR="006E2212" w:rsidRPr="00345388" w:rsidRDefault="00B8646D" w:rsidP="00EE3F38">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I</w:t>
            </w:r>
            <w:r w:rsidR="006E2212" w:rsidRPr="00345388">
              <w:rPr>
                <w:rFonts w:ascii="Times New Roman" w:hAnsi="Times New Roman" w:cs="Times New Roman"/>
                <w:b/>
                <w:color w:val="000000" w:themeColor="text1"/>
                <w:sz w:val="24"/>
                <w:szCs w:val="24"/>
              </w:rPr>
              <w:t>ncidence rate*</w:t>
            </w:r>
          </w:p>
        </w:tc>
        <w:tc>
          <w:tcPr>
            <w:tcW w:w="295" w:type="dxa"/>
            <w:vAlign w:val="center"/>
          </w:tcPr>
          <w:p w14:paraId="0ADE45CA"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p>
        </w:tc>
        <w:tc>
          <w:tcPr>
            <w:tcW w:w="3070" w:type="dxa"/>
            <w:gridSpan w:val="2"/>
            <w:tcBorders>
              <w:top w:val="single" w:sz="4" w:space="0" w:color="auto"/>
              <w:bottom w:val="single" w:sz="4" w:space="0" w:color="auto"/>
            </w:tcBorders>
            <w:vAlign w:val="center"/>
          </w:tcPr>
          <w:p w14:paraId="0C27FB7A" w14:textId="5BC0F181" w:rsidR="006E2212" w:rsidRPr="00345388" w:rsidRDefault="00B8646D" w:rsidP="00EE3F38">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I</w:t>
            </w:r>
            <w:r w:rsidR="006E2212" w:rsidRPr="00345388">
              <w:rPr>
                <w:rFonts w:ascii="Times New Roman" w:hAnsi="Times New Roman" w:cs="Times New Roman"/>
                <w:b/>
                <w:color w:val="000000" w:themeColor="text1"/>
                <w:sz w:val="24"/>
                <w:szCs w:val="24"/>
              </w:rPr>
              <w:t>ncidence rate*</w:t>
            </w:r>
          </w:p>
        </w:tc>
      </w:tr>
      <w:tr w:rsidR="006E2212" w:rsidRPr="00345388" w14:paraId="76EFFFEF" w14:textId="77777777" w:rsidTr="001552A4">
        <w:trPr>
          <w:trHeight w:val="651"/>
        </w:trPr>
        <w:tc>
          <w:tcPr>
            <w:tcW w:w="4142" w:type="dxa"/>
            <w:vMerge/>
            <w:tcBorders>
              <w:bottom w:val="single" w:sz="4" w:space="0" w:color="auto"/>
            </w:tcBorders>
          </w:tcPr>
          <w:p w14:paraId="62E04B99"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28" w:type="dxa"/>
            <w:tcBorders>
              <w:bottom w:val="single" w:sz="4" w:space="0" w:color="auto"/>
            </w:tcBorders>
            <w:vAlign w:val="center"/>
          </w:tcPr>
          <w:p w14:paraId="51C1260A"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NOAC</w:t>
            </w:r>
          </w:p>
        </w:tc>
        <w:tc>
          <w:tcPr>
            <w:tcW w:w="1478" w:type="dxa"/>
            <w:tcBorders>
              <w:bottom w:val="single" w:sz="4" w:space="0" w:color="auto"/>
            </w:tcBorders>
            <w:vAlign w:val="center"/>
          </w:tcPr>
          <w:p w14:paraId="79DD3854"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Warfarin</w:t>
            </w:r>
          </w:p>
        </w:tc>
        <w:tc>
          <w:tcPr>
            <w:tcW w:w="295" w:type="dxa"/>
            <w:vAlign w:val="center"/>
          </w:tcPr>
          <w:p w14:paraId="36C6E188"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p>
        </w:tc>
        <w:tc>
          <w:tcPr>
            <w:tcW w:w="1329" w:type="dxa"/>
            <w:tcBorders>
              <w:top w:val="single" w:sz="4" w:space="0" w:color="auto"/>
              <w:bottom w:val="single" w:sz="4" w:space="0" w:color="auto"/>
            </w:tcBorders>
            <w:vAlign w:val="center"/>
          </w:tcPr>
          <w:p w14:paraId="06C6F15B"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NOAC</w:t>
            </w:r>
          </w:p>
        </w:tc>
        <w:tc>
          <w:tcPr>
            <w:tcW w:w="1332" w:type="dxa"/>
            <w:tcBorders>
              <w:top w:val="single" w:sz="4" w:space="0" w:color="auto"/>
              <w:bottom w:val="single" w:sz="4" w:space="0" w:color="auto"/>
            </w:tcBorders>
            <w:vAlign w:val="center"/>
          </w:tcPr>
          <w:p w14:paraId="1925E676"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Warfarin</w:t>
            </w:r>
          </w:p>
        </w:tc>
        <w:tc>
          <w:tcPr>
            <w:tcW w:w="295" w:type="dxa"/>
            <w:vAlign w:val="center"/>
          </w:tcPr>
          <w:p w14:paraId="5E06EB65"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p>
        </w:tc>
        <w:tc>
          <w:tcPr>
            <w:tcW w:w="1692" w:type="dxa"/>
            <w:tcBorders>
              <w:top w:val="single" w:sz="4" w:space="0" w:color="auto"/>
              <w:bottom w:val="single" w:sz="4" w:space="0" w:color="auto"/>
            </w:tcBorders>
            <w:vAlign w:val="center"/>
          </w:tcPr>
          <w:p w14:paraId="4A817A2D"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NOAC</w:t>
            </w:r>
          </w:p>
        </w:tc>
        <w:tc>
          <w:tcPr>
            <w:tcW w:w="1378" w:type="dxa"/>
            <w:tcBorders>
              <w:top w:val="single" w:sz="4" w:space="0" w:color="auto"/>
              <w:bottom w:val="single" w:sz="4" w:space="0" w:color="auto"/>
            </w:tcBorders>
            <w:vAlign w:val="center"/>
          </w:tcPr>
          <w:p w14:paraId="6438ED2F" w14:textId="77777777" w:rsidR="006E2212" w:rsidRPr="00345388" w:rsidRDefault="006E2212" w:rsidP="00EE3F38">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Warfarin</w:t>
            </w:r>
          </w:p>
        </w:tc>
      </w:tr>
      <w:tr w:rsidR="006E2212" w:rsidRPr="00345388" w14:paraId="01DE83B4" w14:textId="77777777" w:rsidTr="001552A4">
        <w:trPr>
          <w:trHeight w:val="313"/>
        </w:trPr>
        <w:tc>
          <w:tcPr>
            <w:tcW w:w="4142" w:type="dxa"/>
            <w:tcBorders>
              <w:top w:val="single" w:sz="4" w:space="0" w:color="auto"/>
            </w:tcBorders>
          </w:tcPr>
          <w:p w14:paraId="703A682F"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Ischemic stroke</w:t>
            </w:r>
          </w:p>
        </w:tc>
        <w:tc>
          <w:tcPr>
            <w:tcW w:w="1628" w:type="dxa"/>
            <w:tcBorders>
              <w:top w:val="single" w:sz="4" w:space="0" w:color="auto"/>
            </w:tcBorders>
            <w:vAlign w:val="center"/>
          </w:tcPr>
          <w:p w14:paraId="0BBBD6BA"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2.82</w:t>
            </w:r>
          </w:p>
        </w:tc>
        <w:tc>
          <w:tcPr>
            <w:tcW w:w="1478" w:type="dxa"/>
            <w:tcBorders>
              <w:top w:val="single" w:sz="4" w:space="0" w:color="auto"/>
            </w:tcBorders>
            <w:vAlign w:val="center"/>
          </w:tcPr>
          <w:p w14:paraId="40295697"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4.13</w:t>
            </w:r>
          </w:p>
        </w:tc>
        <w:tc>
          <w:tcPr>
            <w:tcW w:w="295" w:type="dxa"/>
            <w:vAlign w:val="center"/>
          </w:tcPr>
          <w:p w14:paraId="0CEBC177"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329" w:type="dxa"/>
            <w:tcBorders>
              <w:top w:val="single" w:sz="4" w:space="0" w:color="auto"/>
            </w:tcBorders>
            <w:vAlign w:val="center"/>
          </w:tcPr>
          <w:p w14:paraId="4B69A734"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2.82</w:t>
            </w:r>
          </w:p>
        </w:tc>
        <w:tc>
          <w:tcPr>
            <w:tcW w:w="1332" w:type="dxa"/>
            <w:tcBorders>
              <w:top w:val="single" w:sz="4" w:space="0" w:color="auto"/>
            </w:tcBorders>
            <w:vAlign w:val="center"/>
          </w:tcPr>
          <w:p w14:paraId="2F405FD7"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3.56</w:t>
            </w:r>
          </w:p>
        </w:tc>
        <w:tc>
          <w:tcPr>
            <w:tcW w:w="295" w:type="dxa"/>
            <w:vAlign w:val="center"/>
          </w:tcPr>
          <w:p w14:paraId="53A98ECD"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92" w:type="dxa"/>
            <w:tcBorders>
              <w:top w:val="single" w:sz="4" w:space="0" w:color="auto"/>
            </w:tcBorders>
            <w:vAlign w:val="center"/>
          </w:tcPr>
          <w:p w14:paraId="2AD82431"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2.82</w:t>
            </w:r>
          </w:p>
        </w:tc>
        <w:tc>
          <w:tcPr>
            <w:tcW w:w="1378" w:type="dxa"/>
            <w:tcBorders>
              <w:top w:val="single" w:sz="4" w:space="0" w:color="auto"/>
            </w:tcBorders>
            <w:vAlign w:val="center"/>
          </w:tcPr>
          <w:p w14:paraId="40F13DD9"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5.72</w:t>
            </w:r>
          </w:p>
        </w:tc>
      </w:tr>
      <w:tr w:rsidR="006E2212" w:rsidRPr="00345388" w14:paraId="0C62695C" w14:textId="77777777" w:rsidTr="001552A4">
        <w:trPr>
          <w:trHeight w:val="313"/>
        </w:trPr>
        <w:tc>
          <w:tcPr>
            <w:tcW w:w="4142" w:type="dxa"/>
          </w:tcPr>
          <w:p w14:paraId="506F4A03"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Intracranial hemorrhage</w:t>
            </w:r>
          </w:p>
        </w:tc>
        <w:tc>
          <w:tcPr>
            <w:tcW w:w="1628" w:type="dxa"/>
            <w:vAlign w:val="center"/>
          </w:tcPr>
          <w:p w14:paraId="587722B7"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0.92</w:t>
            </w:r>
          </w:p>
        </w:tc>
        <w:tc>
          <w:tcPr>
            <w:tcW w:w="1478" w:type="dxa"/>
            <w:vAlign w:val="center"/>
          </w:tcPr>
          <w:p w14:paraId="6D7BBE37"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1.39</w:t>
            </w:r>
          </w:p>
        </w:tc>
        <w:tc>
          <w:tcPr>
            <w:tcW w:w="295" w:type="dxa"/>
            <w:vAlign w:val="center"/>
          </w:tcPr>
          <w:p w14:paraId="3F3D27DC"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329" w:type="dxa"/>
            <w:vAlign w:val="center"/>
          </w:tcPr>
          <w:p w14:paraId="282F01B5"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0.92</w:t>
            </w:r>
          </w:p>
        </w:tc>
        <w:tc>
          <w:tcPr>
            <w:tcW w:w="1332" w:type="dxa"/>
            <w:vAlign w:val="center"/>
          </w:tcPr>
          <w:p w14:paraId="2E614DFA"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1.32</w:t>
            </w:r>
          </w:p>
        </w:tc>
        <w:tc>
          <w:tcPr>
            <w:tcW w:w="295" w:type="dxa"/>
            <w:vAlign w:val="center"/>
          </w:tcPr>
          <w:p w14:paraId="65F945C3"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92" w:type="dxa"/>
            <w:vAlign w:val="center"/>
          </w:tcPr>
          <w:p w14:paraId="26F630CB"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0.92</w:t>
            </w:r>
          </w:p>
        </w:tc>
        <w:tc>
          <w:tcPr>
            <w:tcW w:w="1378" w:type="dxa"/>
            <w:vAlign w:val="center"/>
          </w:tcPr>
          <w:p w14:paraId="4DBAA540"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1.55</w:t>
            </w:r>
          </w:p>
        </w:tc>
      </w:tr>
      <w:tr w:rsidR="006E2212" w:rsidRPr="00345388" w14:paraId="5D3614DD" w14:textId="77777777" w:rsidTr="001552A4">
        <w:trPr>
          <w:trHeight w:val="313"/>
        </w:trPr>
        <w:tc>
          <w:tcPr>
            <w:tcW w:w="4142" w:type="dxa"/>
          </w:tcPr>
          <w:p w14:paraId="3670B17C"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Hospitalization for GI bleeding</w:t>
            </w:r>
          </w:p>
        </w:tc>
        <w:tc>
          <w:tcPr>
            <w:tcW w:w="1628" w:type="dxa"/>
            <w:vAlign w:val="center"/>
          </w:tcPr>
          <w:p w14:paraId="1C55AB54"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1.79</w:t>
            </w:r>
          </w:p>
        </w:tc>
        <w:tc>
          <w:tcPr>
            <w:tcW w:w="1478" w:type="dxa"/>
            <w:vAlign w:val="center"/>
          </w:tcPr>
          <w:p w14:paraId="1D9A81B8"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1.77</w:t>
            </w:r>
          </w:p>
        </w:tc>
        <w:tc>
          <w:tcPr>
            <w:tcW w:w="295" w:type="dxa"/>
            <w:vAlign w:val="center"/>
          </w:tcPr>
          <w:p w14:paraId="4B6F3F44"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329" w:type="dxa"/>
            <w:vAlign w:val="center"/>
          </w:tcPr>
          <w:p w14:paraId="05DB023A"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1.79</w:t>
            </w:r>
          </w:p>
        </w:tc>
        <w:tc>
          <w:tcPr>
            <w:tcW w:w="1332" w:type="dxa"/>
            <w:vAlign w:val="center"/>
          </w:tcPr>
          <w:p w14:paraId="3DF11B79"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1.58</w:t>
            </w:r>
          </w:p>
        </w:tc>
        <w:tc>
          <w:tcPr>
            <w:tcW w:w="295" w:type="dxa"/>
            <w:vAlign w:val="center"/>
          </w:tcPr>
          <w:p w14:paraId="65B7D7D5"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92" w:type="dxa"/>
            <w:vAlign w:val="center"/>
          </w:tcPr>
          <w:p w14:paraId="58DFEF47"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1.79</w:t>
            </w:r>
          </w:p>
        </w:tc>
        <w:tc>
          <w:tcPr>
            <w:tcW w:w="1378" w:type="dxa"/>
            <w:vAlign w:val="center"/>
          </w:tcPr>
          <w:p w14:paraId="21EB5C06"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2.26</w:t>
            </w:r>
          </w:p>
        </w:tc>
      </w:tr>
      <w:tr w:rsidR="006E2212" w:rsidRPr="00345388" w14:paraId="61E38FA9" w14:textId="77777777" w:rsidTr="001552A4">
        <w:trPr>
          <w:trHeight w:val="313"/>
        </w:trPr>
        <w:tc>
          <w:tcPr>
            <w:tcW w:w="4142" w:type="dxa"/>
          </w:tcPr>
          <w:p w14:paraId="7ECB5572"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Hospitalization for major bleeding</w:t>
            </w:r>
          </w:p>
        </w:tc>
        <w:tc>
          <w:tcPr>
            <w:tcW w:w="1628" w:type="dxa"/>
            <w:vAlign w:val="center"/>
          </w:tcPr>
          <w:p w14:paraId="5999FD95"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2.67</w:t>
            </w:r>
          </w:p>
        </w:tc>
        <w:tc>
          <w:tcPr>
            <w:tcW w:w="1478" w:type="dxa"/>
            <w:vAlign w:val="center"/>
          </w:tcPr>
          <w:p w14:paraId="03A2310C"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3.09</w:t>
            </w:r>
          </w:p>
        </w:tc>
        <w:tc>
          <w:tcPr>
            <w:tcW w:w="295" w:type="dxa"/>
            <w:vAlign w:val="center"/>
          </w:tcPr>
          <w:p w14:paraId="00404CC4"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329" w:type="dxa"/>
            <w:vAlign w:val="center"/>
          </w:tcPr>
          <w:p w14:paraId="3DCD9F8B"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2.67</w:t>
            </w:r>
          </w:p>
        </w:tc>
        <w:tc>
          <w:tcPr>
            <w:tcW w:w="1332" w:type="dxa"/>
            <w:vAlign w:val="center"/>
          </w:tcPr>
          <w:p w14:paraId="146E7503"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2.85</w:t>
            </w:r>
          </w:p>
        </w:tc>
        <w:tc>
          <w:tcPr>
            <w:tcW w:w="295" w:type="dxa"/>
            <w:vAlign w:val="center"/>
          </w:tcPr>
          <w:p w14:paraId="6C8BA9F6"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92" w:type="dxa"/>
            <w:vAlign w:val="center"/>
          </w:tcPr>
          <w:p w14:paraId="45043336"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2.67</w:t>
            </w:r>
          </w:p>
        </w:tc>
        <w:tc>
          <w:tcPr>
            <w:tcW w:w="1378" w:type="dxa"/>
            <w:vAlign w:val="center"/>
          </w:tcPr>
          <w:p w14:paraId="4D2D675F"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3.74</w:t>
            </w:r>
          </w:p>
        </w:tc>
      </w:tr>
      <w:tr w:rsidR="006E2212" w:rsidRPr="00345388" w14:paraId="597B2EFF" w14:textId="77777777" w:rsidTr="001552A4">
        <w:trPr>
          <w:trHeight w:val="313"/>
        </w:trPr>
        <w:tc>
          <w:tcPr>
            <w:tcW w:w="4142" w:type="dxa"/>
          </w:tcPr>
          <w:p w14:paraId="720B32AA"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All-cause death</w:t>
            </w:r>
          </w:p>
        </w:tc>
        <w:tc>
          <w:tcPr>
            <w:tcW w:w="1628" w:type="dxa"/>
            <w:vAlign w:val="center"/>
          </w:tcPr>
          <w:p w14:paraId="32A38FA8"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5.09</w:t>
            </w:r>
          </w:p>
        </w:tc>
        <w:tc>
          <w:tcPr>
            <w:tcW w:w="1478" w:type="dxa"/>
            <w:vAlign w:val="center"/>
          </w:tcPr>
          <w:p w14:paraId="47CAE916"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6.66</w:t>
            </w:r>
          </w:p>
        </w:tc>
        <w:tc>
          <w:tcPr>
            <w:tcW w:w="295" w:type="dxa"/>
            <w:vAlign w:val="center"/>
          </w:tcPr>
          <w:p w14:paraId="4E5CCEA7"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329" w:type="dxa"/>
            <w:vAlign w:val="center"/>
          </w:tcPr>
          <w:p w14:paraId="5970B874"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5.09</w:t>
            </w:r>
          </w:p>
        </w:tc>
        <w:tc>
          <w:tcPr>
            <w:tcW w:w="1332" w:type="dxa"/>
            <w:vAlign w:val="center"/>
          </w:tcPr>
          <w:p w14:paraId="54612789"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5.44</w:t>
            </w:r>
          </w:p>
        </w:tc>
        <w:tc>
          <w:tcPr>
            <w:tcW w:w="295" w:type="dxa"/>
            <w:vAlign w:val="center"/>
          </w:tcPr>
          <w:p w14:paraId="2E36941A"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92" w:type="dxa"/>
            <w:vAlign w:val="center"/>
          </w:tcPr>
          <w:p w14:paraId="7EDC8168"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5.09</w:t>
            </w:r>
          </w:p>
        </w:tc>
        <w:tc>
          <w:tcPr>
            <w:tcW w:w="1378" w:type="dxa"/>
            <w:vAlign w:val="center"/>
          </w:tcPr>
          <w:p w14:paraId="6C5D7C6C"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9.92</w:t>
            </w:r>
          </w:p>
        </w:tc>
      </w:tr>
      <w:tr w:rsidR="006E2212" w:rsidRPr="00345388" w14:paraId="1CAA113B" w14:textId="77777777" w:rsidTr="001552A4">
        <w:trPr>
          <w:trHeight w:val="313"/>
        </w:trPr>
        <w:tc>
          <w:tcPr>
            <w:tcW w:w="4142" w:type="dxa"/>
            <w:tcBorders>
              <w:bottom w:val="single" w:sz="4" w:space="0" w:color="auto"/>
            </w:tcBorders>
          </w:tcPr>
          <w:p w14:paraId="65C6DEE6" w14:textId="77777777" w:rsidR="006E2212" w:rsidRPr="00345388" w:rsidRDefault="006E2212" w:rsidP="00EE3F38">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Composite outcome</w:t>
            </w:r>
          </w:p>
        </w:tc>
        <w:tc>
          <w:tcPr>
            <w:tcW w:w="1628" w:type="dxa"/>
            <w:tcBorders>
              <w:bottom w:val="single" w:sz="4" w:space="0" w:color="auto"/>
            </w:tcBorders>
            <w:vAlign w:val="center"/>
          </w:tcPr>
          <w:p w14:paraId="19621DD6"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9.37</w:t>
            </w:r>
          </w:p>
        </w:tc>
        <w:tc>
          <w:tcPr>
            <w:tcW w:w="1478" w:type="dxa"/>
            <w:tcBorders>
              <w:bottom w:val="single" w:sz="4" w:space="0" w:color="auto"/>
            </w:tcBorders>
            <w:vAlign w:val="center"/>
          </w:tcPr>
          <w:p w14:paraId="641F4D04"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12.2</w:t>
            </w:r>
          </w:p>
        </w:tc>
        <w:tc>
          <w:tcPr>
            <w:tcW w:w="295" w:type="dxa"/>
            <w:tcBorders>
              <w:bottom w:val="single" w:sz="4" w:space="0" w:color="auto"/>
            </w:tcBorders>
            <w:vAlign w:val="center"/>
          </w:tcPr>
          <w:p w14:paraId="1FDA8E16"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329" w:type="dxa"/>
            <w:tcBorders>
              <w:bottom w:val="single" w:sz="4" w:space="0" w:color="auto"/>
            </w:tcBorders>
            <w:vAlign w:val="center"/>
          </w:tcPr>
          <w:p w14:paraId="1E89B098"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9.37</w:t>
            </w:r>
          </w:p>
        </w:tc>
        <w:tc>
          <w:tcPr>
            <w:tcW w:w="1332" w:type="dxa"/>
            <w:tcBorders>
              <w:bottom w:val="single" w:sz="4" w:space="0" w:color="auto"/>
            </w:tcBorders>
            <w:vAlign w:val="center"/>
          </w:tcPr>
          <w:p w14:paraId="23487F74"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10.5</w:t>
            </w:r>
          </w:p>
        </w:tc>
        <w:tc>
          <w:tcPr>
            <w:tcW w:w="295" w:type="dxa"/>
            <w:tcBorders>
              <w:bottom w:val="single" w:sz="4" w:space="0" w:color="auto"/>
            </w:tcBorders>
            <w:vAlign w:val="center"/>
          </w:tcPr>
          <w:p w14:paraId="2F4E3C84"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p>
        </w:tc>
        <w:tc>
          <w:tcPr>
            <w:tcW w:w="1692" w:type="dxa"/>
            <w:tcBorders>
              <w:bottom w:val="single" w:sz="4" w:space="0" w:color="auto"/>
            </w:tcBorders>
            <w:vAlign w:val="center"/>
          </w:tcPr>
          <w:p w14:paraId="67745058"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9.37</w:t>
            </w:r>
          </w:p>
        </w:tc>
        <w:tc>
          <w:tcPr>
            <w:tcW w:w="1378" w:type="dxa"/>
            <w:tcBorders>
              <w:bottom w:val="single" w:sz="4" w:space="0" w:color="auto"/>
            </w:tcBorders>
            <w:vAlign w:val="center"/>
          </w:tcPr>
          <w:p w14:paraId="743B293D" w14:textId="77777777" w:rsidR="006E2212" w:rsidRPr="00345388" w:rsidRDefault="006E2212" w:rsidP="00EE3F38">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16.8</w:t>
            </w:r>
          </w:p>
        </w:tc>
      </w:tr>
    </w:tbl>
    <w:p w14:paraId="4363D8E1" w14:textId="13FDC419" w:rsidR="006E2212" w:rsidRPr="00345388" w:rsidRDefault="006E2212" w:rsidP="00EE3F38">
      <w:pPr>
        <w:spacing w:line="480" w:lineRule="auto"/>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*Incidence rate</w:t>
      </w:r>
      <w:r w:rsidR="00B8646D" w:rsidRPr="00345388">
        <w:rPr>
          <w:rFonts w:ascii="Times New Roman" w:hAnsi="Times New Roman" w:cs="Times New Roman"/>
          <w:color w:val="000000" w:themeColor="text1"/>
          <w:sz w:val="24"/>
          <w:szCs w:val="24"/>
        </w:rPr>
        <w:t xml:space="preserve"> was calculated based on weighted number of events in weighted cohort</w:t>
      </w:r>
      <w:r w:rsidRPr="00345388">
        <w:rPr>
          <w:rFonts w:ascii="Times New Roman" w:hAnsi="Times New Roman" w:cs="Times New Roman"/>
          <w:color w:val="000000" w:themeColor="text1"/>
          <w:sz w:val="24"/>
          <w:szCs w:val="24"/>
        </w:rPr>
        <w:t xml:space="preserve"> </w:t>
      </w:r>
      <w:r w:rsidR="00B8646D" w:rsidRPr="00345388">
        <w:rPr>
          <w:rFonts w:ascii="Times New Roman" w:hAnsi="Times New Roman" w:cs="Times New Roman"/>
          <w:color w:val="000000" w:themeColor="text1"/>
          <w:sz w:val="24"/>
          <w:szCs w:val="24"/>
        </w:rPr>
        <w:t>(</w:t>
      </w:r>
      <w:r w:rsidRPr="00345388">
        <w:rPr>
          <w:rFonts w:ascii="Times New Roman" w:hAnsi="Times New Roman" w:cs="Times New Roman"/>
          <w:color w:val="000000" w:themeColor="text1"/>
          <w:sz w:val="24"/>
          <w:szCs w:val="24"/>
        </w:rPr>
        <w:t>per 100 person-years</w:t>
      </w:r>
      <w:r w:rsidR="00B8646D" w:rsidRPr="00345388">
        <w:rPr>
          <w:rFonts w:ascii="Times New Roman" w:hAnsi="Times New Roman" w:cs="Times New Roman"/>
          <w:color w:val="000000" w:themeColor="text1"/>
          <w:sz w:val="24"/>
          <w:szCs w:val="24"/>
        </w:rPr>
        <w:t>).</w:t>
      </w:r>
    </w:p>
    <w:p w14:paraId="6883FE69" w14:textId="77777777" w:rsidR="006E2212" w:rsidRPr="00345388" w:rsidRDefault="006E2212" w:rsidP="00EE3F38">
      <w:pPr>
        <w:spacing w:line="480" w:lineRule="auto"/>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 xml:space="preserve">Abbreviation: GI, gastrointestinal; NOAC, non-vitamin K antagonist oral anticoagulant </w:t>
      </w:r>
    </w:p>
    <w:p w14:paraId="40764EFD" w14:textId="3EF44C0A" w:rsidR="000265ED" w:rsidRPr="00345388" w:rsidRDefault="000265ED">
      <w:pPr>
        <w:rPr>
          <w:rFonts w:ascii="Times New Roman" w:hAnsi="Times New Roman" w:cs="Times New Roman"/>
          <w:b/>
          <w:sz w:val="24"/>
          <w:szCs w:val="24"/>
        </w:rPr>
      </w:pPr>
      <w:r w:rsidRPr="00345388">
        <w:rPr>
          <w:rFonts w:ascii="Times New Roman" w:hAnsi="Times New Roman" w:cs="Times New Roman"/>
          <w:b/>
          <w:sz w:val="24"/>
          <w:szCs w:val="24"/>
        </w:rPr>
        <w:br w:type="page"/>
      </w:r>
    </w:p>
    <w:p w14:paraId="4D6241EE" w14:textId="762F858E" w:rsidR="000265ED" w:rsidRPr="00345388" w:rsidRDefault="000265ED" w:rsidP="000265ED">
      <w:pPr>
        <w:spacing w:line="480" w:lineRule="auto"/>
        <w:rPr>
          <w:rFonts w:ascii="Times New Roman" w:hAnsi="Times New Roman" w:cs="Times New Roman"/>
          <w:b/>
          <w:sz w:val="24"/>
          <w:szCs w:val="24"/>
        </w:rPr>
      </w:pPr>
      <w:r w:rsidRPr="00345388">
        <w:rPr>
          <w:rFonts w:ascii="Times New Roman" w:hAnsi="Times New Roman" w:cs="Times New Roman"/>
          <w:b/>
          <w:sz w:val="24"/>
          <w:szCs w:val="24"/>
        </w:rPr>
        <w:lastRenderedPageBreak/>
        <w:t xml:space="preserve">Table 3. Baseline characteristics of patients </w:t>
      </w:r>
      <w:r w:rsidR="0025542D" w:rsidRPr="00345388">
        <w:rPr>
          <w:rFonts w:ascii="Times New Roman" w:hAnsi="Times New Roman" w:cs="Times New Roman"/>
          <w:b/>
          <w:sz w:val="24"/>
          <w:szCs w:val="24"/>
        </w:rPr>
        <w:t xml:space="preserve">treated with </w:t>
      </w:r>
      <w:r w:rsidRPr="00345388">
        <w:rPr>
          <w:rFonts w:ascii="Times New Roman" w:hAnsi="Times New Roman" w:cs="Times New Roman"/>
          <w:b/>
          <w:sz w:val="24"/>
          <w:szCs w:val="24"/>
        </w:rPr>
        <w:t>regular dose and reduced dose</w:t>
      </w:r>
      <w:r w:rsidR="0025542D" w:rsidRPr="00345388">
        <w:rPr>
          <w:rFonts w:ascii="Times New Roman" w:hAnsi="Times New Roman" w:cs="Times New Roman"/>
          <w:b/>
          <w:sz w:val="24"/>
          <w:szCs w:val="24"/>
        </w:rPr>
        <w:t xml:space="preserve"> NOACs</w:t>
      </w:r>
    </w:p>
    <w:tbl>
      <w:tblPr>
        <w:tblStyle w:val="TableGrid"/>
        <w:tblW w:w="0" w:type="auto"/>
        <w:tblLayout w:type="fixed"/>
        <w:tblLook w:val="04A0" w:firstRow="1" w:lastRow="0" w:firstColumn="1" w:lastColumn="0" w:noHBand="0" w:noVBand="1"/>
      </w:tblPr>
      <w:tblGrid>
        <w:gridCol w:w="3135"/>
        <w:gridCol w:w="1814"/>
        <w:gridCol w:w="1814"/>
        <w:gridCol w:w="1485"/>
        <w:gridCol w:w="236"/>
        <w:gridCol w:w="1743"/>
        <w:gridCol w:w="1979"/>
        <w:gridCol w:w="1233"/>
      </w:tblGrid>
      <w:tr w:rsidR="000265ED" w:rsidRPr="00345388" w14:paraId="36E16292" w14:textId="77777777" w:rsidTr="000265ED">
        <w:trPr>
          <w:trHeight w:val="296"/>
        </w:trPr>
        <w:tc>
          <w:tcPr>
            <w:tcW w:w="3135" w:type="dxa"/>
            <w:tcBorders>
              <w:top w:val="single" w:sz="4" w:space="0" w:color="auto"/>
              <w:left w:val="nil"/>
              <w:bottom w:val="nil"/>
              <w:right w:val="nil"/>
            </w:tcBorders>
          </w:tcPr>
          <w:p w14:paraId="4D882B6A" w14:textId="77777777" w:rsidR="000265ED" w:rsidRPr="00345388" w:rsidRDefault="000265ED" w:rsidP="000265ED">
            <w:pPr>
              <w:spacing w:line="480" w:lineRule="auto"/>
              <w:rPr>
                <w:rFonts w:ascii="Times New Roman" w:hAnsi="Times New Roman" w:cs="Times New Roman"/>
                <w:color w:val="000000" w:themeColor="text1"/>
                <w:sz w:val="24"/>
                <w:szCs w:val="24"/>
              </w:rPr>
            </w:pPr>
          </w:p>
        </w:tc>
        <w:tc>
          <w:tcPr>
            <w:tcW w:w="10304" w:type="dxa"/>
            <w:gridSpan w:val="7"/>
            <w:tcBorders>
              <w:top w:val="single" w:sz="4" w:space="0" w:color="auto"/>
              <w:left w:val="nil"/>
              <w:bottom w:val="single" w:sz="4" w:space="0" w:color="auto"/>
              <w:right w:val="nil"/>
            </w:tcBorders>
          </w:tcPr>
          <w:p w14:paraId="7BF6672F" w14:textId="77777777" w:rsidR="000265ED" w:rsidRPr="00345388" w:rsidRDefault="000265ED" w:rsidP="000265ED">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Propensity Score Weighting</w:t>
            </w:r>
          </w:p>
        </w:tc>
      </w:tr>
      <w:tr w:rsidR="000265ED" w:rsidRPr="00345388" w14:paraId="25B2B046" w14:textId="77777777" w:rsidTr="00364885">
        <w:trPr>
          <w:trHeight w:val="296"/>
        </w:trPr>
        <w:tc>
          <w:tcPr>
            <w:tcW w:w="3135" w:type="dxa"/>
            <w:tcBorders>
              <w:top w:val="nil"/>
              <w:left w:val="nil"/>
              <w:bottom w:val="nil"/>
              <w:right w:val="nil"/>
            </w:tcBorders>
          </w:tcPr>
          <w:p w14:paraId="7F8F5579" w14:textId="77777777" w:rsidR="000265ED" w:rsidRPr="00345388" w:rsidRDefault="000265ED" w:rsidP="000265ED">
            <w:pPr>
              <w:spacing w:line="480" w:lineRule="auto"/>
              <w:rPr>
                <w:rFonts w:ascii="Times New Roman" w:hAnsi="Times New Roman" w:cs="Times New Roman"/>
                <w:color w:val="000000" w:themeColor="text1"/>
                <w:sz w:val="24"/>
                <w:szCs w:val="24"/>
              </w:rPr>
            </w:pPr>
          </w:p>
        </w:tc>
        <w:tc>
          <w:tcPr>
            <w:tcW w:w="5113" w:type="dxa"/>
            <w:gridSpan w:val="3"/>
            <w:tcBorders>
              <w:top w:val="single" w:sz="4" w:space="0" w:color="auto"/>
              <w:left w:val="nil"/>
              <w:bottom w:val="single" w:sz="4" w:space="0" w:color="auto"/>
              <w:right w:val="nil"/>
            </w:tcBorders>
          </w:tcPr>
          <w:p w14:paraId="38CF0C60" w14:textId="77777777" w:rsidR="000265ED" w:rsidRPr="00345388" w:rsidRDefault="000265ED" w:rsidP="000265ED">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Before</w:t>
            </w:r>
          </w:p>
        </w:tc>
        <w:tc>
          <w:tcPr>
            <w:tcW w:w="236" w:type="dxa"/>
            <w:tcBorders>
              <w:top w:val="single" w:sz="4" w:space="0" w:color="auto"/>
              <w:left w:val="nil"/>
              <w:bottom w:val="nil"/>
              <w:right w:val="nil"/>
            </w:tcBorders>
          </w:tcPr>
          <w:p w14:paraId="7A1A9DCE"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4955" w:type="dxa"/>
            <w:gridSpan w:val="3"/>
            <w:tcBorders>
              <w:top w:val="single" w:sz="4" w:space="0" w:color="auto"/>
              <w:left w:val="nil"/>
              <w:bottom w:val="single" w:sz="4" w:space="0" w:color="auto"/>
              <w:right w:val="nil"/>
            </w:tcBorders>
          </w:tcPr>
          <w:p w14:paraId="6A24ED5B" w14:textId="77777777" w:rsidR="000265ED" w:rsidRPr="00345388" w:rsidRDefault="000265ED" w:rsidP="000265ED">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After (with 5% trimming)</w:t>
            </w:r>
          </w:p>
        </w:tc>
      </w:tr>
      <w:tr w:rsidR="000265ED" w:rsidRPr="00345388" w14:paraId="34A4641A" w14:textId="77777777" w:rsidTr="00364885">
        <w:trPr>
          <w:trHeight w:val="741"/>
        </w:trPr>
        <w:tc>
          <w:tcPr>
            <w:tcW w:w="3135" w:type="dxa"/>
            <w:tcBorders>
              <w:top w:val="nil"/>
              <w:left w:val="nil"/>
              <w:bottom w:val="single" w:sz="4" w:space="0" w:color="auto"/>
              <w:right w:val="nil"/>
            </w:tcBorders>
          </w:tcPr>
          <w:p w14:paraId="53213CB4" w14:textId="77777777" w:rsidR="000265ED" w:rsidRPr="00345388" w:rsidRDefault="000265ED" w:rsidP="000265ED">
            <w:pPr>
              <w:spacing w:line="480" w:lineRule="auto"/>
              <w:rPr>
                <w:rFonts w:ascii="Times New Roman" w:hAnsi="Times New Roman" w:cs="Times New Roman"/>
                <w:color w:val="000000" w:themeColor="text1"/>
                <w:sz w:val="24"/>
                <w:szCs w:val="24"/>
              </w:rPr>
            </w:pPr>
          </w:p>
        </w:tc>
        <w:tc>
          <w:tcPr>
            <w:tcW w:w="1814" w:type="dxa"/>
            <w:tcBorders>
              <w:top w:val="single" w:sz="4" w:space="0" w:color="auto"/>
              <w:left w:val="nil"/>
              <w:bottom w:val="single" w:sz="4" w:space="0" w:color="auto"/>
              <w:right w:val="nil"/>
            </w:tcBorders>
          </w:tcPr>
          <w:p w14:paraId="3D22A5F9" w14:textId="1863CF2E" w:rsidR="000265ED" w:rsidRPr="00345388" w:rsidRDefault="000265ED" w:rsidP="000265ED">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Re</w:t>
            </w:r>
            <w:r w:rsidR="003811B1" w:rsidRPr="00345388">
              <w:rPr>
                <w:rFonts w:ascii="Times New Roman" w:hAnsi="Times New Roman" w:cs="Times New Roman"/>
                <w:b/>
                <w:color w:val="000000" w:themeColor="text1"/>
                <w:sz w:val="24"/>
                <w:szCs w:val="24"/>
              </w:rPr>
              <w:t>duced</w:t>
            </w:r>
            <w:r w:rsidRPr="00345388">
              <w:rPr>
                <w:rFonts w:ascii="Times New Roman" w:hAnsi="Times New Roman" w:cs="Times New Roman"/>
                <w:b/>
                <w:color w:val="000000" w:themeColor="text1"/>
                <w:sz w:val="24"/>
                <w:szCs w:val="24"/>
              </w:rPr>
              <w:t xml:space="preserve"> dose</w:t>
            </w:r>
            <w:r w:rsidR="00364885" w:rsidRPr="00345388">
              <w:rPr>
                <w:rFonts w:ascii="Times New Roman" w:hAnsi="Times New Roman" w:cs="Times New Roman"/>
                <w:color w:val="000000" w:themeColor="text1"/>
                <w:sz w:val="24"/>
                <w:szCs w:val="24"/>
                <w:vertAlign w:val="superscript"/>
              </w:rPr>
              <w:t>†</w:t>
            </w:r>
          </w:p>
          <w:p w14:paraId="75462077" w14:textId="30377015"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b/>
                <w:color w:val="000000" w:themeColor="text1"/>
                <w:sz w:val="24"/>
                <w:szCs w:val="24"/>
              </w:rPr>
              <w:t>(n=8,723)</w:t>
            </w:r>
          </w:p>
        </w:tc>
        <w:tc>
          <w:tcPr>
            <w:tcW w:w="1814" w:type="dxa"/>
            <w:tcBorders>
              <w:top w:val="single" w:sz="4" w:space="0" w:color="auto"/>
              <w:left w:val="nil"/>
              <w:bottom w:val="single" w:sz="4" w:space="0" w:color="auto"/>
              <w:right w:val="nil"/>
            </w:tcBorders>
          </w:tcPr>
          <w:p w14:paraId="6B2B9E95" w14:textId="1B7F8D78" w:rsidR="000265ED" w:rsidRPr="00345388" w:rsidRDefault="000265ED" w:rsidP="000265ED">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Re</w:t>
            </w:r>
            <w:r w:rsidR="003811B1" w:rsidRPr="00345388">
              <w:rPr>
                <w:rFonts w:ascii="Times New Roman" w:hAnsi="Times New Roman" w:cs="Times New Roman"/>
                <w:b/>
                <w:color w:val="000000" w:themeColor="text1"/>
                <w:sz w:val="24"/>
                <w:szCs w:val="24"/>
              </w:rPr>
              <w:t>gular</w:t>
            </w:r>
            <w:r w:rsidRPr="00345388">
              <w:rPr>
                <w:rFonts w:ascii="Times New Roman" w:hAnsi="Times New Roman" w:cs="Times New Roman"/>
                <w:b/>
                <w:color w:val="000000" w:themeColor="text1"/>
                <w:sz w:val="24"/>
                <w:szCs w:val="24"/>
              </w:rPr>
              <w:t xml:space="preserve"> dose</w:t>
            </w:r>
            <w:r w:rsidR="00364885" w:rsidRPr="00345388">
              <w:rPr>
                <w:rFonts w:ascii="Times New Roman" w:hAnsi="Times New Roman" w:cs="Times New Roman"/>
                <w:color w:val="000000" w:themeColor="text1"/>
                <w:sz w:val="24"/>
                <w:szCs w:val="24"/>
              </w:rPr>
              <w:t>*</w:t>
            </w:r>
          </w:p>
          <w:p w14:paraId="3EB5A214" w14:textId="09698D36" w:rsidR="000265ED" w:rsidRPr="00345388" w:rsidRDefault="000265ED" w:rsidP="000265ED">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(n=5,380)</w:t>
            </w:r>
          </w:p>
        </w:tc>
        <w:tc>
          <w:tcPr>
            <w:tcW w:w="1485" w:type="dxa"/>
            <w:tcBorders>
              <w:top w:val="single" w:sz="4" w:space="0" w:color="auto"/>
              <w:left w:val="nil"/>
              <w:bottom w:val="single" w:sz="4" w:space="0" w:color="auto"/>
              <w:right w:val="nil"/>
            </w:tcBorders>
            <w:vAlign w:val="center"/>
          </w:tcPr>
          <w:p w14:paraId="5917A1F2" w14:textId="77777777" w:rsidR="000265ED" w:rsidRPr="00345388" w:rsidRDefault="000265ED" w:rsidP="000265ED">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ASD</w:t>
            </w:r>
          </w:p>
        </w:tc>
        <w:tc>
          <w:tcPr>
            <w:tcW w:w="236" w:type="dxa"/>
            <w:tcBorders>
              <w:top w:val="nil"/>
              <w:left w:val="nil"/>
              <w:bottom w:val="single" w:sz="4" w:space="0" w:color="auto"/>
              <w:right w:val="nil"/>
            </w:tcBorders>
          </w:tcPr>
          <w:p w14:paraId="7AACA218"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1743" w:type="dxa"/>
            <w:tcBorders>
              <w:top w:val="single" w:sz="4" w:space="0" w:color="auto"/>
              <w:left w:val="nil"/>
              <w:bottom w:val="single" w:sz="4" w:space="0" w:color="auto"/>
              <w:right w:val="nil"/>
            </w:tcBorders>
          </w:tcPr>
          <w:p w14:paraId="4BD3631C" w14:textId="480FD7C6" w:rsidR="000265ED" w:rsidRPr="00345388" w:rsidRDefault="006C4E56" w:rsidP="000265ED">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Reduced dose</w:t>
            </w:r>
            <w:r w:rsidR="00364885" w:rsidRPr="00345388">
              <w:rPr>
                <w:rFonts w:ascii="Times New Roman" w:hAnsi="Times New Roman" w:cs="Times New Roman"/>
                <w:color w:val="000000" w:themeColor="text1"/>
                <w:sz w:val="24"/>
                <w:szCs w:val="24"/>
                <w:vertAlign w:val="superscript"/>
              </w:rPr>
              <w:t>†</w:t>
            </w:r>
          </w:p>
          <w:p w14:paraId="078E14B3" w14:textId="4B478FC0" w:rsidR="000265ED" w:rsidRPr="00345388" w:rsidRDefault="000265ED" w:rsidP="000265ED">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(n=</w:t>
            </w:r>
            <w:r w:rsidR="006A178E" w:rsidRPr="00345388">
              <w:rPr>
                <w:rFonts w:ascii="Times New Roman" w:hAnsi="Times New Roman" w:cs="Times New Roman"/>
                <w:b/>
                <w:color w:val="000000" w:themeColor="text1"/>
                <w:sz w:val="24"/>
                <w:szCs w:val="24"/>
              </w:rPr>
              <w:t>7,883</w:t>
            </w:r>
            <w:r w:rsidRPr="00345388">
              <w:rPr>
                <w:rFonts w:ascii="Times New Roman" w:hAnsi="Times New Roman" w:cs="Times New Roman"/>
                <w:b/>
                <w:color w:val="000000" w:themeColor="text1"/>
                <w:sz w:val="24"/>
                <w:szCs w:val="24"/>
              </w:rPr>
              <w:t>)</w:t>
            </w:r>
          </w:p>
        </w:tc>
        <w:tc>
          <w:tcPr>
            <w:tcW w:w="1979" w:type="dxa"/>
            <w:tcBorders>
              <w:top w:val="single" w:sz="4" w:space="0" w:color="auto"/>
              <w:left w:val="nil"/>
              <w:bottom w:val="single" w:sz="4" w:space="0" w:color="auto"/>
              <w:right w:val="nil"/>
            </w:tcBorders>
          </w:tcPr>
          <w:p w14:paraId="70BCBD3D" w14:textId="0762EB98" w:rsidR="000265ED" w:rsidRPr="00345388" w:rsidRDefault="006C4E56" w:rsidP="000265ED">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Regular dose</w:t>
            </w:r>
            <w:r w:rsidR="00364885" w:rsidRPr="00345388">
              <w:rPr>
                <w:rFonts w:ascii="Times New Roman" w:hAnsi="Times New Roman" w:cs="Times New Roman"/>
                <w:color w:val="000000" w:themeColor="text1"/>
                <w:sz w:val="24"/>
                <w:szCs w:val="24"/>
              </w:rPr>
              <w:t>*</w:t>
            </w:r>
          </w:p>
          <w:p w14:paraId="13B4BF6E" w14:textId="3BC72F2D" w:rsidR="000265ED" w:rsidRPr="00345388" w:rsidRDefault="000265ED" w:rsidP="000265ED">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(n=</w:t>
            </w:r>
            <w:r w:rsidR="006A178E" w:rsidRPr="00345388">
              <w:rPr>
                <w:rFonts w:ascii="Times New Roman" w:hAnsi="Times New Roman" w:cs="Times New Roman"/>
                <w:b/>
                <w:color w:val="000000" w:themeColor="text1"/>
                <w:sz w:val="24"/>
                <w:szCs w:val="24"/>
              </w:rPr>
              <w:t>4,840</w:t>
            </w:r>
            <w:r w:rsidRPr="00345388">
              <w:rPr>
                <w:rFonts w:ascii="Times New Roman" w:hAnsi="Times New Roman" w:cs="Times New Roman"/>
                <w:b/>
                <w:color w:val="000000" w:themeColor="text1"/>
                <w:sz w:val="24"/>
                <w:szCs w:val="24"/>
              </w:rPr>
              <w:t>)</w:t>
            </w:r>
          </w:p>
        </w:tc>
        <w:tc>
          <w:tcPr>
            <w:tcW w:w="1233" w:type="dxa"/>
            <w:tcBorders>
              <w:top w:val="single" w:sz="4" w:space="0" w:color="auto"/>
              <w:left w:val="nil"/>
              <w:bottom w:val="single" w:sz="4" w:space="0" w:color="auto"/>
              <w:right w:val="nil"/>
            </w:tcBorders>
            <w:vAlign w:val="center"/>
          </w:tcPr>
          <w:p w14:paraId="18209297" w14:textId="77777777" w:rsidR="000265ED" w:rsidRPr="00345388" w:rsidRDefault="000265ED" w:rsidP="000265ED">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ASD</w:t>
            </w:r>
          </w:p>
        </w:tc>
      </w:tr>
      <w:tr w:rsidR="000265ED" w:rsidRPr="00345388" w14:paraId="01053EF8" w14:textId="77777777" w:rsidTr="00364885">
        <w:trPr>
          <w:trHeight w:val="370"/>
        </w:trPr>
        <w:tc>
          <w:tcPr>
            <w:tcW w:w="3135" w:type="dxa"/>
            <w:tcBorders>
              <w:top w:val="single" w:sz="4" w:space="0" w:color="auto"/>
              <w:left w:val="nil"/>
              <w:bottom w:val="nil"/>
              <w:right w:val="nil"/>
            </w:tcBorders>
          </w:tcPr>
          <w:p w14:paraId="21A10A98" w14:textId="77777777" w:rsidR="000265ED" w:rsidRPr="00345388" w:rsidRDefault="000265ED" w:rsidP="000265ED">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Age, years</w:t>
            </w:r>
          </w:p>
        </w:tc>
        <w:tc>
          <w:tcPr>
            <w:tcW w:w="1814" w:type="dxa"/>
            <w:tcBorders>
              <w:top w:val="single" w:sz="4" w:space="0" w:color="auto"/>
              <w:left w:val="nil"/>
              <w:bottom w:val="nil"/>
              <w:right w:val="nil"/>
            </w:tcBorders>
          </w:tcPr>
          <w:p w14:paraId="3A203832" w14:textId="45A7A969"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75.1</w:t>
            </w:r>
            <w:r w:rsidRPr="00345388">
              <w:rPr>
                <w:rFonts w:ascii="Times New Roman" w:eastAsia="Malgun Gothic" w:hAnsi="Times New Roman" w:cs="Times New Roman"/>
                <w:color w:val="000000" w:themeColor="text1"/>
                <w:sz w:val="24"/>
                <w:szCs w:val="24"/>
              </w:rPr>
              <w:t>±7.5</w:t>
            </w:r>
          </w:p>
        </w:tc>
        <w:tc>
          <w:tcPr>
            <w:tcW w:w="1814" w:type="dxa"/>
            <w:tcBorders>
              <w:top w:val="single" w:sz="4" w:space="0" w:color="auto"/>
              <w:left w:val="nil"/>
              <w:bottom w:val="nil"/>
              <w:right w:val="nil"/>
            </w:tcBorders>
          </w:tcPr>
          <w:p w14:paraId="01189AE1" w14:textId="63092867"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70.6</w:t>
            </w:r>
            <w:r w:rsidRPr="00345388">
              <w:rPr>
                <w:rFonts w:ascii="Times New Roman" w:eastAsia="Malgun Gothic" w:hAnsi="Times New Roman" w:cs="Times New Roman"/>
                <w:color w:val="000000" w:themeColor="text1"/>
                <w:sz w:val="24"/>
                <w:szCs w:val="24"/>
              </w:rPr>
              <w:t>±8.2</w:t>
            </w:r>
          </w:p>
        </w:tc>
        <w:tc>
          <w:tcPr>
            <w:tcW w:w="1485" w:type="dxa"/>
            <w:tcBorders>
              <w:top w:val="single" w:sz="4" w:space="0" w:color="auto"/>
              <w:left w:val="nil"/>
              <w:bottom w:val="nil"/>
              <w:right w:val="nil"/>
            </w:tcBorders>
            <w:shd w:val="clear" w:color="auto" w:fill="auto"/>
          </w:tcPr>
          <w:p w14:paraId="27FA4C82" w14:textId="5EEC09B8" w:rsidR="000265ED" w:rsidRPr="00345388" w:rsidRDefault="006C4E56"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0.564</w:t>
            </w:r>
          </w:p>
        </w:tc>
        <w:tc>
          <w:tcPr>
            <w:tcW w:w="236" w:type="dxa"/>
            <w:tcBorders>
              <w:top w:val="single" w:sz="4" w:space="0" w:color="auto"/>
              <w:left w:val="nil"/>
              <w:bottom w:val="nil"/>
              <w:right w:val="nil"/>
            </w:tcBorders>
          </w:tcPr>
          <w:p w14:paraId="4855D57E"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1743" w:type="dxa"/>
            <w:tcBorders>
              <w:top w:val="single" w:sz="4" w:space="0" w:color="auto"/>
              <w:left w:val="nil"/>
              <w:bottom w:val="nil"/>
              <w:right w:val="nil"/>
            </w:tcBorders>
          </w:tcPr>
          <w:p w14:paraId="1FEC25F1"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72.6</w:t>
            </w:r>
            <w:r w:rsidRPr="00345388">
              <w:rPr>
                <w:rFonts w:ascii="Times New Roman" w:eastAsia="Malgun Gothic" w:hAnsi="Times New Roman" w:cs="Times New Roman"/>
                <w:color w:val="000000" w:themeColor="text1"/>
                <w:sz w:val="24"/>
                <w:szCs w:val="24"/>
              </w:rPr>
              <w:t>±7.4</w:t>
            </w:r>
          </w:p>
        </w:tc>
        <w:tc>
          <w:tcPr>
            <w:tcW w:w="1979" w:type="dxa"/>
            <w:tcBorders>
              <w:top w:val="single" w:sz="4" w:space="0" w:color="auto"/>
              <w:left w:val="nil"/>
              <w:bottom w:val="nil"/>
              <w:right w:val="nil"/>
            </w:tcBorders>
          </w:tcPr>
          <w:p w14:paraId="41786492"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72.9</w:t>
            </w:r>
            <w:r w:rsidRPr="00345388">
              <w:rPr>
                <w:rFonts w:ascii="Times New Roman" w:eastAsia="Malgun Gothic" w:hAnsi="Times New Roman" w:cs="Times New Roman"/>
                <w:color w:val="000000" w:themeColor="text1"/>
                <w:sz w:val="24"/>
                <w:szCs w:val="24"/>
              </w:rPr>
              <w:t>±8.5</w:t>
            </w:r>
          </w:p>
        </w:tc>
        <w:tc>
          <w:tcPr>
            <w:tcW w:w="1233" w:type="dxa"/>
            <w:tcBorders>
              <w:top w:val="single" w:sz="4" w:space="0" w:color="auto"/>
              <w:left w:val="nil"/>
              <w:bottom w:val="nil"/>
              <w:right w:val="nil"/>
            </w:tcBorders>
            <w:shd w:val="clear" w:color="auto" w:fill="auto"/>
          </w:tcPr>
          <w:p w14:paraId="42B6FC99" w14:textId="2AB0941D" w:rsidR="000265ED" w:rsidRPr="00345388" w:rsidRDefault="006C4E56"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&lt;0.001</w:t>
            </w:r>
          </w:p>
        </w:tc>
      </w:tr>
      <w:tr w:rsidR="000265ED" w:rsidRPr="00345388" w14:paraId="5BE5FA41" w14:textId="77777777" w:rsidTr="00364885">
        <w:trPr>
          <w:trHeight w:val="370"/>
        </w:trPr>
        <w:tc>
          <w:tcPr>
            <w:tcW w:w="3135" w:type="dxa"/>
            <w:tcBorders>
              <w:top w:val="nil"/>
              <w:left w:val="nil"/>
              <w:bottom w:val="nil"/>
              <w:right w:val="nil"/>
            </w:tcBorders>
          </w:tcPr>
          <w:p w14:paraId="414D6B36" w14:textId="77777777" w:rsidR="000265ED" w:rsidRPr="00345388" w:rsidRDefault="000265ED" w:rsidP="000265ED">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 xml:space="preserve"> &lt;65</w:t>
            </w:r>
          </w:p>
        </w:tc>
        <w:tc>
          <w:tcPr>
            <w:tcW w:w="1814" w:type="dxa"/>
            <w:tcBorders>
              <w:top w:val="nil"/>
              <w:left w:val="nil"/>
              <w:bottom w:val="nil"/>
              <w:right w:val="nil"/>
            </w:tcBorders>
          </w:tcPr>
          <w:p w14:paraId="5216DC85" w14:textId="2A850342" w:rsidR="000265ED" w:rsidRPr="00345388" w:rsidRDefault="003811B1"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8</w:t>
            </w:r>
          </w:p>
        </w:tc>
        <w:tc>
          <w:tcPr>
            <w:tcW w:w="1814" w:type="dxa"/>
            <w:tcBorders>
              <w:top w:val="nil"/>
              <w:left w:val="nil"/>
              <w:bottom w:val="nil"/>
              <w:right w:val="nil"/>
            </w:tcBorders>
          </w:tcPr>
          <w:p w14:paraId="5216C0D1" w14:textId="6754116D" w:rsidR="000265ED" w:rsidRPr="00345388" w:rsidRDefault="003811B1"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21</w:t>
            </w:r>
          </w:p>
        </w:tc>
        <w:tc>
          <w:tcPr>
            <w:tcW w:w="1485" w:type="dxa"/>
            <w:tcBorders>
              <w:top w:val="nil"/>
              <w:left w:val="nil"/>
              <w:bottom w:val="nil"/>
              <w:right w:val="nil"/>
            </w:tcBorders>
            <w:shd w:val="clear" w:color="auto" w:fill="auto"/>
          </w:tcPr>
          <w:p w14:paraId="4DEFFE59"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236" w:type="dxa"/>
            <w:tcBorders>
              <w:top w:val="nil"/>
              <w:left w:val="nil"/>
              <w:bottom w:val="nil"/>
              <w:right w:val="nil"/>
            </w:tcBorders>
          </w:tcPr>
          <w:p w14:paraId="0AFD6FCE"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1743" w:type="dxa"/>
            <w:tcBorders>
              <w:top w:val="nil"/>
              <w:left w:val="nil"/>
              <w:bottom w:val="nil"/>
              <w:right w:val="nil"/>
            </w:tcBorders>
          </w:tcPr>
          <w:p w14:paraId="37B6F2A6" w14:textId="6E53004C" w:rsidR="000265ED" w:rsidRPr="00345388" w:rsidRDefault="006A178E"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10</w:t>
            </w:r>
          </w:p>
        </w:tc>
        <w:tc>
          <w:tcPr>
            <w:tcW w:w="1979" w:type="dxa"/>
            <w:tcBorders>
              <w:top w:val="nil"/>
              <w:left w:val="nil"/>
              <w:bottom w:val="nil"/>
              <w:right w:val="nil"/>
            </w:tcBorders>
          </w:tcPr>
          <w:p w14:paraId="0087A8B8" w14:textId="763007F7" w:rsidR="000265ED" w:rsidRPr="00345388" w:rsidRDefault="006A178E"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9</w:t>
            </w:r>
          </w:p>
        </w:tc>
        <w:tc>
          <w:tcPr>
            <w:tcW w:w="1233" w:type="dxa"/>
            <w:vMerge w:val="restart"/>
            <w:tcBorders>
              <w:top w:val="nil"/>
              <w:left w:val="nil"/>
              <w:right w:val="nil"/>
            </w:tcBorders>
            <w:shd w:val="clear" w:color="auto" w:fill="auto"/>
            <w:vAlign w:val="center"/>
          </w:tcPr>
          <w:p w14:paraId="6F604939"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r>
      <w:tr w:rsidR="000265ED" w:rsidRPr="00345388" w14:paraId="71A2572B" w14:textId="77777777" w:rsidTr="00364885">
        <w:trPr>
          <w:trHeight w:val="370"/>
        </w:trPr>
        <w:tc>
          <w:tcPr>
            <w:tcW w:w="3135" w:type="dxa"/>
            <w:tcBorders>
              <w:top w:val="nil"/>
              <w:left w:val="nil"/>
              <w:bottom w:val="nil"/>
              <w:right w:val="nil"/>
            </w:tcBorders>
          </w:tcPr>
          <w:p w14:paraId="20BE803C" w14:textId="77777777" w:rsidR="000265ED" w:rsidRPr="00345388" w:rsidRDefault="000265ED" w:rsidP="000265ED">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 xml:space="preserve"> 65-74</w:t>
            </w:r>
          </w:p>
        </w:tc>
        <w:tc>
          <w:tcPr>
            <w:tcW w:w="1814" w:type="dxa"/>
            <w:tcBorders>
              <w:top w:val="nil"/>
              <w:left w:val="nil"/>
              <w:bottom w:val="nil"/>
              <w:right w:val="nil"/>
            </w:tcBorders>
          </w:tcPr>
          <w:p w14:paraId="474A317F" w14:textId="39A206FE" w:rsidR="000265ED" w:rsidRPr="00345388" w:rsidRDefault="003811B1"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35</w:t>
            </w:r>
          </w:p>
        </w:tc>
        <w:tc>
          <w:tcPr>
            <w:tcW w:w="1814" w:type="dxa"/>
            <w:tcBorders>
              <w:top w:val="nil"/>
              <w:left w:val="nil"/>
              <w:bottom w:val="nil"/>
              <w:right w:val="nil"/>
            </w:tcBorders>
          </w:tcPr>
          <w:p w14:paraId="0459BBB8" w14:textId="19A788C0" w:rsidR="000265ED" w:rsidRPr="00345388" w:rsidRDefault="003811B1"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46</w:t>
            </w:r>
          </w:p>
        </w:tc>
        <w:tc>
          <w:tcPr>
            <w:tcW w:w="1485" w:type="dxa"/>
            <w:tcBorders>
              <w:top w:val="nil"/>
              <w:left w:val="nil"/>
              <w:bottom w:val="nil"/>
              <w:right w:val="nil"/>
            </w:tcBorders>
            <w:shd w:val="clear" w:color="auto" w:fill="auto"/>
          </w:tcPr>
          <w:p w14:paraId="01832883"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236" w:type="dxa"/>
            <w:tcBorders>
              <w:top w:val="nil"/>
              <w:left w:val="nil"/>
              <w:bottom w:val="nil"/>
              <w:right w:val="nil"/>
            </w:tcBorders>
          </w:tcPr>
          <w:p w14:paraId="1FB5D294"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1743" w:type="dxa"/>
            <w:tcBorders>
              <w:top w:val="nil"/>
              <w:left w:val="nil"/>
              <w:bottom w:val="nil"/>
              <w:right w:val="nil"/>
            </w:tcBorders>
          </w:tcPr>
          <w:p w14:paraId="1D5C38F5" w14:textId="1DC497B6" w:rsidR="000265ED" w:rsidRPr="00345388" w:rsidRDefault="006A178E"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42</w:t>
            </w:r>
          </w:p>
        </w:tc>
        <w:tc>
          <w:tcPr>
            <w:tcW w:w="1979" w:type="dxa"/>
            <w:tcBorders>
              <w:top w:val="nil"/>
              <w:left w:val="nil"/>
              <w:bottom w:val="nil"/>
              <w:right w:val="nil"/>
            </w:tcBorders>
          </w:tcPr>
          <w:p w14:paraId="7601CF07" w14:textId="22783023" w:rsidR="000265ED" w:rsidRPr="00345388" w:rsidRDefault="006A178E"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46</w:t>
            </w:r>
          </w:p>
        </w:tc>
        <w:tc>
          <w:tcPr>
            <w:tcW w:w="1233" w:type="dxa"/>
            <w:vMerge/>
            <w:tcBorders>
              <w:left w:val="nil"/>
              <w:right w:val="nil"/>
            </w:tcBorders>
            <w:shd w:val="clear" w:color="auto" w:fill="auto"/>
          </w:tcPr>
          <w:p w14:paraId="3E7034B2"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r>
      <w:tr w:rsidR="000265ED" w:rsidRPr="00345388" w14:paraId="08531DD6" w14:textId="77777777" w:rsidTr="00364885">
        <w:trPr>
          <w:trHeight w:val="370"/>
        </w:trPr>
        <w:tc>
          <w:tcPr>
            <w:tcW w:w="3135" w:type="dxa"/>
            <w:tcBorders>
              <w:top w:val="nil"/>
              <w:left w:val="nil"/>
              <w:bottom w:val="nil"/>
              <w:right w:val="nil"/>
            </w:tcBorders>
          </w:tcPr>
          <w:p w14:paraId="7BF709E6" w14:textId="77777777" w:rsidR="000265ED" w:rsidRPr="00345388" w:rsidRDefault="000265ED" w:rsidP="000265ED">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 xml:space="preserve"> </w:t>
            </w:r>
            <w:r w:rsidRPr="00345388">
              <w:rPr>
                <w:rFonts w:ascii="Times New Roman" w:eastAsia="Malgun Gothic" w:hAnsi="Times New Roman" w:cs="Times New Roman"/>
                <w:b/>
                <w:color w:val="000000" w:themeColor="text1"/>
                <w:sz w:val="24"/>
                <w:szCs w:val="24"/>
              </w:rPr>
              <w:t>≥</w:t>
            </w:r>
            <w:r w:rsidRPr="00345388">
              <w:rPr>
                <w:rFonts w:ascii="Times New Roman" w:hAnsi="Times New Roman" w:cs="Times New Roman"/>
                <w:b/>
                <w:color w:val="000000" w:themeColor="text1"/>
                <w:sz w:val="24"/>
                <w:szCs w:val="24"/>
              </w:rPr>
              <w:t>75</w:t>
            </w:r>
          </w:p>
        </w:tc>
        <w:tc>
          <w:tcPr>
            <w:tcW w:w="1814" w:type="dxa"/>
            <w:tcBorders>
              <w:top w:val="nil"/>
              <w:left w:val="nil"/>
              <w:bottom w:val="nil"/>
              <w:right w:val="nil"/>
            </w:tcBorders>
          </w:tcPr>
          <w:p w14:paraId="4F43B15E" w14:textId="544CDCEC" w:rsidR="000265ED" w:rsidRPr="00345388" w:rsidRDefault="003811B1"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57</w:t>
            </w:r>
          </w:p>
        </w:tc>
        <w:tc>
          <w:tcPr>
            <w:tcW w:w="1814" w:type="dxa"/>
            <w:tcBorders>
              <w:top w:val="nil"/>
              <w:left w:val="nil"/>
              <w:bottom w:val="nil"/>
              <w:right w:val="nil"/>
            </w:tcBorders>
          </w:tcPr>
          <w:p w14:paraId="72F843E1" w14:textId="26D104A3" w:rsidR="000265ED" w:rsidRPr="00345388" w:rsidRDefault="003811B1"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33</w:t>
            </w:r>
          </w:p>
        </w:tc>
        <w:tc>
          <w:tcPr>
            <w:tcW w:w="1485" w:type="dxa"/>
            <w:tcBorders>
              <w:top w:val="nil"/>
              <w:left w:val="nil"/>
              <w:bottom w:val="nil"/>
              <w:right w:val="nil"/>
            </w:tcBorders>
            <w:shd w:val="clear" w:color="auto" w:fill="auto"/>
          </w:tcPr>
          <w:p w14:paraId="3950FBAF"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236" w:type="dxa"/>
            <w:tcBorders>
              <w:top w:val="nil"/>
              <w:left w:val="nil"/>
              <w:bottom w:val="nil"/>
              <w:right w:val="nil"/>
            </w:tcBorders>
          </w:tcPr>
          <w:p w14:paraId="72D4469B"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1743" w:type="dxa"/>
            <w:tcBorders>
              <w:top w:val="nil"/>
              <w:left w:val="nil"/>
              <w:bottom w:val="nil"/>
              <w:right w:val="nil"/>
            </w:tcBorders>
          </w:tcPr>
          <w:p w14:paraId="54A5A6F0" w14:textId="03AEA4EE" w:rsidR="000265ED" w:rsidRPr="00345388" w:rsidRDefault="006A178E"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48</w:t>
            </w:r>
          </w:p>
        </w:tc>
        <w:tc>
          <w:tcPr>
            <w:tcW w:w="1979" w:type="dxa"/>
            <w:tcBorders>
              <w:top w:val="nil"/>
              <w:left w:val="nil"/>
              <w:bottom w:val="nil"/>
              <w:right w:val="nil"/>
            </w:tcBorders>
          </w:tcPr>
          <w:p w14:paraId="72021E20" w14:textId="55514181" w:rsidR="000265ED" w:rsidRPr="00345388" w:rsidRDefault="006A178E"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45</w:t>
            </w:r>
          </w:p>
        </w:tc>
        <w:tc>
          <w:tcPr>
            <w:tcW w:w="1233" w:type="dxa"/>
            <w:vMerge/>
            <w:tcBorders>
              <w:left w:val="nil"/>
              <w:bottom w:val="nil"/>
              <w:right w:val="nil"/>
            </w:tcBorders>
            <w:shd w:val="clear" w:color="auto" w:fill="auto"/>
          </w:tcPr>
          <w:p w14:paraId="564AA2C4"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r>
      <w:tr w:rsidR="000265ED" w:rsidRPr="00345388" w14:paraId="722553FB" w14:textId="77777777" w:rsidTr="00364885">
        <w:trPr>
          <w:trHeight w:val="370"/>
        </w:trPr>
        <w:tc>
          <w:tcPr>
            <w:tcW w:w="3135" w:type="dxa"/>
            <w:tcBorders>
              <w:top w:val="nil"/>
              <w:left w:val="nil"/>
              <w:bottom w:val="nil"/>
              <w:right w:val="nil"/>
            </w:tcBorders>
          </w:tcPr>
          <w:p w14:paraId="77AC4C0B" w14:textId="77777777" w:rsidR="000265ED" w:rsidRPr="00345388" w:rsidRDefault="000265ED" w:rsidP="000265ED">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Men</w:t>
            </w:r>
          </w:p>
        </w:tc>
        <w:tc>
          <w:tcPr>
            <w:tcW w:w="1814" w:type="dxa"/>
            <w:tcBorders>
              <w:top w:val="nil"/>
              <w:left w:val="nil"/>
              <w:bottom w:val="nil"/>
              <w:right w:val="nil"/>
            </w:tcBorders>
          </w:tcPr>
          <w:p w14:paraId="27EE2FC5" w14:textId="4134B34F"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w:t>
            </w:r>
            <w:r w:rsidR="003811B1" w:rsidRPr="00345388">
              <w:rPr>
                <w:rFonts w:ascii="Times New Roman" w:hAnsi="Times New Roman" w:cs="Times New Roman"/>
                <w:color w:val="000000" w:themeColor="text1"/>
                <w:sz w:val="24"/>
                <w:szCs w:val="24"/>
              </w:rPr>
              <w:t>0</w:t>
            </w:r>
          </w:p>
        </w:tc>
        <w:tc>
          <w:tcPr>
            <w:tcW w:w="1814" w:type="dxa"/>
            <w:tcBorders>
              <w:top w:val="nil"/>
              <w:left w:val="nil"/>
              <w:bottom w:val="nil"/>
              <w:right w:val="nil"/>
            </w:tcBorders>
          </w:tcPr>
          <w:p w14:paraId="77AB5016" w14:textId="22F447ED" w:rsidR="000265ED" w:rsidRPr="00345388" w:rsidRDefault="003811B1"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31</w:t>
            </w:r>
          </w:p>
        </w:tc>
        <w:tc>
          <w:tcPr>
            <w:tcW w:w="1485" w:type="dxa"/>
            <w:tcBorders>
              <w:top w:val="nil"/>
              <w:left w:val="nil"/>
              <w:bottom w:val="nil"/>
              <w:right w:val="nil"/>
            </w:tcBorders>
            <w:shd w:val="clear" w:color="auto" w:fill="auto"/>
          </w:tcPr>
          <w:p w14:paraId="022C4CB0" w14:textId="375599BF" w:rsidR="000265ED" w:rsidRPr="00345388" w:rsidRDefault="006C4E56"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0.027</w:t>
            </w:r>
          </w:p>
        </w:tc>
        <w:tc>
          <w:tcPr>
            <w:tcW w:w="236" w:type="dxa"/>
            <w:tcBorders>
              <w:top w:val="nil"/>
              <w:left w:val="nil"/>
              <w:bottom w:val="nil"/>
              <w:right w:val="nil"/>
            </w:tcBorders>
          </w:tcPr>
          <w:p w14:paraId="7886B69A"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1743" w:type="dxa"/>
            <w:tcBorders>
              <w:top w:val="nil"/>
              <w:left w:val="nil"/>
              <w:bottom w:val="nil"/>
              <w:right w:val="nil"/>
            </w:tcBorders>
          </w:tcPr>
          <w:p w14:paraId="63183AC4" w14:textId="49E5682C" w:rsidR="000265ED" w:rsidRPr="00345388" w:rsidRDefault="006A178E"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31</w:t>
            </w:r>
          </w:p>
        </w:tc>
        <w:tc>
          <w:tcPr>
            <w:tcW w:w="1979" w:type="dxa"/>
            <w:tcBorders>
              <w:top w:val="nil"/>
              <w:left w:val="nil"/>
              <w:bottom w:val="nil"/>
              <w:right w:val="nil"/>
            </w:tcBorders>
          </w:tcPr>
          <w:p w14:paraId="339355AF" w14:textId="2FEAC058" w:rsidR="000265ED" w:rsidRPr="00345388" w:rsidRDefault="006A178E"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31</w:t>
            </w:r>
          </w:p>
        </w:tc>
        <w:tc>
          <w:tcPr>
            <w:tcW w:w="1233" w:type="dxa"/>
            <w:tcBorders>
              <w:top w:val="nil"/>
              <w:left w:val="nil"/>
              <w:bottom w:val="nil"/>
              <w:right w:val="nil"/>
            </w:tcBorders>
            <w:shd w:val="clear" w:color="auto" w:fill="auto"/>
          </w:tcPr>
          <w:p w14:paraId="364AE44E" w14:textId="4723D6DC"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0.00</w:t>
            </w:r>
            <w:r w:rsidR="006C4E56" w:rsidRPr="00345388">
              <w:rPr>
                <w:rFonts w:ascii="Times New Roman" w:hAnsi="Times New Roman" w:cs="Times New Roman"/>
                <w:color w:val="000000" w:themeColor="text1"/>
                <w:sz w:val="24"/>
                <w:szCs w:val="24"/>
              </w:rPr>
              <w:t>1</w:t>
            </w:r>
          </w:p>
        </w:tc>
      </w:tr>
      <w:tr w:rsidR="000265ED" w:rsidRPr="00345388" w14:paraId="44982BBB" w14:textId="77777777" w:rsidTr="00364885">
        <w:trPr>
          <w:trHeight w:val="370"/>
        </w:trPr>
        <w:tc>
          <w:tcPr>
            <w:tcW w:w="3135" w:type="dxa"/>
            <w:tcBorders>
              <w:top w:val="nil"/>
              <w:left w:val="nil"/>
              <w:bottom w:val="nil"/>
              <w:right w:val="nil"/>
            </w:tcBorders>
          </w:tcPr>
          <w:p w14:paraId="1D13C79C" w14:textId="77777777" w:rsidR="000265ED" w:rsidRPr="00345388" w:rsidRDefault="000265ED" w:rsidP="000265ED">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CHA</w:t>
            </w:r>
            <w:r w:rsidRPr="00345388">
              <w:rPr>
                <w:rFonts w:ascii="Times New Roman" w:hAnsi="Times New Roman" w:cs="Times New Roman"/>
                <w:b/>
                <w:color w:val="000000" w:themeColor="text1"/>
                <w:sz w:val="24"/>
                <w:szCs w:val="24"/>
                <w:vertAlign w:val="subscript"/>
              </w:rPr>
              <w:t>2</w:t>
            </w:r>
            <w:r w:rsidRPr="00345388">
              <w:rPr>
                <w:rFonts w:ascii="Times New Roman" w:hAnsi="Times New Roman" w:cs="Times New Roman"/>
                <w:b/>
                <w:color w:val="000000" w:themeColor="text1"/>
                <w:sz w:val="24"/>
                <w:szCs w:val="24"/>
              </w:rPr>
              <w:t>DS</w:t>
            </w:r>
            <w:r w:rsidRPr="00345388">
              <w:rPr>
                <w:rFonts w:ascii="Times New Roman" w:hAnsi="Times New Roman" w:cs="Times New Roman"/>
                <w:b/>
                <w:color w:val="000000" w:themeColor="text1"/>
                <w:sz w:val="24"/>
                <w:szCs w:val="24"/>
                <w:vertAlign w:val="subscript"/>
              </w:rPr>
              <w:t>2</w:t>
            </w:r>
            <w:r w:rsidRPr="00345388">
              <w:rPr>
                <w:rFonts w:ascii="Times New Roman" w:hAnsi="Times New Roman" w:cs="Times New Roman"/>
                <w:b/>
                <w:color w:val="000000" w:themeColor="text1"/>
                <w:sz w:val="24"/>
                <w:szCs w:val="24"/>
              </w:rPr>
              <w:t>-VASc score</w:t>
            </w:r>
          </w:p>
        </w:tc>
        <w:tc>
          <w:tcPr>
            <w:tcW w:w="1814" w:type="dxa"/>
            <w:tcBorders>
              <w:top w:val="nil"/>
              <w:left w:val="nil"/>
              <w:bottom w:val="nil"/>
              <w:right w:val="nil"/>
            </w:tcBorders>
          </w:tcPr>
          <w:p w14:paraId="1ADD763A" w14:textId="6C935E55" w:rsidR="000265ED" w:rsidRPr="00345388" w:rsidRDefault="003811B1"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4.09</w:t>
            </w:r>
            <w:r w:rsidR="000265ED" w:rsidRPr="00345388">
              <w:rPr>
                <w:rFonts w:ascii="Times New Roman" w:eastAsia="Malgun Gothic" w:hAnsi="Times New Roman" w:cs="Times New Roman"/>
                <w:color w:val="000000" w:themeColor="text1"/>
                <w:sz w:val="24"/>
                <w:szCs w:val="24"/>
              </w:rPr>
              <w:t>±1.</w:t>
            </w:r>
            <w:r w:rsidRPr="00345388">
              <w:rPr>
                <w:rFonts w:ascii="Times New Roman" w:eastAsia="Malgun Gothic" w:hAnsi="Times New Roman" w:cs="Times New Roman"/>
                <w:color w:val="000000" w:themeColor="text1"/>
                <w:sz w:val="24"/>
                <w:szCs w:val="24"/>
              </w:rPr>
              <w:t>58</w:t>
            </w:r>
          </w:p>
        </w:tc>
        <w:tc>
          <w:tcPr>
            <w:tcW w:w="1814" w:type="dxa"/>
            <w:tcBorders>
              <w:top w:val="nil"/>
              <w:left w:val="nil"/>
              <w:bottom w:val="nil"/>
              <w:right w:val="nil"/>
            </w:tcBorders>
          </w:tcPr>
          <w:p w14:paraId="3D0D5EA5" w14:textId="2EB48995"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w:t>
            </w:r>
            <w:r w:rsidR="003811B1" w:rsidRPr="00345388">
              <w:rPr>
                <w:rFonts w:ascii="Times New Roman" w:hAnsi="Times New Roman" w:cs="Times New Roman"/>
                <w:color w:val="000000" w:themeColor="text1"/>
                <w:sz w:val="24"/>
                <w:szCs w:val="24"/>
              </w:rPr>
              <w:t>62</w:t>
            </w:r>
            <w:r w:rsidRPr="00345388">
              <w:rPr>
                <w:rFonts w:ascii="Times New Roman" w:eastAsia="Malgun Gothic" w:hAnsi="Times New Roman" w:cs="Times New Roman"/>
                <w:color w:val="000000" w:themeColor="text1"/>
                <w:sz w:val="24"/>
                <w:szCs w:val="24"/>
              </w:rPr>
              <w:t>±1.</w:t>
            </w:r>
            <w:r w:rsidR="003811B1" w:rsidRPr="00345388">
              <w:rPr>
                <w:rFonts w:ascii="Times New Roman" w:eastAsia="Malgun Gothic" w:hAnsi="Times New Roman" w:cs="Times New Roman"/>
                <w:color w:val="000000" w:themeColor="text1"/>
                <w:sz w:val="24"/>
                <w:szCs w:val="24"/>
              </w:rPr>
              <w:t>61</w:t>
            </w:r>
          </w:p>
        </w:tc>
        <w:tc>
          <w:tcPr>
            <w:tcW w:w="1485" w:type="dxa"/>
            <w:tcBorders>
              <w:top w:val="nil"/>
              <w:left w:val="nil"/>
              <w:bottom w:val="nil"/>
              <w:right w:val="nil"/>
            </w:tcBorders>
            <w:shd w:val="clear" w:color="auto" w:fill="auto"/>
          </w:tcPr>
          <w:p w14:paraId="44F4B609" w14:textId="7CDF7270" w:rsidR="000265ED" w:rsidRPr="00345388" w:rsidRDefault="006C4E56" w:rsidP="006C4E56">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0.292</w:t>
            </w:r>
          </w:p>
        </w:tc>
        <w:tc>
          <w:tcPr>
            <w:tcW w:w="236" w:type="dxa"/>
            <w:tcBorders>
              <w:top w:val="nil"/>
              <w:left w:val="nil"/>
              <w:bottom w:val="nil"/>
              <w:right w:val="nil"/>
            </w:tcBorders>
          </w:tcPr>
          <w:p w14:paraId="7AF845CB"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1743" w:type="dxa"/>
            <w:tcBorders>
              <w:top w:val="nil"/>
              <w:left w:val="nil"/>
              <w:bottom w:val="nil"/>
              <w:right w:val="nil"/>
            </w:tcBorders>
          </w:tcPr>
          <w:p w14:paraId="219A6460"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3.92</w:t>
            </w:r>
            <w:r w:rsidRPr="00345388">
              <w:rPr>
                <w:rFonts w:ascii="Times New Roman" w:eastAsia="Malgun Gothic" w:hAnsi="Times New Roman" w:cs="Times New Roman"/>
                <w:color w:val="000000" w:themeColor="text1"/>
                <w:sz w:val="24"/>
                <w:szCs w:val="24"/>
              </w:rPr>
              <w:t>±1.64</w:t>
            </w:r>
          </w:p>
        </w:tc>
        <w:tc>
          <w:tcPr>
            <w:tcW w:w="1979" w:type="dxa"/>
            <w:tcBorders>
              <w:top w:val="nil"/>
              <w:left w:val="nil"/>
              <w:bottom w:val="nil"/>
              <w:right w:val="nil"/>
            </w:tcBorders>
          </w:tcPr>
          <w:p w14:paraId="3B097272"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3.97</w:t>
            </w:r>
            <w:r w:rsidRPr="00345388">
              <w:rPr>
                <w:rFonts w:ascii="Times New Roman" w:eastAsia="Malgun Gothic" w:hAnsi="Times New Roman" w:cs="Times New Roman"/>
                <w:color w:val="000000" w:themeColor="text1"/>
                <w:sz w:val="24"/>
                <w:szCs w:val="24"/>
              </w:rPr>
              <w:t>±1.83</w:t>
            </w:r>
          </w:p>
        </w:tc>
        <w:tc>
          <w:tcPr>
            <w:tcW w:w="1233" w:type="dxa"/>
            <w:tcBorders>
              <w:top w:val="nil"/>
              <w:left w:val="nil"/>
              <w:bottom w:val="nil"/>
              <w:right w:val="nil"/>
            </w:tcBorders>
            <w:shd w:val="clear" w:color="auto" w:fill="auto"/>
          </w:tcPr>
          <w:p w14:paraId="74784266" w14:textId="386B6AFF" w:rsidR="000265ED" w:rsidRPr="00345388" w:rsidRDefault="006C4E56"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&lt;0.001</w:t>
            </w:r>
          </w:p>
        </w:tc>
      </w:tr>
      <w:tr w:rsidR="000265ED" w:rsidRPr="00345388" w14:paraId="3BCCC4A0" w14:textId="77777777" w:rsidTr="00364885">
        <w:trPr>
          <w:trHeight w:val="370"/>
        </w:trPr>
        <w:tc>
          <w:tcPr>
            <w:tcW w:w="3135" w:type="dxa"/>
            <w:tcBorders>
              <w:top w:val="nil"/>
              <w:left w:val="nil"/>
              <w:bottom w:val="nil"/>
              <w:right w:val="nil"/>
            </w:tcBorders>
          </w:tcPr>
          <w:p w14:paraId="1CD27556" w14:textId="77777777" w:rsidR="000265ED" w:rsidRPr="00345388" w:rsidRDefault="000265ED" w:rsidP="000265ED">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 xml:space="preserve"> 0-1</w:t>
            </w:r>
          </w:p>
        </w:tc>
        <w:tc>
          <w:tcPr>
            <w:tcW w:w="1814" w:type="dxa"/>
            <w:tcBorders>
              <w:top w:val="nil"/>
              <w:left w:val="nil"/>
              <w:bottom w:val="nil"/>
              <w:right w:val="nil"/>
            </w:tcBorders>
          </w:tcPr>
          <w:p w14:paraId="50EC13E5" w14:textId="1C306D7A" w:rsidR="000265ED" w:rsidRPr="00345388" w:rsidRDefault="003811B1"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4</w:t>
            </w:r>
          </w:p>
        </w:tc>
        <w:tc>
          <w:tcPr>
            <w:tcW w:w="1814" w:type="dxa"/>
            <w:tcBorders>
              <w:top w:val="nil"/>
              <w:left w:val="nil"/>
              <w:bottom w:val="nil"/>
              <w:right w:val="nil"/>
            </w:tcBorders>
          </w:tcPr>
          <w:p w14:paraId="0BC4261D" w14:textId="308EB0D2" w:rsidR="000265ED" w:rsidRPr="00345388" w:rsidRDefault="003811B1"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8</w:t>
            </w:r>
          </w:p>
        </w:tc>
        <w:tc>
          <w:tcPr>
            <w:tcW w:w="1485" w:type="dxa"/>
            <w:tcBorders>
              <w:top w:val="nil"/>
              <w:left w:val="nil"/>
              <w:bottom w:val="nil"/>
              <w:right w:val="nil"/>
            </w:tcBorders>
            <w:shd w:val="clear" w:color="auto" w:fill="auto"/>
          </w:tcPr>
          <w:p w14:paraId="7EF6EBEA"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236" w:type="dxa"/>
            <w:tcBorders>
              <w:top w:val="nil"/>
              <w:left w:val="nil"/>
              <w:bottom w:val="nil"/>
              <w:right w:val="nil"/>
            </w:tcBorders>
          </w:tcPr>
          <w:p w14:paraId="61C577DA"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1743" w:type="dxa"/>
            <w:tcBorders>
              <w:top w:val="nil"/>
              <w:left w:val="nil"/>
              <w:bottom w:val="nil"/>
              <w:right w:val="nil"/>
            </w:tcBorders>
          </w:tcPr>
          <w:p w14:paraId="6F93CC2C" w14:textId="7E784DD8" w:rsidR="000265ED" w:rsidRPr="00345388" w:rsidRDefault="006A178E"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4</w:t>
            </w:r>
          </w:p>
        </w:tc>
        <w:tc>
          <w:tcPr>
            <w:tcW w:w="1979" w:type="dxa"/>
            <w:tcBorders>
              <w:top w:val="nil"/>
              <w:left w:val="nil"/>
              <w:bottom w:val="nil"/>
              <w:right w:val="nil"/>
            </w:tcBorders>
          </w:tcPr>
          <w:p w14:paraId="140C95FE" w14:textId="466D589C" w:rsidR="000265ED" w:rsidRPr="00345388" w:rsidRDefault="006A178E"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4</w:t>
            </w:r>
          </w:p>
        </w:tc>
        <w:tc>
          <w:tcPr>
            <w:tcW w:w="1233" w:type="dxa"/>
            <w:vMerge w:val="restart"/>
            <w:tcBorders>
              <w:top w:val="nil"/>
              <w:left w:val="nil"/>
              <w:bottom w:val="nil"/>
              <w:right w:val="nil"/>
            </w:tcBorders>
            <w:shd w:val="clear" w:color="auto" w:fill="auto"/>
            <w:vAlign w:val="center"/>
          </w:tcPr>
          <w:p w14:paraId="41E2FB3A"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r>
      <w:tr w:rsidR="000265ED" w:rsidRPr="00345388" w14:paraId="51435A2B" w14:textId="77777777" w:rsidTr="00364885">
        <w:trPr>
          <w:trHeight w:val="370"/>
        </w:trPr>
        <w:tc>
          <w:tcPr>
            <w:tcW w:w="3135" w:type="dxa"/>
            <w:tcBorders>
              <w:top w:val="nil"/>
              <w:left w:val="nil"/>
              <w:bottom w:val="nil"/>
              <w:right w:val="nil"/>
            </w:tcBorders>
          </w:tcPr>
          <w:p w14:paraId="399FFED3" w14:textId="77777777" w:rsidR="000265ED" w:rsidRPr="00345388" w:rsidRDefault="000265ED" w:rsidP="000265ED">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 xml:space="preserve"> 2-3</w:t>
            </w:r>
          </w:p>
        </w:tc>
        <w:tc>
          <w:tcPr>
            <w:tcW w:w="1814" w:type="dxa"/>
            <w:tcBorders>
              <w:top w:val="nil"/>
              <w:left w:val="nil"/>
              <w:bottom w:val="nil"/>
              <w:right w:val="nil"/>
            </w:tcBorders>
          </w:tcPr>
          <w:p w14:paraId="49FFB02E" w14:textId="45245CA9"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w:t>
            </w:r>
            <w:r w:rsidR="003811B1" w:rsidRPr="00345388">
              <w:rPr>
                <w:rFonts w:ascii="Times New Roman" w:hAnsi="Times New Roman" w:cs="Times New Roman"/>
                <w:color w:val="000000" w:themeColor="text1"/>
                <w:sz w:val="24"/>
                <w:szCs w:val="24"/>
              </w:rPr>
              <w:t>3</w:t>
            </w:r>
          </w:p>
        </w:tc>
        <w:tc>
          <w:tcPr>
            <w:tcW w:w="1814" w:type="dxa"/>
            <w:tcBorders>
              <w:top w:val="nil"/>
              <w:left w:val="nil"/>
              <w:bottom w:val="nil"/>
              <w:right w:val="nil"/>
            </w:tcBorders>
          </w:tcPr>
          <w:p w14:paraId="7116B225" w14:textId="7415054D" w:rsidR="000265ED" w:rsidRPr="00345388" w:rsidRDefault="003811B1"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42</w:t>
            </w:r>
          </w:p>
        </w:tc>
        <w:tc>
          <w:tcPr>
            <w:tcW w:w="1485" w:type="dxa"/>
            <w:tcBorders>
              <w:top w:val="nil"/>
              <w:left w:val="nil"/>
              <w:bottom w:val="nil"/>
              <w:right w:val="nil"/>
            </w:tcBorders>
            <w:shd w:val="clear" w:color="auto" w:fill="auto"/>
          </w:tcPr>
          <w:p w14:paraId="0EBD22B1"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236" w:type="dxa"/>
            <w:tcBorders>
              <w:top w:val="nil"/>
              <w:left w:val="nil"/>
              <w:bottom w:val="nil"/>
              <w:right w:val="nil"/>
            </w:tcBorders>
          </w:tcPr>
          <w:p w14:paraId="08E88D7C"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1743" w:type="dxa"/>
            <w:tcBorders>
              <w:top w:val="nil"/>
              <w:left w:val="nil"/>
              <w:bottom w:val="nil"/>
              <w:right w:val="nil"/>
            </w:tcBorders>
          </w:tcPr>
          <w:p w14:paraId="5C8895D4" w14:textId="17B73879" w:rsidR="000265ED" w:rsidRPr="00345388" w:rsidRDefault="006A178E"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37</w:t>
            </w:r>
          </w:p>
        </w:tc>
        <w:tc>
          <w:tcPr>
            <w:tcW w:w="1979" w:type="dxa"/>
            <w:tcBorders>
              <w:top w:val="nil"/>
              <w:left w:val="nil"/>
              <w:bottom w:val="nil"/>
              <w:right w:val="nil"/>
            </w:tcBorders>
          </w:tcPr>
          <w:p w14:paraId="7EE8C04D" w14:textId="3A739141" w:rsidR="000265ED" w:rsidRPr="00345388" w:rsidRDefault="006A178E"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37</w:t>
            </w:r>
          </w:p>
        </w:tc>
        <w:tc>
          <w:tcPr>
            <w:tcW w:w="1233" w:type="dxa"/>
            <w:vMerge/>
            <w:tcBorders>
              <w:top w:val="nil"/>
              <w:left w:val="nil"/>
              <w:bottom w:val="nil"/>
              <w:right w:val="nil"/>
            </w:tcBorders>
            <w:shd w:val="clear" w:color="auto" w:fill="auto"/>
          </w:tcPr>
          <w:p w14:paraId="42264574"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r>
      <w:tr w:rsidR="000265ED" w:rsidRPr="00345388" w14:paraId="6D765E47" w14:textId="77777777" w:rsidTr="00364885">
        <w:trPr>
          <w:trHeight w:val="370"/>
        </w:trPr>
        <w:tc>
          <w:tcPr>
            <w:tcW w:w="3135" w:type="dxa"/>
            <w:tcBorders>
              <w:top w:val="nil"/>
              <w:left w:val="nil"/>
              <w:bottom w:val="nil"/>
              <w:right w:val="nil"/>
            </w:tcBorders>
          </w:tcPr>
          <w:p w14:paraId="1FE6F419" w14:textId="77777777" w:rsidR="000265ED" w:rsidRPr="00345388" w:rsidRDefault="000265ED" w:rsidP="000265ED">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 xml:space="preserve"> </w:t>
            </w:r>
            <w:r w:rsidRPr="00345388">
              <w:rPr>
                <w:rFonts w:ascii="Times New Roman" w:eastAsia="Malgun Gothic" w:hAnsi="Times New Roman" w:cs="Times New Roman"/>
                <w:b/>
                <w:color w:val="000000" w:themeColor="text1"/>
                <w:sz w:val="24"/>
                <w:szCs w:val="24"/>
              </w:rPr>
              <w:t>≥</w:t>
            </w:r>
            <w:r w:rsidRPr="00345388">
              <w:rPr>
                <w:rFonts w:ascii="Times New Roman" w:hAnsi="Times New Roman" w:cs="Times New Roman"/>
                <w:b/>
                <w:color w:val="000000" w:themeColor="text1"/>
                <w:sz w:val="24"/>
                <w:szCs w:val="24"/>
              </w:rPr>
              <w:t>4</w:t>
            </w:r>
          </w:p>
        </w:tc>
        <w:tc>
          <w:tcPr>
            <w:tcW w:w="1814" w:type="dxa"/>
            <w:tcBorders>
              <w:top w:val="nil"/>
              <w:left w:val="nil"/>
              <w:bottom w:val="nil"/>
              <w:right w:val="nil"/>
            </w:tcBorders>
          </w:tcPr>
          <w:p w14:paraId="7A2F19B4" w14:textId="67DF6D86" w:rsidR="000265ED" w:rsidRPr="00345388" w:rsidRDefault="003811B1"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63</w:t>
            </w:r>
          </w:p>
        </w:tc>
        <w:tc>
          <w:tcPr>
            <w:tcW w:w="1814" w:type="dxa"/>
            <w:tcBorders>
              <w:top w:val="nil"/>
              <w:left w:val="nil"/>
              <w:bottom w:val="nil"/>
              <w:right w:val="nil"/>
            </w:tcBorders>
          </w:tcPr>
          <w:p w14:paraId="7BF9F830" w14:textId="7A80AC8B"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5</w:t>
            </w:r>
            <w:r w:rsidR="003811B1" w:rsidRPr="00345388">
              <w:rPr>
                <w:rFonts w:ascii="Times New Roman" w:hAnsi="Times New Roman" w:cs="Times New Roman"/>
                <w:color w:val="000000" w:themeColor="text1"/>
                <w:sz w:val="24"/>
                <w:szCs w:val="24"/>
              </w:rPr>
              <w:t>1</w:t>
            </w:r>
          </w:p>
        </w:tc>
        <w:tc>
          <w:tcPr>
            <w:tcW w:w="1485" w:type="dxa"/>
            <w:tcBorders>
              <w:top w:val="nil"/>
              <w:left w:val="nil"/>
              <w:bottom w:val="nil"/>
              <w:right w:val="nil"/>
            </w:tcBorders>
            <w:shd w:val="clear" w:color="auto" w:fill="auto"/>
          </w:tcPr>
          <w:p w14:paraId="3FB3358F"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236" w:type="dxa"/>
            <w:tcBorders>
              <w:top w:val="nil"/>
              <w:left w:val="nil"/>
              <w:bottom w:val="nil"/>
              <w:right w:val="nil"/>
            </w:tcBorders>
          </w:tcPr>
          <w:p w14:paraId="591A8CFC"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1743" w:type="dxa"/>
            <w:tcBorders>
              <w:top w:val="nil"/>
              <w:left w:val="nil"/>
              <w:bottom w:val="nil"/>
              <w:right w:val="nil"/>
            </w:tcBorders>
          </w:tcPr>
          <w:p w14:paraId="6A9F77CF" w14:textId="7665EC83" w:rsidR="000265ED" w:rsidRPr="00345388" w:rsidRDefault="006A178E"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59</w:t>
            </w:r>
          </w:p>
        </w:tc>
        <w:tc>
          <w:tcPr>
            <w:tcW w:w="1979" w:type="dxa"/>
            <w:tcBorders>
              <w:top w:val="nil"/>
              <w:left w:val="nil"/>
              <w:bottom w:val="nil"/>
              <w:right w:val="nil"/>
            </w:tcBorders>
          </w:tcPr>
          <w:p w14:paraId="02C43F5B" w14:textId="7B7D9174" w:rsidR="000265ED" w:rsidRPr="00345388" w:rsidRDefault="006A178E"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59</w:t>
            </w:r>
          </w:p>
        </w:tc>
        <w:tc>
          <w:tcPr>
            <w:tcW w:w="1233" w:type="dxa"/>
            <w:vMerge/>
            <w:tcBorders>
              <w:top w:val="nil"/>
              <w:left w:val="nil"/>
              <w:bottom w:val="nil"/>
              <w:right w:val="nil"/>
            </w:tcBorders>
            <w:shd w:val="clear" w:color="auto" w:fill="auto"/>
          </w:tcPr>
          <w:p w14:paraId="3DBF42E7"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r>
      <w:tr w:rsidR="000265ED" w:rsidRPr="00345388" w14:paraId="6DA565CE" w14:textId="77777777" w:rsidTr="00364885">
        <w:trPr>
          <w:trHeight w:val="370"/>
        </w:trPr>
        <w:tc>
          <w:tcPr>
            <w:tcW w:w="3135" w:type="dxa"/>
            <w:tcBorders>
              <w:top w:val="nil"/>
              <w:left w:val="nil"/>
              <w:bottom w:val="nil"/>
              <w:right w:val="nil"/>
            </w:tcBorders>
          </w:tcPr>
          <w:p w14:paraId="710BA9C6" w14:textId="77777777" w:rsidR="000265ED" w:rsidRPr="00345388" w:rsidRDefault="000265ED" w:rsidP="000265ED">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Body weight, kg</w:t>
            </w:r>
          </w:p>
        </w:tc>
        <w:tc>
          <w:tcPr>
            <w:tcW w:w="1814" w:type="dxa"/>
            <w:tcBorders>
              <w:top w:val="nil"/>
              <w:left w:val="nil"/>
              <w:bottom w:val="nil"/>
              <w:right w:val="nil"/>
            </w:tcBorders>
          </w:tcPr>
          <w:p w14:paraId="677D04FE" w14:textId="3CF2C30C" w:rsidR="000265ED" w:rsidRPr="00345388" w:rsidRDefault="003811B1"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52.8</w:t>
            </w:r>
            <w:r w:rsidR="000265ED" w:rsidRPr="00345388">
              <w:rPr>
                <w:rFonts w:ascii="Times New Roman" w:eastAsia="Malgun Gothic" w:hAnsi="Times New Roman" w:cs="Times New Roman"/>
                <w:color w:val="000000" w:themeColor="text1"/>
                <w:sz w:val="24"/>
                <w:szCs w:val="24"/>
              </w:rPr>
              <w:t>±5.</w:t>
            </w:r>
            <w:r w:rsidRPr="00345388">
              <w:rPr>
                <w:rFonts w:ascii="Times New Roman" w:eastAsia="Malgun Gothic" w:hAnsi="Times New Roman" w:cs="Times New Roman"/>
                <w:color w:val="000000" w:themeColor="text1"/>
                <w:sz w:val="24"/>
                <w:szCs w:val="24"/>
              </w:rPr>
              <w:t>7</w:t>
            </w:r>
          </w:p>
        </w:tc>
        <w:tc>
          <w:tcPr>
            <w:tcW w:w="1814" w:type="dxa"/>
            <w:tcBorders>
              <w:top w:val="nil"/>
              <w:left w:val="nil"/>
              <w:bottom w:val="nil"/>
              <w:right w:val="nil"/>
            </w:tcBorders>
          </w:tcPr>
          <w:p w14:paraId="42356C0D" w14:textId="68821EE5"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53.</w:t>
            </w:r>
            <w:r w:rsidR="003811B1" w:rsidRPr="00345388">
              <w:rPr>
                <w:rFonts w:ascii="Times New Roman" w:hAnsi="Times New Roman" w:cs="Times New Roman"/>
                <w:color w:val="000000" w:themeColor="text1"/>
                <w:sz w:val="24"/>
                <w:szCs w:val="24"/>
              </w:rPr>
              <w:t>9</w:t>
            </w:r>
            <w:r w:rsidRPr="00345388">
              <w:rPr>
                <w:rFonts w:ascii="Times New Roman" w:eastAsia="Malgun Gothic" w:hAnsi="Times New Roman" w:cs="Times New Roman"/>
                <w:color w:val="000000" w:themeColor="text1"/>
                <w:sz w:val="24"/>
                <w:szCs w:val="24"/>
              </w:rPr>
              <w:t>±5.</w:t>
            </w:r>
            <w:r w:rsidR="003811B1" w:rsidRPr="00345388">
              <w:rPr>
                <w:rFonts w:ascii="Times New Roman" w:eastAsia="Malgun Gothic" w:hAnsi="Times New Roman" w:cs="Times New Roman"/>
                <w:color w:val="000000" w:themeColor="text1"/>
                <w:sz w:val="24"/>
                <w:szCs w:val="24"/>
              </w:rPr>
              <w:t>2</w:t>
            </w:r>
          </w:p>
        </w:tc>
        <w:tc>
          <w:tcPr>
            <w:tcW w:w="1485" w:type="dxa"/>
            <w:tcBorders>
              <w:top w:val="nil"/>
              <w:left w:val="nil"/>
              <w:bottom w:val="nil"/>
              <w:right w:val="nil"/>
            </w:tcBorders>
            <w:shd w:val="clear" w:color="auto" w:fill="auto"/>
          </w:tcPr>
          <w:p w14:paraId="167EF828" w14:textId="1809D368" w:rsidR="000265ED" w:rsidRPr="00345388" w:rsidRDefault="006C4E56"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0.202</w:t>
            </w:r>
          </w:p>
        </w:tc>
        <w:tc>
          <w:tcPr>
            <w:tcW w:w="236" w:type="dxa"/>
            <w:tcBorders>
              <w:top w:val="nil"/>
              <w:left w:val="nil"/>
              <w:bottom w:val="nil"/>
              <w:right w:val="nil"/>
            </w:tcBorders>
          </w:tcPr>
          <w:p w14:paraId="2002CA4F"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1743" w:type="dxa"/>
            <w:tcBorders>
              <w:top w:val="nil"/>
              <w:left w:val="nil"/>
              <w:bottom w:val="nil"/>
              <w:right w:val="nil"/>
            </w:tcBorders>
          </w:tcPr>
          <w:p w14:paraId="2617FFE2"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53.2</w:t>
            </w:r>
            <w:r w:rsidRPr="00345388">
              <w:rPr>
                <w:rFonts w:ascii="Times New Roman" w:eastAsia="Malgun Gothic" w:hAnsi="Times New Roman" w:cs="Times New Roman"/>
                <w:color w:val="000000" w:themeColor="text1"/>
                <w:sz w:val="24"/>
                <w:szCs w:val="24"/>
              </w:rPr>
              <w:t>±5.5</w:t>
            </w:r>
          </w:p>
        </w:tc>
        <w:tc>
          <w:tcPr>
            <w:tcW w:w="1979" w:type="dxa"/>
            <w:tcBorders>
              <w:top w:val="nil"/>
              <w:left w:val="nil"/>
              <w:bottom w:val="nil"/>
              <w:right w:val="nil"/>
            </w:tcBorders>
          </w:tcPr>
          <w:p w14:paraId="01C04A03"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53.2</w:t>
            </w:r>
            <w:r w:rsidRPr="00345388">
              <w:rPr>
                <w:rFonts w:ascii="Times New Roman" w:eastAsia="Malgun Gothic" w:hAnsi="Times New Roman" w:cs="Times New Roman"/>
                <w:color w:val="000000" w:themeColor="text1"/>
                <w:sz w:val="24"/>
                <w:szCs w:val="24"/>
              </w:rPr>
              <w:t>±5.6</w:t>
            </w:r>
          </w:p>
        </w:tc>
        <w:tc>
          <w:tcPr>
            <w:tcW w:w="1233" w:type="dxa"/>
            <w:tcBorders>
              <w:top w:val="nil"/>
              <w:left w:val="nil"/>
              <w:bottom w:val="nil"/>
              <w:right w:val="nil"/>
            </w:tcBorders>
            <w:shd w:val="clear" w:color="auto" w:fill="auto"/>
          </w:tcPr>
          <w:p w14:paraId="48E3FE73" w14:textId="3FE94C66"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0.00</w:t>
            </w:r>
            <w:r w:rsidR="006C4E56" w:rsidRPr="00345388">
              <w:rPr>
                <w:rFonts w:ascii="Times New Roman" w:hAnsi="Times New Roman" w:cs="Times New Roman"/>
                <w:color w:val="000000" w:themeColor="text1"/>
                <w:sz w:val="24"/>
                <w:szCs w:val="24"/>
              </w:rPr>
              <w:t>6</w:t>
            </w:r>
          </w:p>
        </w:tc>
      </w:tr>
      <w:tr w:rsidR="000265ED" w:rsidRPr="00345388" w14:paraId="44DF625D" w14:textId="77777777" w:rsidTr="00127CFA">
        <w:trPr>
          <w:trHeight w:val="370"/>
        </w:trPr>
        <w:tc>
          <w:tcPr>
            <w:tcW w:w="3135" w:type="dxa"/>
            <w:tcBorders>
              <w:top w:val="nil"/>
              <w:left w:val="nil"/>
              <w:bottom w:val="nil"/>
              <w:right w:val="nil"/>
            </w:tcBorders>
          </w:tcPr>
          <w:p w14:paraId="7D3F937B" w14:textId="77777777" w:rsidR="000265ED" w:rsidRPr="00345388" w:rsidRDefault="000265ED" w:rsidP="000265ED">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 xml:space="preserve"> 50-60 kg</w:t>
            </w:r>
          </w:p>
        </w:tc>
        <w:tc>
          <w:tcPr>
            <w:tcW w:w="1814" w:type="dxa"/>
            <w:tcBorders>
              <w:top w:val="nil"/>
              <w:left w:val="nil"/>
              <w:bottom w:val="nil"/>
              <w:right w:val="nil"/>
            </w:tcBorders>
          </w:tcPr>
          <w:p w14:paraId="0B09DB6F" w14:textId="4CE2E6B2" w:rsidR="000265ED" w:rsidRPr="00345388" w:rsidRDefault="003811B1"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69</w:t>
            </w:r>
          </w:p>
        </w:tc>
        <w:tc>
          <w:tcPr>
            <w:tcW w:w="1814" w:type="dxa"/>
            <w:tcBorders>
              <w:top w:val="nil"/>
              <w:left w:val="nil"/>
              <w:bottom w:val="nil"/>
              <w:right w:val="nil"/>
            </w:tcBorders>
          </w:tcPr>
          <w:p w14:paraId="1433EDA5" w14:textId="7D7423C4"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7</w:t>
            </w:r>
            <w:r w:rsidR="003811B1" w:rsidRPr="00345388">
              <w:rPr>
                <w:rFonts w:ascii="Times New Roman" w:hAnsi="Times New Roman" w:cs="Times New Roman"/>
                <w:color w:val="000000" w:themeColor="text1"/>
                <w:sz w:val="24"/>
                <w:szCs w:val="24"/>
              </w:rPr>
              <w:t>7</w:t>
            </w:r>
          </w:p>
        </w:tc>
        <w:tc>
          <w:tcPr>
            <w:tcW w:w="1485" w:type="dxa"/>
            <w:tcBorders>
              <w:top w:val="nil"/>
              <w:left w:val="nil"/>
              <w:bottom w:val="nil"/>
              <w:right w:val="nil"/>
            </w:tcBorders>
            <w:shd w:val="clear" w:color="auto" w:fill="auto"/>
          </w:tcPr>
          <w:p w14:paraId="27308EE3"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236" w:type="dxa"/>
            <w:tcBorders>
              <w:top w:val="nil"/>
              <w:left w:val="nil"/>
              <w:bottom w:val="nil"/>
              <w:right w:val="nil"/>
            </w:tcBorders>
          </w:tcPr>
          <w:p w14:paraId="0CE659EF"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1743" w:type="dxa"/>
            <w:tcBorders>
              <w:top w:val="nil"/>
              <w:left w:val="nil"/>
              <w:bottom w:val="nil"/>
              <w:right w:val="nil"/>
            </w:tcBorders>
            <w:shd w:val="clear" w:color="auto" w:fill="auto"/>
          </w:tcPr>
          <w:p w14:paraId="7C14D387" w14:textId="3A19E8DD" w:rsidR="000265ED" w:rsidRPr="00345388" w:rsidRDefault="00127CFA"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73</w:t>
            </w:r>
          </w:p>
        </w:tc>
        <w:tc>
          <w:tcPr>
            <w:tcW w:w="1979" w:type="dxa"/>
            <w:tcBorders>
              <w:top w:val="nil"/>
              <w:left w:val="nil"/>
              <w:bottom w:val="nil"/>
              <w:right w:val="nil"/>
            </w:tcBorders>
            <w:shd w:val="clear" w:color="auto" w:fill="auto"/>
          </w:tcPr>
          <w:p w14:paraId="4603DA9A" w14:textId="24AC97DE" w:rsidR="000265ED" w:rsidRPr="00345388" w:rsidRDefault="00127CFA"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73</w:t>
            </w:r>
          </w:p>
        </w:tc>
        <w:tc>
          <w:tcPr>
            <w:tcW w:w="1233" w:type="dxa"/>
            <w:tcBorders>
              <w:top w:val="nil"/>
              <w:left w:val="nil"/>
              <w:bottom w:val="nil"/>
              <w:right w:val="nil"/>
            </w:tcBorders>
            <w:shd w:val="clear" w:color="auto" w:fill="auto"/>
          </w:tcPr>
          <w:p w14:paraId="1CE629D4"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r>
      <w:tr w:rsidR="000265ED" w:rsidRPr="00345388" w14:paraId="3A6AB61A" w14:textId="77777777" w:rsidTr="00127CFA">
        <w:trPr>
          <w:trHeight w:val="370"/>
        </w:trPr>
        <w:tc>
          <w:tcPr>
            <w:tcW w:w="3135" w:type="dxa"/>
            <w:tcBorders>
              <w:top w:val="nil"/>
              <w:left w:val="nil"/>
              <w:bottom w:val="nil"/>
              <w:right w:val="nil"/>
            </w:tcBorders>
          </w:tcPr>
          <w:p w14:paraId="48CD540A" w14:textId="77777777" w:rsidR="000265ED" w:rsidRPr="00345388" w:rsidRDefault="000265ED" w:rsidP="000265ED">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 xml:space="preserve"> &lt;50 kg</w:t>
            </w:r>
          </w:p>
        </w:tc>
        <w:tc>
          <w:tcPr>
            <w:tcW w:w="1814" w:type="dxa"/>
            <w:tcBorders>
              <w:top w:val="nil"/>
              <w:left w:val="nil"/>
              <w:bottom w:val="nil"/>
              <w:right w:val="nil"/>
            </w:tcBorders>
          </w:tcPr>
          <w:p w14:paraId="081DDDB3" w14:textId="24AE950D" w:rsidR="000265ED" w:rsidRPr="00345388" w:rsidRDefault="003811B1"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31</w:t>
            </w:r>
          </w:p>
        </w:tc>
        <w:tc>
          <w:tcPr>
            <w:tcW w:w="1814" w:type="dxa"/>
            <w:tcBorders>
              <w:top w:val="nil"/>
              <w:left w:val="nil"/>
              <w:bottom w:val="nil"/>
              <w:right w:val="nil"/>
            </w:tcBorders>
          </w:tcPr>
          <w:p w14:paraId="7CCEDC3D" w14:textId="1E6AC7EA"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w:t>
            </w:r>
            <w:r w:rsidR="003811B1" w:rsidRPr="00345388">
              <w:rPr>
                <w:rFonts w:ascii="Times New Roman" w:hAnsi="Times New Roman" w:cs="Times New Roman"/>
                <w:color w:val="000000" w:themeColor="text1"/>
                <w:sz w:val="24"/>
                <w:szCs w:val="24"/>
              </w:rPr>
              <w:t>2</w:t>
            </w:r>
          </w:p>
        </w:tc>
        <w:tc>
          <w:tcPr>
            <w:tcW w:w="1485" w:type="dxa"/>
            <w:tcBorders>
              <w:top w:val="nil"/>
              <w:left w:val="nil"/>
              <w:bottom w:val="nil"/>
              <w:right w:val="nil"/>
            </w:tcBorders>
            <w:shd w:val="clear" w:color="auto" w:fill="auto"/>
          </w:tcPr>
          <w:p w14:paraId="26E4038D"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236" w:type="dxa"/>
            <w:tcBorders>
              <w:top w:val="nil"/>
              <w:left w:val="nil"/>
              <w:bottom w:val="nil"/>
              <w:right w:val="nil"/>
            </w:tcBorders>
          </w:tcPr>
          <w:p w14:paraId="14690793"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1743" w:type="dxa"/>
            <w:tcBorders>
              <w:top w:val="nil"/>
              <w:left w:val="nil"/>
              <w:bottom w:val="nil"/>
              <w:right w:val="nil"/>
            </w:tcBorders>
            <w:shd w:val="clear" w:color="auto" w:fill="auto"/>
          </w:tcPr>
          <w:p w14:paraId="1C545398" w14:textId="304FA4BE" w:rsidR="000265ED" w:rsidRPr="00345388" w:rsidRDefault="00127CFA"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27</w:t>
            </w:r>
          </w:p>
        </w:tc>
        <w:tc>
          <w:tcPr>
            <w:tcW w:w="1979" w:type="dxa"/>
            <w:tcBorders>
              <w:top w:val="nil"/>
              <w:left w:val="nil"/>
              <w:bottom w:val="nil"/>
              <w:right w:val="nil"/>
            </w:tcBorders>
            <w:shd w:val="clear" w:color="auto" w:fill="auto"/>
          </w:tcPr>
          <w:p w14:paraId="6A17A2BE" w14:textId="30B0CCB4" w:rsidR="000265ED" w:rsidRPr="00345388" w:rsidRDefault="00127CFA"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27</w:t>
            </w:r>
          </w:p>
        </w:tc>
        <w:tc>
          <w:tcPr>
            <w:tcW w:w="1233" w:type="dxa"/>
            <w:tcBorders>
              <w:top w:val="nil"/>
              <w:left w:val="nil"/>
              <w:bottom w:val="nil"/>
              <w:right w:val="nil"/>
            </w:tcBorders>
            <w:shd w:val="clear" w:color="auto" w:fill="auto"/>
          </w:tcPr>
          <w:p w14:paraId="27CB3987"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r>
      <w:tr w:rsidR="000265ED" w:rsidRPr="00345388" w14:paraId="104D11E4" w14:textId="77777777" w:rsidTr="00364885">
        <w:trPr>
          <w:trHeight w:val="370"/>
        </w:trPr>
        <w:tc>
          <w:tcPr>
            <w:tcW w:w="3135" w:type="dxa"/>
            <w:tcBorders>
              <w:top w:val="nil"/>
              <w:left w:val="nil"/>
              <w:bottom w:val="nil"/>
              <w:right w:val="nil"/>
            </w:tcBorders>
          </w:tcPr>
          <w:p w14:paraId="2AD8D6EB" w14:textId="77777777" w:rsidR="000265ED" w:rsidRPr="00345388" w:rsidRDefault="000265ED" w:rsidP="000265ED">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Body mass index, kg/m</w:t>
            </w:r>
            <w:r w:rsidRPr="00345388">
              <w:rPr>
                <w:rFonts w:ascii="Times New Roman" w:hAnsi="Times New Roman" w:cs="Times New Roman"/>
                <w:b/>
                <w:color w:val="000000" w:themeColor="text1"/>
                <w:sz w:val="24"/>
                <w:szCs w:val="24"/>
                <w:vertAlign w:val="superscript"/>
              </w:rPr>
              <w:t>2</w:t>
            </w:r>
          </w:p>
        </w:tc>
        <w:tc>
          <w:tcPr>
            <w:tcW w:w="1814" w:type="dxa"/>
            <w:tcBorders>
              <w:top w:val="nil"/>
              <w:left w:val="nil"/>
              <w:bottom w:val="nil"/>
              <w:right w:val="nil"/>
            </w:tcBorders>
          </w:tcPr>
          <w:p w14:paraId="5BB9B62F" w14:textId="093C4FF5"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22.3</w:t>
            </w:r>
            <w:r w:rsidRPr="00345388">
              <w:rPr>
                <w:rFonts w:ascii="Times New Roman" w:eastAsia="Malgun Gothic" w:hAnsi="Times New Roman" w:cs="Times New Roman"/>
                <w:color w:val="000000" w:themeColor="text1"/>
                <w:sz w:val="24"/>
                <w:szCs w:val="24"/>
              </w:rPr>
              <w:t>±2.</w:t>
            </w:r>
            <w:r w:rsidR="003811B1" w:rsidRPr="00345388">
              <w:rPr>
                <w:rFonts w:ascii="Times New Roman" w:eastAsia="Malgun Gothic" w:hAnsi="Times New Roman" w:cs="Times New Roman"/>
                <w:color w:val="000000" w:themeColor="text1"/>
                <w:sz w:val="24"/>
                <w:szCs w:val="24"/>
              </w:rPr>
              <w:t>6</w:t>
            </w:r>
          </w:p>
        </w:tc>
        <w:tc>
          <w:tcPr>
            <w:tcW w:w="1814" w:type="dxa"/>
            <w:tcBorders>
              <w:top w:val="nil"/>
              <w:left w:val="nil"/>
              <w:bottom w:val="nil"/>
              <w:right w:val="nil"/>
            </w:tcBorders>
          </w:tcPr>
          <w:p w14:paraId="7E8F077B" w14:textId="4B9E4841"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22.</w:t>
            </w:r>
            <w:r w:rsidR="003811B1" w:rsidRPr="00345388">
              <w:rPr>
                <w:rFonts w:ascii="Times New Roman" w:hAnsi="Times New Roman" w:cs="Times New Roman"/>
                <w:color w:val="000000" w:themeColor="text1"/>
                <w:sz w:val="24"/>
                <w:szCs w:val="24"/>
              </w:rPr>
              <w:t>4</w:t>
            </w:r>
            <w:r w:rsidRPr="00345388">
              <w:rPr>
                <w:rFonts w:ascii="Times New Roman" w:eastAsia="Malgun Gothic" w:hAnsi="Times New Roman" w:cs="Times New Roman"/>
                <w:color w:val="000000" w:themeColor="text1"/>
                <w:sz w:val="24"/>
                <w:szCs w:val="24"/>
              </w:rPr>
              <w:t>±2.</w:t>
            </w:r>
            <w:r w:rsidR="003811B1" w:rsidRPr="00345388">
              <w:rPr>
                <w:rFonts w:ascii="Times New Roman" w:eastAsia="Malgun Gothic" w:hAnsi="Times New Roman" w:cs="Times New Roman"/>
                <w:color w:val="000000" w:themeColor="text1"/>
                <w:sz w:val="24"/>
                <w:szCs w:val="24"/>
              </w:rPr>
              <w:t>4</w:t>
            </w:r>
          </w:p>
        </w:tc>
        <w:tc>
          <w:tcPr>
            <w:tcW w:w="1485" w:type="dxa"/>
            <w:tcBorders>
              <w:top w:val="nil"/>
              <w:left w:val="nil"/>
              <w:bottom w:val="nil"/>
              <w:right w:val="nil"/>
            </w:tcBorders>
            <w:shd w:val="clear" w:color="auto" w:fill="auto"/>
          </w:tcPr>
          <w:p w14:paraId="501EF4CA" w14:textId="5C865EFA" w:rsidR="000265ED" w:rsidRPr="00345388" w:rsidRDefault="006C4E56"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0.049</w:t>
            </w:r>
          </w:p>
        </w:tc>
        <w:tc>
          <w:tcPr>
            <w:tcW w:w="236" w:type="dxa"/>
            <w:tcBorders>
              <w:top w:val="nil"/>
              <w:left w:val="nil"/>
              <w:bottom w:val="nil"/>
              <w:right w:val="nil"/>
            </w:tcBorders>
          </w:tcPr>
          <w:p w14:paraId="4EA1D401"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1743" w:type="dxa"/>
            <w:tcBorders>
              <w:top w:val="nil"/>
              <w:left w:val="nil"/>
              <w:bottom w:val="nil"/>
              <w:right w:val="nil"/>
            </w:tcBorders>
          </w:tcPr>
          <w:p w14:paraId="314F1669"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22.3</w:t>
            </w:r>
            <w:r w:rsidRPr="00345388">
              <w:rPr>
                <w:rFonts w:ascii="Times New Roman" w:eastAsia="Malgun Gothic" w:hAnsi="Times New Roman" w:cs="Times New Roman"/>
                <w:color w:val="000000" w:themeColor="text1"/>
                <w:sz w:val="24"/>
                <w:szCs w:val="24"/>
              </w:rPr>
              <w:t>±2.5</w:t>
            </w:r>
          </w:p>
        </w:tc>
        <w:tc>
          <w:tcPr>
            <w:tcW w:w="1979" w:type="dxa"/>
            <w:tcBorders>
              <w:top w:val="nil"/>
              <w:left w:val="nil"/>
              <w:bottom w:val="nil"/>
              <w:right w:val="nil"/>
            </w:tcBorders>
          </w:tcPr>
          <w:p w14:paraId="421B9123"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22.3</w:t>
            </w:r>
            <w:r w:rsidRPr="00345388">
              <w:rPr>
                <w:rFonts w:ascii="Times New Roman" w:eastAsia="Malgun Gothic" w:hAnsi="Times New Roman" w:cs="Times New Roman"/>
                <w:color w:val="000000" w:themeColor="text1"/>
                <w:sz w:val="24"/>
                <w:szCs w:val="24"/>
              </w:rPr>
              <w:t>±2.5</w:t>
            </w:r>
          </w:p>
        </w:tc>
        <w:tc>
          <w:tcPr>
            <w:tcW w:w="1233" w:type="dxa"/>
            <w:tcBorders>
              <w:top w:val="nil"/>
              <w:left w:val="nil"/>
              <w:bottom w:val="nil"/>
              <w:right w:val="nil"/>
            </w:tcBorders>
            <w:shd w:val="clear" w:color="auto" w:fill="auto"/>
          </w:tcPr>
          <w:p w14:paraId="369BC122" w14:textId="40910ACE"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0.00</w:t>
            </w:r>
            <w:r w:rsidR="006C4E56" w:rsidRPr="00345388">
              <w:rPr>
                <w:rFonts w:ascii="Times New Roman" w:hAnsi="Times New Roman" w:cs="Times New Roman"/>
                <w:color w:val="000000" w:themeColor="text1"/>
                <w:sz w:val="24"/>
                <w:szCs w:val="24"/>
              </w:rPr>
              <w:t>2</w:t>
            </w:r>
          </w:p>
        </w:tc>
      </w:tr>
      <w:tr w:rsidR="000265ED" w:rsidRPr="00345388" w14:paraId="512F131D" w14:textId="77777777" w:rsidTr="00364885">
        <w:trPr>
          <w:trHeight w:val="370"/>
        </w:trPr>
        <w:tc>
          <w:tcPr>
            <w:tcW w:w="3135" w:type="dxa"/>
            <w:tcBorders>
              <w:top w:val="nil"/>
              <w:left w:val="nil"/>
              <w:bottom w:val="nil"/>
              <w:right w:val="nil"/>
            </w:tcBorders>
          </w:tcPr>
          <w:p w14:paraId="77B417D0" w14:textId="77777777" w:rsidR="000265ED" w:rsidRPr="00345388" w:rsidRDefault="000265ED" w:rsidP="000265ED">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CrCl, mL/min</w:t>
            </w:r>
          </w:p>
        </w:tc>
        <w:tc>
          <w:tcPr>
            <w:tcW w:w="1814" w:type="dxa"/>
            <w:tcBorders>
              <w:top w:val="nil"/>
              <w:left w:val="nil"/>
              <w:bottom w:val="nil"/>
              <w:right w:val="nil"/>
            </w:tcBorders>
          </w:tcPr>
          <w:p w14:paraId="53028B69" w14:textId="2ECAE107"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7</w:t>
            </w:r>
            <w:r w:rsidR="003811B1" w:rsidRPr="00345388">
              <w:rPr>
                <w:rFonts w:ascii="Times New Roman" w:hAnsi="Times New Roman" w:cs="Times New Roman"/>
                <w:color w:val="000000" w:themeColor="text1"/>
                <w:sz w:val="24"/>
                <w:szCs w:val="24"/>
              </w:rPr>
              <w:t>8.3</w:t>
            </w:r>
            <w:r w:rsidRPr="00345388">
              <w:rPr>
                <w:rFonts w:ascii="Times New Roman" w:eastAsia="Malgun Gothic" w:hAnsi="Times New Roman" w:cs="Times New Roman"/>
                <w:color w:val="000000" w:themeColor="text1"/>
                <w:sz w:val="24"/>
                <w:szCs w:val="24"/>
              </w:rPr>
              <w:t>±3</w:t>
            </w:r>
            <w:r w:rsidR="003811B1" w:rsidRPr="00345388">
              <w:rPr>
                <w:rFonts w:ascii="Times New Roman" w:eastAsia="Malgun Gothic" w:hAnsi="Times New Roman" w:cs="Times New Roman"/>
                <w:color w:val="000000" w:themeColor="text1"/>
                <w:sz w:val="24"/>
                <w:szCs w:val="24"/>
              </w:rPr>
              <w:t>8.6</w:t>
            </w:r>
          </w:p>
        </w:tc>
        <w:tc>
          <w:tcPr>
            <w:tcW w:w="1814" w:type="dxa"/>
            <w:tcBorders>
              <w:top w:val="nil"/>
              <w:left w:val="nil"/>
              <w:bottom w:val="nil"/>
              <w:right w:val="nil"/>
            </w:tcBorders>
          </w:tcPr>
          <w:p w14:paraId="23AB16EF" w14:textId="58EE3A94"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8</w:t>
            </w:r>
            <w:r w:rsidR="003811B1" w:rsidRPr="00345388">
              <w:rPr>
                <w:rFonts w:ascii="Times New Roman" w:hAnsi="Times New Roman" w:cs="Times New Roman"/>
                <w:color w:val="000000" w:themeColor="text1"/>
                <w:sz w:val="24"/>
                <w:szCs w:val="24"/>
              </w:rPr>
              <w:t>1.9</w:t>
            </w:r>
            <w:r w:rsidRPr="00345388">
              <w:rPr>
                <w:rFonts w:ascii="Times New Roman" w:eastAsia="Malgun Gothic" w:hAnsi="Times New Roman" w:cs="Times New Roman"/>
                <w:color w:val="000000" w:themeColor="text1"/>
                <w:sz w:val="24"/>
                <w:szCs w:val="24"/>
              </w:rPr>
              <w:t>±</w:t>
            </w:r>
            <w:r w:rsidR="003811B1" w:rsidRPr="00345388">
              <w:rPr>
                <w:rFonts w:ascii="Times New Roman" w:eastAsia="Malgun Gothic" w:hAnsi="Times New Roman" w:cs="Times New Roman"/>
                <w:color w:val="000000" w:themeColor="text1"/>
                <w:sz w:val="24"/>
                <w:szCs w:val="24"/>
              </w:rPr>
              <w:t>28.6</w:t>
            </w:r>
          </w:p>
        </w:tc>
        <w:tc>
          <w:tcPr>
            <w:tcW w:w="1485" w:type="dxa"/>
            <w:tcBorders>
              <w:top w:val="nil"/>
              <w:left w:val="nil"/>
              <w:bottom w:val="nil"/>
              <w:right w:val="nil"/>
            </w:tcBorders>
            <w:shd w:val="clear" w:color="auto" w:fill="auto"/>
          </w:tcPr>
          <w:p w14:paraId="759B95DA" w14:textId="56FE40CB" w:rsidR="000265ED" w:rsidRPr="00345388" w:rsidRDefault="006C4E56" w:rsidP="006C4E56">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0.103</w:t>
            </w:r>
          </w:p>
        </w:tc>
        <w:tc>
          <w:tcPr>
            <w:tcW w:w="236" w:type="dxa"/>
            <w:tcBorders>
              <w:top w:val="nil"/>
              <w:left w:val="nil"/>
              <w:bottom w:val="nil"/>
              <w:right w:val="nil"/>
            </w:tcBorders>
          </w:tcPr>
          <w:p w14:paraId="6CD0D3E3"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1743" w:type="dxa"/>
            <w:tcBorders>
              <w:top w:val="nil"/>
              <w:left w:val="nil"/>
              <w:bottom w:val="nil"/>
              <w:right w:val="nil"/>
            </w:tcBorders>
          </w:tcPr>
          <w:p w14:paraId="225DA9DF"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78.9</w:t>
            </w:r>
            <w:r w:rsidRPr="00345388">
              <w:rPr>
                <w:rFonts w:ascii="Times New Roman" w:eastAsia="Malgun Gothic" w:hAnsi="Times New Roman" w:cs="Times New Roman"/>
                <w:color w:val="000000" w:themeColor="text1"/>
                <w:sz w:val="24"/>
                <w:szCs w:val="24"/>
              </w:rPr>
              <w:t>±22.7</w:t>
            </w:r>
          </w:p>
        </w:tc>
        <w:tc>
          <w:tcPr>
            <w:tcW w:w="1979" w:type="dxa"/>
            <w:tcBorders>
              <w:top w:val="nil"/>
              <w:left w:val="nil"/>
              <w:bottom w:val="nil"/>
              <w:right w:val="nil"/>
            </w:tcBorders>
          </w:tcPr>
          <w:p w14:paraId="7E4A93F8"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78.6</w:t>
            </w:r>
            <w:r w:rsidRPr="00345388">
              <w:rPr>
                <w:rFonts w:ascii="Times New Roman" w:eastAsia="Malgun Gothic" w:hAnsi="Times New Roman" w:cs="Times New Roman"/>
                <w:color w:val="000000" w:themeColor="text1"/>
                <w:sz w:val="24"/>
                <w:szCs w:val="24"/>
              </w:rPr>
              <w:t>±20.4</w:t>
            </w:r>
          </w:p>
        </w:tc>
        <w:tc>
          <w:tcPr>
            <w:tcW w:w="1233" w:type="dxa"/>
            <w:tcBorders>
              <w:top w:val="nil"/>
              <w:left w:val="nil"/>
              <w:bottom w:val="nil"/>
              <w:right w:val="nil"/>
            </w:tcBorders>
            <w:shd w:val="clear" w:color="auto" w:fill="auto"/>
          </w:tcPr>
          <w:p w14:paraId="0E1B87A2" w14:textId="54DF2CC4"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w:t>
            </w:r>
            <w:r w:rsidR="006A178E" w:rsidRPr="00345388">
              <w:rPr>
                <w:rFonts w:ascii="Times New Roman" w:hAnsi="Times New Roman" w:cs="Times New Roman"/>
                <w:color w:val="000000" w:themeColor="text1"/>
                <w:sz w:val="24"/>
                <w:szCs w:val="24"/>
              </w:rPr>
              <w:t>26</w:t>
            </w:r>
          </w:p>
        </w:tc>
      </w:tr>
      <w:tr w:rsidR="000265ED" w:rsidRPr="00345388" w14:paraId="70D4C62A" w14:textId="77777777" w:rsidTr="00364885">
        <w:trPr>
          <w:trHeight w:val="370"/>
        </w:trPr>
        <w:tc>
          <w:tcPr>
            <w:tcW w:w="3135" w:type="dxa"/>
            <w:tcBorders>
              <w:top w:val="nil"/>
              <w:left w:val="nil"/>
              <w:bottom w:val="nil"/>
              <w:right w:val="nil"/>
            </w:tcBorders>
          </w:tcPr>
          <w:p w14:paraId="15FD2165" w14:textId="77777777" w:rsidR="000265ED" w:rsidRPr="00345388" w:rsidRDefault="000265ED" w:rsidP="000265ED">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Hypertension</w:t>
            </w:r>
          </w:p>
        </w:tc>
        <w:tc>
          <w:tcPr>
            <w:tcW w:w="1814" w:type="dxa"/>
            <w:tcBorders>
              <w:top w:val="nil"/>
              <w:left w:val="nil"/>
              <w:bottom w:val="nil"/>
              <w:right w:val="nil"/>
            </w:tcBorders>
          </w:tcPr>
          <w:p w14:paraId="2AF6DBB6" w14:textId="1CEBF0C4" w:rsidR="000265ED" w:rsidRPr="00345388" w:rsidRDefault="003811B1"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68</w:t>
            </w:r>
          </w:p>
        </w:tc>
        <w:tc>
          <w:tcPr>
            <w:tcW w:w="1814" w:type="dxa"/>
            <w:tcBorders>
              <w:top w:val="nil"/>
              <w:left w:val="nil"/>
              <w:bottom w:val="nil"/>
              <w:right w:val="nil"/>
            </w:tcBorders>
          </w:tcPr>
          <w:p w14:paraId="5B579B8C" w14:textId="6E3C894B" w:rsidR="000265ED" w:rsidRPr="00345388" w:rsidRDefault="003811B1"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65</w:t>
            </w:r>
          </w:p>
        </w:tc>
        <w:tc>
          <w:tcPr>
            <w:tcW w:w="1485" w:type="dxa"/>
            <w:tcBorders>
              <w:top w:val="nil"/>
              <w:left w:val="nil"/>
              <w:bottom w:val="nil"/>
              <w:right w:val="nil"/>
            </w:tcBorders>
            <w:shd w:val="clear" w:color="auto" w:fill="auto"/>
          </w:tcPr>
          <w:p w14:paraId="4AF7402C" w14:textId="1430533A" w:rsidR="000265ED" w:rsidRPr="00345388" w:rsidRDefault="006C4E56"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0.056</w:t>
            </w:r>
          </w:p>
        </w:tc>
        <w:tc>
          <w:tcPr>
            <w:tcW w:w="236" w:type="dxa"/>
            <w:tcBorders>
              <w:top w:val="nil"/>
              <w:left w:val="nil"/>
              <w:bottom w:val="nil"/>
              <w:right w:val="nil"/>
            </w:tcBorders>
          </w:tcPr>
          <w:p w14:paraId="0A65AA8F"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1743" w:type="dxa"/>
            <w:tcBorders>
              <w:top w:val="nil"/>
              <w:left w:val="nil"/>
              <w:bottom w:val="nil"/>
              <w:right w:val="nil"/>
            </w:tcBorders>
          </w:tcPr>
          <w:p w14:paraId="794CE9DE" w14:textId="6975BF5B" w:rsidR="000265ED" w:rsidRPr="00345388" w:rsidRDefault="00CB2103"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68</w:t>
            </w:r>
          </w:p>
        </w:tc>
        <w:tc>
          <w:tcPr>
            <w:tcW w:w="1979" w:type="dxa"/>
            <w:tcBorders>
              <w:top w:val="nil"/>
              <w:left w:val="nil"/>
              <w:bottom w:val="nil"/>
              <w:right w:val="nil"/>
            </w:tcBorders>
          </w:tcPr>
          <w:p w14:paraId="16B4D326" w14:textId="20D43366" w:rsidR="000265ED" w:rsidRPr="00345388" w:rsidRDefault="00CB2103"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67</w:t>
            </w:r>
          </w:p>
        </w:tc>
        <w:tc>
          <w:tcPr>
            <w:tcW w:w="1233" w:type="dxa"/>
            <w:tcBorders>
              <w:top w:val="nil"/>
              <w:left w:val="nil"/>
              <w:bottom w:val="nil"/>
              <w:right w:val="nil"/>
            </w:tcBorders>
            <w:shd w:val="clear" w:color="auto" w:fill="auto"/>
          </w:tcPr>
          <w:p w14:paraId="3215290E" w14:textId="7C3F8E3F"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0.00</w:t>
            </w:r>
            <w:r w:rsidR="006A178E" w:rsidRPr="00345388">
              <w:rPr>
                <w:rFonts w:ascii="Times New Roman" w:hAnsi="Times New Roman" w:cs="Times New Roman"/>
                <w:color w:val="000000" w:themeColor="text1"/>
                <w:sz w:val="24"/>
                <w:szCs w:val="24"/>
              </w:rPr>
              <w:t>6</w:t>
            </w:r>
          </w:p>
        </w:tc>
      </w:tr>
      <w:tr w:rsidR="000265ED" w:rsidRPr="00345388" w14:paraId="3CC2DBA7" w14:textId="77777777" w:rsidTr="00364885">
        <w:trPr>
          <w:trHeight w:val="355"/>
        </w:trPr>
        <w:tc>
          <w:tcPr>
            <w:tcW w:w="3135" w:type="dxa"/>
            <w:tcBorders>
              <w:top w:val="nil"/>
              <w:left w:val="nil"/>
              <w:bottom w:val="nil"/>
              <w:right w:val="nil"/>
            </w:tcBorders>
          </w:tcPr>
          <w:p w14:paraId="2DC32F6C" w14:textId="77777777" w:rsidR="000265ED" w:rsidRPr="00345388" w:rsidRDefault="000265ED" w:rsidP="000265ED">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Diabetes mellitus</w:t>
            </w:r>
          </w:p>
        </w:tc>
        <w:tc>
          <w:tcPr>
            <w:tcW w:w="1814" w:type="dxa"/>
            <w:tcBorders>
              <w:top w:val="nil"/>
              <w:left w:val="nil"/>
              <w:bottom w:val="nil"/>
              <w:right w:val="nil"/>
            </w:tcBorders>
          </w:tcPr>
          <w:p w14:paraId="33FF06F2" w14:textId="21DC8C38" w:rsidR="000265ED" w:rsidRPr="00345388" w:rsidRDefault="006C4E56"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18</w:t>
            </w:r>
          </w:p>
        </w:tc>
        <w:tc>
          <w:tcPr>
            <w:tcW w:w="1814" w:type="dxa"/>
            <w:tcBorders>
              <w:top w:val="nil"/>
              <w:left w:val="nil"/>
              <w:bottom w:val="nil"/>
              <w:right w:val="nil"/>
            </w:tcBorders>
          </w:tcPr>
          <w:p w14:paraId="59BA3B0B" w14:textId="71554A7E" w:rsidR="000265ED" w:rsidRPr="00345388" w:rsidRDefault="006C4E56"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18</w:t>
            </w:r>
          </w:p>
        </w:tc>
        <w:tc>
          <w:tcPr>
            <w:tcW w:w="1485" w:type="dxa"/>
            <w:tcBorders>
              <w:top w:val="nil"/>
              <w:left w:val="nil"/>
              <w:bottom w:val="nil"/>
              <w:right w:val="nil"/>
            </w:tcBorders>
            <w:shd w:val="clear" w:color="auto" w:fill="auto"/>
          </w:tcPr>
          <w:p w14:paraId="5877F9A0" w14:textId="1610F182" w:rsidR="000265ED" w:rsidRPr="00345388" w:rsidRDefault="006C4E56"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0.004</w:t>
            </w:r>
          </w:p>
        </w:tc>
        <w:tc>
          <w:tcPr>
            <w:tcW w:w="236" w:type="dxa"/>
            <w:tcBorders>
              <w:top w:val="nil"/>
              <w:left w:val="nil"/>
              <w:bottom w:val="nil"/>
              <w:right w:val="nil"/>
            </w:tcBorders>
          </w:tcPr>
          <w:p w14:paraId="0DB046CB"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1743" w:type="dxa"/>
            <w:tcBorders>
              <w:top w:val="nil"/>
              <w:left w:val="nil"/>
              <w:bottom w:val="nil"/>
              <w:right w:val="nil"/>
            </w:tcBorders>
          </w:tcPr>
          <w:p w14:paraId="3E98A127" w14:textId="52C915D3" w:rsidR="000265ED" w:rsidRPr="00345388" w:rsidRDefault="00CB2103"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19</w:t>
            </w:r>
          </w:p>
        </w:tc>
        <w:tc>
          <w:tcPr>
            <w:tcW w:w="1979" w:type="dxa"/>
            <w:tcBorders>
              <w:top w:val="nil"/>
              <w:left w:val="nil"/>
              <w:bottom w:val="nil"/>
              <w:right w:val="nil"/>
            </w:tcBorders>
          </w:tcPr>
          <w:p w14:paraId="006B32FB" w14:textId="3362C97B" w:rsidR="000265ED" w:rsidRPr="00345388" w:rsidRDefault="00CB2103"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18</w:t>
            </w:r>
          </w:p>
        </w:tc>
        <w:tc>
          <w:tcPr>
            <w:tcW w:w="1233" w:type="dxa"/>
            <w:tcBorders>
              <w:top w:val="nil"/>
              <w:left w:val="nil"/>
              <w:bottom w:val="nil"/>
              <w:right w:val="nil"/>
            </w:tcBorders>
            <w:shd w:val="clear" w:color="auto" w:fill="auto"/>
          </w:tcPr>
          <w:p w14:paraId="2B8F8A8C" w14:textId="40A84764"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w:t>
            </w:r>
            <w:r w:rsidR="006A178E" w:rsidRPr="00345388">
              <w:rPr>
                <w:rFonts w:ascii="Times New Roman" w:hAnsi="Times New Roman" w:cs="Times New Roman"/>
                <w:color w:val="000000" w:themeColor="text1"/>
                <w:sz w:val="24"/>
                <w:szCs w:val="24"/>
              </w:rPr>
              <w:t>03</w:t>
            </w:r>
          </w:p>
        </w:tc>
      </w:tr>
      <w:tr w:rsidR="000265ED" w:rsidRPr="00345388" w14:paraId="07045AE3" w14:textId="77777777" w:rsidTr="00364885">
        <w:trPr>
          <w:trHeight w:val="355"/>
        </w:trPr>
        <w:tc>
          <w:tcPr>
            <w:tcW w:w="3135" w:type="dxa"/>
            <w:tcBorders>
              <w:top w:val="nil"/>
              <w:left w:val="nil"/>
              <w:bottom w:val="nil"/>
              <w:right w:val="nil"/>
            </w:tcBorders>
          </w:tcPr>
          <w:p w14:paraId="1A715CE4" w14:textId="77777777" w:rsidR="000265ED" w:rsidRPr="00345388" w:rsidRDefault="000265ED" w:rsidP="000265ED">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Dyslipidemia</w:t>
            </w:r>
          </w:p>
        </w:tc>
        <w:tc>
          <w:tcPr>
            <w:tcW w:w="1814" w:type="dxa"/>
            <w:tcBorders>
              <w:top w:val="nil"/>
              <w:left w:val="nil"/>
              <w:bottom w:val="nil"/>
              <w:right w:val="nil"/>
            </w:tcBorders>
          </w:tcPr>
          <w:p w14:paraId="0A055014" w14:textId="5892B8EA" w:rsidR="000265ED" w:rsidRPr="00345388" w:rsidRDefault="006C4E56"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38</w:t>
            </w:r>
          </w:p>
        </w:tc>
        <w:tc>
          <w:tcPr>
            <w:tcW w:w="1814" w:type="dxa"/>
            <w:tcBorders>
              <w:top w:val="nil"/>
              <w:left w:val="nil"/>
              <w:bottom w:val="nil"/>
              <w:right w:val="nil"/>
            </w:tcBorders>
          </w:tcPr>
          <w:p w14:paraId="08DDBA0E" w14:textId="3EA94181" w:rsidR="000265ED" w:rsidRPr="00345388" w:rsidRDefault="006C4E56"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39</w:t>
            </w:r>
          </w:p>
        </w:tc>
        <w:tc>
          <w:tcPr>
            <w:tcW w:w="1485" w:type="dxa"/>
            <w:tcBorders>
              <w:top w:val="nil"/>
              <w:left w:val="nil"/>
              <w:bottom w:val="nil"/>
              <w:right w:val="nil"/>
            </w:tcBorders>
            <w:shd w:val="clear" w:color="auto" w:fill="auto"/>
          </w:tcPr>
          <w:p w14:paraId="3D3753B3" w14:textId="7A4BBEBC" w:rsidR="000265ED" w:rsidRPr="00345388" w:rsidRDefault="006C4E56"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0.013</w:t>
            </w:r>
          </w:p>
        </w:tc>
        <w:tc>
          <w:tcPr>
            <w:tcW w:w="236" w:type="dxa"/>
            <w:tcBorders>
              <w:top w:val="nil"/>
              <w:left w:val="nil"/>
              <w:bottom w:val="nil"/>
              <w:right w:val="nil"/>
            </w:tcBorders>
          </w:tcPr>
          <w:p w14:paraId="0E92BEBD"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1743" w:type="dxa"/>
            <w:tcBorders>
              <w:top w:val="nil"/>
              <w:left w:val="nil"/>
              <w:bottom w:val="nil"/>
              <w:right w:val="nil"/>
            </w:tcBorders>
          </w:tcPr>
          <w:p w14:paraId="2EAC21CB" w14:textId="1B0D7207" w:rsidR="000265ED" w:rsidRPr="00345388" w:rsidRDefault="00CB2103"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39</w:t>
            </w:r>
          </w:p>
        </w:tc>
        <w:tc>
          <w:tcPr>
            <w:tcW w:w="1979" w:type="dxa"/>
            <w:tcBorders>
              <w:top w:val="nil"/>
              <w:left w:val="nil"/>
              <w:bottom w:val="nil"/>
              <w:right w:val="nil"/>
            </w:tcBorders>
          </w:tcPr>
          <w:p w14:paraId="1C992704" w14:textId="325052F9" w:rsidR="000265ED" w:rsidRPr="00345388" w:rsidRDefault="00CB2103"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39</w:t>
            </w:r>
          </w:p>
        </w:tc>
        <w:tc>
          <w:tcPr>
            <w:tcW w:w="1233" w:type="dxa"/>
            <w:tcBorders>
              <w:top w:val="nil"/>
              <w:left w:val="nil"/>
              <w:bottom w:val="nil"/>
              <w:right w:val="nil"/>
            </w:tcBorders>
            <w:shd w:val="clear" w:color="auto" w:fill="auto"/>
          </w:tcPr>
          <w:p w14:paraId="3A7A75C2" w14:textId="65537F22"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w:t>
            </w:r>
            <w:r w:rsidR="006A178E" w:rsidRPr="00345388">
              <w:rPr>
                <w:rFonts w:ascii="Times New Roman" w:hAnsi="Times New Roman" w:cs="Times New Roman"/>
                <w:color w:val="000000" w:themeColor="text1"/>
                <w:sz w:val="24"/>
                <w:szCs w:val="24"/>
              </w:rPr>
              <w:t>03</w:t>
            </w:r>
          </w:p>
        </w:tc>
      </w:tr>
      <w:tr w:rsidR="000265ED" w:rsidRPr="00345388" w14:paraId="7F345046" w14:textId="77777777" w:rsidTr="00364885">
        <w:trPr>
          <w:trHeight w:val="355"/>
        </w:trPr>
        <w:tc>
          <w:tcPr>
            <w:tcW w:w="3135" w:type="dxa"/>
            <w:tcBorders>
              <w:top w:val="nil"/>
              <w:left w:val="nil"/>
              <w:bottom w:val="nil"/>
              <w:right w:val="nil"/>
            </w:tcBorders>
          </w:tcPr>
          <w:p w14:paraId="4D1F6DE9" w14:textId="77777777" w:rsidR="000265ED" w:rsidRPr="00345388" w:rsidRDefault="000265ED" w:rsidP="000265ED">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Heart failure</w:t>
            </w:r>
          </w:p>
        </w:tc>
        <w:tc>
          <w:tcPr>
            <w:tcW w:w="1814" w:type="dxa"/>
            <w:tcBorders>
              <w:top w:val="nil"/>
              <w:left w:val="nil"/>
              <w:bottom w:val="nil"/>
              <w:right w:val="nil"/>
            </w:tcBorders>
          </w:tcPr>
          <w:p w14:paraId="49C86D5E" w14:textId="60D5E95C" w:rsidR="000265ED" w:rsidRPr="00345388" w:rsidRDefault="006C4E56"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33</w:t>
            </w:r>
          </w:p>
        </w:tc>
        <w:tc>
          <w:tcPr>
            <w:tcW w:w="1814" w:type="dxa"/>
            <w:tcBorders>
              <w:top w:val="nil"/>
              <w:left w:val="nil"/>
              <w:bottom w:val="nil"/>
              <w:right w:val="nil"/>
            </w:tcBorders>
          </w:tcPr>
          <w:p w14:paraId="2918944E" w14:textId="33D8050C" w:rsidR="000265ED" w:rsidRPr="00345388" w:rsidRDefault="006C4E56"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30</w:t>
            </w:r>
          </w:p>
        </w:tc>
        <w:tc>
          <w:tcPr>
            <w:tcW w:w="1485" w:type="dxa"/>
            <w:tcBorders>
              <w:top w:val="nil"/>
              <w:left w:val="nil"/>
              <w:bottom w:val="nil"/>
              <w:right w:val="nil"/>
            </w:tcBorders>
            <w:shd w:val="clear" w:color="auto" w:fill="auto"/>
          </w:tcPr>
          <w:p w14:paraId="2EFE300E" w14:textId="2B56DF98" w:rsidR="000265ED" w:rsidRPr="00345388" w:rsidRDefault="006C4E56"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0.062</w:t>
            </w:r>
          </w:p>
        </w:tc>
        <w:tc>
          <w:tcPr>
            <w:tcW w:w="236" w:type="dxa"/>
            <w:tcBorders>
              <w:top w:val="nil"/>
              <w:left w:val="nil"/>
              <w:bottom w:val="nil"/>
              <w:right w:val="nil"/>
            </w:tcBorders>
          </w:tcPr>
          <w:p w14:paraId="68865A02"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1743" w:type="dxa"/>
            <w:tcBorders>
              <w:top w:val="nil"/>
              <w:left w:val="nil"/>
              <w:bottom w:val="nil"/>
              <w:right w:val="nil"/>
            </w:tcBorders>
          </w:tcPr>
          <w:p w14:paraId="0537DF2A" w14:textId="67A3F640" w:rsidR="000265ED" w:rsidRPr="00345388" w:rsidRDefault="00CB2103"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32</w:t>
            </w:r>
          </w:p>
        </w:tc>
        <w:tc>
          <w:tcPr>
            <w:tcW w:w="1979" w:type="dxa"/>
            <w:tcBorders>
              <w:top w:val="nil"/>
              <w:left w:val="nil"/>
              <w:bottom w:val="nil"/>
              <w:right w:val="nil"/>
            </w:tcBorders>
          </w:tcPr>
          <w:p w14:paraId="4B78F8F7" w14:textId="3DA233AA" w:rsidR="000265ED" w:rsidRPr="00345388" w:rsidRDefault="00CB2103"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32</w:t>
            </w:r>
          </w:p>
        </w:tc>
        <w:tc>
          <w:tcPr>
            <w:tcW w:w="1233" w:type="dxa"/>
            <w:tcBorders>
              <w:top w:val="nil"/>
              <w:left w:val="nil"/>
              <w:bottom w:val="nil"/>
              <w:right w:val="nil"/>
            </w:tcBorders>
            <w:shd w:val="clear" w:color="auto" w:fill="auto"/>
          </w:tcPr>
          <w:p w14:paraId="7AF40A19" w14:textId="4DC7C88F" w:rsidR="000265ED" w:rsidRPr="00345388" w:rsidRDefault="006A178E"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&lt;0.001</w:t>
            </w:r>
          </w:p>
        </w:tc>
      </w:tr>
      <w:tr w:rsidR="000265ED" w:rsidRPr="00345388" w14:paraId="502261D8" w14:textId="77777777" w:rsidTr="00364885">
        <w:trPr>
          <w:trHeight w:val="355"/>
        </w:trPr>
        <w:tc>
          <w:tcPr>
            <w:tcW w:w="3135" w:type="dxa"/>
            <w:tcBorders>
              <w:top w:val="nil"/>
              <w:left w:val="nil"/>
              <w:bottom w:val="nil"/>
              <w:right w:val="nil"/>
            </w:tcBorders>
          </w:tcPr>
          <w:p w14:paraId="14F87C8D" w14:textId="77777777" w:rsidR="000265ED" w:rsidRPr="00345388" w:rsidRDefault="000265ED" w:rsidP="000265ED">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Prior MI</w:t>
            </w:r>
          </w:p>
        </w:tc>
        <w:tc>
          <w:tcPr>
            <w:tcW w:w="1814" w:type="dxa"/>
            <w:tcBorders>
              <w:top w:val="nil"/>
              <w:left w:val="nil"/>
              <w:bottom w:val="nil"/>
              <w:right w:val="nil"/>
            </w:tcBorders>
          </w:tcPr>
          <w:p w14:paraId="1BCEEF16" w14:textId="356F54C9" w:rsidR="000265ED" w:rsidRPr="00345388" w:rsidRDefault="006C4E56"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w:t>
            </w:r>
          </w:p>
        </w:tc>
        <w:tc>
          <w:tcPr>
            <w:tcW w:w="1814" w:type="dxa"/>
            <w:tcBorders>
              <w:top w:val="nil"/>
              <w:left w:val="nil"/>
              <w:bottom w:val="nil"/>
              <w:right w:val="nil"/>
            </w:tcBorders>
          </w:tcPr>
          <w:p w14:paraId="6CB6EBDE" w14:textId="588F57B6" w:rsidR="000265ED" w:rsidRPr="00345388" w:rsidRDefault="006C4E56"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w:t>
            </w:r>
          </w:p>
        </w:tc>
        <w:tc>
          <w:tcPr>
            <w:tcW w:w="1485" w:type="dxa"/>
            <w:tcBorders>
              <w:top w:val="nil"/>
              <w:left w:val="nil"/>
              <w:bottom w:val="nil"/>
              <w:right w:val="nil"/>
            </w:tcBorders>
            <w:shd w:val="clear" w:color="auto" w:fill="auto"/>
          </w:tcPr>
          <w:p w14:paraId="40838B6D" w14:textId="211D5EB4" w:rsidR="000265ED" w:rsidRPr="00345388" w:rsidRDefault="006C4E56" w:rsidP="006C4E56">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0.031</w:t>
            </w:r>
          </w:p>
        </w:tc>
        <w:tc>
          <w:tcPr>
            <w:tcW w:w="236" w:type="dxa"/>
            <w:tcBorders>
              <w:top w:val="nil"/>
              <w:left w:val="nil"/>
              <w:bottom w:val="nil"/>
              <w:right w:val="nil"/>
            </w:tcBorders>
          </w:tcPr>
          <w:p w14:paraId="11889E1B"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1743" w:type="dxa"/>
            <w:tcBorders>
              <w:top w:val="nil"/>
              <w:left w:val="nil"/>
              <w:bottom w:val="nil"/>
              <w:right w:val="nil"/>
            </w:tcBorders>
          </w:tcPr>
          <w:p w14:paraId="41262C8D" w14:textId="12A4E218" w:rsidR="000265ED" w:rsidRPr="00345388" w:rsidRDefault="00CB2103"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w:t>
            </w:r>
          </w:p>
        </w:tc>
        <w:tc>
          <w:tcPr>
            <w:tcW w:w="1979" w:type="dxa"/>
            <w:tcBorders>
              <w:top w:val="nil"/>
              <w:left w:val="nil"/>
              <w:bottom w:val="nil"/>
              <w:right w:val="nil"/>
            </w:tcBorders>
          </w:tcPr>
          <w:p w14:paraId="708806A5" w14:textId="5A826452" w:rsidR="000265ED" w:rsidRPr="00345388" w:rsidRDefault="00CB2103"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w:t>
            </w:r>
          </w:p>
        </w:tc>
        <w:tc>
          <w:tcPr>
            <w:tcW w:w="1233" w:type="dxa"/>
            <w:tcBorders>
              <w:top w:val="nil"/>
              <w:left w:val="nil"/>
              <w:bottom w:val="nil"/>
              <w:right w:val="nil"/>
            </w:tcBorders>
            <w:shd w:val="clear" w:color="auto" w:fill="auto"/>
          </w:tcPr>
          <w:p w14:paraId="2D73D796" w14:textId="7EDE3817"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w:t>
            </w:r>
            <w:r w:rsidR="006A178E" w:rsidRPr="00345388">
              <w:rPr>
                <w:rFonts w:ascii="Times New Roman" w:hAnsi="Times New Roman" w:cs="Times New Roman"/>
                <w:color w:val="000000" w:themeColor="text1"/>
                <w:sz w:val="24"/>
                <w:szCs w:val="24"/>
              </w:rPr>
              <w:t>10</w:t>
            </w:r>
          </w:p>
        </w:tc>
      </w:tr>
      <w:tr w:rsidR="000265ED" w:rsidRPr="00345388" w14:paraId="3FE47A9C" w14:textId="77777777" w:rsidTr="00364885">
        <w:trPr>
          <w:trHeight w:val="355"/>
        </w:trPr>
        <w:tc>
          <w:tcPr>
            <w:tcW w:w="3135" w:type="dxa"/>
            <w:tcBorders>
              <w:top w:val="nil"/>
              <w:left w:val="nil"/>
              <w:bottom w:val="nil"/>
              <w:right w:val="nil"/>
            </w:tcBorders>
          </w:tcPr>
          <w:p w14:paraId="521078D4" w14:textId="77777777" w:rsidR="000265ED" w:rsidRPr="00345388" w:rsidRDefault="000265ED" w:rsidP="000265ED">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PAD</w:t>
            </w:r>
          </w:p>
        </w:tc>
        <w:tc>
          <w:tcPr>
            <w:tcW w:w="1814" w:type="dxa"/>
            <w:tcBorders>
              <w:top w:val="nil"/>
              <w:left w:val="nil"/>
              <w:bottom w:val="nil"/>
              <w:right w:val="nil"/>
            </w:tcBorders>
          </w:tcPr>
          <w:p w14:paraId="5CF8434B" w14:textId="59EB49B4" w:rsidR="000265ED" w:rsidRPr="00345388" w:rsidRDefault="006C4E56"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19</w:t>
            </w:r>
          </w:p>
        </w:tc>
        <w:tc>
          <w:tcPr>
            <w:tcW w:w="1814" w:type="dxa"/>
            <w:tcBorders>
              <w:top w:val="nil"/>
              <w:left w:val="nil"/>
              <w:bottom w:val="nil"/>
              <w:right w:val="nil"/>
            </w:tcBorders>
          </w:tcPr>
          <w:p w14:paraId="3B3A6BC3" w14:textId="2721C560" w:rsidR="000265ED" w:rsidRPr="00345388" w:rsidRDefault="006C4E56"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18</w:t>
            </w:r>
          </w:p>
        </w:tc>
        <w:tc>
          <w:tcPr>
            <w:tcW w:w="1485" w:type="dxa"/>
            <w:tcBorders>
              <w:top w:val="nil"/>
              <w:left w:val="nil"/>
              <w:bottom w:val="nil"/>
              <w:right w:val="nil"/>
            </w:tcBorders>
            <w:shd w:val="clear" w:color="auto" w:fill="auto"/>
          </w:tcPr>
          <w:p w14:paraId="4B44F7AC" w14:textId="6E176DCA" w:rsidR="000265ED" w:rsidRPr="00345388" w:rsidRDefault="006C4E56"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0.037</w:t>
            </w:r>
          </w:p>
        </w:tc>
        <w:tc>
          <w:tcPr>
            <w:tcW w:w="236" w:type="dxa"/>
            <w:tcBorders>
              <w:top w:val="nil"/>
              <w:left w:val="nil"/>
              <w:bottom w:val="nil"/>
              <w:right w:val="nil"/>
            </w:tcBorders>
          </w:tcPr>
          <w:p w14:paraId="2FDE678A"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1743" w:type="dxa"/>
            <w:tcBorders>
              <w:top w:val="nil"/>
              <w:left w:val="nil"/>
              <w:bottom w:val="nil"/>
              <w:right w:val="nil"/>
            </w:tcBorders>
          </w:tcPr>
          <w:p w14:paraId="0236DBC0" w14:textId="608ADF44" w:rsidR="000265ED" w:rsidRPr="00345388" w:rsidRDefault="00CB2103"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19</w:t>
            </w:r>
          </w:p>
        </w:tc>
        <w:tc>
          <w:tcPr>
            <w:tcW w:w="1979" w:type="dxa"/>
            <w:tcBorders>
              <w:top w:val="nil"/>
              <w:left w:val="nil"/>
              <w:bottom w:val="nil"/>
              <w:right w:val="nil"/>
            </w:tcBorders>
          </w:tcPr>
          <w:p w14:paraId="0D98F439" w14:textId="1496D464" w:rsidR="000265ED" w:rsidRPr="00345388" w:rsidRDefault="00CB2103"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19</w:t>
            </w:r>
          </w:p>
        </w:tc>
        <w:tc>
          <w:tcPr>
            <w:tcW w:w="1233" w:type="dxa"/>
            <w:tcBorders>
              <w:top w:val="nil"/>
              <w:left w:val="nil"/>
              <w:bottom w:val="nil"/>
              <w:right w:val="nil"/>
            </w:tcBorders>
            <w:shd w:val="clear" w:color="auto" w:fill="auto"/>
          </w:tcPr>
          <w:p w14:paraId="3FDDED46" w14:textId="1F66AD73" w:rsidR="000265ED" w:rsidRPr="00345388" w:rsidRDefault="006A178E"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&lt;0.001</w:t>
            </w:r>
          </w:p>
        </w:tc>
      </w:tr>
      <w:tr w:rsidR="000265ED" w:rsidRPr="00345388" w14:paraId="3B8557F9" w14:textId="77777777" w:rsidTr="00364885">
        <w:trPr>
          <w:trHeight w:val="355"/>
        </w:trPr>
        <w:tc>
          <w:tcPr>
            <w:tcW w:w="3135" w:type="dxa"/>
            <w:tcBorders>
              <w:top w:val="nil"/>
              <w:left w:val="nil"/>
              <w:bottom w:val="nil"/>
              <w:right w:val="nil"/>
            </w:tcBorders>
          </w:tcPr>
          <w:p w14:paraId="3B4086E4" w14:textId="77777777" w:rsidR="000265ED" w:rsidRPr="00345388" w:rsidRDefault="000265ED" w:rsidP="000265ED">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COPD</w:t>
            </w:r>
          </w:p>
        </w:tc>
        <w:tc>
          <w:tcPr>
            <w:tcW w:w="1814" w:type="dxa"/>
            <w:tcBorders>
              <w:top w:val="nil"/>
              <w:left w:val="nil"/>
              <w:bottom w:val="nil"/>
              <w:right w:val="nil"/>
            </w:tcBorders>
          </w:tcPr>
          <w:p w14:paraId="3583B8F6" w14:textId="293B15CC" w:rsidR="000265ED" w:rsidRPr="00345388" w:rsidRDefault="006C4E56"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22</w:t>
            </w:r>
          </w:p>
        </w:tc>
        <w:tc>
          <w:tcPr>
            <w:tcW w:w="1814" w:type="dxa"/>
            <w:tcBorders>
              <w:top w:val="nil"/>
              <w:left w:val="nil"/>
              <w:bottom w:val="nil"/>
              <w:right w:val="nil"/>
            </w:tcBorders>
          </w:tcPr>
          <w:p w14:paraId="195B90EF" w14:textId="13398969" w:rsidR="000265ED" w:rsidRPr="00345388" w:rsidRDefault="006C4E56"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19</w:t>
            </w:r>
          </w:p>
        </w:tc>
        <w:tc>
          <w:tcPr>
            <w:tcW w:w="1485" w:type="dxa"/>
            <w:tcBorders>
              <w:top w:val="nil"/>
              <w:left w:val="nil"/>
              <w:bottom w:val="nil"/>
              <w:right w:val="nil"/>
            </w:tcBorders>
            <w:shd w:val="clear" w:color="auto" w:fill="auto"/>
          </w:tcPr>
          <w:p w14:paraId="68D3D2F3" w14:textId="20A6D436" w:rsidR="000265ED" w:rsidRPr="00345388" w:rsidRDefault="006C4E56"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0.087</w:t>
            </w:r>
          </w:p>
        </w:tc>
        <w:tc>
          <w:tcPr>
            <w:tcW w:w="236" w:type="dxa"/>
            <w:tcBorders>
              <w:top w:val="nil"/>
              <w:left w:val="nil"/>
              <w:bottom w:val="nil"/>
              <w:right w:val="nil"/>
            </w:tcBorders>
          </w:tcPr>
          <w:p w14:paraId="2150A1F9" w14:textId="77777777" w:rsidR="000265ED" w:rsidRPr="00345388" w:rsidRDefault="000265ED" w:rsidP="000265ED">
            <w:pPr>
              <w:spacing w:line="480" w:lineRule="auto"/>
              <w:jc w:val="center"/>
              <w:rPr>
                <w:rFonts w:ascii="Times New Roman" w:hAnsi="Times New Roman" w:cs="Times New Roman"/>
                <w:color w:val="000000" w:themeColor="text1"/>
                <w:sz w:val="24"/>
                <w:szCs w:val="24"/>
              </w:rPr>
            </w:pPr>
          </w:p>
        </w:tc>
        <w:tc>
          <w:tcPr>
            <w:tcW w:w="1743" w:type="dxa"/>
            <w:tcBorders>
              <w:top w:val="nil"/>
              <w:left w:val="nil"/>
              <w:bottom w:val="nil"/>
              <w:right w:val="nil"/>
            </w:tcBorders>
          </w:tcPr>
          <w:p w14:paraId="2D62A44D" w14:textId="20175CDE" w:rsidR="000265ED" w:rsidRPr="00345388" w:rsidRDefault="00CB2103"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21</w:t>
            </w:r>
          </w:p>
        </w:tc>
        <w:tc>
          <w:tcPr>
            <w:tcW w:w="1979" w:type="dxa"/>
            <w:tcBorders>
              <w:top w:val="nil"/>
              <w:left w:val="nil"/>
              <w:bottom w:val="nil"/>
              <w:right w:val="nil"/>
            </w:tcBorders>
          </w:tcPr>
          <w:p w14:paraId="3C45E574" w14:textId="6572D34B" w:rsidR="000265ED" w:rsidRPr="00345388" w:rsidRDefault="00CB2103"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21</w:t>
            </w:r>
          </w:p>
        </w:tc>
        <w:tc>
          <w:tcPr>
            <w:tcW w:w="1233" w:type="dxa"/>
            <w:tcBorders>
              <w:top w:val="nil"/>
              <w:left w:val="nil"/>
              <w:bottom w:val="nil"/>
              <w:right w:val="nil"/>
            </w:tcBorders>
            <w:shd w:val="clear" w:color="auto" w:fill="auto"/>
          </w:tcPr>
          <w:p w14:paraId="608077EB" w14:textId="05BE1BF4" w:rsidR="000265ED" w:rsidRPr="00345388" w:rsidRDefault="000265ED"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0.0</w:t>
            </w:r>
            <w:r w:rsidR="006A178E" w:rsidRPr="00345388">
              <w:rPr>
                <w:rFonts w:ascii="Times New Roman" w:hAnsi="Times New Roman" w:cs="Times New Roman"/>
                <w:color w:val="000000" w:themeColor="text1"/>
                <w:sz w:val="24"/>
                <w:szCs w:val="24"/>
              </w:rPr>
              <w:t>08</w:t>
            </w:r>
          </w:p>
        </w:tc>
      </w:tr>
      <w:tr w:rsidR="003811B1" w:rsidRPr="00345388" w14:paraId="742BEB08" w14:textId="77777777" w:rsidTr="00364885">
        <w:trPr>
          <w:trHeight w:val="355"/>
        </w:trPr>
        <w:tc>
          <w:tcPr>
            <w:tcW w:w="3135" w:type="dxa"/>
            <w:tcBorders>
              <w:top w:val="nil"/>
              <w:left w:val="nil"/>
              <w:bottom w:val="nil"/>
              <w:right w:val="nil"/>
            </w:tcBorders>
          </w:tcPr>
          <w:p w14:paraId="06AC80D8" w14:textId="74BDDB7C" w:rsidR="003811B1" w:rsidRPr="00345388" w:rsidRDefault="003811B1" w:rsidP="000265ED">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NOAC type</w:t>
            </w:r>
          </w:p>
        </w:tc>
        <w:tc>
          <w:tcPr>
            <w:tcW w:w="1814" w:type="dxa"/>
            <w:tcBorders>
              <w:top w:val="nil"/>
              <w:left w:val="nil"/>
              <w:bottom w:val="nil"/>
              <w:right w:val="nil"/>
            </w:tcBorders>
          </w:tcPr>
          <w:p w14:paraId="22D7A3B4" w14:textId="77777777" w:rsidR="003811B1" w:rsidRPr="00345388" w:rsidRDefault="003811B1" w:rsidP="000265ED">
            <w:pPr>
              <w:spacing w:line="480" w:lineRule="auto"/>
              <w:jc w:val="center"/>
              <w:rPr>
                <w:rFonts w:ascii="Times New Roman" w:hAnsi="Times New Roman" w:cs="Times New Roman"/>
                <w:color w:val="000000" w:themeColor="text1"/>
                <w:sz w:val="24"/>
                <w:szCs w:val="24"/>
              </w:rPr>
            </w:pPr>
          </w:p>
        </w:tc>
        <w:tc>
          <w:tcPr>
            <w:tcW w:w="1814" w:type="dxa"/>
            <w:tcBorders>
              <w:top w:val="nil"/>
              <w:left w:val="nil"/>
              <w:bottom w:val="nil"/>
              <w:right w:val="nil"/>
            </w:tcBorders>
          </w:tcPr>
          <w:p w14:paraId="45B003F0" w14:textId="77777777" w:rsidR="003811B1" w:rsidRPr="00345388" w:rsidRDefault="003811B1" w:rsidP="000265ED">
            <w:pPr>
              <w:spacing w:line="480" w:lineRule="auto"/>
              <w:jc w:val="center"/>
              <w:rPr>
                <w:rFonts w:ascii="Times New Roman" w:hAnsi="Times New Roman" w:cs="Times New Roman"/>
                <w:color w:val="000000" w:themeColor="text1"/>
                <w:sz w:val="24"/>
                <w:szCs w:val="24"/>
              </w:rPr>
            </w:pPr>
          </w:p>
        </w:tc>
        <w:tc>
          <w:tcPr>
            <w:tcW w:w="1485" w:type="dxa"/>
            <w:tcBorders>
              <w:top w:val="nil"/>
              <w:left w:val="nil"/>
              <w:bottom w:val="nil"/>
              <w:right w:val="nil"/>
            </w:tcBorders>
            <w:shd w:val="clear" w:color="auto" w:fill="auto"/>
          </w:tcPr>
          <w:p w14:paraId="0C93D5F9" w14:textId="77777777" w:rsidR="003811B1" w:rsidRPr="00345388" w:rsidRDefault="003811B1" w:rsidP="000265ED">
            <w:pPr>
              <w:spacing w:line="480" w:lineRule="auto"/>
              <w:jc w:val="center"/>
              <w:rPr>
                <w:rFonts w:ascii="Times New Roman" w:hAnsi="Times New Roman" w:cs="Times New Roman"/>
                <w:color w:val="000000" w:themeColor="text1"/>
                <w:sz w:val="24"/>
                <w:szCs w:val="24"/>
              </w:rPr>
            </w:pPr>
          </w:p>
        </w:tc>
        <w:tc>
          <w:tcPr>
            <w:tcW w:w="236" w:type="dxa"/>
            <w:tcBorders>
              <w:top w:val="nil"/>
              <w:left w:val="nil"/>
              <w:bottom w:val="nil"/>
              <w:right w:val="nil"/>
            </w:tcBorders>
          </w:tcPr>
          <w:p w14:paraId="1E846562" w14:textId="77777777" w:rsidR="003811B1" w:rsidRPr="00345388" w:rsidRDefault="003811B1" w:rsidP="000265ED">
            <w:pPr>
              <w:spacing w:line="480" w:lineRule="auto"/>
              <w:jc w:val="center"/>
              <w:rPr>
                <w:rFonts w:ascii="Times New Roman" w:hAnsi="Times New Roman" w:cs="Times New Roman"/>
                <w:color w:val="000000" w:themeColor="text1"/>
                <w:sz w:val="24"/>
                <w:szCs w:val="24"/>
              </w:rPr>
            </w:pPr>
          </w:p>
        </w:tc>
        <w:tc>
          <w:tcPr>
            <w:tcW w:w="1743" w:type="dxa"/>
            <w:tcBorders>
              <w:top w:val="nil"/>
              <w:left w:val="nil"/>
              <w:bottom w:val="nil"/>
              <w:right w:val="nil"/>
            </w:tcBorders>
          </w:tcPr>
          <w:p w14:paraId="583235B8" w14:textId="77777777" w:rsidR="003811B1" w:rsidRPr="00345388" w:rsidRDefault="003811B1" w:rsidP="000265ED">
            <w:pPr>
              <w:spacing w:line="480" w:lineRule="auto"/>
              <w:jc w:val="center"/>
              <w:rPr>
                <w:rFonts w:ascii="Times New Roman" w:hAnsi="Times New Roman" w:cs="Times New Roman"/>
                <w:color w:val="000000" w:themeColor="text1"/>
                <w:sz w:val="24"/>
                <w:szCs w:val="24"/>
              </w:rPr>
            </w:pPr>
          </w:p>
        </w:tc>
        <w:tc>
          <w:tcPr>
            <w:tcW w:w="1979" w:type="dxa"/>
            <w:tcBorders>
              <w:top w:val="nil"/>
              <w:left w:val="nil"/>
              <w:bottom w:val="nil"/>
              <w:right w:val="nil"/>
            </w:tcBorders>
          </w:tcPr>
          <w:p w14:paraId="1943BADF" w14:textId="77777777" w:rsidR="003811B1" w:rsidRPr="00345388" w:rsidRDefault="003811B1" w:rsidP="000265ED">
            <w:pPr>
              <w:spacing w:line="480" w:lineRule="auto"/>
              <w:jc w:val="center"/>
              <w:rPr>
                <w:rFonts w:ascii="Times New Roman" w:hAnsi="Times New Roman" w:cs="Times New Roman"/>
                <w:color w:val="000000" w:themeColor="text1"/>
                <w:sz w:val="24"/>
                <w:szCs w:val="24"/>
              </w:rPr>
            </w:pPr>
          </w:p>
        </w:tc>
        <w:tc>
          <w:tcPr>
            <w:tcW w:w="1233" w:type="dxa"/>
            <w:tcBorders>
              <w:top w:val="nil"/>
              <w:left w:val="nil"/>
              <w:bottom w:val="nil"/>
              <w:right w:val="nil"/>
            </w:tcBorders>
            <w:shd w:val="clear" w:color="auto" w:fill="auto"/>
          </w:tcPr>
          <w:p w14:paraId="5664CD7C" w14:textId="77777777" w:rsidR="003811B1" w:rsidRPr="00345388" w:rsidRDefault="003811B1" w:rsidP="000265ED">
            <w:pPr>
              <w:spacing w:line="480" w:lineRule="auto"/>
              <w:jc w:val="center"/>
              <w:rPr>
                <w:rFonts w:ascii="Times New Roman" w:hAnsi="Times New Roman" w:cs="Times New Roman"/>
                <w:color w:val="000000" w:themeColor="text1"/>
                <w:sz w:val="24"/>
                <w:szCs w:val="24"/>
              </w:rPr>
            </w:pPr>
          </w:p>
        </w:tc>
      </w:tr>
      <w:tr w:rsidR="003811B1" w:rsidRPr="00345388" w14:paraId="7589A0B3" w14:textId="77777777" w:rsidTr="00364885">
        <w:trPr>
          <w:trHeight w:val="355"/>
        </w:trPr>
        <w:tc>
          <w:tcPr>
            <w:tcW w:w="3135" w:type="dxa"/>
            <w:tcBorders>
              <w:top w:val="nil"/>
              <w:left w:val="nil"/>
              <w:bottom w:val="nil"/>
              <w:right w:val="nil"/>
            </w:tcBorders>
          </w:tcPr>
          <w:p w14:paraId="5EB308B3" w14:textId="2172C66B" w:rsidR="003811B1" w:rsidRPr="00345388" w:rsidRDefault="003811B1" w:rsidP="000265ED">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 xml:space="preserve"> Rivaroxaban</w:t>
            </w:r>
          </w:p>
        </w:tc>
        <w:tc>
          <w:tcPr>
            <w:tcW w:w="1814" w:type="dxa"/>
            <w:tcBorders>
              <w:top w:val="nil"/>
              <w:left w:val="nil"/>
              <w:bottom w:val="nil"/>
              <w:right w:val="nil"/>
            </w:tcBorders>
          </w:tcPr>
          <w:p w14:paraId="1561A940" w14:textId="778CBE46" w:rsidR="003811B1" w:rsidRPr="00345388" w:rsidRDefault="003811B1"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39</w:t>
            </w:r>
          </w:p>
        </w:tc>
        <w:tc>
          <w:tcPr>
            <w:tcW w:w="1814" w:type="dxa"/>
            <w:tcBorders>
              <w:top w:val="nil"/>
              <w:left w:val="nil"/>
              <w:bottom w:val="nil"/>
              <w:right w:val="nil"/>
            </w:tcBorders>
          </w:tcPr>
          <w:p w14:paraId="5EA6B724" w14:textId="777E4A1C" w:rsidR="003811B1" w:rsidRPr="00345388" w:rsidRDefault="003811B1"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49</w:t>
            </w:r>
          </w:p>
        </w:tc>
        <w:tc>
          <w:tcPr>
            <w:tcW w:w="1485" w:type="dxa"/>
            <w:tcBorders>
              <w:top w:val="nil"/>
              <w:left w:val="nil"/>
              <w:bottom w:val="nil"/>
              <w:right w:val="nil"/>
            </w:tcBorders>
            <w:shd w:val="clear" w:color="auto" w:fill="auto"/>
          </w:tcPr>
          <w:p w14:paraId="3CCCD770" w14:textId="77777777" w:rsidR="003811B1" w:rsidRPr="00345388" w:rsidRDefault="003811B1" w:rsidP="000265ED">
            <w:pPr>
              <w:spacing w:line="480" w:lineRule="auto"/>
              <w:jc w:val="center"/>
              <w:rPr>
                <w:rFonts w:ascii="Times New Roman" w:hAnsi="Times New Roman" w:cs="Times New Roman"/>
                <w:color w:val="000000" w:themeColor="text1"/>
                <w:sz w:val="24"/>
                <w:szCs w:val="24"/>
              </w:rPr>
            </w:pPr>
          </w:p>
        </w:tc>
        <w:tc>
          <w:tcPr>
            <w:tcW w:w="236" w:type="dxa"/>
            <w:tcBorders>
              <w:top w:val="nil"/>
              <w:left w:val="nil"/>
              <w:bottom w:val="nil"/>
              <w:right w:val="nil"/>
            </w:tcBorders>
          </w:tcPr>
          <w:p w14:paraId="1971CB17" w14:textId="77777777" w:rsidR="003811B1" w:rsidRPr="00345388" w:rsidRDefault="003811B1" w:rsidP="000265ED">
            <w:pPr>
              <w:spacing w:line="480" w:lineRule="auto"/>
              <w:jc w:val="center"/>
              <w:rPr>
                <w:rFonts w:ascii="Times New Roman" w:hAnsi="Times New Roman" w:cs="Times New Roman"/>
                <w:color w:val="000000" w:themeColor="text1"/>
                <w:sz w:val="24"/>
                <w:szCs w:val="24"/>
              </w:rPr>
            </w:pPr>
          </w:p>
        </w:tc>
        <w:tc>
          <w:tcPr>
            <w:tcW w:w="1743" w:type="dxa"/>
            <w:tcBorders>
              <w:top w:val="nil"/>
              <w:left w:val="nil"/>
              <w:bottom w:val="nil"/>
              <w:right w:val="nil"/>
            </w:tcBorders>
          </w:tcPr>
          <w:p w14:paraId="3D88FE4F" w14:textId="6CA9C8DA" w:rsidR="003811B1" w:rsidRPr="00345388" w:rsidRDefault="00364885"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39</w:t>
            </w:r>
          </w:p>
        </w:tc>
        <w:tc>
          <w:tcPr>
            <w:tcW w:w="1979" w:type="dxa"/>
            <w:tcBorders>
              <w:top w:val="nil"/>
              <w:left w:val="nil"/>
              <w:bottom w:val="nil"/>
              <w:right w:val="nil"/>
            </w:tcBorders>
          </w:tcPr>
          <w:p w14:paraId="4B90E514" w14:textId="20176F54" w:rsidR="003811B1" w:rsidRPr="00345388" w:rsidRDefault="00364885"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52</w:t>
            </w:r>
          </w:p>
        </w:tc>
        <w:tc>
          <w:tcPr>
            <w:tcW w:w="1233" w:type="dxa"/>
            <w:tcBorders>
              <w:top w:val="nil"/>
              <w:left w:val="nil"/>
              <w:bottom w:val="nil"/>
              <w:right w:val="nil"/>
            </w:tcBorders>
            <w:shd w:val="clear" w:color="auto" w:fill="auto"/>
          </w:tcPr>
          <w:p w14:paraId="10B11BF1" w14:textId="77777777" w:rsidR="003811B1" w:rsidRPr="00345388" w:rsidRDefault="003811B1" w:rsidP="000265ED">
            <w:pPr>
              <w:spacing w:line="480" w:lineRule="auto"/>
              <w:jc w:val="center"/>
              <w:rPr>
                <w:rFonts w:ascii="Times New Roman" w:hAnsi="Times New Roman" w:cs="Times New Roman"/>
                <w:color w:val="000000" w:themeColor="text1"/>
                <w:sz w:val="24"/>
                <w:szCs w:val="24"/>
              </w:rPr>
            </w:pPr>
          </w:p>
        </w:tc>
      </w:tr>
      <w:tr w:rsidR="003811B1" w:rsidRPr="00345388" w14:paraId="72FE0A75" w14:textId="77777777" w:rsidTr="00364885">
        <w:trPr>
          <w:trHeight w:val="355"/>
        </w:trPr>
        <w:tc>
          <w:tcPr>
            <w:tcW w:w="3135" w:type="dxa"/>
            <w:tcBorders>
              <w:top w:val="nil"/>
              <w:left w:val="nil"/>
              <w:bottom w:val="nil"/>
              <w:right w:val="nil"/>
            </w:tcBorders>
          </w:tcPr>
          <w:p w14:paraId="524D54D0" w14:textId="7801F740" w:rsidR="003811B1" w:rsidRPr="00345388" w:rsidRDefault="003811B1" w:rsidP="000265ED">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 xml:space="preserve"> Dabigatran</w:t>
            </w:r>
          </w:p>
        </w:tc>
        <w:tc>
          <w:tcPr>
            <w:tcW w:w="1814" w:type="dxa"/>
            <w:tcBorders>
              <w:top w:val="nil"/>
              <w:left w:val="nil"/>
              <w:bottom w:val="nil"/>
              <w:right w:val="nil"/>
            </w:tcBorders>
          </w:tcPr>
          <w:p w14:paraId="7BBB9C35" w14:textId="41098A36" w:rsidR="003811B1" w:rsidRPr="00345388" w:rsidRDefault="003811B1"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30</w:t>
            </w:r>
          </w:p>
        </w:tc>
        <w:tc>
          <w:tcPr>
            <w:tcW w:w="1814" w:type="dxa"/>
            <w:tcBorders>
              <w:top w:val="nil"/>
              <w:left w:val="nil"/>
              <w:bottom w:val="nil"/>
              <w:right w:val="nil"/>
            </w:tcBorders>
          </w:tcPr>
          <w:p w14:paraId="676485A0" w14:textId="1D9A6FCB" w:rsidR="003811B1" w:rsidRPr="00345388" w:rsidRDefault="003811B1"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18</w:t>
            </w:r>
          </w:p>
        </w:tc>
        <w:tc>
          <w:tcPr>
            <w:tcW w:w="1485" w:type="dxa"/>
            <w:tcBorders>
              <w:top w:val="nil"/>
              <w:left w:val="nil"/>
              <w:bottom w:val="nil"/>
              <w:right w:val="nil"/>
            </w:tcBorders>
            <w:shd w:val="clear" w:color="auto" w:fill="auto"/>
          </w:tcPr>
          <w:p w14:paraId="16674C61" w14:textId="77777777" w:rsidR="003811B1" w:rsidRPr="00345388" w:rsidRDefault="003811B1" w:rsidP="000265ED">
            <w:pPr>
              <w:spacing w:line="480" w:lineRule="auto"/>
              <w:jc w:val="center"/>
              <w:rPr>
                <w:rFonts w:ascii="Times New Roman" w:hAnsi="Times New Roman" w:cs="Times New Roman"/>
                <w:color w:val="000000" w:themeColor="text1"/>
                <w:sz w:val="24"/>
                <w:szCs w:val="24"/>
              </w:rPr>
            </w:pPr>
          </w:p>
        </w:tc>
        <w:tc>
          <w:tcPr>
            <w:tcW w:w="236" w:type="dxa"/>
            <w:tcBorders>
              <w:top w:val="nil"/>
              <w:left w:val="nil"/>
              <w:bottom w:val="nil"/>
              <w:right w:val="nil"/>
            </w:tcBorders>
          </w:tcPr>
          <w:p w14:paraId="13E9E561" w14:textId="77777777" w:rsidR="003811B1" w:rsidRPr="00345388" w:rsidRDefault="003811B1" w:rsidP="000265ED">
            <w:pPr>
              <w:spacing w:line="480" w:lineRule="auto"/>
              <w:jc w:val="center"/>
              <w:rPr>
                <w:rFonts w:ascii="Times New Roman" w:hAnsi="Times New Roman" w:cs="Times New Roman"/>
                <w:color w:val="000000" w:themeColor="text1"/>
                <w:sz w:val="24"/>
                <w:szCs w:val="24"/>
              </w:rPr>
            </w:pPr>
          </w:p>
        </w:tc>
        <w:tc>
          <w:tcPr>
            <w:tcW w:w="1743" w:type="dxa"/>
            <w:tcBorders>
              <w:top w:val="nil"/>
              <w:left w:val="nil"/>
              <w:bottom w:val="nil"/>
              <w:right w:val="nil"/>
            </w:tcBorders>
          </w:tcPr>
          <w:p w14:paraId="0F11804D" w14:textId="0477AF1D" w:rsidR="003811B1" w:rsidRPr="00345388" w:rsidRDefault="00364885"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31</w:t>
            </w:r>
          </w:p>
        </w:tc>
        <w:tc>
          <w:tcPr>
            <w:tcW w:w="1979" w:type="dxa"/>
            <w:tcBorders>
              <w:top w:val="nil"/>
              <w:left w:val="nil"/>
              <w:bottom w:val="nil"/>
              <w:right w:val="nil"/>
            </w:tcBorders>
          </w:tcPr>
          <w:p w14:paraId="2D73B715" w14:textId="66EFEABC" w:rsidR="003811B1" w:rsidRPr="00345388" w:rsidRDefault="00364885"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17</w:t>
            </w:r>
          </w:p>
        </w:tc>
        <w:tc>
          <w:tcPr>
            <w:tcW w:w="1233" w:type="dxa"/>
            <w:tcBorders>
              <w:top w:val="nil"/>
              <w:left w:val="nil"/>
              <w:bottom w:val="nil"/>
              <w:right w:val="nil"/>
            </w:tcBorders>
            <w:shd w:val="clear" w:color="auto" w:fill="auto"/>
          </w:tcPr>
          <w:p w14:paraId="4B436171" w14:textId="77777777" w:rsidR="003811B1" w:rsidRPr="00345388" w:rsidRDefault="003811B1" w:rsidP="000265ED">
            <w:pPr>
              <w:spacing w:line="480" w:lineRule="auto"/>
              <w:jc w:val="center"/>
              <w:rPr>
                <w:rFonts w:ascii="Times New Roman" w:hAnsi="Times New Roman" w:cs="Times New Roman"/>
                <w:color w:val="000000" w:themeColor="text1"/>
                <w:sz w:val="24"/>
                <w:szCs w:val="24"/>
              </w:rPr>
            </w:pPr>
          </w:p>
        </w:tc>
      </w:tr>
      <w:tr w:rsidR="003811B1" w:rsidRPr="00345388" w14:paraId="57544733" w14:textId="77777777" w:rsidTr="00364885">
        <w:trPr>
          <w:trHeight w:val="355"/>
        </w:trPr>
        <w:tc>
          <w:tcPr>
            <w:tcW w:w="3135" w:type="dxa"/>
            <w:tcBorders>
              <w:top w:val="nil"/>
              <w:left w:val="nil"/>
              <w:bottom w:val="nil"/>
              <w:right w:val="nil"/>
            </w:tcBorders>
          </w:tcPr>
          <w:p w14:paraId="6DE1FAED" w14:textId="3AA044FE" w:rsidR="003811B1" w:rsidRPr="00345388" w:rsidRDefault="003811B1" w:rsidP="000265ED">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 xml:space="preserve"> Apixaban</w:t>
            </w:r>
          </w:p>
        </w:tc>
        <w:tc>
          <w:tcPr>
            <w:tcW w:w="1814" w:type="dxa"/>
            <w:tcBorders>
              <w:top w:val="nil"/>
              <w:left w:val="nil"/>
              <w:bottom w:val="nil"/>
              <w:right w:val="nil"/>
            </w:tcBorders>
          </w:tcPr>
          <w:p w14:paraId="11643C87" w14:textId="74489DF8" w:rsidR="003811B1" w:rsidRPr="00345388" w:rsidRDefault="003811B1"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22</w:t>
            </w:r>
          </w:p>
        </w:tc>
        <w:tc>
          <w:tcPr>
            <w:tcW w:w="1814" w:type="dxa"/>
            <w:tcBorders>
              <w:top w:val="nil"/>
              <w:left w:val="nil"/>
              <w:bottom w:val="nil"/>
              <w:right w:val="nil"/>
            </w:tcBorders>
          </w:tcPr>
          <w:p w14:paraId="4D72C635" w14:textId="7A825C0A" w:rsidR="003811B1" w:rsidRPr="00345388" w:rsidRDefault="003811B1"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27</w:t>
            </w:r>
          </w:p>
        </w:tc>
        <w:tc>
          <w:tcPr>
            <w:tcW w:w="1485" w:type="dxa"/>
            <w:tcBorders>
              <w:top w:val="nil"/>
              <w:left w:val="nil"/>
              <w:bottom w:val="nil"/>
              <w:right w:val="nil"/>
            </w:tcBorders>
            <w:shd w:val="clear" w:color="auto" w:fill="auto"/>
          </w:tcPr>
          <w:p w14:paraId="472ABDD0" w14:textId="77777777" w:rsidR="003811B1" w:rsidRPr="00345388" w:rsidRDefault="003811B1" w:rsidP="000265ED">
            <w:pPr>
              <w:spacing w:line="480" w:lineRule="auto"/>
              <w:jc w:val="center"/>
              <w:rPr>
                <w:rFonts w:ascii="Times New Roman" w:hAnsi="Times New Roman" w:cs="Times New Roman"/>
                <w:color w:val="000000" w:themeColor="text1"/>
                <w:sz w:val="24"/>
                <w:szCs w:val="24"/>
              </w:rPr>
            </w:pPr>
          </w:p>
        </w:tc>
        <w:tc>
          <w:tcPr>
            <w:tcW w:w="236" w:type="dxa"/>
            <w:tcBorders>
              <w:top w:val="nil"/>
              <w:left w:val="nil"/>
              <w:bottom w:val="nil"/>
              <w:right w:val="nil"/>
            </w:tcBorders>
          </w:tcPr>
          <w:p w14:paraId="4DC0B73E" w14:textId="77777777" w:rsidR="003811B1" w:rsidRPr="00345388" w:rsidRDefault="003811B1" w:rsidP="000265ED">
            <w:pPr>
              <w:spacing w:line="480" w:lineRule="auto"/>
              <w:jc w:val="center"/>
              <w:rPr>
                <w:rFonts w:ascii="Times New Roman" w:hAnsi="Times New Roman" w:cs="Times New Roman"/>
                <w:color w:val="000000" w:themeColor="text1"/>
                <w:sz w:val="24"/>
                <w:szCs w:val="24"/>
              </w:rPr>
            </w:pPr>
          </w:p>
        </w:tc>
        <w:tc>
          <w:tcPr>
            <w:tcW w:w="1743" w:type="dxa"/>
            <w:tcBorders>
              <w:top w:val="nil"/>
              <w:left w:val="nil"/>
              <w:bottom w:val="nil"/>
              <w:right w:val="nil"/>
            </w:tcBorders>
          </w:tcPr>
          <w:p w14:paraId="7542A7D4" w14:textId="1AA459DE" w:rsidR="003811B1" w:rsidRPr="00345388" w:rsidRDefault="00364885"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21</w:t>
            </w:r>
          </w:p>
        </w:tc>
        <w:tc>
          <w:tcPr>
            <w:tcW w:w="1979" w:type="dxa"/>
            <w:tcBorders>
              <w:top w:val="nil"/>
              <w:left w:val="nil"/>
              <w:bottom w:val="nil"/>
              <w:right w:val="nil"/>
            </w:tcBorders>
          </w:tcPr>
          <w:p w14:paraId="192D55D9" w14:textId="78FCAC22" w:rsidR="003811B1" w:rsidRPr="00345388" w:rsidRDefault="00364885"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26</w:t>
            </w:r>
          </w:p>
        </w:tc>
        <w:tc>
          <w:tcPr>
            <w:tcW w:w="1233" w:type="dxa"/>
            <w:tcBorders>
              <w:top w:val="nil"/>
              <w:left w:val="nil"/>
              <w:bottom w:val="nil"/>
              <w:right w:val="nil"/>
            </w:tcBorders>
            <w:shd w:val="clear" w:color="auto" w:fill="auto"/>
          </w:tcPr>
          <w:p w14:paraId="7B43139C" w14:textId="77777777" w:rsidR="003811B1" w:rsidRPr="00345388" w:rsidRDefault="003811B1" w:rsidP="000265ED">
            <w:pPr>
              <w:spacing w:line="480" w:lineRule="auto"/>
              <w:jc w:val="center"/>
              <w:rPr>
                <w:rFonts w:ascii="Times New Roman" w:hAnsi="Times New Roman" w:cs="Times New Roman"/>
                <w:color w:val="000000" w:themeColor="text1"/>
                <w:sz w:val="24"/>
                <w:szCs w:val="24"/>
              </w:rPr>
            </w:pPr>
          </w:p>
        </w:tc>
      </w:tr>
      <w:tr w:rsidR="003811B1" w:rsidRPr="00345388" w14:paraId="07E3A165" w14:textId="77777777" w:rsidTr="00364885">
        <w:trPr>
          <w:trHeight w:val="355"/>
        </w:trPr>
        <w:tc>
          <w:tcPr>
            <w:tcW w:w="3135" w:type="dxa"/>
            <w:tcBorders>
              <w:top w:val="nil"/>
              <w:left w:val="nil"/>
              <w:bottom w:val="single" w:sz="4" w:space="0" w:color="auto"/>
              <w:right w:val="nil"/>
            </w:tcBorders>
          </w:tcPr>
          <w:p w14:paraId="2992085F" w14:textId="4239C99B" w:rsidR="003811B1" w:rsidRPr="00345388" w:rsidRDefault="003811B1" w:rsidP="000265ED">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 xml:space="preserve"> Edoxaban</w:t>
            </w:r>
          </w:p>
        </w:tc>
        <w:tc>
          <w:tcPr>
            <w:tcW w:w="1814" w:type="dxa"/>
            <w:tcBorders>
              <w:top w:val="nil"/>
              <w:left w:val="nil"/>
              <w:bottom w:val="single" w:sz="4" w:space="0" w:color="auto"/>
              <w:right w:val="nil"/>
            </w:tcBorders>
          </w:tcPr>
          <w:p w14:paraId="6257DD9B" w14:textId="7611ECF5" w:rsidR="003811B1" w:rsidRPr="00345388" w:rsidRDefault="003811B1"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9</w:t>
            </w:r>
          </w:p>
        </w:tc>
        <w:tc>
          <w:tcPr>
            <w:tcW w:w="1814" w:type="dxa"/>
            <w:tcBorders>
              <w:top w:val="nil"/>
              <w:left w:val="nil"/>
              <w:bottom w:val="single" w:sz="4" w:space="0" w:color="auto"/>
              <w:right w:val="nil"/>
            </w:tcBorders>
          </w:tcPr>
          <w:p w14:paraId="5FDD6CE2" w14:textId="28BC60A0" w:rsidR="003811B1" w:rsidRPr="00345388" w:rsidRDefault="003811B1"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6</w:t>
            </w:r>
          </w:p>
        </w:tc>
        <w:tc>
          <w:tcPr>
            <w:tcW w:w="1485" w:type="dxa"/>
            <w:tcBorders>
              <w:top w:val="nil"/>
              <w:left w:val="nil"/>
              <w:bottom w:val="single" w:sz="4" w:space="0" w:color="auto"/>
              <w:right w:val="nil"/>
            </w:tcBorders>
            <w:shd w:val="clear" w:color="auto" w:fill="auto"/>
          </w:tcPr>
          <w:p w14:paraId="4CA6F151" w14:textId="77777777" w:rsidR="003811B1" w:rsidRPr="00345388" w:rsidRDefault="003811B1" w:rsidP="000265ED">
            <w:pPr>
              <w:spacing w:line="480" w:lineRule="auto"/>
              <w:jc w:val="center"/>
              <w:rPr>
                <w:rFonts w:ascii="Times New Roman" w:hAnsi="Times New Roman" w:cs="Times New Roman"/>
                <w:color w:val="000000" w:themeColor="text1"/>
                <w:sz w:val="24"/>
                <w:szCs w:val="24"/>
              </w:rPr>
            </w:pPr>
          </w:p>
        </w:tc>
        <w:tc>
          <w:tcPr>
            <w:tcW w:w="236" w:type="dxa"/>
            <w:tcBorders>
              <w:top w:val="nil"/>
              <w:left w:val="nil"/>
              <w:bottom w:val="single" w:sz="4" w:space="0" w:color="auto"/>
              <w:right w:val="nil"/>
            </w:tcBorders>
          </w:tcPr>
          <w:p w14:paraId="3B849AC0" w14:textId="77777777" w:rsidR="003811B1" w:rsidRPr="00345388" w:rsidRDefault="003811B1" w:rsidP="000265ED">
            <w:pPr>
              <w:spacing w:line="480" w:lineRule="auto"/>
              <w:jc w:val="center"/>
              <w:rPr>
                <w:rFonts w:ascii="Times New Roman" w:hAnsi="Times New Roman" w:cs="Times New Roman"/>
                <w:color w:val="000000" w:themeColor="text1"/>
                <w:sz w:val="24"/>
                <w:szCs w:val="24"/>
              </w:rPr>
            </w:pPr>
          </w:p>
        </w:tc>
        <w:tc>
          <w:tcPr>
            <w:tcW w:w="1743" w:type="dxa"/>
            <w:tcBorders>
              <w:top w:val="nil"/>
              <w:left w:val="nil"/>
              <w:bottom w:val="single" w:sz="4" w:space="0" w:color="auto"/>
              <w:right w:val="nil"/>
            </w:tcBorders>
          </w:tcPr>
          <w:p w14:paraId="693187EC" w14:textId="1064935C" w:rsidR="003811B1" w:rsidRPr="00345388" w:rsidRDefault="00364885"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9</w:t>
            </w:r>
          </w:p>
        </w:tc>
        <w:tc>
          <w:tcPr>
            <w:tcW w:w="1979" w:type="dxa"/>
            <w:tcBorders>
              <w:top w:val="nil"/>
              <w:left w:val="nil"/>
              <w:bottom w:val="single" w:sz="4" w:space="0" w:color="auto"/>
              <w:right w:val="nil"/>
            </w:tcBorders>
          </w:tcPr>
          <w:p w14:paraId="2C385036" w14:textId="7D75DF66" w:rsidR="003811B1" w:rsidRPr="00345388" w:rsidRDefault="00364885" w:rsidP="000265ED">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5</w:t>
            </w:r>
          </w:p>
        </w:tc>
        <w:tc>
          <w:tcPr>
            <w:tcW w:w="1233" w:type="dxa"/>
            <w:tcBorders>
              <w:top w:val="nil"/>
              <w:left w:val="nil"/>
              <w:bottom w:val="single" w:sz="4" w:space="0" w:color="auto"/>
              <w:right w:val="nil"/>
            </w:tcBorders>
            <w:shd w:val="clear" w:color="auto" w:fill="auto"/>
          </w:tcPr>
          <w:p w14:paraId="0769FB8A" w14:textId="77777777" w:rsidR="003811B1" w:rsidRPr="00345388" w:rsidRDefault="003811B1" w:rsidP="000265ED">
            <w:pPr>
              <w:spacing w:line="480" w:lineRule="auto"/>
              <w:jc w:val="center"/>
              <w:rPr>
                <w:rFonts w:ascii="Times New Roman" w:hAnsi="Times New Roman" w:cs="Times New Roman"/>
                <w:color w:val="000000" w:themeColor="text1"/>
                <w:sz w:val="24"/>
                <w:szCs w:val="24"/>
              </w:rPr>
            </w:pPr>
          </w:p>
        </w:tc>
      </w:tr>
    </w:tbl>
    <w:p w14:paraId="1EDB0B6C" w14:textId="77777777" w:rsidR="000265ED" w:rsidRPr="00345388" w:rsidRDefault="000265ED" w:rsidP="000265ED">
      <w:pPr>
        <w:spacing w:line="480" w:lineRule="auto"/>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 xml:space="preserve">Values are mean </w:t>
      </w:r>
      <w:r w:rsidRPr="00345388">
        <w:rPr>
          <w:rFonts w:ascii="Times New Roman" w:eastAsia="Malgun Gothic" w:hAnsi="Times New Roman" w:cs="Times New Roman"/>
          <w:color w:val="000000" w:themeColor="text1"/>
          <w:sz w:val="24"/>
          <w:szCs w:val="24"/>
        </w:rPr>
        <w:t>± standard deviation or %.</w:t>
      </w:r>
    </w:p>
    <w:p w14:paraId="5451EFCC" w14:textId="77777777" w:rsidR="000265ED" w:rsidRPr="00345388" w:rsidRDefault="000265ED" w:rsidP="000265ED">
      <w:pPr>
        <w:spacing w:line="480" w:lineRule="auto"/>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 xml:space="preserve">*Regular dose NOACs are 20 mg rivaroxaban once daily, 150 mg dabigatran twice daily, 5 mg apixaban twice daily, and 60 mg edoxaban once daily. </w:t>
      </w:r>
      <w:r w:rsidRPr="00345388">
        <w:rPr>
          <w:rFonts w:ascii="Times New Roman" w:hAnsi="Times New Roman" w:cs="Times New Roman"/>
          <w:color w:val="000000" w:themeColor="text1"/>
          <w:sz w:val="24"/>
          <w:szCs w:val="24"/>
          <w:vertAlign w:val="superscript"/>
        </w:rPr>
        <w:t>†</w:t>
      </w:r>
      <w:r w:rsidRPr="00345388">
        <w:rPr>
          <w:rFonts w:ascii="Times New Roman" w:hAnsi="Times New Roman" w:cs="Times New Roman"/>
          <w:color w:val="000000" w:themeColor="text1"/>
          <w:sz w:val="24"/>
          <w:szCs w:val="24"/>
        </w:rPr>
        <w:t>Reduced dose NOACs are 15/10 mg rivaroxaban once daily, 110 mg dabigatran once daily, 2.5 mg apixaban twice daily, and 30 mg edoxaban once daily.</w:t>
      </w:r>
    </w:p>
    <w:p w14:paraId="66693C79" w14:textId="09BAC841" w:rsidR="0025542D" w:rsidRPr="00345388" w:rsidRDefault="000265ED" w:rsidP="000265ED">
      <w:pPr>
        <w:spacing w:line="480" w:lineRule="auto"/>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lastRenderedPageBreak/>
        <w:t>Abbreviation: ASD, absolute standardized difference; COPD, chronic obstructive pulmonary disease; CrCl, creatinine clearance; IQR, interquartile range; MI, myocardial infarction; PAD, peripheral artery disease; SD, standard deviation.</w:t>
      </w:r>
    </w:p>
    <w:p w14:paraId="5DA12DB1" w14:textId="77777777" w:rsidR="0025542D" w:rsidRPr="00345388" w:rsidRDefault="0025542D">
      <w:pP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br w:type="page"/>
      </w:r>
    </w:p>
    <w:p w14:paraId="0B62D577" w14:textId="4EB6089F" w:rsidR="0025542D" w:rsidRPr="00345388" w:rsidRDefault="0025542D" w:rsidP="0025542D">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sz w:val="24"/>
          <w:szCs w:val="24"/>
        </w:rPr>
        <w:lastRenderedPageBreak/>
        <w:t xml:space="preserve">Table 4. </w:t>
      </w:r>
      <w:r w:rsidR="00B8646D" w:rsidRPr="00345388">
        <w:rPr>
          <w:rFonts w:ascii="Times New Roman" w:hAnsi="Times New Roman" w:cs="Times New Roman"/>
          <w:b/>
          <w:sz w:val="24"/>
          <w:szCs w:val="24"/>
        </w:rPr>
        <w:t>I</w:t>
      </w:r>
      <w:r w:rsidRPr="00345388">
        <w:rPr>
          <w:rFonts w:ascii="Times New Roman" w:hAnsi="Times New Roman" w:cs="Times New Roman"/>
          <w:b/>
          <w:sz w:val="24"/>
          <w:szCs w:val="24"/>
        </w:rPr>
        <w:t>ncidence rates of six clinical outcomes during follow-up period: regular and reduced dose NOACs</w:t>
      </w:r>
    </w:p>
    <w:tbl>
      <w:tblPr>
        <w:tblStyle w:val="TableGrid"/>
        <w:tblW w:w="13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2"/>
        <w:gridCol w:w="1628"/>
        <w:gridCol w:w="1478"/>
        <w:gridCol w:w="295"/>
        <w:gridCol w:w="1329"/>
        <w:gridCol w:w="1332"/>
        <w:gridCol w:w="295"/>
        <w:gridCol w:w="1692"/>
        <w:gridCol w:w="1378"/>
      </w:tblGrid>
      <w:tr w:rsidR="0025542D" w:rsidRPr="00345388" w14:paraId="6B50CE4A" w14:textId="77777777" w:rsidTr="00B8646D">
        <w:trPr>
          <w:trHeight w:val="313"/>
        </w:trPr>
        <w:tc>
          <w:tcPr>
            <w:tcW w:w="4142" w:type="dxa"/>
            <w:vMerge w:val="restart"/>
            <w:tcBorders>
              <w:top w:val="single" w:sz="4" w:space="0" w:color="auto"/>
            </w:tcBorders>
          </w:tcPr>
          <w:p w14:paraId="69A3FADD" w14:textId="77777777" w:rsidR="0025542D" w:rsidRPr="00345388" w:rsidRDefault="0025542D" w:rsidP="00B11EDE">
            <w:pPr>
              <w:spacing w:line="480" w:lineRule="auto"/>
              <w:jc w:val="center"/>
              <w:rPr>
                <w:rFonts w:ascii="Times New Roman" w:hAnsi="Times New Roman" w:cs="Times New Roman"/>
                <w:b/>
                <w:color w:val="000000" w:themeColor="text1"/>
                <w:sz w:val="24"/>
                <w:szCs w:val="24"/>
              </w:rPr>
            </w:pPr>
          </w:p>
        </w:tc>
        <w:tc>
          <w:tcPr>
            <w:tcW w:w="3106" w:type="dxa"/>
            <w:gridSpan w:val="2"/>
            <w:tcBorders>
              <w:top w:val="single" w:sz="4" w:space="0" w:color="auto"/>
              <w:bottom w:val="single" w:sz="4" w:space="0" w:color="auto"/>
            </w:tcBorders>
          </w:tcPr>
          <w:p w14:paraId="52DBD8CF" w14:textId="77777777" w:rsidR="0025542D" w:rsidRPr="00345388" w:rsidRDefault="0025542D" w:rsidP="00B11EDE">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Total</w:t>
            </w:r>
          </w:p>
        </w:tc>
        <w:tc>
          <w:tcPr>
            <w:tcW w:w="295" w:type="dxa"/>
            <w:tcBorders>
              <w:top w:val="single" w:sz="4" w:space="0" w:color="auto"/>
            </w:tcBorders>
          </w:tcPr>
          <w:p w14:paraId="571965F3" w14:textId="77777777" w:rsidR="0025542D" w:rsidRPr="00345388" w:rsidRDefault="0025542D" w:rsidP="00B11EDE">
            <w:pPr>
              <w:spacing w:line="480" w:lineRule="auto"/>
              <w:jc w:val="center"/>
              <w:rPr>
                <w:rFonts w:ascii="Times New Roman" w:hAnsi="Times New Roman" w:cs="Times New Roman"/>
                <w:b/>
                <w:color w:val="000000" w:themeColor="text1"/>
                <w:sz w:val="24"/>
                <w:szCs w:val="24"/>
              </w:rPr>
            </w:pPr>
          </w:p>
        </w:tc>
        <w:tc>
          <w:tcPr>
            <w:tcW w:w="2661" w:type="dxa"/>
            <w:gridSpan w:val="2"/>
            <w:tcBorders>
              <w:top w:val="single" w:sz="4" w:space="0" w:color="auto"/>
              <w:bottom w:val="single" w:sz="4" w:space="0" w:color="auto"/>
            </w:tcBorders>
          </w:tcPr>
          <w:p w14:paraId="0468F293" w14:textId="77777777" w:rsidR="0025542D" w:rsidRPr="00345388" w:rsidRDefault="0025542D" w:rsidP="00B11EDE">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50-60 kg</w:t>
            </w:r>
          </w:p>
        </w:tc>
        <w:tc>
          <w:tcPr>
            <w:tcW w:w="295" w:type="dxa"/>
            <w:tcBorders>
              <w:top w:val="single" w:sz="4" w:space="0" w:color="auto"/>
            </w:tcBorders>
          </w:tcPr>
          <w:p w14:paraId="492E95F8" w14:textId="77777777" w:rsidR="0025542D" w:rsidRPr="00345388" w:rsidRDefault="0025542D" w:rsidP="00B11EDE">
            <w:pPr>
              <w:spacing w:line="480" w:lineRule="auto"/>
              <w:jc w:val="center"/>
              <w:rPr>
                <w:rFonts w:ascii="Times New Roman" w:hAnsi="Times New Roman" w:cs="Times New Roman"/>
                <w:b/>
                <w:color w:val="000000" w:themeColor="text1"/>
                <w:sz w:val="24"/>
                <w:szCs w:val="24"/>
              </w:rPr>
            </w:pPr>
          </w:p>
        </w:tc>
        <w:tc>
          <w:tcPr>
            <w:tcW w:w="3070" w:type="dxa"/>
            <w:gridSpan w:val="2"/>
            <w:tcBorders>
              <w:top w:val="single" w:sz="4" w:space="0" w:color="auto"/>
              <w:bottom w:val="single" w:sz="4" w:space="0" w:color="auto"/>
            </w:tcBorders>
          </w:tcPr>
          <w:p w14:paraId="1B3C1726" w14:textId="77777777" w:rsidR="0025542D" w:rsidRPr="00345388" w:rsidRDefault="0025542D" w:rsidP="00B11EDE">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&lt;50 kg</w:t>
            </w:r>
          </w:p>
        </w:tc>
      </w:tr>
      <w:tr w:rsidR="0025542D" w:rsidRPr="00345388" w14:paraId="5BC57E94" w14:textId="77777777" w:rsidTr="00B8646D">
        <w:trPr>
          <w:trHeight w:val="651"/>
        </w:trPr>
        <w:tc>
          <w:tcPr>
            <w:tcW w:w="4142" w:type="dxa"/>
            <w:vMerge/>
            <w:tcBorders>
              <w:bottom w:val="single" w:sz="4" w:space="0" w:color="auto"/>
            </w:tcBorders>
          </w:tcPr>
          <w:p w14:paraId="1606E3A6" w14:textId="77777777" w:rsidR="0025542D" w:rsidRPr="00345388" w:rsidRDefault="0025542D" w:rsidP="00B11EDE">
            <w:pPr>
              <w:spacing w:line="480" w:lineRule="auto"/>
              <w:jc w:val="center"/>
              <w:rPr>
                <w:rFonts w:ascii="Times New Roman" w:hAnsi="Times New Roman" w:cs="Times New Roman"/>
                <w:color w:val="000000" w:themeColor="text1"/>
                <w:sz w:val="24"/>
                <w:szCs w:val="24"/>
              </w:rPr>
            </w:pPr>
          </w:p>
        </w:tc>
        <w:tc>
          <w:tcPr>
            <w:tcW w:w="3106" w:type="dxa"/>
            <w:gridSpan w:val="2"/>
            <w:tcBorders>
              <w:top w:val="single" w:sz="4" w:space="0" w:color="auto"/>
              <w:bottom w:val="single" w:sz="4" w:space="0" w:color="auto"/>
            </w:tcBorders>
            <w:vAlign w:val="center"/>
          </w:tcPr>
          <w:p w14:paraId="21580709" w14:textId="38759F58" w:rsidR="0025542D" w:rsidRPr="00345388" w:rsidRDefault="00B8646D" w:rsidP="00B11EDE">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I</w:t>
            </w:r>
            <w:r w:rsidR="0025542D" w:rsidRPr="00345388">
              <w:rPr>
                <w:rFonts w:ascii="Times New Roman" w:hAnsi="Times New Roman" w:cs="Times New Roman"/>
                <w:b/>
                <w:color w:val="000000" w:themeColor="text1"/>
                <w:sz w:val="24"/>
                <w:szCs w:val="24"/>
              </w:rPr>
              <w:t>ncidence rate*</w:t>
            </w:r>
          </w:p>
        </w:tc>
        <w:tc>
          <w:tcPr>
            <w:tcW w:w="295" w:type="dxa"/>
            <w:vAlign w:val="center"/>
          </w:tcPr>
          <w:p w14:paraId="4912B2CB" w14:textId="77777777" w:rsidR="0025542D" w:rsidRPr="00345388" w:rsidRDefault="0025542D" w:rsidP="00B11EDE">
            <w:pPr>
              <w:spacing w:line="480" w:lineRule="auto"/>
              <w:jc w:val="center"/>
              <w:rPr>
                <w:rFonts w:ascii="Times New Roman" w:hAnsi="Times New Roman" w:cs="Times New Roman"/>
                <w:b/>
                <w:color w:val="000000" w:themeColor="text1"/>
                <w:sz w:val="24"/>
                <w:szCs w:val="24"/>
              </w:rPr>
            </w:pPr>
          </w:p>
        </w:tc>
        <w:tc>
          <w:tcPr>
            <w:tcW w:w="2661" w:type="dxa"/>
            <w:gridSpan w:val="2"/>
            <w:tcBorders>
              <w:top w:val="single" w:sz="4" w:space="0" w:color="auto"/>
              <w:bottom w:val="single" w:sz="4" w:space="0" w:color="auto"/>
            </w:tcBorders>
            <w:vAlign w:val="center"/>
          </w:tcPr>
          <w:p w14:paraId="6D61FD5F" w14:textId="136EB5CF" w:rsidR="0025542D" w:rsidRPr="00345388" w:rsidRDefault="00B8646D" w:rsidP="00B11EDE">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I</w:t>
            </w:r>
            <w:r w:rsidR="0025542D" w:rsidRPr="00345388">
              <w:rPr>
                <w:rFonts w:ascii="Times New Roman" w:hAnsi="Times New Roman" w:cs="Times New Roman"/>
                <w:b/>
                <w:color w:val="000000" w:themeColor="text1"/>
                <w:sz w:val="24"/>
                <w:szCs w:val="24"/>
              </w:rPr>
              <w:t>ncidence rate*</w:t>
            </w:r>
          </w:p>
        </w:tc>
        <w:tc>
          <w:tcPr>
            <w:tcW w:w="295" w:type="dxa"/>
            <w:vAlign w:val="center"/>
          </w:tcPr>
          <w:p w14:paraId="6342075E" w14:textId="77777777" w:rsidR="0025542D" w:rsidRPr="00345388" w:rsidRDefault="0025542D" w:rsidP="00B11EDE">
            <w:pPr>
              <w:spacing w:line="480" w:lineRule="auto"/>
              <w:jc w:val="center"/>
              <w:rPr>
                <w:rFonts w:ascii="Times New Roman" w:hAnsi="Times New Roman" w:cs="Times New Roman"/>
                <w:b/>
                <w:color w:val="000000" w:themeColor="text1"/>
                <w:sz w:val="24"/>
                <w:szCs w:val="24"/>
              </w:rPr>
            </w:pPr>
          </w:p>
        </w:tc>
        <w:tc>
          <w:tcPr>
            <w:tcW w:w="3070" w:type="dxa"/>
            <w:gridSpan w:val="2"/>
            <w:tcBorders>
              <w:top w:val="single" w:sz="4" w:space="0" w:color="auto"/>
              <w:bottom w:val="single" w:sz="4" w:space="0" w:color="auto"/>
            </w:tcBorders>
            <w:vAlign w:val="center"/>
          </w:tcPr>
          <w:p w14:paraId="772183AD" w14:textId="19417A94" w:rsidR="0025542D" w:rsidRPr="00345388" w:rsidRDefault="00B8646D" w:rsidP="00B11EDE">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I</w:t>
            </w:r>
            <w:r w:rsidR="0025542D" w:rsidRPr="00345388">
              <w:rPr>
                <w:rFonts w:ascii="Times New Roman" w:hAnsi="Times New Roman" w:cs="Times New Roman"/>
                <w:b/>
                <w:color w:val="000000" w:themeColor="text1"/>
                <w:sz w:val="24"/>
                <w:szCs w:val="24"/>
              </w:rPr>
              <w:t>ncidence rate*</w:t>
            </w:r>
          </w:p>
        </w:tc>
      </w:tr>
      <w:tr w:rsidR="0025542D" w:rsidRPr="00345388" w14:paraId="49CA02BF" w14:textId="77777777" w:rsidTr="00B11EDE">
        <w:trPr>
          <w:trHeight w:val="651"/>
        </w:trPr>
        <w:tc>
          <w:tcPr>
            <w:tcW w:w="4142" w:type="dxa"/>
            <w:vMerge/>
            <w:tcBorders>
              <w:bottom w:val="single" w:sz="4" w:space="0" w:color="auto"/>
            </w:tcBorders>
          </w:tcPr>
          <w:p w14:paraId="4295E1FC" w14:textId="77777777" w:rsidR="0025542D" w:rsidRPr="00345388" w:rsidRDefault="0025542D" w:rsidP="00B11EDE">
            <w:pPr>
              <w:spacing w:line="480" w:lineRule="auto"/>
              <w:jc w:val="center"/>
              <w:rPr>
                <w:rFonts w:ascii="Times New Roman" w:hAnsi="Times New Roman" w:cs="Times New Roman"/>
                <w:color w:val="000000" w:themeColor="text1"/>
                <w:sz w:val="24"/>
                <w:szCs w:val="24"/>
              </w:rPr>
            </w:pPr>
          </w:p>
        </w:tc>
        <w:tc>
          <w:tcPr>
            <w:tcW w:w="1628" w:type="dxa"/>
            <w:tcBorders>
              <w:bottom w:val="single" w:sz="4" w:space="0" w:color="auto"/>
            </w:tcBorders>
            <w:vAlign w:val="center"/>
          </w:tcPr>
          <w:p w14:paraId="0B0B61CF" w14:textId="6D209BF6" w:rsidR="0025542D" w:rsidRPr="00345388" w:rsidRDefault="0025542D" w:rsidP="00B11EDE">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Reduced</w:t>
            </w:r>
          </w:p>
        </w:tc>
        <w:tc>
          <w:tcPr>
            <w:tcW w:w="1478" w:type="dxa"/>
            <w:tcBorders>
              <w:bottom w:val="single" w:sz="4" w:space="0" w:color="auto"/>
            </w:tcBorders>
            <w:vAlign w:val="center"/>
          </w:tcPr>
          <w:p w14:paraId="4EB3ECD5" w14:textId="0C90AF6A" w:rsidR="0025542D" w:rsidRPr="00345388" w:rsidRDefault="0025542D" w:rsidP="00B11EDE">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Regular</w:t>
            </w:r>
          </w:p>
        </w:tc>
        <w:tc>
          <w:tcPr>
            <w:tcW w:w="295" w:type="dxa"/>
            <w:vAlign w:val="center"/>
          </w:tcPr>
          <w:p w14:paraId="67918EC7" w14:textId="72CCB9B9" w:rsidR="0025542D" w:rsidRPr="00345388" w:rsidRDefault="0025542D" w:rsidP="00B11EDE">
            <w:pPr>
              <w:spacing w:line="480" w:lineRule="auto"/>
              <w:jc w:val="center"/>
              <w:rPr>
                <w:rFonts w:ascii="Times New Roman" w:hAnsi="Times New Roman" w:cs="Times New Roman"/>
                <w:b/>
                <w:color w:val="000000" w:themeColor="text1"/>
                <w:sz w:val="24"/>
                <w:szCs w:val="24"/>
              </w:rPr>
            </w:pPr>
          </w:p>
        </w:tc>
        <w:tc>
          <w:tcPr>
            <w:tcW w:w="1329" w:type="dxa"/>
            <w:tcBorders>
              <w:top w:val="single" w:sz="4" w:space="0" w:color="auto"/>
              <w:bottom w:val="single" w:sz="4" w:space="0" w:color="auto"/>
            </w:tcBorders>
            <w:vAlign w:val="center"/>
          </w:tcPr>
          <w:p w14:paraId="561F5B9B" w14:textId="1C9B6882" w:rsidR="0025542D" w:rsidRPr="00345388" w:rsidRDefault="0025542D" w:rsidP="00B11EDE">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Reduced</w:t>
            </w:r>
          </w:p>
        </w:tc>
        <w:tc>
          <w:tcPr>
            <w:tcW w:w="1332" w:type="dxa"/>
            <w:tcBorders>
              <w:top w:val="single" w:sz="4" w:space="0" w:color="auto"/>
              <w:bottom w:val="single" w:sz="4" w:space="0" w:color="auto"/>
            </w:tcBorders>
            <w:vAlign w:val="center"/>
          </w:tcPr>
          <w:p w14:paraId="0C0A380E" w14:textId="6869CA9D" w:rsidR="0025542D" w:rsidRPr="00345388" w:rsidRDefault="0025542D" w:rsidP="00B11EDE">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Regular</w:t>
            </w:r>
          </w:p>
        </w:tc>
        <w:tc>
          <w:tcPr>
            <w:tcW w:w="295" w:type="dxa"/>
            <w:vAlign w:val="center"/>
          </w:tcPr>
          <w:p w14:paraId="7F153664" w14:textId="2C4F2379" w:rsidR="0025542D" w:rsidRPr="00345388" w:rsidRDefault="0025542D" w:rsidP="00B11EDE">
            <w:pPr>
              <w:spacing w:line="480" w:lineRule="auto"/>
              <w:jc w:val="center"/>
              <w:rPr>
                <w:rFonts w:ascii="Times New Roman" w:hAnsi="Times New Roman" w:cs="Times New Roman"/>
                <w:b/>
                <w:color w:val="000000" w:themeColor="text1"/>
                <w:sz w:val="24"/>
                <w:szCs w:val="24"/>
              </w:rPr>
            </w:pPr>
          </w:p>
        </w:tc>
        <w:tc>
          <w:tcPr>
            <w:tcW w:w="1692" w:type="dxa"/>
            <w:tcBorders>
              <w:top w:val="single" w:sz="4" w:space="0" w:color="auto"/>
              <w:bottom w:val="single" w:sz="4" w:space="0" w:color="auto"/>
            </w:tcBorders>
            <w:vAlign w:val="center"/>
          </w:tcPr>
          <w:p w14:paraId="6BD49B34" w14:textId="3E88E70B" w:rsidR="0025542D" w:rsidRPr="00345388" w:rsidRDefault="0025542D" w:rsidP="00B11EDE">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Reduced</w:t>
            </w:r>
          </w:p>
        </w:tc>
        <w:tc>
          <w:tcPr>
            <w:tcW w:w="1378" w:type="dxa"/>
            <w:tcBorders>
              <w:top w:val="single" w:sz="4" w:space="0" w:color="auto"/>
              <w:bottom w:val="single" w:sz="4" w:space="0" w:color="auto"/>
            </w:tcBorders>
            <w:vAlign w:val="center"/>
          </w:tcPr>
          <w:p w14:paraId="565303EA" w14:textId="6436BAF5" w:rsidR="0025542D" w:rsidRPr="00345388" w:rsidRDefault="0025542D" w:rsidP="00B11EDE">
            <w:pPr>
              <w:spacing w:line="480" w:lineRule="auto"/>
              <w:jc w:val="center"/>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Regular</w:t>
            </w:r>
          </w:p>
        </w:tc>
      </w:tr>
      <w:tr w:rsidR="0025542D" w:rsidRPr="00345388" w14:paraId="3D864E31" w14:textId="77777777" w:rsidTr="00B11EDE">
        <w:trPr>
          <w:trHeight w:val="313"/>
        </w:trPr>
        <w:tc>
          <w:tcPr>
            <w:tcW w:w="4142" w:type="dxa"/>
            <w:tcBorders>
              <w:top w:val="single" w:sz="4" w:space="0" w:color="auto"/>
            </w:tcBorders>
          </w:tcPr>
          <w:p w14:paraId="65D831F3" w14:textId="77777777" w:rsidR="0025542D" w:rsidRPr="00345388" w:rsidRDefault="0025542D" w:rsidP="00B11EDE">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Ischemic stroke</w:t>
            </w:r>
          </w:p>
        </w:tc>
        <w:tc>
          <w:tcPr>
            <w:tcW w:w="1628" w:type="dxa"/>
            <w:tcBorders>
              <w:top w:val="single" w:sz="4" w:space="0" w:color="auto"/>
            </w:tcBorders>
            <w:vAlign w:val="center"/>
          </w:tcPr>
          <w:p w14:paraId="32012BF1" w14:textId="3D3FDE1D" w:rsidR="0025542D" w:rsidRPr="00345388" w:rsidRDefault="0025542D"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3.16</w:t>
            </w:r>
          </w:p>
        </w:tc>
        <w:tc>
          <w:tcPr>
            <w:tcW w:w="1478" w:type="dxa"/>
            <w:tcBorders>
              <w:top w:val="single" w:sz="4" w:space="0" w:color="auto"/>
            </w:tcBorders>
            <w:vAlign w:val="center"/>
          </w:tcPr>
          <w:p w14:paraId="71FF8F45" w14:textId="70F4E616" w:rsidR="0025542D" w:rsidRPr="00345388" w:rsidRDefault="0025542D"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2.77</w:t>
            </w:r>
          </w:p>
        </w:tc>
        <w:tc>
          <w:tcPr>
            <w:tcW w:w="295" w:type="dxa"/>
            <w:vAlign w:val="center"/>
          </w:tcPr>
          <w:p w14:paraId="74283848" w14:textId="77777777" w:rsidR="0025542D" w:rsidRPr="00345388" w:rsidRDefault="0025542D" w:rsidP="00B11EDE">
            <w:pPr>
              <w:spacing w:line="480" w:lineRule="auto"/>
              <w:jc w:val="center"/>
              <w:rPr>
                <w:rFonts w:ascii="Times New Roman" w:hAnsi="Times New Roman" w:cs="Times New Roman"/>
                <w:color w:val="000000" w:themeColor="text1"/>
                <w:sz w:val="24"/>
                <w:szCs w:val="24"/>
              </w:rPr>
            </w:pPr>
          </w:p>
        </w:tc>
        <w:tc>
          <w:tcPr>
            <w:tcW w:w="1329" w:type="dxa"/>
            <w:tcBorders>
              <w:top w:val="single" w:sz="4" w:space="0" w:color="auto"/>
            </w:tcBorders>
            <w:vAlign w:val="center"/>
          </w:tcPr>
          <w:p w14:paraId="460429DA" w14:textId="4ECF6D9C" w:rsidR="0025542D" w:rsidRPr="00345388" w:rsidRDefault="0025542D"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w:t>
            </w:r>
            <w:r w:rsidR="006171B0" w:rsidRPr="00345388">
              <w:rPr>
                <w:rFonts w:ascii="Times New Roman" w:hAnsi="Times New Roman" w:cs="Times New Roman"/>
                <w:color w:val="000000" w:themeColor="text1"/>
                <w:sz w:val="24"/>
                <w:szCs w:val="24"/>
              </w:rPr>
              <w:t>90</w:t>
            </w:r>
          </w:p>
        </w:tc>
        <w:tc>
          <w:tcPr>
            <w:tcW w:w="1332" w:type="dxa"/>
            <w:tcBorders>
              <w:top w:val="single" w:sz="4" w:space="0" w:color="auto"/>
            </w:tcBorders>
            <w:vAlign w:val="center"/>
          </w:tcPr>
          <w:p w14:paraId="28C6683D" w14:textId="331E0822" w:rsidR="0025542D" w:rsidRPr="00345388" w:rsidRDefault="006171B0"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2.44</w:t>
            </w:r>
          </w:p>
        </w:tc>
        <w:tc>
          <w:tcPr>
            <w:tcW w:w="295" w:type="dxa"/>
            <w:vAlign w:val="center"/>
          </w:tcPr>
          <w:p w14:paraId="5E99B00B" w14:textId="77777777" w:rsidR="0025542D" w:rsidRPr="00345388" w:rsidRDefault="0025542D" w:rsidP="00B11EDE">
            <w:pPr>
              <w:spacing w:line="480" w:lineRule="auto"/>
              <w:jc w:val="center"/>
              <w:rPr>
                <w:rFonts w:ascii="Times New Roman" w:hAnsi="Times New Roman" w:cs="Times New Roman"/>
                <w:color w:val="000000" w:themeColor="text1"/>
                <w:sz w:val="24"/>
                <w:szCs w:val="24"/>
              </w:rPr>
            </w:pPr>
          </w:p>
        </w:tc>
        <w:tc>
          <w:tcPr>
            <w:tcW w:w="1692" w:type="dxa"/>
            <w:tcBorders>
              <w:top w:val="single" w:sz="4" w:space="0" w:color="auto"/>
            </w:tcBorders>
            <w:vAlign w:val="center"/>
          </w:tcPr>
          <w:p w14:paraId="49038590" w14:textId="47FC4328" w:rsidR="0025542D" w:rsidRPr="00345388" w:rsidRDefault="00B431E0"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3.89</w:t>
            </w:r>
          </w:p>
        </w:tc>
        <w:tc>
          <w:tcPr>
            <w:tcW w:w="1378" w:type="dxa"/>
            <w:tcBorders>
              <w:top w:val="single" w:sz="4" w:space="0" w:color="auto"/>
            </w:tcBorders>
            <w:vAlign w:val="center"/>
          </w:tcPr>
          <w:p w14:paraId="2727D0E9" w14:textId="30ACFEF3" w:rsidR="0025542D" w:rsidRPr="00345388" w:rsidRDefault="00B431E0"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3.69</w:t>
            </w:r>
          </w:p>
        </w:tc>
      </w:tr>
      <w:tr w:rsidR="0025542D" w:rsidRPr="00345388" w14:paraId="0BB4712F" w14:textId="77777777" w:rsidTr="00B11EDE">
        <w:trPr>
          <w:trHeight w:val="313"/>
        </w:trPr>
        <w:tc>
          <w:tcPr>
            <w:tcW w:w="4142" w:type="dxa"/>
          </w:tcPr>
          <w:p w14:paraId="64727595" w14:textId="77777777" w:rsidR="0025542D" w:rsidRPr="00345388" w:rsidRDefault="0025542D" w:rsidP="00B11EDE">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Intracranial hemorrhage</w:t>
            </w:r>
          </w:p>
        </w:tc>
        <w:tc>
          <w:tcPr>
            <w:tcW w:w="1628" w:type="dxa"/>
            <w:vAlign w:val="center"/>
          </w:tcPr>
          <w:p w14:paraId="1615AF6C" w14:textId="60815959" w:rsidR="0025542D" w:rsidRPr="00345388" w:rsidRDefault="0025542D"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0.90</w:t>
            </w:r>
          </w:p>
        </w:tc>
        <w:tc>
          <w:tcPr>
            <w:tcW w:w="1478" w:type="dxa"/>
            <w:vAlign w:val="center"/>
          </w:tcPr>
          <w:p w14:paraId="58F770FD" w14:textId="697AC592" w:rsidR="0025542D" w:rsidRPr="00345388" w:rsidRDefault="0025542D"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0.96</w:t>
            </w:r>
          </w:p>
        </w:tc>
        <w:tc>
          <w:tcPr>
            <w:tcW w:w="295" w:type="dxa"/>
            <w:vAlign w:val="center"/>
          </w:tcPr>
          <w:p w14:paraId="27B680F0" w14:textId="77777777" w:rsidR="0025542D" w:rsidRPr="00345388" w:rsidRDefault="0025542D" w:rsidP="00B11EDE">
            <w:pPr>
              <w:spacing w:line="480" w:lineRule="auto"/>
              <w:jc w:val="center"/>
              <w:rPr>
                <w:rFonts w:ascii="Times New Roman" w:hAnsi="Times New Roman" w:cs="Times New Roman"/>
                <w:color w:val="000000" w:themeColor="text1"/>
                <w:sz w:val="24"/>
                <w:szCs w:val="24"/>
              </w:rPr>
            </w:pPr>
          </w:p>
        </w:tc>
        <w:tc>
          <w:tcPr>
            <w:tcW w:w="1329" w:type="dxa"/>
            <w:vAlign w:val="center"/>
          </w:tcPr>
          <w:p w14:paraId="1F7D47AA" w14:textId="5F71CD73" w:rsidR="0025542D" w:rsidRPr="00345388" w:rsidRDefault="0025542D"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0.9</w:t>
            </w:r>
            <w:r w:rsidR="006171B0" w:rsidRPr="00345388">
              <w:rPr>
                <w:rFonts w:ascii="Times New Roman" w:hAnsi="Times New Roman" w:cs="Times New Roman"/>
                <w:color w:val="000000" w:themeColor="text1"/>
                <w:sz w:val="24"/>
                <w:szCs w:val="24"/>
              </w:rPr>
              <w:t>3</w:t>
            </w:r>
          </w:p>
        </w:tc>
        <w:tc>
          <w:tcPr>
            <w:tcW w:w="1332" w:type="dxa"/>
            <w:vAlign w:val="center"/>
          </w:tcPr>
          <w:p w14:paraId="2432FB62" w14:textId="660B9C5F" w:rsidR="0025542D" w:rsidRPr="00345388" w:rsidRDefault="0025542D"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w:t>
            </w:r>
            <w:r w:rsidR="006171B0" w:rsidRPr="00345388">
              <w:rPr>
                <w:rFonts w:ascii="Times New Roman" w:hAnsi="Times New Roman" w:cs="Times New Roman"/>
                <w:color w:val="000000" w:themeColor="text1"/>
                <w:sz w:val="24"/>
                <w:szCs w:val="24"/>
              </w:rPr>
              <w:t>04</w:t>
            </w:r>
          </w:p>
        </w:tc>
        <w:tc>
          <w:tcPr>
            <w:tcW w:w="295" w:type="dxa"/>
            <w:vAlign w:val="center"/>
          </w:tcPr>
          <w:p w14:paraId="52E2A209" w14:textId="77777777" w:rsidR="0025542D" w:rsidRPr="00345388" w:rsidRDefault="0025542D" w:rsidP="00B11EDE">
            <w:pPr>
              <w:spacing w:line="480" w:lineRule="auto"/>
              <w:jc w:val="center"/>
              <w:rPr>
                <w:rFonts w:ascii="Times New Roman" w:hAnsi="Times New Roman" w:cs="Times New Roman"/>
                <w:color w:val="000000" w:themeColor="text1"/>
                <w:sz w:val="24"/>
                <w:szCs w:val="24"/>
              </w:rPr>
            </w:pPr>
          </w:p>
        </w:tc>
        <w:tc>
          <w:tcPr>
            <w:tcW w:w="1692" w:type="dxa"/>
            <w:vAlign w:val="center"/>
          </w:tcPr>
          <w:p w14:paraId="5B6F1F64" w14:textId="71103A1F" w:rsidR="0025542D" w:rsidRPr="00345388" w:rsidRDefault="00B431E0"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0.83</w:t>
            </w:r>
          </w:p>
        </w:tc>
        <w:tc>
          <w:tcPr>
            <w:tcW w:w="1378" w:type="dxa"/>
            <w:vAlign w:val="center"/>
          </w:tcPr>
          <w:p w14:paraId="51141D4A" w14:textId="7C3F3127" w:rsidR="0025542D" w:rsidRPr="00345388" w:rsidRDefault="00B431E0"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0.74</w:t>
            </w:r>
          </w:p>
        </w:tc>
      </w:tr>
      <w:tr w:rsidR="0025542D" w:rsidRPr="00345388" w14:paraId="092E3005" w14:textId="77777777" w:rsidTr="00B11EDE">
        <w:trPr>
          <w:trHeight w:val="313"/>
        </w:trPr>
        <w:tc>
          <w:tcPr>
            <w:tcW w:w="4142" w:type="dxa"/>
          </w:tcPr>
          <w:p w14:paraId="2466CEA0" w14:textId="77777777" w:rsidR="0025542D" w:rsidRPr="00345388" w:rsidRDefault="0025542D" w:rsidP="00B11EDE">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Hospitalization for GI bleeding</w:t>
            </w:r>
          </w:p>
        </w:tc>
        <w:tc>
          <w:tcPr>
            <w:tcW w:w="1628" w:type="dxa"/>
            <w:vAlign w:val="center"/>
          </w:tcPr>
          <w:p w14:paraId="17118C98" w14:textId="7D45B444" w:rsidR="0025542D" w:rsidRPr="00345388" w:rsidRDefault="0025542D"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1.88</w:t>
            </w:r>
          </w:p>
        </w:tc>
        <w:tc>
          <w:tcPr>
            <w:tcW w:w="1478" w:type="dxa"/>
            <w:vAlign w:val="center"/>
          </w:tcPr>
          <w:p w14:paraId="174B6D1A" w14:textId="39F8915C" w:rsidR="0025542D" w:rsidRPr="00345388" w:rsidRDefault="0025542D"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1.69</w:t>
            </w:r>
          </w:p>
        </w:tc>
        <w:tc>
          <w:tcPr>
            <w:tcW w:w="295" w:type="dxa"/>
            <w:vAlign w:val="center"/>
          </w:tcPr>
          <w:p w14:paraId="43A535AB" w14:textId="77777777" w:rsidR="0025542D" w:rsidRPr="00345388" w:rsidRDefault="0025542D" w:rsidP="00B11EDE">
            <w:pPr>
              <w:spacing w:line="480" w:lineRule="auto"/>
              <w:jc w:val="center"/>
              <w:rPr>
                <w:rFonts w:ascii="Times New Roman" w:hAnsi="Times New Roman" w:cs="Times New Roman"/>
                <w:color w:val="000000" w:themeColor="text1"/>
                <w:sz w:val="24"/>
                <w:szCs w:val="24"/>
              </w:rPr>
            </w:pPr>
          </w:p>
        </w:tc>
        <w:tc>
          <w:tcPr>
            <w:tcW w:w="1329" w:type="dxa"/>
            <w:vAlign w:val="center"/>
          </w:tcPr>
          <w:p w14:paraId="3408B5F1" w14:textId="50B141B1" w:rsidR="0025542D" w:rsidRPr="00345388" w:rsidRDefault="006171B0"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1.63</w:t>
            </w:r>
          </w:p>
        </w:tc>
        <w:tc>
          <w:tcPr>
            <w:tcW w:w="1332" w:type="dxa"/>
            <w:vAlign w:val="center"/>
          </w:tcPr>
          <w:p w14:paraId="4D38A9B4" w14:textId="64E83504" w:rsidR="0025542D" w:rsidRPr="00345388" w:rsidRDefault="006171B0"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1.39</w:t>
            </w:r>
          </w:p>
        </w:tc>
        <w:tc>
          <w:tcPr>
            <w:tcW w:w="295" w:type="dxa"/>
            <w:vAlign w:val="center"/>
          </w:tcPr>
          <w:p w14:paraId="11D33F5A" w14:textId="77777777" w:rsidR="0025542D" w:rsidRPr="00345388" w:rsidRDefault="0025542D" w:rsidP="00B11EDE">
            <w:pPr>
              <w:spacing w:line="480" w:lineRule="auto"/>
              <w:jc w:val="center"/>
              <w:rPr>
                <w:rFonts w:ascii="Times New Roman" w:hAnsi="Times New Roman" w:cs="Times New Roman"/>
                <w:color w:val="000000" w:themeColor="text1"/>
                <w:sz w:val="24"/>
                <w:szCs w:val="24"/>
              </w:rPr>
            </w:pPr>
          </w:p>
        </w:tc>
        <w:tc>
          <w:tcPr>
            <w:tcW w:w="1692" w:type="dxa"/>
            <w:vAlign w:val="center"/>
          </w:tcPr>
          <w:p w14:paraId="703214D1" w14:textId="3E0E99FA" w:rsidR="0025542D" w:rsidRPr="00345388" w:rsidRDefault="00B431E0"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2.54</w:t>
            </w:r>
          </w:p>
        </w:tc>
        <w:tc>
          <w:tcPr>
            <w:tcW w:w="1378" w:type="dxa"/>
            <w:vAlign w:val="center"/>
          </w:tcPr>
          <w:p w14:paraId="4C558DD0" w14:textId="1F027E43" w:rsidR="0025542D" w:rsidRPr="00345388" w:rsidRDefault="00B431E0"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2.50</w:t>
            </w:r>
          </w:p>
        </w:tc>
      </w:tr>
      <w:tr w:rsidR="0025542D" w:rsidRPr="00345388" w14:paraId="15E229D0" w14:textId="77777777" w:rsidTr="00B11EDE">
        <w:trPr>
          <w:trHeight w:val="313"/>
        </w:trPr>
        <w:tc>
          <w:tcPr>
            <w:tcW w:w="4142" w:type="dxa"/>
          </w:tcPr>
          <w:p w14:paraId="4BF4DFEC" w14:textId="77777777" w:rsidR="0025542D" w:rsidRPr="00345388" w:rsidRDefault="0025542D" w:rsidP="00B11EDE">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Hospitalization for major bleeding</w:t>
            </w:r>
          </w:p>
        </w:tc>
        <w:tc>
          <w:tcPr>
            <w:tcW w:w="1628" w:type="dxa"/>
            <w:vAlign w:val="center"/>
          </w:tcPr>
          <w:p w14:paraId="0C3F2BBE" w14:textId="7342B4DB" w:rsidR="0025542D" w:rsidRPr="00345388" w:rsidRDefault="0025542D"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2.71</w:t>
            </w:r>
          </w:p>
        </w:tc>
        <w:tc>
          <w:tcPr>
            <w:tcW w:w="1478" w:type="dxa"/>
            <w:vAlign w:val="center"/>
          </w:tcPr>
          <w:p w14:paraId="6E7DC4AE" w14:textId="61D64AD8" w:rsidR="0025542D" w:rsidRPr="00345388" w:rsidRDefault="0025542D"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2.62</w:t>
            </w:r>
          </w:p>
        </w:tc>
        <w:tc>
          <w:tcPr>
            <w:tcW w:w="295" w:type="dxa"/>
            <w:vAlign w:val="center"/>
          </w:tcPr>
          <w:p w14:paraId="69EF2AF0" w14:textId="77777777" w:rsidR="0025542D" w:rsidRPr="00345388" w:rsidRDefault="0025542D" w:rsidP="00B11EDE">
            <w:pPr>
              <w:spacing w:line="480" w:lineRule="auto"/>
              <w:jc w:val="center"/>
              <w:rPr>
                <w:rFonts w:ascii="Times New Roman" w:hAnsi="Times New Roman" w:cs="Times New Roman"/>
                <w:color w:val="000000" w:themeColor="text1"/>
                <w:sz w:val="24"/>
                <w:szCs w:val="24"/>
              </w:rPr>
            </w:pPr>
          </w:p>
        </w:tc>
        <w:tc>
          <w:tcPr>
            <w:tcW w:w="1329" w:type="dxa"/>
            <w:vAlign w:val="center"/>
          </w:tcPr>
          <w:p w14:paraId="174F3067" w14:textId="5D87DC4A" w:rsidR="0025542D" w:rsidRPr="00345388" w:rsidRDefault="00B431E0"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2.50</w:t>
            </w:r>
          </w:p>
        </w:tc>
        <w:tc>
          <w:tcPr>
            <w:tcW w:w="1332" w:type="dxa"/>
            <w:vAlign w:val="center"/>
          </w:tcPr>
          <w:p w14:paraId="54009285" w14:textId="6E6F05D2" w:rsidR="0025542D" w:rsidRPr="00345388" w:rsidRDefault="00B431E0"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2.42</w:t>
            </w:r>
          </w:p>
        </w:tc>
        <w:tc>
          <w:tcPr>
            <w:tcW w:w="295" w:type="dxa"/>
            <w:vAlign w:val="center"/>
          </w:tcPr>
          <w:p w14:paraId="3501CD83" w14:textId="77777777" w:rsidR="0025542D" w:rsidRPr="00345388" w:rsidRDefault="0025542D" w:rsidP="00B11EDE">
            <w:pPr>
              <w:spacing w:line="480" w:lineRule="auto"/>
              <w:jc w:val="center"/>
              <w:rPr>
                <w:rFonts w:ascii="Times New Roman" w:hAnsi="Times New Roman" w:cs="Times New Roman"/>
                <w:color w:val="000000" w:themeColor="text1"/>
                <w:sz w:val="24"/>
                <w:szCs w:val="24"/>
              </w:rPr>
            </w:pPr>
          </w:p>
        </w:tc>
        <w:tc>
          <w:tcPr>
            <w:tcW w:w="1692" w:type="dxa"/>
            <w:vAlign w:val="center"/>
          </w:tcPr>
          <w:p w14:paraId="2135E239" w14:textId="086766F6" w:rsidR="0025542D" w:rsidRPr="00345388" w:rsidRDefault="00B431E0"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3.30</w:t>
            </w:r>
          </w:p>
        </w:tc>
        <w:tc>
          <w:tcPr>
            <w:tcW w:w="1378" w:type="dxa"/>
            <w:vAlign w:val="center"/>
          </w:tcPr>
          <w:p w14:paraId="2B347110" w14:textId="542BB42D" w:rsidR="0025542D" w:rsidRPr="00345388" w:rsidRDefault="00B431E0"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3.15</w:t>
            </w:r>
          </w:p>
        </w:tc>
      </w:tr>
      <w:tr w:rsidR="0025542D" w:rsidRPr="00345388" w14:paraId="588D0CC6" w14:textId="77777777" w:rsidTr="00B11EDE">
        <w:trPr>
          <w:trHeight w:val="313"/>
        </w:trPr>
        <w:tc>
          <w:tcPr>
            <w:tcW w:w="4142" w:type="dxa"/>
          </w:tcPr>
          <w:p w14:paraId="206AD07B" w14:textId="77777777" w:rsidR="0025542D" w:rsidRPr="00345388" w:rsidRDefault="0025542D" w:rsidP="00B11EDE">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All-cause death</w:t>
            </w:r>
          </w:p>
        </w:tc>
        <w:tc>
          <w:tcPr>
            <w:tcW w:w="1628" w:type="dxa"/>
            <w:vAlign w:val="center"/>
          </w:tcPr>
          <w:p w14:paraId="3CCCAFD6" w14:textId="186FB2C0" w:rsidR="0025542D" w:rsidRPr="00345388" w:rsidRDefault="0025542D"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4.94</w:t>
            </w:r>
          </w:p>
        </w:tc>
        <w:tc>
          <w:tcPr>
            <w:tcW w:w="1478" w:type="dxa"/>
            <w:vAlign w:val="center"/>
          </w:tcPr>
          <w:p w14:paraId="13828494" w14:textId="6912A9E3" w:rsidR="0025542D" w:rsidRPr="00345388" w:rsidRDefault="0025542D"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4.71</w:t>
            </w:r>
          </w:p>
        </w:tc>
        <w:tc>
          <w:tcPr>
            <w:tcW w:w="295" w:type="dxa"/>
            <w:vAlign w:val="center"/>
          </w:tcPr>
          <w:p w14:paraId="1124E175" w14:textId="77777777" w:rsidR="0025542D" w:rsidRPr="00345388" w:rsidRDefault="0025542D" w:rsidP="00B11EDE">
            <w:pPr>
              <w:spacing w:line="480" w:lineRule="auto"/>
              <w:jc w:val="center"/>
              <w:rPr>
                <w:rFonts w:ascii="Times New Roman" w:hAnsi="Times New Roman" w:cs="Times New Roman"/>
                <w:color w:val="000000" w:themeColor="text1"/>
                <w:sz w:val="24"/>
                <w:szCs w:val="24"/>
              </w:rPr>
            </w:pPr>
          </w:p>
        </w:tc>
        <w:tc>
          <w:tcPr>
            <w:tcW w:w="1329" w:type="dxa"/>
            <w:vAlign w:val="center"/>
          </w:tcPr>
          <w:p w14:paraId="4EEA081D" w14:textId="3FFF0855" w:rsidR="0025542D" w:rsidRPr="00345388" w:rsidRDefault="006171B0"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4.35</w:t>
            </w:r>
          </w:p>
        </w:tc>
        <w:tc>
          <w:tcPr>
            <w:tcW w:w="1332" w:type="dxa"/>
            <w:vAlign w:val="center"/>
          </w:tcPr>
          <w:p w14:paraId="03462CBC" w14:textId="60B073BB" w:rsidR="0025542D" w:rsidRPr="00345388" w:rsidRDefault="006171B0"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4.02</w:t>
            </w:r>
          </w:p>
        </w:tc>
        <w:tc>
          <w:tcPr>
            <w:tcW w:w="295" w:type="dxa"/>
            <w:vAlign w:val="center"/>
          </w:tcPr>
          <w:p w14:paraId="362EE6DD" w14:textId="77777777" w:rsidR="0025542D" w:rsidRPr="00345388" w:rsidRDefault="0025542D" w:rsidP="00B11EDE">
            <w:pPr>
              <w:spacing w:line="480" w:lineRule="auto"/>
              <w:jc w:val="center"/>
              <w:rPr>
                <w:rFonts w:ascii="Times New Roman" w:hAnsi="Times New Roman" w:cs="Times New Roman"/>
                <w:color w:val="000000" w:themeColor="text1"/>
                <w:sz w:val="24"/>
                <w:szCs w:val="24"/>
              </w:rPr>
            </w:pPr>
          </w:p>
        </w:tc>
        <w:tc>
          <w:tcPr>
            <w:tcW w:w="1692" w:type="dxa"/>
            <w:vAlign w:val="center"/>
          </w:tcPr>
          <w:p w14:paraId="405B7977" w14:textId="708E65DE" w:rsidR="0025542D" w:rsidRPr="00345388" w:rsidRDefault="00B431E0"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6.49</w:t>
            </w:r>
          </w:p>
        </w:tc>
        <w:tc>
          <w:tcPr>
            <w:tcW w:w="1378" w:type="dxa"/>
            <w:vAlign w:val="center"/>
          </w:tcPr>
          <w:p w14:paraId="104F9829" w14:textId="54808221" w:rsidR="0025542D" w:rsidRPr="00345388" w:rsidRDefault="00B431E0"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6.60</w:t>
            </w:r>
          </w:p>
        </w:tc>
      </w:tr>
      <w:tr w:rsidR="0025542D" w:rsidRPr="00345388" w14:paraId="5CD35E60" w14:textId="77777777" w:rsidTr="00B11EDE">
        <w:trPr>
          <w:trHeight w:val="313"/>
        </w:trPr>
        <w:tc>
          <w:tcPr>
            <w:tcW w:w="4142" w:type="dxa"/>
            <w:tcBorders>
              <w:bottom w:val="single" w:sz="4" w:space="0" w:color="auto"/>
            </w:tcBorders>
          </w:tcPr>
          <w:p w14:paraId="362FE464" w14:textId="77777777" w:rsidR="0025542D" w:rsidRPr="00345388" w:rsidRDefault="0025542D" w:rsidP="00B11EDE">
            <w:pPr>
              <w:spacing w:line="480" w:lineRule="auto"/>
              <w:rPr>
                <w:rFonts w:ascii="Times New Roman" w:hAnsi="Times New Roman" w:cs="Times New Roman"/>
                <w:b/>
                <w:color w:val="000000" w:themeColor="text1"/>
                <w:sz w:val="24"/>
                <w:szCs w:val="24"/>
              </w:rPr>
            </w:pPr>
            <w:r w:rsidRPr="00345388">
              <w:rPr>
                <w:rFonts w:ascii="Times New Roman" w:hAnsi="Times New Roman" w:cs="Times New Roman"/>
                <w:b/>
                <w:color w:val="000000" w:themeColor="text1"/>
                <w:sz w:val="24"/>
                <w:szCs w:val="24"/>
              </w:rPr>
              <w:t>Composite outcome</w:t>
            </w:r>
          </w:p>
        </w:tc>
        <w:tc>
          <w:tcPr>
            <w:tcW w:w="1628" w:type="dxa"/>
            <w:tcBorders>
              <w:bottom w:val="single" w:sz="4" w:space="0" w:color="auto"/>
            </w:tcBorders>
            <w:vAlign w:val="center"/>
          </w:tcPr>
          <w:p w14:paraId="6659AFB6" w14:textId="24F6419A" w:rsidR="0025542D" w:rsidRPr="00345388" w:rsidRDefault="0025542D"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9.55</w:t>
            </w:r>
          </w:p>
        </w:tc>
        <w:tc>
          <w:tcPr>
            <w:tcW w:w="1478" w:type="dxa"/>
            <w:tcBorders>
              <w:bottom w:val="single" w:sz="4" w:space="0" w:color="auto"/>
            </w:tcBorders>
            <w:vAlign w:val="center"/>
          </w:tcPr>
          <w:p w14:paraId="19B6BBBA" w14:textId="7EF65FB4" w:rsidR="0025542D" w:rsidRPr="00345388" w:rsidRDefault="00B431E0"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9</w:t>
            </w:r>
            <w:r w:rsidR="0025542D" w:rsidRPr="00345388">
              <w:rPr>
                <w:rFonts w:ascii="Times New Roman" w:hAnsi="Times New Roman" w:cs="Times New Roman"/>
                <w:color w:val="000000" w:themeColor="text1"/>
                <w:sz w:val="24"/>
                <w:szCs w:val="24"/>
              </w:rPr>
              <w:t>.04</w:t>
            </w:r>
          </w:p>
        </w:tc>
        <w:tc>
          <w:tcPr>
            <w:tcW w:w="295" w:type="dxa"/>
            <w:tcBorders>
              <w:bottom w:val="single" w:sz="4" w:space="0" w:color="auto"/>
            </w:tcBorders>
            <w:vAlign w:val="center"/>
          </w:tcPr>
          <w:p w14:paraId="124C838C" w14:textId="77777777" w:rsidR="0025542D" w:rsidRPr="00345388" w:rsidRDefault="0025542D" w:rsidP="00B11EDE">
            <w:pPr>
              <w:spacing w:line="480" w:lineRule="auto"/>
              <w:jc w:val="center"/>
              <w:rPr>
                <w:rFonts w:ascii="Times New Roman" w:hAnsi="Times New Roman" w:cs="Times New Roman"/>
                <w:color w:val="000000" w:themeColor="text1"/>
                <w:sz w:val="24"/>
                <w:szCs w:val="24"/>
              </w:rPr>
            </w:pPr>
          </w:p>
        </w:tc>
        <w:tc>
          <w:tcPr>
            <w:tcW w:w="1329" w:type="dxa"/>
            <w:tcBorders>
              <w:bottom w:val="single" w:sz="4" w:space="0" w:color="auto"/>
            </w:tcBorders>
            <w:vAlign w:val="center"/>
          </w:tcPr>
          <w:p w14:paraId="1C5F5572" w14:textId="432A718E" w:rsidR="0025542D" w:rsidRPr="00345388" w:rsidRDefault="00B431E0"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8.77</w:t>
            </w:r>
          </w:p>
        </w:tc>
        <w:tc>
          <w:tcPr>
            <w:tcW w:w="1332" w:type="dxa"/>
            <w:tcBorders>
              <w:bottom w:val="single" w:sz="4" w:space="0" w:color="auto"/>
            </w:tcBorders>
            <w:vAlign w:val="center"/>
          </w:tcPr>
          <w:p w14:paraId="105DCA1D" w14:textId="3B9707B9" w:rsidR="0025542D" w:rsidRPr="00345388" w:rsidRDefault="00B431E0"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7.86</w:t>
            </w:r>
          </w:p>
        </w:tc>
        <w:tc>
          <w:tcPr>
            <w:tcW w:w="295" w:type="dxa"/>
            <w:tcBorders>
              <w:bottom w:val="single" w:sz="4" w:space="0" w:color="auto"/>
            </w:tcBorders>
            <w:vAlign w:val="center"/>
          </w:tcPr>
          <w:p w14:paraId="791F69E3" w14:textId="77777777" w:rsidR="0025542D" w:rsidRPr="00345388" w:rsidRDefault="0025542D" w:rsidP="00B11EDE">
            <w:pPr>
              <w:spacing w:line="480" w:lineRule="auto"/>
              <w:jc w:val="center"/>
              <w:rPr>
                <w:rFonts w:ascii="Times New Roman" w:hAnsi="Times New Roman" w:cs="Times New Roman"/>
                <w:color w:val="000000" w:themeColor="text1"/>
                <w:sz w:val="24"/>
                <w:szCs w:val="24"/>
              </w:rPr>
            </w:pPr>
          </w:p>
        </w:tc>
        <w:tc>
          <w:tcPr>
            <w:tcW w:w="1692" w:type="dxa"/>
            <w:tcBorders>
              <w:bottom w:val="single" w:sz="4" w:space="0" w:color="auto"/>
            </w:tcBorders>
            <w:vAlign w:val="center"/>
          </w:tcPr>
          <w:p w14:paraId="452E21E0" w14:textId="0C454C5C" w:rsidR="0025542D" w:rsidRPr="00345388" w:rsidRDefault="00B431E0"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11.62</w:t>
            </w:r>
          </w:p>
        </w:tc>
        <w:tc>
          <w:tcPr>
            <w:tcW w:w="1378" w:type="dxa"/>
            <w:tcBorders>
              <w:bottom w:val="single" w:sz="4" w:space="0" w:color="auto"/>
            </w:tcBorders>
            <w:vAlign w:val="center"/>
          </w:tcPr>
          <w:p w14:paraId="15D66452" w14:textId="3334962A" w:rsidR="0025542D" w:rsidRPr="00345388" w:rsidRDefault="00B431E0" w:rsidP="00B11EDE">
            <w:pPr>
              <w:spacing w:line="480" w:lineRule="auto"/>
              <w:jc w:val="center"/>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12.27</w:t>
            </w:r>
          </w:p>
        </w:tc>
      </w:tr>
    </w:tbl>
    <w:p w14:paraId="33D878BE" w14:textId="000831F9" w:rsidR="0025542D" w:rsidRPr="00345388" w:rsidRDefault="0025542D" w:rsidP="0025542D">
      <w:pPr>
        <w:spacing w:line="480" w:lineRule="auto"/>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*Incidence rate</w:t>
      </w:r>
      <w:r w:rsidR="00B8646D" w:rsidRPr="00345388">
        <w:rPr>
          <w:rFonts w:ascii="Times New Roman" w:hAnsi="Times New Roman" w:cs="Times New Roman"/>
          <w:color w:val="000000" w:themeColor="text1"/>
          <w:sz w:val="24"/>
          <w:szCs w:val="24"/>
        </w:rPr>
        <w:t xml:space="preserve"> was calculated based on weighted number of events in weighted cohort</w:t>
      </w:r>
      <w:r w:rsidRPr="00345388">
        <w:rPr>
          <w:rFonts w:ascii="Times New Roman" w:hAnsi="Times New Roman" w:cs="Times New Roman"/>
          <w:color w:val="000000" w:themeColor="text1"/>
          <w:sz w:val="24"/>
          <w:szCs w:val="24"/>
        </w:rPr>
        <w:t xml:space="preserve"> </w:t>
      </w:r>
      <w:r w:rsidR="00B8646D" w:rsidRPr="00345388">
        <w:rPr>
          <w:rFonts w:ascii="Times New Roman" w:hAnsi="Times New Roman" w:cs="Times New Roman"/>
          <w:color w:val="000000" w:themeColor="text1"/>
          <w:sz w:val="24"/>
          <w:szCs w:val="24"/>
        </w:rPr>
        <w:t>(</w:t>
      </w:r>
      <w:r w:rsidRPr="00345388">
        <w:rPr>
          <w:rFonts w:ascii="Times New Roman" w:hAnsi="Times New Roman" w:cs="Times New Roman"/>
          <w:color w:val="000000" w:themeColor="text1"/>
          <w:sz w:val="24"/>
          <w:szCs w:val="24"/>
        </w:rPr>
        <w:t>per 100 person-years</w:t>
      </w:r>
      <w:r w:rsidR="00B8646D" w:rsidRPr="00345388">
        <w:rPr>
          <w:rFonts w:ascii="Times New Roman" w:hAnsi="Times New Roman" w:cs="Times New Roman"/>
          <w:color w:val="000000" w:themeColor="text1"/>
          <w:sz w:val="24"/>
          <w:szCs w:val="24"/>
        </w:rPr>
        <w:t>).</w:t>
      </w:r>
    </w:p>
    <w:p w14:paraId="129CF222" w14:textId="77777777" w:rsidR="0025542D" w:rsidRPr="00EB0B89" w:rsidRDefault="0025542D" w:rsidP="0025542D">
      <w:pPr>
        <w:spacing w:line="480" w:lineRule="auto"/>
        <w:rPr>
          <w:rFonts w:ascii="Times New Roman" w:hAnsi="Times New Roman" w:cs="Times New Roman"/>
          <w:color w:val="000000" w:themeColor="text1"/>
          <w:sz w:val="24"/>
          <w:szCs w:val="24"/>
        </w:rPr>
      </w:pPr>
      <w:r w:rsidRPr="00345388">
        <w:rPr>
          <w:rFonts w:ascii="Times New Roman" w:hAnsi="Times New Roman" w:cs="Times New Roman"/>
          <w:color w:val="000000" w:themeColor="text1"/>
          <w:sz w:val="24"/>
          <w:szCs w:val="24"/>
        </w:rPr>
        <w:t>Abbreviation: GI, gastrointestinal; NOAC, non-vitamin K antagonist oral anticoagulant</w:t>
      </w:r>
      <w:r w:rsidRPr="00EB0B89">
        <w:rPr>
          <w:rFonts w:ascii="Times New Roman" w:hAnsi="Times New Roman" w:cs="Times New Roman"/>
          <w:color w:val="000000" w:themeColor="text1"/>
          <w:sz w:val="24"/>
          <w:szCs w:val="24"/>
        </w:rPr>
        <w:t xml:space="preserve"> </w:t>
      </w:r>
    </w:p>
    <w:p w14:paraId="677835F4" w14:textId="77777777" w:rsidR="000265ED" w:rsidRPr="00EB0B89" w:rsidRDefault="000265ED" w:rsidP="000265ED">
      <w:pPr>
        <w:spacing w:line="480" w:lineRule="auto"/>
        <w:rPr>
          <w:rFonts w:ascii="Times New Roman" w:hAnsi="Times New Roman" w:cs="Times New Roman"/>
          <w:color w:val="000000" w:themeColor="text1"/>
          <w:sz w:val="24"/>
          <w:szCs w:val="24"/>
        </w:rPr>
      </w:pPr>
    </w:p>
    <w:p w14:paraId="3D15DEEB" w14:textId="77777777" w:rsidR="00754300" w:rsidRPr="00EB0B89" w:rsidRDefault="00754300" w:rsidP="00EE3F38">
      <w:pPr>
        <w:spacing w:line="480" w:lineRule="auto"/>
        <w:jc w:val="both"/>
        <w:rPr>
          <w:rFonts w:ascii="Times New Roman" w:hAnsi="Times New Roman" w:cs="Times New Roman"/>
          <w:b/>
          <w:sz w:val="24"/>
          <w:szCs w:val="24"/>
        </w:rPr>
      </w:pPr>
    </w:p>
    <w:sectPr w:rsidR="00754300" w:rsidRPr="00EB0B89" w:rsidSect="00FB644B">
      <w:type w:val="continuous"/>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91C0E" w14:textId="77777777" w:rsidR="00891241" w:rsidRDefault="00891241" w:rsidP="00A0355F">
      <w:pPr>
        <w:spacing w:after="0" w:line="240" w:lineRule="auto"/>
      </w:pPr>
      <w:r>
        <w:separator/>
      </w:r>
    </w:p>
  </w:endnote>
  <w:endnote w:type="continuationSeparator" w:id="0">
    <w:p w14:paraId="35D796FC" w14:textId="77777777" w:rsidR="00891241" w:rsidRDefault="00891241" w:rsidP="00A0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77237031"/>
      <w:docPartObj>
        <w:docPartGallery w:val="Page Numbers (Bottom of Page)"/>
        <w:docPartUnique/>
      </w:docPartObj>
    </w:sdtPr>
    <w:sdtEndPr>
      <w:rPr>
        <w:rStyle w:val="PageNumber"/>
      </w:rPr>
    </w:sdtEndPr>
    <w:sdtContent>
      <w:p w14:paraId="095C20AC" w14:textId="6DE563B5" w:rsidR="007515B6" w:rsidRDefault="007515B6" w:rsidP="00EB0B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28AC05" w14:textId="77777777" w:rsidR="007515B6" w:rsidRDefault="007515B6" w:rsidP="00EB0B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59270042"/>
      <w:docPartObj>
        <w:docPartGallery w:val="Page Numbers (Bottom of Page)"/>
        <w:docPartUnique/>
      </w:docPartObj>
    </w:sdtPr>
    <w:sdtEndPr>
      <w:rPr>
        <w:rStyle w:val="PageNumber"/>
      </w:rPr>
    </w:sdtEndPr>
    <w:sdtContent>
      <w:p w14:paraId="7FA573B2" w14:textId="18549411" w:rsidR="007515B6" w:rsidRDefault="007515B6" w:rsidP="007515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B0397">
          <w:rPr>
            <w:rStyle w:val="PageNumber"/>
            <w:noProof/>
          </w:rPr>
          <w:t>1</w:t>
        </w:r>
        <w:r>
          <w:rPr>
            <w:rStyle w:val="PageNumber"/>
          </w:rPr>
          <w:fldChar w:fldCharType="end"/>
        </w:r>
      </w:p>
    </w:sdtContent>
  </w:sdt>
  <w:p w14:paraId="62796816" w14:textId="7A671165" w:rsidR="007515B6" w:rsidRPr="00FB066F" w:rsidRDefault="007515B6" w:rsidP="00EB0B89">
    <w:pPr>
      <w:pStyle w:val="Footer"/>
      <w:framePr w:wrap="none" w:vAnchor="text" w:hAnchor="margin" w:xAlign="center" w:y="1"/>
      <w:ind w:right="360"/>
      <w:rPr>
        <w:rStyle w:val="PageNumber"/>
      </w:rPr>
    </w:pPr>
  </w:p>
  <w:p w14:paraId="22E26640" w14:textId="77777777" w:rsidR="007515B6" w:rsidRPr="00FB066F" w:rsidRDefault="00751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6899E" w14:textId="77777777" w:rsidR="00891241" w:rsidRDefault="00891241" w:rsidP="00A0355F">
      <w:pPr>
        <w:spacing w:after="0" w:line="240" w:lineRule="auto"/>
      </w:pPr>
      <w:r>
        <w:separator/>
      </w:r>
    </w:p>
  </w:footnote>
  <w:footnote w:type="continuationSeparator" w:id="0">
    <w:p w14:paraId="2A3C2D6C" w14:textId="77777777" w:rsidR="00891241" w:rsidRDefault="00891241" w:rsidP="00A03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96D38"/>
    <w:multiLevelType w:val="hybridMultilevel"/>
    <w:tmpl w:val="D3DC2A08"/>
    <w:lvl w:ilvl="0" w:tplc="A1F84D3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4E3461A0"/>
    <w:multiLevelType w:val="hybridMultilevel"/>
    <w:tmpl w:val="9806B1DC"/>
    <w:lvl w:ilvl="0" w:tplc="4AB8CC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6B8120E"/>
    <w:multiLevelType w:val="multilevel"/>
    <w:tmpl w:val="9FB2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638C3"/>
    <w:multiLevelType w:val="multilevel"/>
    <w:tmpl w:val="7B98ED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ko-KR" w:vendorID="64" w:dllVersion="0" w:nlCheck="1" w:checkStyle="0"/>
  <w:activeWritingStyle w:appName="MSWord" w:lang="en-US" w:vendorID="64" w:dllVersion="6" w:nlCheck="1" w:checkStyle="1"/>
  <w:activeWritingStyle w:appName="MSWord" w:lang="ko-KR" w:vendorID="64" w:dllVersion="5"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58"/>
    <w:rsid w:val="00000CF3"/>
    <w:rsid w:val="00001019"/>
    <w:rsid w:val="0000605C"/>
    <w:rsid w:val="00013A56"/>
    <w:rsid w:val="0001594E"/>
    <w:rsid w:val="00017CB3"/>
    <w:rsid w:val="00022E8C"/>
    <w:rsid w:val="000265ED"/>
    <w:rsid w:val="000275F5"/>
    <w:rsid w:val="00027EF7"/>
    <w:rsid w:val="0003442B"/>
    <w:rsid w:val="00035DAD"/>
    <w:rsid w:val="00042045"/>
    <w:rsid w:val="00045320"/>
    <w:rsid w:val="00051FCB"/>
    <w:rsid w:val="00054E98"/>
    <w:rsid w:val="00056F8A"/>
    <w:rsid w:val="00062A19"/>
    <w:rsid w:val="00064AF3"/>
    <w:rsid w:val="00065B9B"/>
    <w:rsid w:val="00067242"/>
    <w:rsid w:val="000674B7"/>
    <w:rsid w:val="000709A2"/>
    <w:rsid w:val="00071301"/>
    <w:rsid w:val="00082C4B"/>
    <w:rsid w:val="00085BBA"/>
    <w:rsid w:val="00087638"/>
    <w:rsid w:val="00090BD6"/>
    <w:rsid w:val="0009491E"/>
    <w:rsid w:val="00095785"/>
    <w:rsid w:val="00095E52"/>
    <w:rsid w:val="000A3E25"/>
    <w:rsid w:val="000A3E86"/>
    <w:rsid w:val="000A78E5"/>
    <w:rsid w:val="000B61EE"/>
    <w:rsid w:val="000C4F55"/>
    <w:rsid w:val="000D47FC"/>
    <w:rsid w:val="000E122F"/>
    <w:rsid w:val="000E1714"/>
    <w:rsid w:val="000E3A5A"/>
    <w:rsid w:val="000E78F8"/>
    <w:rsid w:val="000F2C8E"/>
    <w:rsid w:val="000F5374"/>
    <w:rsid w:val="000F5651"/>
    <w:rsid w:val="00100E6F"/>
    <w:rsid w:val="00101149"/>
    <w:rsid w:val="00101D28"/>
    <w:rsid w:val="00103415"/>
    <w:rsid w:val="00104713"/>
    <w:rsid w:val="00110AEE"/>
    <w:rsid w:val="00111151"/>
    <w:rsid w:val="0011634A"/>
    <w:rsid w:val="00116E95"/>
    <w:rsid w:val="0011759E"/>
    <w:rsid w:val="00122864"/>
    <w:rsid w:val="00122E7B"/>
    <w:rsid w:val="00127CFA"/>
    <w:rsid w:val="00142FC0"/>
    <w:rsid w:val="001516CD"/>
    <w:rsid w:val="001534A7"/>
    <w:rsid w:val="001543F9"/>
    <w:rsid w:val="001552A4"/>
    <w:rsid w:val="001635B6"/>
    <w:rsid w:val="00170155"/>
    <w:rsid w:val="0017262A"/>
    <w:rsid w:val="001855D0"/>
    <w:rsid w:val="00186C61"/>
    <w:rsid w:val="001936C9"/>
    <w:rsid w:val="00194784"/>
    <w:rsid w:val="001A2CC2"/>
    <w:rsid w:val="001A2F81"/>
    <w:rsid w:val="001A44CC"/>
    <w:rsid w:val="001B0397"/>
    <w:rsid w:val="001B21A9"/>
    <w:rsid w:val="001B2704"/>
    <w:rsid w:val="001B2A5B"/>
    <w:rsid w:val="001B30C9"/>
    <w:rsid w:val="001B6E0C"/>
    <w:rsid w:val="001C59C1"/>
    <w:rsid w:val="001C7F64"/>
    <w:rsid w:val="001D157F"/>
    <w:rsid w:val="001D7201"/>
    <w:rsid w:val="001E47EB"/>
    <w:rsid w:val="001E6ECF"/>
    <w:rsid w:val="001F1D85"/>
    <w:rsid w:val="001F3928"/>
    <w:rsid w:val="001F526B"/>
    <w:rsid w:val="00200D01"/>
    <w:rsid w:val="00203333"/>
    <w:rsid w:val="00205AEA"/>
    <w:rsid w:val="002117DB"/>
    <w:rsid w:val="002216B2"/>
    <w:rsid w:val="00223EA0"/>
    <w:rsid w:val="00232A1F"/>
    <w:rsid w:val="0023339B"/>
    <w:rsid w:val="0023545C"/>
    <w:rsid w:val="00241B71"/>
    <w:rsid w:val="00242D9F"/>
    <w:rsid w:val="00244B97"/>
    <w:rsid w:val="00251AF1"/>
    <w:rsid w:val="0025542D"/>
    <w:rsid w:val="0025708D"/>
    <w:rsid w:val="00257F16"/>
    <w:rsid w:val="002672B3"/>
    <w:rsid w:val="00274550"/>
    <w:rsid w:val="00276DBB"/>
    <w:rsid w:val="00282450"/>
    <w:rsid w:val="00282C2A"/>
    <w:rsid w:val="00284BE2"/>
    <w:rsid w:val="00285B7E"/>
    <w:rsid w:val="00290F48"/>
    <w:rsid w:val="00296772"/>
    <w:rsid w:val="002A0E79"/>
    <w:rsid w:val="002A11D0"/>
    <w:rsid w:val="002A1B5C"/>
    <w:rsid w:val="002A329E"/>
    <w:rsid w:val="002A738B"/>
    <w:rsid w:val="002B2C41"/>
    <w:rsid w:val="002B759A"/>
    <w:rsid w:val="002C455A"/>
    <w:rsid w:val="002D59DE"/>
    <w:rsid w:val="002E0581"/>
    <w:rsid w:val="002E1167"/>
    <w:rsid w:val="002E1DD5"/>
    <w:rsid w:val="002F00A0"/>
    <w:rsid w:val="002F0769"/>
    <w:rsid w:val="002F6E2F"/>
    <w:rsid w:val="003117BE"/>
    <w:rsid w:val="00314461"/>
    <w:rsid w:val="003168E1"/>
    <w:rsid w:val="00323AD7"/>
    <w:rsid w:val="003331AC"/>
    <w:rsid w:val="003418E1"/>
    <w:rsid w:val="00345388"/>
    <w:rsid w:val="00361011"/>
    <w:rsid w:val="00364885"/>
    <w:rsid w:val="00367288"/>
    <w:rsid w:val="00375978"/>
    <w:rsid w:val="003811B1"/>
    <w:rsid w:val="00385EC3"/>
    <w:rsid w:val="00386883"/>
    <w:rsid w:val="00390A44"/>
    <w:rsid w:val="00391843"/>
    <w:rsid w:val="00392A35"/>
    <w:rsid w:val="003A211E"/>
    <w:rsid w:val="003A50BF"/>
    <w:rsid w:val="003A5D3E"/>
    <w:rsid w:val="003B38A2"/>
    <w:rsid w:val="003C0A97"/>
    <w:rsid w:val="003C10BF"/>
    <w:rsid w:val="003C28A5"/>
    <w:rsid w:val="003C3042"/>
    <w:rsid w:val="003C4B7E"/>
    <w:rsid w:val="003C65E3"/>
    <w:rsid w:val="003F0C33"/>
    <w:rsid w:val="003F6241"/>
    <w:rsid w:val="004012FE"/>
    <w:rsid w:val="00401460"/>
    <w:rsid w:val="004036C8"/>
    <w:rsid w:val="00403BC1"/>
    <w:rsid w:val="00407E04"/>
    <w:rsid w:val="0041088F"/>
    <w:rsid w:val="00411AE4"/>
    <w:rsid w:val="004260FF"/>
    <w:rsid w:val="00432B58"/>
    <w:rsid w:val="00440472"/>
    <w:rsid w:val="00456CEA"/>
    <w:rsid w:val="00476E8C"/>
    <w:rsid w:val="00484C7C"/>
    <w:rsid w:val="00487A84"/>
    <w:rsid w:val="00493440"/>
    <w:rsid w:val="00493A91"/>
    <w:rsid w:val="004A0F87"/>
    <w:rsid w:val="004A188A"/>
    <w:rsid w:val="004A408D"/>
    <w:rsid w:val="004B2FFE"/>
    <w:rsid w:val="004B5E69"/>
    <w:rsid w:val="004B6A30"/>
    <w:rsid w:val="004C408C"/>
    <w:rsid w:val="004C58DA"/>
    <w:rsid w:val="004C703B"/>
    <w:rsid w:val="004D57AF"/>
    <w:rsid w:val="004D6B28"/>
    <w:rsid w:val="004E507F"/>
    <w:rsid w:val="004F25BF"/>
    <w:rsid w:val="004F4101"/>
    <w:rsid w:val="004F514C"/>
    <w:rsid w:val="0051342B"/>
    <w:rsid w:val="0051429A"/>
    <w:rsid w:val="00516C67"/>
    <w:rsid w:val="00516FAC"/>
    <w:rsid w:val="005178B1"/>
    <w:rsid w:val="00530F1F"/>
    <w:rsid w:val="00537D9E"/>
    <w:rsid w:val="0054175C"/>
    <w:rsid w:val="005444E5"/>
    <w:rsid w:val="0054519A"/>
    <w:rsid w:val="00546933"/>
    <w:rsid w:val="00546D0C"/>
    <w:rsid w:val="005472F0"/>
    <w:rsid w:val="00552271"/>
    <w:rsid w:val="005558C2"/>
    <w:rsid w:val="00556A00"/>
    <w:rsid w:val="00561271"/>
    <w:rsid w:val="00562A76"/>
    <w:rsid w:val="005645D1"/>
    <w:rsid w:val="00564D20"/>
    <w:rsid w:val="00565051"/>
    <w:rsid w:val="00570F4F"/>
    <w:rsid w:val="00571A96"/>
    <w:rsid w:val="00572D52"/>
    <w:rsid w:val="00573872"/>
    <w:rsid w:val="00580F31"/>
    <w:rsid w:val="005820DB"/>
    <w:rsid w:val="00582E1D"/>
    <w:rsid w:val="00583348"/>
    <w:rsid w:val="005836FE"/>
    <w:rsid w:val="00584856"/>
    <w:rsid w:val="0059005F"/>
    <w:rsid w:val="005921F6"/>
    <w:rsid w:val="00593BB4"/>
    <w:rsid w:val="0059618D"/>
    <w:rsid w:val="00597B82"/>
    <w:rsid w:val="005A12E5"/>
    <w:rsid w:val="005A2DBB"/>
    <w:rsid w:val="005A3A85"/>
    <w:rsid w:val="005B16C6"/>
    <w:rsid w:val="005B1CD6"/>
    <w:rsid w:val="005B48C5"/>
    <w:rsid w:val="005C2D43"/>
    <w:rsid w:val="005D2654"/>
    <w:rsid w:val="005E66A8"/>
    <w:rsid w:val="005E77AF"/>
    <w:rsid w:val="005F2E52"/>
    <w:rsid w:val="005F41C2"/>
    <w:rsid w:val="005F434A"/>
    <w:rsid w:val="00601775"/>
    <w:rsid w:val="0061215E"/>
    <w:rsid w:val="006171B0"/>
    <w:rsid w:val="006221E7"/>
    <w:rsid w:val="006224DB"/>
    <w:rsid w:val="00622755"/>
    <w:rsid w:val="006234F1"/>
    <w:rsid w:val="0063384B"/>
    <w:rsid w:val="00634951"/>
    <w:rsid w:val="00636D93"/>
    <w:rsid w:val="0065010B"/>
    <w:rsid w:val="006640EC"/>
    <w:rsid w:val="00665DFA"/>
    <w:rsid w:val="0067083C"/>
    <w:rsid w:val="006738C8"/>
    <w:rsid w:val="006749ED"/>
    <w:rsid w:val="006775F8"/>
    <w:rsid w:val="00681F57"/>
    <w:rsid w:val="006842BC"/>
    <w:rsid w:val="00697AAF"/>
    <w:rsid w:val="006A178E"/>
    <w:rsid w:val="006A4338"/>
    <w:rsid w:val="006B0991"/>
    <w:rsid w:val="006B14C5"/>
    <w:rsid w:val="006B5233"/>
    <w:rsid w:val="006C4E56"/>
    <w:rsid w:val="006C7B73"/>
    <w:rsid w:val="006D265D"/>
    <w:rsid w:val="006D34AA"/>
    <w:rsid w:val="006D4640"/>
    <w:rsid w:val="006D4B75"/>
    <w:rsid w:val="006D7175"/>
    <w:rsid w:val="006E2212"/>
    <w:rsid w:val="0071295A"/>
    <w:rsid w:val="007151D1"/>
    <w:rsid w:val="00716FC4"/>
    <w:rsid w:val="007211E0"/>
    <w:rsid w:val="00724D4D"/>
    <w:rsid w:val="00734FF8"/>
    <w:rsid w:val="00740DD3"/>
    <w:rsid w:val="00740F89"/>
    <w:rsid w:val="007515B6"/>
    <w:rsid w:val="00754300"/>
    <w:rsid w:val="00755000"/>
    <w:rsid w:val="007672FA"/>
    <w:rsid w:val="00772157"/>
    <w:rsid w:val="007748E8"/>
    <w:rsid w:val="00777BD4"/>
    <w:rsid w:val="00783513"/>
    <w:rsid w:val="007839F4"/>
    <w:rsid w:val="007847F4"/>
    <w:rsid w:val="00791DE2"/>
    <w:rsid w:val="00792815"/>
    <w:rsid w:val="00793C40"/>
    <w:rsid w:val="007A6096"/>
    <w:rsid w:val="007B016C"/>
    <w:rsid w:val="007B25C5"/>
    <w:rsid w:val="007B32E9"/>
    <w:rsid w:val="007B51B1"/>
    <w:rsid w:val="007C6CC6"/>
    <w:rsid w:val="007D315B"/>
    <w:rsid w:val="007E0F18"/>
    <w:rsid w:val="007E13AF"/>
    <w:rsid w:val="007F2445"/>
    <w:rsid w:val="007F3245"/>
    <w:rsid w:val="007F75BD"/>
    <w:rsid w:val="00803A1C"/>
    <w:rsid w:val="00805EFB"/>
    <w:rsid w:val="00806F56"/>
    <w:rsid w:val="00810D1A"/>
    <w:rsid w:val="00810D7A"/>
    <w:rsid w:val="00811A3F"/>
    <w:rsid w:val="0082715D"/>
    <w:rsid w:val="008308B9"/>
    <w:rsid w:val="00831123"/>
    <w:rsid w:val="00834C91"/>
    <w:rsid w:val="00837B80"/>
    <w:rsid w:val="00843828"/>
    <w:rsid w:val="008453D5"/>
    <w:rsid w:val="00846250"/>
    <w:rsid w:val="008464BF"/>
    <w:rsid w:val="00864B3A"/>
    <w:rsid w:val="00865EAC"/>
    <w:rsid w:val="00883165"/>
    <w:rsid w:val="00883C91"/>
    <w:rsid w:val="00885972"/>
    <w:rsid w:val="00891241"/>
    <w:rsid w:val="00895CD3"/>
    <w:rsid w:val="008A023A"/>
    <w:rsid w:val="008A0CC8"/>
    <w:rsid w:val="008A1D04"/>
    <w:rsid w:val="008A3954"/>
    <w:rsid w:val="008B0308"/>
    <w:rsid w:val="008B1939"/>
    <w:rsid w:val="008B4ADF"/>
    <w:rsid w:val="008B5057"/>
    <w:rsid w:val="008B660E"/>
    <w:rsid w:val="008B6CFC"/>
    <w:rsid w:val="008C6D99"/>
    <w:rsid w:val="008D204C"/>
    <w:rsid w:val="008D4179"/>
    <w:rsid w:val="008D77F4"/>
    <w:rsid w:val="008E5130"/>
    <w:rsid w:val="008F4F0B"/>
    <w:rsid w:val="008F5502"/>
    <w:rsid w:val="00902D51"/>
    <w:rsid w:val="00905B43"/>
    <w:rsid w:val="00910B6F"/>
    <w:rsid w:val="009120A3"/>
    <w:rsid w:val="00914E19"/>
    <w:rsid w:val="00915589"/>
    <w:rsid w:val="00915BAF"/>
    <w:rsid w:val="00923DDC"/>
    <w:rsid w:val="009250B7"/>
    <w:rsid w:val="00930CFD"/>
    <w:rsid w:val="0093266F"/>
    <w:rsid w:val="00934740"/>
    <w:rsid w:val="0093664F"/>
    <w:rsid w:val="009444AD"/>
    <w:rsid w:val="0094558C"/>
    <w:rsid w:val="00957564"/>
    <w:rsid w:val="0096575F"/>
    <w:rsid w:val="00974DDE"/>
    <w:rsid w:val="0098355E"/>
    <w:rsid w:val="009902B6"/>
    <w:rsid w:val="009A2ABF"/>
    <w:rsid w:val="009A53F2"/>
    <w:rsid w:val="009A72DA"/>
    <w:rsid w:val="009A7991"/>
    <w:rsid w:val="009B4B2D"/>
    <w:rsid w:val="009B7838"/>
    <w:rsid w:val="009C108F"/>
    <w:rsid w:val="009C1166"/>
    <w:rsid w:val="009D1E70"/>
    <w:rsid w:val="009D32F8"/>
    <w:rsid w:val="009E2CC3"/>
    <w:rsid w:val="009E3309"/>
    <w:rsid w:val="009F4A7F"/>
    <w:rsid w:val="009F4B85"/>
    <w:rsid w:val="009F534E"/>
    <w:rsid w:val="009F5B1A"/>
    <w:rsid w:val="00A0070A"/>
    <w:rsid w:val="00A0355F"/>
    <w:rsid w:val="00A03A5C"/>
    <w:rsid w:val="00A13295"/>
    <w:rsid w:val="00A16404"/>
    <w:rsid w:val="00A2159A"/>
    <w:rsid w:val="00A21F01"/>
    <w:rsid w:val="00A23350"/>
    <w:rsid w:val="00A24897"/>
    <w:rsid w:val="00A31E01"/>
    <w:rsid w:val="00A3566D"/>
    <w:rsid w:val="00A372D8"/>
    <w:rsid w:val="00A4561D"/>
    <w:rsid w:val="00A509CD"/>
    <w:rsid w:val="00A53E04"/>
    <w:rsid w:val="00A54681"/>
    <w:rsid w:val="00A56F02"/>
    <w:rsid w:val="00A57365"/>
    <w:rsid w:val="00A66911"/>
    <w:rsid w:val="00A66B48"/>
    <w:rsid w:val="00A6746C"/>
    <w:rsid w:val="00A7040D"/>
    <w:rsid w:val="00A70B7A"/>
    <w:rsid w:val="00A76A85"/>
    <w:rsid w:val="00A86B98"/>
    <w:rsid w:val="00A86EDB"/>
    <w:rsid w:val="00A967FE"/>
    <w:rsid w:val="00A9794B"/>
    <w:rsid w:val="00AA1C34"/>
    <w:rsid w:val="00AA4B4D"/>
    <w:rsid w:val="00AA6690"/>
    <w:rsid w:val="00AA709D"/>
    <w:rsid w:val="00AB096A"/>
    <w:rsid w:val="00AB2EEE"/>
    <w:rsid w:val="00AB4466"/>
    <w:rsid w:val="00AB6628"/>
    <w:rsid w:val="00AC627C"/>
    <w:rsid w:val="00AC6AE8"/>
    <w:rsid w:val="00AD1924"/>
    <w:rsid w:val="00AD1BD0"/>
    <w:rsid w:val="00AD358D"/>
    <w:rsid w:val="00AD58D7"/>
    <w:rsid w:val="00AD73C7"/>
    <w:rsid w:val="00AE044F"/>
    <w:rsid w:val="00AE0D47"/>
    <w:rsid w:val="00AE0D95"/>
    <w:rsid w:val="00AE2DDD"/>
    <w:rsid w:val="00AE6A2A"/>
    <w:rsid w:val="00AE6CF7"/>
    <w:rsid w:val="00AE76FD"/>
    <w:rsid w:val="00AF1427"/>
    <w:rsid w:val="00AF3615"/>
    <w:rsid w:val="00B02711"/>
    <w:rsid w:val="00B10538"/>
    <w:rsid w:val="00B11EDE"/>
    <w:rsid w:val="00B12BBB"/>
    <w:rsid w:val="00B131EB"/>
    <w:rsid w:val="00B15F5E"/>
    <w:rsid w:val="00B16129"/>
    <w:rsid w:val="00B17192"/>
    <w:rsid w:val="00B22442"/>
    <w:rsid w:val="00B27A77"/>
    <w:rsid w:val="00B27D0B"/>
    <w:rsid w:val="00B303B8"/>
    <w:rsid w:val="00B31A0B"/>
    <w:rsid w:val="00B351C3"/>
    <w:rsid w:val="00B36868"/>
    <w:rsid w:val="00B4141E"/>
    <w:rsid w:val="00B431E0"/>
    <w:rsid w:val="00B448D8"/>
    <w:rsid w:val="00B4760F"/>
    <w:rsid w:val="00B55F67"/>
    <w:rsid w:val="00B62926"/>
    <w:rsid w:val="00B66A63"/>
    <w:rsid w:val="00B82218"/>
    <w:rsid w:val="00B86195"/>
    <w:rsid w:val="00B8646D"/>
    <w:rsid w:val="00BB05E8"/>
    <w:rsid w:val="00BB6273"/>
    <w:rsid w:val="00BB6429"/>
    <w:rsid w:val="00BC0DC6"/>
    <w:rsid w:val="00BC7F96"/>
    <w:rsid w:val="00BD6258"/>
    <w:rsid w:val="00BD7B1F"/>
    <w:rsid w:val="00BD7BC5"/>
    <w:rsid w:val="00BE0BAD"/>
    <w:rsid w:val="00BE0DE8"/>
    <w:rsid w:val="00BE19C4"/>
    <w:rsid w:val="00BF466C"/>
    <w:rsid w:val="00C00827"/>
    <w:rsid w:val="00C04C0A"/>
    <w:rsid w:val="00C05283"/>
    <w:rsid w:val="00C12391"/>
    <w:rsid w:val="00C13CCD"/>
    <w:rsid w:val="00C14D19"/>
    <w:rsid w:val="00C14F56"/>
    <w:rsid w:val="00C16B8F"/>
    <w:rsid w:val="00C2077C"/>
    <w:rsid w:val="00C20F39"/>
    <w:rsid w:val="00C24A8A"/>
    <w:rsid w:val="00C33DA7"/>
    <w:rsid w:val="00C34707"/>
    <w:rsid w:val="00C3533F"/>
    <w:rsid w:val="00C35E99"/>
    <w:rsid w:val="00C363B6"/>
    <w:rsid w:val="00C371AD"/>
    <w:rsid w:val="00C3732F"/>
    <w:rsid w:val="00C42056"/>
    <w:rsid w:val="00C43813"/>
    <w:rsid w:val="00C43C2C"/>
    <w:rsid w:val="00C4716E"/>
    <w:rsid w:val="00C523AA"/>
    <w:rsid w:val="00C52412"/>
    <w:rsid w:val="00C525EA"/>
    <w:rsid w:val="00C526FD"/>
    <w:rsid w:val="00C5437E"/>
    <w:rsid w:val="00C57438"/>
    <w:rsid w:val="00C628F7"/>
    <w:rsid w:val="00C64F2A"/>
    <w:rsid w:val="00C749DA"/>
    <w:rsid w:val="00C758FC"/>
    <w:rsid w:val="00C823C5"/>
    <w:rsid w:val="00C90DB2"/>
    <w:rsid w:val="00CA28D3"/>
    <w:rsid w:val="00CA6007"/>
    <w:rsid w:val="00CB2103"/>
    <w:rsid w:val="00CC22E6"/>
    <w:rsid w:val="00CC3208"/>
    <w:rsid w:val="00CC46C6"/>
    <w:rsid w:val="00CC6E50"/>
    <w:rsid w:val="00CD1D13"/>
    <w:rsid w:val="00CD3D21"/>
    <w:rsid w:val="00CE0187"/>
    <w:rsid w:val="00CE09E0"/>
    <w:rsid w:val="00CE0CFD"/>
    <w:rsid w:val="00CE7F29"/>
    <w:rsid w:val="00CF3092"/>
    <w:rsid w:val="00CF5AE2"/>
    <w:rsid w:val="00D05181"/>
    <w:rsid w:val="00D0693A"/>
    <w:rsid w:val="00D1327A"/>
    <w:rsid w:val="00D16F54"/>
    <w:rsid w:val="00D2328D"/>
    <w:rsid w:val="00D31DA7"/>
    <w:rsid w:val="00D37F5C"/>
    <w:rsid w:val="00D430F9"/>
    <w:rsid w:val="00D4330B"/>
    <w:rsid w:val="00D448EE"/>
    <w:rsid w:val="00D4509C"/>
    <w:rsid w:val="00D5199A"/>
    <w:rsid w:val="00D53137"/>
    <w:rsid w:val="00D53C6B"/>
    <w:rsid w:val="00D568E1"/>
    <w:rsid w:val="00D57CF8"/>
    <w:rsid w:val="00D623DC"/>
    <w:rsid w:val="00D64F90"/>
    <w:rsid w:val="00D65667"/>
    <w:rsid w:val="00D7248A"/>
    <w:rsid w:val="00D81735"/>
    <w:rsid w:val="00D84D9F"/>
    <w:rsid w:val="00D859BB"/>
    <w:rsid w:val="00D870B7"/>
    <w:rsid w:val="00D87DD5"/>
    <w:rsid w:val="00D91D06"/>
    <w:rsid w:val="00D932F8"/>
    <w:rsid w:val="00D94846"/>
    <w:rsid w:val="00D96588"/>
    <w:rsid w:val="00D96BD9"/>
    <w:rsid w:val="00DA1999"/>
    <w:rsid w:val="00DA3F32"/>
    <w:rsid w:val="00DA4AFB"/>
    <w:rsid w:val="00DA4BED"/>
    <w:rsid w:val="00DA5A14"/>
    <w:rsid w:val="00DA64A2"/>
    <w:rsid w:val="00DA7110"/>
    <w:rsid w:val="00DB1D65"/>
    <w:rsid w:val="00DB46AA"/>
    <w:rsid w:val="00DB62A9"/>
    <w:rsid w:val="00DC364D"/>
    <w:rsid w:val="00DD0B0A"/>
    <w:rsid w:val="00DD1881"/>
    <w:rsid w:val="00DE0672"/>
    <w:rsid w:val="00DE4F78"/>
    <w:rsid w:val="00DF0F65"/>
    <w:rsid w:val="00DF15E1"/>
    <w:rsid w:val="00DF3DA6"/>
    <w:rsid w:val="00DF41DB"/>
    <w:rsid w:val="00DF5C81"/>
    <w:rsid w:val="00DF7B18"/>
    <w:rsid w:val="00E17C9D"/>
    <w:rsid w:val="00E20896"/>
    <w:rsid w:val="00E2304B"/>
    <w:rsid w:val="00E2591C"/>
    <w:rsid w:val="00E25BA9"/>
    <w:rsid w:val="00E31C4A"/>
    <w:rsid w:val="00E334EE"/>
    <w:rsid w:val="00E34895"/>
    <w:rsid w:val="00E365E5"/>
    <w:rsid w:val="00E36A22"/>
    <w:rsid w:val="00E446C4"/>
    <w:rsid w:val="00E505DC"/>
    <w:rsid w:val="00E51517"/>
    <w:rsid w:val="00E65ACF"/>
    <w:rsid w:val="00E673E4"/>
    <w:rsid w:val="00E70C8F"/>
    <w:rsid w:val="00E75564"/>
    <w:rsid w:val="00E76587"/>
    <w:rsid w:val="00E77D2B"/>
    <w:rsid w:val="00E809D3"/>
    <w:rsid w:val="00E84F86"/>
    <w:rsid w:val="00E90644"/>
    <w:rsid w:val="00E945ED"/>
    <w:rsid w:val="00EA4338"/>
    <w:rsid w:val="00EA4783"/>
    <w:rsid w:val="00EA5181"/>
    <w:rsid w:val="00EA65B5"/>
    <w:rsid w:val="00EB0B89"/>
    <w:rsid w:val="00EB4D2A"/>
    <w:rsid w:val="00EC0A5F"/>
    <w:rsid w:val="00EC425F"/>
    <w:rsid w:val="00EC7E5B"/>
    <w:rsid w:val="00ED3B3C"/>
    <w:rsid w:val="00ED3FAE"/>
    <w:rsid w:val="00ED4CF5"/>
    <w:rsid w:val="00ED75D0"/>
    <w:rsid w:val="00ED7A4B"/>
    <w:rsid w:val="00EE3F38"/>
    <w:rsid w:val="00EE68A2"/>
    <w:rsid w:val="00EE6C40"/>
    <w:rsid w:val="00EE72AB"/>
    <w:rsid w:val="00EF1B1A"/>
    <w:rsid w:val="00F00CE5"/>
    <w:rsid w:val="00F01626"/>
    <w:rsid w:val="00F031FB"/>
    <w:rsid w:val="00F05043"/>
    <w:rsid w:val="00F06A0C"/>
    <w:rsid w:val="00F10290"/>
    <w:rsid w:val="00F2231F"/>
    <w:rsid w:val="00F2408A"/>
    <w:rsid w:val="00F26503"/>
    <w:rsid w:val="00F26619"/>
    <w:rsid w:val="00F30E3F"/>
    <w:rsid w:val="00F31739"/>
    <w:rsid w:val="00F32D8A"/>
    <w:rsid w:val="00F361C1"/>
    <w:rsid w:val="00F412E2"/>
    <w:rsid w:val="00F4148B"/>
    <w:rsid w:val="00F47CED"/>
    <w:rsid w:val="00F50938"/>
    <w:rsid w:val="00F55019"/>
    <w:rsid w:val="00F55FB6"/>
    <w:rsid w:val="00F57084"/>
    <w:rsid w:val="00F643E8"/>
    <w:rsid w:val="00F71212"/>
    <w:rsid w:val="00F71F7E"/>
    <w:rsid w:val="00F73734"/>
    <w:rsid w:val="00F759CB"/>
    <w:rsid w:val="00F76711"/>
    <w:rsid w:val="00F76C03"/>
    <w:rsid w:val="00F771AE"/>
    <w:rsid w:val="00F80A9F"/>
    <w:rsid w:val="00F83AB8"/>
    <w:rsid w:val="00F87AE5"/>
    <w:rsid w:val="00F93434"/>
    <w:rsid w:val="00F941D0"/>
    <w:rsid w:val="00F95749"/>
    <w:rsid w:val="00F95862"/>
    <w:rsid w:val="00FA3708"/>
    <w:rsid w:val="00FA448F"/>
    <w:rsid w:val="00FA7044"/>
    <w:rsid w:val="00FB066F"/>
    <w:rsid w:val="00FB0A32"/>
    <w:rsid w:val="00FB55F1"/>
    <w:rsid w:val="00FB644B"/>
    <w:rsid w:val="00FC0F1F"/>
    <w:rsid w:val="00FC17A2"/>
    <w:rsid w:val="00FC1E37"/>
    <w:rsid w:val="00FC4ED7"/>
    <w:rsid w:val="00FC5552"/>
    <w:rsid w:val="00FC60D9"/>
    <w:rsid w:val="00FC7FCF"/>
    <w:rsid w:val="00FD3CC5"/>
    <w:rsid w:val="00FE41FF"/>
    <w:rsid w:val="00FE5521"/>
    <w:rsid w:val="00FF0304"/>
    <w:rsid w:val="00FF40FE"/>
    <w:rsid w:val="00FF61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16667"/>
  <w15:docId w15:val="{5556C78C-4D26-4D1E-882D-9098D944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48A"/>
  </w:style>
  <w:style w:type="paragraph" w:styleId="Heading1">
    <w:name w:val="heading 1"/>
    <w:basedOn w:val="Normal"/>
    <w:next w:val="Normal"/>
    <w:link w:val="Heading1Char"/>
    <w:uiPriority w:val="9"/>
    <w:qFormat/>
    <w:rsid w:val="00432B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32B58"/>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432B58"/>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rsid w:val="00432B5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2B5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2B58"/>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432B58"/>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432B5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32B5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B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32B58"/>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432B58"/>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rsid w:val="00432B5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2B5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2B58"/>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432B58"/>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432B58"/>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32B5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32B5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32B5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32B58"/>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32B5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32B58"/>
    <w:rPr>
      <w:color w:val="5A5A5A" w:themeColor="text1" w:themeTint="A5"/>
      <w:spacing w:val="15"/>
    </w:rPr>
  </w:style>
  <w:style w:type="character" w:styleId="Strong">
    <w:name w:val="Strong"/>
    <w:basedOn w:val="DefaultParagraphFont"/>
    <w:uiPriority w:val="22"/>
    <w:qFormat/>
    <w:rsid w:val="00432B58"/>
    <w:rPr>
      <w:b/>
      <w:bCs/>
      <w:color w:val="auto"/>
    </w:rPr>
  </w:style>
  <w:style w:type="character" w:styleId="Emphasis">
    <w:name w:val="Emphasis"/>
    <w:basedOn w:val="DefaultParagraphFont"/>
    <w:uiPriority w:val="20"/>
    <w:qFormat/>
    <w:rsid w:val="00432B58"/>
    <w:rPr>
      <w:i/>
      <w:iCs/>
      <w:color w:val="auto"/>
    </w:rPr>
  </w:style>
  <w:style w:type="paragraph" w:styleId="NoSpacing">
    <w:name w:val="No Spacing"/>
    <w:uiPriority w:val="1"/>
    <w:qFormat/>
    <w:rsid w:val="00432B58"/>
    <w:pPr>
      <w:spacing w:after="0" w:line="240" w:lineRule="auto"/>
    </w:pPr>
  </w:style>
  <w:style w:type="paragraph" w:styleId="Quote">
    <w:name w:val="Quote"/>
    <w:basedOn w:val="Normal"/>
    <w:next w:val="Normal"/>
    <w:link w:val="QuoteChar"/>
    <w:uiPriority w:val="29"/>
    <w:qFormat/>
    <w:rsid w:val="00432B5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32B58"/>
    <w:rPr>
      <w:i/>
      <w:iCs/>
      <w:color w:val="404040" w:themeColor="text1" w:themeTint="BF"/>
    </w:rPr>
  </w:style>
  <w:style w:type="paragraph" w:styleId="IntenseQuote">
    <w:name w:val="Intense Quote"/>
    <w:basedOn w:val="Normal"/>
    <w:next w:val="Normal"/>
    <w:link w:val="IntenseQuoteChar"/>
    <w:uiPriority w:val="30"/>
    <w:qFormat/>
    <w:rsid w:val="00432B5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32B58"/>
    <w:rPr>
      <w:i/>
      <w:iCs/>
      <w:color w:val="4472C4" w:themeColor="accent1"/>
    </w:rPr>
  </w:style>
  <w:style w:type="character" w:styleId="SubtleEmphasis">
    <w:name w:val="Subtle Emphasis"/>
    <w:basedOn w:val="DefaultParagraphFont"/>
    <w:uiPriority w:val="19"/>
    <w:qFormat/>
    <w:rsid w:val="00432B58"/>
    <w:rPr>
      <w:i/>
      <w:iCs/>
      <w:color w:val="404040" w:themeColor="text1" w:themeTint="BF"/>
    </w:rPr>
  </w:style>
  <w:style w:type="character" w:styleId="IntenseEmphasis">
    <w:name w:val="Intense Emphasis"/>
    <w:basedOn w:val="DefaultParagraphFont"/>
    <w:uiPriority w:val="21"/>
    <w:qFormat/>
    <w:rsid w:val="00432B58"/>
    <w:rPr>
      <w:i/>
      <w:iCs/>
      <w:color w:val="4472C4" w:themeColor="accent1"/>
    </w:rPr>
  </w:style>
  <w:style w:type="character" w:styleId="SubtleReference">
    <w:name w:val="Subtle Reference"/>
    <w:basedOn w:val="DefaultParagraphFont"/>
    <w:uiPriority w:val="31"/>
    <w:qFormat/>
    <w:rsid w:val="00432B58"/>
    <w:rPr>
      <w:smallCaps/>
      <w:color w:val="404040" w:themeColor="text1" w:themeTint="BF"/>
    </w:rPr>
  </w:style>
  <w:style w:type="character" w:styleId="IntenseReference">
    <w:name w:val="Intense Reference"/>
    <w:basedOn w:val="DefaultParagraphFont"/>
    <w:uiPriority w:val="32"/>
    <w:qFormat/>
    <w:rsid w:val="00432B58"/>
    <w:rPr>
      <w:b/>
      <w:bCs/>
      <w:smallCaps/>
      <w:color w:val="4472C4" w:themeColor="accent1"/>
      <w:spacing w:val="5"/>
    </w:rPr>
  </w:style>
  <w:style w:type="character" w:styleId="BookTitle">
    <w:name w:val="Book Title"/>
    <w:basedOn w:val="DefaultParagraphFont"/>
    <w:uiPriority w:val="33"/>
    <w:qFormat/>
    <w:rsid w:val="00432B58"/>
    <w:rPr>
      <w:b/>
      <w:bCs/>
      <w:i/>
      <w:iCs/>
      <w:spacing w:val="5"/>
    </w:rPr>
  </w:style>
  <w:style w:type="paragraph" w:styleId="TOCHeading">
    <w:name w:val="TOC Heading"/>
    <w:basedOn w:val="Heading1"/>
    <w:next w:val="Normal"/>
    <w:uiPriority w:val="39"/>
    <w:semiHidden/>
    <w:unhideWhenUsed/>
    <w:qFormat/>
    <w:rsid w:val="00432B58"/>
    <w:pPr>
      <w:outlineLvl w:val="9"/>
    </w:pPr>
  </w:style>
  <w:style w:type="character" w:styleId="Hyperlink">
    <w:name w:val="Hyperlink"/>
    <w:basedOn w:val="DefaultParagraphFont"/>
    <w:uiPriority w:val="99"/>
    <w:unhideWhenUsed/>
    <w:rsid w:val="00432B58"/>
    <w:rPr>
      <w:color w:val="0563C1" w:themeColor="hyperlink"/>
      <w:u w:val="single"/>
    </w:rPr>
  </w:style>
  <w:style w:type="character" w:customStyle="1" w:styleId="UnresolvedMention1">
    <w:name w:val="Unresolved Mention1"/>
    <w:basedOn w:val="DefaultParagraphFont"/>
    <w:uiPriority w:val="99"/>
    <w:semiHidden/>
    <w:unhideWhenUsed/>
    <w:rsid w:val="00432B58"/>
    <w:rPr>
      <w:color w:val="605E5C"/>
      <w:shd w:val="clear" w:color="auto" w:fill="E1DFDD"/>
    </w:rPr>
  </w:style>
  <w:style w:type="character" w:styleId="CommentReference">
    <w:name w:val="annotation reference"/>
    <w:basedOn w:val="DefaultParagraphFont"/>
    <w:uiPriority w:val="99"/>
    <w:semiHidden/>
    <w:unhideWhenUsed/>
    <w:rsid w:val="005A3A85"/>
    <w:rPr>
      <w:sz w:val="18"/>
      <w:szCs w:val="18"/>
    </w:rPr>
  </w:style>
  <w:style w:type="paragraph" w:styleId="CommentText">
    <w:name w:val="annotation text"/>
    <w:basedOn w:val="Normal"/>
    <w:link w:val="CommentTextChar"/>
    <w:uiPriority w:val="99"/>
    <w:unhideWhenUsed/>
    <w:rsid w:val="005A3A85"/>
  </w:style>
  <w:style w:type="character" w:customStyle="1" w:styleId="CommentTextChar">
    <w:name w:val="Comment Text Char"/>
    <w:basedOn w:val="DefaultParagraphFont"/>
    <w:link w:val="CommentText"/>
    <w:uiPriority w:val="99"/>
    <w:rsid w:val="005A3A85"/>
  </w:style>
  <w:style w:type="paragraph" w:styleId="CommentSubject">
    <w:name w:val="annotation subject"/>
    <w:basedOn w:val="CommentText"/>
    <w:next w:val="CommentText"/>
    <w:link w:val="CommentSubjectChar"/>
    <w:uiPriority w:val="99"/>
    <w:semiHidden/>
    <w:unhideWhenUsed/>
    <w:rsid w:val="005A3A85"/>
    <w:rPr>
      <w:b/>
      <w:bCs/>
    </w:rPr>
  </w:style>
  <w:style w:type="character" w:customStyle="1" w:styleId="CommentSubjectChar">
    <w:name w:val="Comment Subject Char"/>
    <w:basedOn w:val="CommentTextChar"/>
    <w:link w:val="CommentSubject"/>
    <w:uiPriority w:val="99"/>
    <w:semiHidden/>
    <w:rsid w:val="005A3A85"/>
    <w:rPr>
      <w:b/>
      <w:bCs/>
    </w:rPr>
  </w:style>
  <w:style w:type="paragraph" w:styleId="BalloonText">
    <w:name w:val="Balloon Text"/>
    <w:basedOn w:val="Normal"/>
    <w:link w:val="BalloonTextChar"/>
    <w:uiPriority w:val="99"/>
    <w:semiHidden/>
    <w:unhideWhenUsed/>
    <w:rsid w:val="005A3A8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3A85"/>
    <w:rPr>
      <w:rFonts w:asciiTheme="majorHAnsi" w:eastAsiaTheme="majorEastAsia" w:hAnsiTheme="majorHAnsi" w:cstheme="majorBidi"/>
      <w:sz w:val="18"/>
      <w:szCs w:val="18"/>
    </w:rPr>
  </w:style>
  <w:style w:type="paragraph" w:styleId="ListParagraph">
    <w:name w:val="List Paragraph"/>
    <w:basedOn w:val="Normal"/>
    <w:uiPriority w:val="34"/>
    <w:qFormat/>
    <w:rsid w:val="00754300"/>
    <w:pPr>
      <w:ind w:leftChars="400" w:left="800"/>
    </w:pPr>
  </w:style>
  <w:style w:type="paragraph" w:styleId="NormalWeb">
    <w:name w:val="Normal (Web)"/>
    <w:basedOn w:val="Normal"/>
    <w:uiPriority w:val="99"/>
    <w:semiHidden/>
    <w:unhideWhenUsed/>
    <w:rsid w:val="00EA65B5"/>
    <w:pPr>
      <w:spacing w:before="100" w:beforeAutospacing="1" w:after="100" w:afterAutospacing="1" w:line="240" w:lineRule="auto"/>
    </w:pPr>
    <w:rPr>
      <w:rFonts w:ascii="Gulim" w:eastAsia="Gulim" w:hAnsi="Gulim" w:cs="Gulim"/>
      <w:sz w:val="24"/>
      <w:szCs w:val="24"/>
    </w:rPr>
  </w:style>
  <w:style w:type="paragraph" w:styleId="Header">
    <w:name w:val="header"/>
    <w:basedOn w:val="Normal"/>
    <w:link w:val="HeaderChar"/>
    <w:uiPriority w:val="99"/>
    <w:unhideWhenUsed/>
    <w:rsid w:val="00A0355F"/>
    <w:pPr>
      <w:tabs>
        <w:tab w:val="center" w:pos="4513"/>
        <w:tab w:val="right" w:pos="9026"/>
      </w:tabs>
      <w:snapToGrid w:val="0"/>
    </w:pPr>
  </w:style>
  <w:style w:type="character" w:customStyle="1" w:styleId="HeaderChar">
    <w:name w:val="Header Char"/>
    <w:basedOn w:val="DefaultParagraphFont"/>
    <w:link w:val="Header"/>
    <w:uiPriority w:val="99"/>
    <w:rsid w:val="00A0355F"/>
  </w:style>
  <w:style w:type="paragraph" w:styleId="Footer">
    <w:name w:val="footer"/>
    <w:basedOn w:val="Normal"/>
    <w:link w:val="FooterChar"/>
    <w:uiPriority w:val="99"/>
    <w:unhideWhenUsed/>
    <w:rsid w:val="00A0355F"/>
    <w:pPr>
      <w:tabs>
        <w:tab w:val="center" w:pos="4513"/>
        <w:tab w:val="right" w:pos="9026"/>
      </w:tabs>
      <w:snapToGrid w:val="0"/>
    </w:pPr>
  </w:style>
  <w:style w:type="character" w:customStyle="1" w:styleId="FooterChar">
    <w:name w:val="Footer Char"/>
    <w:basedOn w:val="DefaultParagraphFont"/>
    <w:link w:val="Footer"/>
    <w:uiPriority w:val="99"/>
    <w:rsid w:val="00A0355F"/>
  </w:style>
  <w:style w:type="paragraph" w:customStyle="1" w:styleId="1">
    <w:name w:val="제목1"/>
    <w:basedOn w:val="Normal"/>
    <w:rsid w:val="0093266F"/>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desc">
    <w:name w:val="desc"/>
    <w:basedOn w:val="Normal"/>
    <w:rsid w:val="0093266F"/>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details">
    <w:name w:val="details"/>
    <w:basedOn w:val="Normal"/>
    <w:rsid w:val="0093266F"/>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jrnl">
    <w:name w:val="jrnl"/>
    <w:basedOn w:val="DefaultParagraphFont"/>
    <w:rsid w:val="0093266F"/>
  </w:style>
  <w:style w:type="character" w:styleId="PageNumber">
    <w:name w:val="page number"/>
    <w:basedOn w:val="DefaultParagraphFont"/>
    <w:uiPriority w:val="99"/>
    <w:semiHidden/>
    <w:unhideWhenUsed/>
    <w:rsid w:val="00572D52"/>
  </w:style>
  <w:style w:type="paragraph" w:styleId="Revision">
    <w:name w:val="Revision"/>
    <w:hidden/>
    <w:uiPriority w:val="99"/>
    <w:semiHidden/>
    <w:rsid w:val="004C703B"/>
    <w:pPr>
      <w:spacing w:after="0" w:line="240" w:lineRule="auto"/>
    </w:pPr>
  </w:style>
  <w:style w:type="character" w:customStyle="1" w:styleId="10">
    <w:name w:val="확인되지 않은 멘션1"/>
    <w:basedOn w:val="DefaultParagraphFont"/>
    <w:uiPriority w:val="99"/>
    <w:semiHidden/>
    <w:unhideWhenUsed/>
    <w:rsid w:val="00017CB3"/>
    <w:rPr>
      <w:color w:val="808080"/>
      <w:shd w:val="clear" w:color="auto" w:fill="E6E6E6"/>
    </w:rPr>
  </w:style>
  <w:style w:type="table" w:styleId="TableGrid">
    <w:name w:val="Table Grid"/>
    <w:basedOn w:val="TableNormal"/>
    <w:uiPriority w:val="39"/>
    <w:rsid w:val="006E2212"/>
    <w:pPr>
      <w:spacing w:after="0" w:line="240" w:lineRule="auto"/>
      <w:jc w:val="both"/>
    </w:pPr>
    <w:rPr>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65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3655">
      <w:bodyDiv w:val="1"/>
      <w:marLeft w:val="0"/>
      <w:marRight w:val="0"/>
      <w:marTop w:val="0"/>
      <w:marBottom w:val="0"/>
      <w:divBdr>
        <w:top w:val="none" w:sz="0" w:space="0" w:color="auto"/>
        <w:left w:val="none" w:sz="0" w:space="0" w:color="auto"/>
        <w:bottom w:val="none" w:sz="0" w:space="0" w:color="auto"/>
        <w:right w:val="none" w:sz="0" w:space="0" w:color="auto"/>
      </w:divBdr>
    </w:div>
    <w:div w:id="303896309">
      <w:bodyDiv w:val="1"/>
      <w:marLeft w:val="0"/>
      <w:marRight w:val="0"/>
      <w:marTop w:val="0"/>
      <w:marBottom w:val="0"/>
      <w:divBdr>
        <w:top w:val="none" w:sz="0" w:space="0" w:color="auto"/>
        <w:left w:val="none" w:sz="0" w:space="0" w:color="auto"/>
        <w:bottom w:val="none" w:sz="0" w:space="0" w:color="auto"/>
        <w:right w:val="none" w:sz="0" w:space="0" w:color="auto"/>
      </w:divBdr>
    </w:div>
    <w:div w:id="518783380">
      <w:bodyDiv w:val="1"/>
      <w:marLeft w:val="0"/>
      <w:marRight w:val="0"/>
      <w:marTop w:val="0"/>
      <w:marBottom w:val="0"/>
      <w:divBdr>
        <w:top w:val="none" w:sz="0" w:space="0" w:color="auto"/>
        <w:left w:val="none" w:sz="0" w:space="0" w:color="auto"/>
        <w:bottom w:val="none" w:sz="0" w:space="0" w:color="auto"/>
        <w:right w:val="none" w:sz="0" w:space="0" w:color="auto"/>
      </w:divBdr>
      <w:divsChild>
        <w:div w:id="1666667791">
          <w:marLeft w:val="0"/>
          <w:marRight w:val="0"/>
          <w:marTop w:val="0"/>
          <w:marBottom w:val="0"/>
          <w:divBdr>
            <w:top w:val="none" w:sz="0" w:space="0" w:color="auto"/>
            <w:left w:val="none" w:sz="0" w:space="0" w:color="auto"/>
            <w:bottom w:val="none" w:sz="0" w:space="0" w:color="auto"/>
            <w:right w:val="none" w:sz="0" w:space="0" w:color="auto"/>
          </w:divBdr>
        </w:div>
        <w:div w:id="1253005886">
          <w:marLeft w:val="0"/>
          <w:marRight w:val="0"/>
          <w:marTop w:val="0"/>
          <w:marBottom w:val="0"/>
          <w:divBdr>
            <w:top w:val="none" w:sz="0" w:space="0" w:color="auto"/>
            <w:left w:val="none" w:sz="0" w:space="0" w:color="auto"/>
            <w:bottom w:val="none" w:sz="0" w:space="0" w:color="auto"/>
            <w:right w:val="none" w:sz="0" w:space="0" w:color="auto"/>
          </w:divBdr>
        </w:div>
      </w:divsChild>
    </w:div>
    <w:div w:id="635063107">
      <w:bodyDiv w:val="1"/>
      <w:marLeft w:val="0"/>
      <w:marRight w:val="0"/>
      <w:marTop w:val="0"/>
      <w:marBottom w:val="0"/>
      <w:divBdr>
        <w:top w:val="none" w:sz="0" w:space="0" w:color="auto"/>
        <w:left w:val="none" w:sz="0" w:space="0" w:color="auto"/>
        <w:bottom w:val="none" w:sz="0" w:space="0" w:color="auto"/>
        <w:right w:val="none" w:sz="0" w:space="0" w:color="auto"/>
      </w:divBdr>
    </w:div>
    <w:div w:id="802692998">
      <w:bodyDiv w:val="1"/>
      <w:marLeft w:val="0"/>
      <w:marRight w:val="0"/>
      <w:marTop w:val="0"/>
      <w:marBottom w:val="0"/>
      <w:divBdr>
        <w:top w:val="none" w:sz="0" w:space="0" w:color="auto"/>
        <w:left w:val="none" w:sz="0" w:space="0" w:color="auto"/>
        <w:bottom w:val="none" w:sz="0" w:space="0" w:color="auto"/>
        <w:right w:val="none" w:sz="0" w:space="0" w:color="auto"/>
      </w:divBdr>
    </w:div>
    <w:div w:id="833882935">
      <w:bodyDiv w:val="1"/>
      <w:marLeft w:val="0"/>
      <w:marRight w:val="0"/>
      <w:marTop w:val="0"/>
      <w:marBottom w:val="0"/>
      <w:divBdr>
        <w:top w:val="none" w:sz="0" w:space="0" w:color="auto"/>
        <w:left w:val="none" w:sz="0" w:space="0" w:color="auto"/>
        <w:bottom w:val="none" w:sz="0" w:space="0" w:color="auto"/>
        <w:right w:val="none" w:sz="0" w:space="0" w:color="auto"/>
      </w:divBdr>
      <w:divsChild>
        <w:div w:id="1641154738">
          <w:marLeft w:val="0"/>
          <w:marRight w:val="0"/>
          <w:marTop w:val="34"/>
          <w:marBottom w:val="34"/>
          <w:divBdr>
            <w:top w:val="none" w:sz="0" w:space="0" w:color="auto"/>
            <w:left w:val="none" w:sz="0" w:space="0" w:color="auto"/>
            <w:bottom w:val="none" w:sz="0" w:space="0" w:color="auto"/>
            <w:right w:val="none" w:sz="0" w:space="0" w:color="auto"/>
          </w:divBdr>
        </w:div>
      </w:divsChild>
    </w:div>
    <w:div w:id="122240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D445C-D763-470D-B8F2-9EBA9AE4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6893</Words>
  <Characters>39294</Characters>
  <Application>Microsoft Office Word</Application>
  <DocSecurity>0</DocSecurity>
  <Lines>327</Lines>
  <Paragraphs>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Soryoung</dc:creator>
  <cp:keywords/>
  <dc:description/>
  <cp:lastModifiedBy>Roughley, Sarah [sarah13]</cp:lastModifiedBy>
  <cp:revision>2</cp:revision>
  <dcterms:created xsi:type="dcterms:W3CDTF">2019-08-20T12:44:00Z</dcterms:created>
  <dcterms:modified xsi:type="dcterms:W3CDTF">2019-08-20T12:44:00Z</dcterms:modified>
</cp:coreProperties>
</file>