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90F1" w14:textId="7A3E7BE3" w:rsidR="00E4335E" w:rsidRPr="00C64DCA" w:rsidRDefault="00245291" w:rsidP="00421F64">
      <w:pPr>
        <w:spacing w:line="480" w:lineRule="auto"/>
        <w:rPr>
          <w:rFonts w:eastAsiaTheme="majorEastAsia"/>
          <w:b/>
        </w:rPr>
      </w:pPr>
      <w:r w:rsidRPr="00C64DCA">
        <w:rPr>
          <w:rFonts w:eastAsiaTheme="majorEastAsia"/>
          <w:b/>
        </w:rPr>
        <w:t>C</w:t>
      </w:r>
      <w:r w:rsidR="00E4335E" w:rsidRPr="00C64DCA">
        <w:rPr>
          <w:rFonts w:eastAsiaTheme="majorEastAsia"/>
          <w:b/>
        </w:rPr>
        <w:t>omparison of comorbidities and treatment between ankylosing spondylitis and non-radiographic axial spondyloarthritis</w:t>
      </w:r>
      <w:r w:rsidR="006547A0" w:rsidRPr="00C64DCA">
        <w:rPr>
          <w:rFonts w:eastAsiaTheme="majorEastAsia"/>
          <w:b/>
        </w:rPr>
        <w:t xml:space="preserve"> </w:t>
      </w:r>
      <w:r w:rsidR="00421F64" w:rsidRPr="00C64DCA">
        <w:rPr>
          <w:rFonts w:eastAsiaTheme="majorEastAsia"/>
          <w:b/>
        </w:rPr>
        <w:t>in the United States</w:t>
      </w:r>
    </w:p>
    <w:p w14:paraId="3C534BEA" w14:textId="59C1C4EB" w:rsidR="00F859EB" w:rsidRPr="00C64DCA" w:rsidRDefault="00D60E39" w:rsidP="00421F64">
      <w:pPr>
        <w:spacing w:line="480" w:lineRule="auto"/>
        <w:rPr>
          <w:rFonts w:eastAsiaTheme="majorEastAsia"/>
        </w:rPr>
      </w:pPr>
      <w:r w:rsidRPr="00C64DCA">
        <w:rPr>
          <w:rFonts w:eastAsiaTheme="majorEastAsia"/>
        </w:rPr>
        <w:t xml:space="preserve">Sizheng </w:t>
      </w:r>
      <w:r w:rsidR="00B45492">
        <w:rPr>
          <w:rFonts w:eastAsiaTheme="majorEastAsia"/>
        </w:rPr>
        <w:t xml:space="preserve">Steven </w:t>
      </w:r>
      <w:r w:rsidRPr="00C64DCA">
        <w:rPr>
          <w:rFonts w:eastAsiaTheme="majorEastAsia"/>
        </w:rPr>
        <w:t>Zhao</w:t>
      </w:r>
      <w:r w:rsidR="00B41C50" w:rsidRPr="00C64DCA">
        <w:rPr>
          <w:rFonts w:eastAsiaTheme="majorEastAsia"/>
          <w:vertAlign w:val="superscript"/>
        </w:rPr>
        <w:t>1,2,3</w:t>
      </w:r>
      <w:r w:rsidR="004430A3" w:rsidRPr="00C64DCA">
        <w:rPr>
          <w:rFonts w:eastAsiaTheme="majorEastAsia"/>
        </w:rPr>
        <w:t xml:space="preserve">, </w:t>
      </w:r>
      <w:r w:rsidR="00A368D4" w:rsidRPr="00C64DCA">
        <w:rPr>
          <w:rFonts w:eastAsiaTheme="majorEastAsia"/>
        </w:rPr>
        <w:t>Jo</w:t>
      </w:r>
      <w:r w:rsidR="008F73BF" w:rsidRPr="00C64DCA">
        <w:rPr>
          <w:rFonts w:eastAsiaTheme="majorEastAsia"/>
        </w:rPr>
        <w:t>erg</w:t>
      </w:r>
      <w:r w:rsidR="00A368D4" w:rsidRPr="00C64DCA">
        <w:rPr>
          <w:rFonts w:eastAsiaTheme="majorEastAsia"/>
        </w:rPr>
        <w:t xml:space="preserve"> Ermann</w:t>
      </w:r>
      <w:r w:rsidR="00B41C50" w:rsidRPr="00C64DCA">
        <w:rPr>
          <w:rFonts w:eastAsiaTheme="majorEastAsia"/>
          <w:vertAlign w:val="superscript"/>
        </w:rPr>
        <w:t>3</w:t>
      </w:r>
      <w:r w:rsidR="002E750A" w:rsidRPr="00C64DCA">
        <w:rPr>
          <w:rFonts w:eastAsiaTheme="majorEastAsia"/>
          <w:vertAlign w:val="superscript"/>
        </w:rPr>
        <w:t>,4</w:t>
      </w:r>
      <w:r w:rsidR="00A368D4" w:rsidRPr="00C64DCA">
        <w:rPr>
          <w:rFonts w:eastAsiaTheme="majorEastAsia"/>
        </w:rPr>
        <w:t xml:space="preserve">, </w:t>
      </w:r>
      <w:r w:rsidR="00821F88" w:rsidRPr="00C64DCA">
        <w:rPr>
          <w:rFonts w:eastAsiaTheme="majorEastAsia"/>
        </w:rPr>
        <w:t xml:space="preserve">Chang </w:t>
      </w:r>
      <w:r w:rsidR="00A368D4" w:rsidRPr="00C64DCA">
        <w:rPr>
          <w:rFonts w:eastAsiaTheme="majorEastAsia"/>
        </w:rPr>
        <w:t>Xu</w:t>
      </w:r>
      <w:r w:rsidR="00B41C50" w:rsidRPr="00C64DCA">
        <w:rPr>
          <w:rFonts w:eastAsiaTheme="majorEastAsia"/>
          <w:vertAlign w:val="superscript"/>
        </w:rPr>
        <w:t>3</w:t>
      </w:r>
      <w:r w:rsidR="00A368D4" w:rsidRPr="00C64DCA">
        <w:rPr>
          <w:rFonts w:eastAsiaTheme="majorEastAsia"/>
        </w:rPr>
        <w:t xml:space="preserve">, </w:t>
      </w:r>
      <w:proofErr w:type="spellStart"/>
      <w:r w:rsidRPr="00C64DCA">
        <w:rPr>
          <w:rFonts w:eastAsiaTheme="majorEastAsia"/>
        </w:rPr>
        <w:t>Houchen</w:t>
      </w:r>
      <w:proofErr w:type="spellEnd"/>
      <w:r w:rsidRPr="00C64DCA">
        <w:rPr>
          <w:rFonts w:eastAsiaTheme="majorEastAsia"/>
        </w:rPr>
        <w:t xml:space="preserve"> Lyu</w:t>
      </w:r>
      <w:r w:rsidR="00B41C50" w:rsidRPr="00C64DCA">
        <w:rPr>
          <w:rFonts w:eastAsiaTheme="majorEastAsia"/>
          <w:vertAlign w:val="superscript"/>
        </w:rPr>
        <w:t>4,5</w:t>
      </w:r>
      <w:r w:rsidRPr="00C64DCA">
        <w:rPr>
          <w:rFonts w:eastAsiaTheme="majorEastAsia"/>
        </w:rPr>
        <w:t xml:space="preserve">, Sara </w:t>
      </w:r>
      <w:r w:rsidR="009F1067" w:rsidRPr="00C64DCA">
        <w:rPr>
          <w:rFonts w:eastAsiaTheme="majorEastAsia"/>
        </w:rPr>
        <w:t xml:space="preserve">K </w:t>
      </w:r>
      <w:r w:rsidRPr="00C64DCA">
        <w:rPr>
          <w:rFonts w:eastAsiaTheme="majorEastAsia"/>
        </w:rPr>
        <w:t>Tedeschi</w:t>
      </w:r>
      <w:r w:rsidR="00B41C50" w:rsidRPr="00C64DCA">
        <w:rPr>
          <w:rFonts w:eastAsiaTheme="majorEastAsia"/>
          <w:vertAlign w:val="superscript"/>
        </w:rPr>
        <w:t>3</w:t>
      </w:r>
      <w:r w:rsidR="002E750A" w:rsidRPr="00C64DCA">
        <w:rPr>
          <w:rFonts w:eastAsiaTheme="majorEastAsia"/>
          <w:vertAlign w:val="superscript"/>
        </w:rPr>
        <w:t>,4</w:t>
      </w:r>
      <w:r w:rsidRPr="00C64DCA">
        <w:rPr>
          <w:rFonts w:eastAsiaTheme="majorEastAsia"/>
        </w:rPr>
        <w:t xml:space="preserve">, </w:t>
      </w:r>
      <w:r w:rsidR="003D2DD2" w:rsidRPr="00C64DCA">
        <w:rPr>
          <w:rFonts w:eastAsiaTheme="majorEastAsia"/>
        </w:rPr>
        <w:t>Katherine P Liao</w:t>
      </w:r>
      <w:r w:rsidR="003D2DD2" w:rsidRPr="00C64DCA">
        <w:rPr>
          <w:rFonts w:eastAsiaTheme="majorEastAsia"/>
          <w:vertAlign w:val="superscript"/>
        </w:rPr>
        <w:t>3</w:t>
      </w:r>
      <w:r w:rsidR="00836E1C" w:rsidRPr="00C64DCA">
        <w:rPr>
          <w:rFonts w:eastAsiaTheme="majorEastAsia"/>
          <w:vertAlign w:val="superscript"/>
        </w:rPr>
        <w:t>,4</w:t>
      </w:r>
      <w:r w:rsidR="003D2DD2" w:rsidRPr="00C64DCA">
        <w:rPr>
          <w:rFonts w:eastAsiaTheme="majorEastAsia"/>
        </w:rPr>
        <w:t xml:space="preserve">, </w:t>
      </w:r>
      <w:proofErr w:type="spellStart"/>
      <w:r w:rsidR="00A5499B" w:rsidRPr="00C64DCA">
        <w:rPr>
          <w:rFonts w:eastAsiaTheme="majorEastAsia"/>
        </w:rPr>
        <w:t>Kazuki</w:t>
      </w:r>
      <w:proofErr w:type="spellEnd"/>
      <w:r w:rsidR="00A5499B" w:rsidRPr="00C64DCA">
        <w:rPr>
          <w:rFonts w:eastAsiaTheme="majorEastAsia"/>
        </w:rPr>
        <w:t xml:space="preserve"> Yoshida</w:t>
      </w:r>
      <w:r w:rsidR="00A5499B" w:rsidRPr="00C64DCA">
        <w:rPr>
          <w:rFonts w:eastAsiaTheme="majorEastAsia"/>
          <w:vertAlign w:val="superscript"/>
        </w:rPr>
        <w:t>3,6</w:t>
      </w:r>
      <w:r w:rsidR="00A5499B" w:rsidRPr="00C64DCA">
        <w:rPr>
          <w:rFonts w:eastAsiaTheme="majorEastAsia"/>
        </w:rPr>
        <w:t xml:space="preserve">, </w:t>
      </w:r>
      <w:r w:rsidR="00A368D4" w:rsidRPr="00C64DCA">
        <w:rPr>
          <w:rFonts w:eastAsiaTheme="majorEastAsia"/>
        </w:rPr>
        <w:t>Robert J Moots</w:t>
      </w:r>
      <w:r w:rsidR="00B41C50" w:rsidRPr="00C64DCA">
        <w:rPr>
          <w:rFonts w:eastAsiaTheme="majorEastAsia"/>
          <w:vertAlign w:val="superscript"/>
        </w:rPr>
        <w:t>1,2</w:t>
      </w:r>
      <w:r w:rsidR="00A368D4" w:rsidRPr="00C64DCA">
        <w:rPr>
          <w:rFonts w:eastAsiaTheme="majorEastAsia"/>
        </w:rPr>
        <w:t>, Nicola J Goodson</w:t>
      </w:r>
      <w:r w:rsidR="00B41C50" w:rsidRPr="00C64DCA">
        <w:rPr>
          <w:rFonts w:eastAsiaTheme="majorEastAsia"/>
          <w:vertAlign w:val="superscript"/>
        </w:rPr>
        <w:t>1,2</w:t>
      </w:r>
      <w:r w:rsidR="00A368D4" w:rsidRPr="00C64DCA">
        <w:rPr>
          <w:rFonts w:eastAsiaTheme="majorEastAsia"/>
        </w:rPr>
        <w:t xml:space="preserve">, </w:t>
      </w:r>
      <w:r w:rsidR="00AE5E9A" w:rsidRPr="00C64DCA">
        <w:rPr>
          <w:rFonts w:eastAsiaTheme="majorEastAsia"/>
        </w:rPr>
        <w:t>Daniel H Solomon</w:t>
      </w:r>
      <w:r w:rsidR="00B41C50" w:rsidRPr="00C64DCA">
        <w:rPr>
          <w:rFonts w:eastAsiaTheme="majorEastAsia"/>
          <w:vertAlign w:val="superscript"/>
        </w:rPr>
        <w:t>3,</w:t>
      </w:r>
      <w:r w:rsidR="00836E1C" w:rsidRPr="00C64DCA">
        <w:rPr>
          <w:rFonts w:eastAsiaTheme="majorEastAsia"/>
          <w:vertAlign w:val="superscript"/>
        </w:rPr>
        <w:t>4,</w:t>
      </w:r>
      <w:r w:rsidR="002E750A" w:rsidRPr="00C64DCA">
        <w:rPr>
          <w:rFonts w:eastAsiaTheme="majorEastAsia"/>
          <w:vertAlign w:val="superscript"/>
        </w:rPr>
        <w:t>7</w:t>
      </w:r>
    </w:p>
    <w:p w14:paraId="743E6D74" w14:textId="5663687F" w:rsidR="00B41C50" w:rsidRPr="00C64DCA" w:rsidRDefault="00B77F73" w:rsidP="00B41C50">
      <w:pPr>
        <w:spacing w:line="240" w:lineRule="auto"/>
        <w:rPr>
          <w:rFonts w:eastAsiaTheme="majorEastAsia" w:cs="Calibri"/>
        </w:rPr>
      </w:pPr>
      <w:r w:rsidRPr="00C64DCA">
        <w:rPr>
          <w:rFonts w:eastAsiaTheme="majorEastAsia" w:cs="Calibri"/>
        </w:rPr>
        <w:t>1 Musculoskeletal biology</w:t>
      </w:r>
      <w:r w:rsidR="00B41C50" w:rsidRPr="00C64DCA">
        <w:rPr>
          <w:rFonts w:eastAsiaTheme="majorEastAsia" w:cs="Calibri"/>
        </w:rPr>
        <w:t>, Institute of Ageing and Chronic Disease, University of Liverpool, Liverpool, UK</w:t>
      </w:r>
    </w:p>
    <w:p w14:paraId="19F9E4B8" w14:textId="77777777" w:rsidR="00B41C50" w:rsidRPr="00C64DCA" w:rsidRDefault="00B41C50" w:rsidP="00B41C50">
      <w:pPr>
        <w:spacing w:line="240" w:lineRule="auto"/>
        <w:rPr>
          <w:rFonts w:eastAsiaTheme="majorEastAsia" w:cs="Calibri"/>
        </w:rPr>
      </w:pPr>
      <w:r w:rsidRPr="00C64DCA">
        <w:rPr>
          <w:rFonts w:eastAsiaTheme="majorEastAsia" w:cs="Calibri"/>
        </w:rPr>
        <w:t>2 Department of Academic Rheumatology, Aintree University Hospital, Liverpool, UK</w:t>
      </w:r>
    </w:p>
    <w:p w14:paraId="22C817C6" w14:textId="77777777" w:rsidR="00B41C50" w:rsidRPr="00C64DCA" w:rsidRDefault="00B41C50" w:rsidP="00B41C50">
      <w:pPr>
        <w:spacing w:line="240" w:lineRule="auto"/>
        <w:rPr>
          <w:rFonts w:eastAsiaTheme="majorEastAsia" w:cs="Calibri"/>
        </w:rPr>
      </w:pPr>
      <w:r w:rsidRPr="00C64DCA">
        <w:rPr>
          <w:rFonts w:eastAsiaTheme="majorEastAsia" w:cs="Calibri"/>
        </w:rPr>
        <w:t>3 Division of Rheumatology, Immunology and Allergy, Brigham and Women’s Hospital, Boston, Massachusetts, United States</w:t>
      </w:r>
    </w:p>
    <w:p w14:paraId="0A60F1F1" w14:textId="13C2C503" w:rsidR="00B41C50" w:rsidRPr="00C64DCA" w:rsidRDefault="00B41C50" w:rsidP="00B41C50">
      <w:pPr>
        <w:spacing w:line="240" w:lineRule="auto"/>
        <w:rPr>
          <w:rFonts w:eastAsiaTheme="majorEastAsia" w:cs="Calibri"/>
        </w:rPr>
      </w:pPr>
      <w:r w:rsidRPr="00C64DCA">
        <w:rPr>
          <w:rFonts w:eastAsiaTheme="majorEastAsia" w:cs="Calibri"/>
        </w:rPr>
        <w:t>4 Harvard Medical School, Boston, Massachusetts, United States</w:t>
      </w:r>
    </w:p>
    <w:p w14:paraId="442E4EF7" w14:textId="2A1ACA3F" w:rsidR="00B41C50" w:rsidRPr="00C64DCA" w:rsidRDefault="00B41C50" w:rsidP="00B41C50">
      <w:pPr>
        <w:spacing w:line="240" w:lineRule="auto"/>
        <w:rPr>
          <w:rFonts w:eastAsiaTheme="majorEastAsia" w:cs="Calibri"/>
        </w:rPr>
      </w:pPr>
      <w:r w:rsidRPr="00C64DCA">
        <w:rPr>
          <w:rFonts w:eastAsiaTheme="majorEastAsia" w:cs="Calibri"/>
        </w:rPr>
        <w:t>5 Department of Orthopaedics, General Hospital of Chinese PLA, Beijing, China</w:t>
      </w:r>
    </w:p>
    <w:p w14:paraId="62D3D7E2" w14:textId="4AC4CF00" w:rsidR="002E750A" w:rsidRPr="00C64DCA" w:rsidRDefault="00B41C50" w:rsidP="00B41C50">
      <w:pPr>
        <w:spacing w:line="240" w:lineRule="auto"/>
        <w:rPr>
          <w:rFonts w:eastAsiaTheme="majorEastAsia" w:cs="Calibri"/>
        </w:rPr>
      </w:pPr>
      <w:r w:rsidRPr="00C64DCA">
        <w:rPr>
          <w:rFonts w:eastAsiaTheme="majorEastAsia" w:cs="Calibri"/>
        </w:rPr>
        <w:t xml:space="preserve">6 </w:t>
      </w:r>
      <w:r w:rsidR="002E750A" w:rsidRPr="00C64DCA">
        <w:rPr>
          <w:rFonts w:eastAsiaTheme="majorEastAsia" w:cs="Calibri"/>
        </w:rPr>
        <w:t>Departments of Epidemiology and Biostatistics, Harvard T.H. Chan School of Public Health, Boston, Massachusetts, United States.</w:t>
      </w:r>
    </w:p>
    <w:p w14:paraId="5CAC1129" w14:textId="4989E43A" w:rsidR="00B41C50" w:rsidRPr="00C64DCA" w:rsidRDefault="002E750A" w:rsidP="00B41C50">
      <w:pPr>
        <w:spacing w:line="240" w:lineRule="auto"/>
        <w:rPr>
          <w:rFonts w:eastAsiaTheme="majorEastAsia" w:cs="Calibri"/>
        </w:rPr>
      </w:pPr>
      <w:r w:rsidRPr="00C64DCA">
        <w:rPr>
          <w:rFonts w:eastAsiaTheme="majorEastAsia" w:cs="Calibri"/>
        </w:rPr>
        <w:t xml:space="preserve">7 </w:t>
      </w:r>
      <w:r w:rsidR="00B41C50" w:rsidRPr="00C64DCA">
        <w:rPr>
          <w:rFonts w:eastAsiaTheme="majorEastAsia" w:cs="Calibri"/>
        </w:rPr>
        <w:t>Division of Pharmacoepidemiology and Pharmacoeconomics, Department of Medicine, Brigham and Women’s Hospital and Harvard Medical School, Boston, Massachusetts, United States</w:t>
      </w:r>
    </w:p>
    <w:p w14:paraId="5709D835" w14:textId="77777777" w:rsidR="00BA313B" w:rsidRPr="00C64DCA" w:rsidRDefault="00BA313B" w:rsidP="00BA313B">
      <w:pPr>
        <w:spacing w:line="240" w:lineRule="auto"/>
        <w:rPr>
          <w:rFonts w:eastAsiaTheme="majorEastAsia" w:cs="Calibri"/>
        </w:rPr>
      </w:pPr>
    </w:p>
    <w:p w14:paraId="3F7FC7A2" w14:textId="1EAC6776" w:rsidR="00BA313B" w:rsidRPr="00C64DCA" w:rsidRDefault="00BA313B" w:rsidP="00BA313B">
      <w:pPr>
        <w:pStyle w:val="NoSpacing"/>
        <w:rPr>
          <w:rFonts w:eastAsiaTheme="majorEastAsia"/>
        </w:rPr>
      </w:pPr>
      <w:r w:rsidRPr="00C64DCA">
        <w:rPr>
          <w:rFonts w:eastAsiaTheme="majorEastAsia"/>
        </w:rPr>
        <w:t>Correspondence to:</w:t>
      </w:r>
    </w:p>
    <w:p w14:paraId="241A5B95" w14:textId="77777777" w:rsidR="00BA313B" w:rsidRPr="00C64DCA" w:rsidRDefault="00BA313B" w:rsidP="00BA313B">
      <w:pPr>
        <w:pStyle w:val="NoSpacing"/>
        <w:rPr>
          <w:rFonts w:eastAsiaTheme="majorEastAsia"/>
        </w:rPr>
      </w:pPr>
      <w:r w:rsidRPr="00C64DCA">
        <w:rPr>
          <w:rFonts w:eastAsiaTheme="majorEastAsia"/>
        </w:rPr>
        <w:t>Dr Nicola J Goodson</w:t>
      </w:r>
    </w:p>
    <w:p w14:paraId="223832C8" w14:textId="77777777" w:rsidR="00BA313B" w:rsidRPr="00C64DCA" w:rsidRDefault="00BA313B" w:rsidP="00BA313B">
      <w:pPr>
        <w:pStyle w:val="NoSpacing"/>
        <w:rPr>
          <w:rFonts w:eastAsiaTheme="majorEastAsia"/>
        </w:rPr>
      </w:pPr>
      <w:r w:rsidRPr="00C64DCA">
        <w:rPr>
          <w:rFonts w:eastAsiaTheme="majorEastAsia"/>
        </w:rPr>
        <w:t>Department of Academic Rheumatology</w:t>
      </w:r>
    </w:p>
    <w:p w14:paraId="6100D95A" w14:textId="77777777" w:rsidR="00BA313B" w:rsidRPr="00C64DCA" w:rsidRDefault="00BA313B" w:rsidP="00BA313B">
      <w:pPr>
        <w:pStyle w:val="NoSpacing"/>
        <w:rPr>
          <w:rFonts w:eastAsiaTheme="majorEastAsia"/>
        </w:rPr>
      </w:pPr>
      <w:r w:rsidRPr="00C64DCA">
        <w:rPr>
          <w:rFonts w:eastAsiaTheme="majorEastAsia"/>
        </w:rPr>
        <w:t>Aintree University Hospital</w:t>
      </w:r>
    </w:p>
    <w:p w14:paraId="789F4276" w14:textId="77777777" w:rsidR="00BA313B" w:rsidRPr="00C64DCA" w:rsidRDefault="00BA313B" w:rsidP="00BA313B">
      <w:pPr>
        <w:pStyle w:val="NoSpacing"/>
        <w:rPr>
          <w:rFonts w:eastAsiaTheme="majorEastAsia"/>
        </w:rPr>
      </w:pPr>
      <w:r w:rsidRPr="00C64DCA">
        <w:rPr>
          <w:rFonts w:eastAsiaTheme="majorEastAsia"/>
        </w:rPr>
        <w:t>Liverpool</w:t>
      </w:r>
    </w:p>
    <w:p w14:paraId="10C590DF" w14:textId="77777777" w:rsidR="00BA313B" w:rsidRPr="00C64DCA" w:rsidRDefault="00BA313B" w:rsidP="00BA313B">
      <w:pPr>
        <w:pStyle w:val="NoSpacing"/>
        <w:rPr>
          <w:rFonts w:eastAsiaTheme="majorEastAsia"/>
        </w:rPr>
      </w:pPr>
      <w:r w:rsidRPr="00C64DCA">
        <w:rPr>
          <w:rFonts w:eastAsiaTheme="majorEastAsia"/>
        </w:rPr>
        <w:t>L9 7AL</w:t>
      </w:r>
    </w:p>
    <w:p w14:paraId="065372FD" w14:textId="77777777" w:rsidR="00BA313B" w:rsidRPr="00C64DCA" w:rsidRDefault="00BA313B" w:rsidP="00BA313B">
      <w:pPr>
        <w:pStyle w:val="NoSpacing"/>
        <w:rPr>
          <w:rFonts w:eastAsiaTheme="majorEastAsia"/>
        </w:rPr>
      </w:pPr>
      <w:r w:rsidRPr="00C64DCA">
        <w:rPr>
          <w:rFonts w:eastAsiaTheme="majorEastAsia"/>
        </w:rPr>
        <w:t>UK</w:t>
      </w:r>
    </w:p>
    <w:p w14:paraId="4A6EFB52" w14:textId="77777777" w:rsidR="00BA313B" w:rsidRPr="00C64DCA" w:rsidRDefault="00BA313B" w:rsidP="00BA313B">
      <w:pPr>
        <w:pStyle w:val="NoSpacing"/>
        <w:rPr>
          <w:rFonts w:eastAsiaTheme="majorEastAsia"/>
          <w:b/>
          <w:color w:val="000000"/>
          <w:shd w:val="clear" w:color="auto" w:fill="FFFFFF"/>
        </w:rPr>
      </w:pPr>
      <w:r w:rsidRPr="00C64DCA">
        <w:rPr>
          <w:rFonts w:eastAsiaTheme="majorEastAsia"/>
        </w:rPr>
        <w:t>ngoodson@liverpool.ac.uk</w:t>
      </w:r>
      <w:r w:rsidRPr="00C64DCA">
        <w:rPr>
          <w:rFonts w:eastAsiaTheme="majorEastAsia"/>
        </w:rPr>
        <w:br w:type="page"/>
      </w:r>
    </w:p>
    <w:p w14:paraId="0B510618" w14:textId="6EE355D2" w:rsidR="00E55825" w:rsidRPr="00C64DCA" w:rsidRDefault="007B7435" w:rsidP="00E55825">
      <w:pPr>
        <w:pStyle w:val="NoSpacing"/>
        <w:rPr>
          <w:b/>
        </w:rPr>
      </w:pPr>
      <w:r w:rsidRPr="00C64DCA">
        <w:rPr>
          <w:b/>
        </w:rPr>
        <w:lastRenderedPageBreak/>
        <w:t>Abstract</w:t>
      </w:r>
    </w:p>
    <w:p w14:paraId="0B088E2F" w14:textId="77777777" w:rsidR="00E55825" w:rsidRPr="00C64DCA" w:rsidRDefault="00E55825" w:rsidP="00E55825">
      <w:pPr>
        <w:pStyle w:val="NoSpacing"/>
      </w:pPr>
    </w:p>
    <w:p w14:paraId="1032D815" w14:textId="3E638596" w:rsidR="00421F64" w:rsidRPr="00C64DCA" w:rsidRDefault="00F5531B" w:rsidP="00E55825">
      <w:pPr>
        <w:spacing w:line="480" w:lineRule="auto"/>
        <w:rPr>
          <w:rFonts w:eastAsiaTheme="majorEastAsia"/>
        </w:rPr>
      </w:pPr>
      <w:r w:rsidRPr="00C64DCA">
        <w:rPr>
          <w:rFonts w:eastAsiaTheme="majorEastAsia"/>
          <w:b/>
        </w:rPr>
        <w:t>Objectives</w:t>
      </w:r>
      <w:r w:rsidR="00421F64" w:rsidRPr="00C64DCA">
        <w:rPr>
          <w:rFonts w:eastAsiaTheme="majorEastAsia"/>
        </w:rPr>
        <w:t xml:space="preserve">. </w:t>
      </w:r>
      <w:r w:rsidR="00714C01" w:rsidRPr="00C64DCA">
        <w:rPr>
          <w:rFonts w:eastAsiaTheme="majorEastAsia"/>
        </w:rPr>
        <w:t>To compare</w:t>
      </w:r>
      <w:r w:rsidR="00421F64" w:rsidRPr="00C64DCA">
        <w:rPr>
          <w:rFonts w:eastAsiaTheme="majorEastAsia"/>
        </w:rPr>
        <w:t xml:space="preserve"> comorbidities and </w:t>
      </w:r>
      <w:r w:rsidR="009F1067" w:rsidRPr="00C64DCA">
        <w:rPr>
          <w:rFonts w:eastAsiaTheme="majorEastAsia"/>
        </w:rPr>
        <w:t xml:space="preserve">biologic DMARD (bDMARD) use </w:t>
      </w:r>
      <w:r w:rsidR="00CD40C4" w:rsidRPr="00C64DCA">
        <w:rPr>
          <w:rFonts w:eastAsiaTheme="majorEastAsia"/>
        </w:rPr>
        <w:t>between ankylosing spondylitis (AS) and non-radiographic axial spondyloarthritis (nr-axSpA) patients</w:t>
      </w:r>
      <w:r w:rsidR="00421F64" w:rsidRPr="00C64DCA">
        <w:rPr>
          <w:rFonts w:eastAsiaTheme="majorEastAsia"/>
        </w:rPr>
        <w:t>, using a large cohort of patients from routine clinical practice in the United States</w:t>
      </w:r>
      <w:r w:rsidR="00B51408" w:rsidRPr="00C64DCA">
        <w:rPr>
          <w:rFonts w:eastAsiaTheme="majorEastAsia"/>
        </w:rPr>
        <w:t xml:space="preserve"> (US)</w:t>
      </w:r>
      <w:r w:rsidR="00421F64" w:rsidRPr="00C64DCA">
        <w:rPr>
          <w:rFonts w:eastAsiaTheme="majorEastAsia"/>
        </w:rPr>
        <w:t>.</w:t>
      </w:r>
    </w:p>
    <w:p w14:paraId="212F3E08" w14:textId="4096F508" w:rsidR="00421F64" w:rsidRPr="00C64DCA" w:rsidRDefault="00421F64" w:rsidP="009454CF">
      <w:pPr>
        <w:spacing w:line="480" w:lineRule="auto"/>
        <w:rPr>
          <w:rFonts w:eastAsiaTheme="majorEastAsia"/>
        </w:rPr>
      </w:pPr>
      <w:r w:rsidRPr="00C64DCA">
        <w:rPr>
          <w:rFonts w:eastAsiaTheme="majorEastAsia"/>
          <w:b/>
        </w:rPr>
        <w:t>Methods</w:t>
      </w:r>
      <w:r w:rsidRPr="00C64DCA">
        <w:rPr>
          <w:rFonts w:eastAsiaTheme="majorEastAsia"/>
        </w:rPr>
        <w:t xml:space="preserve">. </w:t>
      </w:r>
      <w:r w:rsidR="00572711" w:rsidRPr="00C64DCA">
        <w:rPr>
          <w:rFonts w:eastAsiaTheme="majorEastAsia"/>
        </w:rPr>
        <w:t xml:space="preserve">We performed a cross-sectional study using electronic medical records </w:t>
      </w:r>
      <w:r w:rsidR="00B51408" w:rsidRPr="00C64DCA">
        <w:rPr>
          <w:rFonts w:eastAsiaTheme="majorEastAsia"/>
        </w:rPr>
        <w:t>from</w:t>
      </w:r>
      <w:r w:rsidR="00572711" w:rsidRPr="00C64DCA">
        <w:rPr>
          <w:rFonts w:eastAsiaTheme="majorEastAsia"/>
        </w:rPr>
        <w:t xml:space="preserve"> </w:t>
      </w:r>
      <w:r w:rsidR="00CF11DC" w:rsidRPr="00C64DCA">
        <w:rPr>
          <w:rFonts w:eastAsiaTheme="majorEastAsia"/>
        </w:rPr>
        <w:t xml:space="preserve">two academic hospitals </w:t>
      </w:r>
      <w:r w:rsidR="00B51408" w:rsidRPr="00C64DCA">
        <w:rPr>
          <w:rFonts w:eastAsiaTheme="majorEastAsia"/>
        </w:rPr>
        <w:t>in the US</w:t>
      </w:r>
      <w:r w:rsidR="00572711" w:rsidRPr="00C64DCA">
        <w:rPr>
          <w:rFonts w:eastAsiaTheme="majorEastAsia"/>
        </w:rPr>
        <w:t xml:space="preserve">. </w:t>
      </w:r>
      <w:r w:rsidR="00CF11DC" w:rsidRPr="00C64DCA">
        <w:rPr>
          <w:rFonts w:eastAsiaTheme="majorEastAsia"/>
        </w:rPr>
        <w:t xml:space="preserve">Data </w:t>
      </w:r>
      <w:r w:rsidR="00B51408" w:rsidRPr="00C64DCA">
        <w:rPr>
          <w:rFonts w:eastAsiaTheme="majorEastAsia"/>
        </w:rPr>
        <w:t xml:space="preserve">were </w:t>
      </w:r>
      <w:r w:rsidR="009F1067" w:rsidRPr="00C64DCA">
        <w:rPr>
          <w:rFonts w:eastAsiaTheme="majorEastAsia"/>
        </w:rPr>
        <w:t>extracted</w:t>
      </w:r>
      <w:r w:rsidR="00CF11DC" w:rsidRPr="00C64DCA">
        <w:rPr>
          <w:rFonts w:eastAsiaTheme="majorEastAsia"/>
        </w:rPr>
        <w:t xml:space="preserve"> using </w:t>
      </w:r>
      <w:r w:rsidR="004C77E1" w:rsidRPr="00C64DCA">
        <w:rPr>
          <w:rFonts w:eastAsiaTheme="majorEastAsia"/>
        </w:rPr>
        <w:t xml:space="preserve">automated searches </w:t>
      </w:r>
      <w:r w:rsidR="00703CD9" w:rsidRPr="00C64DCA">
        <w:rPr>
          <w:rFonts w:eastAsiaTheme="majorEastAsia"/>
        </w:rPr>
        <w:t xml:space="preserve">(≥3 ICD codes combined with text-searches) </w:t>
      </w:r>
      <w:r w:rsidR="004C77E1" w:rsidRPr="00C64DCA">
        <w:rPr>
          <w:rFonts w:eastAsiaTheme="majorEastAsia"/>
        </w:rPr>
        <w:t xml:space="preserve">and supplemented with </w:t>
      </w:r>
      <w:r w:rsidR="00CF11DC" w:rsidRPr="00C64DCA">
        <w:rPr>
          <w:rFonts w:eastAsiaTheme="majorEastAsia"/>
        </w:rPr>
        <w:t xml:space="preserve">manual chart review. Patients were categorised into AS or nr-axSpA according to classification criteria. </w:t>
      </w:r>
      <w:r w:rsidR="00DA08B8" w:rsidRPr="00C64DCA">
        <w:rPr>
          <w:rFonts w:eastAsiaTheme="majorEastAsia"/>
        </w:rPr>
        <w:t>D</w:t>
      </w:r>
      <w:r w:rsidR="00CF11DC" w:rsidRPr="00C64DCA">
        <w:rPr>
          <w:rFonts w:eastAsiaTheme="majorEastAsia"/>
        </w:rPr>
        <w:t xml:space="preserve">isease features, comorbidities (from a list of 39 chronic conditions) and </w:t>
      </w:r>
      <w:r w:rsidR="00A5499B" w:rsidRPr="00C64DCA">
        <w:rPr>
          <w:rFonts w:eastAsiaTheme="majorEastAsia"/>
        </w:rPr>
        <w:t xml:space="preserve">history of </w:t>
      </w:r>
      <w:r w:rsidR="00CD40C4" w:rsidRPr="00C64DCA">
        <w:rPr>
          <w:rFonts w:eastAsiaTheme="majorEastAsia"/>
        </w:rPr>
        <w:t>bDMARD</w:t>
      </w:r>
      <w:r w:rsidR="00A5499B" w:rsidRPr="00C64DCA">
        <w:rPr>
          <w:rFonts w:eastAsiaTheme="majorEastAsia"/>
        </w:rPr>
        <w:t xml:space="preserve"> prescription </w:t>
      </w:r>
      <w:r w:rsidR="00DA08B8" w:rsidRPr="00C64DCA">
        <w:rPr>
          <w:rFonts w:eastAsiaTheme="majorEastAsia"/>
        </w:rPr>
        <w:t>were compared</w:t>
      </w:r>
      <w:r w:rsidR="00CF11DC" w:rsidRPr="00C64DCA">
        <w:rPr>
          <w:rFonts w:eastAsiaTheme="majorEastAsia"/>
        </w:rPr>
        <w:t xml:space="preserve"> </w:t>
      </w:r>
      <w:r w:rsidR="00A571E6" w:rsidRPr="00C64DCA">
        <w:rPr>
          <w:rFonts w:eastAsiaTheme="majorEastAsia"/>
        </w:rPr>
        <w:t>using descriptive statistics</w:t>
      </w:r>
      <w:r w:rsidR="00CF11DC" w:rsidRPr="00C64DCA">
        <w:rPr>
          <w:rFonts w:eastAsiaTheme="majorEastAsia"/>
        </w:rPr>
        <w:t>.</w:t>
      </w:r>
    </w:p>
    <w:p w14:paraId="616C398C" w14:textId="6097ADE1" w:rsidR="00421F64" w:rsidRPr="00C64DCA" w:rsidRDefault="00421F64" w:rsidP="009454CF">
      <w:pPr>
        <w:spacing w:line="480" w:lineRule="auto"/>
        <w:rPr>
          <w:rFonts w:eastAsiaTheme="majorEastAsia"/>
        </w:rPr>
      </w:pPr>
      <w:r w:rsidRPr="00C64DCA">
        <w:rPr>
          <w:rFonts w:eastAsiaTheme="majorEastAsia"/>
          <w:b/>
        </w:rPr>
        <w:t>Results</w:t>
      </w:r>
      <w:r w:rsidR="00CF11DC" w:rsidRPr="00C64DCA">
        <w:rPr>
          <w:rFonts w:eastAsiaTheme="majorEastAsia"/>
        </w:rPr>
        <w:t xml:space="preserve">. </w:t>
      </w:r>
      <w:r w:rsidR="009F1067" w:rsidRPr="00C64DCA">
        <w:rPr>
          <w:rFonts w:eastAsiaTheme="majorEastAsia"/>
        </w:rPr>
        <w:t xml:space="preserve">Among 965 patients identified, 775 </w:t>
      </w:r>
      <w:r w:rsidR="00C47DC4" w:rsidRPr="00C64DCA">
        <w:rPr>
          <w:rFonts w:eastAsiaTheme="majorEastAsia"/>
        </w:rPr>
        <w:t>(80%) were classified as having axSpA</w:t>
      </w:r>
      <w:r w:rsidR="00555E9F" w:rsidRPr="00C64DCA">
        <w:rPr>
          <w:rFonts w:eastAsiaTheme="majorEastAsia"/>
        </w:rPr>
        <w:t>. The cohort was predominantly male (7</w:t>
      </w:r>
      <w:r w:rsidR="009B3EFD" w:rsidRPr="00C64DCA">
        <w:rPr>
          <w:rFonts w:eastAsiaTheme="majorEastAsia"/>
        </w:rPr>
        <w:t>4</w:t>
      </w:r>
      <w:r w:rsidR="00555E9F" w:rsidRPr="00C64DCA">
        <w:rPr>
          <w:rFonts w:eastAsiaTheme="majorEastAsia"/>
        </w:rPr>
        <w:t xml:space="preserve">%) with a mean age of 52.5 years (SD </w:t>
      </w:r>
      <w:r w:rsidR="009B3EFD" w:rsidRPr="00C64DCA">
        <w:rPr>
          <w:rFonts w:eastAsiaTheme="majorEastAsia"/>
        </w:rPr>
        <w:t>16.8</w:t>
      </w:r>
      <w:r w:rsidR="00555E9F" w:rsidRPr="00C64DCA">
        <w:rPr>
          <w:rFonts w:eastAsiaTheme="majorEastAsia"/>
        </w:rPr>
        <w:t>). AS patients were significantly older</w:t>
      </w:r>
      <w:r w:rsidR="00B51408" w:rsidRPr="00C64DCA">
        <w:rPr>
          <w:rFonts w:eastAsiaTheme="majorEastAsia"/>
        </w:rPr>
        <w:t xml:space="preserve"> (54 vs 46 years)</w:t>
      </w:r>
      <w:r w:rsidR="00DA08B8" w:rsidRPr="00C64DCA">
        <w:rPr>
          <w:rFonts w:eastAsiaTheme="majorEastAsia"/>
        </w:rPr>
        <w:t xml:space="preserve">, </w:t>
      </w:r>
      <w:r w:rsidR="00555E9F" w:rsidRPr="00C64DCA">
        <w:rPr>
          <w:rFonts w:eastAsiaTheme="majorEastAsia"/>
        </w:rPr>
        <w:t>more frequently male</w:t>
      </w:r>
      <w:r w:rsidR="00DA08B8" w:rsidRPr="00C64DCA">
        <w:rPr>
          <w:rFonts w:eastAsiaTheme="majorEastAsia"/>
        </w:rPr>
        <w:t xml:space="preserve"> </w:t>
      </w:r>
      <w:r w:rsidR="00B51408" w:rsidRPr="00C64DCA">
        <w:rPr>
          <w:rFonts w:eastAsiaTheme="majorEastAsia"/>
        </w:rPr>
        <w:t xml:space="preserve">(77% vs 64%) </w:t>
      </w:r>
      <w:r w:rsidR="00DA08B8" w:rsidRPr="00C64DCA">
        <w:rPr>
          <w:rFonts w:eastAsiaTheme="majorEastAsia"/>
        </w:rPr>
        <w:t>and had higher</w:t>
      </w:r>
      <w:r w:rsidR="00B77F73" w:rsidRPr="00C64DCA">
        <w:rPr>
          <w:rFonts w:eastAsiaTheme="majorEastAsia"/>
        </w:rPr>
        <w:t xml:space="preserve"> serum</w:t>
      </w:r>
      <w:r w:rsidR="00DA08B8" w:rsidRPr="00C64DCA">
        <w:rPr>
          <w:rFonts w:eastAsiaTheme="majorEastAsia"/>
        </w:rPr>
        <w:t xml:space="preserve"> inflammatory markers</w:t>
      </w:r>
      <w:r w:rsidR="00555E9F" w:rsidRPr="00C64DCA">
        <w:rPr>
          <w:rFonts w:eastAsiaTheme="majorEastAsia"/>
        </w:rPr>
        <w:t xml:space="preserve"> than those with nr-axSpA</w:t>
      </w:r>
      <w:r w:rsidR="00B51408" w:rsidRPr="00C64DCA">
        <w:rPr>
          <w:rFonts w:eastAsiaTheme="majorEastAsia"/>
        </w:rPr>
        <w:t xml:space="preserve"> (</w:t>
      </w:r>
      <w:r w:rsidR="005F3330" w:rsidRPr="00C64DCA">
        <w:rPr>
          <w:rFonts w:eastAsiaTheme="majorEastAsia"/>
        </w:rPr>
        <w:t xml:space="preserve">median </w:t>
      </w:r>
      <w:r w:rsidR="00B51408" w:rsidRPr="00C64DCA">
        <w:rPr>
          <w:rFonts w:eastAsiaTheme="majorEastAsia"/>
        </w:rPr>
        <w:t>CRP 3.4 vs 2.2mg/dl)</w:t>
      </w:r>
      <w:r w:rsidR="00555E9F" w:rsidRPr="00C64DCA">
        <w:rPr>
          <w:rFonts w:eastAsiaTheme="majorEastAsia"/>
        </w:rPr>
        <w:t xml:space="preserve">. </w:t>
      </w:r>
      <w:r w:rsidR="00CD40C4" w:rsidRPr="00C64DCA">
        <w:rPr>
          <w:rFonts w:eastAsiaTheme="majorEastAsia"/>
        </w:rPr>
        <w:t xml:space="preserve">Half of </w:t>
      </w:r>
      <w:r w:rsidR="00B51408" w:rsidRPr="00C64DCA">
        <w:rPr>
          <w:rFonts w:eastAsiaTheme="majorEastAsia"/>
        </w:rPr>
        <w:t xml:space="preserve">all </w:t>
      </w:r>
      <w:r w:rsidR="00CD40C4" w:rsidRPr="00C64DCA">
        <w:rPr>
          <w:rFonts w:eastAsiaTheme="majorEastAsia"/>
        </w:rPr>
        <w:t xml:space="preserve">patients had at least one comorbidity. </w:t>
      </w:r>
      <w:r w:rsidR="00555E9F" w:rsidRPr="00C64DCA">
        <w:rPr>
          <w:rFonts w:eastAsiaTheme="majorEastAsia"/>
        </w:rPr>
        <w:t>The mean number of comorbidities was 1.5 (SD 2.2) and similar between AS and nr-axSpA</w:t>
      </w:r>
      <w:r w:rsidR="00CD40C4" w:rsidRPr="00C64DCA">
        <w:rPr>
          <w:rFonts w:eastAsiaTheme="majorEastAsia"/>
        </w:rPr>
        <w:t xml:space="preserve"> groups</w:t>
      </w:r>
      <w:r w:rsidR="00555E9F" w:rsidRPr="00C64DCA">
        <w:rPr>
          <w:rFonts w:eastAsiaTheme="majorEastAsia"/>
        </w:rPr>
        <w:t xml:space="preserve">. </w:t>
      </w:r>
      <w:r w:rsidR="00E324DD" w:rsidRPr="00C64DCA">
        <w:rPr>
          <w:rFonts w:eastAsiaTheme="majorEastAsia"/>
        </w:rPr>
        <w:t>A history of bDMARD-use was seen in 55% of patients</w:t>
      </w:r>
      <w:r w:rsidR="00555E9F" w:rsidRPr="00C64DCA">
        <w:rPr>
          <w:rFonts w:eastAsiaTheme="majorEastAsia"/>
        </w:rPr>
        <w:t xml:space="preserve"> with no difference between groups. </w:t>
      </w:r>
      <w:r w:rsidR="00C47DC4" w:rsidRPr="00C64DCA">
        <w:rPr>
          <w:rFonts w:eastAsiaTheme="majorEastAsia"/>
        </w:rPr>
        <w:t>T</w:t>
      </w:r>
      <w:r w:rsidR="00555E9F" w:rsidRPr="00C64DCA">
        <w:rPr>
          <w:rFonts w:eastAsiaTheme="majorEastAsia"/>
        </w:rPr>
        <w:t xml:space="preserve">he most commonly prescribed bDMARDs were adalimumab (31%) and etanercept (29%). Ever-prescriptions of </w:t>
      </w:r>
      <w:r w:rsidR="00DA08B8" w:rsidRPr="00C64DCA">
        <w:rPr>
          <w:rFonts w:eastAsiaTheme="majorEastAsia"/>
        </w:rPr>
        <w:t>individual</w:t>
      </w:r>
      <w:r w:rsidR="00555E9F" w:rsidRPr="00C64DCA">
        <w:rPr>
          <w:rFonts w:eastAsiaTheme="majorEastAsia"/>
        </w:rPr>
        <w:t xml:space="preserve"> bDMARD</w:t>
      </w:r>
      <w:r w:rsidR="00DA08B8" w:rsidRPr="00C64DCA">
        <w:rPr>
          <w:rFonts w:eastAsiaTheme="majorEastAsia"/>
        </w:rPr>
        <w:t>s</w:t>
      </w:r>
      <w:r w:rsidR="00555E9F" w:rsidRPr="00C64DCA">
        <w:rPr>
          <w:rFonts w:eastAsiaTheme="majorEastAsia"/>
        </w:rPr>
        <w:t xml:space="preserve"> </w:t>
      </w:r>
      <w:r w:rsidR="00DA08B8" w:rsidRPr="00C64DCA">
        <w:rPr>
          <w:rFonts w:eastAsiaTheme="majorEastAsia"/>
        </w:rPr>
        <w:t>were</w:t>
      </w:r>
      <w:r w:rsidR="00555E9F" w:rsidRPr="00C64DCA">
        <w:rPr>
          <w:rFonts w:eastAsiaTheme="majorEastAsia"/>
        </w:rPr>
        <w:t xml:space="preserve"> similar between AS and nr-axSpA.</w:t>
      </w:r>
    </w:p>
    <w:p w14:paraId="4FF5B84B" w14:textId="41306C62" w:rsidR="00555E9F" w:rsidRPr="00C64DCA" w:rsidRDefault="00421F64" w:rsidP="002403EC">
      <w:pPr>
        <w:spacing w:line="480" w:lineRule="auto"/>
        <w:rPr>
          <w:rFonts w:eastAsiaTheme="majorEastAsia"/>
        </w:rPr>
      </w:pPr>
      <w:r w:rsidRPr="00C64DCA">
        <w:rPr>
          <w:rFonts w:eastAsiaTheme="majorEastAsia"/>
          <w:b/>
        </w:rPr>
        <w:t>Conclusion</w:t>
      </w:r>
      <w:r w:rsidR="00555E9F" w:rsidRPr="00C64DCA">
        <w:rPr>
          <w:rFonts w:eastAsiaTheme="majorEastAsia"/>
        </w:rPr>
        <w:t>. Despite age differences, nr-axSpA patients had</w:t>
      </w:r>
      <w:r w:rsidR="00B51408" w:rsidRPr="00C64DCA">
        <w:rPr>
          <w:rFonts w:eastAsiaTheme="majorEastAsia"/>
        </w:rPr>
        <w:t xml:space="preserve"> </w:t>
      </w:r>
      <w:r w:rsidR="00555E9F" w:rsidRPr="00C64DCA">
        <w:rPr>
          <w:rFonts w:eastAsiaTheme="majorEastAsia"/>
        </w:rPr>
        <w:t>similar comorbidity burden</w:t>
      </w:r>
      <w:r w:rsidR="005F3330" w:rsidRPr="00C64DCA">
        <w:rPr>
          <w:rFonts w:eastAsiaTheme="majorEastAsia"/>
        </w:rPr>
        <w:t>s</w:t>
      </w:r>
      <w:r w:rsidR="00555E9F" w:rsidRPr="00C64DCA">
        <w:rPr>
          <w:rFonts w:eastAsiaTheme="majorEastAsia"/>
        </w:rPr>
        <w:t xml:space="preserve"> as those with AS. Both groups received comparable bDMARD treatment in this US </w:t>
      </w:r>
      <w:r w:rsidR="00703CD9" w:rsidRPr="00C64DCA">
        <w:rPr>
          <w:rFonts w:eastAsiaTheme="majorEastAsia"/>
        </w:rPr>
        <w:t xml:space="preserve">clinic-based </w:t>
      </w:r>
      <w:r w:rsidR="00555E9F" w:rsidRPr="00C64DCA">
        <w:rPr>
          <w:rFonts w:eastAsiaTheme="majorEastAsia"/>
        </w:rPr>
        <w:t>cohort.</w:t>
      </w:r>
    </w:p>
    <w:p w14:paraId="04ED0D67" w14:textId="52575E31" w:rsidR="00421F64" w:rsidRPr="00C64DCA" w:rsidRDefault="004F3150" w:rsidP="002403EC">
      <w:pPr>
        <w:spacing w:line="480" w:lineRule="auto"/>
        <w:rPr>
          <w:rFonts w:eastAsiaTheme="majorEastAsia"/>
        </w:rPr>
      </w:pPr>
      <w:r w:rsidRPr="00C64DCA">
        <w:rPr>
          <w:rFonts w:eastAsiaTheme="majorEastAsia"/>
          <w:b/>
        </w:rPr>
        <w:t>Keywords</w:t>
      </w:r>
      <w:r w:rsidRPr="00C64DCA">
        <w:rPr>
          <w:rFonts w:eastAsiaTheme="majorEastAsia"/>
        </w:rPr>
        <w:t>: ankylosing spondylitis, non-radiographic axial spondyloarthritis, como</w:t>
      </w:r>
      <w:r w:rsidR="007B7435" w:rsidRPr="00C64DCA">
        <w:rPr>
          <w:rFonts w:eastAsiaTheme="majorEastAsia"/>
        </w:rPr>
        <w:t>rbidity</w:t>
      </w:r>
      <w:r w:rsidRPr="00C64DCA">
        <w:rPr>
          <w:rFonts w:eastAsiaTheme="majorEastAsia"/>
        </w:rPr>
        <w:t>, biologic DMARDs, United States</w:t>
      </w:r>
    </w:p>
    <w:p w14:paraId="28D6DA06" w14:textId="77777777" w:rsidR="006547A0" w:rsidRPr="00C64DCA" w:rsidRDefault="006547A0" w:rsidP="002403EC">
      <w:pPr>
        <w:spacing w:line="480" w:lineRule="auto"/>
        <w:rPr>
          <w:rFonts w:eastAsiaTheme="majorEastAsia"/>
        </w:rPr>
      </w:pPr>
    </w:p>
    <w:p w14:paraId="22604590" w14:textId="77777777" w:rsidR="007B7435" w:rsidRPr="00C64DCA" w:rsidRDefault="007B7435" w:rsidP="002403EC">
      <w:pPr>
        <w:spacing w:line="480" w:lineRule="auto"/>
        <w:rPr>
          <w:rFonts w:eastAsiaTheme="majorEastAsia"/>
          <w:b/>
        </w:rPr>
      </w:pPr>
    </w:p>
    <w:p w14:paraId="0F9F391C" w14:textId="6D8A58F1" w:rsidR="00F5531B" w:rsidRPr="00C64DCA" w:rsidRDefault="009454CF" w:rsidP="002403EC">
      <w:pPr>
        <w:spacing w:line="480" w:lineRule="auto"/>
        <w:rPr>
          <w:rFonts w:eastAsiaTheme="majorEastAsia"/>
          <w:b/>
        </w:rPr>
      </w:pPr>
      <w:r w:rsidRPr="00C64DCA">
        <w:rPr>
          <w:rFonts w:eastAsiaTheme="majorEastAsia"/>
          <w:b/>
        </w:rPr>
        <w:lastRenderedPageBreak/>
        <w:t xml:space="preserve">Key messages </w:t>
      </w:r>
    </w:p>
    <w:p w14:paraId="15E95865" w14:textId="63037F0E" w:rsidR="009454CF" w:rsidRPr="00C64DCA" w:rsidRDefault="009454CF" w:rsidP="002403EC">
      <w:pPr>
        <w:pStyle w:val="ListParagraph"/>
        <w:numPr>
          <w:ilvl w:val="0"/>
          <w:numId w:val="1"/>
        </w:numPr>
        <w:spacing w:line="480" w:lineRule="auto"/>
        <w:rPr>
          <w:rFonts w:eastAsiaTheme="majorEastAsia"/>
        </w:rPr>
      </w:pPr>
      <w:r w:rsidRPr="00C64DCA">
        <w:rPr>
          <w:rFonts w:eastAsiaTheme="majorEastAsia"/>
        </w:rPr>
        <w:t>Despite their younger age, non-radiographic axSpA patients had similar comorbidity burden as those with AS.</w:t>
      </w:r>
    </w:p>
    <w:p w14:paraId="5303183D" w14:textId="502B6172" w:rsidR="009454CF" w:rsidRPr="00C64DCA" w:rsidRDefault="009454CF" w:rsidP="009454CF">
      <w:pPr>
        <w:pStyle w:val="ListParagraph"/>
        <w:numPr>
          <w:ilvl w:val="0"/>
          <w:numId w:val="1"/>
        </w:numPr>
        <w:spacing w:line="480" w:lineRule="auto"/>
        <w:rPr>
          <w:rFonts w:eastAsiaTheme="majorEastAsia"/>
        </w:rPr>
      </w:pPr>
      <w:r w:rsidRPr="00C64DCA">
        <w:rPr>
          <w:rFonts w:eastAsiaTheme="majorEastAsia"/>
        </w:rPr>
        <w:t>There were no differences in biologic DMARD use between AS and nr-axSpA in this US cohort.</w:t>
      </w:r>
    </w:p>
    <w:p w14:paraId="68284FCD" w14:textId="77777777" w:rsidR="007B7435" w:rsidRPr="00C64DCA" w:rsidRDefault="007B7435" w:rsidP="00421F64">
      <w:pPr>
        <w:spacing w:line="480" w:lineRule="auto"/>
        <w:rPr>
          <w:rFonts w:eastAsiaTheme="majorEastAsia"/>
          <w:b/>
        </w:rPr>
      </w:pPr>
      <w:bookmarkStart w:id="0" w:name="_Hlk530383043"/>
    </w:p>
    <w:p w14:paraId="1D225BD8" w14:textId="77777777" w:rsidR="007B7435" w:rsidRPr="00C64DCA" w:rsidRDefault="007B7435">
      <w:pPr>
        <w:rPr>
          <w:rFonts w:eastAsiaTheme="majorEastAsia"/>
          <w:b/>
        </w:rPr>
      </w:pPr>
      <w:r w:rsidRPr="00C64DCA">
        <w:rPr>
          <w:rFonts w:eastAsiaTheme="majorEastAsia"/>
          <w:b/>
        </w:rPr>
        <w:br w:type="page"/>
      </w:r>
    </w:p>
    <w:p w14:paraId="5663AA13" w14:textId="62597675" w:rsidR="00A56121" w:rsidRPr="00C64DCA" w:rsidRDefault="00A56121" w:rsidP="00421F64">
      <w:pPr>
        <w:spacing w:line="480" w:lineRule="auto"/>
        <w:rPr>
          <w:rFonts w:eastAsiaTheme="majorEastAsia"/>
          <w:b/>
        </w:rPr>
      </w:pPr>
      <w:r w:rsidRPr="00C64DCA">
        <w:rPr>
          <w:rFonts w:eastAsiaTheme="majorEastAsia"/>
          <w:b/>
        </w:rPr>
        <w:lastRenderedPageBreak/>
        <w:t xml:space="preserve">Introduction </w:t>
      </w:r>
    </w:p>
    <w:p w14:paraId="3D9C50B8" w14:textId="5AAF2DAC" w:rsidR="00891D6D" w:rsidRPr="00C64DCA" w:rsidRDefault="003F5FF5" w:rsidP="00112DBE">
      <w:pPr>
        <w:spacing w:line="480" w:lineRule="auto"/>
        <w:rPr>
          <w:rFonts w:eastAsiaTheme="majorEastAsia"/>
        </w:rPr>
      </w:pPr>
      <w:r w:rsidRPr="00C64DCA">
        <w:rPr>
          <w:rFonts w:eastAsiaTheme="majorEastAsia"/>
        </w:rPr>
        <w:t>Axial spondyloarthritis (axSpA) is a chronic inflammatory disease predominantly affecting the spine. It can be classified into ankylosing spondylitis (AS), where sacroiliac joint damage is evident on plain</w:t>
      </w:r>
      <w:r w:rsidR="0054667F" w:rsidRPr="00C64DCA">
        <w:rPr>
          <w:rFonts w:eastAsiaTheme="majorEastAsia"/>
        </w:rPr>
        <w:t>-</w:t>
      </w:r>
      <w:r w:rsidRPr="00C64DCA">
        <w:rPr>
          <w:rFonts w:eastAsiaTheme="majorEastAsia"/>
        </w:rPr>
        <w:t xml:space="preserve">film radiographs, </w:t>
      </w:r>
      <w:r w:rsidR="00B47003" w:rsidRPr="00C64DCA">
        <w:rPr>
          <w:rFonts w:eastAsiaTheme="majorEastAsia"/>
        </w:rPr>
        <w:t>or</w:t>
      </w:r>
      <w:r w:rsidRPr="00C64DCA">
        <w:rPr>
          <w:rFonts w:eastAsiaTheme="majorEastAsia"/>
        </w:rPr>
        <w:t xml:space="preserve"> non-radiographic axSpA (nr-axSpA</w:t>
      </w:r>
      <w:r w:rsidR="009C4C55" w:rsidRPr="00C64DCA">
        <w:rPr>
          <w:rFonts w:eastAsiaTheme="majorEastAsia"/>
        </w:rPr>
        <w:t>)</w:t>
      </w:r>
      <w:r w:rsidR="00146225" w:rsidRPr="00C64DCA">
        <w:rPr>
          <w:rFonts w:eastAsiaTheme="majorEastAsia"/>
        </w:rPr>
        <w:t xml:space="preserve"> </w:t>
      </w:r>
      <w:r w:rsidR="00703CD9" w:rsidRPr="00C64DCA">
        <w:rPr>
          <w:rFonts w:eastAsiaTheme="majorEastAsia"/>
        </w:rPr>
        <w:t xml:space="preserve">with no damage on plain-films </w:t>
      </w:r>
      <w:r w:rsidR="00146225" w:rsidRPr="00C64DCA">
        <w:rPr>
          <w:rFonts w:eastAsiaTheme="majorEastAsia"/>
        </w:rPr>
        <w:fldChar w:fldCharType="begin"/>
      </w:r>
      <w:r w:rsidR="002D291F" w:rsidRPr="00C64DCA">
        <w:rPr>
          <w:rFonts w:eastAsiaTheme="majorEastAsia"/>
        </w:rPr>
        <w:instrText xml:space="preserve"> ADDIN ZOTERO_ITEM CSL_CITATION {"citationID":"sPiBnedl","properties":{"formattedCitation":"[1]","plainCitation":"[1]","noteIndex":0},"citationItems":[{"id":40,"uris":["http://zotero.org/users/5219623/items/QKMEWX87"],"uri":["http://zotero.org/users/5219623/items/QKMEWX87"],"itemData":{"id":40,"type":"article-journal","title":"Axial spondyloarthritis","container-title":"Lancet (London, England)","page":"73-84","volume":"390","issue":"10089","source":"PubMed","abstract":"The term axial spondyloarthritis covers both patients with non-radiographic and radiographic axial spondyloarthritis, which is also termed ankylosing spondylitis. The disease usually starts in the third decade of life with a male to female ratio of two to one for radiographic axial spondyloarthritis and of one to one for non-radiographic axial spondyloarthritis. More than 90% heritabilty has been estimated, the highest genetic association being with HLA-B27. The pathogenic role of HLA-B27 is still not clear although various hypotheses are available. On the basis of evidence from trials the cytokines tumour necrosis factor (TNF)-α and interleukin-17 appear to have a relevant role in pathogenesis. The mechanisms of interaction between inflammation and new bone formation is still not completely understood but clarification will be important for the prevention of long-term structural damage of the bone. The development of new criteria for classification and for screening of patients with axial spondyloarthritis have been crucial for the early indentification and treatment of such patients, with MRI being the most important existing imaging method. Non-steroidal anti-inflammatory drugs and TNF blockers are effective therapies. Blockade of interleukin-17 is a new and relevant treatment option.","DOI":"10.1016/S0140-6736(16)31591-4","ISSN":"1474-547X","note":"PMID: 28110981","journalAbbreviation":"Lancet","language":"eng","author":[{"family":"Sieper","given":"Joachim"},{"family":"Poddubnyy","given":"Denis"}],"issued":{"date-parts":[["2017"]],"season":"01"}}}],"schema":"https://github.com/citation-style-language/schema/raw/master/csl-citation.json"} </w:instrText>
      </w:r>
      <w:r w:rsidR="00146225" w:rsidRPr="00C64DCA">
        <w:rPr>
          <w:rFonts w:eastAsiaTheme="majorEastAsia"/>
        </w:rPr>
        <w:fldChar w:fldCharType="separate"/>
      </w:r>
      <w:r w:rsidR="00146225" w:rsidRPr="00C64DCA">
        <w:rPr>
          <w:rFonts w:eastAsiaTheme="majorEastAsia"/>
        </w:rPr>
        <w:t>[1]</w:t>
      </w:r>
      <w:r w:rsidR="00146225" w:rsidRPr="00C64DCA">
        <w:rPr>
          <w:rFonts w:eastAsiaTheme="majorEastAsia"/>
        </w:rPr>
        <w:fldChar w:fldCharType="end"/>
      </w:r>
      <w:r w:rsidR="009C4C55" w:rsidRPr="00C64DCA">
        <w:rPr>
          <w:rFonts w:eastAsiaTheme="majorEastAsia"/>
        </w:rPr>
        <w:t xml:space="preserve">. </w:t>
      </w:r>
      <w:r w:rsidR="00297016" w:rsidRPr="00C64DCA">
        <w:rPr>
          <w:rFonts w:eastAsiaTheme="majorEastAsia"/>
        </w:rPr>
        <w:t>They</w:t>
      </w:r>
      <w:r w:rsidR="006373C7" w:rsidRPr="00C64DCA">
        <w:rPr>
          <w:rFonts w:eastAsiaTheme="majorEastAsia"/>
        </w:rPr>
        <w:t xml:space="preserve"> </w:t>
      </w:r>
      <w:r w:rsidR="008053BD" w:rsidRPr="00C64DCA">
        <w:rPr>
          <w:rFonts w:eastAsiaTheme="majorEastAsia"/>
        </w:rPr>
        <w:t>have</w:t>
      </w:r>
      <w:r w:rsidR="006373C7" w:rsidRPr="00C64DCA">
        <w:rPr>
          <w:rFonts w:eastAsiaTheme="majorEastAsia"/>
        </w:rPr>
        <w:t xml:space="preserve"> </w:t>
      </w:r>
      <w:r w:rsidR="00146225" w:rsidRPr="00C64DCA">
        <w:rPr>
          <w:rFonts w:eastAsiaTheme="majorEastAsia"/>
        </w:rPr>
        <w:t xml:space="preserve">similar </w:t>
      </w:r>
      <w:r w:rsidR="008053BD" w:rsidRPr="00C64DCA">
        <w:rPr>
          <w:rFonts w:eastAsiaTheme="majorEastAsia"/>
        </w:rPr>
        <w:t>symptom burden</w:t>
      </w:r>
      <w:r w:rsidR="008310A3" w:rsidRPr="00C64DCA">
        <w:rPr>
          <w:rFonts w:eastAsiaTheme="majorEastAsia"/>
        </w:rPr>
        <w:t>s</w:t>
      </w:r>
      <w:r w:rsidR="008053BD" w:rsidRPr="00C64DCA">
        <w:rPr>
          <w:rFonts w:eastAsiaTheme="majorEastAsia"/>
        </w:rPr>
        <w:t xml:space="preserve"> and </w:t>
      </w:r>
      <w:r w:rsidR="00146225" w:rsidRPr="00C64DCA">
        <w:rPr>
          <w:rFonts w:eastAsiaTheme="majorEastAsia"/>
        </w:rPr>
        <w:t xml:space="preserve">clinical </w:t>
      </w:r>
      <w:r w:rsidR="008053BD" w:rsidRPr="00C64DCA">
        <w:rPr>
          <w:rFonts w:eastAsiaTheme="majorEastAsia"/>
        </w:rPr>
        <w:t xml:space="preserve">features, for example </w:t>
      </w:r>
      <w:r w:rsidR="00B47003" w:rsidRPr="00C64DCA">
        <w:rPr>
          <w:rFonts w:eastAsiaTheme="majorEastAsia"/>
        </w:rPr>
        <w:t>disease activity</w:t>
      </w:r>
      <w:r w:rsidR="004427E8" w:rsidRPr="00C64DCA">
        <w:rPr>
          <w:rFonts w:eastAsiaTheme="majorEastAsia"/>
        </w:rPr>
        <w:t xml:space="preserve"> and </w:t>
      </w:r>
      <w:r w:rsidR="008053BD" w:rsidRPr="00C64DCA">
        <w:rPr>
          <w:rFonts w:eastAsiaTheme="majorEastAsia"/>
        </w:rPr>
        <w:t xml:space="preserve">prevalence of HLA-B27 positivity </w:t>
      </w:r>
      <w:r w:rsidR="008053BD" w:rsidRPr="00C64DCA">
        <w:rPr>
          <w:rFonts w:eastAsiaTheme="majorEastAsia"/>
        </w:rPr>
        <w:fldChar w:fldCharType="begin"/>
      </w:r>
      <w:r w:rsidR="002D291F" w:rsidRPr="00C64DCA">
        <w:rPr>
          <w:rFonts w:eastAsiaTheme="majorEastAsia"/>
        </w:rPr>
        <w:instrText xml:space="preserve"> ADDIN ZOTERO_ITEM CSL_CITATION {"citationID":"ifhSvAGy","properties":{"formattedCitation":"[2,3]","plainCitation":"[2,3]","noteIndex":0},"citationItems":[{"id":41,"uris":["http://zotero.org/users/5219623/items/7UUJVJLW"],"uri":["http://zotero.org/users/5219623/items/7UUJVJLW"],"itemData":{"id":41,"type":"article-journal","title":"The early disease stage in axial spondylarthritis: results from the German Spondyloarthritis Inception Cohort","container-title":"Arthritis and Rheumatism","page":"717-727","volume":"60","issue":"3","source":"PubMed","abstract":"OBJECTIVE: Ankylosing spondylitis (AS) is diagnosed late, because radiographs of the sacroiliac joints often do not show definite sacroiliitis at the time of disease onset. The aim of this study was to investigate whether patients without definite radiographically defined sacroiliitis, referred to as nonradiographic axial spondylarthritis (SpA), are different from patients with AS with regard to clinical manifestations and disease activity measures. Moreover, we sought to identify determinants of the development of radiographic sacroiliitis.\nMETHODS: In a cross-sectional analysis of 462 patients, we compared 226 patients with nonradiographic axial SpA (symptom duration &lt; or =5 years) and 236 patients with AS (symptom duration &lt; or =10 years) who are participants in the German Spondyloarthritis Inception Cohort. Radiographs of the sacroiliac joints and the spine were assessed by 2 readers in a blinded manner. Logistic regression analysis was applied to identify parameters associated with structural damage.\nRESULTS: The 2 groups did not differ in the frequency of HLA-B27 positivity, inflammatory back pain, arthritis, enthesitis, and uveitis and had similar levels of disease activity, using measures such as the Bath Ankylosing Spondylitis Disease Activity Index. In both groups, HLA-B27 positivity determined the age at disease onset. Male sex (adjusted odds ratio [OR] 2.38, 95% confidence interval [95% CI] 1.19-4.73 [P = 0.014]) and an elevated C-reactive protein (CRP) level (adjusted OR 1.85, 95% CI 0.96-3.56 [P = 0.066]) were associated with radiographic sacroiliitis. In patients with AS, male sex and an elevated CRP level were also associated with the presence of syndesmophytes.\nCONCLUSION: Clinical manifestations and disease activity measures are highly comparable between patients with early nonradiographic axial SpA and those with early AS, suggesting that these 2 entities are part of the same disease. Male sex and an elevated CRP level are associated with structural damage on radiographs, whereas HLA-B27 positivity determines the age at disease onset.","DOI":"10.1002/art.24483","ISSN":"0004-3591","note":"PMID: 19248087","shortTitle":"The early disease stage in axial spondylarthritis","journalAbbreviation":"Arthritis Rheum.","language":"eng","author":[{"family":"Rudwaleit","given":"Martin"},{"family":"Haibel","given":"Hildrun"},{"family":"Baraliakos","given":"Xenofon"},{"family":"Listing","given":"Joachim"},{"family":"Märker-Hermann","given":"Elisabeth"},{"family":"Zeidler","given":"Henning"},{"family":"Braun","given":"Jürgen"},{"family":"Sieper","given":"Joachim"}],"issued":{"date-parts":[["2009",3]]}}},{"id":27,"uris":["http://zotero.org/users/5219623/items/NRBD8XCW"],"uri":["http://zotero.org/users/5219623/items/NRBD8XCW"],"itemData":{"id":27,"type":"article-journal","title":"Do patients with non-radiographic axial spondylarthritis differ from patients with ankylosing spondylitis?","container-title":"Arthritis Care &amp; Research","page":"1415-1422","volume":"64","issue":"9","source":"PubMed","abstract":"OBJECTIVE: Patients with axial spondylarthritis (SpA) who have structural changes in the sacroiliac joints and/or the spine have been classified as having ankylosing spondylitis (AS), while those without such changes are now classified as having nonradiographic axial SpA (nr-axSpA). The differentiating features are incompletely understood.\nMETHODS: Data from 100 consecutive patients with axial SpA not treated with tumor necrosis factor antagonists were compared clinically and with laboratory parameters, spinal radiographs, and magnetic resonance imaging (MRI) of the spine. Standardized clinical assessment tools were used to assess health status.\nRESULTS: AS was diagnosed in 56 patients and nr-axSpA in 44 patients. Signs of inflammation were significantly higher in patients with AS than in patients with nr-axSpA, with a median C-reactive protein level of 8.0 versus 3.8 mg/liter, a median Ankylosing Spondylitis Disease Activity Score of 2.2 versus 2.8, respectively, and a median amount of spinal inflammatory lesions on MRI of 2.0 versus 0.0, respectively. Significant differences between these 2 groups were seen in sex (76.8% male AS patients versus 31.8% male nr-axSpA patients). Clinical variables did not differ between patients with AS and nr-axSpA (Bath Ankylosing Spondylitis Disease Activity Index, Bath Ankylosing Spondylitis Functional Index, Ankylosing Spondylitis Quality of Life questionnaire, Short Form 36 health survey).\nCONCLUSION: Patients with nr-axSpA were characterized by the low proportion of male patients and the low burden of inflammation compared to patients with AS. While both groups did not differ regarding health status, disease activity, and physical function, they did differ in signs of inflammation; all were higher in patients with AS. Since many patients with nr-axSpA had not developed structural changes after years of symptoms, we propose that those patients should not be regarded as having preradiographic AS but rather as having nr-axSpA.","DOI":"10.1002/acr.21688","ISSN":"2151-4658","note":"PMID: 22505331","journalAbbreviation":"Arthritis Care Res (Hoboken)","language":"eng","author":[{"family":"Kiltz","given":"Uta"},{"family":"Baraliakos","given":"Xenofon"},{"family":"Karakostas","given":"Pantelis"},{"family":"Igelmann","given":"Manfred"},{"family":"Kalthoff","given":"Ludwig"},{"family":"Klink","given":"Claudia"},{"family":"Krause","given":"Dietmar"},{"family":"Schmitz-Bortz","given":"Elmar"},{"family":"Flörecke","given":"Martina"},{"family":"Bollow","given":"Matthias"},{"family":"Braun","given":"Jürgen"}],"issued":{"date-parts":[["2012",9]]}}}],"schema":"https://github.com/citation-style-language/schema/raw/master/csl-citation.json"} </w:instrText>
      </w:r>
      <w:r w:rsidR="008053BD" w:rsidRPr="00C64DCA">
        <w:rPr>
          <w:rFonts w:eastAsiaTheme="majorEastAsia"/>
        </w:rPr>
        <w:fldChar w:fldCharType="separate"/>
      </w:r>
      <w:r w:rsidR="0091051F" w:rsidRPr="00C64DCA">
        <w:rPr>
          <w:rFonts w:eastAsiaTheme="majorEastAsia"/>
        </w:rPr>
        <w:t>[2,3]</w:t>
      </w:r>
      <w:r w:rsidR="008053BD" w:rsidRPr="00C64DCA">
        <w:rPr>
          <w:rFonts w:eastAsiaTheme="majorEastAsia"/>
        </w:rPr>
        <w:fldChar w:fldCharType="end"/>
      </w:r>
      <w:r w:rsidRPr="00C64DCA">
        <w:rPr>
          <w:rFonts w:eastAsiaTheme="majorEastAsia"/>
        </w:rPr>
        <w:t>.</w:t>
      </w:r>
      <w:r w:rsidR="008F55F2" w:rsidRPr="00C64DCA">
        <w:rPr>
          <w:rFonts w:eastAsiaTheme="majorEastAsia"/>
        </w:rPr>
        <w:t xml:space="preserve"> </w:t>
      </w:r>
      <w:r w:rsidR="00BA313B" w:rsidRPr="00C64DCA">
        <w:rPr>
          <w:rFonts w:eastAsiaTheme="majorEastAsia"/>
        </w:rPr>
        <w:t xml:space="preserve">AS patients differ from their nr-axSpA counterparts in being older, more frequently male and having higher </w:t>
      </w:r>
      <w:r w:rsidR="00062B8B" w:rsidRPr="00C64DCA">
        <w:rPr>
          <w:rFonts w:eastAsiaTheme="majorEastAsia"/>
        </w:rPr>
        <w:t xml:space="preserve">levels of </w:t>
      </w:r>
      <w:r w:rsidR="00BA313B" w:rsidRPr="00C64DCA">
        <w:rPr>
          <w:rFonts w:eastAsiaTheme="majorEastAsia"/>
        </w:rPr>
        <w:t>CRP</w:t>
      </w:r>
      <w:r w:rsidR="00B51408" w:rsidRPr="00C64DCA">
        <w:rPr>
          <w:rFonts w:eastAsiaTheme="majorEastAsia"/>
        </w:rPr>
        <w:t xml:space="preserve"> </w:t>
      </w:r>
      <w:r w:rsidR="00E27932" w:rsidRPr="00C64DCA">
        <w:rPr>
          <w:rFonts w:eastAsiaTheme="majorEastAsia"/>
        </w:rPr>
        <w:fldChar w:fldCharType="begin"/>
      </w:r>
      <w:r w:rsidR="002D291F" w:rsidRPr="00C64DCA">
        <w:rPr>
          <w:rFonts w:eastAsiaTheme="majorEastAsia"/>
        </w:rPr>
        <w:instrText xml:space="preserve"> ADDIN ZOTERO_ITEM CSL_CITATION {"citationID":"sTHlRhcH","properties":{"formattedCitation":"[2,3]","plainCitation":"[2,3]","noteIndex":0},"citationItems":[{"id":41,"uris":["http://zotero.org/users/5219623/items/7UUJVJLW"],"uri":["http://zotero.org/users/5219623/items/7UUJVJLW"],"itemData":{"id":41,"type":"article-journal","title":"The early disease stage in axial spondylarthritis: results from the German Spondyloarthritis Inception Cohort","container-title":"Arthritis and Rheumatism","page":"717-727","volume":"60","issue":"3","source":"PubMed","abstract":"OBJECTIVE: Ankylosing spondylitis (AS) is diagnosed late, because radiographs of the sacroiliac joints often do not show definite sacroiliitis at the time of disease onset. The aim of this study was to investigate whether patients without definite radiographically defined sacroiliitis, referred to as nonradiographic axial spondylarthritis (SpA), are different from patients with AS with regard to clinical manifestations and disease activity measures. Moreover, we sought to identify determinants of the development of radiographic sacroiliitis.\nMETHODS: In a cross-sectional analysis of 462 patients, we compared 226 patients with nonradiographic axial SpA (symptom duration &lt; or =5 years) and 236 patients with AS (symptom duration &lt; or =10 years) who are participants in the German Spondyloarthritis Inception Cohort. Radiographs of the sacroiliac joints and the spine were assessed by 2 readers in a blinded manner. Logistic regression analysis was applied to identify parameters associated with structural damage.\nRESULTS: The 2 groups did not differ in the frequency of HLA-B27 positivity, inflammatory back pain, arthritis, enthesitis, and uveitis and had similar levels of disease activity, using measures such as the Bath Ankylosing Spondylitis Disease Activity Index. In both groups, HLA-B27 positivity determined the age at disease onset. Male sex (adjusted odds ratio [OR] 2.38, 95% confidence interval [95% CI] 1.19-4.73 [P = 0.014]) and an elevated C-reactive protein (CRP) level (adjusted OR 1.85, 95% CI 0.96-3.56 [P = 0.066]) were associated with radiographic sacroiliitis. In patients with AS, male sex and an elevated CRP level were also associated with the presence of syndesmophytes.\nCONCLUSION: Clinical manifestations and disease activity measures are highly comparable between patients with early nonradiographic axial SpA and those with early AS, suggesting that these 2 entities are part of the same disease. Male sex and an elevated CRP level are associated with structural damage on radiographs, whereas HLA-B27 positivity determines the age at disease onset.","DOI":"10.1002/art.24483","ISSN":"0004-3591","note":"PMID: 19248087","shortTitle":"The early disease stage in axial spondylarthritis","journalAbbreviation":"Arthritis Rheum.","language":"eng","author":[{"family":"Rudwaleit","given":"Martin"},{"family":"Haibel","given":"Hildrun"},{"family":"Baraliakos","given":"Xenofon"},{"family":"Listing","given":"Joachim"},{"family":"Märker-Hermann","given":"Elisabeth"},{"family":"Zeidler","given":"Henning"},{"family":"Braun","given":"Jürgen"},{"family":"Sieper","given":"Joachim"}],"issued":{"date-parts":[["2009",3]]}}},{"id":27,"uris":["http://zotero.org/users/5219623/items/NRBD8XCW"],"uri":["http://zotero.org/users/5219623/items/NRBD8XCW"],"itemData":{"id":27,"type":"article-journal","title":"Do patients with non-radiographic axial spondylarthritis differ from patients with ankylosing spondylitis?","container-title":"Arthritis Care &amp; Research","page":"1415-1422","volume":"64","issue":"9","source":"PubMed","abstract":"OBJECTIVE: Patients with axial spondylarthritis (SpA) who have structural changes in the sacroiliac joints and/or the spine have been classified as having ankylosing spondylitis (AS), while those without such changes are now classified as having nonradiographic axial SpA (nr-axSpA). The differentiating features are incompletely understood.\nMETHODS: Data from 100 consecutive patients with axial SpA not treated with tumor necrosis factor antagonists were compared clinically and with laboratory parameters, spinal radiographs, and magnetic resonance imaging (MRI) of the spine. Standardized clinical assessment tools were used to assess health status.\nRESULTS: AS was diagnosed in 56 patients and nr-axSpA in 44 patients. Signs of inflammation were significantly higher in patients with AS than in patients with nr-axSpA, with a median C-reactive protein level of 8.0 versus 3.8 mg/liter, a median Ankylosing Spondylitis Disease Activity Score of 2.2 versus 2.8, respectively, and a median amount of spinal inflammatory lesions on MRI of 2.0 versus 0.0, respectively. Significant differences between these 2 groups were seen in sex (76.8% male AS patients versus 31.8% male nr-axSpA patients). Clinical variables did not differ between patients with AS and nr-axSpA (Bath Ankylosing Spondylitis Disease Activity Index, Bath Ankylosing Spondylitis Functional Index, Ankylosing Spondylitis Quality of Life questionnaire, Short Form 36 health survey).\nCONCLUSION: Patients with nr-axSpA were characterized by the low proportion of male patients and the low burden of inflammation compared to patients with AS. While both groups did not differ regarding health status, disease activity, and physical function, they did differ in signs of inflammation; all were higher in patients with AS. Since many patients with nr-axSpA had not developed structural changes after years of symptoms, we propose that those patients should not be regarded as having preradiographic AS but rather as having nr-axSpA.","DOI":"10.1002/acr.21688","ISSN":"2151-4658","note":"PMID: 22505331","journalAbbreviation":"Arthritis Care Res (Hoboken)","language":"eng","author":[{"family":"Kiltz","given":"Uta"},{"family":"Baraliakos","given":"Xenofon"},{"family":"Karakostas","given":"Pantelis"},{"family":"Igelmann","given":"Manfred"},{"family":"Kalthoff","given":"Ludwig"},{"family":"Klink","given":"Claudia"},{"family":"Krause","given":"Dietmar"},{"family":"Schmitz-Bortz","given":"Elmar"},{"family":"Flörecke","given":"Martina"},{"family":"Bollow","given":"Matthias"},{"family":"Braun","given":"Jürgen"}],"issued":{"date-parts":[["2012",9]]}}}],"schema":"https://github.com/citation-style-language/schema/raw/master/csl-citation.json"} </w:instrText>
      </w:r>
      <w:r w:rsidR="00E27932" w:rsidRPr="00C64DCA">
        <w:rPr>
          <w:rFonts w:eastAsiaTheme="majorEastAsia"/>
        </w:rPr>
        <w:fldChar w:fldCharType="separate"/>
      </w:r>
      <w:r w:rsidR="00E27932" w:rsidRPr="00C64DCA">
        <w:rPr>
          <w:rFonts w:eastAsiaTheme="majorEastAsia"/>
        </w:rPr>
        <w:t>[2,3]</w:t>
      </w:r>
      <w:r w:rsidR="00E27932" w:rsidRPr="00C64DCA">
        <w:rPr>
          <w:rFonts w:eastAsiaTheme="majorEastAsia"/>
        </w:rPr>
        <w:fldChar w:fldCharType="end"/>
      </w:r>
      <w:r w:rsidR="00BA313B" w:rsidRPr="00C64DCA">
        <w:rPr>
          <w:rFonts w:eastAsiaTheme="majorEastAsia"/>
        </w:rPr>
        <w:t xml:space="preserve">. Age and gender are both associated with comorbidities </w:t>
      </w:r>
      <w:r w:rsidR="00703CD9" w:rsidRPr="00C64DCA">
        <w:rPr>
          <w:rFonts w:eastAsiaTheme="majorEastAsia"/>
        </w:rPr>
        <w:t xml:space="preserve">in the general population </w:t>
      </w:r>
      <w:r w:rsidR="00BA313B" w:rsidRPr="00C64DCA">
        <w:rPr>
          <w:rFonts w:eastAsiaTheme="majorEastAsia"/>
        </w:rPr>
        <w:fldChar w:fldCharType="begin"/>
      </w:r>
      <w:r w:rsidR="002D291F" w:rsidRPr="00C64DCA">
        <w:rPr>
          <w:rFonts w:eastAsiaTheme="majorEastAsia"/>
        </w:rPr>
        <w:instrText xml:space="preserve"> ADDIN ZOTERO_ITEM CSL_CITATION {"citationID":"ysQXTTST","properties":{"formattedCitation":"[4]","plainCitation":"[4]","noteIndex":0},"citationItems":[{"id":97,"uris":["http://zotero.org/users/5219623/items/Q9GMD7JS"],"uri":["http://zotero.org/users/5219623/items/Q9GMD7JS"],"itemData":{"id":97,"type":"article-journal","title":"Epidemiology of multimorbidity and implications for health care, research, and medical education: a cross-sectional study","container-title":"The Lancet","page":"37-43","volume":"380","issue":"9836","source":"Crossref","abstract":"Background Long-term disorders are the main challenge facing health-care systems worldwide, but health systems are largely conﬁgured for individual diseases rather than multimorbidity. We examined the distribution of multimorbidity, and of comorbidity of physical and mental health disorders, in relation to age and socioeconomic deprivation.","DOI":"10.1016/S0140-6736(12)60240-2","ISSN":"01406736","shortTitle":"Epidemiology of multimorbidity and implications for health care, research, and medical education","language":"en","author":[{"family":"Barnett","given":"Karen"},{"family":"Mercer","given":"Stewart W"},{"family":"Norbury","given":"Michael"},{"family":"Watt","given":"Graham"},{"family":"Wyke","given":"Sally"},{"family":"Guthrie","given":"Bruce"}],"issued":{"date-parts":[["2012",7]]}}}],"schema":"https://github.com/citation-style-language/schema/raw/master/csl-citation.json"} </w:instrText>
      </w:r>
      <w:r w:rsidR="00BA313B" w:rsidRPr="00C64DCA">
        <w:rPr>
          <w:rFonts w:eastAsiaTheme="majorEastAsia"/>
        </w:rPr>
        <w:fldChar w:fldCharType="separate"/>
      </w:r>
      <w:r w:rsidR="00BA313B" w:rsidRPr="00C64DCA">
        <w:rPr>
          <w:rFonts w:eastAsiaTheme="majorEastAsia"/>
        </w:rPr>
        <w:t>[4]</w:t>
      </w:r>
      <w:r w:rsidR="00BA313B" w:rsidRPr="00C64DCA">
        <w:rPr>
          <w:rFonts w:eastAsiaTheme="majorEastAsia"/>
        </w:rPr>
        <w:fldChar w:fldCharType="end"/>
      </w:r>
      <w:r w:rsidR="00BA313B" w:rsidRPr="00C64DCA">
        <w:rPr>
          <w:rFonts w:eastAsiaTheme="majorEastAsia"/>
        </w:rPr>
        <w:t xml:space="preserve">. Systemic inflammation is also a risk factor for several diseases, including cardiovascular disease </w:t>
      </w:r>
      <w:r w:rsidR="00BA313B" w:rsidRPr="00C64DCA">
        <w:rPr>
          <w:rFonts w:eastAsiaTheme="majorEastAsia"/>
        </w:rPr>
        <w:fldChar w:fldCharType="begin"/>
      </w:r>
      <w:r w:rsidR="002D291F" w:rsidRPr="00C64DCA">
        <w:rPr>
          <w:rFonts w:eastAsiaTheme="majorEastAsia"/>
        </w:rPr>
        <w:instrText xml:space="preserve"> ADDIN ZOTERO_ITEM CSL_CITATION {"citationID":"PlbPlpvI","properties":{"formattedCitation":"[5]","plainCitation":"[5]","noteIndex":0},"citationItems":[{"id":28,"uris":["http://zotero.org/users/5219623/items/C5FTSHLN"],"uri":["http://zotero.org/users/5219623/items/C5FTSHLN"],"itemData":{"id":28,"type":"article-journal","title":"Inflammation as a Cardiovascular Risk Factor","container-title":"Circulation","page":"II-2","volume":"109","issue":"21_suppl_1","source":"ahajournals.org (Atypon)","abstract":"Inflammation occurs in the vasculature as a response to injury, lipid peroxidation, and perhaps infection. Various risk factors, including hypertension, diabetes, and smoking, are amplified by the harmful effects of oxidized low-density–lipoprotein cholesterol, initiating a chronic inflammatory reaction, the result of which is a vulnerable plaque, prone to rupture and thrombosis. Epidemiological and clinical studies have shown strong and consistent relationships between markers of inflammation and risk of future cardiovascular events. Inflammation can potentially be detected locally by imaging techniques as well as emerging techniques, such as identification of temperature or pH heterogeneity. It can be detected systemically by measurement of inflammatory markers. Of these, the most reliable and accessible for clinical use is currently high-sensitivity C-reactive protein. A combination of methods may provide the best identification of persons at risk for cardiovascular events who would benefit from treatment. In randomized, controlled trials, 3-hydroxy-3-methylglutaryl coenzyme A (HMG-CoA) reductase inhibitors, in the form of statins, have been shown to provide effective therapy for lowering CRP, in conjunction with their lipid-lowering effects. Although the magnitude of risk reduction associated with statin use appears to be largest for those with the highest serum levels of CRP, whether CRP reduction per se lowers cardiovascular risk is unknown.","DOI":"10.1161/01.CIR.0000129535.04194.38","journalAbbreviation":"Circulation","author":[{"literal":"Willerson James T."},{"literal":"Ridker Paul M."}],"issued":{"date-parts":[["2004",6,1]]}}}],"schema":"https://github.com/citation-style-language/schema/raw/master/csl-citation.json"} </w:instrText>
      </w:r>
      <w:r w:rsidR="00BA313B" w:rsidRPr="00C64DCA">
        <w:rPr>
          <w:rFonts w:eastAsiaTheme="majorEastAsia"/>
        </w:rPr>
        <w:fldChar w:fldCharType="separate"/>
      </w:r>
      <w:r w:rsidR="00BA313B" w:rsidRPr="00C64DCA">
        <w:rPr>
          <w:rFonts w:eastAsiaTheme="majorEastAsia"/>
        </w:rPr>
        <w:t>[5]</w:t>
      </w:r>
      <w:r w:rsidR="00BA313B" w:rsidRPr="00C64DCA">
        <w:rPr>
          <w:rFonts w:eastAsiaTheme="majorEastAsia"/>
        </w:rPr>
        <w:fldChar w:fldCharType="end"/>
      </w:r>
      <w:r w:rsidR="00BA313B" w:rsidRPr="00C64DCA">
        <w:rPr>
          <w:rFonts w:eastAsiaTheme="majorEastAsia"/>
        </w:rPr>
        <w:t>. Whether comorbidities differ between nr-axSpA and AS groups has not been examined. Indeed, literature on comorbidities in general are limited for axSpA.</w:t>
      </w:r>
      <w:r w:rsidR="00310DE5" w:rsidRPr="00C64DCA">
        <w:rPr>
          <w:rFonts w:eastAsiaTheme="majorEastAsia"/>
        </w:rPr>
        <w:t xml:space="preserve"> Characterising comorbidity burden is important since it is associated with several adverse disease outcomes</w:t>
      </w:r>
      <w:r w:rsidR="007C65F7" w:rsidRPr="00C64DCA">
        <w:rPr>
          <w:rFonts w:eastAsiaTheme="majorEastAsia"/>
        </w:rPr>
        <w:t xml:space="preserve"> </w:t>
      </w:r>
      <w:r w:rsidR="005F3330" w:rsidRPr="00C64DCA">
        <w:rPr>
          <w:rFonts w:eastAsiaTheme="majorEastAsia"/>
        </w:rPr>
        <w:fldChar w:fldCharType="begin"/>
      </w:r>
      <w:r w:rsidR="002D291F" w:rsidRPr="00C64DCA">
        <w:rPr>
          <w:rFonts w:eastAsiaTheme="majorEastAsia"/>
        </w:rPr>
        <w:instrText xml:space="preserve"> ADDIN ZOTERO_ITEM CSL_CITATION {"citationID":"snqPu6CF","properties":{"formattedCitation":"[6]","plainCitation":"[6]","noteIndex":0},"citationItems":[{"id":95,"uris":["http://zotero.org/users/5219623/items/XTC357FD"],"uri":["http://zotero.org/users/5219623/items/XTC357FD"],"itemData":{"id":95,"type":"article-journal","title":"Association of Comorbidities in Spondyloarthritis With Poor Function, Work Disability, and Quality of Life: Results From the Assessment of SpondyloArthritis International Society Comorbidities in Spondyloarthritis Study","container-title":"Arthritis Care &amp; Research","page":"1257-1262","volume":"70","issue":"8","source":"Crossref","abstract":"Objective. Comorbidities add to the burden of disease and its complexity, and may prevent the achievement of treat-to-target goals. The objective of this study was to study the relationship between comorbidities and key disease outcomes in spondyloarthritis (SpA), namely function, work ability, and quality of life.\nMethods. Patients from the multinational (22 countries), cross-sectional Assessment in SpondyloArthritis international Society (ASAS) Comorbidities in Spondyloarthritis study were included in the analysis, provided they fulﬁlled the ASAS criteria. Data on comorbidities based on both self- and physician-report were collected through questionnaires and were subsequently used to compute the Rheumatic Disease Comorbidity Index (RDCI). Univariable and multivariable (adjusted for relevant confounders) multilevel (with country as a random effect) linear or logistic (as appropriate) regression analyses were conducted to investigate the relationship between the RDCI and functional ability, work ability, and quality of life.\nResults. In total, 3,370 of 3,984 recruited patients (85%) fulﬁlled </w:instrText>
      </w:r>
      <w:r w:rsidR="002D291F" w:rsidRPr="00C64DCA">
        <w:rPr>
          <w:rFonts w:eastAsiaTheme="majorEastAsia" w:hint="eastAsia"/>
        </w:rPr>
        <w:instrText xml:space="preserve">the ASAS criteria: 66% were male, mean Æ SD age was 43 Æ 14 years, mean Æ SD disease duration was 8.4 Æ 9.5 years, and mean Æ SD RDCI was 0.7 Æ 1.1. At least 1 comorbidity was reported in 51% of patients; 9% had </w:instrText>
      </w:r>
      <w:r w:rsidR="002D291F" w:rsidRPr="00C64DCA">
        <w:rPr>
          <w:rFonts w:eastAsiaTheme="majorEastAsia" w:hint="eastAsia"/>
        </w:rPr>
        <w:instrText>≥</w:instrText>
      </w:r>
      <w:r w:rsidR="002D291F" w:rsidRPr="00C64DCA">
        <w:rPr>
          <w:rFonts w:eastAsiaTheme="majorEastAsia" w:hint="eastAsia"/>
        </w:rPr>
        <w:instrText>3 comorbidities. RDCI was independently as</w:instrText>
      </w:r>
      <w:r w:rsidR="002D291F" w:rsidRPr="00C64DCA">
        <w:rPr>
          <w:rFonts w:eastAsiaTheme="majorEastAsia"/>
        </w:rPr>
        <w:instrText xml:space="preserve">sociated with a higher Bath Ankylosing Spondylitis Functional Index score (b = 0.37, 95% conﬁdence interval [95% CI] 0.30, 0.43), lower EuroQol 5-domain questionnaire (b = À0.03, 95% CI À0.04, À0.02), less work employment (odds ratio [OR] 0.83, 95% CI 0.76, 0.91), higher absenteeism (OR 1.18, 95% CI 1.04, 1.34), and higher presenteeism (OR 1.42, 95% CI 1.26, 1.61).\nConclusion. Comorbidities in SpA adversely inﬂuence physical function, work ability, and quality of life and are important to take into account in daily clinical practice.","DOI":"10.1002/acr.23468","ISSN":"2151464X","shortTitle":"Association of Comorbidities in Spondyloarthritis With Poor Function, Work Disability, and Quality of Life","language":"en","author":[{"family":"Nikiphorou","given":"E."},{"family":"Ramiro","given":"S."},{"family":"Heijde","given":"D.","non-dropping-particle":"van der"},{"family":"Norton","given":"S."},{"family":"Moltó","given":"A."},{"family":"Dougados","given":"M."},{"family":"Bosch","given":"F.","non-dropping-particle":"van den"},{"family":"Landewé","given":"R."},{"literal":"the Assessment of SpondyloArthritis International Society Comorbidities in Spondyloarthritis Study Task Force"}],"issued":{"date-parts":[["2018",8]]}}}],"schema":"https://github.com/citation-style-language/schema/raw/master/csl-citation.json"} </w:instrText>
      </w:r>
      <w:r w:rsidR="005F3330" w:rsidRPr="00C64DCA">
        <w:rPr>
          <w:rFonts w:eastAsiaTheme="majorEastAsia"/>
        </w:rPr>
        <w:fldChar w:fldCharType="separate"/>
      </w:r>
      <w:r w:rsidR="005F3330" w:rsidRPr="00C64DCA">
        <w:rPr>
          <w:rFonts w:eastAsiaTheme="majorEastAsia"/>
        </w:rPr>
        <w:t>[6]</w:t>
      </w:r>
      <w:r w:rsidR="005F3330" w:rsidRPr="00C64DCA">
        <w:rPr>
          <w:rFonts w:eastAsiaTheme="majorEastAsia"/>
        </w:rPr>
        <w:fldChar w:fldCharType="end"/>
      </w:r>
      <w:r w:rsidR="005F3330" w:rsidRPr="00C64DCA">
        <w:rPr>
          <w:rFonts w:eastAsiaTheme="majorEastAsia"/>
        </w:rPr>
        <w:t>.</w:t>
      </w:r>
    </w:p>
    <w:p w14:paraId="15DDFC60" w14:textId="1C5CA610" w:rsidR="00DE1B1E" w:rsidRPr="00C64DCA" w:rsidRDefault="007D1AC9" w:rsidP="00112DBE">
      <w:pPr>
        <w:spacing w:line="480" w:lineRule="auto"/>
        <w:rPr>
          <w:rFonts w:eastAsiaTheme="majorEastAsia"/>
        </w:rPr>
      </w:pPr>
      <w:r w:rsidRPr="00C64DCA">
        <w:rPr>
          <w:rFonts w:eastAsiaTheme="majorEastAsia"/>
        </w:rPr>
        <w:t>Another similarity between AS and nr-axSpA is their response</w:t>
      </w:r>
      <w:r w:rsidR="00DE1B1E" w:rsidRPr="00C64DCA">
        <w:rPr>
          <w:rFonts w:eastAsiaTheme="majorEastAsia"/>
        </w:rPr>
        <w:t xml:space="preserve"> to TNF inhibitors </w:t>
      </w:r>
      <w:r w:rsidR="007C65F7" w:rsidRPr="00C64DCA">
        <w:rPr>
          <w:rFonts w:eastAsiaTheme="majorEastAsia"/>
        </w:rPr>
        <w:t xml:space="preserve">(TNFi) </w:t>
      </w:r>
      <w:r w:rsidR="00D65800" w:rsidRPr="00C64DCA">
        <w:rPr>
          <w:rFonts w:eastAsiaTheme="majorEastAsia"/>
        </w:rPr>
        <w:t xml:space="preserve">in clinical trials </w:t>
      </w:r>
      <w:r w:rsidR="00DE1B1E" w:rsidRPr="00C64DCA">
        <w:rPr>
          <w:rFonts w:eastAsiaTheme="majorEastAsia"/>
        </w:rPr>
        <w:fldChar w:fldCharType="begin"/>
      </w:r>
      <w:r w:rsidR="00062B8B" w:rsidRPr="00C64DCA">
        <w:rPr>
          <w:rFonts w:eastAsiaTheme="majorEastAsia"/>
        </w:rPr>
        <w:instrText xml:space="preserve"> ADDIN ZOTERO_ITEM CSL_CITATION {"citationID":"lGnfsXMZ","properties":{"formattedCitation":"[7,8]","plainCitation":"[7,8]","noteIndex":0},"citationItems":[{"id":31,"uris":["http://zotero.org/users/5219623/items/TRNX825Y"],"uri":["http://zotero.org/users/5219623/items/TRNX825Y"],"itemData":{"id":31,"type":"article-journal","title":"Similar response rates in patients with ankylosing spondylitis and non-radiographic axial spondyloarthritis after 1 year of treatment with etanercept: results from the ESTHER trial","container-title":"Annals of the Rheumatic Diseases","page":"823-825","volume":"72","issue":"6","source":"PubMed","abstract":"OBJECTIVE: We assessed whether there is a difference to etanercept (ETA) treatment in patients with ankylosing spondylitis (AS) compared with non-radiographic axial SpA (nr-axSpA) patients with a disease duration &lt;5 years.\nMETHOD: AS (n=20) and nr-axSpA (n=20) patients who were treated with ETA for 1 year were compared for differences in baseline data and treatment effect. Clinical, laboratory and MRI of sacroiliac joints (SI-joints) and spine were analysed.\nRESULTS: At baseline, there were no significant differences between the 20 AS and the 20 nr-axSpA patients regarding age, disease duration, gender, HLA-B27 and clinical disease activity in terms of Bath AS Disease Activity Index (BASDAI), C-reactive protein and MRI SI-joint and spine scores in the AS compared with the nr-axSpA group. After 1 year of treatment with ETA the treatment effect was similarly good in AS and nr-axSpA (reduction of BASDAI by 3.3 (95% CI 2.2 to 3.8) vs 3.6 (95% CI 2.8 to 4.4) and reduction of AS Disease Activity Score by 1.8 (95% CI 1.5 to 2.2) vs 1.8 (95% CI 1.5 to 2.1), respectively.\nCONCLUSIONS: The response rate to TNF-blockers does not differ between AS and nr-axSpA if the baseline data regarding symptom duration and disease activity are similar for the two groups.","DOI":"10.1136/annrheumdis-2012-202389","ISSN":"1468-2060","note":"PMID: 23172749","shortTitle":"Similar response rates in patients with ankylosing spondylitis and non-radiographic axial spondyloarthritis after 1 year of treatment with etanercept","journalAbbreviation":"Ann. Rheum. Dis.","language":"eng","author":[{"family":"Song","given":"In-Ho"},{"family":"Weiß","given":"Anja"},{"family":"Hermann","given":"Kay-Geert A."},{"family":"Haibel","given":"Hildrun"},{"family":"Althoff","given":"Christian E."},{"family":"Poddubnyy","given":"Denis"},{"family":"Listing","given":"Joachim"},{"family":"Lange","given":"Ekkehard"},{"family":"Freundlich","given":"Bruce"},{"family":"Rudwaleit","given":"Martin"},{"family":"Sieper","given":"Joachim"}],"issued":{"date-parts":[["2013",6]]}}},{"id":33,"uris":["http://zotero.org/users/5219623/items/4LAJQEVX"],"uri":["http://zotero.org/users/5219623/items/4LAJQEVX"],"itemData":{"id":33,"type":"article-journal","title":"Efficacy of certolizumab pegol on signs and symptoms of axial spondyloarthritis including ankylosing spondylitis: 24-week results of a double-blind randomised placebo-controlled Phase 3 study","container-title":"Annals of the Rheumatic Diseases","page":"39-47","volume":"73","issue":"1","source":"ard.bmj.com","abstract":"Objectives To evaluate the efficacy and safety of certolizumab pegol (CZP) after 24 weeks in RAPID-axSpA (NCT01087762), an ongoing Phase 3 trial in patients with axial spondyloarthritis (axSpA), including patients with ankylosing spondylitis (AS) and non-radiographic axSpA (nr-axSpA).\nMethods Patients with active axSpA were randomised 1:1:1 to placebo, CZP 200 mg every 2 weeks (Q2W) or CZP 400 mg every 4 weeks (Q4W). In total 325 patients were randomised. Primary endpoint was ASAS20 (Assessment of SpondyloArthritis international Society 20) response at week 12. Secondary outcomes included change from baseline in Bath Ankylosing Spondylitis Functional Index (BASFI), Bath Ankylosing Spondylitis Disease Activity Index (BASDAI), and Bath Ankylosing Spondylitis Metrology Index (BASMI) linear.\nResults Baseline disease activity was similar between AS and nr-axSpA. At week 12, </w:instrText>
      </w:r>
      <w:r w:rsidR="00062B8B" w:rsidRPr="00C64DCA">
        <w:rPr>
          <w:rFonts w:eastAsiaTheme="majorEastAsia" w:hint="eastAsia"/>
        </w:rPr>
        <w:instrText>ASAS20 response rates were significantly higher in CZP 200 mg Q2W and CZP 400 mg Q4W arms versus placebo (57.7 and 63.6 vs 38.3, p</w:instrText>
      </w:r>
      <w:r w:rsidR="00062B8B" w:rsidRPr="00C64DCA">
        <w:rPr>
          <w:rFonts w:eastAsiaTheme="majorEastAsia" w:hint="eastAsia"/>
        </w:rPr>
        <w:instrText>≤</w:instrText>
      </w:r>
      <w:r w:rsidR="00062B8B" w:rsidRPr="00C64DCA">
        <w:rPr>
          <w:rFonts w:eastAsiaTheme="majorEastAsia" w:hint="eastAsia"/>
        </w:rPr>
        <w:instrText>0.004). At week 24, combined CZP arms showed significant (p&lt;0.001) differences in change from baseline versus placebo in BAS</w:instrText>
      </w:r>
      <w:r w:rsidR="00062B8B" w:rsidRPr="00C64DCA">
        <w:rPr>
          <w:rFonts w:eastAsiaTheme="majorEastAsia"/>
        </w:rPr>
        <w:instrText xml:space="preserve">FI (−2.28 vs −0.40), BASDAI (−3.05 vs −1.05), and BASMI (−0.52 vs −0.07). Improvements were observed as early as week 1. Similar improvements were reported with CZP versus placebo in both AS and nr-axSpA subpopulations. Adverse events were reported in 70.4% vs 62.6%, and serious adverse events in 4.7% vs 4.7% of All CZP versus placebo groups. No deaths or malignancies were reported.\nConclusions CZP rapidly reduced the signs and symptoms of axSpA, with no new safety signals observed compared to the safety profile of CZP in RA. Similar improvements were observed across CZP dosing regimens, and in AS and nr-axSpA patients.","DOI":"10.1136/annrheumdis-2013-204231","ISSN":"0003-4967, 1468-2060","note":"PMID: 24013647","shortTitle":"Efficacy of certolizumab pegol on signs and symptoms of axial spondyloarthritis including ankylosing spondylitis","language":"en","author":[{"family":"Landewé","given":"R."},{"family":"Braun","given":"J."},{"family":"Deodhar","given":"A."},{"family":"Dougados","given":"M."},{"family":"Maksymowych","given":"W. P."},{"family":"Mease","given":"P. J."},{"family":"Reveille","given":"J. D."},{"family":"Rudwaleit","given":"M."},{"family":"Heijde","given":"D.","dropping-particle":"van der"},{"family":"Stach","given":"C."},{"family":"Hoepken","given":"B."},{"family":"Fichtner","given":"A."},{"family":"Coteur","given":"G."},{"family":"Longueville","given":"M.","dropping-particle":"de"},{"family":"Sieper","given":"J."}],"issued":{"date-parts":[["2014",1,1]]}}}],"schema":"https://github.com/citation-style-language/schema/raw/master/csl-citation.json"} </w:instrText>
      </w:r>
      <w:r w:rsidR="00DE1B1E" w:rsidRPr="00C64DCA">
        <w:rPr>
          <w:rFonts w:eastAsiaTheme="majorEastAsia"/>
        </w:rPr>
        <w:fldChar w:fldCharType="separate"/>
      </w:r>
      <w:r w:rsidR="00062B8B" w:rsidRPr="00C64DCA">
        <w:rPr>
          <w:rFonts w:ascii="Calibri" w:hAnsi="Calibri"/>
        </w:rPr>
        <w:t>[7,8]</w:t>
      </w:r>
      <w:r w:rsidR="00DE1B1E" w:rsidRPr="00C64DCA">
        <w:rPr>
          <w:rFonts w:eastAsiaTheme="majorEastAsia"/>
        </w:rPr>
        <w:fldChar w:fldCharType="end"/>
      </w:r>
      <w:r w:rsidR="00DE1B1E" w:rsidRPr="00C64DCA">
        <w:rPr>
          <w:rFonts w:eastAsiaTheme="majorEastAsia"/>
        </w:rPr>
        <w:t xml:space="preserve">. </w:t>
      </w:r>
      <w:r w:rsidR="004427E8" w:rsidRPr="00C64DCA">
        <w:rPr>
          <w:rFonts w:eastAsiaTheme="majorEastAsia"/>
        </w:rPr>
        <w:t>However, n</w:t>
      </w:r>
      <w:r w:rsidR="00DE1B1E" w:rsidRPr="00C64DCA">
        <w:rPr>
          <w:rFonts w:eastAsiaTheme="majorEastAsia"/>
        </w:rPr>
        <w:t xml:space="preserve">o </w:t>
      </w:r>
      <w:r w:rsidR="00876296" w:rsidRPr="00C64DCA">
        <w:rPr>
          <w:rFonts w:eastAsiaTheme="majorEastAsia"/>
        </w:rPr>
        <w:t>biologic DMARDs (</w:t>
      </w:r>
      <w:r w:rsidR="00DE1B1E" w:rsidRPr="00C64DCA">
        <w:rPr>
          <w:rFonts w:eastAsiaTheme="majorEastAsia"/>
        </w:rPr>
        <w:t>bDMARDs</w:t>
      </w:r>
      <w:r w:rsidR="00876296" w:rsidRPr="00C64DCA">
        <w:rPr>
          <w:rFonts w:eastAsiaTheme="majorEastAsia"/>
        </w:rPr>
        <w:t>)</w:t>
      </w:r>
      <w:r w:rsidR="00DE1B1E" w:rsidRPr="00C64DCA">
        <w:rPr>
          <w:rFonts w:eastAsiaTheme="majorEastAsia"/>
        </w:rPr>
        <w:t xml:space="preserve"> are currently licenced for nr-axSpA in the United States (US</w:t>
      </w:r>
      <w:r w:rsidR="004427E8" w:rsidRPr="00C64DCA">
        <w:rPr>
          <w:rFonts w:eastAsiaTheme="majorEastAsia"/>
        </w:rPr>
        <w:t>)</w:t>
      </w:r>
      <w:r w:rsidR="00DE1B1E" w:rsidRPr="00C64DCA">
        <w:rPr>
          <w:rFonts w:eastAsiaTheme="majorEastAsia"/>
        </w:rPr>
        <w:t xml:space="preserve">. </w:t>
      </w:r>
      <w:bookmarkStart w:id="1" w:name="_Hlk1328875"/>
      <w:r w:rsidR="002B5FDB" w:rsidRPr="00C64DCA">
        <w:rPr>
          <w:rFonts w:eastAsiaTheme="majorEastAsia"/>
        </w:rPr>
        <w:t xml:space="preserve">The </w:t>
      </w:r>
      <w:proofErr w:type="spellStart"/>
      <w:r w:rsidR="002B5FDB" w:rsidRPr="00C64DCA">
        <w:rPr>
          <w:rFonts w:eastAsiaTheme="majorEastAsia"/>
        </w:rPr>
        <w:t>Corrona</w:t>
      </w:r>
      <w:proofErr w:type="spellEnd"/>
      <w:r w:rsidR="002B5FDB" w:rsidRPr="00C64DCA">
        <w:rPr>
          <w:rFonts w:eastAsiaTheme="majorEastAsia"/>
        </w:rPr>
        <w:t xml:space="preserve"> psoriatic arthritis and SpA registry recently reported that bDMARD-</w:t>
      </w:r>
      <w:r w:rsidR="00B97C9C" w:rsidRPr="00C64DCA">
        <w:rPr>
          <w:rFonts w:eastAsiaTheme="majorEastAsia"/>
        </w:rPr>
        <w:t xml:space="preserve">use </w:t>
      </w:r>
      <w:r w:rsidR="002B5FDB" w:rsidRPr="00C64DCA">
        <w:rPr>
          <w:rFonts w:eastAsiaTheme="majorEastAsia"/>
        </w:rPr>
        <w:t xml:space="preserve">between AS and nr-axSpA patients were similar </w:t>
      </w:r>
      <w:r w:rsidR="00DE1B1E" w:rsidRPr="00C64DCA">
        <w:rPr>
          <w:rFonts w:eastAsiaTheme="majorEastAsia"/>
        </w:rPr>
        <w:fldChar w:fldCharType="begin"/>
      </w:r>
      <w:r w:rsidR="00062B8B" w:rsidRPr="00C64DCA">
        <w:rPr>
          <w:rFonts w:eastAsiaTheme="majorEastAsia"/>
        </w:rPr>
        <w:instrText xml:space="preserve"> ADDIN ZOTERO_ITEM CSL_CITATION {"citationID":"SWLZbDqU","properties":{"formattedCitation":"[9]","plainCitation":"[9]","noteIndex":0},"citationItems":[{"id":47,"uris":["http://zotero.org/users/5219623/items/U58QIC9D"],"uri":["http://zotero.org/users/5219623/items/U58QIC9D"],"itemData":{"id":47,"type":"article-journal","title":"Characterization of Patients With Ankylosing Spondylitis and Nonradiographic Axial Spondyloarthritis in the US-Based Corrona Registry","container-title":"Arthritis Care &amp; Research","page":"1661-1670","volume":"70","issue":"11","source":"Crossref","abstract":"Objective. To describe the characteristics of patients with ankylosing spondylitis (AS) and patients with nonradiographic axial spondyloarthritis (SpA) in the US.\nMethods. Demographics, clinical characteristics, patient-reported outcomes, and treatment characteristics of patients with AS and those with nonradiographic axial SpA were assessed at the time of enrollment in the Corrona Psoriatic Arthritis/Spondyloarthritis Registry. Patients with AS were deﬁned as those who fulﬁlled the 1984 modiﬁed New York criteria for AS; patients with nonradiographic axial SpA were deﬁned as all other patients with axial SpA who did not fulﬁll the radiology criterion.\nResults. Of the 407 patients with a diagnosis of axial SpA who were included in this study, 310 had AS, and 97 had nonradiographic axial SpA. Although patients with nonradiographic axial SpA were younger and showed a trend toward a shorter symptom duration, the nonradiographic axial SpA and AS groups shared a similar disease burden, as reﬂected by comparisons of disease activity and function, quality of life, pain, fatigue, job absenteeism, and loss of work productivity (all P &gt; 0.05). The proportions of patients with nonradiographic axial SpA and patients with AS who received prior biologic disease-modifying drugs (DMARDs) (74.2% and 64.8%, respectively) or were currently receiving biologic DMARDs (63.9% and 61.3%, respectively) were also similar (P &gt; 0.05).\nConclusion. This was the ﬁrst nationwide study to characterize patients with AS and nonradiographic axial SpA in the US. Consistent with studies published outside of the US, this study showed that patients with nonradiographic axial SpA and patients with AS shared a comparable degree of disease burden and had similar treatment patterns in clinical practice.","DOI":"10.1002/acr.23534","ISSN":"2151464X","language":"en","author":[{"family":"Mease","given":"Philip J."},{"family":"Heijde","given":"Désirée Van Der"},{"family":"Karki","given":"Chitra"},{"family":"Palmer","given":"Jacqueline B."},{"family":"Liu","given":"Mei"},{"family":"Pandurengan","given":"Renganayaki"},{"family":"Park","given":"Yujin"},{"family":"Greenberg","given":"Jeffrey D."}],"issued":{"date-parts":[["2018",11]]}}}],"schema":"https://github.com/citation-style-language/schema/raw/master/csl-citation.json"} </w:instrText>
      </w:r>
      <w:r w:rsidR="00DE1B1E" w:rsidRPr="00C64DCA">
        <w:rPr>
          <w:rFonts w:eastAsiaTheme="majorEastAsia"/>
        </w:rPr>
        <w:fldChar w:fldCharType="separate"/>
      </w:r>
      <w:r w:rsidR="00062B8B" w:rsidRPr="00C64DCA">
        <w:rPr>
          <w:rFonts w:ascii="Calibri" w:hAnsi="Calibri"/>
        </w:rPr>
        <w:t>[9]</w:t>
      </w:r>
      <w:r w:rsidR="00DE1B1E" w:rsidRPr="00C64DCA">
        <w:rPr>
          <w:rFonts w:eastAsiaTheme="majorEastAsia"/>
        </w:rPr>
        <w:fldChar w:fldCharType="end"/>
      </w:r>
      <w:r w:rsidR="00DE1B1E" w:rsidRPr="00C64DCA">
        <w:rPr>
          <w:rFonts w:eastAsiaTheme="majorEastAsia"/>
        </w:rPr>
        <w:t>.</w:t>
      </w:r>
      <w:r w:rsidR="00310DE5" w:rsidRPr="00C64DCA">
        <w:rPr>
          <w:rFonts w:eastAsiaTheme="majorEastAsia"/>
        </w:rPr>
        <w:t xml:space="preserve"> </w:t>
      </w:r>
      <w:r w:rsidR="00456215" w:rsidRPr="00C64DCA">
        <w:rPr>
          <w:rFonts w:eastAsiaTheme="majorEastAsia"/>
        </w:rPr>
        <w:t xml:space="preserve">These findings have yet to be reproduced using routine clinical data and prescription of individual biologics has not been described. </w:t>
      </w:r>
      <w:bookmarkEnd w:id="1"/>
      <w:r w:rsidR="007C65F7" w:rsidRPr="00C64DCA">
        <w:rPr>
          <w:rFonts w:eastAsiaTheme="majorEastAsia"/>
        </w:rPr>
        <w:t>Prescription of some bDMARDs may be directly influenced by the presence of certain comorbidities (e.g. cancer) and indirectly through inability to use NSAIDs (e.g. renal disease). Whether comorbidities are associated with bDMARD prescribing has not been</w:t>
      </w:r>
      <w:r w:rsidR="005F3330" w:rsidRPr="00C64DCA">
        <w:rPr>
          <w:rFonts w:eastAsiaTheme="majorEastAsia"/>
        </w:rPr>
        <w:t xml:space="preserve"> examined</w:t>
      </w:r>
      <w:r w:rsidR="007C65F7" w:rsidRPr="00C64DCA">
        <w:rPr>
          <w:rFonts w:eastAsiaTheme="majorEastAsia"/>
        </w:rPr>
        <w:t>.</w:t>
      </w:r>
    </w:p>
    <w:p w14:paraId="56666F8E" w14:textId="5467C633" w:rsidR="003F5FF5" w:rsidRPr="00C64DCA" w:rsidRDefault="008053BD" w:rsidP="004427E8">
      <w:pPr>
        <w:spacing w:line="480" w:lineRule="auto"/>
        <w:rPr>
          <w:rFonts w:eastAsiaTheme="majorEastAsia"/>
        </w:rPr>
      </w:pPr>
      <w:r w:rsidRPr="00C64DCA">
        <w:rPr>
          <w:rFonts w:eastAsiaTheme="majorEastAsia"/>
        </w:rPr>
        <w:t>We</w:t>
      </w:r>
      <w:r w:rsidR="00A23351" w:rsidRPr="00C64DCA">
        <w:rPr>
          <w:rFonts w:eastAsiaTheme="majorEastAsia"/>
        </w:rPr>
        <w:t xml:space="preserve"> </w:t>
      </w:r>
      <w:r w:rsidR="003A698F" w:rsidRPr="00C64DCA">
        <w:rPr>
          <w:rFonts w:eastAsiaTheme="majorEastAsia"/>
        </w:rPr>
        <w:t>compare</w:t>
      </w:r>
      <w:r w:rsidRPr="00C64DCA">
        <w:rPr>
          <w:rFonts w:eastAsiaTheme="majorEastAsia"/>
        </w:rPr>
        <w:t>d</w:t>
      </w:r>
      <w:r w:rsidR="003A698F" w:rsidRPr="00C64DCA">
        <w:rPr>
          <w:rFonts w:eastAsiaTheme="majorEastAsia"/>
        </w:rPr>
        <w:t xml:space="preserve"> </w:t>
      </w:r>
      <w:r w:rsidR="002B41E9" w:rsidRPr="00C64DCA">
        <w:rPr>
          <w:rFonts w:eastAsiaTheme="majorEastAsia"/>
        </w:rPr>
        <w:t xml:space="preserve">clinical characteristics, </w:t>
      </w:r>
      <w:r w:rsidR="00A23351" w:rsidRPr="00C64DCA">
        <w:rPr>
          <w:rFonts w:eastAsiaTheme="majorEastAsia"/>
        </w:rPr>
        <w:t xml:space="preserve">comorbidities and prescribing patterns between </w:t>
      </w:r>
      <w:r w:rsidR="003A698F" w:rsidRPr="00C64DCA">
        <w:rPr>
          <w:rFonts w:eastAsiaTheme="majorEastAsia"/>
        </w:rPr>
        <w:t>AS and nr-axSpA patients</w:t>
      </w:r>
      <w:r w:rsidR="00915EB6" w:rsidRPr="00C64DCA">
        <w:rPr>
          <w:rFonts w:eastAsiaTheme="majorEastAsia"/>
        </w:rPr>
        <w:t xml:space="preserve"> in the US</w:t>
      </w:r>
      <w:r w:rsidR="003A698F" w:rsidRPr="00C64DCA">
        <w:rPr>
          <w:rFonts w:eastAsiaTheme="majorEastAsia"/>
        </w:rPr>
        <w:t>, using a large cohort of patients from routine</w:t>
      </w:r>
      <w:r w:rsidR="00EC5BBB" w:rsidRPr="00C64DCA">
        <w:rPr>
          <w:rFonts w:eastAsiaTheme="majorEastAsia"/>
        </w:rPr>
        <w:t xml:space="preserve"> c</w:t>
      </w:r>
      <w:r w:rsidR="003A698F" w:rsidRPr="00C64DCA">
        <w:rPr>
          <w:rFonts w:eastAsiaTheme="majorEastAsia"/>
        </w:rPr>
        <w:t>linical practice.</w:t>
      </w:r>
    </w:p>
    <w:bookmarkEnd w:id="0"/>
    <w:p w14:paraId="243814D2" w14:textId="77777777" w:rsidR="00222C01" w:rsidRPr="00C64DCA" w:rsidRDefault="00222C01" w:rsidP="00421F64">
      <w:pPr>
        <w:spacing w:line="480" w:lineRule="auto"/>
        <w:rPr>
          <w:rFonts w:eastAsiaTheme="majorEastAsia"/>
          <w:b/>
        </w:rPr>
      </w:pPr>
      <w:r w:rsidRPr="00C64DCA">
        <w:rPr>
          <w:rFonts w:eastAsiaTheme="majorEastAsia"/>
          <w:b/>
        </w:rPr>
        <w:br w:type="page"/>
      </w:r>
    </w:p>
    <w:p w14:paraId="48807531" w14:textId="3E981821" w:rsidR="00A56121" w:rsidRPr="00C64DCA" w:rsidRDefault="00A56121" w:rsidP="00421F64">
      <w:pPr>
        <w:spacing w:line="480" w:lineRule="auto"/>
        <w:rPr>
          <w:rFonts w:eastAsiaTheme="majorEastAsia"/>
          <w:b/>
        </w:rPr>
      </w:pPr>
      <w:r w:rsidRPr="00C64DCA">
        <w:rPr>
          <w:rFonts w:eastAsiaTheme="majorEastAsia"/>
          <w:b/>
        </w:rPr>
        <w:lastRenderedPageBreak/>
        <w:t>Methods</w:t>
      </w:r>
    </w:p>
    <w:p w14:paraId="13A48E62" w14:textId="28E043DC" w:rsidR="00127327" w:rsidRPr="00C64DCA" w:rsidRDefault="00127327" w:rsidP="00421F64">
      <w:pPr>
        <w:spacing w:line="480" w:lineRule="auto"/>
        <w:rPr>
          <w:rFonts w:eastAsiaTheme="majorEastAsia"/>
          <w:u w:val="single"/>
        </w:rPr>
      </w:pPr>
      <w:r w:rsidRPr="00C64DCA">
        <w:rPr>
          <w:rFonts w:eastAsiaTheme="majorEastAsia"/>
          <w:u w:val="single"/>
        </w:rPr>
        <w:t>Study population</w:t>
      </w:r>
    </w:p>
    <w:p w14:paraId="4B4B53DF" w14:textId="6B32E771" w:rsidR="00043985" w:rsidRPr="00C64DCA" w:rsidRDefault="00B36586" w:rsidP="00421F64">
      <w:pPr>
        <w:spacing w:line="480" w:lineRule="auto"/>
        <w:rPr>
          <w:rFonts w:eastAsiaTheme="majorEastAsia"/>
        </w:rPr>
      </w:pPr>
      <w:r w:rsidRPr="00C64DCA">
        <w:rPr>
          <w:rFonts w:eastAsiaTheme="majorEastAsia"/>
        </w:rPr>
        <w:t xml:space="preserve">We conducted </w:t>
      </w:r>
      <w:r w:rsidR="003D4D58" w:rsidRPr="00C64DCA">
        <w:rPr>
          <w:rFonts w:eastAsiaTheme="majorEastAsia"/>
        </w:rPr>
        <w:t>a descriptive</w:t>
      </w:r>
      <w:r w:rsidR="00487A18" w:rsidRPr="00C64DCA">
        <w:rPr>
          <w:rFonts w:eastAsiaTheme="majorEastAsia"/>
        </w:rPr>
        <w:t xml:space="preserve"> study</w:t>
      </w:r>
      <w:r w:rsidR="006373C7" w:rsidRPr="00C64DCA">
        <w:rPr>
          <w:rFonts w:eastAsiaTheme="majorEastAsia"/>
        </w:rPr>
        <w:t xml:space="preserve"> </w:t>
      </w:r>
      <w:r w:rsidR="00487A18" w:rsidRPr="00C64DCA">
        <w:rPr>
          <w:rFonts w:eastAsiaTheme="majorEastAsia"/>
        </w:rPr>
        <w:t xml:space="preserve">using </w:t>
      </w:r>
      <w:r w:rsidR="006373C7" w:rsidRPr="00C64DCA">
        <w:rPr>
          <w:rFonts w:eastAsiaTheme="majorEastAsia"/>
        </w:rPr>
        <w:t>data from electronic medical records (EMR).</w:t>
      </w:r>
      <w:r w:rsidR="00487A18" w:rsidRPr="00C64DCA">
        <w:rPr>
          <w:rFonts w:eastAsiaTheme="majorEastAsia"/>
        </w:rPr>
        <w:t xml:space="preserve"> </w:t>
      </w:r>
      <w:r w:rsidR="006373C7" w:rsidRPr="00C64DCA">
        <w:rPr>
          <w:rFonts w:eastAsiaTheme="majorEastAsia"/>
        </w:rPr>
        <w:t xml:space="preserve">The </w:t>
      </w:r>
      <w:r w:rsidR="00A56121" w:rsidRPr="00C64DCA">
        <w:rPr>
          <w:rFonts w:eastAsiaTheme="majorEastAsia"/>
        </w:rPr>
        <w:t>Partners HealthCare</w:t>
      </w:r>
      <w:r w:rsidR="006373C7" w:rsidRPr="00C64DCA">
        <w:rPr>
          <w:rFonts w:eastAsiaTheme="majorEastAsia"/>
        </w:rPr>
        <w:t xml:space="preserve"> EMR </w:t>
      </w:r>
      <w:r w:rsidR="00A56121" w:rsidRPr="00C64DCA">
        <w:rPr>
          <w:rFonts w:eastAsiaTheme="majorEastAsia"/>
        </w:rPr>
        <w:t xml:space="preserve">is used by </w:t>
      </w:r>
      <w:r w:rsidR="00D029E4" w:rsidRPr="00C64DCA">
        <w:rPr>
          <w:rFonts w:eastAsiaTheme="majorEastAsia"/>
        </w:rPr>
        <w:t xml:space="preserve">two large tertiary care </w:t>
      </w:r>
      <w:r w:rsidR="00062B8B" w:rsidRPr="00C64DCA">
        <w:rPr>
          <w:rFonts w:eastAsiaTheme="majorEastAsia"/>
        </w:rPr>
        <w:t>centres</w:t>
      </w:r>
      <w:r w:rsidR="00D029E4" w:rsidRPr="00C64DCA">
        <w:rPr>
          <w:rFonts w:eastAsiaTheme="majorEastAsia"/>
        </w:rPr>
        <w:t xml:space="preserve">, </w:t>
      </w:r>
      <w:r w:rsidR="00A56121" w:rsidRPr="00C64DCA">
        <w:rPr>
          <w:rFonts w:eastAsiaTheme="majorEastAsia"/>
        </w:rPr>
        <w:t>Brigham and Women’s Hospital and Massachusetts General Hospital. These hospitals provide care for approximately 4.6 million patients in the Greater Boston</w:t>
      </w:r>
      <w:r w:rsidR="00043985" w:rsidRPr="00C64DCA">
        <w:rPr>
          <w:rFonts w:eastAsiaTheme="majorEastAsia"/>
        </w:rPr>
        <w:t xml:space="preserve"> area</w:t>
      </w:r>
      <w:r w:rsidR="00A56121" w:rsidRPr="00C64DCA">
        <w:rPr>
          <w:rFonts w:eastAsiaTheme="majorEastAsia"/>
        </w:rPr>
        <w:t xml:space="preserve">, Massachusetts. </w:t>
      </w:r>
      <w:r w:rsidR="00B51408" w:rsidRPr="00C64DCA">
        <w:rPr>
          <w:rFonts w:eastAsiaTheme="majorEastAsia"/>
        </w:rPr>
        <w:t>Both hospitals have been using EMRs for at least two decades</w:t>
      </w:r>
      <w:r w:rsidR="00A56121" w:rsidRPr="00C64DCA">
        <w:rPr>
          <w:rFonts w:eastAsiaTheme="majorEastAsia"/>
        </w:rPr>
        <w:t>.</w:t>
      </w:r>
      <w:r w:rsidR="00043985" w:rsidRPr="00C64DCA">
        <w:rPr>
          <w:rFonts w:eastAsiaTheme="majorEastAsia"/>
        </w:rPr>
        <w:t xml:space="preserve"> </w:t>
      </w:r>
      <w:r w:rsidR="00F16365" w:rsidRPr="00C64DCA">
        <w:rPr>
          <w:rFonts w:eastAsiaTheme="majorEastAsia"/>
        </w:rPr>
        <w:t>We search</w:t>
      </w:r>
      <w:r w:rsidR="002F63A4" w:rsidRPr="00C64DCA">
        <w:rPr>
          <w:rFonts w:eastAsiaTheme="majorEastAsia"/>
        </w:rPr>
        <w:t>ed</w:t>
      </w:r>
      <w:r w:rsidR="00F16365" w:rsidRPr="00C64DCA">
        <w:rPr>
          <w:rFonts w:eastAsiaTheme="majorEastAsia"/>
        </w:rPr>
        <w:t xml:space="preserve"> for </w:t>
      </w:r>
      <w:r w:rsidR="003F5FF5" w:rsidRPr="00C64DCA">
        <w:rPr>
          <w:rFonts w:eastAsiaTheme="majorEastAsia"/>
        </w:rPr>
        <w:t>and extract</w:t>
      </w:r>
      <w:r w:rsidR="00305254" w:rsidRPr="00C64DCA">
        <w:rPr>
          <w:rFonts w:eastAsiaTheme="majorEastAsia"/>
        </w:rPr>
        <w:t>ed</w:t>
      </w:r>
      <w:r w:rsidR="003F5FF5" w:rsidRPr="00C64DCA">
        <w:rPr>
          <w:rFonts w:eastAsiaTheme="majorEastAsia"/>
        </w:rPr>
        <w:t xml:space="preserve"> records</w:t>
      </w:r>
      <w:r w:rsidR="00CA5C5B" w:rsidRPr="00C64DCA">
        <w:rPr>
          <w:rFonts w:eastAsiaTheme="majorEastAsia"/>
        </w:rPr>
        <w:t xml:space="preserve"> from the earliest available date t</w:t>
      </w:r>
      <w:r w:rsidRPr="00C64DCA">
        <w:rPr>
          <w:rFonts w:eastAsiaTheme="majorEastAsia"/>
        </w:rPr>
        <w:t>hrough</w:t>
      </w:r>
      <w:r w:rsidR="00CA5C5B" w:rsidRPr="00C64DCA">
        <w:rPr>
          <w:rFonts w:eastAsiaTheme="majorEastAsia"/>
        </w:rPr>
        <w:t xml:space="preserve"> August 2018</w:t>
      </w:r>
      <w:r w:rsidR="00043985" w:rsidRPr="00C64DCA">
        <w:rPr>
          <w:rFonts w:eastAsiaTheme="majorEastAsia"/>
        </w:rPr>
        <w:t xml:space="preserve">. </w:t>
      </w:r>
      <w:r w:rsidR="00703CD9" w:rsidRPr="00C64DCA">
        <w:rPr>
          <w:rFonts w:eastAsiaTheme="majorEastAsia"/>
        </w:rPr>
        <w:t xml:space="preserve">Preliminary searches using published criteria </w:t>
      </w:r>
      <w:r w:rsidR="005F3330" w:rsidRPr="00C64DCA">
        <w:rPr>
          <w:rFonts w:eastAsiaTheme="majorEastAsia"/>
        </w:rPr>
        <w:fldChar w:fldCharType="begin"/>
      </w:r>
      <w:r w:rsidR="00062B8B" w:rsidRPr="00C64DCA">
        <w:rPr>
          <w:rFonts w:eastAsiaTheme="majorEastAsia"/>
        </w:rPr>
        <w:instrText xml:space="preserve"> ADDIN ZOTERO_ITEM CSL_CITATION {"citationID":"1iOghdbU","properties":{"formattedCitation":"[10]","plainCitation":"[10]","noteIndex":0},"citationItems":[{"id":60,"uris":["http://zotero.org/users/5219623/items/G75A8KT6"],"uri":["http://zotero.org/users/5219623/items/G75A8KT6"],"itemData":{"id":60,"type":"article-journal","title":"Validity of ankylosing spondylitis and undifferentiated spondyloarthritis diagnoses in the Swedish National Patient Register","container-title":"Scandinavian Journal of Rheumatology","page":"369-376","volume":"44","issue":"5","source":"Crossref","abstract":"Objectives: Epidemiological studies of spondyloarthritis (SpA), using ICD codes from the Swedish National Patient Register (NPR), offer unique possibilities but hinge upon an understanding of the validity of the codes. The aim of this study was to validate the ICD codes for ankylosing spondylitis (AS) and undifferentiated SpA (uSpA) in the NPR against the established classification criteria [modified New York (mNY), Assessment of SpondyloArthritis international Society (ASAS), Amor, and European Spondyloarthropathy Study Group (ESSG) criteria].\nMethod: All patients with an ICD-8/9/10 code of AS or uSpA in the NPR 1966–2009 at a visit to a specialist in rheumatology or internal medicine or corresponding hospitalization, alive and living in Sweden 2009, were identified (n ¼ 20 089). Following a structured procedure to achieve geographical representativeness, 500 random patients with a diagnosis of AS or uSpA in 2007–2009 were selected. Based on a structured review of clinical records, positive predictive values (PPVs) for fulfilling the criteria sets were calculated.\nResults: For those having received an ICD code for AS, the PPVs for fulfilling the mNY criteria or any set of SpA criteria were 70% and 89%, respectively. For those with an uSpA diagnosis (and never an AS diagnosis), the corresponding PPVs were 20% and 79%. The subset with both AS and uSpA diagnoses (overlap ¼ 12%) were as likely to fulfil the mNY criteria as the group that had been coded as AS only.\nConclusions: The diagnosis codes for AS or uSpA had high PPVs, suggesting that our case identification in the Swedish NPR can be used for nationwide, population-based, epidemiological studies of these diseases.","DOI":"10.3109/03009742.2015.1010572","ISSN":"0300-9742, 1502-7732","language":"en","author":[{"family":"Lindström","given":"U"},{"family":"Exarchou","given":"S"},{"family":"Sigurdardottir","given":"V"},{"family":"Sundström","given":"B"},{"family":"Askling","given":"J"},{"family":"Eriksson","given":"Jk"},{"family":"Forsblad-d’Elia","given":"H"},{"family":"Turesson","given":"C"},{"family":"Kristensen","given":"Le"},{"family":"Jacobsson","given":"L"}],"issued":{"date-parts":[["2015",9,3]]}}}],"schema":"https://github.com/citation-style-language/schema/raw/master/csl-citation.json"} </w:instrText>
      </w:r>
      <w:r w:rsidR="005F3330" w:rsidRPr="00C64DCA">
        <w:rPr>
          <w:rFonts w:eastAsiaTheme="majorEastAsia"/>
        </w:rPr>
        <w:fldChar w:fldCharType="separate"/>
      </w:r>
      <w:r w:rsidR="00062B8B" w:rsidRPr="00C64DCA">
        <w:rPr>
          <w:rFonts w:ascii="Calibri" w:hAnsi="Calibri"/>
        </w:rPr>
        <w:t>[10]</w:t>
      </w:r>
      <w:r w:rsidR="005F3330" w:rsidRPr="00C64DCA">
        <w:rPr>
          <w:rFonts w:eastAsiaTheme="majorEastAsia"/>
        </w:rPr>
        <w:fldChar w:fldCharType="end"/>
      </w:r>
      <w:r w:rsidR="005F3330" w:rsidRPr="00C64DCA">
        <w:rPr>
          <w:rFonts w:eastAsiaTheme="majorEastAsia"/>
        </w:rPr>
        <w:t xml:space="preserve"> </w:t>
      </w:r>
      <w:r w:rsidR="00703CD9" w:rsidRPr="00C64DCA">
        <w:rPr>
          <w:rFonts w:eastAsiaTheme="majorEastAsia"/>
        </w:rPr>
        <w:t>performed poorly in our EMR</w:t>
      </w:r>
      <w:r w:rsidR="001C5A0D" w:rsidRPr="00C64DCA">
        <w:rPr>
          <w:rFonts w:eastAsiaTheme="majorEastAsia"/>
        </w:rPr>
        <w:t xml:space="preserve">; therefore, we </w:t>
      </w:r>
      <w:r w:rsidR="00703CD9" w:rsidRPr="00C64DCA">
        <w:rPr>
          <w:rFonts w:eastAsiaTheme="majorEastAsia"/>
        </w:rPr>
        <w:t xml:space="preserve">combined </w:t>
      </w:r>
      <w:r w:rsidR="001C5A0D" w:rsidRPr="00C64DCA">
        <w:rPr>
          <w:rFonts w:eastAsiaTheme="majorEastAsia"/>
        </w:rPr>
        <w:t xml:space="preserve">the use of ICD codes with a simple text-search of radiology reports. </w:t>
      </w:r>
      <w:r w:rsidR="00E27932" w:rsidRPr="00C64DCA">
        <w:rPr>
          <w:rFonts w:eastAsiaTheme="majorEastAsia"/>
        </w:rPr>
        <w:t>The</w:t>
      </w:r>
      <w:r w:rsidR="00043985" w:rsidRPr="00C64DCA">
        <w:rPr>
          <w:rFonts w:eastAsiaTheme="majorEastAsia"/>
        </w:rPr>
        <w:t xml:space="preserve"> search </w:t>
      </w:r>
      <w:r w:rsidR="00305254" w:rsidRPr="00C64DCA">
        <w:rPr>
          <w:rFonts w:eastAsiaTheme="majorEastAsia"/>
        </w:rPr>
        <w:t>criteria</w:t>
      </w:r>
      <w:r w:rsidR="00043985" w:rsidRPr="00C64DCA">
        <w:rPr>
          <w:rFonts w:eastAsiaTheme="majorEastAsia"/>
        </w:rPr>
        <w:t xml:space="preserve"> </w:t>
      </w:r>
      <w:r w:rsidR="00305254" w:rsidRPr="00C64DCA">
        <w:rPr>
          <w:rFonts w:eastAsiaTheme="majorEastAsia"/>
        </w:rPr>
        <w:t>were</w:t>
      </w:r>
      <w:r w:rsidR="00043985" w:rsidRPr="00C64DCA">
        <w:rPr>
          <w:rFonts w:eastAsiaTheme="majorEastAsia"/>
        </w:rPr>
        <w:t xml:space="preserve"> </w:t>
      </w:r>
      <w:r w:rsidR="00E01D31" w:rsidRPr="00C64DCA">
        <w:rPr>
          <w:rFonts w:eastAsiaTheme="majorEastAsia"/>
        </w:rPr>
        <w:t xml:space="preserve">≥3 ICD-9 or 10 codes for AS </w:t>
      </w:r>
      <w:r w:rsidR="000D6B98" w:rsidRPr="00C64DCA">
        <w:rPr>
          <w:rFonts w:eastAsiaTheme="majorEastAsia"/>
        </w:rPr>
        <w:t>(720.x or M45.x</w:t>
      </w:r>
      <w:r w:rsidR="001C5A0D" w:rsidRPr="00C64DCA">
        <w:rPr>
          <w:rFonts w:eastAsiaTheme="majorEastAsia"/>
        </w:rPr>
        <w:t xml:space="preserve">) and </w:t>
      </w:r>
      <w:r w:rsidR="00D029E4" w:rsidRPr="00C64DCA">
        <w:rPr>
          <w:rFonts w:eastAsiaTheme="majorEastAsia"/>
        </w:rPr>
        <w:t xml:space="preserve">string-text </w:t>
      </w:r>
      <w:r w:rsidR="001C5A0D" w:rsidRPr="00C64DCA">
        <w:rPr>
          <w:rFonts w:eastAsiaTheme="majorEastAsia"/>
        </w:rPr>
        <w:t>mention of</w:t>
      </w:r>
      <w:r w:rsidR="00703CD9" w:rsidRPr="00C64DCA">
        <w:rPr>
          <w:rFonts w:eastAsiaTheme="majorEastAsia"/>
        </w:rPr>
        <w:t xml:space="preserve"> </w:t>
      </w:r>
      <w:r w:rsidR="00D029E4" w:rsidRPr="00C64DCA">
        <w:rPr>
          <w:rFonts w:eastAsiaTheme="majorEastAsia"/>
        </w:rPr>
        <w:t>“</w:t>
      </w:r>
      <w:r w:rsidR="00E01D31" w:rsidRPr="00C64DCA">
        <w:rPr>
          <w:rFonts w:eastAsiaTheme="majorEastAsia"/>
        </w:rPr>
        <w:t>sacroiliitis</w:t>
      </w:r>
      <w:r w:rsidR="00D029E4" w:rsidRPr="00C64DCA">
        <w:rPr>
          <w:rFonts w:eastAsiaTheme="majorEastAsia"/>
        </w:rPr>
        <w:t>”</w:t>
      </w:r>
      <w:r w:rsidR="00E01D31" w:rsidRPr="00C64DCA">
        <w:rPr>
          <w:rFonts w:eastAsiaTheme="majorEastAsia"/>
        </w:rPr>
        <w:t xml:space="preserve">, </w:t>
      </w:r>
      <w:r w:rsidR="00B77F73" w:rsidRPr="00C64DCA">
        <w:rPr>
          <w:rFonts w:eastAsiaTheme="majorEastAsia"/>
        </w:rPr>
        <w:t>“</w:t>
      </w:r>
      <w:r w:rsidR="00367C9A" w:rsidRPr="00C64DCA">
        <w:rPr>
          <w:rFonts w:eastAsiaTheme="majorEastAsia"/>
        </w:rPr>
        <w:t>ankylos</w:t>
      </w:r>
      <w:r w:rsidR="00B77F73" w:rsidRPr="00C64DCA">
        <w:rPr>
          <w:rFonts w:eastAsiaTheme="majorEastAsia"/>
        </w:rPr>
        <w:t>i</w:t>
      </w:r>
      <w:r w:rsidR="00D029E4" w:rsidRPr="00C64DCA">
        <w:rPr>
          <w:rFonts w:eastAsiaTheme="majorEastAsia"/>
        </w:rPr>
        <w:t>s”</w:t>
      </w:r>
      <w:r w:rsidR="00E01D31" w:rsidRPr="00C64DCA">
        <w:rPr>
          <w:rFonts w:eastAsiaTheme="majorEastAsia"/>
        </w:rPr>
        <w:t xml:space="preserve"> or </w:t>
      </w:r>
      <w:r w:rsidR="00D029E4" w:rsidRPr="00C64DCA">
        <w:rPr>
          <w:rFonts w:eastAsiaTheme="majorEastAsia"/>
        </w:rPr>
        <w:t>“</w:t>
      </w:r>
      <w:r w:rsidR="00E01D31" w:rsidRPr="00C64DCA">
        <w:rPr>
          <w:rFonts w:eastAsiaTheme="majorEastAsia"/>
        </w:rPr>
        <w:t>syndesmophyte</w:t>
      </w:r>
      <w:r w:rsidR="00D029E4" w:rsidRPr="00C64DCA">
        <w:rPr>
          <w:rFonts w:eastAsiaTheme="majorEastAsia"/>
        </w:rPr>
        <w:t>”</w:t>
      </w:r>
      <w:r w:rsidR="00E01D31" w:rsidRPr="00C64DCA">
        <w:rPr>
          <w:rFonts w:eastAsiaTheme="majorEastAsia"/>
        </w:rPr>
        <w:t xml:space="preserve"> </w:t>
      </w:r>
      <w:r w:rsidR="00703CD9" w:rsidRPr="00C64DCA">
        <w:rPr>
          <w:rFonts w:eastAsiaTheme="majorEastAsia"/>
        </w:rPr>
        <w:t xml:space="preserve">(whether present or absent) </w:t>
      </w:r>
      <w:r w:rsidR="00E01D31" w:rsidRPr="00C64DCA">
        <w:rPr>
          <w:rFonts w:eastAsiaTheme="majorEastAsia"/>
        </w:rPr>
        <w:t xml:space="preserve">in </w:t>
      </w:r>
      <w:r w:rsidR="006373C7" w:rsidRPr="00C64DCA">
        <w:rPr>
          <w:rFonts w:eastAsiaTheme="majorEastAsia"/>
        </w:rPr>
        <w:t>radiology report</w:t>
      </w:r>
      <w:r w:rsidR="00E01D31" w:rsidRPr="00C64DCA">
        <w:rPr>
          <w:rFonts w:eastAsiaTheme="majorEastAsia"/>
        </w:rPr>
        <w:t>s</w:t>
      </w:r>
      <w:r w:rsidRPr="00C64DCA">
        <w:rPr>
          <w:rFonts w:eastAsiaTheme="majorEastAsia"/>
        </w:rPr>
        <w:t xml:space="preserve">, including plain </w:t>
      </w:r>
      <w:r w:rsidR="00564D37" w:rsidRPr="00C64DCA">
        <w:rPr>
          <w:rFonts w:eastAsiaTheme="majorEastAsia"/>
        </w:rPr>
        <w:t>X</w:t>
      </w:r>
      <w:r w:rsidRPr="00C64DCA">
        <w:rPr>
          <w:rFonts w:eastAsiaTheme="majorEastAsia"/>
        </w:rPr>
        <w:t>-rays, MRIs or CT scans</w:t>
      </w:r>
      <w:r w:rsidR="00E01D31" w:rsidRPr="00C64DCA">
        <w:rPr>
          <w:rFonts w:eastAsiaTheme="majorEastAsia"/>
        </w:rPr>
        <w:t>.</w:t>
      </w:r>
      <w:r w:rsidR="00876296" w:rsidRPr="00C64DCA">
        <w:rPr>
          <w:rFonts w:eastAsiaTheme="majorEastAsia"/>
        </w:rPr>
        <w:t xml:space="preserve"> </w:t>
      </w:r>
      <w:r w:rsidR="00D029E4" w:rsidRPr="00C64DCA">
        <w:rPr>
          <w:rFonts w:eastAsiaTheme="majorEastAsia"/>
        </w:rPr>
        <w:t xml:space="preserve">No codes exist </w:t>
      </w:r>
      <w:r w:rsidR="00876296" w:rsidRPr="00C64DCA">
        <w:rPr>
          <w:rFonts w:eastAsiaTheme="majorEastAsia"/>
        </w:rPr>
        <w:t>for axSpA in ICD</w:t>
      </w:r>
      <w:r w:rsidR="00B51408" w:rsidRPr="00C64DCA">
        <w:rPr>
          <w:rFonts w:eastAsiaTheme="majorEastAsia"/>
        </w:rPr>
        <w:t>-9 or 10</w:t>
      </w:r>
      <w:r w:rsidR="00876296" w:rsidRPr="00C64DCA">
        <w:rPr>
          <w:rFonts w:eastAsiaTheme="majorEastAsia"/>
        </w:rPr>
        <w:t>.</w:t>
      </w:r>
      <w:r w:rsidRPr="00C64DCA">
        <w:rPr>
          <w:rFonts w:eastAsiaTheme="majorEastAsia"/>
        </w:rPr>
        <w:t xml:space="preserve"> </w:t>
      </w:r>
      <w:r w:rsidR="00E27932" w:rsidRPr="00C64DCA">
        <w:rPr>
          <w:rFonts w:eastAsiaTheme="majorEastAsia"/>
        </w:rPr>
        <w:t xml:space="preserve">Each patient’s clinical </w:t>
      </w:r>
      <w:r w:rsidR="00B77F73" w:rsidRPr="00C64DCA">
        <w:rPr>
          <w:rFonts w:eastAsiaTheme="majorEastAsia"/>
        </w:rPr>
        <w:t>records</w:t>
      </w:r>
      <w:r w:rsidR="00E27932" w:rsidRPr="00C64DCA">
        <w:rPr>
          <w:rFonts w:eastAsiaTheme="majorEastAsia"/>
        </w:rPr>
        <w:t xml:space="preserve"> were manually reviewed. For variables that required an index date, it was defined as the date of the latest clinical </w:t>
      </w:r>
      <w:r w:rsidR="00B77F73" w:rsidRPr="00C64DCA">
        <w:rPr>
          <w:rFonts w:eastAsiaTheme="majorEastAsia"/>
        </w:rPr>
        <w:t>record</w:t>
      </w:r>
      <w:r w:rsidR="00E27932" w:rsidRPr="00C64DCA">
        <w:rPr>
          <w:rFonts w:eastAsiaTheme="majorEastAsia"/>
        </w:rPr>
        <w:t xml:space="preserve"> for each patient. </w:t>
      </w:r>
      <w:r w:rsidR="00043985" w:rsidRPr="00C64DCA">
        <w:rPr>
          <w:rFonts w:eastAsiaTheme="majorEastAsia"/>
        </w:rPr>
        <w:t xml:space="preserve">The Partners </w:t>
      </w:r>
      <w:r w:rsidR="00836E1C" w:rsidRPr="00C64DCA">
        <w:rPr>
          <w:rFonts w:eastAsiaTheme="majorEastAsia"/>
        </w:rPr>
        <w:t xml:space="preserve">HealthCare </w:t>
      </w:r>
      <w:r w:rsidR="00043985" w:rsidRPr="00C64DCA">
        <w:rPr>
          <w:rFonts w:eastAsiaTheme="majorEastAsia"/>
        </w:rPr>
        <w:t>Institut</w:t>
      </w:r>
      <w:r w:rsidRPr="00C64DCA">
        <w:rPr>
          <w:rFonts w:eastAsiaTheme="majorEastAsia"/>
        </w:rPr>
        <w:t>ional</w:t>
      </w:r>
      <w:r w:rsidR="00043985" w:rsidRPr="00C64DCA">
        <w:rPr>
          <w:rFonts w:eastAsiaTheme="majorEastAsia"/>
        </w:rPr>
        <w:t xml:space="preserve"> Review Board approved all aspects of this study.</w:t>
      </w:r>
    </w:p>
    <w:p w14:paraId="4EFD3682" w14:textId="345096DD" w:rsidR="00043985" w:rsidRPr="00C64DCA" w:rsidRDefault="00043985" w:rsidP="00421F64">
      <w:pPr>
        <w:spacing w:line="480" w:lineRule="auto"/>
        <w:rPr>
          <w:rFonts w:eastAsiaTheme="majorEastAsia"/>
          <w:u w:val="single"/>
        </w:rPr>
      </w:pPr>
      <w:r w:rsidRPr="00C64DCA">
        <w:rPr>
          <w:rFonts w:eastAsiaTheme="majorEastAsia"/>
          <w:u w:val="single"/>
        </w:rPr>
        <w:t>Disease definition</w:t>
      </w:r>
    </w:p>
    <w:p w14:paraId="60249F91" w14:textId="2DD19244" w:rsidR="00E01D31" w:rsidRPr="00C64DCA" w:rsidRDefault="00043985" w:rsidP="00421F64">
      <w:pPr>
        <w:spacing w:line="480" w:lineRule="auto"/>
        <w:rPr>
          <w:rFonts w:eastAsiaTheme="majorEastAsia"/>
        </w:rPr>
      </w:pPr>
      <w:r w:rsidRPr="00C64DCA">
        <w:rPr>
          <w:rFonts w:eastAsiaTheme="majorEastAsia"/>
        </w:rPr>
        <w:t xml:space="preserve">Patients with a </w:t>
      </w:r>
      <w:r w:rsidR="00E95768" w:rsidRPr="00C64DCA">
        <w:rPr>
          <w:rFonts w:eastAsiaTheme="majorEastAsia"/>
        </w:rPr>
        <w:t xml:space="preserve">clinical </w:t>
      </w:r>
      <w:r w:rsidRPr="00C64DCA">
        <w:rPr>
          <w:rFonts w:eastAsiaTheme="majorEastAsia"/>
        </w:rPr>
        <w:t>diagnosis of AS</w:t>
      </w:r>
      <w:r w:rsidR="003F5FF5" w:rsidRPr="00C64DCA">
        <w:rPr>
          <w:rFonts w:eastAsiaTheme="majorEastAsia"/>
        </w:rPr>
        <w:t xml:space="preserve"> w</w:t>
      </w:r>
      <w:r w:rsidR="001C0E2B" w:rsidRPr="00C64DCA">
        <w:rPr>
          <w:rFonts w:eastAsiaTheme="majorEastAsia"/>
        </w:rPr>
        <w:t>ere</w:t>
      </w:r>
      <w:r w:rsidR="003F5FF5" w:rsidRPr="00C64DCA">
        <w:rPr>
          <w:rFonts w:eastAsiaTheme="majorEastAsia"/>
        </w:rPr>
        <w:t xml:space="preserve"> classified</w:t>
      </w:r>
      <w:r w:rsidR="00304465" w:rsidRPr="00C64DCA">
        <w:rPr>
          <w:rFonts w:eastAsiaTheme="majorEastAsia"/>
        </w:rPr>
        <w:t xml:space="preserve"> </w:t>
      </w:r>
      <w:r w:rsidR="001C5A0D" w:rsidRPr="00C64DCA">
        <w:rPr>
          <w:rFonts w:eastAsiaTheme="majorEastAsia"/>
        </w:rPr>
        <w:t xml:space="preserve">for this study as </w:t>
      </w:r>
      <w:proofErr w:type="spellStart"/>
      <w:r w:rsidR="001C5A0D" w:rsidRPr="00C64DCA">
        <w:rPr>
          <w:rFonts w:eastAsiaTheme="majorEastAsia"/>
        </w:rPr>
        <w:t>AS</w:t>
      </w:r>
      <w:proofErr w:type="spellEnd"/>
      <w:r w:rsidR="00304465" w:rsidRPr="00C64DCA">
        <w:rPr>
          <w:rFonts w:eastAsiaTheme="majorEastAsia"/>
        </w:rPr>
        <w:t xml:space="preserve"> if they fulfilled </w:t>
      </w:r>
      <w:r w:rsidR="003F5FF5" w:rsidRPr="00C64DCA">
        <w:rPr>
          <w:rFonts w:eastAsiaTheme="majorEastAsia"/>
        </w:rPr>
        <w:t xml:space="preserve">the modified New York </w:t>
      </w:r>
      <w:r w:rsidR="00304465" w:rsidRPr="00C64DCA">
        <w:rPr>
          <w:rFonts w:eastAsiaTheme="majorEastAsia"/>
        </w:rPr>
        <w:t>criteria</w:t>
      </w:r>
      <w:r w:rsidR="008310A3" w:rsidRPr="00C64DCA">
        <w:rPr>
          <w:rFonts w:eastAsiaTheme="majorEastAsia"/>
        </w:rPr>
        <w:t xml:space="preserve"> </w:t>
      </w:r>
      <w:r w:rsidR="008310A3" w:rsidRPr="00C64DCA">
        <w:rPr>
          <w:rFonts w:eastAsiaTheme="majorEastAsia"/>
        </w:rPr>
        <w:fldChar w:fldCharType="begin"/>
      </w:r>
      <w:r w:rsidR="00062B8B" w:rsidRPr="00C64DCA">
        <w:rPr>
          <w:rFonts w:eastAsiaTheme="majorEastAsia"/>
        </w:rPr>
        <w:instrText xml:space="preserve"> ADDIN ZOTERO_ITEM CSL_CITATION {"citationID":"RyfJpD62","properties":{"formattedCitation":"[11]","plainCitation":"[11]","noteIndex":0},"citationItems":[{"id":83,"uris":["http://zotero.org/users/5219623/items/7SVEZDM2"],"uri":["http://zotero.org/users/5219623/items/7SVEZDM2"],"itemData":{"id":83,"type":"article-journal","title":"Evaluation of diagnostic criteria for ankylosing spondylitis. A proposal for modification of the New York criteria","container-title":"Arthritis and Rheumatism","page":"361-368","volume":"27","issue":"4","source":"PubMed","abstract":"The New York and the Rome diagnostic criteria for ankylosing spondylitis (AS) and the clinical history screening test for AS were evaluated in relatives of AS patients and in population control subjects. The New York criterion of pain in the (dorso) lumbar spine lacks specificity, and the chest expansion criterion is too insensitive. The Rome criterion of low back pain for more than 3 months is very useful. Our study showed the clinical history screening test for AS to be moderately sensitive, but it might be better in clinical practice. As a modification of the New York criteria, substitution of the Rome pain criterion for the New York pain criterion is proposed.","ISSN":"0004-3591","note":"PMID: 6231933","journalAbbreviation":"Arthritis Rheum.","language":"eng","author":[{"family":"Linden","given":"S.","non-dropping-particle":"van der"},{"family":"Valkenburg","given":"H. A."},{"family":"Cats","given":"A."}],"issued":{"date-parts":[["1984",4]]}}}],"schema":"https://github.com/citation-style-language/schema/raw/master/csl-citation.json"} </w:instrText>
      </w:r>
      <w:r w:rsidR="008310A3" w:rsidRPr="00C64DCA">
        <w:rPr>
          <w:rFonts w:eastAsiaTheme="majorEastAsia"/>
        </w:rPr>
        <w:fldChar w:fldCharType="separate"/>
      </w:r>
      <w:r w:rsidR="00062B8B" w:rsidRPr="00C64DCA">
        <w:rPr>
          <w:rFonts w:ascii="Calibri" w:hAnsi="Calibri"/>
        </w:rPr>
        <w:t>[11]</w:t>
      </w:r>
      <w:r w:rsidR="008310A3" w:rsidRPr="00C64DCA">
        <w:rPr>
          <w:rFonts w:eastAsiaTheme="majorEastAsia"/>
        </w:rPr>
        <w:fldChar w:fldCharType="end"/>
      </w:r>
      <w:r w:rsidR="00304465" w:rsidRPr="00C64DCA">
        <w:rPr>
          <w:rFonts w:eastAsiaTheme="majorEastAsia"/>
        </w:rPr>
        <w:t>,</w:t>
      </w:r>
      <w:r w:rsidR="003F5FF5" w:rsidRPr="00C64DCA">
        <w:rPr>
          <w:rFonts w:eastAsiaTheme="majorEastAsia"/>
        </w:rPr>
        <w:t xml:space="preserve"> </w:t>
      </w:r>
      <w:r w:rsidR="001657C8" w:rsidRPr="00C64DCA">
        <w:rPr>
          <w:rFonts w:eastAsiaTheme="majorEastAsia"/>
        </w:rPr>
        <w:t>and</w:t>
      </w:r>
      <w:r w:rsidR="003F5FF5" w:rsidRPr="00C64DCA">
        <w:rPr>
          <w:rFonts w:eastAsiaTheme="majorEastAsia"/>
        </w:rPr>
        <w:t xml:space="preserve"> </w:t>
      </w:r>
      <w:r w:rsidR="00304465" w:rsidRPr="00C64DCA">
        <w:rPr>
          <w:rFonts w:eastAsiaTheme="majorEastAsia"/>
        </w:rPr>
        <w:t xml:space="preserve">as nr-axSpA if they fulfilled </w:t>
      </w:r>
      <w:r w:rsidR="002F63A4" w:rsidRPr="00C64DCA">
        <w:rPr>
          <w:rFonts w:eastAsiaTheme="majorEastAsia"/>
        </w:rPr>
        <w:t>the Assessment of Spondyloarthritis international Society (</w:t>
      </w:r>
      <w:r w:rsidR="003F5FF5" w:rsidRPr="00C64DCA">
        <w:rPr>
          <w:rFonts w:eastAsiaTheme="majorEastAsia"/>
        </w:rPr>
        <w:t>ASAS</w:t>
      </w:r>
      <w:r w:rsidR="002F63A4" w:rsidRPr="00C64DCA">
        <w:rPr>
          <w:rFonts w:eastAsiaTheme="majorEastAsia"/>
        </w:rPr>
        <w:t>)</w:t>
      </w:r>
      <w:r w:rsidR="00E116EF" w:rsidRPr="00C64DCA">
        <w:rPr>
          <w:rFonts w:eastAsiaTheme="majorEastAsia"/>
        </w:rPr>
        <w:t xml:space="preserve"> imaging or clinical</w:t>
      </w:r>
      <w:r w:rsidR="003F5FF5" w:rsidRPr="00C64DCA">
        <w:rPr>
          <w:rFonts w:eastAsiaTheme="majorEastAsia"/>
        </w:rPr>
        <w:t xml:space="preserve"> criteria</w:t>
      </w:r>
      <w:r w:rsidR="00304465" w:rsidRPr="00C64DCA">
        <w:rPr>
          <w:rFonts w:eastAsiaTheme="majorEastAsia"/>
        </w:rPr>
        <w:t xml:space="preserve"> for axSpA </w:t>
      </w:r>
      <w:r w:rsidR="00304465" w:rsidRPr="00C64DCA">
        <w:rPr>
          <w:rFonts w:eastAsiaTheme="majorEastAsia"/>
        </w:rPr>
        <w:fldChar w:fldCharType="begin"/>
      </w:r>
      <w:r w:rsidR="00062B8B" w:rsidRPr="00C64DCA">
        <w:rPr>
          <w:rFonts w:eastAsiaTheme="majorEastAsia"/>
        </w:rPr>
        <w:instrText xml:space="preserve"> ADDIN ZOTERO_ITEM CSL_CITATION {"citationID":"gYaQeEX4","properties":{"formattedCitation":"[12]","plainCitation":"[12]","noteIndex":0},"citationItems":[{"id":48,"uris":["http://zotero.org/users/5219623/items/2V895KDC"],"uri":["http://zotero.org/users/5219623/items/2V895KDC"],"itemData":{"id":48,"type":"article-journal","title":"The development of Assessment of SpondyloArthritis international Society classification criteria for axial spondyloarthritis (part II): validation and final selection","container-title":"Annals of the Rheumatic Diseases","page":"777-783","volume":"68","issue":"6","source":"PubMed","abstract":"OBJECTIVE: To validate and refine two sets of candidate criteria for the classification/diagnosis of axial spondyloarthritis (SpA).\nMETHODS: All Assessment of SpondyloArthritis international Society (ASAS) members were invited to include consecutively new patients with chronic (&gt; or =3 months) back pain of unknown origin that began before 45 years of age. The candidate criteria were first tested in the entire cohort of 649 patients from 25 centres, and then refined in a random selection of 40% of cases and thereafter validated in the remaining 60%.\nRESULTS: Upon diagnostic work-up, axial SpA was diagnosed in 60.2% of the cohort. Of these, 70% did not fulfil modified New York criteria and, therefore, were classified as having \"non-radiographic\" axial SpA. Refinement of the candidate criteria resulted in new ASAS classification criteria that are defined as: the presence of sacroiliitis by radiography or by magnetic resonance imaging (MRI) plus at least one SpA feature (\"imaging arm\") or the presence of HLA-B27 plus at least two SpA features (\"clinical arm\"). The sensitivity and specificity of the entire set of the new criteria were 82.9% and 84.4%, and for the imaging arm alone 66.2% and 97.3%, respectively. The specificity of the new criteria was much better than that of the European Spondylarthropathy Study Group criteria modified for MRI (sensitivity 85.1%, specificity 65.1%) and slightly better than that of the modified Amor criteria (sensitivity 82.9, specificity 77.5%).\nCONCLUSION: The new ASAS classification criteria for axial SpA can reliably classify patients for clinical studies and may help rheumatologists in clinical practice in diagnosing axial SpA in those with chronic back pain.\nTRIAL REGISTRATION NUMBER: NCT00328068.","DOI":"10.1136/ard.2009.108233","ISSN":"1468-2060","note":"PMID: 19297344","shortTitle":"The development of Assessment of SpondyloArthritis international Society classification criteria for axial spondyloarthritis (part II)","journalAbbreviation":"Ann. Rheum. Dis.","language":"eng","author":[{"family":"Rudwaleit","given":"M."},{"family":"Heijde","given":"D.","non-dropping-particle":"van der"},{"family":"Landewé","given":"R."},{"family":"Listing","given":"J."},{"family":"Akkoc","given":"N."},{"family":"Brandt","given":"J."},{"family":"Braun","given":"J."},{"family":"Chou","given":"C. T."},{"family":"Collantes-Estevez","given":"E."},{"family":"Dougados","given":"M."},{"family":"Huang","given":"F."},{"family":"Gu","given":"J."},{"family":"Khan","given":"M. A."},{"family":"Kirazli","given":"Y."},{"family":"Maksymowych","given":"W. P."},{"family":"Mielants","given":"H."},{"family":"Sørensen","given":"I. J."},{"family":"Ozgocmen","given":"S."},{"family":"Roussou","given":"E."},{"family":"Valle-Oñate","given":"R."},{"family":"Weber","given":"U."},{"family":"Wei","given":"J."},{"family":"Sieper","given":"J."}],"issued":{"date-parts":[["2009",6]]}}}],"schema":"https://github.com/citation-style-language/schema/raw/master/csl-citation.json"} </w:instrText>
      </w:r>
      <w:r w:rsidR="00304465" w:rsidRPr="00C64DCA">
        <w:rPr>
          <w:rFonts w:eastAsiaTheme="majorEastAsia"/>
        </w:rPr>
        <w:fldChar w:fldCharType="separate"/>
      </w:r>
      <w:r w:rsidR="00062B8B" w:rsidRPr="00C64DCA">
        <w:rPr>
          <w:rFonts w:ascii="Calibri" w:hAnsi="Calibri"/>
        </w:rPr>
        <w:t>[12]</w:t>
      </w:r>
      <w:r w:rsidR="00304465" w:rsidRPr="00C64DCA">
        <w:rPr>
          <w:rFonts w:eastAsiaTheme="majorEastAsia"/>
        </w:rPr>
        <w:fldChar w:fldCharType="end"/>
      </w:r>
      <w:r w:rsidR="00304465" w:rsidRPr="00C64DCA">
        <w:rPr>
          <w:rFonts w:eastAsiaTheme="majorEastAsia"/>
        </w:rPr>
        <w:t xml:space="preserve"> but not the modified New York criteria</w:t>
      </w:r>
      <w:r w:rsidR="001657C8" w:rsidRPr="00C64DCA">
        <w:rPr>
          <w:rFonts w:eastAsiaTheme="majorEastAsia"/>
        </w:rPr>
        <w:t>.</w:t>
      </w:r>
      <w:r w:rsidR="00003724" w:rsidRPr="00C64DCA">
        <w:rPr>
          <w:rFonts w:eastAsiaTheme="majorEastAsia"/>
        </w:rPr>
        <w:t xml:space="preserve"> </w:t>
      </w:r>
      <w:r w:rsidR="00305254" w:rsidRPr="00C64DCA">
        <w:rPr>
          <w:rFonts w:eastAsiaTheme="majorEastAsia"/>
        </w:rPr>
        <w:t>Since t</w:t>
      </w:r>
      <w:r w:rsidRPr="00C64DCA">
        <w:rPr>
          <w:rFonts w:eastAsiaTheme="majorEastAsia"/>
        </w:rPr>
        <w:t xml:space="preserve">his was </w:t>
      </w:r>
      <w:r w:rsidR="008053BD" w:rsidRPr="00C64DCA">
        <w:rPr>
          <w:rFonts w:eastAsiaTheme="majorEastAsia"/>
        </w:rPr>
        <w:t xml:space="preserve">primarily </w:t>
      </w:r>
      <w:r w:rsidR="00A05309" w:rsidRPr="00C64DCA">
        <w:rPr>
          <w:rFonts w:eastAsiaTheme="majorEastAsia"/>
        </w:rPr>
        <w:t xml:space="preserve">a </w:t>
      </w:r>
      <w:r w:rsidRPr="00C64DCA">
        <w:rPr>
          <w:rFonts w:eastAsiaTheme="majorEastAsia"/>
        </w:rPr>
        <w:t>clinical rather than research cohort</w:t>
      </w:r>
      <w:r w:rsidR="00305254" w:rsidRPr="00C64DCA">
        <w:rPr>
          <w:rFonts w:eastAsiaTheme="majorEastAsia"/>
        </w:rPr>
        <w:t xml:space="preserve">, </w:t>
      </w:r>
      <w:r w:rsidR="003F5FF5" w:rsidRPr="00C64DCA">
        <w:rPr>
          <w:rFonts w:eastAsiaTheme="majorEastAsia"/>
        </w:rPr>
        <w:t xml:space="preserve">investigations </w:t>
      </w:r>
      <w:r w:rsidR="00305254" w:rsidRPr="00C64DCA">
        <w:rPr>
          <w:rFonts w:eastAsiaTheme="majorEastAsia"/>
        </w:rPr>
        <w:t>require</w:t>
      </w:r>
      <w:r w:rsidR="0060495C" w:rsidRPr="00C64DCA">
        <w:rPr>
          <w:rFonts w:eastAsiaTheme="majorEastAsia"/>
        </w:rPr>
        <w:t>d</w:t>
      </w:r>
      <w:r w:rsidR="00305254" w:rsidRPr="00C64DCA">
        <w:rPr>
          <w:rFonts w:eastAsiaTheme="majorEastAsia"/>
        </w:rPr>
        <w:t xml:space="preserve"> for classification </w:t>
      </w:r>
      <w:r w:rsidR="003F5FF5" w:rsidRPr="00C64DCA">
        <w:rPr>
          <w:rFonts w:eastAsiaTheme="majorEastAsia"/>
        </w:rPr>
        <w:t>m</w:t>
      </w:r>
      <w:r w:rsidR="00D1447B" w:rsidRPr="00C64DCA">
        <w:rPr>
          <w:rFonts w:eastAsiaTheme="majorEastAsia"/>
        </w:rPr>
        <w:t>ight</w:t>
      </w:r>
      <w:r w:rsidR="003F5FF5" w:rsidRPr="00C64DCA">
        <w:rPr>
          <w:rFonts w:eastAsiaTheme="majorEastAsia"/>
        </w:rPr>
        <w:t xml:space="preserve"> be omitted</w:t>
      </w:r>
      <w:r w:rsidR="0060495C" w:rsidRPr="00C64DCA">
        <w:rPr>
          <w:rFonts w:eastAsiaTheme="majorEastAsia"/>
        </w:rPr>
        <w:t xml:space="preserve"> when patients attend with a previously established diagnosis</w:t>
      </w:r>
      <w:r w:rsidR="00747F97" w:rsidRPr="00C64DCA">
        <w:rPr>
          <w:rFonts w:eastAsiaTheme="majorEastAsia"/>
        </w:rPr>
        <w:t xml:space="preserve">. </w:t>
      </w:r>
      <w:r w:rsidRPr="00C64DCA">
        <w:rPr>
          <w:rFonts w:eastAsiaTheme="majorEastAsia"/>
        </w:rPr>
        <w:t>W</w:t>
      </w:r>
      <w:r w:rsidR="003F5FF5" w:rsidRPr="00C64DCA">
        <w:rPr>
          <w:rFonts w:eastAsiaTheme="majorEastAsia"/>
        </w:rPr>
        <w:t>e</w:t>
      </w:r>
      <w:r w:rsidR="006A5E75" w:rsidRPr="00C64DCA">
        <w:rPr>
          <w:rFonts w:eastAsiaTheme="majorEastAsia"/>
        </w:rPr>
        <w:t xml:space="preserve"> </w:t>
      </w:r>
      <w:r w:rsidR="00304465" w:rsidRPr="00C64DCA">
        <w:rPr>
          <w:rFonts w:eastAsiaTheme="majorEastAsia"/>
        </w:rPr>
        <w:t>categorised</w:t>
      </w:r>
      <w:r w:rsidR="003F5FF5" w:rsidRPr="00C64DCA">
        <w:rPr>
          <w:rFonts w:eastAsiaTheme="majorEastAsia"/>
        </w:rPr>
        <w:t xml:space="preserve"> patients </w:t>
      </w:r>
      <w:r w:rsidR="00E55825" w:rsidRPr="00C64DCA">
        <w:rPr>
          <w:rFonts w:eastAsiaTheme="majorEastAsia"/>
        </w:rPr>
        <w:t xml:space="preserve">with incomplete data for classification criteria </w:t>
      </w:r>
      <w:r w:rsidR="003F5FF5" w:rsidRPr="00C64DCA">
        <w:rPr>
          <w:rFonts w:eastAsiaTheme="majorEastAsia"/>
        </w:rPr>
        <w:t xml:space="preserve">as </w:t>
      </w:r>
      <w:r w:rsidR="00304465" w:rsidRPr="00C64DCA">
        <w:rPr>
          <w:rFonts w:eastAsiaTheme="majorEastAsia"/>
        </w:rPr>
        <w:t>“</w:t>
      </w:r>
      <w:r w:rsidR="001657C8" w:rsidRPr="00C64DCA">
        <w:rPr>
          <w:rFonts w:eastAsiaTheme="majorEastAsia"/>
        </w:rPr>
        <w:t>Probable</w:t>
      </w:r>
      <w:r w:rsidR="00304465" w:rsidRPr="00C64DCA">
        <w:rPr>
          <w:rFonts w:eastAsiaTheme="majorEastAsia"/>
        </w:rPr>
        <w:t>”</w:t>
      </w:r>
      <w:r w:rsidR="00D029E4" w:rsidRPr="00C64DCA">
        <w:rPr>
          <w:rFonts w:eastAsiaTheme="majorEastAsia"/>
        </w:rPr>
        <w:t xml:space="preserve"> </w:t>
      </w:r>
      <w:r w:rsidR="003F5FF5" w:rsidRPr="00C64DCA">
        <w:rPr>
          <w:rFonts w:eastAsiaTheme="majorEastAsia"/>
        </w:rPr>
        <w:t>AS if they had</w:t>
      </w:r>
      <w:r w:rsidR="00003724" w:rsidRPr="00C64DCA">
        <w:rPr>
          <w:rFonts w:eastAsiaTheme="majorEastAsia"/>
        </w:rPr>
        <w:t xml:space="preserve"> </w:t>
      </w:r>
      <w:r w:rsidR="00E55825" w:rsidRPr="00C64DCA">
        <w:rPr>
          <w:rFonts w:eastAsiaTheme="majorEastAsia"/>
        </w:rPr>
        <w:t>imaging</w:t>
      </w:r>
      <w:r w:rsidR="00304465" w:rsidRPr="00C64DCA">
        <w:rPr>
          <w:rFonts w:eastAsiaTheme="majorEastAsia"/>
        </w:rPr>
        <w:t xml:space="preserve"> pathology consistent with </w:t>
      </w:r>
      <w:r w:rsidR="00E116EF" w:rsidRPr="00C64DCA">
        <w:rPr>
          <w:rFonts w:eastAsiaTheme="majorEastAsia"/>
        </w:rPr>
        <w:t>AS</w:t>
      </w:r>
      <w:r w:rsidR="00304465" w:rsidRPr="00C64DCA">
        <w:rPr>
          <w:rFonts w:eastAsiaTheme="majorEastAsia"/>
        </w:rPr>
        <w:t xml:space="preserve"> (e.g. ankylosis of </w:t>
      </w:r>
      <w:r w:rsidR="003F5FF5" w:rsidRPr="00C64DCA">
        <w:rPr>
          <w:rFonts w:eastAsiaTheme="majorEastAsia"/>
        </w:rPr>
        <w:t xml:space="preserve">the vertebrae </w:t>
      </w:r>
      <w:r w:rsidR="00304465" w:rsidRPr="00C64DCA">
        <w:rPr>
          <w:rFonts w:eastAsiaTheme="majorEastAsia"/>
        </w:rPr>
        <w:t xml:space="preserve">or </w:t>
      </w:r>
      <w:r w:rsidR="003F5FF5" w:rsidRPr="00C64DCA">
        <w:rPr>
          <w:rFonts w:eastAsiaTheme="majorEastAsia"/>
        </w:rPr>
        <w:t>sacroiliac joint</w:t>
      </w:r>
      <w:r w:rsidR="00304465" w:rsidRPr="00C64DCA">
        <w:rPr>
          <w:rFonts w:eastAsiaTheme="majorEastAsia"/>
        </w:rPr>
        <w:t xml:space="preserve"> fusion) </w:t>
      </w:r>
      <w:r w:rsidR="003F5FF5" w:rsidRPr="00C64DCA">
        <w:rPr>
          <w:rFonts w:eastAsiaTheme="majorEastAsia"/>
        </w:rPr>
        <w:t xml:space="preserve">on </w:t>
      </w:r>
      <w:r w:rsidR="00304465" w:rsidRPr="00C64DCA">
        <w:rPr>
          <w:rFonts w:eastAsiaTheme="majorEastAsia"/>
        </w:rPr>
        <w:t>plain-film radiographs</w:t>
      </w:r>
      <w:r w:rsidR="00635203" w:rsidRPr="00C64DCA">
        <w:rPr>
          <w:rFonts w:eastAsiaTheme="majorEastAsia"/>
        </w:rPr>
        <w:t xml:space="preserve">, </w:t>
      </w:r>
      <w:r w:rsidR="003F5FF5" w:rsidRPr="00C64DCA">
        <w:rPr>
          <w:rFonts w:eastAsiaTheme="majorEastAsia"/>
        </w:rPr>
        <w:t>CT</w:t>
      </w:r>
      <w:r w:rsidR="00635203" w:rsidRPr="00C64DCA">
        <w:rPr>
          <w:rFonts w:eastAsiaTheme="majorEastAsia"/>
        </w:rPr>
        <w:t xml:space="preserve"> or </w:t>
      </w:r>
      <w:r w:rsidR="00E55825" w:rsidRPr="00C64DCA">
        <w:rPr>
          <w:rFonts w:eastAsiaTheme="majorEastAsia"/>
        </w:rPr>
        <w:t>MRI; patients with l</w:t>
      </w:r>
      <w:r w:rsidR="003F5FF5" w:rsidRPr="00C64DCA">
        <w:rPr>
          <w:rFonts w:eastAsiaTheme="majorEastAsia"/>
        </w:rPr>
        <w:t>ess definitive changes on CT/MRI (e</w:t>
      </w:r>
      <w:r w:rsidR="00BA313B" w:rsidRPr="00C64DCA">
        <w:rPr>
          <w:rFonts w:eastAsiaTheme="majorEastAsia"/>
        </w:rPr>
        <w:t>.</w:t>
      </w:r>
      <w:r w:rsidR="003F5FF5" w:rsidRPr="00C64DCA">
        <w:rPr>
          <w:rFonts w:eastAsiaTheme="majorEastAsia"/>
        </w:rPr>
        <w:t xml:space="preserve">g. sacroiliac </w:t>
      </w:r>
      <w:r w:rsidR="003F5FF5" w:rsidRPr="00C64DCA">
        <w:rPr>
          <w:rFonts w:eastAsiaTheme="majorEastAsia"/>
        </w:rPr>
        <w:lastRenderedPageBreak/>
        <w:t xml:space="preserve">joint sclerosis/irregularity) were </w:t>
      </w:r>
      <w:r w:rsidR="00E55825" w:rsidRPr="00C64DCA">
        <w:rPr>
          <w:rFonts w:eastAsiaTheme="majorEastAsia"/>
        </w:rPr>
        <w:t>categorised</w:t>
      </w:r>
      <w:r w:rsidR="003F5FF5" w:rsidRPr="00C64DCA">
        <w:rPr>
          <w:rFonts w:eastAsiaTheme="majorEastAsia"/>
        </w:rPr>
        <w:t xml:space="preserve"> as </w:t>
      </w:r>
      <w:r w:rsidR="00E116EF" w:rsidRPr="00C64DCA">
        <w:rPr>
          <w:rFonts w:eastAsiaTheme="majorEastAsia"/>
        </w:rPr>
        <w:t>“</w:t>
      </w:r>
      <w:r w:rsidR="003F5FF5" w:rsidRPr="00C64DCA">
        <w:rPr>
          <w:rFonts w:eastAsiaTheme="majorEastAsia"/>
        </w:rPr>
        <w:t>Probable</w:t>
      </w:r>
      <w:r w:rsidR="00E116EF" w:rsidRPr="00C64DCA">
        <w:rPr>
          <w:rFonts w:eastAsiaTheme="majorEastAsia"/>
        </w:rPr>
        <w:t>”</w:t>
      </w:r>
      <w:r w:rsidR="003F5FF5" w:rsidRPr="00C64DCA">
        <w:rPr>
          <w:rFonts w:eastAsiaTheme="majorEastAsia"/>
        </w:rPr>
        <w:t xml:space="preserve"> </w:t>
      </w:r>
      <w:r w:rsidR="001657C8" w:rsidRPr="00C64DCA">
        <w:rPr>
          <w:rFonts w:eastAsiaTheme="majorEastAsia"/>
        </w:rPr>
        <w:t>nr-axSpA</w:t>
      </w:r>
      <w:r w:rsidR="003F5FF5" w:rsidRPr="00C64DCA">
        <w:rPr>
          <w:rFonts w:eastAsiaTheme="majorEastAsia"/>
        </w:rPr>
        <w:t xml:space="preserve">. </w:t>
      </w:r>
      <w:r w:rsidR="008373D6" w:rsidRPr="00C64DCA">
        <w:rPr>
          <w:rFonts w:eastAsiaTheme="majorEastAsia"/>
        </w:rPr>
        <w:t xml:space="preserve">Both Definite and Probable cases </w:t>
      </w:r>
      <w:r w:rsidR="00E55825" w:rsidRPr="00C64DCA">
        <w:rPr>
          <w:rFonts w:eastAsiaTheme="majorEastAsia"/>
        </w:rPr>
        <w:t xml:space="preserve">of AS and nr-axSpA </w:t>
      </w:r>
      <w:r w:rsidR="008373D6" w:rsidRPr="00C64DCA">
        <w:rPr>
          <w:rFonts w:eastAsiaTheme="majorEastAsia"/>
        </w:rPr>
        <w:t xml:space="preserve">were included in the primary analyses. </w:t>
      </w:r>
      <w:r w:rsidR="003F5FF5" w:rsidRPr="00C64DCA">
        <w:rPr>
          <w:rFonts w:eastAsiaTheme="majorEastAsia"/>
        </w:rPr>
        <w:t>Patients with a</w:t>
      </w:r>
      <w:r w:rsidR="00E116EF" w:rsidRPr="00C64DCA">
        <w:rPr>
          <w:rFonts w:eastAsiaTheme="majorEastAsia"/>
        </w:rPr>
        <w:t xml:space="preserve"> clinical</w:t>
      </w:r>
      <w:r w:rsidR="003F5FF5" w:rsidRPr="00C64DCA">
        <w:rPr>
          <w:rFonts w:eastAsiaTheme="majorEastAsia"/>
        </w:rPr>
        <w:t xml:space="preserve"> diagnosis of AS </w:t>
      </w:r>
      <w:r w:rsidR="001C5A0D" w:rsidRPr="00C64DCA">
        <w:rPr>
          <w:rFonts w:eastAsiaTheme="majorEastAsia"/>
        </w:rPr>
        <w:t xml:space="preserve">upon manual medical record review </w:t>
      </w:r>
      <w:r w:rsidR="003F5FF5" w:rsidRPr="00C64DCA">
        <w:rPr>
          <w:rFonts w:eastAsiaTheme="majorEastAsia"/>
        </w:rPr>
        <w:t>but no supportive evidence from radiology reports or medical notes</w:t>
      </w:r>
      <w:r w:rsidR="00A1050C" w:rsidRPr="00C64DCA">
        <w:rPr>
          <w:rFonts w:eastAsiaTheme="majorEastAsia"/>
        </w:rPr>
        <w:t xml:space="preserve">, and those </w:t>
      </w:r>
      <w:r w:rsidR="008373D6" w:rsidRPr="00C64DCA">
        <w:rPr>
          <w:rFonts w:eastAsiaTheme="majorEastAsia"/>
        </w:rPr>
        <w:t>with ICD code</w:t>
      </w:r>
      <w:r w:rsidR="00E55825" w:rsidRPr="00C64DCA">
        <w:rPr>
          <w:rFonts w:eastAsiaTheme="majorEastAsia"/>
        </w:rPr>
        <w:t xml:space="preserve">s </w:t>
      </w:r>
      <w:r w:rsidR="008373D6" w:rsidRPr="00C64DCA">
        <w:rPr>
          <w:rFonts w:eastAsiaTheme="majorEastAsia"/>
        </w:rPr>
        <w:t>but no</w:t>
      </w:r>
      <w:r w:rsidR="00A1050C" w:rsidRPr="00C64DCA">
        <w:rPr>
          <w:rFonts w:eastAsiaTheme="majorEastAsia"/>
        </w:rPr>
        <w:t xml:space="preserve"> </w:t>
      </w:r>
      <w:r w:rsidR="00A12CDB" w:rsidRPr="00C64DCA">
        <w:rPr>
          <w:rFonts w:eastAsiaTheme="majorEastAsia"/>
        </w:rPr>
        <w:t xml:space="preserve">formal </w:t>
      </w:r>
      <w:r w:rsidR="00E55825" w:rsidRPr="00C64DCA">
        <w:rPr>
          <w:rFonts w:eastAsiaTheme="majorEastAsia"/>
        </w:rPr>
        <w:t xml:space="preserve">clinical </w:t>
      </w:r>
      <w:r w:rsidR="00A1050C" w:rsidRPr="00C64DCA">
        <w:rPr>
          <w:rFonts w:eastAsiaTheme="majorEastAsia"/>
        </w:rPr>
        <w:t>diagnosis</w:t>
      </w:r>
      <w:r w:rsidR="00405907" w:rsidRPr="00C64DCA">
        <w:rPr>
          <w:rFonts w:eastAsiaTheme="majorEastAsia"/>
        </w:rPr>
        <w:t xml:space="preserve"> of </w:t>
      </w:r>
      <w:r w:rsidR="00E55825" w:rsidRPr="00C64DCA">
        <w:rPr>
          <w:rFonts w:eastAsiaTheme="majorEastAsia"/>
        </w:rPr>
        <w:t>axSpA</w:t>
      </w:r>
      <w:r w:rsidR="00A1050C" w:rsidRPr="00C64DCA">
        <w:rPr>
          <w:rFonts w:eastAsiaTheme="majorEastAsia"/>
        </w:rPr>
        <w:t>,</w:t>
      </w:r>
      <w:r w:rsidR="003F5FF5" w:rsidRPr="00C64DCA">
        <w:rPr>
          <w:rFonts w:eastAsiaTheme="majorEastAsia"/>
        </w:rPr>
        <w:t xml:space="preserve"> were </w:t>
      </w:r>
      <w:r w:rsidR="001657C8" w:rsidRPr="00C64DCA">
        <w:rPr>
          <w:rFonts w:eastAsiaTheme="majorEastAsia"/>
        </w:rPr>
        <w:t>excluded</w:t>
      </w:r>
      <w:r w:rsidR="003F5FF5" w:rsidRPr="00C64DCA">
        <w:rPr>
          <w:rFonts w:eastAsiaTheme="majorEastAsia"/>
        </w:rPr>
        <w:t xml:space="preserve">. </w:t>
      </w:r>
      <w:r w:rsidR="00003724" w:rsidRPr="00C64DCA">
        <w:rPr>
          <w:rFonts w:eastAsiaTheme="majorEastAsia"/>
        </w:rPr>
        <w:t>A flow</w:t>
      </w:r>
      <w:r w:rsidR="00305254" w:rsidRPr="00C64DCA">
        <w:rPr>
          <w:rFonts w:eastAsiaTheme="majorEastAsia"/>
        </w:rPr>
        <w:t>-</w:t>
      </w:r>
      <w:r w:rsidR="00003724" w:rsidRPr="00C64DCA">
        <w:rPr>
          <w:rFonts w:eastAsiaTheme="majorEastAsia"/>
        </w:rPr>
        <w:t xml:space="preserve">chart of the classification process is shown in Supplementary </w:t>
      </w:r>
      <w:r w:rsidR="00E55825" w:rsidRPr="00C64DCA">
        <w:rPr>
          <w:rFonts w:eastAsiaTheme="majorEastAsia"/>
        </w:rPr>
        <w:t>figure 1</w:t>
      </w:r>
      <w:r w:rsidR="00003724" w:rsidRPr="00C64DCA">
        <w:rPr>
          <w:rFonts w:eastAsiaTheme="majorEastAsia"/>
        </w:rPr>
        <w:t xml:space="preserve">. </w:t>
      </w:r>
    </w:p>
    <w:p w14:paraId="63970CA0" w14:textId="69C9B507" w:rsidR="003F5FF5" w:rsidRPr="00C64DCA" w:rsidRDefault="00A1050C" w:rsidP="00421F64">
      <w:pPr>
        <w:spacing w:line="480" w:lineRule="auto"/>
        <w:rPr>
          <w:rFonts w:eastAsiaTheme="majorEastAsia"/>
          <w:u w:val="single"/>
        </w:rPr>
      </w:pPr>
      <w:r w:rsidRPr="00C64DCA">
        <w:rPr>
          <w:rFonts w:eastAsiaTheme="majorEastAsia"/>
          <w:u w:val="single"/>
        </w:rPr>
        <w:t>Patient characteristics, comorbidity and medications</w:t>
      </w:r>
    </w:p>
    <w:p w14:paraId="22F5A954" w14:textId="079DFD7F" w:rsidR="00055F29" w:rsidRPr="00C64DCA" w:rsidRDefault="000D6B98" w:rsidP="00421F64">
      <w:pPr>
        <w:spacing w:line="480" w:lineRule="auto"/>
        <w:rPr>
          <w:rFonts w:eastAsiaTheme="majorEastAsia"/>
        </w:rPr>
      </w:pPr>
      <w:r w:rsidRPr="00C64DCA">
        <w:rPr>
          <w:rFonts w:eastAsiaTheme="majorEastAsia"/>
        </w:rPr>
        <w:t>W</w:t>
      </w:r>
      <w:r w:rsidR="00055F29" w:rsidRPr="00C64DCA">
        <w:rPr>
          <w:rFonts w:eastAsiaTheme="majorEastAsia"/>
        </w:rPr>
        <w:t xml:space="preserve">e </w:t>
      </w:r>
      <w:r w:rsidR="001C5A0D" w:rsidRPr="00C64DCA">
        <w:rPr>
          <w:rFonts w:eastAsiaTheme="majorEastAsia"/>
        </w:rPr>
        <w:t xml:space="preserve">recorded </w:t>
      </w:r>
      <w:r w:rsidR="00A1050C" w:rsidRPr="00C64DCA">
        <w:rPr>
          <w:rFonts w:eastAsiaTheme="majorEastAsia"/>
        </w:rPr>
        <w:t xml:space="preserve">historical </w:t>
      </w:r>
      <w:r w:rsidR="001C5A0D" w:rsidRPr="00C64DCA">
        <w:rPr>
          <w:rFonts w:eastAsiaTheme="majorEastAsia"/>
        </w:rPr>
        <w:t>presence of</w:t>
      </w:r>
      <w:r w:rsidR="00A1050C" w:rsidRPr="00C64DCA">
        <w:rPr>
          <w:rFonts w:eastAsiaTheme="majorEastAsia"/>
        </w:rPr>
        <w:t xml:space="preserve"> the following </w:t>
      </w:r>
      <w:r w:rsidR="00055F29" w:rsidRPr="00C64DCA">
        <w:rPr>
          <w:rFonts w:eastAsiaTheme="majorEastAsia"/>
        </w:rPr>
        <w:t>SpA</w:t>
      </w:r>
      <w:r w:rsidR="00A1050C" w:rsidRPr="00C64DCA">
        <w:rPr>
          <w:rFonts w:eastAsiaTheme="majorEastAsia"/>
        </w:rPr>
        <w:t xml:space="preserve"> features</w:t>
      </w:r>
      <w:r w:rsidRPr="00C64DCA">
        <w:rPr>
          <w:rFonts w:eastAsiaTheme="majorEastAsia"/>
        </w:rPr>
        <w:t xml:space="preserve"> through manual chart review</w:t>
      </w:r>
      <w:r w:rsidR="00055F29" w:rsidRPr="00C64DCA">
        <w:rPr>
          <w:rFonts w:eastAsiaTheme="majorEastAsia"/>
        </w:rPr>
        <w:t>: uveitis, psoriasis, inflammatory bowel disease</w:t>
      </w:r>
      <w:r w:rsidR="00405907" w:rsidRPr="00C64DCA">
        <w:rPr>
          <w:rFonts w:eastAsiaTheme="majorEastAsia"/>
        </w:rPr>
        <w:t xml:space="preserve"> (IBD)</w:t>
      </w:r>
      <w:r w:rsidR="00055F29" w:rsidRPr="00C64DCA">
        <w:rPr>
          <w:rFonts w:eastAsiaTheme="majorEastAsia"/>
        </w:rPr>
        <w:t>, peripheral arthritis, enthesitis</w:t>
      </w:r>
      <w:r w:rsidR="00405907" w:rsidRPr="00C64DCA">
        <w:rPr>
          <w:rFonts w:eastAsiaTheme="majorEastAsia"/>
        </w:rPr>
        <w:t xml:space="preserve">, </w:t>
      </w:r>
      <w:r w:rsidR="00055F29" w:rsidRPr="00C64DCA">
        <w:rPr>
          <w:rFonts w:eastAsiaTheme="majorEastAsia"/>
        </w:rPr>
        <w:t>dactylitis</w:t>
      </w:r>
      <w:r w:rsidR="00405907" w:rsidRPr="00C64DCA">
        <w:rPr>
          <w:rFonts w:eastAsiaTheme="majorEastAsia"/>
        </w:rPr>
        <w:t>,</w:t>
      </w:r>
      <w:r w:rsidR="00A44400" w:rsidRPr="00C64DCA">
        <w:rPr>
          <w:rFonts w:eastAsiaTheme="majorEastAsia"/>
        </w:rPr>
        <w:t xml:space="preserve"> </w:t>
      </w:r>
      <w:r w:rsidR="00405907" w:rsidRPr="00C64DCA">
        <w:rPr>
          <w:rFonts w:eastAsiaTheme="majorEastAsia"/>
        </w:rPr>
        <w:t xml:space="preserve">HLA-B27 status and family history (of AS, psoriasis, uveitis, reactive arthritis or IBD) </w:t>
      </w:r>
      <w:r w:rsidR="00A44400" w:rsidRPr="00C64DCA">
        <w:rPr>
          <w:rFonts w:eastAsiaTheme="majorEastAsia"/>
        </w:rPr>
        <w:fldChar w:fldCharType="begin"/>
      </w:r>
      <w:r w:rsidR="00062B8B" w:rsidRPr="00C64DCA">
        <w:rPr>
          <w:rFonts w:eastAsiaTheme="majorEastAsia"/>
        </w:rPr>
        <w:instrText xml:space="preserve"> ADDIN ZOTERO_ITEM CSL_CITATION {"citationID":"YnqboEvq","properties":{"formattedCitation":"[12]","plainCitation":"[12]","noteIndex":0},"citationItems":[{"id":48,"uris":["http://zotero.org/users/5219623/items/2V895KDC"],"uri":["http://zotero.org/users/5219623/items/2V895KDC"],"itemData":{"id":48,"type":"article-journal","title":"The development of Assessment of SpondyloArthritis international Society classification criteria for axial spondyloarthritis (part II): validation and final selection","container-title":"Annals of the Rheumatic Diseases","page":"777-783","volume":"68","issue":"6","source":"PubMed","abstract":"OBJECTIVE: To validate and refine two sets of candidate criteria for the classification/diagnosis of axial spondyloarthritis (SpA).\nMETHODS: All Assessment of SpondyloArthritis international Society (ASAS) members were invited to include consecutively new patients with chronic (&gt; or =3 months) back pain of unknown origin that began before 45 years of age. The candidate criteria were first tested in the entire cohort of 649 patients from 25 centres, and then refined in a random selection of 40% of cases and thereafter validated in the remaining 60%.\nRESULTS: Upon diagnostic work-up, axial SpA was diagnosed in 60.2% of the cohort. Of these, 70% did not fulfil modified New York criteria and, therefore, were classified as having \"non-radiographic\" axial SpA. Refinement of the candidate criteria resulted in new ASAS classification criteria that are defined as: the presence of sacroiliitis by radiography or by magnetic resonance imaging (MRI) plus at least one SpA feature (\"imaging arm\") or the presence of HLA-B27 plus at least two SpA features (\"clinical arm\"). The sensitivity and specificity of the entire set of the new criteria were 82.9% and 84.4%, and for the imaging arm alone 66.2% and 97.3%, respectively. The specificity of the new criteria was much better than that of the European Spondylarthropathy Study Group criteria modified for MRI (sensitivity 85.1%, specificity 65.1%) and slightly better than that of the modified Amor criteria (sensitivity 82.9, specificity 77.5%).\nCONCLUSION: The new ASAS classification criteria for axial SpA can reliably classify patients for clinical studies and may help rheumatologists in clinical practice in diagnosing axial SpA in those with chronic back pain.\nTRIAL REGISTRATION NUMBER: NCT00328068.","DOI":"10.1136/ard.2009.108233","ISSN":"1468-2060","note":"PMID: 19297344","shortTitle":"The development of Assessment of SpondyloArthritis international Society classification criteria for axial spondyloarthritis (part II)","journalAbbreviation":"Ann. Rheum. Dis.","language":"eng","author":[{"family":"Rudwaleit","given":"M."},{"family":"Heijde","given":"D.","non-dropping-particle":"van der"},{"family":"Landewé","given":"R."},{"family":"Listing","given":"J."},{"family":"Akkoc","given":"N."},{"family":"Brandt","given":"J."},{"family":"Braun","given":"J."},{"family":"Chou","given":"C. T."},{"family":"Collantes-Estevez","given":"E."},{"family":"Dougados","given":"M."},{"family":"Huang","given":"F."},{"family":"Gu","given":"J."},{"family":"Khan","given":"M. A."},{"family":"Kirazli","given":"Y."},{"family":"Maksymowych","given":"W. P."},{"family":"Mielants","given":"H."},{"family":"Sørensen","given":"I. J."},{"family":"Ozgocmen","given":"S."},{"family":"Roussou","given":"E."},{"family":"Valle-Oñate","given":"R."},{"family":"Weber","given":"U."},{"family":"Wei","given":"J."},{"family":"Sieper","given":"J."}],"issued":{"date-parts":[["2009",6]]}}}],"schema":"https://github.com/citation-style-language/schema/raw/master/csl-citation.json"} </w:instrText>
      </w:r>
      <w:r w:rsidR="00A44400" w:rsidRPr="00C64DCA">
        <w:rPr>
          <w:rFonts w:eastAsiaTheme="majorEastAsia"/>
        </w:rPr>
        <w:fldChar w:fldCharType="separate"/>
      </w:r>
      <w:r w:rsidR="00062B8B" w:rsidRPr="00C64DCA">
        <w:rPr>
          <w:rFonts w:ascii="Calibri" w:hAnsi="Calibri"/>
        </w:rPr>
        <w:t>[12]</w:t>
      </w:r>
      <w:r w:rsidR="00A44400" w:rsidRPr="00C64DCA">
        <w:rPr>
          <w:rFonts w:eastAsiaTheme="majorEastAsia"/>
        </w:rPr>
        <w:fldChar w:fldCharType="end"/>
      </w:r>
      <w:r w:rsidR="00055F29" w:rsidRPr="00C64DCA">
        <w:rPr>
          <w:rFonts w:eastAsiaTheme="majorEastAsia"/>
        </w:rPr>
        <w:t>.</w:t>
      </w:r>
    </w:p>
    <w:p w14:paraId="2FB9EBDC" w14:textId="2845D4B7" w:rsidR="00E55825" w:rsidRPr="00C64DCA" w:rsidRDefault="000752AD" w:rsidP="00421F64">
      <w:pPr>
        <w:spacing w:line="480" w:lineRule="auto"/>
        <w:rPr>
          <w:rFonts w:eastAsiaTheme="majorEastAsia"/>
        </w:rPr>
      </w:pPr>
      <w:r w:rsidRPr="00C64DCA">
        <w:rPr>
          <w:rFonts w:eastAsiaTheme="majorEastAsia"/>
        </w:rPr>
        <w:t>C</w:t>
      </w:r>
      <w:r w:rsidR="00487A18" w:rsidRPr="00C64DCA">
        <w:rPr>
          <w:rFonts w:eastAsiaTheme="majorEastAsia"/>
        </w:rPr>
        <w:t xml:space="preserve">odified </w:t>
      </w:r>
      <w:r w:rsidR="00055F29" w:rsidRPr="00C64DCA">
        <w:rPr>
          <w:rFonts w:eastAsiaTheme="majorEastAsia"/>
        </w:rPr>
        <w:t xml:space="preserve">EMR </w:t>
      </w:r>
      <w:r w:rsidR="00487A18" w:rsidRPr="00C64DCA">
        <w:rPr>
          <w:rFonts w:eastAsiaTheme="majorEastAsia"/>
        </w:rPr>
        <w:t xml:space="preserve">data </w:t>
      </w:r>
      <w:r w:rsidRPr="00C64DCA">
        <w:rPr>
          <w:rFonts w:eastAsiaTheme="majorEastAsia"/>
        </w:rPr>
        <w:t xml:space="preserve">was extracted from </w:t>
      </w:r>
      <w:r w:rsidR="00E96E5F" w:rsidRPr="00C64DCA">
        <w:rPr>
          <w:rFonts w:eastAsiaTheme="majorEastAsia"/>
        </w:rPr>
        <w:t>within</w:t>
      </w:r>
      <w:r w:rsidR="00487A18" w:rsidRPr="00C64DCA">
        <w:rPr>
          <w:rFonts w:eastAsiaTheme="majorEastAsia"/>
        </w:rPr>
        <w:t xml:space="preserve"> </w:t>
      </w:r>
      <w:r w:rsidR="00E96E5F" w:rsidRPr="00C64DCA">
        <w:rPr>
          <w:rFonts w:eastAsiaTheme="majorEastAsia"/>
        </w:rPr>
        <w:t>one year p</w:t>
      </w:r>
      <w:r w:rsidR="00487A18" w:rsidRPr="00C64DCA">
        <w:rPr>
          <w:rFonts w:eastAsiaTheme="majorEastAsia"/>
        </w:rPr>
        <w:t xml:space="preserve">rior to the index date including: </w:t>
      </w:r>
      <w:r w:rsidR="001C0E2B" w:rsidRPr="00C64DCA">
        <w:rPr>
          <w:rFonts w:eastAsiaTheme="majorEastAsia"/>
        </w:rPr>
        <w:t xml:space="preserve">age, </w:t>
      </w:r>
      <w:r w:rsidR="00E96E5F" w:rsidRPr="00C64DCA">
        <w:rPr>
          <w:rFonts w:eastAsiaTheme="majorEastAsia"/>
        </w:rPr>
        <w:t>sex,</w:t>
      </w:r>
      <w:r w:rsidR="001C0E2B" w:rsidRPr="00C64DCA">
        <w:rPr>
          <w:rFonts w:eastAsiaTheme="majorEastAsia"/>
        </w:rPr>
        <w:t xml:space="preserve"> </w:t>
      </w:r>
      <w:r w:rsidR="002F63A4" w:rsidRPr="00C64DCA">
        <w:rPr>
          <w:rFonts w:eastAsiaTheme="majorEastAsia"/>
        </w:rPr>
        <w:t>body mass index (</w:t>
      </w:r>
      <w:r w:rsidR="00487A18" w:rsidRPr="00C64DCA">
        <w:rPr>
          <w:rFonts w:eastAsiaTheme="majorEastAsia"/>
        </w:rPr>
        <w:t>BMI</w:t>
      </w:r>
      <w:r w:rsidR="002F63A4" w:rsidRPr="00C64DCA">
        <w:rPr>
          <w:rFonts w:eastAsiaTheme="majorEastAsia"/>
        </w:rPr>
        <w:t>)</w:t>
      </w:r>
      <w:r w:rsidR="00487A18" w:rsidRPr="00C64DCA">
        <w:rPr>
          <w:rFonts w:eastAsiaTheme="majorEastAsia"/>
        </w:rPr>
        <w:t>, smoking status, comorbidities</w:t>
      </w:r>
      <w:r w:rsidR="00E96E5F" w:rsidRPr="00C64DCA">
        <w:rPr>
          <w:rFonts w:eastAsiaTheme="majorEastAsia"/>
        </w:rPr>
        <w:t xml:space="preserve">, </w:t>
      </w:r>
      <w:r w:rsidR="00487A18" w:rsidRPr="00C64DCA">
        <w:rPr>
          <w:rFonts w:eastAsiaTheme="majorEastAsia"/>
        </w:rPr>
        <w:t>pain visual analogue scale</w:t>
      </w:r>
      <w:r w:rsidR="002F63A4" w:rsidRPr="00C64DCA">
        <w:rPr>
          <w:rFonts w:eastAsiaTheme="majorEastAsia"/>
        </w:rPr>
        <w:t xml:space="preserve"> (VAS)</w:t>
      </w:r>
      <w:r w:rsidR="00E96E5F" w:rsidRPr="00C64DCA">
        <w:rPr>
          <w:rFonts w:eastAsiaTheme="majorEastAsia"/>
        </w:rPr>
        <w:t>, ESR and CRP</w:t>
      </w:r>
      <w:r w:rsidR="00487A18" w:rsidRPr="00C64DCA">
        <w:rPr>
          <w:rFonts w:eastAsiaTheme="majorEastAsia"/>
        </w:rPr>
        <w:t>.</w:t>
      </w:r>
      <w:r w:rsidR="00003724" w:rsidRPr="00C64DCA">
        <w:rPr>
          <w:rFonts w:eastAsiaTheme="majorEastAsia"/>
        </w:rPr>
        <w:t xml:space="preserve"> </w:t>
      </w:r>
      <w:r w:rsidR="00E96E5F" w:rsidRPr="00C64DCA">
        <w:rPr>
          <w:rFonts w:eastAsiaTheme="majorEastAsia"/>
        </w:rPr>
        <w:t xml:space="preserve">For comorbidities, a list of </w:t>
      </w:r>
      <w:r w:rsidR="00A1050C" w:rsidRPr="00C64DCA">
        <w:rPr>
          <w:rFonts w:eastAsiaTheme="majorEastAsia"/>
        </w:rPr>
        <w:t>39</w:t>
      </w:r>
      <w:r w:rsidR="00E96E5F" w:rsidRPr="00C64DCA">
        <w:rPr>
          <w:rFonts w:eastAsiaTheme="majorEastAsia"/>
        </w:rPr>
        <w:t xml:space="preserve"> c</w:t>
      </w:r>
      <w:r w:rsidR="000D6B98" w:rsidRPr="00C64DCA">
        <w:rPr>
          <w:rFonts w:eastAsiaTheme="majorEastAsia"/>
        </w:rPr>
        <w:t>hronic c</w:t>
      </w:r>
      <w:r w:rsidR="00E96E5F" w:rsidRPr="00C64DCA">
        <w:rPr>
          <w:rFonts w:eastAsiaTheme="majorEastAsia"/>
        </w:rPr>
        <w:t xml:space="preserve">onditions </w:t>
      </w:r>
      <w:r w:rsidR="00A1050C" w:rsidRPr="00C64DCA">
        <w:rPr>
          <w:rFonts w:eastAsiaTheme="majorEastAsia"/>
        </w:rPr>
        <w:t xml:space="preserve">adapted </w:t>
      </w:r>
      <w:r w:rsidR="00E96E5F" w:rsidRPr="00C64DCA">
        <w:rPr>
          <w:rFonts w:eastAsiaTheme="majorEastAsia"/>
        </w:rPr>
        <w:t xml:space="preserve">from </w:t>
      </w:r>
      <w:r w:rsidR="00A1050C" w:rsidRPr="00C64DCA">
        <w:rPr>
          <w:rFonts w:eastAsiaTheme="majorEastAsia"/>
        </w:rPr>
        <w:t>the Radner</w:t>
      </w:r>
      <w:r w:rsidR="00E96E5F" w:rsidRPr="00C64DCA">
        <w:rPr>
          <w:rFonts w:eastAsiaTheme="majorEastAsia"/>
        </w:rPr>
        <w:t xml:space="preserve"> multimorbidity index </w:t>
      </w:r>
      <w:r w:rsidR="00EE2A21" w:rsidRPr="00C64DCA">
        <w:rPr>
          <w:rFonts w:eastAsiaTheme="majorEastAsia"/>
        </w:rPr>
        <w:fldChar w:fldCharType="begin"/>
      </w:r>
      <w:r w:rsidR="00062B8B" w:rsidRPr="00C64DCA">
        <w:rPr>
          <w:rFonts w:eastAsiaTheme="majorEastAsia"/>
        </w:rPr>
        <w:instrText xml:space="preserve"> ADDIN ZOTERO_ITEM CSL_CITATION {"citationID":"vM2ZxxP2","properties":{"formattedCitation":"[13]","plainCitation":"[13]","noteIndex":0},"citationItems":[{"id":99,"uris":["http://zotero.org/users/5219623/items/VNFS4V5B"],"uri":["http://zotero.org/users/5219623/items/VNFS4V5B"],"itemData":{"id":99,"type":"article-journal","title":"Development of a multimorbidity index: Impact on quality of life using a rheumatoid arthritis cohort","container-title":"Seminars in Arthritis and Rheumatism","page":"167-173","volume":"45","issue":"2","source":"Crossref","abstract":"Objective: To develop a multimorbidity index (MMI) based on health-related quality of life (HRQol).\nMethods: The index was developed in an observational RA cohort. In all, 40 morbidities recommended as core were identiﬁed using ICD-9 codes. MMIs of two types were calculated: one by enumerating morbidities (MMI.count) and the other by weighting morbidities based on their association with HRQol as assessed by EQ-5D in multiple linear regression analysis (using β-coefﬁcients; MMI.weight). MMIs were compared to the Charlson comorbidity index (CCI) and externally validated in an international RA cohort (COMORA Study).\nResults: In all, 544 out of 876 patients were multimorbid. MMI.count was in the range 1–16 (median ¼ 2) and MMI.weight in the range 0–38 (median ¼ 1). Both indices were more strongly associated with EQ-5D than CCI (Spearman: MMI.count ¼ À 0.20, MMI.weight ¼ À 0.26, and CCI ¼ À 0.10; p o 0.01). R2 obtained by linear regression using EQ-5D as a dependent variable and various indices as independent variables, adjusted for age and gender, was the highest for MMI (R2: MMI.count ¼ 0.05, MMI.weight ¼ 0.11, and CCI ¼ 0.02). When accounting for clinical disease activity index (CDAI) R2 increased: MMI.count ¼ 0.18, MMI.weight ¼ 0.22, and CCI ¼ 0.17, still showing higher values of MMI compared with CCI. External validation in different RA cohorts (COMORA, n ¼ 3864) showed good performance of both indices (linear regression including age, gender, and disease activity R2 ¼ 0.30 for both MMIs).\nConclusion: In our cohort, MMI based on EQ-5D performed better than did CCI. Findings were reproducible in another large RA cohort. Not much improvement was gained by weighting; therefore a simple counted index could be useful to control for the effect of multimorbidity on patient’s overall well-being.","DOI":"10.1016/j.semarthrit.2015.06.010","ISSN":"00490172","shortTitle":"Development of a multimorbidity index","language":"en","author":[{"family":"Radner","given":"Helga"},{"family":"Yoshida","given":"Kazuki"},{"family":"Mjaavatten","given":"Maria Dahl"},{"family":"Aletaha","given":"Daniel"},{"family":"Frits","given":"Michelle"},{"family":"Lu","given":"Bing"},{"family":"Iannaccone","given":"Christine"},{"family":"Shadick","given":"Nancy"},{"family":"Weinblatt","given":"Michael"},{"family":"Hmamouchi","given":"Ihsane"},{"family":"Dougados","given":"M."},{"family":"Smolen","given":"Josef. S"},{"family":"Solomon","given":"Daniel. H"}],"issued":{"date-parts":[["2015",10]]}}}],"schema":"https://github.com/citation-style-language/schema/raw/master/csl-citation.json"} </w:instrText>
      </w:r>
      <w:r w:rsidR="00EE2A21" w:rsidRPr="00C64DCA">
        <w:rPr>
          <w:rFonts w:eastAsiaTheme="majorEastAsia"/>
        </w:rPr>
        <w:fldChar w:fldCharType="separate"/>
      </w:r>
      <w:r w:rsidR="00062B8B" w:rsidRPr="00C64DCA">
        <w:rPr>
          <w:rFonts w:ascii="Calibri" w:hAnsi="Calibri"/>
        </w:rPr>
        <w:t>[13]</w:t>
      </w:r>
      <w:r w:rsidR="00EE2A21" w:rsidRPr="00C64DCA">
        <w:rPr>
          <w:rFonts w:eastAsiaTheme="majorEastAsia"/>
        </w:rPr>
        <w:fldChar w:fldCharType="end"/>
      </w:r>
      <w:r w:rsidR="00E96E5F" w:rsidRPr="00C64DCA">
        <w:rPr>
          <w:rFonts w:eastAsiaTheme="majorEastAsia"/>
        </w:rPr>
        <w:t xml:space="preserve"> were identified using ICD-9 and 10 codes</w:t>
      </w:r>
      <w:r w:rsidR="002F63A4" w:rsidRPr="00C64DCA">
        <w:rPr>
          <w:rFonts w:eastAsiaTheme="majorEastAsia"/>
        </w:rPr>
        <w:t xml:space="preserve"> within </w:t>
      </w:r>
      <w:r w:rsidR="00E55825" w:rsidRPr="00C64DCA">
        <w:rPr>
          <w:rFonts w:eastAsiaTheme="majorEastAsia"/>
        </w:rPr>
        <w:t>one</w:t>
      </w:r>
      <w:r w:rsidR="002F63A4" w:rsidRPr="00C64DCA">
        <w:rPr>
          <w:rFonts w:eastAsiaTheme="majorEastAsia"/>
        </w:rPr>
        <w:t xml:space="preserve"> year prior to the index date</w:t>
      </w:r>
      <w:r w:rsidR="00E55825" w:rsidRPr="00C64DCA">
        <w:rPr>
          <w:rFonts w:eastAsiaTheme="majorEastAsia"/>
        </w:rPr>
        <w:t>.</w:t>
      </w:r>
    </w:p>
    <w:p w14:paraId="6863BF9A" w14:textId="60BB4CC9" w:rsidR="00E55825" w:rsidRPr="00C64DCA" w:rsidRDefault="00E55825" w:rsidP="00E55825">
      <w:pPr>
        <w:spacing w:line="480" w:lineRule="auto"/>
        <w:rPr>
          <w:rFonts w:eastAsiaTheme="majorEastAsia"/>
        </w:rPr>
      </w:pPr>
      <w:bookmarkStart w:id="2" w:name="_Hlk1329848"/>
      <w:r w:rsidRPr="00C64DCA">
        <w:rPr>
          <w:rFonts w:eastAsiaTheme="majorEastAsia"/>
        </w:rPr>
        <w:t xml:space="preserve">Medication history was obtained using codified EMR medication lists for </w:t>
      </w:r>
      <w:r w:rsidR="00CD1EB5" w:rsidRPr="00C64DCA">
        <w:rPr>
          <w:rFonts w:eastAsiaTheme="majorEastAsia"/>
        </w:rPr>
        <w:t xml:space="preserve">ever-use of </w:t>
      </w:r>
      <w:r w:rsidRPr="00C64DCA">
        <w:rPr>
          <w:rFonts w:eastAsiaTheme="majorEastAsia"/>
        </w:rPr>
        <w:t xml:space="preserve">bDMARDs </w:t>
      </w:r>
      <w:bookmarkStart w:id="3" w:name="_Hlk1329876"/>
      <w:bookmarkEnd w:id="2"/>
      <w:r w:rsidRPr="00C64DCA">
        <w:rPr>
          <w:rFonts w:eastAsiaTheme="majorEastAsia"/>
        </w:rPr>
        <w:t xml:space="preserve">(infliximab, adalimumab, etanercept, golimumab, certolizumab pegol, </w:t>
      </w:r>
      <w:proofErr w:type="spellStart"/>
      <w:r w:rsidRPr="00C64DCA">
        <w:rPr>
          <w:rFonts w:eastAsiaTheme="majorEastAsia"/>
        </w:rPr>
        <w:t>secukinumab</w:t>
      </w:r>
      <w:proofErr w:type="spellEnd"/>
      <w:r w:rsidRPr="00C64DCA">
        <w:rPr>
          <w:rFonts w:eastAsiaTheme="majorEastAsia"/>
        </w:rPr>
        <w:t xml:space="preserve">, </w:t>
      </w:r>
      <w:proofErr w:type="spellStart"/>
      <w:r w:rsidRPr="00C64DCA">
        <w:rPr>
          <w:rFonts w:eastAsiaTheme="majorEastAsia"/>
        </w:rPr>
        <w:t>ustekinumab</w:t>
      </w:r>
      <w:proofErr w:type="spellEnd"/>
      <w:r w:rsidRPr="00C64DCA">
        <w:rPr>
          <w:rFonts w:eastAsiaTheme="majorEastAsia"/>
        </w:rPr>
        <w:t>), conventional synthetic DMARDs (csDMARDs: sulfasalazine, methotrexate, leflunomide), NSAIDs (ibuprofen, naproxen, celecoxib, diclofenac, indomethacin, meloxicam) and prednisone</w:t>
      </w:r>
      <w:r w:rsidR="00CD1EB5" w:rsidRPr="00C64DCA">
        <w:rPr>
          <w:rFonts w:eastAsiaTheme="majorEastAsia"/>
        </w:rPr>
        <w:t>.</w:t>
      </w:r>
      <w:r w:rsidR="00E711C4" w:rsidRPr="00C64DCA">
        <w:rPr>
          <w:rFonts w:eastAsiaTheme="majorEastAsia"/>
        </w:rPr>
        <w:t xml:space="preserve"> </w:t>
      </w:r>
      <w:bookmarkStart w:id="4" w:name="_Hlk1547085"/>
      <w:proofErr w:type="spellStart"/>
      <w:r w:rsidR="00E711C4" w:rsidRPr="00C64DCA">
        <w:rPr>
          <w:rFonts w:eastAsiaTheme="majorEastAsia"/>
        </w:rPr>
        <w:t>Etoricoxib</w:t>
      </w:r>
      <w:proofErr w:type="spellEnd"/>
      <w:r w:rsidR="00E711C4" w:rsidRPr="00C64DCA">
        <w:rPr>
          <w:rFonts w:eastAsiaTheme="majorEastAsia"/>
        </w:rPr>
        <w:t xml:space="preserve"> is not licensed in the US</w:t>
      </w:r>
      <w:r w:rsidR="00B97C9C" w:rsidRPr="00C64DCA">
        <w:rPr>
          <w:rFonts w:eastAsiaTheme="majorEastAsia"/>
        </w:rPr>
        <w:t xml:space="preserve"> </w:t>
      </w:r>
      <w:r w:rsidR="00B97C9C" w:rsidRPr="00C64DCA">
        <w:rPr>
          <w:rFonts w:eastAsiaTheme="majorEastAsia"/>
        </w:rPr>
        <w:fldChar w:fldCharType="begin"/>
      </w:r>
      <w:r w:rsidR="00B97C9C" w:rsidRPr="00C64DCA">
        <w:rPr>
          <w:rFonts w:eastAsiaTheme="majorEastAsia"/>
        </w:rPr>
        <w:instrText xml:space="preserve"> ADDIN ZOTERO_ITEM CSL_CITATION {"citationID":"qltF62nm","properties":{"formattedCitation":"[14]","plainCitation":"[14]","noteIndex":0},"citationItems":[{"id":4811,"uris":["http://zotero.org/users/5219623/items/CUNQTZUL"],"uri":["http://zotero.org/users/5219623/items/CUNQTZUL"],"itemData":{"id":4811,"type":"webpage","title":"Arcoxia (etoricoxib) FDA Approval Status","container-title":"Drugs.com","abstract":"Arcoxia information from Drugs.com, includes Arcoxia side effects, interactions, indications","URL":"https://www.drugs.com/history/arcoxia.html","language":"en","accessed":{"date-parts":[["2019",2,22]]}}}],"schema":"https://github.com/citation-style-language/schema/raw/master/csl-citation.json"} </w:instrText>
      </w:r>
      <w:r w:rsidR="00B97C9C" w:rsidRPr="00C64DCA">
        <w:rPr>
          <w:rFonts w:eastAsiaTheme="majorEastAsia"/>
        </w:rPr>
        <w:fldChar w:fldCharType="separate"/>
      </w:r>
      <w:r w:rsidR="00B97C9C" w:rsidRPr="00C64DCA">
        <w:rPr>
          <w:rFonts w:ascii="Calibri" w:hAnsi="Calibri"/>
        </w:rPr>
        <w:t>[14]</w:t>
      </w:r>
      <w:r w:rsidR="00B97C9C" w:rsidRPr="00C64DCA">
        <w:rPr>
          <w:rFonts w:eastAsiaTheme="majorEastAsia"/>
        </w:rPr>
        <w:fldChar w:fldCharType="end"/>
      </w:r>
      <w:r w:rsidR="00E711C4" w:rsidRPr="00C64DCA">
        <w:rPr>
          <w:rFonts w:eastAsiaTheme="majorEastAsia"/>
        </w:rPr>
        <w:t>.</w:t>
      </w:r>
      <w:bookmarkEnd w:id="4"/>
    </w:p>
    <w:bookmarkEnd w:id="3"/>
    <w:p w14:paraId="7FFCB205" w14:textId="5A1F8791" w:rsidR="000C2720" w:rsidRPr="00C64DCA" w:rsidRDefault="000C2720" w:rsidP="00421F64">
      <w:pPr>
        <w:spacing w:line="480" w:lineRule="auto"/>
        <w:rPr>
          <w:rFonts w:eastAsiaTheme="majorEastAsia"/>
          <w:u w:val="single"/>
        </w:rPr>
      </w:pPr>
      <w:r w:rsidRPr="00C64DCA">
        <w:rPr>
          <w:rFonts w:eastAsiaTheme="majorEastAsia"/>
          <w:u w:val="single"/>
        </w:rPr>
        <w:t>Statistical analys</w:t>
      </w:r>
      <w:r w:rsidR="00747F97" w:rsidRPr="00C64DCA">
        <w:rPr>
          <w:rFonts w:eastAsiaTheme="majorEastAsia"/>
          <w:u w:val="single"/>
        </w:rPr>
        <w:t>e</w:t>
      </w:r>
      <w:r w:rsidRPr="00C64DCA">
        <w:rPr>
          <w:rFonts w:eastAsiaTheme="majorEastAsia"/>
          <w:u w:val="single"/>
        </w:rPr>
        <w:t>s</w:t>
      </w:r>
    </w:p>
    <w:p w14:paraId="13C71FC1" w14:textId="4F79A023" w:rsidR="00A1050C" w:rsidRPr="00C64DCA" w:rsidRDefault="00A44400" w:rsidP="00421F64">
      <w:pPr>
        <w:spacing w:line="480" w:lineRule="auto"/>
        <w:rPr>
          <w:rFonts w:eastAsiaTheme="majorEastAsia"/>
        </w:rPr>
      </w:pPr>
      <w:r w:rsidRPr="00C64DCA">
        <w:rPr>
          <w:rFonts w:eastAsiaTheme="majorEastAsia"/>
        </w:rPr>
        <w:t xml:space="preserve">The above described variables were </w:t>
      </w:r>
      <w:r w:rsidR="00D1447B" w:rsidRPr="00C64DCA">
        <w:rPr>
          <w:rFonts w:eastAsiaTheme="majorEastAsia"/>
        </w:rPr>
        <w:t>compared</w:t>
      </w:r>
      <w:r w:rsidRPr="00C64DCA">
        <w:rPr>
          <w:rFonts w:eastAsiaTheme="majorEastAsia"/>
        </w:rPr>
        <w:t xml:space="preserve"> according to diagnosis</w:t>
      </w:r>
      <w:r w:rsidR="00922C36" w:rsidRPr="00C64DCA">
        <w:rPr>
          <w:rFonts w:eastAsiaTheme="majorEastAsia"/>
        </w:rPr>
        <w:t xml:space="preserve">, </w:t>
      </w:r>
      <w:r w:rsidRPr="00C64DCA">
        <w:rPr>
          <w:rFonts w:eastAsiaTheme="majorEastAsia"/>
        </w:rPr>
        <w:t>AS vs nr-axSpA,</w:t>
      </w:r>
      <w:r w:rsidR="00D1447B" w:rsidRPr="00C64DCA">
        <w:rPr>
          <w:rFonts w:eastAsiaTheme="majorEastAsia"/>
        </w:rPr>
        <w:t xml:space="preserve"> </w:t>
      </w:r>
      <w:r w:rsidR="00A1050C" w:rsidRPr="00C64DCA">
        <w:rPr>
          <w:rFonts w:eastAsiaTheme="majorEastAsia"/>
        </w:rPr>
        <w:t>using Student’s t- or Mann-Whitney U test</w:t>
      </w:r>
      <w:r w:rsidR="008310A3" w:rsidRPr="00C64DCA">
        <w:rPr>
          <w:rFonts w:eastAsiaTheme="majorEastAsia"/>
        </w:rPr>
        <w:t>s</w:t>
      </w:r>
      <w:r w:rsidR="00A1050C" w:rsidRPr="00C64DCA">
        <w:rPr>
          <w:rFonts w:eastAsiaTheme="majorEastAsia"/>
        </w:rPr>
        <w:t xml:space="preserve"> for continuous variables and Chi-squared or Fisher’s exact test for categorical variables.</w:t>
      </w:r>
      <w:r w:rsidR="00791E52" w:rsidRPr="00C64DCA">
        <w:rPr>
          <w:rFonts w:eastAsiaTheme="majorEastAsia"/>
        </w:rPr>
        <w:t xml:space="preserve"> </w:t>
      </w:r>
      <w:r w:rsidR="007C65F7" w:rsidRPr="00C64DCA">
        <w:rPr>
          <w:rFonts w:eastAsiaTheme="majorEastAsia"/>
        </w:rPr>
        <w:t>To examin</w:t>
      </w:r>
      <w:r w:rsidR="0036377D" w:rsidRPr="00C64DCA">
        <w:rPr>
          <w:rFonts w:eastAsiaTheme="majorEastAsia"/>
        </w:rPr>
        <w:t>e</w:t>
      </w:r>
      <w:r w:rsidR="007C65F7" w:rsidRPr="00C64DCA">
        <w:rPr>
          <w:rFonts w:eastAsiaTheme="majorEastAsia"/>
        </w:rPr>
        <w:t xml:space="preserve"> association</w:t>
      </w:r>
      <w:r w:rsidR="0036377D" w:rsidRPr="00C64DCA">
        <w:rPr>
          <w:rFonts w:eastAsiaTheme="majorEastAsia"/>
        </w:rPr>
        <w:t>s</w:t>
      </w:r>
      <w:r w:rsidR="007C65F7" w:rsidRPr="00C64DCA">
        <w:rPr>
          <w:rFonts w:eastAsiaTheme="majorEastAsia"/>
        </w:rPr>
        <w:t xml:space="preserve"> between </w:t>
      </w:r>
      <w:r w:rsidR="0036377D" w:rsidRPr="00C64DCA">
        <w:rPr>
          <w:rFonts w:eastAsiaTheme="majorEastAsia"/>
        </w:rPr>
        <w:t xml:space="preserve">comorbidities and bDMARD-prescription, we used age-adjusted logistic regression models with ever-prescription of bDMARD as the dependent variable and each comorbidity in turn as the independent variable. This model was </w:t>
      </w:r>
      <w:r w:rsidR="0036377D" w:rsidRPr="00C64DCA">
        <w:rPr>
          <w:rFonts w:eastAsiaTheme="majorEastAsia"/>
        </w:rPr>
        <w:lastRenderedPageBreak/>
        <w:t xml:space="preserve">repeated using the number of comorbidities as the independent variable. </w:t>
      </w:r>
      <w:r w:rsidR="002F63A4" w:rsidRPr="00C64DCA">
        <w:rPr>
          <w:rFonts w:eastAsiaTheme="majorEastAsia"/>
        </w:rPr>
        <w:t>S</w:t>
      </w:r>
      <w:r w:rsidR="005242A5" w:rsidRPr="00C64DCA">
        <w:rPr>
          <w:rFonts w:eastAsiaTheme="majorEastAsia"/>
        </w:rPr>
        <w:t>ensitivity analys</w:t>
      </w:r>
      <w:r w:rsidR="00EC5BBB" w:rsidRPr="00C64DCA">
        <w:rPr>
          <w:rFonts w:eastAsiaTheme="majorEastAsia"/>
        </w:rPr>
        <w:t>e</w:t>
      </w:r>
      <w:r w:rsidR="005242A5" w:rsidRPr="00C64DCA">
        <w:rPr>
          <w:rFonts w:eastAsiaTheme="majorEastAsia"/>
        </w:rPr>
        <w:t xml:space="preserve">s </w:t>
      </w:r>
      <w:r w:rsidR="002F63A4" w:rsidRPr="00C64DCA">
        <w:rPr>
          <w:rFonts w:eastAsiaTheme="majorEastAsia"/>
        </w:rPr>
        <w:t xml:space="preserve">were conducted </w:t>
      </w:r>
      <w:r w:rsidR="005242A5" w:rsidRPr="00C64DCA">
        <w:rPr>
          <w:rFonts w:eastAsiaTheme="majorEastAsia"/>
        </w:rPr>
        <w:t>using only definite AS</w:t>
      </w:r>
      <w:r w:rsidR="002F5600" w:rsidRPr="00C64DCA">
        <w:rPr>
          <w:rFonts w:eastAsiaTheme="majorEastAsia"/>
        </w:rPr>
        <w:t xml:space="preserve"> </w:t>
      </w:r>
      <w:r w:rsidR="00FE0A90" w:rsidRPr="00C64DCA">
        <w:rPr>
          <w:rFonts w:eastAsiaTheme="majorEastAsia"/>
        </w:rPr>
        <w:t>and</w:t>
      </w:r>
      <w:r w:rsidR="002F5600" w:rsidRPr="00C64DCA">
        <w:rPr>
          <w:rFonts w:eastAsiaTheme="majorEastAsia"/>
        </w:rPr>
        <w:t xml:space="preserve"> nr-axSpA</w:t>
      </w:r>
      <w:r w:rsidR="005242A5" w:rsidRPr="00C64DCA">
        <w:rPr>
          <w:rFonts w:eastAsiaTheme="majorEastAsia"/>
        </w:rPr>
        <w:t xml:space="preserve"> cases.</w:t>
      </w:r>
      <w:r w:rsidR="000C2720" w:rsidRPr="00C64DCA">
        <w:rPr>
          <w:rFonts w:eastAsiaTheme="majorEastAsia"/>
        </w:rPr>
        <w:t xml:space="preserve"> </w:t>
      </w:r>
      <w:r w:rsidR="00FE0A90" w:rsidRPr="00C64DCA">
        <w:rPr>
          <w:rFonts w:eastAsiaTheme="majorEastAsia"/>
        </w:rPr>
        <w:t>All analyses were performed u</w:t>
      </w:r>
      <w:r w:rsidR="000C2720" w:rsidRPr="00C64DCA">
        <w:rPr>
          <w:rFonts w:eastAsiaTheme="majorEastAsia"/>
        </w:rPr>
        <w:t>sing Stata version 13.</w:t>
      </w:r>
    </w:p>
    <w:p w14:paraId="74F26389" w14:textId="77777777" w:rsidR="004F3150" w:rsidRPr="00C64DCA" w:rsidRDefault="004F3150" w:rsidP="00421F64">
      <w:pPr>
        <w:spacing w:line="480" w:lineRule="auto"/>
        <w:rPr>
          <w:rFonts w:eastAsiaTheme="majorEastAsia"/>
          <w:b/>
        </w:rPr>
      </w:pPr>
    </w:p>
    <w:p w14:paraId="0000C39D" w14:textId="0D28E553" w:rsidR="00A56121" w:rsidRPr="00C64DCA" w:rsidRDefault="00A56121" w:rsidP="00421F64">
      <w:pPr>
        <w:spacing w:line="480" w:lineRule="auto"/>
        <w:rPr>
          <w:rFonts w:eastAsiaTheme="majorEastAsia"/>
          <w:b/>
        </w:rPr>
      </w:pPr>
      <w:r w:rsidRPr="00C64DCA">
        <w:rPr>
          <w:rFonts w:eastAsiaTheme="majorEastAsia"/>
          <w:b/>
        </w:rPr>
        <w:t>Results</w:t>
      </w:r>
    </w:p>
    <w:p w14:paraId="0BF59056" w14:textId="1510DFE9" w:rsidR="006F3553" w:rsidRPr="00C64DCA" w:rsidRDefault="00D029E4" w:rsidP="00421F64">
      <w:pPr>
        <w:spacing w:line="480" w:lineRule="auto"/>
        <w:rPr>
          <w:rFonts w:eastAsiaTheme="majorEastAsia"/>
        </w:rPr>
      </w:pPr>
      <w:r w:rsidRPr="00C64DCA">
        <w:rPr>
          <w:rFonts w:eastAsiaTheme="majorEastAsia"/>
        </w:rPr>
        <w:t>Among 965 patients who fulfilled the initial inclusion criteria from the Partners</w:t>
      </w:r>
      <w:r w:rsidR="00CC3EFD" w:rsidRPr="00C64DCA">
        <w:rPr>
          <w:rFonts w:eastAsiaTheme="majorEastAsia"/>
        </w:rPr>
        <w:t>’</w:t>
      </w:r>
      <w:r w:rsidRPr="00C64DCA">
        <w:rPr>
          <w:rFonts w:eastAsiaTheme="majorEastAsia"/>
        </w:rPr>
        <w:t xml:space="preserve"> EMR</w:t>
      </w:r>
      <w:r w:rsidR="003D47B6" w:rsidRPr="00C64DCA">
        <w:rPr>
          <w:rFonts w:eastAsiaTheme="majorEastAsia"/>
        </w:rPr>
        <w:t xml:space="preserve">, </w:t>
      </w:r>
      <w:r w:rsidR="009B3EFD" w:rsidRPr="00C64DCA">
        <w:rPr>
          <w:rFonts w:eastAsiaTheme="majorEastAsia"/>
        </w:rPr>
        <w:t>775 patients (80%) were classified as</w:t>
      </w:r>
      <w:r w:rsidR="005242A5" w:rsidRPr="00C64DCA">
        <w:rPr>
          <w:rFonts w:eastAsiaTheme="majorEastAsia"/>
        </w:rPr>
        <w:t xml:space="preserve"> </w:t>
      </w:r>
      <w:r w:rsidR="003A698F" w:rsidRPr="00C64DCA">
        <w:rPr>
          <w:rFonts w:eastAsiaTheme="majorEastAsia"/>
        </w:rPr>
        <w:t>axSpA</w:t>
      </w:r>
      <w:r w:rsidR="003D47B6" w:rsidRPr="00C64DCA">
        <w:rPr>
          <w:rFonts w:eastAsiaTheme="majorEastAsia"/>
        </w:rPr>
        <w:t xml:space="preserve"> and the remainder were excluded</w:t>
      </w:r>
      <w:r w:rsidR="00222C01" w:rsidRPr="00C64DCA">
        <w:rPr>
          <w:rFonts w:eastAsiaTheme="majorEastAsia"/>
        </w:rPr>
        <w:t xml:space="preserve">. </w:t>
      </w:r>
      <w:r w:rsidR="00CA382B" w:rsidRPr="00C64DCA">
        <w:rPr>
          <w:rFonts w:eastAsiaTheme="majorEastAsia"/>
        </w:rPr>
        <w:t xml:space="preserve">641 (83%) patients were classified as </w:t>
      </w:r>
      <w:proofErr w:type="spellStart"/>
      <w:r w:rsidR="00CA382B" w:rsidRPr="00C64DCA">
        <w:rPr>
          <w:rFonts w:eastAsiaTheme="majorEastAsia"/>
        </w:rPr>
        <w:t>AS</w:t>
      </w:r>
      <w:proofErr w:type="spellEnd"/>
      <w:r w:rsidR="00CA382B" w:rsidRPr="00C64DCA">
        <w:rPr>
          <w:rFonts w:eastAsiaTheme="majorEastAsia"/>
        </w:rPr>
        <w:t xml:space="preserve"> (553 definite, </w:t>
      </w:r>
      <w:r w:rsidR="001B4849" w:rsidRPr="00C64DCA">
        <w:rPr>
          <w:rFonts w:eastAsiaTheme="majorEastAsia"/>
        </w:rPr>
        <w:t>88</w:t>
      </w:r>
      <w:r w:rsidR="00CA382B" w:rsidRPr="00C64DCA">
        <w:rPr>
          <w:rFonts w:eastAsiaTheme="majorEastAsia"/>
        </w:rPr>
        <w:t xml:space="preserve"> probable) and 134 (17%) as nr-axSpA (</w:t>
      </w:r>
      <w:r w:rsidR="001B4849" w:rsidRPr="00C64DCA">
        <w:rPr>
          <w:rFonts w:eastAsiaTheme="majorEastAsia"/>
        </w:rPr>
        <w:t>93</w:t>
      </w:r>
      <w:r w:rsidR="00CA382B" w:rsidRPr="00C64DCA">
        <w:rPr>
          <w:rFonts w:eastAsiaTheme="majorEastAsia"/>
        </w:rPr>
        <w:t xml:space="preserve"> definite, 41 probable). </w:t>
      </w:r>
      <w:r w:rsidR="00222C01" w:rsidRPr="00C64DCA">
        <w:rPr>
          <w:rFonts w:eastAsiaTheme="majorEastAsia"/>
        </w:rPr>
        <w:t>The cohort was predominantly male (7</w:t>
      </w:r>
      <w:r w:rsidR="009B3EFD" w:rsidRPr="00C64DCA">
        <w:rPr>
          <w:rFonts w:eastAsiaTheme="majorEastAsia"/>
        </w:rPr>
        <w:t>4</w:t>
      </w:r>
      <w:r w:rsidR="00222C01" w:rsidRPr="00C64DCA">
        <w:rPr>
          <w:rFonts w:eastAsiaTheme="majorEastAsia"/>
        </w:rPr>
        <w:t>%)</w:t>
      </w:r>
      <w:r w:rsidR="00BF561E" w:rsidRPr="00C64DCA">
        <w:rPr>
          <w:rFonts w:eastAsiaTheme="majorEastAsia"/>
        </w:rPr>
        <w:t xml:space="preserve"> </w:t>
      </w:r>
      <w:r w:rsidR="00222C01" w:rsidRPr="00C64DCA">
        <w:rPr>
          <w:rFonts w:eastAsiaTheme="majorEastAsia"/>
        </w:rPr>
        <w:t xml:space="preserve">with a </w:t>
      </w:r>
      <w:r w:rsidR="00BF561E" w:rsidRPr="00C64DCA">
        <w:rPr>
          <w:rFonts w:eastAsiaTheme="majorEastAsia"/>
        </w:rPr>
        <w:t xml:space="preserve">mean age </w:t>
      </w:r>
      <w:r w:rsidR="00222C01" w:rsidRPr="00C64DCA">
        <w:rPr>
          <w:rFonts w:eastAsiaTheme="majorEastAsia"/>
        </w:rPr>
        <w:t xml:space="preserve">of </w:t>
      </w:r>
      <w:r w:rsidR="00BF561E" w:rsidRPr="00C64DCA">
        <w:rPr>
          <w:rFonts w:eastAsiaTheme="majorEastAsia"/>
        </w:rPr>
        <w:t>52.5 years (SD 1</w:t>
      </w:r>
      <w:r w:rsidR="009B3EFD" w:rsidRPr="00C64DCA">
        <w:rPr>
          <w:rFonts w:eastAsiaTheme="majorEastAsia"/>
        </w:rPr>
        <w:t>6.8</w:t>
      </w:r>
      <w:r w:rsidR="00BF561E" w:rsidRPr="00C64DCA">
        <w:rPr>
          <w:rFonts w:eastAsiaTheme="majorEastAsia"/>
        </w:rPr>
        <w:t>). HLA-B27 was tested in 5</w:t>
      </w:r>
      <w:r w:rsidR="009B3EFD" w:rsidRPr="00C64DCA">
        <w:rPr>
          <w:rFonts w:eastAsiaTheme="majorEastAsia"/>
        </w:rPr>
        <w:t>8</w:t>
      </w:r>
      <w:r w:rsidR="00BF561E" w:rsidRPr="00C64DCA">
        <w:rPr>
          <w:rFonts w:eastAsiaTheme="majorEastAsia"/>
        </w:rPr>
        <w:t>%</w:t>
      </w:r>
      <w:r w:rsidR="00222C01" w:rsidRPr="00C64DCA">
        <w:rPr>
          <w:rFonts w:eastAsiaTheme="majorEastAsia"/>
        </w:rPr>
        <w:t xml:space="preserve"> of patients</w:t>
      </w:r>
      <w:r w:rsidR="00BF561E" w:rsidRPr="00C64DCA">
        <w:rPr>
          <w:rFonts w:eastAsiaTheme="majorEastAsia"/>
        </w:rPr>
        <w:t xml:space="preserve"> and among them </w:t>
      </w:r>
      <w:r w:rsidR="009B3EFD" w:rsidRPr="00C64DCA">
        <w:rPr>
          <w:rFonts w:eastAsiaTheme="majorEastAsia"/>
        </w:rPr>
        <w:t>80</w:t>
      </w:r>
      <w:r w:rsidR="00BF561E" w:rsidRPr="00C64DCA">
        <w:rPr>
          <w:rFonts w:eastAsiaTheme="majorEastAsia"/>
        </w:rPr>
        <w:t xml:space="preserve">% were positive. </w:t>
      </w:r>
      <w:r w:rsidR="00CA382B" w:rsidRPr="00C64DCA">
        <w:rPr>
          <w:rFonts w:eastAsiaTheme="majorEastAsia"/>
        </w:rPr>
        <w:t xml:space="preserve">91% of </w:t>
      </w:r>
      <w:r w:rsidR="001C5A0D" w:rsidRPr="00C64DCA">
        <w:rPr>
          <w:rFonts w:eastAsiaTheme="majorEastAsia"/>
        </w:rPr>
        <w:t>index-date</w:t>
      </w:r>
      <w:r w:rsidRPr="00C64DCA">
        <w:rPr>
          <w:rFonts w:eastAsiaTheme="majorEastAsia"/>
        </w:rPr>
        <w:t>-records for each</w:t>
      </w:r>
      <w:r w:rsidR="001C5A0D" w:rsidRPr="00C64DCA">
        <w:rPr>
          <w:rFonts w:eastAsiaTheme="majorEastAsia"/>
        </w:rPr>
        <w:t xml:space="preserve"> </w:t>
      </w:r>
      <w:r w:rsidRPr="00C64DCA">
        <w:rPr>
          <w:rFonts w:eastAsiaTheme="majorEastAsia"/>
        </w:rPr>
        <w:t>patient</w:t>
      </w:r>
      <w:r w:rsidR="00CA382B" w:rsidRPr="00C64DCA">
        <w:rPr>
          <w:rFonts w:eastAsiaTheme="majorEastAsia"/>
        </w:rPr>
        <w:t xml:space="preserve"> were from </w:t>
      </w:r>
      <w:r w:rsidR="00C07F5D" w:rsidRPr="00C64DCA">
        <w:rPr>
          <w:rFonts w:eastAsiaTheme="majorEastAsia"/>
        </w:rPr>
        <w:t>2012 to 2018</w:t>
      </w:r>
      <w:r w:rsidR="00CA382B" w:rsidRPr="00C64DCA">
        <w:rPr>
          <w:rFonts w:eastAsiaTheme="majorEastAsia"/>
        </w:rPr>
        <w:t>, 63% from 2018.</w:t>
      </w:r>
    </w:p>
    <w:p w14:paraId="2EBACC69" w14:textId="62434783" w:rsidR="003F5FF5" w:rsidRPr="00C64DCA" w:rsidRDefault="00BF561E" w:rsidP="00421F64">
      <w:pPr>
        <w:spacing w:line="480" w:lineRule="auto"/>
        <w:rPr>
          <w:rFonts w:eastAsiaTheme="majorEastAsia"/>
        </w:rPr>
      </w:pPr>
      <w:r w:rsidRPr="00C64DCA">
        <w:rPr>
          <w:rFonts w:eastAsiaTheme="majorEastAsia"/>
        </w:rPr>
        <w:t xml:space="preserve">Patient </w:t>
      </w:r>
      <w:r w:rsidR="009906E4" w:rsidRPr="00C64DCA">
        <w:rPr>
          <w:rFonts w:eastAsiaTheme="majorEastAsia"/>
        </w:rPr>
        <w:t>characteristics</w:t>
      </w:r>
      <w:r w:rsidRPr="00C64DCA">
        <w:rPr>
          <w:rFonts w:eastAsiaTheme="majorEastAsia"/>
        </w:rPr>
        <w:t xml:space="preserve"> according to diagnosis are shown in Table</w:t>
      </w:r>
      <w:r w:rsidR="002A3F46" w:rsidRPr="00C64DCA">
        <w:rPr>
          <w:rFonts w:eastAsiaTheme="majorEastAsia"/>
        </w:rPr>
        <w:t xml:space="preserve"> </w:t>
      </w:r>
      <w:r w:rsidRPr="00C64DCA">
        <w:rPr>
          <w:rFonts w:eastAsiaTheme="majorEastAsia"/>
        </w:rPr>
        <w:t xml:space="preserve">1. AS patients were significantly older </w:t>
      </w:r>
      <w:r w:rsidR="00922C36" w:rsidRPr="00C64DCA">
        <w:rPr>
          <w:rFonts w:eastAsiaTheme="majorEastAsia"/>
        </w:rPr>
        <w:t>(</w:t>
      </w:r>
      <w:r w:rsidR="00032D06" w:rsidRPr="00C64DCA">
        <w:rPr>
          <w:rFonts w:eastAsiaTheme="majorEastAsia"/>
        </w:rPr>
        <w:t>54 vs 46 years</w:t>
      </w:r>
      <w:r w:rsidR="00922C36" w:rsidRPr="00C64DCA">
        <w:rPr>
          <w:rFonts w:eastAsiaTheme="majorEastAsia"/>
        </w:rPr>
        <w:t xml:space="preserve">) </w:t>
      </w:r>
      <w:r w:rsidRPr="00C64DCA">
        <w:rPr>
          <w:rFonts w:eastAsiaTheme="majorEastAsia"/>
        </w:rPr>
        <w:t>and more frequently male</w:t>
      </w:r>
      <w:r w:rsidR="00922C36" w:rsidRPr="00C64DCA">
        <w:rPr>
          <w:rFonts w:eastAsiaTheme="majorEastAsia"/>
        </w:rPr>
        <w:t xml:space="preserve"> (</w:t>
      </w:r>
      <w:r w:rsidR="00032D06" w:rsidRPr="00C64DCA">
        <w:rPr>
          <w:rFonts w:eastAsiaTheme="majorEastAsia"/>
        </w:rPr>
        <w:t>77% vs 64%</w:t>
      </w:r>
      <w:r w:rsidR="00922C36" w:rsidRPr="00C64DCA">
        <w:rPr>
          <w:rFonts w:eastAsiaTheme="majorEastAsia"/>
        </w:rPr>
        <w:t>)</w:t>
      </w:r>
      <w:r w:rsidRPr="00C64DCA">
        <w:rPr>
          <w:rFonts w:eastAsiaTheme="majorEastAsia"/>
        </w:rPr>
        <w:t>. HL</w:t>
      </w:r>
      <w:r w:rsidR="00A44400" w:rsidRPr="00C64DCA">
        <w:rPr>
          <w:rFonts w:eastAsiaTheme="majorEastAsia"/>
        </w:rPr>
        <w:t>A</w:t>
      </w:r>
      <w:r w:rsidRPr="00C64DCA">
        <w:rPr>
          <w:rFonts w:eastAsiaTheme="majorEastAsia"/>
        </w:rPr>
        <w:t xml:space="preserve">-B27 was more </w:t>
      </w:r>
      <w:r w:rsidR="00EE2A21" w:rsidRPr="00C64DCA">
        <w:rPr>
          <w:rFonts w:eastAsiaTheme="majorEastAsia"/>
        </w:rPr>
        <w:t>frequently</w:t>
      </w:r>
      <w:r w:rsidRPr="00C64DCA">
        <w:rPr>
          <w:rFonts w:eastAsiaTheme="majorEastAsia"/>
        </w:rPr>
        <w:t xml:space="preserve"> tested in </w:t>
      </w:r>
      <w:r w:rsidR="00B00A88" w:rsidRPr="00C64DCA">
        <w:rPr>
          <w:rFonts w:eastAsiaTheme="majorEastAsia"/>
        </w:rPr>
        <w:t xml:space="preserve">nr-axSpA </w:t>
      </w:r>
      <w:r w:rsidR="00222C01" w:rsidRPr="00C64DCA">
        <w:rPr>
          <w:rFonts w:eastAsiaTheme="majorEastAsia"/>
        </w:rPr>
        <w:t>patients</w:t>
      </w:r>
      <w:r w:rsidR="00B00A88" w:rsidRPr="00C64DCA">
        <w:rPr>
          <w:rFonts w:eastAsiaTheme="majorEastAsia"/>
        </w:rPr>
        <w:t>, although the proportion of positive results were similar</w:t>
      </w:r>
      <w:r w:rsidR="003A698F" w:rsidRPr="00C64DCA">
        <w:rPr>
          <w:rFonts w:eastAsiaTheme="majorEastAsia"/>
        </w:rPr>
        <w:t xml:space="preserve"> between the two groups</w:t>
      </w:r>
      <w:r w:rsidR="00B00A88" w:rsidRPr="00C64DCA">
        <w:rPr>
          <w:rFonts w:eastAsiaTheme="majorEastAsia"/>
        </w:rPr>
        <w:t xml:space="preserve">. </w:t>
      </w:r>
      <w:r w:rsidR="00222C01" w:rsidRPr="00C64DCA">
        <w:rPr>
          <w:rFonts w:eastAsiaTheme="majorEastAsia"/>
        </w:rPr>
        <w:t xml:space="preserve">There were no differences in extra-axial </w:t>
      </w:r>
      <w:r w:rsidR="00EE2A21" w:rsidRPr="00C64DCA">
        <w:rPr>
          <w:rFonts w:eastAsiaTheme="majorEastAsia"/>
        </w:rPr>
        <w:t>manifestations</w:t>
      </w:r>
      <w:r w:rsidR="003A698F" w:rsidRPr="00C64DCA">
        <w:rPr>
          <w:rFonts w:eastAsiaTheme="majorEastAsia"/>
        </w:rPr>
        <w:t xml:space="preserve"> </w:t>
      </w:r>
      <w:r w:rsidR="00222C01" w:rsidRPr="00C64DCA">
        <w:rPr>
          <w:rFonts w:eastAsiaTheme="majorEastAsia"/>
        </w:rPr>
        <w:t>except psoriasis</w:t>
      </w:r>
      <w:r w:rsidR="003A698F" w:rsidRPr="00C64DCA">
        <w:rPr>
          <w:rFonts w:eastAsiaTheme="majorEastAsia"/>
        </w:rPr>
        <w:t>, which</w:t>
      </w:r>
      <w:r w:rsidR="00222C01" w:rsidRPr="00C64DCA">
        <w:rPr>
          <w:rFonts w:eastAsiaTheme="majorEastAsia"/>
        </w:rPr>
        <w:t xml:space="preserve"> was more </w:t>
      </w:r>
      <w:r w:rsidR="00127327" w:rsidRPr="00C64DCA">
        <w:rPr>
          <w:rFonts w:eastAsiaTheme="majorEastAsia"/>
        </w:rPr>
        <w:t>frequently</w:t>
      </w:r>
      <w:r w:rsidR="00222C01" w:rsidRPr="00C64DCA">
        <w:rPr>
          <w:rFonts w:eastAsiaTheme="majorEastAsia"/>
        </w:rPr>
        <w:t xml:space="preserve"> recorded in AS </w:t>
      </w:r>
      <w:r w:rsidR="002F63A4" w:rsidRPr="00C64DCA">
        <w:rPr>
          <w:rFonts w:eastAsiaTheme="majorEastAsia"/>
        </w:rPr>
        <w:t xml:space="preserve">patients </w:t>
      </w:r>
      <w:r w:rsidR="00222C01" w:rsidRPr="00C64DCA">
        <w:rPr>
          <w:rFonts w:eastAsiaTheme="majorEastAsia"/>
        </w:rPr>
        <w:t>(13</w:t>
      </w:r>
      <w:r w:rsidR="003A698F" w:rsidRPr="00C64DCA">
        <w:rPr>
          <w:rFonts w:eastAsiaTheme="majorEastAsia"/>
        </w:rPr>
        <w:t>%</w:t>
      </w:r>
      <w:r w:rsidR="00222C01" w:rsidRPr="00C64DCA">
        <w:rPr>
          <w:rFonts w:eastAsiaTheme="majorEastAsia"/>
        </w:rPr>
        <w:t xml:space="preserve"> vs 6%</w:t>
      </w:r>
      <w:r w:rsidR="002F63A4" w:rsidRPr="00C64DCA">
        <w:rPr>
          <w:rFonts w:eastAsiaTheme="majorEastAsia"/>
        </w:rPr>
        <w:t>, P=0.03</w:t>
      </w:r>
      <w:r w:rsidR="009B3EFD" w:rsidRPr="00C64DCA">
        <w:rPr>
          <w:rFonts w:eastAsiaTheme="majorEastAsia"/>
        </w:rPr>
        <w:t>5</w:t>
      </w:r>
      <w:r w:rsidR="00222C01" w:rsidRPr="00C64DCA">
        <w:rPr>
          <w:rFonts w:eastAsiaTheme="majorEastAsia"/>
        </w:rPr>
        <w:t xml:space="preserve">). </w:t>
      </w:r>
      <w:r w:rsidRPr="00C64DCA">
        <w:rPr>
          <w:rFonts w:eastAsiaTheme="majorEastAsia"/>
        </w:rPr>
        <w:t xml:space="preserve">AS patients </w:t>
      </w:r>
      <w:r w:rsidR="00FC30C8" w:rsidRPr="00C64DCA">
        <w:rPr>
          <w:rFonts w:eastAsiaTheme="majorEastAsia"/>
        </w:rPr>
        <w:t xml:space="preserve">also </w:t>
      </w:r>
      <w:r w:rsidRPr="00C64DCA">
        <w:rPr>
          <w:rFonts w:eastAsiaTheme="majorEastAsia"/>
        </w:rPr>
        <w:t>had higher</w:t>
      </w:r>
      <w:r w:rsidR="00E161EC" w:rsidRPr="00C64DCA">
        <w:rPr>
          <w:rFonts w:eastAsiaTheme="majorEastAsia"/>
        </w:rPr>
        <w:t xml:space="preserve"> median</w:t>
      </w:r>
      <w:r w:rsidRPr="00C64DCA">
        <w:rPr>
          <w:rFonts w:eastAsiaTheme="majorEastAsia"/>
        </w:rPr>
        <w:t xml:space="preserve"> ESR </w:t>
      </w:r>
      <w:r w:rsidR="00922C36" w:rsidRPr="00C64DCA">
        <w:rPr>
          <w:rFonts w:eastAsiaTheme="majorEastAsia"/>
        </w:rPr>
        <w:t>(</w:t>
      </w:r>
      <w:r w:rsidR="00032D06" w:rsidRPr="00C64DCA">
        <w:rPr>
          <w:rFonts w:eastAsiaTheme="majorEastAsia"/>
        </w:rPr>
        <w:t>13.0 vs 9.5mm/hr</w:t>
      </w:r>
      <w:r w:rsidR="00922C36" w:rsidRPr="00C64DCA">
        <w:rPr>
          <w:rFonts w:eastAsiaTheme="majorEastAsia"/>
        </w:rPr>
        <w:t xml:space="preserve">) </w:t>
      </w:r>
      <w:r w:rsidRPr="00C64DCA">
        <w:rPr>
          <w:rFonts w:eastAsiaTheme="majorEastAsia"/>
        </w:rPr>
        <w:t>and CRP</w:t>
      </w:r>
      <w:r w:rsidR="00922C36" w:rsidRPr="00C64DCA">
        <w:rPr>
          <w:rFonts w:eastAsiaTheme="majorEastAsia"/>
        </w:rPr>
        <w:t xml:space="preserve"> (</w:t>
      </w:r>
      <w:r w:rsidR="00032D06" w:rsidRPr="00C64DCA">
        <w:rPr>
          <w:rFonts w:eastAsiaTheme="majorEastAsia"/>
        </w:rPr>
        <w:t>3.4 vs 2.2mg/dl</w:t>
      </w:r>
      <w:r w:rsidR="00922C36" w:rsidRPr="00C64DCA">
        <w:rPr>
          <w:rFonts w:eastAsiaTheme="majorEastAsia"/>
        </w:rPr>
        <w:t>)</w:t>
      </w:r>
      <w:r w:rsidR="00E55825" w:rsidRPr="00C64DCA">
        <w:rPr>
          <w:rFonts w:eastAsiaTheme="majorEastAsia"/>
        </w:rPr>
        <w:t xml:space="preserve"> levels</w:t>
      </w:r>
      <w:r w:rsidRPr="00C64DCA">
        <w:rPr>
          <w:rFonts w:eastAsiaTheme="majorEastAsia"/>
        </w:rPr>
        <w:t xml:space="preserve">, </w:t>
      </w:r>
      <w:r w:rsidR="00B00A88" w:rsidRPr="00C64DCA">
        <w:rPr>
          <w:rFonts w:eastAsiaTheme="majorEastAsia"/>
        </w:rPr>
        <w:t xml:space="preserve">but </w:t>
      </w:r>
      <w:r w:rsidRPr="00C64DCA">
        <w:rPr>
          <w:rFonts w:eastAsiaTheme="majorEastAsia"/>
        </w:rPr>
        <w:t xml:space="preserve">pain </w:t>
      </w:r>
      <w:r w:rsidR="00B00A88" w:rsidRPr="00C64DCA">
        <w:rPr>
          <w:rFonts w:eastAsiaTheme="majorEastAsia"/>
        </w:rPr>
        <w:t xml:space="preserve">VAS </w:t>
      </w:r>
      <w:r w:rsidRPr="00C64DCA">
        <w:rPr>
          <w:rFonts w:eastAsiaTheme="majorEastAsia"/>
        </w:rPr>
        <w:t>was similar</w:t>
      </w:r>
      <w:r w:rsidR="00222C01" w:rsidRPr="00C64DCA">
        <w:rPr>
          <w:rFonts w:eastAsiaTheme="majorEastAsia"/>
        </w:rPr>
        <w:t xml:space="preserve"> to the nr-axSpA group.</w:t>
      </w:r>
    </w:p>
    <w:p w14:paraId="26237994" w14:textId="067C1021" w:rsidR="00BB5C47" w:rsidRPr="00C64DCA" w:rsidRDefault="0060495C" w:rsidP="00421F64">
      <w:pPr>
        <w:spacing w:line="480" w:lineRule="auto"/>
        <w:rPr>
          <w:rFonts w:eastAsiaTheme="majorEastAsia"/>
          <w:b/>
        </w:rPr>
      </w:pPr>
      <w:r w:rsidRPr="00C64DCA">
        <w:rPr>
          <w:rFonts w:eastAsiaTheme="majorEastAsia"/>
        </w:rPr>
        <w:t xml:space="preserve">Half of </w:t>
      </w:r>
      <w:r w:rsidR="0021411C" w:rsidRPr="00C64DCA">
        <w:rPr>
          <w:rFonts w:eastAsiaTheme="majorEastAsia"/>
        </w:rPr>
        <w:t>all</w:t>
      </w:r>
      <w:r w:rsidRPr="00C64DCA">
        <w:rPr>
          <w:rFonts w:eastAsiaTheme="majorEastAsia"/>
        </w:rPr>
        <w:t xml:space="preserve"> patients had at least one comorbidity</w:t>
      </w:r>
      <w:r w:rsidR="00740A6D" w:rsidRPr="00C64DCA">
        <w:rPr>
          <w:rFonts w:eastAsiaTheme="majorEastAsia"/>
        </w:rPr>
        <w:t xml:space="preserve"> (histogram in Supplementary figure 2)</w:t>
      </w:r>
      <w:r w:rsidRPr="00C64DCA">
        <w:rPr>
          <w:rFonts w:eastAsiaTheme="majorEastAsia"/>
        </w:rPr>
        <w:t xml:space="preserve">. </w:t>
      </w:r>
      <w:r w:rsidR="003A698F" w:rsidRPr="00C64DCA">
        <w:rPr>
          <w:rFonts w:eastAsiaTheme="majorEastAsia"/>
        </w:rPr>
        <w:t>The mean number of comorbidities in this cohort was 1.5 (SD 2.2)</w:t>
      </w:r>
      <w:r w:rsidR="00E62ED5" w:rsidRPr="00C64DCA">
        <w:rPr>
          <w:rFonts w:eastAsiaTheme="majorEastAsia"/>
        </w:rPr>
        <w:t xml:space="preserve">, and </w:t>
      </w:r>
      <w:r w:rsidR="00AB01FD" w:rsidRPr="00C64DCA">
        <w:rPr>
          <w:rFonts w:eastAsiaTheme="majorEastAsia"/>
        </w:rPr>
        <w:t>similar between</w:t>
      </w:r>
      <w:r w:rsidR="00BB5C47" w:rsidRPr="00C64DCA">
        <w:rPr>
          <w:rFonts w:eastAsiaTheme="majorEastAsia"/>
        </w:rPr>
        <w:t xml:space="preserve"> </w:t>
      </w:r>
      <w:r w:rsidR="003A698F" w:rsidRPr="00C64DCA">
        <w:rPr>
          <w:rFonts w:eastAsiaTheme="majorEastAsia"/>
        </w:rPr>
        <w:t xml:space="preserve">AS and nr-axSpA </w:t>
      </w:r>
      <w:r w:rsidR="00BB5C47" w:rsidRPr="00C64DCA">
        <w:rPr>
          <w:rFonts w:eastAsiaTheme="majorEastAsia"/>
        </w:rPr>
        <w:t>groups. The comm</w:t>
      </w:r>
      <w:r w:rsidR="00AB01FD" w:rsidRPr="00C64DCA">
        <w:rPr>
          <w:rFonts w:eastAsiaTheme="majorEastAsia"/>
        </w:rPr>
        <w:t>o</w:t>
      </w:r>
      <w:r w:rsidR="00BB5C47" w:rsidRPr="00C64DCA">
        <w:rPr>
          <w:rFonts w:eastAsiaTheme="majorEastAsia"/>
        </w:rPr>
        <w:t xml:space="preserve">n comorbidities were </w:t>
      </w:r>
      <w:r w:rsidR="00316DCD" w:rsidRPr="00C64DCA">
        <w:rPr>
          <w:rFonts w:eastAsiaTheme="majorEastAsia"/>
        </w:rPr>
        <w:t xml:space="preserve">anxiety (11%), </w:t>
      </w:r>
      <w:r w:rsidR="00BB5C47" w:rsidRPr="00C64DCA">
        <w:rPr>
          <w:rFonts w:eastAsiaTheme="majorEastAsia"/>
        </w:rPr>
        <w:t xml:space="preserve">coronary heart disease (11%), </w:t>
      </w:r>
      <w:r w:rsidR="00316DCD" w:rsidRPr="00C64DCA">
        <w:rPr>
          <w:rFonts w:eastAsiaTheme="majorEastAsia"/>
        </w:rPr>
        <w:t xml:space="preserve">cancer (11%), hypertension (9%), </w:t>
      </w:r>
      <w:r w:rsidR="00BB5C47" w:rsidRPr="00C64DCA">
        <w:rPr>
          <w:rFonts w:eastAsiaTheme="majorEastAsia"/>
        </w:rPr>
        <w:t>depression (</w:t>
      </w:r>
      <w:r w:rsidR="00316DCD" w:rsidRPr="00C64DCA">
        <w:rPr>
          <w:rFonts w:eastAsiaTheme="majorEastAsia"/>
        </w:rPr>
        <w:t>8</w:t>
      </w:r>
      <w:r w:rsidR="00BB5C47" w:rsidRPr="00C64DCA">
        <w:rPr>
          <w:rFonts w:eastAsiaTheme="majorEastAsia"/>
        </w:rPr>
        <w:t xml:space="preserve">%) and diabetes (7%). There were no differences in prevalence of </w:t>
      </w:r>
      <w:r w:rsidR="00EC5BBB" w:rsidRPr="00C64DCA">
        <w:rPr>
          <w:rFonts w:eastAsiaTheme="majorEastAsia"/>
        </w:rPr>
        <w:t>the</w:t>
      </w:r>
      <w:r w:rsidR="00BB5C47" w:rsidRPr="00C64DCA">
        <w:rPr>
          <w:rFonts w:eastAsiaTheme="majorEastAsia"/>
        </w:rPr>
        <w:t xml:space="preserve"> 3</w:t>
      </w:r>
      <w:r w:rsidR="00AB01FD" w:rsidRPr="00C64DCA">
        <w:rPr>
          <w:rFonts w:eastAsiaTheme="majorEastAsia"/>
        </w:rPr>
        <w:t>9</w:t>
      </w:r>
      <w:r w:rsidR="00BB5C47" w:rsidRPr="00C64DCA">
        <w:rPr>
          <w:rFonts w:eastAsiaTheme="majorEastAsia"/>
        </w:rPr>
        <w:t xml:space="preserve"> chronic conditions </w:t>
      </w:r>
      <w:r w:rsidR="00E62ED5" w:rsidRPr="00C64DCA">
        <w:rPr>
          <w:rFonts w:eastAsiaTheme="majorEastAsia"/>
        </w:rPr>
        <w:t xml:space="preserve">between the two diagnoses, </w:t>
      </w:r>
      <w:r w:rsidR="00BB5C47" w:rsidRPr="00C64DCA">
        <w:rPr>
          <w:rFonts w:eastAsiaTheme="majorEastAsia"/>
        </w:rPr>
        <w:t>except chronic kidney disease</w:t>
      </w:r>
      <w:r w:rsidR="00E62ED5" w:rsidRPr="00C64DCA">
        <w:rPr>
          <w:rFonts w:eastAsiaTheme="majorEastAsia"/>
        </w:rPr>
        <w:t xml:space="preserve"> </w:t>
      </w:r>
      <w:r w:rsidR="00EE2A21" w:rsidRPr="00C64DCA">
        <w:rPr>
          <w:rFonts w:eastAsiaTheme="majorEastAsia"/>
        </w:rPr>
        <w:t>which</w:t>
      </w:r>
      <w:r w:rsidR="00BB5C47" w:rsidRPr="00C64DCA">
        <w:rPr>
          <w:rFonts w:eastAsiaTheme="majorEastAsia"/>
        </w:rPr>
        <w:t xml:space="preserve"> was higher in AS patients (3% vs </w:t>
      </w:r>
      <w:r w:rsidR="00316DCD" w:rsidRPr="00C64DCA">
        <w:rPr>
          <w:rFonts w:eastAsiaTheme="majorEastAsia"/>
        </w:rPr>
        <w:t>0</w:t>
      </w:r>
      <w:r w:rsidR="00BB5C47" w:rsidRPr="00C64DCA">
        <w:rPr>
          <w:rFonts w:eastAsiaTheme="majorEastAsia"/>
        </w:rPr>
        <w:t>%) (</w:t>
      </w:r>
      <w:r w:rsidR="002A3F46" w:rsidRPr="00C64DCA">
        <w:rPr>
          <w:rFonts w:eastAsiaTheme="majorEastAsia"/>
        </w:rPr>
        <w:t>S</w:t>
      </w:r>
      <w:r w:rsidR="00BB5C47" w:rsidRPr="00C64DCA">
        <w:rPr>
          <w:rFonts w:eastAsiaTheme="majorEastAsia"/>
        </w:rPr>
        <w:t>upplementary table 1).</w:t>
      </w:r>
    </w:p>
    <w:p w14:paraId="2595A19D" w14:textId="3F7A2862" w:rsidR="00BE1296" w:rsidRPr="00C64DCA" w:rsidRDefault="007D7AD6" w:rsidP="00421F64">
      <w:pPr>
        <w:spacing w:line="480" w:lineRule="auto"/>
        <w:rPr>
          <w:rFonts w:eastAsiaTheme="majorEastAsia"/>
        </w:rPr>
      </w:pPr>
      <w:r w:rsidRPr="00C64DCA">
        <w:rPr>
          <w:rFonts w:eastAsiaTheme="majorEastAsia"/>
        </w:rPr>
        <w:lastRenderedPageBreak/>
        <w:t>A history of bDMARD-use was seen in</w:t>
      </w:r>
      <w:r w:rsidR="009906E4" w:rsidRPr="00C64DCA">
        <w:rPr>
          <w:rFonts w:eastAsiaTheme="majorEastAsia"/>
        </w:rPr>
        <w:t xml:space="preserve"> </w:t>
      </w:r>
      <w:r w:rsidRPr="00C64DCA">
        <w:rPr>
          <w:rFonts w:eastAsiaTheme="majorEastAsia"/>
        </w:rPr>
        <w:t>55</w:t>
      </w:r>
      <w:r w:rsidR="009906E4" w:rsidRPr="00C64DCA">
        <w:rPr>
          <w:rFonts w:eastAsiaTheme="majorEastAsia"/>
        </w:rPr>
        <w:t>%</w:t>
      </w:r>
      <w:r w:rsidR="00E324DD" w:rsidRPr="00C64DCA">
        <w:rPr>
          <w:rFonts w:eastAsiaTheme="majorEastAsia"/>
        </w:rPr>
        <w:t xml:space="preserve"> of all patients</w:t>
      </w:r>
      <w:r w:rsidR="009906E4" w:rsidRPr="00C64DCA">
        <w:rPr>
          <w:rFonts w:eastAsiaTheme="majorEastAsia"/>
        </w:rPr>
        <w:t xml:space="preserve">, </w:t>
      </w:r>
      <w:r w:rsidR="00EC5BBB" w:rsidRPr="00C64DCA">
        <w:rPr>
          <w:rFonts w:eastAsiaTheme="majorEastAsia"/>
        </w:rPr>
        <w:t>c</w:t>
      </w:r>
      <w:r w:rsidR="009906E4" w:rsidRPr="00C64DCA">
        <w:rPr>
          <w:rFonts w:eastAsiaTheme="majorEastAsia"/>
        </w:rPr>
        <w:t xml:space="preserve">sDMARDs </w:t>
      </w:r>
      <w:r w:rsidRPr="00C64DCA">
        <w:rPr>
          <w:rFonts w:eastAsiaTheme="majorEastAsia"/>
        </w:rPr>
        <w:t>in</w:t>
      </w:r>
      <w:r w:rsidR="00AB01FD" w:rsidRPr="00C64DCA">
        <w:rPr>
          <w:rFonts w:eastAsiaTheme="majorEastAsia"/>
        </w:rPr>
        <w:t xml:space="preserve"> </w:t>
      </w:r>
      <w:r w:rsidRPr="00C64DCA">
        <w:rPr>
          <w:rFonts w:eastAsiaTheme="majorEastAsia"/>
        </w:rPr>
        <w:t>25</w:t>
      </w:r>
      <w:r w:rsidR="009906E4" w:rsidRPr="00C64DCA">
        <w:rPr>
          <w:rFonts w:eastAsiaTheme="majorEastAsia"/>
        </w:rPr>
        <w:t xml:space="preserve">%, NSAIDs </w:t>
      </w:r>
      <w:r w:rsidRPr="00C64DCA">
        <w:rPr>
          <w:rFonts w:eastAsiaTheme="majorEastAsia"/>
        </w:rPr>
        <w:t>in</w:t>
      </w:r>
      <w:r w:rsidR="00AB01FD" w:rsidRPr="00C64DCA">
        <w:rPr>
          <w:rFonts w:eastAsiaTheme="majorEastAsia"/>
        </w:rPr>
        <w:t xml:space="preserve"> </w:t>
      </w:r>
      <w:r w:rsidRPr="00C64DCA">
        <w:rPr>
          <w:rFonts w:eastAsiaTheme="majorEastAsia"/>
        </w:rPr>
        <w:t>76</w:t>
      </w:r>
      <w:r w:rsidR="009906E4" w:rsidRPr="00C64DCA">
        <w:rPr>
          <w:rFonts w:eastAsiaTheme="majorEastAsia"/>
        </w:rPr>
        <w:t>%</w:t>
      </w:r>
      <w:r w:rsidRPr="00C64DCA">
        <w:rPr>
          <w:rFonts w:eastAsiaTheme="majorEastAsia"/>
        </w:rPr>
        <w:t>,</w:t>
      </w:r>
      <w:r w:rsidR="009906E4" w:rsidRPr="00C64DCA">
        <w:rPr>
          <w:rFonts w:eastAsiaTheme="majorEastAsia"/>
        </w:rPr>
        <w:t xml:space="preserve"> and </w:t>
      </w:r>
      <w:r w:rsidR="00A02644" w:rsidRPr="00C64DCA">
        <w:rPr>
          <w:rFonts w:eastAsiaTheme="majorEastAsia"/>
        </w:rPr>
        <w:t xml:space="preserve">prednisone </w:t>
      </w:r>
      <w:r w:rsidRPr="00C64DCA">
        <w:rPr>
          <w:rFonts w:eastAsiaTheme="majorEastAsia"/>
        </w:rPr>
        <w:t>in</w:t>
      </w:r>
      <w:r w:rsidR="00AB01FD" w:rsidRPr="00C64DCA">
        <w:rPr>
          <w:rFonts w:eastAsiaTheme="majorEastAsia"/>
        </w:rPr>
        <w:t xml:space="preserve"> </w:t>
      </w:r>
      <w:r w:rsidRPr="00C64DCA">
        <w:rPr>
          <w:rFonts w:eastAsiaTheme="majorEastAsia"/>
        </w:rPr>
        <w:t>35</w:t>
      </w:r>
      <w:r w:rsidR="009906E4" w:rsidRPr="00C64DCA">
        <w:rPr>
          <w:rFonts w:eastAsiaTheme="majorEastAsia"/>
        </w:rPr>
        <w:t>% of patients.</w:t>
      </w:r>
      <w:r w:rsidRPr="00C64DCA">
        <w:rPr>
          <w:rFonts w:eastAsiaTheme="majorEastAsia"/>
        </w:rPr>
        <w:t xml:space="preserve"> T</w:t>
      </w:r>
      <w:r w:rsidR="009906E4" w:rsidRPr="00C64DCA">
        <w:rPr>
          <w:rFonts w:eastAsiaTheme="majorEastAsia"/>
        </w:rPr>
        <w:t xml:space="preserve">he </w:t>
      </w:r>
      <w:r w:rsidR="002F63A4" w:rsidRPr="00C64DCA">
        <w:rPr>
          <w:rFonts w:eastAsiaTheme="majorEastAsia"/>
        </w:rPr>
        <w:t>most commonly prescribed</w:t>
      </w:r>
      <w:r w:rsidR="009906E4" w:rsidRPr="00C64DCA">
        <w:rPr>
          <w:rFonts w:eastAsiaTheme="majorEastAsia"/>
        </w:rPr>
        <w:t xml:space="preserve"> bDMARDs were adalimumab (31%) and etanercept (29%). </w:t>
      </w:r>
      <w:r w:rsidR="00AB01FD" w:rsidRPr="00C64DCA">
        <w:rPr>
          <w:rFonts w:eastAsiaTheme="majorEastAsia"/>
        </w:rPr>
        <w:t xml:space="preserve">Ever-prescriptions of </w:t>
      </w:r>
      <w:r w:rsidR="00EE2A21" w:rsidRPr="00C64DCA">
        <w:rPr>
          <w:rFonts w:eastAsiaTheme="majorEastAsia"/>
        </w:rPr>
        <w:t>each</w:t>
      </w:r>
      <w:r w:rsidR="00AB01FD" w:rsidRPr="00C64DCA">
        <w:rPr>
          <w:rFonts w:eastAsiaTheme="majorEastAsia"/>
        </w:rPr>
        <w:t xml:space="preserve"> bDMARD </w:t>
      </w:r>
      <w:r w:rsidR="00EE2A21" w:rsidRPr="00C64DCA">
        <w:rPr>
          <w:rFonts w:eastAsiaTheme="majorEastAsia"/>
        </w:rPr>
        <w:t>was</w:t>
      </w:r>
      <w:r w:rsidR="00AB01FD" w:rsidRPr="00C64DCA">
        <w:rPr>
          <w:rFonts w:eastAsiaTheme="majorEastAsia"/>
        </w:rPr>
        <w:t xml:space="preserve"> similar between AS and nr-axSpA groups</w:t>
      </w:r>
      <w:r w:rsidR="00EE2A21" w:rsidRPr="00C64DCA">
        <w:rPr>
          <w:rFonts w:eastAsiaTheme="majorEastAsia"/>
        </w:rPr>
        <w:t xml:space="preserve"> (Table 2)</w:t>
      </w:r>
      <w:r w:rsidR="00AB01FD" w:rsidRPr="00C64DCA">
        <w:rPr>
          <w:rFonts w:eastAsiaTheme="majorEastAsia"/>
        </w:rPr>
        <w:t xml:space="preserve">. </w:t>
      </w:r>
      <w:r w:rsidR="009906E4" w:rsidRPr="00C64DCA">
        <w:rPr>
          <w:rFonts w:eastAsiaTheme="majorEastAsia"/>
        </w:rPr>
        <w:t>The most common</w:t>
      </w:r>
      <w:r w:rsidR="00EE2A21" w:rsidRPr="00C64DCA">
        <w:rPr>
          <w:rFonts w:eastAsiaTheme="majorEastAsia"/>
        </w:rPr>
        <w:t xml:space="preserve">ly </w:t>
      </w:r>
      <w:r w:rsidR="002F63A4" w:rsidRPr="00C64DCA">
        <w:rPr>
          <w:rFonts w:eastAsiaTheme="majorEastAsia"/>
        </w:rPr>
        <w:t>prescribed</w:t>
      </w:r>
      <w:r w:rsidR="009906E4" w:rsidRPr="00C64DCA">
        <w:rPr>
          <w:rFonts w:eastAsiaTheme="majorEastAsia"/>
        </w:rPr>
        <w:t xml:space="preserve"> </w:t>
      </w:r>
      <w:r w:rsidR="00AB01FD" w:rsidRPr="00C64DCA">
        <w:rPr>
          <w:rFonts w:eastAsiaTheme="majorEastAsia"/>
        </w:rPr>
        <w:t>c</w:t>
      </w:r>
      <w:r w:rsidR="009906E4" w:rsidRPr="00C64DCA">
        <w:rPr>
          <w:rFonts w:eastAsiaTheme="majorEastAsia"/>
        </w:rPr>
        <w:t xml:space="preserve">sDMARDs were sulfasalazine (13%) and methotrexate (16%). </w:t>
      </w:r>
      <w:r w:rsidR="00AB01FD" w:rsidRPr="00C64DCA">
        <w:rPr>
          <w:rFonts w:eastAsiaTheme="majorEastAsia"/>
        </w:rPr>
        <w:t>NSAID</w:t>
      </w:r>
      <w:r w:rsidR="002A3F46" w:rsidRPr="00C64DCA">
        <w:rPr>
          <w:rFonts w:eastAsiaTheme="majorEastAsia"/>
        </w:rPr>
        <w:t xml:space="preserve"> </w:t>
      </w:r>
      <w:r w:rsidR="00AB01FD" w:rsidRPr="00C64DCA">
        <w:rPr>
          <w:rFonts w:eastAsiaTheme="majorEastAsia"/>
        </w:rPr>
        <w:t xml:space="preserve">prescription was also similar </w:t>
      </w:r>
      <w:r w:rsidRPr="00C64DCA">
        <w:rPr>
          <w:rFonts w:eastAsiaTheme="majorEastAsia"/>
        </w:rPr>
        <w:t>between the two groups,</w:t>
      </w:r>
      <w:r w:rsidR="00AB01FD" w:rsidRPr="00C64DCA">
        <w:rPr>
          <w:rFonts w:eastAsiaTheme="majorEastAsia"/>
        </w:rPr>
        <w:t xml:space="preserve"> except</w:t>
      </w:r>
      <w:r w:rsidRPr="00C64DCA">
        <w:rPr>
          <w:rFonts w:eastAsiaTheme="majorEastAsia"/>
        </w:rPr>
        <w:t xml:space="preserve"> </w:t>
      </w:r>
      <w:r w:rsidR="002A3F46" w:rsidRPr="00C64DCA">
        <w:rPr>
          <w:rFonts w:eastAsiaTheme="majorEastAsia"/>
        </w:rPr>
        <w:t>m</w:t>
      </w:r>
      <w:r w:rsidR="00AB01FD" w:rsidRPr="00C64DCA">
        <w:rPr>
          <w:rFonts w:eastAsiaTheme="majorEastAsia"/>
        </w:rPr>
        <w:t>eloxicam</w:t>
      </w:r>
      <w:r w:rsidRPr="00C64DCA">
        <w:rPr>
          <w:rFonts w:eastAsiaTheme="majorEastAsia"/>
        </w:rPr>
        <w:t xml:space="preserve"> which was</w:t>
      </w:r>
      <w:r w:rsidR="00AB01FD" w:rsidRPr="00C64DCA">
        <w:rPr>
          <w:rFonts w:eastAsiaTheme="majorEastAsia"/>
        </w:rPr>
        <w:t xml:space="preserve"> more </w:t>
      </w:r>
      <w:r w:rsidR="000752AD" w:rsidRPr="00C64DCA">
        <w:rPr>
          <w:rFonts w:eastAsiaTheme="majorEastAsia"/>
        </w:rPr>
        <w:t>frequently</w:t>
      </w:r>
      <w:r w:rsidR="00AB01FD" w:rsidRPr="00C64DCA">
        <w:rPr>
          <w:rFonts w:eastAsiaTheme="majorEastAsia"/>
        </w:rPr>
        <w:t xml:space="preserve"> </w:t>
      </w:r>
      <w:r w:rsidR="00A44400" w:rsidRPr="00C64DCA">
        <w:rPr>
          <w:rFonts w:eastAsiaTheme="majorEastAsia"/>
        </w:rPr>
        <w:t>prescribed</w:t>
      </w:r>
      <w:r w:rsidR="00AB01FD" w:rsidRPr="00C64DCA">
        <w:rPr>
          <w:rFonts w:eastAsiaTheme="majorEastAsia"/>
        </w:rPr>
        <w:t xml:space="preserve"> in </w:t>
      </w:r>
      <w:r w:rsidRPr="00C64DCA">
        <w:rPr>
          <w:rFonts w:eastAsiaTheme="majorEastAsia"/>
        </w:rPr>
        <w:t xml:space="preserve">patients with </w:t>
      </w:r>
      <w:r w:rsidR="00AB01FD" w:rsidRPr="00C64DCA">
        <w:rPr>
          <w:rFonts w:eastAsiaTheme="majorEastAsia"/>
        </w:rPr>
        <w:t>nr-axSpA.</w:t>
      </w:r>
    </w:p>
    <w:p w14:paraId="074F2DF9" w14:textId="445B5925" w:rsidR="0036377D" w:rsidRPr="00C64DCA" w:rsidRDefault="009F62D7" w:rsidP="00421F64">
      <w:pPr>
        <w:spacing w:line="480" w:lineRule="auto"/>
        <w:rPr>
          <w:rFonts w:eastAsiaTheme="majorEastAsia"/>
        </w:rPr>
      </w:pPr>
      <w:r w:rsidRPr="00C64DCA">
        <w:rPr>
          <w:rFonts w:eastAsiaTheme="majorEastAsia"/>
        </w:rPr>
        <w:t>We did not find any evidence that the number of comorbidities, or the presence of individual comorbidities, were associated with bDMARD</w:t>
      </w:r>
      <w:r w:rsidR="00CE09CC" w:rsidRPr="00C64DCA">
        <w:rPr>
          <w:rFonts w:eastAsiaTheme="majorEastAsia"/>
        </w:rPr>
        <w:t>-u</w:t>
      </w:r>
      <w:r w:rsidRPr="00C64DCA">
        <w:rPr>
          <w:rFonts w:eastAsiaTheme="majorEastAsia"/>
        </w:rPr>
        <w:t>s</w:t>
      </w:r>
      <w:r w:rsidR="00CE09CC" w:rsidRPr="00C64DCA">
        <w:rPr>
          <w:rFonts w:eastAsiaTheme="majorEastAsia"/>
        </w:rPr>
        <w:t>e</w:t>
      </w:r>
      <w:r w:rsidRPr="00C64DCA">
        <w:rPr>
          <w:rFonts w:eastAsiaTheme="majorEastAsia"/>
        </w:rPr>
        <w:t xml:space="preserve"> (supplementary table 2)</w:t>
      </w:r>
      <w:r w:rsidR="00E161EC" w:rsidRPr="00C64DCA">
        <w:rPr>
          <w:rFonts w:eastAsiaTheme="majorEastAsia"/>
        </w:rPr>
        <w:t>.</w:t>
      </w:r>
    </w:p>
    <w:p w14:paraId="74CA4564" w14:textId="0FCD7BD0" w:rsidR="00BE1296" w:rsidRPr="00C64DCA" w:rsidRDefault="00066A41" w:rsidP="00421F64">
      <w:pPr>
        <w:spacing w:line="480" w:lineRule="auto"/>
        <w:rPr>
          <w:rFonts w:eastAsiaTheme="majorEastAsia"/>
        </w:rPr>
      </w:pPr>
      <w:r w:rsidRPr="00C64DCA">
        <w:rPr>
          <w:rFonts w:eastAsiaTheme="majorEastAsia"/>
        </w:rPr>
        <w:t xml:space="preserve">Sensitivity analysis </w:t>
      </w:r>
      <w:r w:rsidR="00836E1C" w:rsidRPr="00C64DCA">
        <w:rPr>
          <w:rFonts w:eastAsiaTheme="majorEastAsia"/>
        </w:rPr>
        <w:t xml:space="preserve">comparing </w:t>
      </w:r>
      <w:r w:rsidR="0046530A" w:rsidRPr="00C64DCA">
        <w:rPr>
          <w:rFonts w:eastAsiaTheme="majorEastAsia"/>
        </w:rPr>
        <w:t>only</w:t>
      </w:r>
      <w:r w:rsidRPr="00C64DCA">
        <w:rPr>
          <w:rFonts w:eastAsiaTheme="majorEastAsia"/>
        </w:rPr>
        <w:t xml:space="preserve"> those with definite diagnoses of AS and nr-axSpA did not </w:t>
      </w:r>
      <w:r w:rsidR="00AB01FD" w:rsidRPr="00C64DCA">
        <w:rPr>
          <w:rFonts w:eastAsiaTheme="majorEastAsia"/>
        </w:rPr>
        <w:t xml:space="preserve">significantly </w:t>
      </w:r>
      <w:r w:rsidRPr="00C64DCA">
        <w:rPr>
          <w:rFonts w:eastAsiaTheme="majorEastAsia"/>
        </w:rPr>
        <w:t>change results (</w:t>
      </w:r>
      <w:r w:rsidR="003B3EE3" w:rsidRPr="00C64DCA">
        <w:rPr>
          <w:rFonts w:eastAsiaTheme="majorEastAsia"/>
        </w:rPr>
        <w:t xml:space="preserve">see </w:t>
      </w:r>
      <w:r w:rsidRPr="00C64DCA">
        <w:rPr>
          <w:rFonts w:eastAsiaTheme="majorEastAsia"/>
        </w:rPr>
        <w:t xml:space="preserve">supplementary </w:t>
      </w:r>
      <w:r w:rsidR="00D029E4" w:rsidRPr="00C64DCA">
        <w:rPr>
          <w:rFonts w:eastAsiaTheme="majorEastAsia"/>
        </w:rPr>
        <w:t xml:space="preserve">tables </w:t>
      </w:r>
      <w:r w:rsidR="009F62D7" w:rsidRPr="00C64DCA">
        <w:rPr>
          <w:rFonts w:eastAsiaTheme="majorEastAsia"/>
        </w:rPr>
        <w:t xml:space="preserve">3 </w:t>
      </w:r>
      <w:r w:rsidR="00D029E4" w:rsidRPr="00C64DCA">
        <w:rPr>
          <w:rFonts w:eastAsiaTheme="majorEastAsia"/>
        </w:rPr>
        <w:t xml:space="preserve">and </w:t>
      </w:r>
      <w:r w:rsidR="009F62D7" w:rsidRPr="00C64DCA">
        <w:rPr>
          <w:rFonts w:eastAsiaTheme="majorEastAsia"/>
        </w:rPr>
        <w:t>4</w:t>
      </w:r>
      <w:r w:rsidRPr="00C64DCA">
        <w:rPr>
          <w:rFonts w:eastAsiaTheme="majorEastAsia"/>
        </w:rPr>
        <w:t>).</w:t>
      </w:r>
    </w:p>
    <w:p w14:paraId="2CB88F9F" w14:textId="77777777" w:rsidR="009454CF" w:rsidRPr="00C64DCA" w:rsidRDefault="009454CF" w:rsidP="00421F64">
      <w:pPr>
        <w:spacing w:line="480" w:lineRule="auto"/>
        <w:rPr>
          <w:rFonts w:eastAsiaTheme="majorEastAsia"/>
          <w:b/>
        </w:rPr>
      </w:pPr>
    </w:p>
    <w:p w14:paraId="4C60DBD2" w14:textId="77777777" w:rsidR="006547A0" w:rsidRPr="00C64DCA" w:rsidRDefault="006547A0">
      <w:pPr>
        <w:rPr>
          <w:rFonts w:eastAsiaTheme="majorEastAsia"/>
          <w:b/>
        </w:rPr>
      </w:pPr>
      <w:r w:rsidRPr="00C64DCA">
        <w:rPr>
          <w:rFonts w:eastAsiaTheme="majorEastAsia"/>
          <w:b/>
        </w:rPr>
        <w:br w:type="page"/>
      </w:r>
    </w:p>
    <w:p w14:paraId="385D1DCD" w14:textId="5576DF49" w:rsidR="00A56121" w:rsidRPr="00C64DCA" w:rsidRDefault="00A56121" w:rsidP="00421F64">
      <w:pPr>
        <w:spacing w:line="480" w:lineRule="auto"/>
        <w:rPr>
          <w:rFonts w:eastAsiaTheme="majorEastAsia"/>
          <w:b/>
        </w:rPr>
      </w:pPr>
      <w:r w:rsidRPr="00C64DCA">
        <w:rPr>
          <w:rFonts w:eastAsiaTheme="majorEastAsia"/>
          <w:b/>
        </w:rPr>
        <w:lastRenderedPageBreak/>
        <w:t>Discussion</w:t>
      </w:r>
    </w:p>
    <w:p w14:paraId="0FD4129D" w14:textId="2E105DA5" w:rsidR="00BB5C47" w:rsidRPr="00C64DCA" w:rsidRDefault="009906E4" w:rsidP="00421F64">
      <w:pPr>
        <w:spacing w:line="480" w:lineRule="auto"/>
        <w:rPr>
          <w:rFonts w:eastAsiaTheme="majorEastAsia"/>
        </w:rPr>
      </w:pPr>
      <w:r w:rsidRPr="00C64DCA">
        <w:rPr>
          <w:rFonts w:eastAsiaTheme="majorEastAsia"/>
        </w:rPr>
        <w:t xml:space="preserve">In this </w:t>
      </w:r>
      <w:r w:rsidR="00836E1C" w:rsidRPr="00C64DCA">
        <w:rPr>
          <w:rFonts w:eastAsiaTheme="majorEastAsia"/>
        </w:rPr>
        <w:t>large US cohort of patients with axSpA</w:t>
      </w:r>
      <w:r w:rsidRPr="00C64DCA">
        <w:rPr>
          <w:rFonts w:eastAsiaTheme="majorEastAsia"/>
        </w:rPr>
        <w:t>,</w:t>
      </w:r>
      <w:r w:rsidR="00066A41" w:rsidRPr="00C64DCA">
        <w:rPr>
          <w:rFonts w:eastAsiaTheme="majorEastAsia"/>
        </w:rPr>
        <w:t xml:space="preserve"> previously reported differences in characteristics between AS and nr-axSpA were confirmed: AS patients were more </w:t>
      </w:r>
      <w:r w:rsidR="00222C01" w:rsidRPr="00C64DCA">
        <w:rPr>
          <w:rFonts w:eastAsiaTheme="majorEastAsia"/>
        </w:rPr>
        <w:t>frequently</w:t>
      </w:r>
      <w:r w:rsidR="00066A41" w:rsidRPr="00C64DCA">
        <w:rPr>
          <w:rFonts w:eastAsiaTheme="majorEastAsia"/>
        </w:rPr>
        <w:t xml:space="preserve"> male and had higher</w:t>
      </w:r>
      <w:r w:rsidR="00F8144E" w:rsidRPr="00C64DCA">
        <w:rPr>
          <w:rFonts w:eastAsiaTheme="majorEastAsia"/>
        </w:rPr>
        <w:t xml:space="preserve"> levels of inflammatory</w:t>
      </w:r>
      <w:r w:rsidR="00066A41" w:rsidRPr="00C64DCA">
        <w:rPr>
          <w:rFonts w:eastAsiaTheme="majorEastAsia"/>
        </w:rPr>
        <w:t xml:space="preserve"> markers. </w:t>
      </w:r>
      <w:r w:rsidR="00591317" w:rsidRPr="00C64DCA">
        <w:rPr>
          <w:rFonts w:eastAsiaTheme="majorEastAsia"/>
        </w:rPr>
        <w:t>D</w:t>
      </w:r>
      <w:r w:rsidR="00066A41" w:rsidRPr="00C64DCA">
        <w:rPr>
          <w:rFonts w:eastAsiaTheme="majorEastAsia"/>
        </w:rPr>
        <w:t xml:space="preserve">espite their younger age, </w:t>
      </w:r>
      <w:r w:rsidR="00CE09CC" w:rsidRPr="00C64DCA">
        <w:rPr>
          <w:rFonts w:eastAsiaTheme="majorEastAsia"/>
        </w:rPr>
        <w:t>nr-axSpA patients had</w:t>
      </w:r>
      <w:r w:rsidR="00F8144E" w:rsidRPr="00C64DCA">
        <w:rPr>
          <w:rFonts w:eastAsiaTheme="majorEastAsia"/>
        </w:rPr>
        <w:t xml:space="preserve"> </w:t>
      </w:r>
      <w:r w:rsidR="00066A41" w:rsidRPr="00C64DCA">
        <w:rPr>
          <w:rFonts w:eastAsiaTheme="majorEastAsia"/>
        </w:rPr>
        <w:t>similar comorbidity burden</w:t>
      </w:r>
      <w:r w:rsidR="00CE09CC" w:rsidRPr="00C64DCA">
        <w:rPr>
          <w:rFonts w:eastAsiaTheme="majorEastAsia"/>
        </w:rPr>
        <w:t>s</w:t>
      </w:r>
      <w:r w:rsidR="00066A41" w:rsidRPr="00C64DCA">
        <w:rPr>
          <w:rFonts w:eastAsiaTheme="majorEastAsia"/>
        </w:rPr>
        <w:t xml:space="preserve"> as those with AS.</w:t>
      </w:r>
      <w:r w:rsidR="00BB5C47" w:rsidRPr="00C64DCA">
        <w:rPr>
          <w:rFonts w:eastAsiaTheme="majorEastAsia"/>
        </w:rPr>
        <w:t xml:space="preserve"> We also found that</w:t>
      </w:r>
      <w:r w:rsidR="002A4584" w:rsidRPr="00C64DCA">
        <w:rPr>
          <w:rFonts w:eastAsiaTheme="majorEastAsia"/>
        </w:rPr>
        <w:t xml:space="preserve"> AS and nr-axSpA patients received </w:t>
      </w:r>
      <w:r w:rsidR="00091483" w:rsidRPr="00C64DCA">
        <w:rPr>
          <w:rFonts w:eastAsiaTheme="majorEastAsia"/>
        </w:rPr>
        <w:t>comparable</w:t>
      </w:r>
      <w:r w:rsidR="002A4584" w:rsidRPr="00C64DCA">
        <w:rPr>
          <w:rFonts w:eastAsiaTheme="majorEastAsia"/>
        </w:rPr>
        <w:t xml:space="preserve"> treatment </w:t>
      </w:r>
      <w:r w:rsidR="00A44400" w:rsidRPr="00C64DCA">
        <w:rPr>
          <w:rFonts w:eastAsiaTheme="majorEastAsia"/>
        </w:rPr>
        <w:t>using</w:t>
      </w:r>
      <w:r w:rsidR="002A4584" w:rsidRPr="00C64DCA">
        <w:rPr>
          <w:rFonts w:eastAsiaTheme="majorEastAsia"/>
        </w:rPr>
        <w:t xml:space="preserve"> b</w:t>
      </w:r>
      <w:r w:rsidR="00BB5C47" w:rsidRPr="00C64DCA">
        <w:rPr>
          <w:rFonts w:eastAsiaTheme="majorEastAsia"/>
        </w:rPr>
        <w:t>DMARDs</w:t>
      </w:r>
      <w:r w:rsidR="00E161EC" w:rsidRPr="00C64DCA">
        <w:rPr>
          <w:rFonts w:eastAsiaTheme="majorEastAsia"/>
        </w:rPr>
        <w:t>, and that bDMARD-use was not associated with comorbidities.</w:t>
      </w:r>
    </w:p>
    <w:p w14:paraId="73134FC5" w14:textId="5AF83DF4" w:rsidR="00E73B4D" w:rsidRPr="00C64DCA" w:rsidRDefault="00893063" w:rsidP="00421F64">
      <w:pPr>
        <w:spacing w:line="480" w:lineRule="auto"/>
        <w:rPr>
          <w:rFonts w:eastAsiaTheme="majorEastAsia"/>
        </w:rPr>
      </w:pPr>
      <w:r w:rsidRPr="00C64DCA">
        <w:rPr>
          <w:rFonts w:eastAsiaTheme="majorEastAsia"/>
        </w:rPr>
        <w:t xml:space="preserve">This study contributes one of the </w:t>
      </w:r>
      <w:r w:rsidR="006F3553" w:rsidRPr="00C64DCA">
        <w:rPr>
          <w:rFonts w:eastAsiaTheme="majorEastAsia"/>
        </w:rPr>
        <w:t>most detailed descriptions of comorbidities in axSpA</w:t>
      </w:r>
      <w:r w:rsidRPr="00C64DCA">
        <w:rPr>
          <w:rFonts w:eastAsiaTheme="majorEastAsia"/>
        </w:rPr>
        <w:t>.</w:t>
      </w:r>
      <w:r w:rsidR="006D2784" w:rsidRPr="00C64DCA">
        <w:rPr>
          <w:rFonts w:eastAsiaTheme="majorEastAsia"/>
        </w:rPr>
        <w:t xml:space="preserve"> </w:t>
      </w:r>
      <w:r w:rsidR="008743AD" w:rsidRPr="00C64DCA">
        <w:rPr>
          <w:rFonts w:eastAsiaTheme="majorEastAsia"/>
        </w:rPr>
        <w:t xml:space="preserve">The </w:t>
      </w:r>
      <w:r w:rsidR="00E73B4D" w:rsidRPr="00C64DCA">
        <w:rPr>
          <w:rFonts w:eastAsiaTheme="majorEastAsia"/>
        </w:rPr>
        <w:t>high comorbidity burden</w:t>
      </w:r>
      <w:r w:rsidR="008743AD" w:rsidRPr="00C64DCA">
        <w:rPr>
          <w:rFonts w:eastAsiaTheme="majorEastAsia"/>
        </w:rPr>
        <w:t xml:space="preserve">, </w:t>
      </w:r>
      <w:r w:rsidR="00E73B4D" w:rsidRPr="00C64DCA">
        <w:rPr>
          <w:rFonts w:eastAsiaTheme="majorEastAsia"/>
        </w:rPr>
        <w:t xml:space="preserve">even </w:t>
      </w:r>
      <w:r w:rsidR="008743AD" w:rsidRPr="00C64DCA">
        <w:rPr>
          <w:rFonts w:eastAsiaTheme="majorEastAsia"/>
        </w:rPr>
        <w:t>among</w:t>
      </w:r>
      <w:r w:rsidR="00E73B4D" w:rsidRPr="00C64DCA">
        <w:rPr>
          <w:rFonts w:eastAsiaTheme="majorEastAsia"/>
        </w:rPr>
        <w:t xml:space="preserve"> younger nr-axSpA </w:t>
      </w:r>
      <w:r w:rsidR="008743AD" w:rsidRPr="00C64DCA">
        <w:rPr>
          <w:rFonts w:eastAsiaTheme="majorEastAsia"/>
        </w:rPr>
        <w:t>patients,</w:t>
      </w:r>
      <w:r w:rsidRPr="00C64DCA">
        <w:rPr>
          <w:rFonts w:eastAsiaTheme="majorEastAsia"/>
        </w:rPr>
        <w:t xml:space="preserve"> highlight</w:t>
      </w:r>
      <w:r w:rsidR="00A44400" w:rsidRPr="00C64DCA">
        <w:rPr>
          <w:rFonts w:eastAsiaTheme="majorEastAsia"/>
        </w:rPr>
        <w:t>s</w:t>
      </w:r>
      <w:r w:rsidRPr="00C64DCA">
        <w:rPr>
          <w:rFonts w:eastAsiaTheme="majorEastAsia"/>
        </w:rPr>
        <w:t xml:space="preserve"> the importance of identifying and managing </w:t>
      </w:r>
      <w:r w:rsidR="008743AD" w:rsidRPr="00C64DCA">
        <w:rPr>
          <w:rFonts w:eastAsiaTheme="majorEastAsia"/>
        </w:rPr>
        <w:t>co-existing conditions</w:t>
      </w:r>
      <w:r w:rsidRPr="00C64DCA">
        <w:rPr>
          <w:rFonts w:eastAsiaTheme="majorEastAsia"/>
        </w:rPr>
        <w:t xml:space="preserve"> in </w:t>
      </w:r>
      <w:r w:rsidR="008743AD" w:rsidRPr="00C64DCA">
        <w:rPr>
          <w:rFonts w:eastAsiaTheme="majorEastAsia"/>
        </w:rPr>
        <w:t>these</w:t>
      </w:r>
      <w:r w:rsidRPr="00C64DCA">
        <w:rPr>
          <w:rFonts w:eastAsiaTheme="majorEastAsia"/>
        </w:rPr>
        <w:t xml:space="preserve"> patients. We found n</w:t>
      </w:r>
      <w:r w:rsidR="00E73B4D" w:rsidRPr="00C64DCA">
        <w:rPr>
          <w:rFonts w:eastAsiaTheme="majorEastAsia"/>
        </w:rPr>
        <w:t xml:space="preserve">o significant differences </w:t>
      </w:r>
      <w:r w:rsidR="008743AD" w:rsidRPr="00C64DCA">
        <w:rPr>
          <w:rFonts w:eastAsiaTheme="majorEastAsia"/>
        </w:rPr>
        <w:t>in prevalence</w:t>
      </w:r>
      <w:r w:rsidR="000A1FEE" w:rsidRPr="00C64DCA">
        <w:rPr>
          <w:rFonts w:eastAsiaTheme="majorEastAsia"/>
        </w:rPr>
        <w:t xml:space="preserve"> of individual morbidities</w:t>
      </w:r>
      <w:r w:rsidR="008743AD" w:rsidRPr="00C64DCA">
        <w:rPr>
          <w:rFonts w:eastAsiaTheme="majorEastAsia"/>
        </w:rPr>
        <w:t xml:space="preserve"> </w:t>
      </w:r>
      <w:r w:rsidR="00517B38" w:rsidRPr="00C64DCA">
        <w:rPr>
          <w:rFonts w:eastAsiaTheme="majorEastAsia"/>
        </w:rPr>
        <w:t xml:space="preserve">between </w:t>
      </w:r>
      <w:r w:rsidR="008743AD" w:rsidRPr="00C64DCA">
        <w:rPr>
          <w:rFonts w:eastAsiaTheme="majorEastAsia"/>
        </w:rPr>
        <w:t xml:space="preserve">the two groups </w:t>
      </w:r>
      <w:r w:rsidR="00E73B4D" w:rsidRPr="00C64DCA">
        <w:rPr>
          <w:rFonts w:eastAsiaTheme="majorEastAsia"/>
        </w:rPr>
        <w:t>except CKD</w:t>
      </w:r>
      <w:r w:rsidR="00922C36" w:rsidRPr="00C64DCA">
        <w:rPr>
          <w:rFonts w:eastAsiaTheme="majorEastAsia"/>
        </w:rPr>
        <w:t xml:space="preserve"> wh</w:t>
      </w:r>
      <w:r w:rsidR="00635203" w:rsidRPr="00C64DCA">
        <w:rPr>
          <w:rFonts w:eastAsiaTheme="majorEastAsia"/>
        </w:rPr>
        <w:t>ich was present in 3% of AS but none of nr-axSpA patients</w:t>
      </w:r>
      <w:r w:rsidR="00E37F1D" w:rsidRPr="00C64DCA">
        <w:rPr>
          <w:rFonts w:eastAsiaTheme="majorEastAsia"/>
        </w:rPr>
        <w:t>. T</w:t>
      </w:r>
      <w:r w:rsidR="008743AD" w:rsidRPr="00C64DCA">
        <w:rPr>
          <w:rFonts w:eastAsiaTheme="majorEastAsia"/>
        </w:rPr>
        <w:t xml:space="preserve">his </w:t>
      </w:r>
      <w:r w:rsidR="00E37F1D" w:rsidRPr="00C64DCA">
        <w:rPr>
          <w:rFonts w:eastAsiaTheme="majorEastAsia"/>
        </w:rPr>
        <w:t>may be</w:t>
      </w:r>
      <w:r w:rsidR="00D23E02" w:rsidRPr="00C64DCA">
        <w:rPr>
          <w:rFonts w:eastAsiaTheme="majorEastAsia"/>
        </w:rPr>
        <w:t xml:space="preserve"> </w:t>
      </w:r>
      <w:r w:rsidR="00EB685E" w:rsidRPr="00C64DCA">
        <w:rPr>
          <w:rFonts w:eastAsiaTheme="majorEastAsia"/>
        </w:rPr>
        <w:t xml:space="preserve">related to </w:t>
      </w:r>
      <w:r w:rsidR="00A44400" w:rsidRPr="00C64DCA">
        <w:rPr>
          <w:rFonts w:eastAsiaTheme="majorEastAsia"/>
        </w:rPr>
        <w:t xml:space="preserve">the </w:t>
      </w:r>
      <w:r w:rsidR="00EB685E" w:rsidRPr="00C64DCA">
        <w:rPr>
          <w:rFonts w:eastAsiaTheme="majorEastAsia"/>
        </w:rPr>
        <w:t xml:space="preserve">age difference </w:t>
      </w:r>
      <w:r w:rsidR="00E37F1D" w:rsidRPr="00C64DCA">
        <w:rPr>
          <w:rFonts w:eastAsiaTheme="majorEastAsia"/>
        </w:rPr>
        <w:t xml:space="preserve">or longer use of NSAIDs, </w:t>
      </w:r>
      <w:r w:rsidR="00EB685E" w:rsidRPr="00C64DCA">
        <w:rPr>
          <w:rFonts w:eastAsiaTheme="majorEastAsia"/>
        </w:rPr>
        <w:t xml:space="preserve">but </w:t>
      </w:r>
      <w:r w:rsidR="008743AD" w:rsidRPr="00C64DCA">
        <w:rPr>
          <w:rFonts w:eastAsiaTheme="majorEastAsia"/>
        </w:rPr>
        <w:t>should not be over</w:t>
      </w:r>
      <w:r w:rsidR="00F8144E" w:rsidRPr="00C64DCA">
        <w:rPr>
          <w:rFonts w:eastAsiaTheme="majorEastAsia"/>
        </w:rPr>
        <w:t>-</w:t>
      </w:r>
      <w:r w:rsidR="008743AD" w:rsidRPr="00C64DCA">
        <w:rPr>
          <w:rFonts w:eastAsiaTheme="majorEastAsia"/>
        </w:rPr>
        <w:t xml:space="preserve">interpreted </w:t>
      </w:r>
      <w:r w:rsidR="00154EAB" w:rsidRPr="00C64DCA">
        <w:rPr>
          <w:rFonts w:eastAsiaTheme="majorEastAsia"/>
        </w:rPr>
        <w:t xml:space="preserve">in the </w:t>
      </w:r>
      <w:r w:rsidR="00740A6D" w:rsidRPr="00C64DCA">
        <w:rPr>
          <w:rFonts w:eastAsiaTheme="majorEastAsia"/>
        </w:rPr>
        <w:t>context</w:t>
      </w:r>
      <w:r w:rsidR="00154EAB" w:rsidRPr="00C64DCA">
        <w:rPr>
          <w:rFonts w:eastAsiaTheme="majorEastAsia"/>
        </w:rPr>
        <w:t xml:space="preserve"> of</w:t>
      </w:r>
      <w:r w:rsidR="00E73B4D" w:rsidRPr="00C64DCA">
        <w:rPr>
          <w:rFonts w:eastAsiaTheme="majorEastAsia"/>
        </w:rPr>
        <w:t xml:space="preserve"> multiple </w:t>
      </w:r>
      <w:r w:rsidR="00EB685E" w:rsidRPr="00C64DCA">
        <w:rPr>
          <w:rFonts w:eastAsiaTheme="majorEastAsia"/>
        </w:rPr>
        <w:t>comparisons</w:t>
      </w:r>
      <w:r w:rsidR="00E73B4D" w:rsidRPr="00C64DCA">
        <w:rPr>
          <w:rFonts w:eastAsiaTheme="majorEastAsia"/>
        </w:rPr>
        <w:t>.</w:t>
      </w:r>
    </w:p>
    <w:p w14:paraId="5D8E7886" w14:textId="721F6AD6" w:rsidR="00893063" w:rsidRPr="00C64DCA" w:rsidRDefault="00E73B4D" w:rsidP="00421F64">
      <w:pPr>
        <w:spacing w:line="480" w:lineRule="auto"/>
        <w:rPr>
          <w:rFonts w:eastAsiaTheme="majorEastAsia"/>
        </w:rPr>
      </w:pPr>
      <w:r w:rsidRPr="00C64DCA">
        <w:rPr>
          <w:rFonts w:eastAsiaTheme="majorEastAsia"/>
        </w:rPr>
        <w:t>The</w:t>
      </w:r>
      <w:r w:rsidR="00154EAB" w:rsidRPr="00C64DCA">
        <w:rPr>
          <w:rFonts w:eastAsiaTheme="majorEastAsia"/>
        </w:rPr>
        <w:t xml:space="preserve"> mean</w:t>
      </w:r>
      <w:r w:rsidR="00D23E02" w:rsidRPr="00C64DCA">
        <w:rPr>
          <w:rFonts w:eastAsiaTheme="majorEastAsia"/>
        </w:rPr>
        <w:t xml:space="preserve"> </w:t>
      </w:r>
      <w:r w:rsidRPr="00C64DCA">
        <w:rPr>
          <w:rFonts w:eastAsiaTheme="majorEastAsia"/>
        </w:rPr>
        <w:t xml:space="preserve">number of comorbidities </w:t>
      </w:r>
      <w:r w:rsidR="00D50957" w:rsidRPr="00C64DCA">
        <w:rPr>
          <w:rFonts w:eastAsiaTheme="majorEastAsia"/>
        </w:rPr>
        <w:t xml:space="preserve">in </w:t>
      </w:r>
      <w:r w:rsidR="006F3553" w:rsidRPr="00C64DCA">
        <w:rPr>
          <w:rFonts w:eastAsiaTheme="majorEastAsia"/>
        </w:rPr>
        <w:t>our axSpA</w:t>
      </w:r>
      <w:r w:rsidR="00D50957" w:rsidRPr="00C64DCA">
        <w:rPr>
          <w:rFonts w:eastAsiaTheme="majorEastAsia"/>
        </w:rPr>
        <w:t xml:space="preserve"> cohort was</w:t>
      </w:r>
      <w:r w:rsidRPr="00C64DCA">
        <w:rPr>
          <w:rFonts w:eastAsiaTheme="majorEastAsia"/>
        </w:rPr>
        <w:t xml:space="preserve"> similar to </w:t>
      </w:r>
      <w:r w:rsidR="00D23E02" w:rsidRPr="00C64DCA">
        <w:rPr>
          <w:rFonts w:eastAsiaTheme="majorEastAsia"/>
        </w:rPr>
        <w:t xml:space="preserve">the </w:t>
      </w:r>
      <w:r w:rsidRPr="00C64DCA">
        <w:rPr>
          <w:rFonts w:eastAsiaTheme="majorEastAsia"/>
        </w:rPr>
        <w:t xml:space="preserve">1.6 </w:t>
      </w:r>
      <w:r w:rsidR="00D23E02" w:rsidRPr="00C64DCA">
        <w:rPr>
          <w:rFonts w:eastAsiaTheme="majorEastAsia"/>
        </w:rPr>
        <w:t xml:space="preserve">conditions </w:t>
      </w:r>
      <w:r w:rsidR="00893063" w:rsidRPr="00C64DCA">
        <w:rPr>
          <w:rFonts w:eastAsiaTheme="majorEastAsia"/>
        </w:rPr>
        <w:t xml:space="preserve">reported </w:t>
      </w:r>
      <w:r w:rsidRPr="00C64DCA">
        <w:rPr>
          <w:rFonts w:eastAsiaTheme="majorEastAsia"/>
        </w:rPr>
        <w:t>among</w:t>
      </w:r>
      <w:r w:rsidR="00D23E02" w:rsidRPr="00C64DCA">
        <w:rPr>
          <w:rFonts w:eastAsiaTheme="majorEastAsia"/>
        </w:rPr>
        <w:t xml:space="preserve"> rheumatoid arthritis patients</w:t>
      </w:r>
      <w:r w:rsidR="000A1FEE" w:rsidRPr="00C64DCA">
        <w:rPr>
          <w:rFonts w:eastAsiaTheme="majorEastAsia"/>
        </w:rPr>
        <w:t>,</w:t>
      </w:r>
      <w:r w:rsidR="00893063" w:rsidRPr="00C64DCA">
        <w:rPr>
          <w:rFonts w:eastAsiaTheme="majorEastAsia"/>
        </w:rPr>
        <w:t xml:space="preserve"> </w:t>
      </w:r>
      <w:r w:rsidRPr="00C64DCA">
        <w:rPr>
          <w:rFonts w:eastAsiaTheme="majorEastAsia"/>
        </w:rPr>
        <w:t>using the same index</w:t>
      </w:r>
      <w:r w:rsidR="006D2784" w:rsidRPr="00C64DCA">
        <w:rPr>
          <w:rFonts w:eastAsiaTheme="majorEastAsia"/>
        </w:rPr>
        <w:t xml:space="preserve"> in the Brigham and Women’s Hospital </w:t>
      </w:r>
      <w:r w:rsidR="00E37F1D" w:rsidRPr="00C64DCA">
        <w:rPr>
          <w:rFonts w:eastAsiaTheme="majorEastAsia"/>
        </w:rPr>
        <w:t xml:space="preserve">Rheumatoid Arthritis </w:t>
      </w:r>
      <w:r w:rsidR="006D2784" w:rsidRPr="00C64DCA">
        <w:rPr>
          <w:rFonts w:eastAsiaTheme="majorEastAsia"/>
        </w:rPr>
        <w:t>Sequential Study (BRASS) cohort</w:t>
      </w:r>
      <w:r w:rsidRPr="00C64DCA">
        <w:rPr>
          <w:rFonts w:eastAsiaTheme="majorEastAsia"/>
        </w:rPr>
        <w:t xml:space="preserve"> </w:t>
      </w:r>
      <w:r w:rsidRPr="00C64DCA">
        <w:rPr>
          <w:rFonts w:eastAsiaTheme="majorEastAsia"/>
        </w:rPr>
        <w:fldChar w:fldCharType="begin"/>
      </w:r>
      <w:r w:rsidR="00062B8B" w:rsidRPr="00C64DCA">
        <w:rPr>
          <w:rFonts w:eastAsiaTheme="majorEastAsia"/>
        </w:rPr>
        <w:instrText xml:space="preserve"> ADDIN ZOTERO_ITEM CSL_CITATION {"citationID":"2BPhTXpI","properties":{"formattedCitation":"[13]","plainCitation":"[13]","noteIndex":0},"citationItems":[{"id":99,"uris":["http://zotero.org/users/5219623/items/VNFS4V5B"],"uri":["http://zotero.org/users/5219623/items/VNFS4V5B"],"itemData":{"id":99,"type":"article-journal","title":"Development of a multimorbidity index: Impact on quality of life using a rheumatoid arthritis cohort","container-title":"Seminars in Arthritis and Rheumatism","page":"167-173","volume":"45","issue":"2","source":"Crossref","abstract":"Objective: To develop a multimorbidity index (MMI) based on health-related quality of life (HRQol).\nMethods: The index was developed in an observational RA cohort. In all, 40 morbidities recommended as core were identiﬁed using ICD-9 codes. MMIs of two types were calculated: one by enumerating morbidities (MMI.count) and the other by weighting morbidities based on their association with HRQol as assessed by EQ-5D in multiple linear regression analysis (using β-coefﬁcients; MMI.weight). MMIs were compared to the Charlson comorbidity index (CCI) and externally validated in an international RA cohort (COMORA Study).\nResults: In all, 544 out of 876 patients were multimorbid. MMI.count was in the range 1–16 (median ¼ 2) and MMI.weight in the range 0–38 (median ¼ 1). Both indices were more strongly associated with EQ-5D than CCI (Spearman: MMI.count ¼ À 0.20, MMI.weight ¼ À 0.26, and CCI ¼ À 0.10; p o 0.01). R2 obtained by linear regression using EQ-5D as a dependent variable and various indices as independent variables, adjusted for age and gender, was the highest for MMI (R2: MMI.count ¼ 0.05, MMI.weight ¼ 0.11, and CCI ¼ 0.02). When accounting for clinical disease activity index (CDAI) R2 increased: MMI.count ¼ 0.18, MMI.weight ¼ 0.22, and CCI ¼ 0.17, still showing higher values of MMI compared with CCI. External validation in different RA cohorts (COMORA, n ¼ 3864) showed good performance of both indices (linear regression including age, gender, and disease activity R2 ¼ 0.30 for both MMIs).\nConclusion: In our cohort, MMI based on EQ-5D performed better than did CCI. Findings were reproducible in another large RA cohort. Not much improvement was gained by weighting; therefore a simple counted index could be useful to control for the effect of multimorbidity on patient’s overall well-being.","DOI":"10.1016/j.semarthrit.2015.06.010","ISSN":"00490172","shortTitle":"Development of a multimorbidity index","language":"en","author":[{"family":"Radner","given":"Helga"},{"family":"Yoshida","given":"Kazuki"},{"family":"Mjaavatten","given":"Maria Dahl"},{"family":"Aletaha","given":"Daniel"},{"family":"Frits","given":"Michelle"},{"family":"Lu","given":"Bing"},{"family":"Iannaccone","given":"Christine"},{"family":"Shadick","given":"Nancy"},{"family":"Weinblatt","given":"Michael"},{"family":"Hmamouchi","given":"Ihsane"},{"family":"Dougados","given":"M."},{"family":"Smolen","given":"Josef. S"},{"family":"Solomon","given":"Daniel. H"}],"issued":{"date-parts":[["2015",10]]}}}],"schema":"https://github.com/citation-style-language/schema/raw/master/csl-citation.json"} </w:instrText>
      </w:r>
      <w:r w:rsidRPr="00C64DCA">
        <w:rPr>
          <w:rFonts w:eastAsiaTheme="majorEastAsia"/>
        </w:rPr>
        <w:fldChar w:fldCharType="separate"/>
      </w:r>
      <w:r w:rsidR="00062B8B" w:rsidRPr="00C64DCA">
        <w:rPr>
          <w:rFonts w:ascii="Calibri" w:hAnsi="Calibri"/>
        </w:rPr>
        <w:t>[13]</w:t>
      </w:r>
      <w:r w:rsidRPr="00C64DCA">
        <w:rPr>
          <w:rFonts w:eastAsiaTheme="majorEastAsia"/>
        </w:rPr>
        <w:fldChar w:fldCharType="end"/>
      </w:r>
      <w:r w:rsidRPr="00C64DCA">
        <w:rPr>
          <w:rFonts w:eastAsiaTheme="majorEastAsia"/>
        </w:rPr>
        <w:t xml:space="preserve">. </w:t>
      </w:r>
      <w:r w:rsidR="006D2784" w:rsidRPr="00C64DCA">
        <w:rPr>
          <w:rFonts w:eastAsiaTheme="majorEastAsia"/>
        </w:rPr>
        <w:t>The BRASS cohort was older (mean age 58 years) than this axSpA group (</w:t>
      </w:r>
      <w:r w:rsidR="00F8144E" w:rsidRPr="00C64DCA">
        <w:rPr>
          <w:rFonts w:eastAsiaTheme="majorEastAsia"/>
        </w:rPr>
        <w:t xml:space="preserve">mean age </w:t>
      </w:r>
      <w:r w:rsidR="006D2784" w:rsidRPr="00C64DCA">
        <w:rPr>
          <w:rFonts w:eastAsiaTheme="majorEastAsia"/>
        </w:rPr>
        <w:t xml:space="preserve">53 years). </w:t>
      </w:r>
      <w:r w:rsidR="000A1FEE" w:rsidRPr="00C64DCA">
        <w:rPr>
          <w:rFonts w:eastAsiaTheme="majorEastAsia"/>
        </w:rPr>
        <w:t>Notably,</w:t>
      </w:r>
      <w:r w:rsidRPr="00C64DCA">
        <w:rPr>
          <w:rFonts w:eastAsiaTheme="majorEastAsia"/>
        </w:rPr>
        <w:t xml:space="preserve"> axSpA </w:t>
      </w:r>
      <w:r w:rsidR="0019632F" w:rsidRPr="00C64DCA">
        <w:rPr>
          <w:rFonts w:eastAsiaTheme="majorEastAsia"/>
        </w:rPr>
        <w:t>subjects</w:t>
      </w:r>
      <w:r w:rsidRPr="00C64DCA">
        <w:rPr>
          <w:rFonts w:eastAsiaTheme="majorEastAsia"/>
        </w:rPr>
        <w:t xml:space="preserve"> had </w:t>
      </w:r>
      <w:r w:rsidR="00E37F1D" w:rsidRPr="00C64DCA">
        <w:rPr>
          <w:rFonts w:eastAsiaTheme="majorEastAsia"/>
        </w:rPr>
        <w:t xml:space="preserve">a </w:t>
      </w:r>
      <w:r w:rsidRPr="00C64DCA">
        <w:rPr>
          <w:rFonts w:eastAsiaTheme="majorEastAsia"/>
        </w:rPr>
        <w:t>higher prevalence of anxiety (11% vs 4%)</w:t>
      </w:r>
      <w:r w:rsidR="006F3553" w:rsidRPr="00C64DCA">
        <w:rPr>
          <w:rFonts w:eastAsiaTheme="majorEastAsia"/>
        </w:rPr>
        <w:t xml:space="preserve">; this adds to an increasing body of literature highlighting the </w:t>
      </w:r>
      <w:r w:rsidR="006D2784" w:rsidRPr="00C64DCA">
        <w:rPr>
          <w:rFonts w:eastAsiaTheme="majorEastAsia"/>
        </w:rPr>
        <w:t>importance</w:t>
      </w:r>
      <w:r w:rsidR="006F3553" w:rsidRPr="00C64DCA">
        <w:rPr>
          <w:rFonts w:eastAsiaTheme="majorEastAsia"/>
        </w:rPr>
        <w:t xml:space="preserve"> of mental health in these patients</w:t>
      </w:r>
      <w:r w:rsidR="007B7435" w:rsidRPr="00C64DCA">
        <w:rPr>
          <w:rFonts w:eastAsiaTheme="majorEastAsia"/>
        </w:rPr>
        <w:t xml:space="preserve"> </w:t>
      </w:r>
      <w:r w:rsidR="007B7435" w:rsidRPr="00C64DCA">
        <w:rPr>
          <w:rFonts w:eastAsiaTheme="majorEastAsia"/>
        </w:rPr>
        <w:fldChar w:fldCharType="begin"/>
      </w:r>
      <w:r w:rsidR="00B97C9C" w:rsidRPr="00C64DCA">
        <w:rPr>
          <w:rFonts w:eastAsiaTheme="majorEastAsia"/>
        </w:rPr>
        <w:instrText xml:space="preserve"> ADDIN ZOTERO_ITEM CSL_CITATION {"citationID":"uPov3gLu","properties":{"formattedCitation":"[15]","plainCitation":"[15]","noteIndex":0},"citationItems":[{"id":246,"uris":["http://zotero.org/users/5219623/items/R7KNW8Z4"],"uri":["http://zotero.org/users/5219623/items/R7KNW8Z4"],"itemData":{"id":246,"type":"article-journal","title":"The prevalence of depression in axial spondyloarthritis and its association with disease activity: a systematic review and meta-analysis","container-title":"Arthritis Research &amp; Therapy","volume":"20","issue":"1","source":"Crossref","abstract":"Background: Depression is common among patients with axial spondyloarthritis (axSpA), but reports of its prevalence are highly variable. We performed a systematic review to (i) describe the prevalence of depression in axSpA, (ii) compare its prevalence between axSpA, ankylosing spondylitis (AS) and non-radiographic axSpA (nr-axSpA) cohorts, and (iii) compare disease activity and functional impairment between those with and without depression.\nMethods: We searched Medline, PubMed, Web of Science, PsycINFO, CINAHL Plus, the Cochrane library and conference abstracts of the European League Against Rheumatism, British Society for Rheumatology and American College of Rheumatology using a predefined protocol in accordance with Preferred Reporting Items for Systematic reviews and Meta-Analyses (PRISMA) guidelines. Meta-analysis was performed using quality-effects model.\nResults: Fifteen original articles and one abstract were included for analysis; 14 studies described AS cohorts and two nraxSpA. Three screening criteria and one diagnostic criterion were used to define depression. Prevalence ranged from 11 to 64% depending on criteria and thresholds used. Pooled prevalence of at least moderate </w:instrText>
      </w:r>
      <w:r w:rsidR="00B97C9C" w:rsidRPr="00C64DCA">
        <w:rPr>
          <w:rFonts w:eastAsiaTheme="majorEastAsia" w:hint="eastAsia"/>
        </w:rPr>
        <w:instrText xml:space="preserve">depression was 15% using the Hospital Anxiety and Depression Scale (HADS) threshold of </w:instrText>
      </w:r>
      <w:r w:rsidR="00B97C9C" w:rsidRPr="00C64DCA">
        <w:rPr>
          <w:rFonts w:eastAsiaTheme="majorEastAsia" w:hint="eastAsia"/>
        </w:rPr>
        <w:instrText>≥</w:instrText>
      </w:r>
      <w:r w:rsidR="00B97C9C" w:rsidRPr="00C64DCA">
        <w:rPr>
          <w:rFonts w:eastAsiaTheme="majorEastAsia" w:hint="eastAsia"/>
        </w:rPr>
        <w:instrText xml:space="preserve"> 11. The prevalence of depression was similar between axSpA, AS and nr-axSpA cohorts. Patients with depression had significantly worse disease activity, including high</w:instrText>
      </w:r>
      <w:r w:rsidR="00B97C9C" w:rsidRPr="00C64DCA">
        <w:rPr>
          <w:rFonts w:eastAsiaTheme="majorEastAsia"/>
        </w:rPr>
        <w:instrText xml:space="preserve">er BASDAI by 1.4 units (95% CI 1.0 to 1.9), ASDAS by 0.5 units (95% CI 0.3 to 0.7) and ESR by 3.5 mm/h (95% CI 0.6 to 6.4). They also had greater functional impairment with higher BASFI and BASMI by 1.2 units (95% CI 0.6 to 1.8) and 0.6 units (95% CI 0.3 to 0.8), respectively. Mean age of each study cohort inversely correlated with depression prevalence.\nConclusions: Depression is common among axSpA patients and is associated with more severe disease activity and functional impairment. Identifying and managing depression should form part of their holistic care. Further longitudinal studies are needed to explore the impact of depression on treatment outcomes and axSpA treatment on symptoms of depression.","DOI":"10.1186/s13075-018-1644-6","ISSN":"1478-6362","shortTitle":"The prevalence of depression in axial spondyloarthritis and its association with disease activity","language":"en","author":[{"family":"Zhao","given":"Sizheng"},{"family":"Thong","given":"Daniel"},{"family":"Miller","given":"Natasha"},{"family":"Duffield","given":"Stephen J."},{"family":"Hughes","given":"David M."},{"family":"Chadwick","given":"Laura"},{"family":"Goodson","given":"Nicola J."}],"issued":{"date-parts":[["2018",12]]}}}],"schema":"https://github.com/citation-style-language/schema/raw/master/csl-citation.json"} </w:instrText>
      </w:r>
      <w:r w:rsidR="007B7435" w:rsidRPr="00C64DCA">
        <w:rPr>
          <w:rFonts w:eastAsiaTheme="majorEastAsia"/>
        </w:rPr>
        <w:fldChar w:fldCharType="separate"/>
      </w:r>
      <w:r w:rsidR="00B97C9C" w:rsidRPr="00C64DCA">
        <w:rPr>
          <w:rFonts w:ascii="Calibri" w:hAnsi="Calibri"/>
        </w:rPr>
        <w:t>[15]</w:t>
      </w:r>
      <w:r w:rsidR="007B7435" w:rsidRPr="00C64DCA">
        <w:rPr>
          <w:rFonts w:eastAsiaTheme="majorEastAsia"/>
        </w:rPr>
        <w:fldChar w:fldCharType="end"/>
      </w:r>
      <w:r w:rsidR="00154EAB" w:rsidRPr="00C64DCA">
        <w:rPr>
          <w:rFonts w:eastAsiaTheme="majorEastAsia"/>
        </w:rPr>
        <w:t>.</w:t>
      </w:r>
      <w:r w:rsidR="00D50957" w:rsidRPr="00C64DCA">
        <w:rPr>
          <w:rFonts w:eastAsiaTheme="majorEastAsia"/>
        </w:rPr>
        <w:t xml:space="preserve"> </w:t>
      </w:r>
      <w:r w:rsidR="00517B38" w:rsidRPr="00C64DCA">
        <w:rPr>
          <w:rFonts w:eastAsiaTheme="majorEastAsia"/>
        </w:rPr>
        <w:t xml:space="preserve">The age of our cohort </w:t>
      </w:r>
      <w:r w:rsidR="00E37F1D" w:rsidRPr="00C64DCA">
        <w:rPr>
          <w:rFonts w:eastAsiaTheme="majorEastAsia"/>
        </w:rPr>
        <w:t>may</w:t>
      </w:r>
      <w:r w:rsidR="00517B38" w:rsidRPr="00C64DCA">
        <w:rPr>
          <w:rFonts w:eastAsiaTheme="majorEastAsia"/>
        </w:rPr>
        <w:t xml:space="preserve"> also explain </w:t>
      </w:r>
      <w:r w:rsidR="006D2784" w:rsidRPr="00C64DCA">
        <w:rPr>
          <w:rFonts w:eastAsiaTheme="majorEastAsia"/>
        </w:rPr>
        <w:t xml:space="preserve">the </w:t>
      </w:r>
      <w:r w:rsidR="00517B38" w:rsidRPr="00C64DCA">
        <w:rPr>
          <w:rFonts w:eastAsiaTheme="majorEastAsia"/>
        </w:rPr>
        <w:t>higher prevalence of uveitis</w:t>
      </w:r>
      <w:r w:rsidR="006D2784" w:rsidRPr="00C64DCA">
        <w:rPr>
          <w:rFonts w:eastAsiaTheme="majorEastAsia"/>
        </w:rPr>
        <w:t xml:space="preserve"> </w:t>
      </w:r>
      <w:r w:rsidR="00F8144E" w:rsidRPr="00C64DCA">
        <w:rPr>
          <w:rFonts w:eastAsiaTheme="majorEastAsia"/>
        </w:rPr>
        <w:t xml:space="preserve">at 26% </w:t>
      </w:r>
      <w:r w:rsidR="006D2784" w:rsidRPr="00C64DCA">
        <w:rPr>
          <w:rFonts w:eastAsiaTheme="majorEastAsia"/>
        </w:rPr>
        <w:t>(</w:t>
      </w:r>
      <w:r w:rsidR="006F3553" w:rsidRPr="00C64DCA">
        <w:rPr>
          <w:rFonts w:eastAsiaTheme="majorEastAsia"/>
        </w:rPr>
        <w:t xml:space="preserve">the risk of which increases with </w:t>
      </w:r>
      <w:r w:rsidR="0046530A" w:rsidRPr="00C64DCA">
        <w:rPr>
          <w:rFonts w:eastAsiaTheme="majorEastAsia"/>
        </w:rPr>
        <w:t>disease duration</w:t>
      </w:r>
      <w:r w:rsidR="006F3553" w:rsidRPr="00C64DCA">
        <w:rPr>
          <w:rFonts w:eastAsiaTheme="majorEastAsia"/>
        </w:rPr>
        <w:t xml:space="preserve"> </w:t>
      </w:r>
      <w:r w:rsidR="006F3553" w:rsidRPr="00C64DCA">
        <w:rPr>
          <w:rFonts w:eastAsiaTheme="majorEastAsia"/>
        </w:rPr>
        <w:fldChar w:fldCharType="begin"/>
      </w:r>
      <w:r w:rsidR="00B97C9C" w:rsidRPr="00C64DCA">
        <w:rPr>
          <w:rFonts w:eastAsiaTheme="majorEastAsia"/>
        </w:rPr>
        <w:instrText xml:space="preserve"> ADDIN ZOTERO_ITEM CSL_CITATION {"citationID":"l4plXC2K","properties":{"formattedCitation":"[16]","plainCitation":"[16]","noteIndex":0},"citationItems":[{"id":36,"uris":["http://zotero.org/users/5219623/items/NLNPEVEM"],"uri":["http://zotero.org/users/5219623/items/NLNPEVEM"],"itemData":{"id":36,"type":"article-journal","title":"Prevalence of extra-articular manifestations in patients with ankylosing spondylitis: a systematic review and meta-analysis","container-title":"Annals of the Rheumatic Diseases","page":"65-73","volume":"74","issue":"1","source":"PubMed","abstract":"OBJECTIVES: Uveitis, psoriasis and inflammatory bowel disease (IBD) are common extra-articular manifestations (EAM) in patients with ankylosing spondylitis (AS); however, summary data of reported prevalence are lacking. The aim of the present study was to summarise the prevalence of EAMs among patients with AS and to identify underlying factors to explain potential heterogeneity of prevalence.\nMETHODS: A systematic literature search was performed (Medline, Embase and Cochrane Library) to identify relevant articles. Risk of bias was assessed and data were extracted. Pooled prevalences were calculated. Potential sources of any observed clinical or methodological heterogeneity in the estimates were explored by subgroup and metaregression analysis.\nRESULTS: In the 156 selected articles, 143 reported the prevalence of uveitis (44 372 patients), 56 of psoriasis (27 626 patients) and 69 of IBD (30 410 patients). Substantial heterogeneity was observed in prevalence estimates among all EAMs (I(2)=84-95%). The pooled prevalence of uveitis was 25.8% (95% CI 24.1% to 27.6%), and was positively associated in multivariable metaregression with disease duration (β 0.05, 95% CI 0.03 to 0.08) and random selection of patients (β -0.24, 95% CI -0.43 to -0.04). The pooled prevalence of psoriasis was 9.3% (95% CI 8.1% to 10.6%). The pooled prevalence of IBD was 6.8% (95% CI 6.1% to 7.7%) and was positively associated with the percentage of women in the studies (β 0.02, 95% CI 0.00 to 0.03). Geographical area was associated in multivariable metaregressions with prevalence of all EAMs.\nCONCLUSIONS: EAMs are common in patients with AS. The large heterogeneity between studies can be partly explained by differences in clinical as well as methodological characteristics.","DOI":"10.1136/annrheumdis-2013-203582","ISSN":"1468-2060","note":"PMID: 23999006","shortTitle":"Prevalence of extra-articular manifestations in patients with ankylosing spondylitis","journalAbbreviation":"Ann. Rheum. Dis.","language":"eng","author":[{"family":"Stolwijk","given":"Carmen"},{"family":"Tubergen","given":"Astrid","non-dropping-particle":"van"},{"family":"Castillo-Ortiz","given":"José Dionisio"},{"family":"Boonen","given":"Annelies"}],"issued":{"date-parts":[["2015",1]]}}}],"schema":"https://github.com/citation-style-language/schema/raw/master/csl-citation.json"} </w:instrText>
      </w:r>
      <w:r w:rsidR="006F3553" w:rsidRPr="00C64DCA">
        <w:rPr>
          <w:rFonts w:eastAsiaTheme="majorEastAsia"/>
        </w:rPr>
        <w:fldChar w:fldCharType="separate"/>
      </w:r>
      <w:r w:rsidR="00B97C9C" w:rsidRPr="00C64DCA">
        <w:rPr>
          <w:rFonts w:ascii="Calibri" w:hAnsi="Calibri"/>
        </w:rPr>
        <w:t>[16]</w:t>
      </w:r>
      <w:r w:rsidR="006F3553" w:rsidRPr="00C64DCA">
        <w:rPr>
          <w:rFonts w:eastAsiaTheme="majorEastAsia"/>
        </w:rPr>
        <w:fldChar w:fldCharType="end"/>
      </w:r>
      <w:r w:rsidR="006D2784" w:rsidRPr="00C64DCA">
        <w:rPr>
          <w:rFonts w:eastAsiaTheme="majorEastAsia"/>
        </w:rPr>
        <w:t>)</w:t>
      </w:r>
      <w:r w:rsidR="006F3553" w:rsidRPr="00C64DCA">
        <w:rPr>
          <w:rFonts w:eastAsiaTheme="majorEastAsia"/>
        </w:rPr>
        <w:t xml:space="preserve"> </w:t>
      </w:r>
      <w:r w:rsidR="00517B38" w:rsidRPr="00C64DCA">
        <w:rPr>
          <w:rFonts w:eastAsiaTheme="majorEastAsia"/>
        </w:rPr>
        <w:t>tha</w:t>
      </w:r>
      <w:r w:rsidR="00154EAB" w:rsidRPr="00C64DCA">
        <w:rPr>
          <w:rFonts w:eastAsiaTheme="majorEastAsia"/>
        </w:rPr>
        <w:t xml:space="preserve">n </w:t>
      </w:r>
      <w:r w:rsidR="00D50957" w:rsidRPr="00C64DCA">
        <w:rPr>
          <w:rFonts w:eastAsiaTheme="majorEastAsia"/>
        </w:rPr>
        <w:t>reported</w:t>
      </w:r>
      <w:r w:rsidR="00154EAB" w:rsidRPr="00C64DCA">
        <w:rPr>
          <w:rFonts w:eastAsiaTheme="majorEastAsia"/>
        </w:rPr>
        <w:t xml:space="preserve"> in</w:t>
      </w:r>
      <w:r w:rsidR="00517B38" w:rsidRPr="00C64DCA">
        <w:rPr>
          <w:rFonts w:eastAsiaTheme="majorEastAsia"/>
        </w:rPr>
        <w:t xml:space="preserve"> </w:t>
      </w:r>
      <w:r w:rsidR="00A44400" w:rsidRPr="00C64DCA">
        <w:rPr>
          <w:rFonts w:eastAsiaTheme="majorEastAsia"/>
        </w:rPr>
        <w:t xml:space="preserve">the </w:t>
      </w:r>
      <w:proofErr w:type="spellStart"/>
      <w:r w:rsidR="00517B38" w:rsidRPr="00C64DCA">
        <w:rPr>
          <w:rFonts w:eastAsiaTheme="majorEastAsia"/>
        </w:rPr>
        <w:t>Corrona</w:t>
      </w:r>
      <w:proofErr w:type="spellEnd"/>
      <w:r w:rsidR="0019632F" w:rsidRPr="00C64DCA">
        <w:rPr>
          <w:rFonts w:eastAsiaTheme="majorEastAsia"/>
        </w:rPr>
        <w:t xml:space="preserve"> </w:t>
      </w:r>
      <w:r w:rsidR="00922C36" w:rsidRPr="00C64DCA">
        <w:rPr>
          <w:rFonts w:eastAsiaTheme="majorEastAsia"/>
        </w:rPr>
        <w:t xml:space="preserve">SpA </w:t>
      </w:r>
      <w:r w:rsidR="00A44400" w:rsidRPr="00C64DCA">
        <w:rPr>
          <w:rFonts w:eastAsiaTheme="majorEastAsia"/>
        </w:rPr>
        <w:t xml:space="preserve">registry </w:t>
      </w:r>
      <w:r w:rsidR="00F8144E" w:rsidRPr="00C64DCA">
        <w:rPr>
          <w:rFonts w:eastAsiaTheme="majorEastAsia"/>
        </w:rPr>
        <w:t xml:space="preserve">at </w:t>
      </w:r>
      <w:r w:rsidR="0019632F" w:rsidRPr="00C64DCA">
        <w:rPr>
          <w:rFonts w:eastAsiaTheme="majorEastAsia"/>
        </w:rPr>
        <w:t>17%</w:t>
      </w:r>
      <w:r w:rsidR="00D50957" w:rsidRPr="00C64DCA">
        <w:rPr>
          <w:rFonts w:eastAsiaTheme="majorEastAsia"/>
        </w:rPr>
        <w:t>.</w:t>
      </w:r>
      <w:r w:rsidR="00517B38" w:rsidRPr="00C64DCA">
        <w:rPr>
          <w:rFonts w:eastAsiaTheme="majorEastAsia"/>
        </w:rPr>
        <w:t xml:space="preserve"> </w:t>
      </w:r>
      <w:r w:rsidR="00D50957" w:rsidRPr="00C64DCA">
        <w:rPr>
          <w:rFonts w:eastAsiaTheme="majorEastAsia"/>
        </w:rPr>
        <w:t xml:space="preserve">We found </w:t>
      </w:r>
      <w:r w:rsidR="00F8144E" w:rsidRPr="00C64DCA">
        <w:rPr>
          <w:rFonts w:eastAsiaTheme="majorEastAsia"/>
        </w:rPr>
        <w:t xml:space="preserve">a </w:t>
      </w:r>
      <w:r w:rsidR="00864A17" w:rsidRPr="00C64DCA">
        <w:rPr>
          <w:rFonts w:eastAsiaTheme="majorEastAsia"/>
        </w:rPr>
        <w:t>much</w:t>
      </w:r>
      <w:r w:rsidR="00D50957" w:rsidRPr="00C64DCA">
        <w:rPr>
          <w:rFonts w:eastAsiaTheme="majorEastAsia"/>
        </w:rPr>
        <w:t xml:space="preserve"> l</w:t>
      </w:r>
      <w:r w:rsidR="00517B38" w:rsidRPr="00C64DCA">
        <w:rPr>
          <w:rFonts w:eastAsiaTheme="majorEastAsia"/>
        </w:rPr>
        <w:t xml:space="preserve">ower </w:t>
      </w:r>
      <w:r w:rsidR="00D50957" w:rsidRPr="00C64DCA">
        <w:rPr>
          <w:rFonts w:eastAsiaTheme="majorEastAsia"/>
        </w:rPr>
        <w:t>prevalence</w:t>
      </w:r>
      <w:r w:rsidR="00517B38" w:rsidRPr="00C64DCA">
        <w:rPr>
          <w:rFonts w:eastAsiaTheme="majorEastAsia"/>
        </w:rPr>
        <w:t xml:space="preserve"> of enthesitis than </w:t>
      </w:r>
      <w:proofErr w:type="spellStart"/>
      <w:r w:rsidR="00517B38" w:rsidRPr="00C64DCA">
        <w:rPr>
          <w:rFonts w:eastAsiaTheme="majorEastAsia"/>
        </w:rPr>
        <w:t>Corrona</w:t>
      </w:r>
      <w:proofErr w:type="spellEnd"/>
      <w:r w:rsidR="00864A17" w:rsidRPr="00C64DCA">
        <w:rPr>
          <w:rFonts w:eastAsiaTheme="majorEastAsia"/>
        </w:rPr>
        <w:t xml:space="preserve"> (4% vs 33%)</w:t>
      </w:r>
      <w:r w:rsidR="00E161EC" w:rsidRPr="00C64DCA">
        <w:rPr>
          <w:rFonts w:eastAsiaTheme="majorEastAsia"/>
        </w:rPr>
        <w:t>, which</w:t>
      </w:r>
      <w:r w:rsidR="00D50957" w:rsidRPr="00C64DCA">
        <w:rPr>
          <w:rFonts w:eastAsiaTheme="majorEastAsia"/>
        </w:rPr>
        <w:t xml:space="preserve"> </w:t>
      </w:r>
      <w:r w:rsidR="00F8144E" w:rsidRPr="00C64DCA">
        <w:rPr>
          <w:rFonts w:eastAsiaTheme="majorEastAsia"/>
        </w:rPr>
        <w:t>likely</w:t>
      </w:r>
      <w:r w:rsidR="00D50957" w:rsidRPr="00C64DCA">
        <w:rPr>
          <w:rFonts w:eastAsiaTheme="majorEastAsia"/>
        </w:rPr>
        <w:t xml:space="preserve"> reflect</w:t>
      </w:r>
      <w:r w:rsidR="00F8144E" w:rsidRPr="00C64DCA">
        <w:rPr>
          <w:rFonts w:eastAsiaTheme="majorEastAsia"/>
        </w:rPr>
        <w:t>s</w:t>
      </w:r>
      <w:r w:rsidR="00D50957" w:rsidRPr="00C64DCA">
        <w:rPr>
          <w:rFonts w:eastAsiaTheme="majorEastAsia"/>
        </w:rPr>
        <w:t xml:space="preserve"> more </w:t>
      </w:r>
      <w:r w:rsidR="00517B38" w:rsidRPr="00C64DCA">
        <w:rPr>
          <w:rFonts w:eastAsiaTheme="majorEastAsia"/>
        </w:rPr>
        <w:t>systematic screening</w:t>
      </w:r>
      <w:r w:rsidR="00F8144E" w:rsidRPr="00C64DCA">
        <w:rPr>
          <w:rFonts w:eastAsiaTheme="majorEastAsia"/>
        </w:rPr>
        <w:t xml:space="preserve"> and reporting</w:t>
      </w:r>
      <w:r w:rsidR="00517B38" w:rsidRPr="00C64DCA">
        <w:rPr>
          <w:rFonts w:eastAsiaTheme="majorEastAsia"/>
        </w:rPr>
        <w:t xml:space="preserve"> </w:t>
      </w:r>
      <w:r w:rsidR="00D50957" w:rsidRPr="00C64DCA">
        <w:rPr>
          <w:rFonts w:eastAsiaTheme="majorEastAsia"/>
        </w:rPr>
        <w:t>in research registries</w:t>
      </w:r>
      <w:r w:rsidR="00032D06" w:rsidRPr="00C64DCA">
        <w:rPr>
          <w:rFonts w:eastAsiaTheme="majorEastAsia"/>
        </w:rPr>
        <w:t xml:space="preserve"> than routine clinical practice</w:t>
      </w:r>
      <w:r w:rsidR="00517B38" w:rsidRPr="00C64DCA">
        <w:rPr>
          <w:rFonts w:eastAsiaTheme="majorEastAsia"/>
        </w:rPr>
        <w:t xml:space="preserve">. </w:t>
      </w:r>
      <w:r w:rsidR="00112DBE" w:rsidRPr="00C64DCA">
        <w:rPr>
          <w:rFonts w:eastAsiaTheme="majorEastAsia"/>
        </w:rPr>
        <w:t>There was no</w:t>
      </w:r>
      <w:r w:rsidR="00127327" w:rsidRPr="00C64DCA">
        <w:rPr>
          <w:rFonts w:eastAsiaTheme="majorEastAsia"/>
        </w:rPr>
        <w:t xml:space="preserve"> difference in the</w:t>
      </w:r>
      <w:r w:rsidR="0019632F" w:rsidRPr="00C64DCA">
        <w:rPr>
          <w:rFonts w:eastAsiaTheme="majorEastAsia"/>
        </w:rPr>
        <w:t xml:space="preserve"> prevalence of</w:t>
      </w:r>
      <w:r w:rsidR="00517B38" w:rsidRPr="00C64DCA">
        <w:rPr>
          <w:rFonts w:eastAsiaTheme="majorEastAsia"/>
        </w:rPr>
        <w:t xml:space="preserve"> enthesitis between AS and nr-axSpA</w:t>
      </w:r>
      <w:r w:rsidR="0019632F" w:rsidRPr="00C64DCA">
        <w:rPr>
          <w:rFonts w:eastAsiaTheme="majorEastAsia"/>
        </w:rPr>
        <w:t xml:space="preserve"> groups</w:t>
      </w:r>
      <w:r w:rsidR="00517B38" w:rsidRPr="00C64DCA">
        <w:rPr>
          <w:rFonts w:eastAsiaTheme="majorEastAsia"/>
        </w:rPr>
        <w:t xml:space="preserve">, which is consistent with </w:t>
      </w:r>
      <w:r w:rsidR="00112DBE" w:rsidRPr="00C64DCA">
        <w:rPr>
          <w:rFonts w:eastAsiaTheme="majorEastAsia"/>
        </w:rPr>
        <w:t>existing</w:t>
      </w:r>
      <w:r w:rsidR="00517B38" w:rsidRPr="00C64DCA">
        <w:rPr>
          <w:rFonts w:eastAsiaTheme="majorEastAsia"/>
        </w:rPr>
        <w:t xml:space="preserve"> literature</w:t>
      </w:r>
      <w:r w:rsidR="00D50957" w:rsidRPr="00C64DCA">
        <w:rPr>
          <w:rFonts w:eastAsiaTheme="majorEastAsia"/>
        </w:rPr>
        <w:t xml:space="preserve"> </w:t>
      </w:r>
      <w:r w:rsidR="00D50957" w:rsidRPr="00C64DCA">
        <w:rPr>
          <w:rFonts w:eastAsiaTheme="majorEastAsia"/>
        </w:rPr>
        <w:fldChar w:fldCharType="begin"/>
      </w:r>
      <w:r w:rsidR="002D291F" w:rsidRPr="00C64DCA">
        <w:rPr>
          <w:rFonts w:eastAsiaTheme="majorEastAsia"/>
        </w:rPr>
        <w:instrText xml:space="preserve"> ADDIN ZOTERO_ITEM CSL_CITATION {"citationID":"1joosvDb","properties":{"formattedCitation":"[2,3]","plainCitation":"[2,3]","noteIndex":0},"citationItems":[{"id":41,"uris":["http://zotero.org/users/5219623/items/7UUJVJLW"],"uri":["http://zotero.org/users/5219623/items/7UUJVJLW"],"itemData":{"id":41,"type":"article-journal","title":"The early disease stage in axial spondylarthritis: results from the German Spondyloarthritis Inception Cohort","container-title":"Arthritis and Rheumatism","page":"717-727","volume":"60","issue":"3","source":"PubMed","abstract":"OBJECTIVE: Ankylosing spondylitis (AS) is diagnosed late, because radiographs of the sacroiliac joints often do not show definite sacroiliitis at the time of disease onset. The aim of this study was to investigate whether patients without definite radiographically defined sacroiliitis, referred to as nonradiographic axial spondylarthritis (SpA), are different from patients with AS with regard to clinical manifestations and disease activity measures. Moreover, we sought to identify determinants of the development of radiographic sacroiliitis.\nMETHODS: In a cross-sectional analysis of 462 patients, we compared 226 patients with nonradiographic axial SpA (symptom duration &lt; or =5 years) and 236 patients with AS (symptom duration &lt; or =10 years) who are participants in the German Spondyloarthritis Inception Cohort. Radiographs of the sacroiliac joints and the spine were assessed by 2 readers in a blinded manner. Logistic regression analysis was applied to identify parameters associated with structural damage.\nRESULTS: The 2 groups did not differ in the frequency of HLA-B27 positivity, inflammatory back pain, arthritis, enthesitis, and uveitis and had similar levels of disease activity, using measures such as the Bath Ankylosing Spondylitis Disease Activity Index. In both groups, HLA-B27 positivity determined the age at disease onset. Male sex (adjusted odds ratio [OR] 2.38, 95% confidence interval [95% CI] 1.19-4.73 [P = 0.014]) and an elevated C-reactive protein (CRP) level (adjusted OR 1.85, 95% CI 0.96-3.56 [P = 0.066]) were associated with radiographic sacroiliitis. In patients with AS, male sex and an elevated CRP level were also associated with the presence of syndesmophytes.\nCONCLUSION: Clinical manifestations and disease activity measures are highly comparable between patients with early nonradiographic axial SpA and those with early AS, suggesting that these 2 entities are part of the same disease. Male sex and an elevated CRP level are associated with structural damage on radiographs, whereas HLA-B27 positivity determines the age at disease onset.","DOI":"10.1002/art.24483","ISSN":"0004-3591","note":"PMID: 19248087","shortTitle":"The early disease stage in axial spondylarthritis","journalAbbreviation":"Arthritis Rheum.","language":"eng","author":[{"family":"Rudwaleit","given":"Martin"},{"family":"Haibel","given":"Hildrun"},{"family":"Baraliakos","given":"Xenofon"},{"family":"Listing","given":"Joachim"},{"family":"Märker-Hermann","given":"Elisabeth"},{"family":"Zeidler","given":"Henning"},{"family":"Braun","given":"Jürgen"},{"family":"Sieper","given":"Joachim"}],"issued":{"date-parts":[["2009",3]]}}},{"id":27,"uris":["http://zotero.org/users/5219623/items/NRBD8XCW"],"uri":["http://zotero.org/users/5219623/items/NRBD8XCW"],"itemData":{"id":27,"type":"article-journal","title":"Do patients with non-radiographic axial spondylarthritis differ from patients with ankylosing spondylitis?","container-title":"Arthritis Care &amp; Research","page":"1415-1422","volume":"64","issue":"9","source":"PubMed","abstract":"OBJECTIVE: Patients with axial spondylarthritis (SpA) who have structural changes in the sacroiliac joints and/or the spine have been classified as having ankylosing spondylitis (AS), while those without such changes are now classified as having nonradiographic axial SpA (nr-axSpA). The differentiating features are incompletely understood.\nMETHODS: Data from 100 consecutive patients with axial SpA not treated with tumor necrosis factor antagonists were compared clinically and with laboratory parameters, spinal radiographs, and magnetic resonance imaging (MRI) of the spine. Standardized clinical assessment tools were used to assess health status.\nRESULTS: AS was diagnosed in 56 patients and nr-axSpA in 44 patients. Signs of inflammation were significantly higher in patients with AS than in patients with nr-axSpA, with a median C-reactive protein level of 8.0 versus 3.8 mg/liter, a median Ankylosing Spondylitis Disease Activity Score of 2.2 versus 2.8, respectively, and a median amount of spinal inflammatory lesions on MRI of 2.0 versus 0.0, respectively. Significant differences between these 2 groups were seen in sex (76.8% male AS patients versus 31.8% male nr-axSpA patients). Clinical variables did not differ between patients with AS and nr-axSpA (Bath Ankylosing Spondylitis Disease Activity Index, Bath Ankylosing Spondylitis Functional Index, Ankylosing Spondylitis Quality of Life questionnaire, Short Form 36 health survey).\nCONCLUSION: Patients with nr-axSpA were characterized by the low proportion of male patients and the low burden of inflammation compared to patients with AS. While both groups did not differ regarding health status, disease activity, and physical function, they did differ in signs of inflammation; all were higher in patients with AS. Since many patients with nr-axSpA had not developed structural changes after years of symptoms, we propose that those patients should not be regarded as having preradiographic AS but rather as having nr-axSpA.","DOI":"10.1002/acr.21688","ISSN":"2151-4658","note":"PMID: 22505331","journalAbbreviation":"Arthritis Care Res (Hoboken)","language":"eng","author":[{"family":"Kiltz","given":"Uta"},{"family":"Baraliakos","given":"Xenofon"},{"family":"Karakostas","given":"Pantelis"},{"family":"Igelmann","given":"Manfred"},{"family":"Kalthoff","given":"Ludwig"},{"family":"Klink","given":"Claudia"},{"family":"Krause","given":"Dietmar"},{"family":"Schmitz-Bortz","given":"Elmar"},{"family":"Flörecke","given":"Martina"},{"family":"Bollow","given":"Matthias"},{"family":"Braun","given":"Jürgen"}],"issued":{"date-parts":[["2012",9]]}}}],"schema":"https://github.com/citation-style-language/schema/raw/master/csl-citation.json"} </w:instrText>
      </w:r>
      <w:r w:rsidR="00D50957" w:rsidRPr="00C64DCA">
        <w:rPr>
          <w:rFonts w:eastAsiaTheme="majorEastAsia"/>
        </w:rPr>
        <w:fldChar w:fldCharType="separate"/>
      </w:r>
      <w:r w:rsidR="0091051F" w:rsidRPr="00C64DCA">
        <w:rPr>
          <w:rFonts w:eastAsiaTheme="majorEastAsia"/>
        </w:rPr>
        <w:t>[2,3]</w:t>
      </w:r>
      <w:r w:rsidR="00D50957" w:rsidRPr="00C64DCA">
        <w:rPr>
          <w:rFonts w:eastAsiaTheme="majorEastAsia"/>
        </w:rPr>
        <w:fldChar w:fldCharType="end"/>
      </w:r>
      <w:r w:rsidR="00D50957" w:rsidRPr="00C64DCA">
        <w:rPr>
          <w:rFonts w:eastAsiaTheme="majorEastAsia"/>
        </w:rPr>
        <w:t>.</w:t>
      </w:r>
      <w:r w:rsidR="00517B38" w:rsidRPr="00C64DCA">
        <w:rPr>
          <w:rFonts w:eastAsiaTheme="majorEastAsia"/>
        </w:rPr>
        <w:t xml:space="preserve"> </w:t>
      </w:r>
      <w:r w:rsidR="004B10BB" w:rsidRPr="00C64DCA">
        <w:rPr>
          <w:rFonts w:eastAsiaTheme="majorEastAsia"/>
        </w:rPr>
        <w:t>The difference in prevalence of p</w:t>
      </w:r>
      <w:r w:rsidR="00D50957" w:rsidRPr="00C64DCA">
        <w:rPr>
          <w:rFonts w:eastAsiaTheme="majorEastAsia"/>
        </w:rPr>
        <w:t>soriasis</w:t>
      </w:r>
      <w:r w:rsidR="00032D06" w:rsidRPr="00C64DCA">
        <w:rPr>
          <w:rFonts w:eastAsiaTheme="majorEastAsia"/>
        </w:rPr>
        <w:t xml:space="preserve"> from chart review</w:t>
      </w:r>
      <w:r w:rsidR="006F3553" w:rsidRPr="00C64DCA">
        <w:rPr>
          <w:rFonts w:eastAsiaTheme="majorEastAsia"/>
        </w:rPr>
        <w:t xml:space="preserve"> </w:t>
      </w:r>
      <w:r w:rsidR="00F8144E" w:rsidRPr="00C64DCA">
        <w:rPr>
          <w:rFonts w:eastAsiaTheme="majorEastAsia"/>
        </w:rPr>
        <w:t>(</w:t>
      </w:r>
      <w:r w:rsidR="00D668E9" w:rsidRPr="00C64DCA">
        <w:rPr>
          <w:rFonts w:eastAsiaTheme="majorEastAsia"/>
        </w:rPr>
        <w:t>13%</w:t>
      </w:r>
      <w:r w:rsidR="00F8144E" w:rsidRPr="00C64DCA">
        <w:rPr>
          <w:rFonts w:eastAsiaTheme="majorEastAsia"/>
        </w:rPr>
        <w:t xml:space="preserve"> in AS and </w:t>
      </w:r>
      <w:r w:rsidR="00D668E9" w:rsidRPr="00C64DCA">
        <w:rPr>
          <w:rFonts w:eastAsiaTheme="majorEastAsia"/>
        </w:rPr>
        <w:t>6%</w:t>
      </w:r>
      <w:r w:rsidR="00F8144E" w:rsidRPr="00C64DCA">
        <w:rPr>
          <w:rFonts w:eastAsiaTheme="majorEastAsia"/>
        </w:rPr>
        <w:t xml:space="preserve"> in nr-axSpA) </w:t>
      </w:r>
      <w:r w:rsidR="006F3553" w:rsidRPr="00C64DCA">
        <w:rPr>
          <w:rFonts w:eastAsiaTheme="majorEastAsia"/>
        </w:rPr>
        <w:t xml:space="preserve">was </w:t>
      </w:r>
      <w:r w:rsidR="004B10BB" w:rsidRPr="00C64DCA">
        <w:rPr>
          <w:rFonts w:eastAsiaTheme="majorEastAsia"/>
        </w:rPr>
        <w:t xml:space="preserve">unexpected </w:t>
      </w:r>
      <w:r w:rsidR="00127327" w:rsidRPr="00C64DCA">
        <w:rPr>
          <w:rFonts w:eastAsiaTheme="majorEastAsia"/>
        </w:rPr>
        <w:t xml:space="preserve">and </w:t>
      </w:r>
      <w:r w:rsidR="00D50957" w:rsidRPr="00C64DCA">
        <w:rPr>
          <w:rFonts w:eastAsiaTheme="majorEastAsia"/>
        </w:rPr>
        <w:t xml:space="preserve">may </w:t>
      </w:r>
      <w:r w:rsidR="00D50957" w:rsidRPr="00C64DCA">
        <w:rPr>
          <w:rFonts w:eastAsiaTheme="majorEastAsia"/>
        </w:rPr>
        <w:lastRenderedPageBreak/>
        <w:t xml:space="preserve">be an issue of </w:t>
      </w:r>
      <w:r w:rsidR="00893063" w:rsidRPr="00C64DCA">
        <w:rPr>
          <w:rFonts w:eastAsiaTheme="majorEastAsia"/>
        </w:rPr>
        <w:t>documentation</w:t>
      </w:r>
      <w:r w:rsidR="004B10BB" w:rsidRPr="00C64DCA">
        <w:rPr>
          <w:rFonts w:eastAsiaTheme="majorEastAsia"/>
        </w:rPr>
        <w:t xml:space="preserve">; there was no difference </w:t>
      </w:r>
      <w:r w:rsidR="00CD40C4" w:rsidRPr="00C64DCA">
        <w:rPr>
          <w:rFonts w:eastAsiaTheme="majorEastAsia"/>
        </w:rPr>
        <w:t>in</w:t>
      </w:r>
      <w:r w:rsidR="004B10BB" w:rsidRPr="00C64DCA">
        <w:rPr>
          <w:rFonts w:eastAsiaTheme="majorEastAsia"/>
        </w:rPr>
        <w:t xml:space="preserve"> psoriasis prevalence </w:t>
      </w:r>
      <w:r w:rsidR="00E37F1D" w:rsidRPr="00C64DCA">
        <w:rPr>
          <w:rFonts w:eastAsiaTheme="majorEastAsia"/>
        </w:rPr>
        <w:t>based on</w:t>
      </w:r>
      <w:r w:rsidR="004B10BB" w:rsidRPr="00C64DCA">
        <w:rPr>
          <w:rFonts w:eastAsiaTheme="majorEastAsia"/>
        </w:rPr>
        <w:t xml:space="preserve"> ICD codes</w:t>
      </w:r>
      <w:r w:rsidR="001C5A0D" w:rsidRPr="00C64DCA">
        <w:rPr>
          <w:rFonts w:eastAsiaTheme="majorEastAsia"/>
        </w:rPr>
        <w:t xml:space="preserve"> (data not shown)</w:t>
      </w:r>
      <w:r w:rsidR="004B10BB" w:rsidRPr="00C64DCA">
        <w:rPr>
          <w:rFonts w:eastAsiaTheme="majorEastAsia"/>
        </w:rPr>
        <w:t>.</w:t>
      </w:r>
    </w:p>
    <w:p w14:paraId="21D4EE4F" w14:textId="3090E0AF" w:rsidR="00602599" w:rsidRPr="00C64DCA" w:rsidRDefault="0019632F" w:rsidP="00421F64">
      <w:pPr>
        <w:spacing w:line="480" w:lineRule="auto"/>
        <w:rPr>
          <w:rFonts w:eastAsiaTheme="majorEastAsia"/>
        </w:rPr>
      </w:pPr>
      <w:r w:rsidRPr="00C64DCA">
        <w:rPr>
          <w:rFonts w:eastAsiaTheme="majorEastAsia"/>
        </w:rPr>
        <w:t xml:space="preserve">Consistent with prior studies </w:t>
      </w:r>
      <w:r w:rsidR="0046530A" w:rsidRPr="00C64DCA">
        <w:rPr>
          <w:rFonts w:eastAsiaTheme="majorEastAsia"/>
        </w:rPr>
        <w:t>from</w:t>
      </w:r>
      <w:r w:rsidRPr="00C64DCA">
        <w:rPr>
          <w:rFonts w:eastAsiaTheme="majorEastAsia"/>
        </w:rPr>
        <w:t xml:space="preserve"> the US and Europe, we found no differences in the prevalence of </w:t>
      </w:r>
      <w:r w:rsidR="006F3553" w:rsidRPr="00C64DCA">
        <w:rPr>
          <w:rFonts w:eastAsiaTheme="majorEastAsia"/>
        </w:rPr>
        <w:t>HLA-</w:t>
      </w:r>
      <w:r w:rsidR="00893063" w:rsidRPr="00C64DCA">
        <w:rPr>
          <w:rFonts w:eastAsiaTheme="majorEastAsia"/>
        </w:rPr>
        <w:t xml:space="preserve">B27 </w:t>
      </w:r>
      <w:r w:rsidRPr="00C64DCA">
        <w:rPr>
          <w:rFonts w:eastAsiaTheme="majorEastAsia"/>
        </w:rPr>
        <w:t>positivity</w:t>
      </w:r>
      <w:r w:rsidR="00127327" w:rsidRPr="00C64DCA">
        <w:rPr>
          <w:rFonts w:eastAsiaTheme="majorEastAsia"/>
        </w:rPr>
        <w:t xml:space="preserve"> between AS and nr-axSpA groups</w:t>
      </w:r>
      <w:r w:rsidRPr="00C64DCA">
        <w:rPr>
          <w:rFonts w:eastAsiaTheme="majorEastAsia"/>
        </w:rPr>
        <w:t>, but h</w:t>
      </w:r>
      <w:r w:rsidR="00602599" w:rsidRPr="00C64DCA">
        <w:rPr>
          <w:rFonts w:eastAsiaTheme="majorEastAsia"/>
        </w:rPr>
        <w:t>igher inflammatory markers</w:t>
      </w:r>
      <w:r w:rsidR="00791E52" w:rsidRPr="00C64DCA">
        <w:rPr>
          <w:rFonts w:eastAsiaTheme="majorEastAsia"/>
        </w:rPr>
        <w:t xml:space="preserve"> and proportion of males in AS. These </w:t>
      </w:r>
      <w:r w:rsidR="00AB632B" w:rsidRPr="00C64DCA">
        <w:rPr>
          <w:rFonts w:eastAsiaTheme="majorEastAsia"/>
        </w:rPr>
        <w:t>results</w:t>
      </w:r>
      <w:r w:rsidR="00791E52" w:rsidRPr="00C64DCA">
        <w:rPr>
          <w:rFonts w:eastAsiaTheme="majorEastAsia"/>
        </w:rPr>
        <w:t xml:space="preserve"> support the </w:t>
      </w:r>
      <w:r w:rsidR="000F338F" w:rsidRPr="00C64DCA">
        <w:rPr>
          <w:rFonts w:eastAsiaTheme="majorEastAsia"/>
        </w:rPr>
        <w:t>hypothesis</w:t>
      </w:r>
      <w:r w:rsidR="00791E52" w:rsidRPr="00C64DCA">
        <w:rPr>
          <w:rFonts w:eastAsiaTheme="majorEastAsia"/>
        </w:rPr>
        <w:t xml:space="preserve"> that </w:t>
      </w:r>
      <w:r w:rsidR="00864A17" w:rsidRPr="00C64DCA">
        <w:rPr>
          <w:rFonts w:eastAsiaTheme="majorEastAsia"/>
        </w:rPr>
        <w:t>both</w:t>
      </w:r>
      <w:r w:rsidR="00740A6D" w:rsidRPr="00C64DCA">
        <w:rPr>
          <w:rFonts w:eastAsiaTheme="majorEastAsia"/>
        </w:rPr>
        <w:t xml:space="preserve"> diagnoses</w:t>
      </w:r>
      <w:r w:rsidR="00864A17" w:rsidRPr="00C64DCA">
        <w:rPr>
          <w:rFonts w:eastAsiaTheme="majorEastAsia"/>
        </w:rPr>
        <w:t xml:space="preserve"> belong to </w:t>
      </w:r>
      <w:r w:rsidR="00791E52" w:rsidRPr="00C64DCA">
        <w:rPr>
          <w:rFonts w:eastAsiaTheme="majorEastAsia"/>
        </w:rPr>
        <w:t>the same disease spectrum</w:t>
      </w:r>
      <w:r w:rsidR="00864A17" w:rsidRPr="00C64DCA">
        <w:rPr>
          <w:rFonts w:eastAsiaTheme="majorEastAsia"/>
        </w:rPr>
        <w:t>,</w:t>
      </w:r>
      <w:r w:rsidR="00AB632B" w:rsidRPr="00C64DCA">
        <w:rPr>
          <w:rFonts w:eastAsiaTheme="majorEastAsia"/>
        </w:rPr>
        <w:t xml:space="preserve"> and that males</w:t>
      </w:r>
      <w:r w:rsidR="00864A17" w:rsidRPr="00C64DCA">
        <w:rPr>
          <w:rFonts w:eastAsiaTheme="majorEastAsia"/>
        </w:rPr>
        <w:t xml:space="preserve"> and those </w:t>
      </w:r>
      <w:r w:rsidR="00AB632B" w:rsidRPr="00C64DCA">
        <w:rPr>
          <w:rFonts w:eastAsiaTheme="majorEastAsia"/>
        </w:rPr>
        <w:t xml:space="preserve">with higher inflammatory markers </w:t>
      </w:r>
      <w:r w:rsidR="00864A17" w:rsidRPr="00C64DCA">
        <w:rPr>
          <w:rFonts w:eastAsiaTheme="majorEastAsia"/>
        </w:rPr>
        <w:t>are</w:t>
      </w:r>
      <w:r w:rsidR="00AB632B" w:rsidRPr="00C64DCA">
        <w:rPr>
          <w:rFonts w:eastAsiaTheme="majorEastAsia"/>
        </w:rPr>
        <w:t xml:space="preserve"> more likely to progress to radiographic damage</w:t>
      </w:r>
      <w:r w:rsidR="000F338F" w:rsidRPr="00C64DCA">
        <w:rPr>
          <w:rFonts w:eastAsiaTheme="majorEastAsia"/>
        </w:rPr>
        <w:t xml:space="preserve"> </w:t>
      </w:r>
      <w:r w:rsidR="000F338F" w:rsidRPr="00C64DCA">
        <w:rPr>
          <w:rFonts w:eastAsiaTheme="majorEastAsia"/>
        </w:rPr>
        <w:fldChar w:fldCharType="begin"/>
      </w:r>
      <w:r w:rsidR="00B97C9C" w:rsidRPr="00C64DCA">
        <w:rPr>
          <w:rFonts w:eastAsiaTheme="majorEastAsia"/>
        </w:rPr>
        <w:instrText xml:space="preserve"> ADDIN ZOTERO_ITEM CSL_CITATION {"citationID":"WDAGc2GP","properties":{"formattedCitation":"[17]","plainCitation":"[17]","noteIndex":0},"citationItems":[{"id":30,"uris":["http://zotero.org/users/5219623/items/9B36TMJW"],"uri":["http://zotero.org/users/5219623/items/9B36TMJW"],"itemData":{"id":30,"type":"article-journal","title":"Non-radiographic axial spondyloarthritis and ankylosing spondylitis: what are the similarities and differences?","container-title":"RMD Open","volume":"1","issue":"Suppl 1","source":"PubMed Central","abstract":"The development of the axial spondyloarthritis and ankylosing spondylitis (ASAS) classification criteria has had several implications for our understanding of the entire spectrum of spondyloarthritides (SpA). Going beyond the modified New York criteria, which concentrate on conventional radiographs of the sacroiliac joints (SIJ) for the classification of ankylosing spondylitis, the ASAS criteria add active inflammation of the SIJ as obtained by MRI and human leucocyte antigen (HLA) B27 to classify patients with chronic back pain starting at a young age as axial SpA (axSpA). AxSpA should be considered as one disease that includes AS, the radiographic form, as well as the non-radiographic (nr-axSpA) form. Similarities and differences between these subgroups have been described in 3 studies: 1 local study, 1 national study (German SpA Inception Cohort) and 1 international study mainly conducted to test the efficacy of a tumour necrosis factor α blocker. Most clinical features and assessments of axSpA showed the same prevalence in patients with and without radiographic changes. However, some differences have been observed: the male:female ratio, the proportion of patients with objective signs of inflammation such as bone marrow oedema as detected by MRI, and the proportion of patients with increased levels of C reactive protein were higher in patients with AS. Importantly, these factors have also been identified as prognostic factors for more severe disease in terms of new bone formation. Thus, nr-axSpA may represent an early stage of AS but may also just be an abortive form of a disease which does cause much pain but which may also never lead to structural changes of the axial skeleton. Since the cut-off between nr-axSpA and AS is artificial and unreliable, we think that the term nr-axSpA should not be used for diagnosis but only for classification for historical reasons.","DOI":"10.1136/rmdopen-2015-000053","ISSN":"2056-5933","note":"PMID: 26557375\nPMCID: PMC4632143","shortTitle":"Non-radiographic axial spondyloarthritis and ankylosing spondylitis","journalAbbreviation":"RMD Open","author":[{"family":"Baraliakos","given":"X"},{"family":"Braun","given":"J"}],"issued":{"date-parts":[["2015",8,15]]}}}],"schema":"https://github.com/citation-style-language/schema/raw/master/csl-citation.json"} </w:instrText>
      </w:r>
      <w:r w:rsidR="000F338F" w:rsidRPr="00C64DCA">
        <w:rPr>
          <w:rFonts w:eastAsiaTheme="majorEastAsia"/>
        </w:rPr>
        <w:fldChar w:fldCharType="separate"/>
      </w:r>
      <w:r w:rsidR="00B97C9C" w:rsidRPr="00C64DCA">
        <w:rPr>
          <w:rFonts w:ascii="Calibri" w:hAnsi="Calibri"/>
        </w:rPr>
        <w:t>[17]</w:t>
      </w:r>
      <w:r w:rsidR="000F338F" w:rsidRPr="00C64DCA">
        <w:rPr>
          <w:rFonts w:eastAsiaTheme="majorEastAsia"/>
        </w:rPr>
        <w:fldChar w:fldCharType="end"/>
      </w:r>
      <w:r w:rsidR="00791E52" w:rsidRPr="00C64DCA">
        <w:rPr>
          <w:rFonts w:eastAsiaTheme="majorEastAsia"/>
        </w:rPr>
        <w:t xml:space="preserve">. Although </w:t>
      </w:r>
      <w:r w:rsidR="00864A17" w:rsidRPr="00C64DCA">
        <w:rPr>
          <w:rFonts w:eastAsiaTheme="majorEastAsia"/>
        </w:rPr>
        <w:t>we had limited data on disease severity measures, our</w:t>
      </w:r>
      <w:r w:rsidR="00791E52" w:rsidRPr="00C64DCA">
        <w:rPr>
          <w:rFonts w:eastAsiaTheme="majorEastAsia"/>
        </w:rPr>
        <w:t xml:space="preserve"> finding that </w:t>
      </w:r>
      <w:r w:rsidR="00792403" w:rsidRPr="00C64DCA">
        <w:rPr>
          <w:rFonts w:eastAsiaTheme="majorEastAsia"/>
        </w:rPr>
        <w:t xml:space="preserve">symptom burden </w:t>
      </w:r>
      <w:r w:rsidR="00864A17" w:rsidRPr="00C64DCA">
        <w:rPr>
          <w:rFonts w:eastAsiaTheme="majorEastAsia"/>
        </w:rPr>
        <w:t>(</w:t>
      </w:r>
      <w:r w:rsidR="00823BFA" w:rsidRPr="00C64DCA">
        <w:rPr>
          <w:rFonts w:eastAsiaTheme="majorEastAsia"/>
        </w:rPr>
        <w:t xml:space="preserve">i.e., </w:t>
      </w:r>
      <w:r w:rsidR="00792403" w:rsidRPr="00C64DCA">
        <w:rPr>
          <w:rFonts w:eastAsiaTheme="majorEastAsia"/>
        </w:rPr>
        <w:t xml:space="preserve">pain) </w:t>
      </w:r>
      <w:r w:rsidR="00791E52" w:rsidRPr="00C64DCA">
        <w:rPr>
          <w:rFonts w:eastAsiaTheme="majorEastAsia"/>
        </w:rPr>
        <w:t xml:space="preserve">was </w:t>
      </w:r>
      <w:r w:rsidR="00792403" w:rsidRPr="00C64DCA">
        <w:rPr>
          <w:rFonts w:eastAsiaTheme="majorEastAsia"/>
        </w:rPr>
        <w:t>similar</w:t>
      </w:r>
      <w:r w:rsidR="00791E52" w:rsidRPr="00C64DCA">
        <w:rPr>
          <w:rFonts w:eastAsiaTheme="majorEastAsia"/>
        </w:rPr>
        <w:t xml:space="preserve"> between the </w:t>
      </w:r>
      <w:r w:rsidR="00CD40C4" w:rsidRPr="00C64DCA">
        <w:rPr>
          <w:rFonts w:eastAsiaTheme="majorEastAsia"/>
        </w:rPr>
        <w:t>diagnoses</w:t>
      </w:r>
      <w:r w:rsidR="00791E52" w:rsidRPr="00C64DCA">
        <w:rPr>
          <w:rFonts w:eastAsiaTheme="majorEastAsia"/>
        </w:rPr>
        <w:t xml:space="preserve"> is </w:t>
      </w:r>
      <w:r w:rsidR="00AB632B" w:rsidRPr="00C64DCA">
        <w:rPr>
          <w:rFonts w:eastAsiaTheme="majorEastAsia"/>
        </w:rPr>
        <w:t>consistent with</w:t>
      </w:r>
      <w:r w:rsidR="00791E52" w:rsidRPr="00C64DCA">
        <w:rPr>
          <w:rFonts w:eastAsiaTheme="majorEastAsia"/>
        </w:rPr>
        <w:t xml:space="preserve"> more detailed outcome measures from </w:t>
      </w:r>
      <w:r w:rsidR="00157E21" w:rsidRPr="00C64DCA">
        <w:rPr>
          <w:rFonts w:eastAsiaTheme="majorEastAsia"/>
        </w:rPr>
        <w:t xml:space="preserve">the </w:t>
      </w:r>
      <w:proofErr w:type="spellStart"/>
      <w:r w:rsidR="00792403" w:rsidRPr="00C64DCA">
        <w:rPr>
          <w:rFonts w:eastAsiaTheme="majorEastAsia"/>
        </w:rPr>
        <w:t>C</w:t>
      </w:r>
      <w:r w:rsidR="00791E52" w:rsidRPr="00C64DCA">
        <w:rPr>
          <w:rFonts w:eastAsiaTheme="majorEastAsia"/>
        </w:rPr>
        <w:t>o</w:t>
      </w:r>
      <w:r w:rsidR="00792403" w:rsidRPr="00C64DCA">
        <w:rPr>
          <w:rFonts w:eastAsiaTheme="majorEastAsia"/>
        </w:rPr>
        <w:t>rrona</w:t>
      </w:r>
      <w:proofErr w:type="spellEnd"/>
      <w:r w:rsidR="00157E21" w:rsidRPr="00C64DCA">
        <w:rPr>
          <w:rFonts w:eastAsiaTheme="majorEastAsia"/>
        </w:rPr>
        <w:t xml:space="preserve"> SpA registry</w:t>
      </w:r>
      <w:r w:rsidR="00791E52" w:rsidRPr="00C64DCA">
        <w:rPr>
          <w:rFonts w:eastAsiaTheme="majorEastAsia"/>
        </w:rPr>
        <w:t xml:space="preserve">, </w:t>
      </w:r>
      <w:r w:rsidR="00AB632B" w:rsidRPr="00C64DCA">
        <w:rPr>
          <w:rFonts w:eastAsiaTheme="majorEastAsia"/>
        </w:rPr>
        <w:t>where</w:t>
      </w:r>
      <w:r w:rsidR="00791E52" w:rsidRPr="00C64DCA">
        <w:rPr>
          <w:rFonts w:eastAsiaTheme="majorEastAsia"/>
        </w:rPr>
        <w:t xml:space="preserve"> </w:t>
      </w:r>
      <w:r w:rsidR="00864A17" w:rsidRPr="00C64DCA">
        <w:rPr>
          <w:rFonts w:eastAsiaTheme="majorEastAsia"/>
        </w:rPr>
        <w:t xml:space="preserve">the </w:t>
      </w:r>
      <w:r w:rsidR="00792403" w:rsidRPr="00C64DCA">
        <w:rPr>
          <w:rFonts w:eastAsiaTheme="majorEastAsia"/>
        </w:rPr>
        <w:t>two groups ha</w:t>
      </w:r>
      <w:r w:rsidR="00864A17" w:rsidRPr="00C64DCA">
        <w:rPr>
          <w:rFonts w:eastAsiaTheme="majorEastAsia"/>
        </w:rPr>
        <w:t>d</w:t>
      </w:r>
      <w:r w:rsidR="00792403" w:rsidRPr="00C64DCA">
        <w:rPr>
          <w:rFonts w:eastAsiaTheme="majorEastAsia"/>
        </w:rPr>
        <w:t xml:space="preserve"> similar disease activity, functional impairment and quality of life</w:t>
      </w:r>
      <w:r w:rsidR="00AB632B" w:rsidRPr="00C64DCA">
        <w:rPr>
          <w:rFonts w:eastAsiaTheme="majorEastAsia"/>
        </w:rPr>
        <w:t xml:space="preserve"> </w:t>
      </w:r>
      <w:r w:rsidR="00AB632B" w:rsidRPr="00C64DCA">
        <w:rPr>
          <w:rFonts w:eastAsiaTheme="majorEastAsia"/>
        </w:rPr>
        <w:fldChar w:fldCharType="begin"/>
      </w:r>
      <w:r w:rsidR="00062B8B" w:rsidRPr="00C64DCA">
        <w:rPr>
          <w:rFonts w:eastAsiaTheme="majorEastAsia"/>
        </w:rPr>
        <w:instrText xml:space="preserve"> ADDIN ZOTERO_ITEM CSL_CITATION {"citationID":"pcENHkZV","properties":{"formattedCitation":"[9]","plainCitation":"[9]","noteIndex":0},"citationItems":[{"id":47,"uris":["http://zotero.org/users/5219623/items/U58QIC9D"],"uri":["http://zotero.org/users/5219623/items/U58QIC9D"],"itemData":{"id":47,"type":"article-journal","title":"Characterization of Patients With Ankylosing Spondylitis and Nonradiographic Axial Spondyloarthritis in the US-Based Corrona Registry","container-title":"Arthritis Care &amp; Research","page":"1661-1670","volume":"70","issue":"11","source":"Crossref","abstract":"Objective. To describe the characteristics of patients with ankylosing spondylitis (AS) and patients with nonradiographic axial spondyloarthritis (SpA) in the US.\nMethods. Demographics, clinical characteristics, patient-reported outcomes, and treatment characteristics of patients with AS and those with nonradiographic axial SpA were assessed at the time of enrollment in the Corrona Psoriatic Arthritis/Spondyloarthritis Registry. Patients with AS were deﬁned as those who fulﬁlled the 1984 modiﬁed New York criteria for AS; patients with nonradiographic axial SpA were deﬁned as all other patients with axial SpA who did not fulﬁll the radiology criterion.\nResults. Of the 407 patients with a diagnosis of axial SpA who were included in this study, 310 had AS, and 97 had nonradiographic axial SpA. Although patients with nonradiographic axial SpA were younger and showed a trend toward a shorter symptom duration, the nonradiographic axial SpA and AS groups shared a similar disease burden, as reﬂected by comparisons of disease activity and function, quality of life, pain, fatigue, job absenteeism, and loss of work productivity (all P &gt; 0.05). The proportions of patients with nonradiographic axial SpA and patients with AS who received prior biologic disease-modifying drugs (DMARDs) (74.2% and 64.8%, respectively) or were currently receiving biologic DMARDs (63.9% and 61.3%, respectively) were also similar (P &gt; 0.05).\nConclusion. This was the ﬁrst nationwide study to characterize patients with AS and nonradiographic axial SpA in the US. Consistent with studies published outside of the US, this study showed that patients with nonradiographic axial SpA and patients with AS shared a comparable degree of disease burden and had similar treatment patterns in clinical practice.","DOI":"10.1002/acr.23534","ISSN":"2151464X","language":"en","author":[{"family":"Mease","given":"Philip J."},{"family":"Heijde","given":"Désirée Van Der"},{"family":"Karki","given":"Chitra"},{"family":"Palmer","given":"Jacqueline B."},{"family":"Liu","given":"Mei"},{"family":"Pandurengan","given":"Renganayaki"},{"family":"Park","given":"Yujin"},{"family":"Greenberg","given":"Jeffrey D."}],"issued":{"date-parts":[["2018",11]]}}}],"schema":"https://github.com/citation-style-language/schema/raw/master/csl-citation.json"} </w:instrText>
      </w:r>
      <w:r w:rsidR="00AB632B" w:rsidRPr="00C64DCA">
        <w:rPr>
          <w:rFonts w:eastAsiaTheme="majorEastAsia"/>
        </w:rPr>
        <w:fldChar w:fldCharType="separate"/>
      </w:r>
      <w:r w:rsidR="00062B8B" w:rsidRPr="00C64DCA">
        <w:rPr>
          <w:rFonts w:ascii="Calibri" w:hAnsi="Calibri"/>
        </w:rPr>
        <w:t>[9]</w:t>
      </w:r>
      <w:r w:rsidR="00AB632B" w:rsidRPr="00C64DCA">
        <w:rPr>
          <w:rFonts w:eastAsiaTheme="majorEastAsia"/>
        </w:rPr>
        <w:fldChar w:fldCharType="end"/>
      </w:r>
      <w:r w:rsidR="00792403" w:rsidRPr="00C64DCA">
        <w:rPr>
          <w:rFonts w:eastAsiaTheme="majorEastAsia"/>
        </w:rPr>
        <w:t>.</w:t>
      </w:r>
      <w:r w:rsidR="000F338F" w:rsidRPr="00C64DCA">
        <w:rPr>
          <w:rFonts w:eastAsiaTheme="majorEastAsia"/>
        </w:rPr>
        <w:t xml:space="preserve"> </w:t>
      </w:r>
      <w:r w:rsidR="00CD40C4" w:rsidRPr="00C64DCA">
        <w:rPr>
          <w:rFonts w:eastAsiaTheme="majorEastAsia"/>
        </w:rPr>
        <w:t>These results are</w:t>
      </w:r>
      <w:r w:rsidR="00112DBE" w:rsidRPr="00C64DCA">
        <w:rPr>
          <w:rFonts w:eastAsiaTheme="majorEastAsia"/>
        </w:rPr>
        <w:t xml:space="preserve"> supportive of guidelines that recommend </w:t>
      </w:r>
      <w:r w:rsidR="004B10BB" w:rsidRPr="00C64DCA">
        <w:rPr>
          <w:rFonts w:eastAsiaTheme="majorEastAsia"/>
        </w:rPr>
        <w:t>a unified treatment approach for all axSpA patients</w:t>
      </w:r>
      <w:r w:rsidR="002D291F" w:rsidRPr="00C64DCA">
        <w:rPr>
          <w:rFonts w:eastAsiaTheme="majorEastAsia"/>
        </w:rPr>
        <w:t xml:space="preserve"> </w:t>
      </w:r>
      <w:r w:rsidR="002D291F" w:rsidRPr="00C64DCA">
        <w:rPr>
          <w:rFonts w:eastAsiaTheme="majorEastAsia"/>
        </w:rPr>
        <w:fldChar w:fldCharType="begin"/>
      </w:r>
      <w:r w:rsidR="00B97C9C" w:rsidRPr="00C64DCA">
        <w:rPr>
          <w:rFonts w:eastAsiaTheme="majorEastAsia"/>
        </w:rPr>
        <w:instrText xml:space="preserve"> ADDIN ZOTERO_ITEM CSL_CITATION {"citationID":"ysnfYANp","properties":{"formattedCitation":"[18]","plainCitation":"[18]","noteIndex":0},"citationItems":[{"id":38,"uris":["http://zotero.org/users/5219623/items/4RDTDFBJ"],"uri":["http://zotero.org/users/5219623/items/4RDTDFBJ"],"itemData":{"id":38,"type":"article-journal","title":"2016 update of the ASAS-EULAR management recommendations for axial spondyloarthritis","container-title":"Annals of the Rheumatic Diseases","page":"978-991","volume":"76","issue":"6","source":"ard.bmj.com","abstract":"To update and integrate the recommendations for ankylosing spondylitis and the recommendations for the use of tumour necrosis factor inhibitors (TNFi) in axial spondyloarthritis (axSpA) into one set applicable to the full spectrum of patients with axSpA. Following the latest version of the European League Against Rheumatism (EULAR) Standardised Operating Procedures, two systematic literature reviews first collected the evidence regarding all treatment options (pharmacological and non-pharmacological) that were published since 2009. After a discussion of the results in the steering group and presentation to the task force, overarching principles and recommendations were formulated, and consensus was obtained by informal voting. A total of 5 overarching principles and 13 recommendations were agreed on. The first three recommendations deal with personalised medicine including treatment target and monitoring. Recommendation 4 covers non-pharmacological management. Recommendation 5 describes the central role of non-steroidal anti-inflammatory drugs (NSAIDs) as first-choice drug treatment. Recommendations 6–8 define the rather modest role of analgesics, and disprove glucocorticoids and conventional synthetic disease-modifying antirheumatic drugs (DMARDs) for axSpA patents with predominant axial involvement. Recommendation 9 refers to biological DMARDs (bDMARDs) including TNFi and IL-17 inhibitors (IL-17i) for patients with high disease activity despite the use (or intolerance/contraindication) of at least two NSAIDs. In addition, they should either have an elevated C reactive protein and/or definite inflammation on MRI and/or radiographic evidence of sacroiliitis. Current practice is to start with a TNFi. Switching to another TNFi or an IL-17i is recommended in case TNFi fails (recommendation 10). Tapering, but not stopping a bDMARD, can be considered in patients in sustained remission (recommendation 11). The final two recommendations (12, 13) deal with surgery and spinal fractures. The 2016 Assessment of SpondyloArthritis international Society-EULAR recommendations provide up-to-date guidance on the management of patients with axSpA.","DOI":"10.1136/annrheumdis-2016-210770","ISSN":"0003-4967, 1468-2060","note":"PMID: 28087505","language":"en","author":[{"family":"Heijde","given":"Désirée","dropping-particle":"van der"},{"family":"Ramiro","given":"Sofia"},{"family":"Landewé","given":"Robert"},{"family":"Baraliakos","given":"Xenofon"},{"family":"Bosch","given":"Filip Van","dropping-particle":"den"},{"family":"Sepriano","given":"Alexandre"},{"family":"Regel","given":"Andrea"},{"family":"Ciurea","given":"Adrian"},{"family":"Dagfinrud","given":"Hanne"},{"family":"Dougados","given":"Maxime"},{"family":"Gaalen","given":"Floris","dropping-particle":"van"},{"family":"Géher","given":"Pál"},{"family":"Horst-Bruinsma","given":"Irene","dropping-particle":"van der"},{"family":"Inman","given":"Robert D."},{"family":"Jongkees","given":"Merryn"},{"family":"Kiltz","given":"Uta"},{"family":"Kvien","given":"Tore K."},{"family":"Machado","given":"Pedro M."},{"family":"Marzo-Ortega","given":"Helena"},{"family":"Molto","given":"Anna"},{"family":"Navarro-Compàn","given":"Victoria"},{"family":"Ozgocmen","given":"Salih"},{"family":"Pimentel-Santos","given":"Fernando M."},{"family":"Reveille","given":"John"},{"family":"Rudwaleit","given":"Martin"},{"family":"Sieper","given":"Jochen"},{"family":"Sampaio-Barros","given":"Percival"},{"family":"Wiek","given":"Dieter"},{"family":"Braun","given":"Jürgen"}],"issued":{"date-parts":[["2017",6,1]]}}}],"schema":"https://github.com/citation-style-language/schema/raw/master/csl-citation.json"} </w:instrText>
      </w:r>
      <w:r w:rsidR="002D291F" w:rsidRPr="00C64DCA">
        <w:rPr>
          <w:rFonts w:eastAsiaTheme="majorEastAsia"/>
        </w:rPr>
        <w:fldChar w:fldCharType="separate"/>
      </w:r>
      <w:r w:rsidR="00B97C9C" w:rsidRPr="00C64DCA">
        <w:rPr>
          <w:rFonts w:ascii="Calibri" w:hAnsi="Calibri"/>
        </w:rPr>
        <w:t>[18]</w:t>
      </w:r>
      <w:r w:rsidR="002D291F" w:rsidRPr="00C64DCA">
        <w:rPr>
          <w:rFonts w:eastAsiaTheme="majorEastAsia"/>
        </w:rPr>
        <w:fldChar w:fldCharType="end"/>
      </w:r>
      <w:r w:rsidR="004B10BB" w:rsidRPr="00C64DCA">
        <w:rPr>
          <w:rFonts w:eastAsiaTheme="majorEastAsia"/>
        </w:rPr>
        <w:t>.</w:t>
      </w:r>
    </w:p>
    <w:p w14:paraId="61E946AE" w14:textId="5D0CA20D" w:rsidR="00791E52" w:rsidRPr="00C64DCA" w:rsidRDefault="00791E52" w:rsidP="00421F64">
      <w:pPr>
        <w:spacing w:line="480" w:lineRule="auto"/>
        <w:rPr>
          <w:rFonts w:eastAsiaTheme="majorEastAsia"/>
        </w:rPr>
      </w:pPr>
      <w:r w:rsidRPr="00C64DCA">
        <w:rPr>
          <w:rFonts w:eastAsiaTheme="majorEastAsia"/>
        </w:rPr>
        <w:t xml:space="preserve">Our results </w:t>
      </w:r>
      <w:r w:rsidR="000F338F" w:rsidRPr="00C64DCA">
        <w:rPr>
          <w:rFonts w:eastAsiaTheme="majorEastAsia"/>
        </w:rPr>
        <w:t>confirm</w:t>
      </w:r>
      <w:r w:rsidRPr="00C64DCA">
        <w:rPr>
          <w:rFonts w:eastAsiaTheme="majorEastAsia"/>
        </w:rPr>
        <w:t xml:space="preserve"> those from the </w:t>
      </w:r>
      <w:proofErr w:type="spellStart"/>
      <w:r w:rsidRPr="00C64DCA">
        <w:rPr>
          <w:rFonts w:eastAsiaTheme="majorEastAsia"/>
        </w:rPr>
        <w:t>Corrona</w:t>
      </w:r>
      <w:proofErr w:type="spellEnd"/>
      <w:r w:rsidRPr="00C64DCA">
        <w:rPr>
          <w:rFonts w:eastAsiaTheme="majorEastAsia"/>
        </w:rPr>
        <w:t xml:space="preserve"> </w:t>
      </w:r>
      <w:r w:rsidR="00F414F7" w:rsidRPr="00C64DCA">
        <w:rPr>
          <w:rFonts w:eastAsiaTheme="majorEastAsia"/>
        </w:rPr>
        <w:t xml:space="preserve">SpA </w:t>
      </w:r>
      <w:r w:rsidRPr="00C64DCA">
        <w:rPr>
          <w:rFonts w:eastAsiaTheme="majorEastAsia"/>
        </w:rPr>
        <w:t xml:space="preserve">registry that bDMARDs </w:t>
      </w:r>
      <w:r w:rsidR="00CD40C4" w:rsidRPr="00C64DCA">
        <w:rPr>
          <w:rFonts w:eastAsiaTheme="majorEastAsia"/>
        </w:rPr>
        <w:t>are</w:t>
      </w:r>
      <w:r w:rsidRPr="00C64DCA">
        <w:rPr>
          <w:rFonts w:eastAsiaTheme="majorEastAsia"/>
        </w:rPr>
        <w:t xml:space="preserve"> widely used for nr-axSpA in clinical practice. </w:t>
      </w:r>
      <w:r w:rsidR="00E37F1D" w:rsidRPr="00C64DCA">
        <w:rPr>
          <w:rFonts w:eastAsiaTheme="majorEastAsia"/>
        </w:rPr>
        <w:t xml:space="preserve">This is consistent with the ACR/SAA/SPARTAN treatment recommendations for AS and </w:t>
      </w:r>
      <w:proofErr w:type="spellStart"/>
      <w:r w:rsidR="00E37F1D" w:rsidRPr="00C64DCA">
        <w:rPr>
          <w:rFonts w:eastAsiaTheme="majorEastAsia"/>
        </w:rPr>
        <w:t>ax</w:t>
      </w:r>
      <w:proofErr w:type="spellEnd"/>
      <w:r w:rsidR="00E37F1D" w:rsidRPr="00C64DCA">
        <w:rPr>
          <w:rFonts w:eastAsiaTheme="majorEastAsia"/>
        </w:rPr>
        <w:t xml:space="preserve">-SpA </w:t>
      </w:r>
      <w:r w:rsidR="002D291F" w:rsidRPr="00C64DCA">
        <w:rPr>
          <w:rFonts w:eastAsiaTheme="majorEastAsia"/>
        </w:rPr>
        <w:fldChar w:fldCharType="begin"/>
      </w:r>
      <w:r w:rsidR="00B97C9C" w:rsidRPr="00C64DCA">
        <w:rPr>
          <w:rFonts w:eastAsiaTheme="majorEastAsia"/>
        </w:rPr>
        <w:instrText xml:space="preserve"> ADDIN ZOTERO_ITEM CSL_CITATION {"citationID":"dlCmXGaB","properties":{"formattedCitation":"[19]","plainCitation":"[19]","noteIndex":0},"citationItems":[{"id":39,"uris":["http://zotero.org/users/5219623/items/FCLGQZQU"],"uri":["http://zotero.org/users/5219623/items/FCLGQZQU"],"itemData":{"id":39,"type":"article-journal","title":"American College of Rheumatology/Spondylitis Association of America/Spondyloarthritis Research and Treatment Network 2015 Recommendations for the Treatment of Ankylosing Spondylitis and Nonradiographic Axial Spondyloarthritis: ACR/SAA/Spartan Treatment Recommendations in as","container-title":"Arthritis &amp; Rheumatology","page":"282-298","volume":"68","issue":"2","source":"Crossref","DOI":"10.1002/art.39298","ISSN":"23265191","shortTitle":"American College of Rheumatology/Spondylitis Association of America/Spondyloarthritis Research and Treatment Network 2015 Recommendations for the Treatment of Ankylosing Spondylitis and Nonradiographic Axial Spondyloarthritis","language":"en","author":[{"family":"Ward","given":"Michael M."},{"family":"Deodhar","given":"Atul"},{"family":"Akl","given":"Elie A."},{"family":"Lui","given":"Andrew"},{"family":"Ermann","given":"Joerg"},{"family":"Gensler","given":"Lianne S."},{"family":"Smith","given":"Judith A."},{"family":"Borenstein","given":"David"},{"family":"Hiratzka","given":"Jayme"},{"family":"Weiss","given":"Pamela F."},{"family":"Inman","given":"Robert D."},{"family":"Majithia","given":"Vikas"},{"family":"Haroon","given":"Nigil"},{"family":"Maksymowych","given":"Walter P."},{"family":"Joyce","given":"Janet"},{"family":"Clark","given":"Bruce M."},{"family":"Colbert","given":"Robert A."},{"family":"Figgie","given":"Mark P."},{"family":"Hallegua","given":"David S."},{"family":"Prete","given":"Pamela E."},{"family":"Rosenbaum","given":"James T."},{"family":"Stebulis","given":"Judith A."},{"family":"Bosch","given":"Filip","non-dropping-particle":"van den"},{"family":"Yu","given":"David T. Y."},{"family":"Miller","given":"Amy S."},{"family":"Reveille","given":"John D."},{"family":"Caplan","given":"Liron"}],"issued":{"date-parts":[["2016",2]]}}}],"schema":"https://github.com/citation-style-language/schema/raw/master/csl-citation.json"} </w:instrText>
      </w:r>
      <w:r w:rsidR="002D291F" w:rsidRPr="00C64DCA">
        <w:rPr>
          <w:rFonts w:eastAsiaTheme="majorEastAsia"/>
        </w:rPr>
        <w:fldChar w:fldCharType="separate"/>
      </w:r>
      <w:r w:rsidR="00B97C9C" w:rsidRPr="00C64DCA">
        <w:rPr>
          <w:rFonts w:ascii="Calibri" w:hAnsi="Calibri"/>
        </w:rPr>
        <w:t>[19]</w:t>
      </w:r>
      <w:r w:rsidR="002D291F" w:rsidRPr="00C64DCA">
        <w:rPr>
          <w:rFonts w:eastAsiaTheme="majorEastAsia"/>
        </w:rPr>
        <w:fldChar w:fldCharType="end"/>
      </w:r>
      <w:r w:rsidR="00E37F1D" w:rsidRPr="00C64DCA">
        <w:rPr>
          <w:rFonts w:eastAsiaTheme="majorEastAsia"/>
        </w:rPr>
        <w:t xml:space="preserve"> even though bDMARDs are not yet licensed (in 2018) for this indication in the US</w:t>
      </w:r>
      <w:r w:rsidR="002D291F" w:rsidRPr="00C64DCA">
        <w:rPr>
          <w:rFonts w:eastAsiaTheme="majorEastAsia"/>
        </w:rPr>
        <w:t xml:space="preserve">. </w:t>
      </w:r>
      <w:r w:rsidR="00127327" w:rsidRPr="00C64DCA">
        <w:rPr>
          <w:rFonts w:eastAsiaTheme="majorEastAsia"/>
        </w:rPr>
        <w:t>C</w:t>
      </w:r>
      <w:r w:rsidRPr="00C64DCA">
        <w:rPr>
          <w:rFonts w:eastAsiaTheme="majorEastAsia"/>
        </w:rPr>
        <w:t xml:space="preserve">linicians </w:t>
      </w:r>
      <w:r w:rsidR="00AB632B" w:rsidRPr="00C64DCA">
        <w:rPr>
          <w:rFonts w:eastAsiaTheme="majorEastAsia"/>
        </w:rPr>
        <w:t xml:space="preserve">are likely </w:t>
      </w:r>
      <w:r w:rsidRPr="00C64DCA">
        <w:rPr>
          <w:rFonts w:eastAsiaTheme="majorEastAsia"/>
        </w:rPr>
        <w:t>rely</w:t>
      </w:r>
      <w:r w:rsidR="00AB632B" w:rsidRPr="00C64DCA">
        <w:rPr>
          <w:rFonts w:eastAsiaTheme="majorEastAsia"/>
        </w:rPr>
        <w:t>ing</w:t>
      </w:r>
      <w:r w:rsidRPr="00C64DCA">
        <w:rPr>
          <w:rFonts w:eastAsiaTheme="majorEastAsia"/>
        </w:rPr>
        <w:t xml:space="preserve"> on </w:t>
      </w:r>
      <w:r w:rsidR="002D291F" w:rsidRPr="00C64DCA">
        <w:rPr>
          <w:rFonts w:eastAsiaTheme="majorEastAsia"/>
        </w:rPr>
        <w:t xml:space="preserve">a </w:t>
      </w:r>
      <w:r w:rsidRPr="00C64DCA">
        <w:rPr>
          <w:rFonts w:eastAsiaTheme="majorEastAsia"/>
        </w:rPr>
        <w:t>clinical</w:t>
      </w:r>
      <w:r w:rsidR="002D291F" w:rsidRPr="00C64DCA">
        <w:rPr>
          <w:rFonts w:eastAsiaTheme="majorEastAsia"/>
        </w:rPr>
        <w:t xml:space="preserve"> diagnosis</w:t>
      </w:r>
      <w:r w:rsidR="00AB632B" w:rsidRPr="00C64DCA">
        <w:rPr>
          <w:rFonts w:eastAsiaTheme="majorEastAsia"/>
        </w:rPr>
        <w:t xml:space="preserve"> rather than classification criteria for </w:t>
      </w:r>
      <w:r w:rsidR="002D291F" w:rsidRPr="00C64DCA">
        <w:rPr>
          <w:rFonts w:eastAsiaTheme="majorEastAsia"/>
        </w:rPr>
        <w:t>making treatment decisions</w:t>
      </w:r>
      <w:r w:rsidRPr="00C64DCA">
        <w:rPr>
          <w:rFonts w:eastAsiaTheme="majorEastAsia"/>
        </w:rPr>
        <w:t xml:space="preserve">. The proportions of patients prescribed bDMARDs and csDMARDs were similar to that reported </w:t>
      </w:r>
      <w:r w:rsidR="000F338F" w:rsidRPr="00C64DCA">
        <w:rPr>
          <w:rFonts w:eastAsiaTheme="majorEastAsia"/>
        </w:rPr>
        <w:t>in</w:t>
      </w:r>
      <w:r w:rsidRPr="00C64DCA">
        <w:rPr>
          <w:rFonts w:eastAsiaTheme="majorEastAsia"/>
        </w:rPr>
        <w:t xml:space="preserve"> </w:t>
      </w:r>
      <w:proofErr w:type="spellStart"/>
      <w:r w:rsidRPr="00C64DCA">
        <w:rPr>
          <w:rFonts w:eastAsiaTheme="majorEastAsia"/>
        </w:rPr>
        <w:t>Corrona</w:t>
      </w:r>
      <w:proofErr w:type="spellEnd"/>
      <w:r w:rsidR="00AA4300" w:rsidRPr="00C64DCA">
        <w:rPr>
          <w:rFonts w:eastAsiaTheme="majorEastAsia"/>
        </w:rPr>
        <w:t>.</w:t>
      </w:r>
    </w:p>
    <w:p w14:paraId="4C1F3716" w14:textId="58C03B89" w:rsidR="00AA4300" w:rsidRPr="00C64DCA" w:rsidRDefault="003D47B6" w:rsidP="00421F64">
      <w:pPr>
        <w:spacing w:line="480" w:lineRule="auto"/>
        <w:rPr>
          <w:rFonts w:eastAsiaTheme="majorEastAsia"/>
        </w:rPr>
      </w:pPr>
      <w:r w:rsidRPr="00C64DCA">
        <w:rPr>
          <w:rFonts w:eastAsiaTheme="majorEastAsia"/>
        </w:rPr>
        <w:t>Identifying cases from historical EMR data is challenging in the context of evolving terminology and classification criteria. There are no ICD-9 or -10 codes for axSpA</w:t>
      </w:r>
      <w:r w:rsidR="009B5B1D" w:rsidRPr="00C64DCA">
        <w:rPr>
          <w:rFonts w:eastAsiaTheme="majorEastAsia"/>
        </w:rPr>
        <w:t>, and u</w:t>
      </w:r>
      <w:r w:rsidRPr="00C64DCA">
        <w:rPr>
          <w:rFonts w:eastAsiaTheme="majorEastAsia"/>
        </w:rPr>
        <w:t>sing ICD code</w:t>
      </w:r>
      <w:r w:rsidR="009B5B1D" w:rsidRPr="00C64DCA">
        <w:rPr>
          <w:rFonts w:eastAsiaTheme="majorEastAsia"/>
        </w:rPr>
        <w:t xml:space="preserve"> alone to classify</w:t>
      </w:r>
      <w:r w:rsidRPr="00C64DCA">
        <w:rPr>
          <w:rFonts w:eastAsiaTheme="majorEastAsia"/>
        </w:rPr>
        <w:t xml:space="preserve"> AS has limited accuracy </w:t>
      </w:r>
      <w:r w:rsidRPr="00C64DCA">
        <w:rPr>
          <w:rFonts w:eastAsiaTheme="majorEastAsia"/>
        </w:rPr>
        <w:fldChar w:fldCharType="begin"/>
      </w:r>
      <w:r w:rsidR="00062B8B" w:rsidRPr="00C64DCA">
        <w:rPr>
          <w:rFonts w:eastAsiaTheme="majorEastAsia"/>
        </w:rPr>
        <w:instrText xml:space="preserve"> ADDIN ZOTERO_ITEM CSL_CITATION {"citationID":"cupdhOQO","properties":{"formattedCitation":"[10]","plainCitation":"[10]","noteIndex":0},"citationItems":[{"id":60,"uris":["http://zotero.org/users/5219623/items/G75A8KT6"],"uri":["http://zotero.org/users/5219623/items/G75A8KT6"],"itemData":{"id":60,"type":"article-journal","title":"Validity of ankylosing spondylitis and undifferentiated spondyloarthritis diagnoses in the Swedish National Patient Register","container-title":"Scandinavian Journal of Rheumatology","page":"369-376","volume":"44","issue":"5","source":"Crossref","abstract":"Objectives: Epidemiological studies of spondyloarthritis (SpA), using ICD codes from the Swedish National Patient Register (NPR), offer unique possibilities but hinge upon an understanding of the validity of the codes. The aim of this study was to validate the ICD codes for ankylosing spondylitis (AS) and undifferentiated SpA (uSpA) in the NPR against the established classification criteria [modified New York (mNY), Assessment of SpondyloArthritis international Society (ASAS), Amor, and European Spondyloarthropathy Study Group (ESSG) criteria].\nMethod: All patients with an ICD-8/9/10 code of AS or uSpA in the NPR 1966–2009 at a visit to a specialist in rheumatology or internal medicine or corresponding hospitalization, alive and living in Sweden 2009, were identified (n ¼ 20 089). Following a structured procedure to achieve geographical representativeness, 500 random patients with a diagnosis of AS or uSpA in 2007–2009 were selected. Based on a structured review of clinical records, positive predictive values (PPVs) for fulfilling the criteria sets were calculated.\nResults: For those having received an ICD code for AS, the PPVs for fulfilling the mNY criteria or any set of SpA criteria were 70% and 89%, respectively. For those with an uSpA diagnosis (and never an AS diagnosis), the corresponding PPVs were 20% and 79%. The subset with both AS and uSpA diagnoses (overlap ¼ 12%) were as likely to fulfil the mNY criteria as the group that had been coded as AS only.\nConclusions: The diagnosis codes for AS or uSpA had high PPVs, suggesting that our case identification in the Swedish NPR can be used for nationwide, population-based, epidemiological studies of these diseases.","DOI":"10.3109/03009742.2015.1010572","ISSN":"0300-9742, 1502-7732","language":"en","author":[{"family":"Lindström","given":"U"},{"family":"Exarchou","given":"S"},{"family":"Sigurdardottir","given":"V"},{"family":"Sundström","given":"B"},{"family":"Askling","given":"J"},{"family":"Eriksson","given":"Jk"},{"family":"Forsblad-d’Elia","given":"H"},{"family":"Turesson","given":"C"},{"family":"Kristensen","given":"Le"},{"family":"Jacobsson","given":"L"}],"issued":{"date-parts":[["2015",9,3]]}}}],"schema":"https://github.com/citation-style-language/schema/raw/master/csl-citation.json"} </w:instrText>
      </w:r>
      <w:r w:rsidRPr="00C64DCA">
        <w:rPr>
          <w:rFonts w:eastAsiaTheme="majorEastAsia"/>
        </w:rPr>
        <w:fldChar w:fldCharType="separate"/>
      </w:r>
      <w:r w:rsidR="00062B8B" w:rsidRPr="00C64DCA">
        <w:rPr>
          <w:rFonts w:ascii="Calibri" w:hAnsi="Calibri"/>
        </w:rPr>
        <w:t>[10]</w:t>
      </w:r>
      <w:r w:rsidRPr="00C64DCA">
        <w:rPr>
          <w:rFonts w:eastAsiaTheme="majorEastAsia"/>
        </w:rPr>
        <w:fldChar w:fldCharType="end"/>
      </w:r>
      <w:r w:rsidRPr="00C64DCA">
        <w:rPr>
          <w:rFonts w:eastAsiaTheme="majorEastAsia"/>
        </w:rPr>
        <w:t>. The high positive predictive value (80%) of our search strategy likely came at the cost of reduced sensitivity</w:t>
      </w:r>
      <w:r w:rsidR="00836E1C" w:rsidRPr="00C64DCA">
        <w:rPr>
          <w:rFonts w:eastAsiaTheme="majorEastAsia"/>
        </w:rPr>
        <w:t>, in particular for the detection of nr-axSpA cases.</w:t>
      </w:r>
      <w:r w:rsidRPr="00C64DCA">
        <w:rPr>
          <w:rFonts w:eastAsiaTheme="majorEastAsia"/>
        </w:rPr>
        <w:t xml:space="preserve"> Requiring three or more ICD codes and radiological keywords may have selected individu</w:t>
      </w:r>
      <w:r w:rsidR="002D291F" w:rsidRPr="00C64DCA">
        <w:rPr>
          <w:rFonts w:eastAsiaTheme="majorEastAsia"/>
        </w:rPr>
        <w:t xml:space="preserve">als with more advanced disease, which </w:t>
      </w:r>
      <w:r w:rsidRPr="00C64DCA">
        <w:rPr>
          <w:rFonts w:eastAsiaTheme="majorEastAsia"/>
        </w:rPr>
        <w:t xml:space="preserve">may explain the older age of our cohort. Nevertheless, our ratio of </w:t>
      </w:r>
      <w:proofErr w:type="spellStart"/>
      <w:r w:rsidRPr="00C64DCA">
        <w:rPr>
          <w:rFonts w:eastAsiaTheme="majorEastAsia"/>
        </w:rPr>
        <w:t>AS:nr-axSpA</w:t>
      </w:r>
      <w:proofErr w:type="spellEnd"/>
      <w:r w:rsidRPr="00C64DCA">
        <w:rPr>
          <w:rFonts w:eastAsiaTheme="majorEastAsia"/>
        </w:rPr>
        <w:t xml:space="preserve"> cases was similar to that of </w:t>
      </w:r>
      <w:r w:rsidR="00157E21" w:rsidRPr="00C64DCA">
        <w:rPr>
          <w:rFonts w:eastAsiaTheme="majorEastAsia"/>
        </w:rPr>
        <w:t xml:space="preserve">the </w:t>
      </w:r>
      <w:proofErr w:type="spellStart"/>
      <w:r w:rsidRPr="00C64DCA">
        <w:rPr>
          <w:rFonts w:eastAsiaTheme="majorEastAsia"/>
        </w:rPr>
        <w:t>Corrona</w:t>
      </w:r>
      <w:proofErr w:type="spellEnd"/>
      <w:r w:rsidR="00157E21" w:rsidRPr="00C64DCA">
        <w:rPr>
          <w:rFonts w:eastAsiaTheme="majorEastAsia"/>
        </w:rPr>
        <w:t xml:space="preserve"> SpA registry</w:t>
      </w:r>
      <w:r w:rsidRPr="00C64DCA">
        <w:rPr>
          <w:rFonts w:eastAsiaTheme="majorEastAsia"/>
        </w:rPr>
        <w:t>. Automated phenotyping</w:t>
      </w:r>
      <w:r w:rsidR="00032D06" w:rsidRPr="00C64DCA">
        <w:rPr>
          <w:rFonts w:eastAsiaTheme="majorEastAsia"/>
        </w:rPr>
        <w:t xml:space="preserve">, employing </w:t>
      </w:r>
      <w:r w:rsidR="00032D06" w:rsidRPr="00C64DCA">
        <w:rPr>
          <w:rFonts w:eastAsiaTheme="majorEastAsia"/>
        </w:rPr>
        <w:lastRenderedPageBreak/>
        <w:t>natural language processing</w:t>
      </w:r>
      <w:r w:rsidR="00CE09CC" w:rsidRPr="00C64DCA">
        <w:rPr>
          <w:rFonts w:eastAsiaTheme="majorEastAsia"/>
        </w:rPr>
        <w:t xml:space="preserve"> </w:t>
      </w:r>
      <w:r w:rsidR="00CE09CC" w:rsidRPr="00C64DCA">
        <w:rPr>
          <w:rFonts w:eastAsiaTheme="majorEastAsia"/>
        </w:rPr>
        <w:fldChar w:fldCharType="begin"/>
      </w:r>
      <w:r w:rsidR="00B97C9C" w:rsidRPr="00C64DCA">
        <w:rPr>
          <w:rFonts w:eastAsiaTheme="majorEastAsia"/>
        </w:rPr>
        <w:instrText xml:space="preserve"> ADDIN ZOTERO_ITEM CSL_CITATION {"citationID":"FUn2MH9x","properties":{"formattedCitation":"[20]","plainCitation":"[20]","noteIndex":0},"citationItems":[{"id":66,"uris":["http://zotero.org/users/5219623/items/BVDGAG9K"],"uri":["http://zotero.org/users/5219623/items/BVDGAG9K"],"itemData":{"id":66,"type":"article-journal","title":"Development of phenotype algorithms using electronic medical records and incorporating natural language processing","container-title":"BMJ","page":"h1885-h1885","volume":"350","issue":"apr24 11","source":"Crossref","DOI":"10.1136/bmj.h1885","ISSN":"1756-1833","language":"en","author":[{"family":"Liao","given":"K. P."},{"family":"Cai","given":"T."},{"family":"Savova","given":"G. K."},{"family":"Murphy","given":"S. N."},{"family":"Karlson","given":"E. W."},{"family":"Ananthakrishnan","given":"A. N."},{"family":"Gainer","given":"V. S."},{"family":"Shaw","given":"S. Y."},{"family":"Xia","given":"Z."},{"family":"Szolovits","given":"P."},{"family":"Churchill","given":"S."},{"family":"Kohane","given":"I."}],"issued":{"date-parts":[["2015",4,24]]}}}],"schema":"https://github.com/citation-style-language/schema/raw/master/csl-citation.json"} </w:instrText>
      </w:r>
      <w:r w:rsidR="00CE09CC" w:rsidRPr="00C64DCA">
        <w:rPr>
          <w:rFonts w:eastAsiaTheme="majorEastAsia"/>
        </w:rPr>
        <w:fldChar w:fldCharType="separate"/>
      </w:r>
      <w:r w:rsidR="00B97C9C" w:rsidRPr="00C64DCA">
        <w:rPr>
          <w:rFonts w:ascii="Calibri" w:hAnsi="Calibri"/>
        </w:rPr>
        <w:t>[20]</w:t>
      </w:r>
      <w:r w:rsidR="00CE09CC" w:rsidRPr="00C64DCA">
        <w:rPr>
          <w:rFonts w:eastAsiaTheme="majorEastAsia"/>
        </w:rPr>
        <w:fldChar w:fldCharType="end"/>
      </w:r>
      <w:r w:rsidR="00032D06" w:rsidRPr="00C64DCA">
        <w:rPr>
          <w:rFonts w:eastAsiaTheme="majorEastAsia"/>
        </w:rPr>
        <w:t>, of axSpA in EMR data</w:t>
      </w:r>
      <w:r w:rsidRPr="00C64DCA">
        <w:rPr>
          <w:rFonts w:eastAsiaTheme="majorEastAsia"/>
        </w:rPr>
        <w:t xml:space="preserve"> is an area that needs further research to take full advantage of these large cohorts. </w:t>
      </w:r>
    </w:p>
    <w:p w14:paraId="11EEA474" w14:textId="5A4589E8" w:rsidR="00EC0097" w:rsidRPr="00C64DCA" w:rsidRDefault="000C2720" w:rsidP="00421F64">
      <w:pPr>
        <w:spacing w:line="480" w:lineRule="auto"/>
        <w:rPr>
          <w:rFonts w:eastAsiaTheme="majorEastAsia"/>
        </w:rPr>
      </w:pPr>
      <w:r w:rsidRPr="00C64DCA">
        <w:rPr>
          <w:rFonts w:eastAsiaTheme="majorEastAsia"/>
        </w:rPr>
        <w:t xml:space="preserve">A key strength of this study is the large number of </w:t>
      </w:r>
      <w:r w:rsidR="00791E52" w:rsidRPr="00C64DCA">
        <w:rPr>
          <w:rFonts w:eastAsiaTheme="majorEastAsia"/>
        </w:rPr>
        <w:t>patients</w:t>
      </w:r>
      <w:r w:rsidRPr="00C64DCA">
        <w:rPr>
          <w:rFonts w:eastAsiaTheme="majorEastAsia"/>
        </w:rPr>
        <w:t xml:space="preserve"> </w:t>
      </w:r>
      <w:r w:rsidR="00791E52" w:rsidRPr="00C64DCA">
        <w:rPr>
          <w:rFonts w:eastAsiaTheme="majorEastAsia"/>
        </w:rPr>
        <w:t>from routine</w:t>
      </w:r>
      <w:r w:rsidRPr="00C64DCA">
        <w:rPr>
          <w:rFonts w:eastAsiaTheme="majorEastAsia"/>
        </w:rPr>
        <w:t xml:space="preserve"> clinical practice</w:t>
      </w:r>
      <w:r w:rsidR="00791E52" w:rsidRPr="00C64DCA">
        <w:rPr>
          <w:rFonts w:eastAsiaTheme="majorEastAsia"/>
        </w:rPr>
        <w:t xml:space="preserve"> </w:t>
      </w:r>
      <w:r w:rsidR="000F338F" w:rsidRPr="00C64DCA">
        <w:rPr>
          <w:rFonts w:eastAsiaTheme="majorEastAsia"/>
        </w:rPr>
        <w:t>of</w:t>
      </w:r>
      <w:r w:rsidR="00791E52" w:rsidRPr="00C64DCA">
        <w:rPr>
          <w:rFonts w:eastAsiaTheme="majorEastAsia"/>
        </w:rPr>
        <w:t xml:space="preserve"> two academic hospitals</w:t>
      </w:r>
      <w:r w:rsidRPr="00C64DCA">
        <w:rPr>
          <w:rFonts w:eastAsiaTheme="majorEastAsia"/>
        </w:rPr>
        <w:t xml:space="preserve">. </w:t>
      </w:r>
      <w:r w:rsidR="00791E52" w:rsidRPr="00C64DCA">
        <w:rPr>
          <w:rFonts w:eastAsiaTheme="majorEastAsia"/>
        </w:rPr>
        <w:t xml:space="preserve">However, there were limitations. </w:t>
      </w:r>
      <w:bookmarkStart w:id="5" w:name="_Hlk1546553"/>
      <w:bookmarkStart w:id="6" w:name="_Hlk1330614"/>
      <w:r w:rsidR="00E711C4" w:rsidRPr="00C64DCA">
        <w:rPr>
          <w:rFonts w:ascii="Calibri" w:hAnsi="Calibri" w:cs="Calibri"/>
        </w:rPr>
        <w:t xml:space="preserve">In the US, patients can, and do, change their hospitals and care-providers such that diagnoses are often made at prior institutions and by different providers; therefore, data </w:t>
      </w:r>
      <w:r w:rsidR="00EC0097" w:rsidRPr="00C64DCA">
        <w:rPr>
          <w:rFonts w:ascii="Calibri" w:hAnsi="Calibri" w:cs="Calibri"/>
        </w:rPr>
        <w:t>were</w:t>
      </w:r>
      <w:r w:rsidR="00E711C4" w:rsidRPr="00C64DCA">
        <w:rPr>
          <w:rFonts w:ascii="Calibri" w:hAnsi="Calibri" w:cs="Calibri"/>
        </w:rPr>
        <w:t xml:space="preserve"> not consistently available for variables such as </w:t>
      </w:r>
      <w:r w:rsidR="00AB6073" w:rsidRPr="00C64DCA">
        <w:rPr>
          <w:rFonts w:ascii="Calibri" w:hAnsi="Calibri" w:cs="Calibri"/>
        </w:rPr>
        <w:t>disease or symptom duration</w:t>
      </w:r>
      <w:r w:rsidR="00E711C4" w:rsidRPr="00C64DCA">
        <w:rPr>
          <w:rFonts w:ascii="Calibri" w:hAnsi="Calibri" w:cs="Calibri"/>
        </w:rPr>
        <w:t>.</w:t>
      </w:r>
      <w:bookmarkEnd w:id="5"/>
      <w:r w:rsidR="00E711C4" w:rsidRPr="00C64DCA">
        <w:rPr>
          <w:rFonts w:ascii="Calibri" w:hAnsi="Calibri" w:cs="Calibri"/>
        </w:rPr>
        <w:t xml:space="preserve"> </w:t>
      </w:r>
      <w:r w:rsidR="0080087A" w:rsidRPr="00C64DCA">
        <w:rPr>
          <w:rFonts w:eastAsiaTheme="majorEastAsia"/>
        </w:rPr>
        <w:t xml:space="preserve">Since this was not a research cohort, disease severity measures were not systematically collected to allow comparison. </w:t>
      </w:r>
      <w:r w:rsidR="00AB6073" w:rsidRPr="00C64DCA">
        <w:rPr>
          <w:rFonts w:eastAsiaTheme="majorEastAsia"/>
        </w:rPr>
        <w:t xml:space="preserve">Treatment decisions in the US are made by the provider together with the patient; insurance companies do not require documentation of BASDAI in order to prescribe biologics. </w:t>
      </w:r>
      <w:r w:rsidR="0080087A" w:rsidRPr="00C64DCA">
        <w:rPr>
          <w:rFonts w:eastAsiaTheme="majorEastAsia"/>
        </w:rPr>
        <w:t xml:space="preserve">The pain data </w:t>
      </w:r>
      <w:r w:rsidR="00A02644" w:rsidRPr="00C64DCA">
        <w:rPr>
          <w:rFonts w:eastAsiaTheme="majorEastAsia"/>
        </w:rPr>
        <w:t xml:space="preserve">available to us </w:t>
      </w:r>
      <w:r w:rsidR="0080087A" w:rsidRPr="00C64DCA">
        <w:rPr>
          <w:rFonts w:eastAsiaTheme="majorEastAsia"/>
        </w:rPr>
        <w:t xml:space="preserve">was consistent with more detailed outcome measures from </w:t>
      </w:r>
      <w:r w:rsidR="0097681A" w:rsidRPr="00C64DCA">
        <w:rPr>
          <w:rFonts w:eastAsiaTheme="majorEastAsia"/>
        </w:rPr>
        <w:t xml:space="preserve">the </w:t>
      </w:r>
      <w:proofErr w:type="spellStart"/>
      <w:r w:rsidR="0080087A" w:rsidRPr="00C64DCA">
        <w:rPr>
          <w:rFonts w:eastAsiaTheme="majorEastAsia"/>
        </w:rPr>
        <w:t>Corrona</w:t>
      </w:r>
      <w:proofErr w:type="spellEnd"/>
      <w:r w:rsidR="0097681A" w:rsidRPr="00C64DCA">
        <w:rPr>
          <w:rFonts w:eastAsiaTheme="majorEastAsia"/>
        </w:rPr>
        <w:t xml:space="preserve"> SpA registry</w:t>
      </w:r>
      <w:r w:rsidR="0080087A" w:rsidRPr="00C64DCA">
        <w:rPr>
          <w:rFonts w:eastAsiaTheme="majorEastAsia"/>
        </w:rPr>
        <w:t>.</w:t>
      </w:r>
      <w:bookmarkStart w:id="7" w:name="_Hlk1330283"/>
      <w:bookmarkEnd w:id="6"/>
      <w:r w:rsidR="00EC0097" w:rsidRPr="00C64DCA">
        <w:rPr>
          <w:rFonts w:eastAsiaTheme="majorEastAsia"/>
        </w:rPr>
        <w:t xml:space="preserve"> </w:t>
      </w:r>
    </w:p>
    <w:p w14:paraId="1CB7EBA1" w14:textId="34E7A793" w:rsidR="007E342D" w:rsidRPr="00C64DCA" w:rsidRDefault="00E708BE" w:rsidP="00421F64">
      <w:pPr>
        <w:spacing w:line="480" w:lineRule="auto"/>
        <w:rPr>
          <w:rFonts w:ascii="Calibri" w:hAnsi="Calibri" w:cs="Calibri"/>
        </w:rPr>
      </w:pPr>
      <w:bookmarkStart w:id="8" w:name="_Hlk1551527"/>
      <w:r w:rsidRPr="00C64DCA">
        <w:rPr>
          <w:rFonts w:eastAsiaTheme="majorEastAsia"/>
        </w:rPr>
        <w:t xml:space="preserve">Using ICD codes to derive comorbidities </w:t>
      </w:r>
      <w:r w:rsidR="00127327" w:rsidRPr="00C64DCA">
        <w:rPr>
          <w:rFonts w:eastAsiaTheme="majorEastAsia"/>
        </w:rPr>
        <w:t xml:space="preserve">may </w:t>
      </w:r>
      <w:r w:rsidRPr="00C64DCA">
        <w:rPr>
          <w:rFonts w:eastAsiaTheme="majorEastAsia"/>
        </w:rPr>
        <w:t>have limited accuracy</w:t>
      </w:r>
      <w:r w:rsidR="00127327" w:rsidRPr="00C64DCA">
        <w:rPr>
          <w:rFonts w:eastAsiaTheme="majorEastAsia"/>
        </w:rPr>
        <w:t xml:space="preserve"> </w:t>
      </w:r>
      <w:r w:rsidR="0080087A" w:rsidRPr="00C64DCA">
        <w:rPr>
          <w:rFonts w:eastAsiaTheme="majorEastAsia"/>
        </w:rPr>
        <w:t xml:space="preserve">for some diseases </w:t>
      </w:r>
      <w:bookmarkEnd w:id="7"/>
      <w:r w:rsidR="00127327" w:rsidRPr="00C64DCA">
        <w:rPr>
          <w:rFonts w:eastAsiaTheme="majorEastAsia"/>
        </w:rPr>
        <w:t xml:space="preserve">and </w:t>
      </w:r>
      <w:r w:rsidR="00B97C9C" w:rsidRPr="00C64DCA">
        <w:rPr>
          <w:rFonts w:eastAsiaTheme="majorEastAsia"/>
        </w:rPr>
        <w:t xml:space="preserve">may </w:t>
      </w:r>
      <w:r w:rsidR="00127327" w:rsidRPr="00C64DCA">
        <w:rPr>
          <w:rFonts w:eastAsiaTheme="majorEastAsia"/>
        </w:rPr>
        <w:t>explain</w:t>
      </w:r>
      <w:r w:rsidRPr="00C64DCA">
        <w:rPr>
          <w:rFonts w:eastAsiaTheme="majorEastAsia"/>
        </w:rPr>
        <w:t xml:space="preserve"> the low prevalence of hypertension in our study</w:t>
      </w:r>
      <w:r w:rsidR="002D291F" w:rsidRPr="00C64DCA">
        <w:rPr>
          <w:rFonts w:eastAsiaTheme="majorEastAsia"/>
        </w:rPr>
        <w:t xml:space="preserve"> </w:t>
      </w:r>
      <w:r w:rsidR="002D291F" w:rsidRPr="00C64DCA">
        <w:rPr>
          <w:rFonts w:eastAsiaTheme="majorEastAsia"/>
        </w:rPr>
        <w:fldChar w:fldCharType="begin"/>
      </w:r>
      <w:r w:rsidR="00B97C9C" w:rsidRPr="00C64DCA">
        <w:rPr>
          <w:rFonts w:eastAsiaTheme="majorEastAsia"/>
        </w:rPr>
        <w:instrText xml:space="preserve"> ADDIN ZOTERO_ITEM CSL_CITATION {"citationID":"CiS1tQrP","properties":{"formattedCitation":"[21]","plainCitation":"[21]","noteIndex":0},"citationItems":[{"id":239,"uris":["http://zotero.org/users/5219623/items/77ZCPGPU"],"uri":["http://zotero.org/users/5219623/items/77ZCPGPU"],"itemData":{"id":239,"type":"article-journal","title":"Measuring Diagnoses: ICD Code Accuracy","container-title":"Health Services Research","page":"1620-1639","volume":"40","issue":"5 Pt 2","source":"PubMed Central","abstract":"Objective\nTo examine potential sources of errors at each step of the described inpatient International Classification of Diseases (ICD) coding process.\n\nData Sources/Study Setting\nThe use of disease codes from the ICD has expanded from classifying morbidity and mortality information for statistical purposes to diverse sets of applications in research, health care policy, and health care finance. By describing a brief history of ICD coding, detailing the process for assigning codes, identifying where errors can be introduced into the process, and reviewing methods for examining code accuracy, we help code users more systematically evaluate code accuracy for their particular applications.\n\nStudy Design/Methods\nWe summarize the inpatient ICD diagnostic coding process from patient admission to diagnostic code assignment. We examine potential sources of errors at each step and offer code users a tool for systematically evaluating code accuracy.\n\nPrinciple Findings\nMain error sources along the “patient trajectory” include amount and quality of information at admission, communication among patients and providers, the clinician's knowledge and experience with the illness, and the clinician's attention to detail. Main error sources along the “paper trail” include variance in the electronic and written records, coder training and experience, facility quality-control efforts, and unintentional and intentional coder errors, such as misspecification, unbundling, and upcoding.\n\nConclusions\nBy clearly specifying the code assignment process and heightening their awareness of potential error sources, code users can better evaluate the applicability and limitations of codes for their particular situations. ICD codes can then be used in the most appropriate ways.","DOI":"10.1111/j.1475-6773.2005.00444.x","ISSN":"0017-9124","note":"PMID: 16178999\nPMCID: PMC1361216","shortTitle":"Measuring Diagnoses","journalAbbreviation":"Health Serv Res","author":[{"family":"O'Malley","given":"Kimberly J"},{"family":"Cook","given":"Karon F"},{"family":"Price","given":"Matt D"},{"family":"Wildes","given":"Kimberly Raiford"},{"family":"Hurdle","given":"John F"},{"family":"Ashton","given":"Carol M"}],"issued":{"date-parts":[["2005",10]]}}}],"schema":"https://github.com/citation-style-language/schema/raw/master/csl-citation.json"} </w:instrText>
      </w:r>
      <w:r w:rsidR="002D291F" w:rsidRPr="00C64DCA">
        <w:rPr>
          <w:rFonts w:eastAsiaTheme="majorEastAsia"/>
        </w:rPr>
        <w:fldChar w:fldCharType="separate"/>
      </w:r>
      <w:r w:rsidR="00B97C9C" w:rsidRPr="00C64DCA">
        <w:rPr>
          <w:rFonts w:ascii="Calibri" w:hAnsi="Calibri"/>
        </w:rPr>
        <w:t>[21]</w:t>
      </w:r>
      <w:r w:rsidR="002D291F" w:rsidRPr="00C64DCA">
        <w:rPr>
          <w:rFonts w:eastAsiaTheme="majorEastAsia"/>
        </w:rPr>
        <w:fldChar w:fldCharType="end"/>
      </w:r>
      <w:bookmarkStart w:id="9" w:name="_Hlk1330871"/>
      <w:r w:rsidR="002C2CBA" w:rsidRPr="00C64DCA">
        <w:rPr>
          <w:rFonts w:eastAsiaTheme="majorEastAsia"/>
        </w:rPr>
        <w:t xml:space="preserve">; </w:t>
      </w:r>
      <w:r w:rsidR="00B97C9C" w:rsidRPr="00C64DCA">
        <w:rPr>
          <w:rFonts w:eastAsiaTheme="majorEastAsia"/>
        </w:rPr>
        <w:t xml:space="preserve">any </w:t>
      </w:r>
      <w:r w:rsidR="002C2CBA" w:rsidRPr="00C64DCA">
        <w:rPr>
          <w:rFonts w:eastAsiaTheme="majorEastAsia"/>
        </w:rPr>
        <w:t xml:space="preserve">inaccuracies are likely to be the same for both AS and nr-axSpA groups and </w:t>
      </w:r>
      <w:r w:rsidR="00B97C9C" w:rsidRPr="00C64DCA">
        <w:rPr>
          <w:rFonts w:eastAsiaTheme="majorEastAsia"/>
        </w:rPr>
        <w:t>would not</w:t>
      </w:r>
      <w:r w:rsidR="002C2CBA" w:rsidRPr="00C64DCA">
        <w:rPr>
          <w:rFonts w:eastAsiaTheme="majorEastAsia"/>
        </w:rPr>
        <w:t xml:space="preserve"> result in directional bias. </w:t>
      </w:r>
      <w:bookmarkEnd w:id="8"/>
      <w:r w:rsidR="00E324DD" w:rsidRPr="00C64DCA">
        <w:rPr>
          <w:rFonts w:eastAsiaTheme="majorEastAsia"/>
        </w:rPr>
        <w:t xml:space="preserve">Codified </w:t>
      </w:r>
      <w:r w:rsidR="0097681A" w:rsidRPr="00C64DCA">
        <w:rPr>
          <w:rFonts w:eastAsiaTheme="majorEastAsia"/>
        </w:rPr>
        <w:t xml:space="preserve">EMR </w:t>
      </w:r>
      <w:r w:rsidR="00E324DD" w:rsidRPr="00C64DCA">
        <w:rPr>
          <w:rFonts w:eastAsiaTheme="majorEastAsia"/>
        </w:rPr>
        <w:t>medication</w:t>
      </w:r>
      <w:r w:rsidR="0097681A" w:rsidRPr="00C64DCA">
        <w:rPr>
          <w:rFonts w:eastAsiaTheme="majorEastAsia"/>
        </w:rPr>
        <w:t xml:space="preserve"> data </w:t>
      </w:r>
      <w:r w:rsidR="00E324DD" w:rsidRPr="00C64DCA">
        <w:rPr>
          <w:rFonts w:eastAsiaTheme="majorEastAsia"/>
        </w:rPr>
        <w:t xml:space="preserve">could not be </w:t>
      </w:r>
      <w:r w:rsidR="00CD3F9C" w:rsidRPr="00C64DCA">
        <w:rPr>
          <w:rFonts w:eastAsiaTheme="majorEastAsia"/>
        </w:rPr>
        <w:t xml:space="preserve">used </w:t>
      </w:r>
      <w:r w:rsidR="00E324DD" w:rsidRPr="00C64DCA">
        <w:rPr>
          <w:rFonts w:eastAsiaTheme="majorEastAsia"/>
        </w:rPr>
        <w:t>to determine current-use of individual drugs</w:t>
      </w:r>
      <w:r w:rsidR="0097681A" w:rsidRPr="00C64DCA">
        <w:rPr>
          <w:rFonts w:eastAsiaTheme="majorEastAsia"/>
        </w:rPr>
        <w:t xml:space="preserve">. </w:t>
      </w:r>
      <w:bookmarkEnd w:id="9"/>
      <w:r w:rsidR="00E324DD" w:rsidRPr="00C64DCA">
        <w:rPr>
          <w:rFonts w:eastAsiaTheme="majorEastAsia"/>
        </w:rPr>
        <w:t xml:space="preserve">Furthermore, </w:t>
      </w:r>
      <w:r w:rsidR="0097681A" w:rsidRPr="00C64DCA">
        <w:rPr>
          <w:rFonts w:eastAsiaTheme="majorEastAsia"/>
        </w:rPr>
        <w:t>NSAIDs may be bought over the counter</w:t>
      </w:r>
      <w:r w:rsidR="00C4571E" w:rsidRPr="00C64DCA">
        <w:rPr>
          <w:rFonts w:eastAsiaTheme="majorEastAsia"/>
        </w:rPr>
        <w:t>,</w:t>
      </w:r>
      <w:r w:rsidR="0097681A" w:rsidRPr="00C64DCA">
        <w:rPr>
          <w:rFonts w:eastAsiaTheme="majorEastAsia"/>
        </w:rPr>
        <w:t xml:space="preserve"> and infliximab can be prescribed on infusion charts and not coded. It is also possible for patients to </w:t>
      </w:r>
      <w:r w:rsidR="00064D38" w:rsidRPr="00C64DCA">
        <w:rPr>
          <w:rFonts w:eastAsiaTheme="majorEastAsia"/>
        </w:rPr>
        <w:t>consult and receive treatment from</w:t>
      </w:r>
      <w:r w:rsidR="0097681A" w:rsidRPr="00C64DCA">
        <w:rPr>
          <w:rFonts w:eastAsiaTheme="majorEastAsia"/>
        </w:rPr>
        <w:t xml:space="preserve"> rheumatologists outside of Partners HealthCare</w:t>
      </w:r>
      <w:r w:rsidR="00064D38" w:rsidRPr="00C64DCA">
        <w:rPr>
          <w:rFonts w:eastAsiaTheme="majorEastAsia"/>
        </w:rPr>
        <w:t>, which would not</w:t>
      </w:r>
      <w:r w:rsidR="0097681A" w:rsidRPr="00C64DCA">
        <w:rPr>
          <w:rFonts w:eastAsiaTheme="majorEastAsia"/>
        </w:rPr>
        <w:t xml:space="preserve"> be coded.</w:t>
      </w:r>
      <w:bookmarkStart w:id="10" w:name="_Hlk1547412"/>
      <w:r w:rsidR="00EC0097" w:rsidRPr="00C64DCA">
        <w:rPr>
          <w:rFonts w:eastAsiaTheme="majorEastAsia"/>
        </w:rPr>
        <w:t xml:space="preserve"> The proportion of patients who had ever used prednisone was high. This could be due to several reasons: short courses prescribed for symptom flares would be counted; our data extended back to a time when other treatment options were limited; we did not have data to distinguish prednisone prescribed for other co-existing conditions. We also did not have data on cumulative NSAID exposure</w:t>
      </w:r>
      <w:r w:rsidR="004764F1">
        <w:rPr>
          <w:rFonts w:eastAsiaTheme="majorEastAsia"/>
        </w:rPr>
        <w:t xml:space="preserve"> </w:t>
      </w:r>
      <w:r w:rsidR="004764F1" w:rsidRPr="004764F1">
        <w:rPr>
          <w:rFonts w:eastAsiaTheme="majorEastAsia"/>
        </w:rPr>
        <w:t>as they are widely available over-the-counter in the US</w:t>
      </w:r>
      <w:r w:rsidR="00EC0097" w:rsidRPr="00C64DCA">
        <w:rPr>
          <w:rFonts w:eastAsiaTheme="majorEastAsia"/>
        </w:rPr>
        <w:t xml:space="preserve">. </w:t>
      </w:r>
      <w:r w:rsidR="00EC0097" w:rsidRPr="00C64DCA">
        <w:rPr>
          <w:rFonts w:ascii="Calibri" w:hAnsi="Calibri" w:cs="Calibri"/>
        </w:rPr>
        <w:t>While the comorbidities consequent of glucocorticoids and NSAIDs are well recognised, how they affect the number and type of comorbidities in axSpA would be an interesting area for future study</w:t>
      </w:r>
      <w:bookmarkStart w:id="11" w:name="_Hlk1551304"/>
      <w:r w:rsidR="00EC0097" w:rsidRPr="00C64DCA">
        <w:rPr>
          <w:rFonts w:ascii="Calibri" w:hAnsi="Calibri" w:cs="Calibri"/>
        </w:rPr>
        <w:t>, but one that we cannot adequately study in the current dataset.</w:t>
      </w:r>
      <w:bookmarkEnd w:id="11"/>
    </w:p>
    <w:bookmarkEnd w:id="10"/>
    <w:p w14:paraId="4C7C15E3" w14:textId="4E4B4DB0" w:rsidR="00AB632B" w:rsidRPr="00C64DCA" w:rsidRDefault="00AB632B" w:rsidP="00421F64">
      <w:pPr>
        <w:spacing w:line="480" w:lineRule="auto"/>
        <w:rPr>
          <w:rFonts w:eastAsiaTheme="majorEastAsia"/>
        </w:rPr>
      </w:pPr>
      <w:r w:rsidRPr="00C64DCA">
        <w:rPr>
          <w:rFonts w:eastAsiaTheme="majorEastAsia"/>
        </w:rPr>
        <w:lastRenderedPageBreak/>
        <w:t xml:space="preserve">In </w:t>
      </w:r>
      <w:r w:rsidR="00CE09CC" w:rsidRPr="00C64DCA">
        <w:rPr>
          <w:rFonts w:eastAsiaTheme="majorEastAsia"/>
        </w:rPr>
        <w:t>conclusion</w:t>
      </w:r>
      <w:r w:rsidRPr="00C64DCA">
        <w:rPr>
          <w:rFonts w:eastAsiaTheme="majorEastAsia"/>
        </w:rPr>
        <w:t>, nr-axSpA patients had</w:t>
      </w:r>
      <w:r w:rsidR="00032D06" w:rsidRPr="00C64DCA">
        <w:rPr>
          <w:rFonts w:eastAsiaTheme="majorEastAsia"/>
        </w:rPr>
        <w:t xml:space="preserve"> </w:t>
      </w:r>
      <w:r w:rsidRPr="00C64DCA">
        <w:rPr>
          <w:rFonts w:eastAsiaTheme="majorEastAsia"/>
        </w:rPr>
        <w:t>similar comorbidity burden</w:t>
      </w:r>
      <w:r w:rsidR="00064D38" w:rsidRPr="00C64DCA">
        <w:rPr>
          <w:rFonts w:eastAsiaTheme="majorEastAsia"/>
        </w:rPr>
        <w:t>s</w:t>
      </w:r>
      <w:r w:rsidRPr="00C64DCA">
        <w:rPr>
          <w:rFonts w:eastAsiaTheme="majorEastAsia"/>
        </w:rPr>
        <w:t xml:space="preserve"> as those with AS. </w:t>
      </w:r>
      <w:r w:rsidR="008912EB" w:rsidRPr="00C64DCA">
        <w:rPr>
          <w:rFonts w:eastAsiaTheme="majorEastAsia"/>
        </w:rPr>
        <w:t xml:space="preserve">These findings highlight the importance of identifying and managing comorbidities in these patients and support a unified management approach for </w:t>
      </w:r>
      <w:r w:rsidR="00CE09CC" w:rsidRPr="00C64DCA">
        <w:rPr>
          <w:rFonts w:eastAsiaTheme="majorEastAsia"/>
        </w:rPr>
        <w:t>the full spectrum of axSpA</w:t>
      </w:r>
      <w:r w:rsidR="008912EB" w:rsidRPr="00C64DCA">
        <w:rPr>
          <w:rFonts w:eastAsiaTheme="majorEastAsia"/>
        </w:rPr>
        <w:t>. In this large US cohort,</w:t>
      </w:r>
      <w:r w:rsidRPr="00C64DCA">
        <w:rPr>
          <w:rFonts w:eastAsiaTheme="majorEastAsia"/>
        </w:rPr>
        <w:t xml:space="preserve"> AS and nr-axSpA patients received comparable </w:t>
      </w:r>
      <w:r w:rsidR="008912EB" w:rsidRPr="00C64DCA">
        <w:rPr>
          <w:rFonts w:eastAsiaTheme="majorEastAsia"/>
        </w:rPr>
        <w:t xml:space="preserve">bDMARD </w:t>
      </w:r>
      <w:r w:rsidRPr="00C64DCA">
        <w:rPr>
          <w:rFonts w:eastAsiaTheme="majorEastAsia"/>
        </w:rPr>
        <w:t>treatment</w:t>
      </w:r>
      <w:r w:rsidR="008912EB" w:rsidRPr="00C64DCA">
        <w:rPr>
          <w:rFonts w:eastAsiaTheme="majorEastAsia"/>
        </w:rPr>
        <w:t>.</w:t>
      </w:r>
    </w:p>
    <w:p w14:paraId="4FD1CDF4" w14:textId="77777777" w:rsidR="00E66551" w:rsidRPr="00C64DCA" w:rsidRDefault="00E66551" w:rsidP="00E66551">
      <w:pPr>
        <w:spacing w:line="360" w:lineRule="auto"/>
      </w:pPr>
      <w:r w:rsidRPr="00C64DCA">
        <w:rPr>
          <w:b/>
        </w:rPr>
        <w:t>Acknowledgements</w:t>
      </w:r>
    </w:p>
    <w:p w14:paraId="4BC81D66" w14:textId="40A65940" w:rsidR="00310B76" w:rsidRPr="003D53EA" w:rsidRDefault="00E66551" w:rsidP="00310B76">
      <w:pPr>
        <w:spacing w:line="360" w:lineRule="auto"/>
        <w:rPr>
          <w:rFonts w:eastAsiaTheme="majorEastAsia" w:cstheme="minorHAnsi"/>
        </w:rPr>
      </w:pPr>
      <w:r w:rsidRPr="00C64DCA">
        <w:rPr>
          <w:rFonts w:cs="Calibri"/>
          <w:b/>
        </w:rPr>
        <w:t>Funding</w:t>
      </w:r>
      <w:r w:rsidRPr="00C64DCA">
        <w:rPr>
          <w:rFonts w:cs="Calibri"/>
        </w:rPr>
        <w:t xml:space="preserve">: </w:t>
      </w:r>
      <w:r w:rsidR="00310B76" w:rsidRPr="003D53EA">
        <w:rPr>
          <w:rFonts w:eastAsiaTheme="majorEastAsia" w:cstheme="minorHAnsi"/>
        </w:rPr>
        <w:t xml:space="preserve">SZ was supported by awards from the Royal College of Physicians (John Glyn bursary) and Royal Society of Medicine (Kovacs fellowship). KY received financial support for his doctoral study from the Pharmacoepidemiology Program at the Harvard T.H. Chan School of Public Health (partially supported by training grants from Pfizer, Takeda, Bayer and ASISA) and </w:t>
      </w:r>
      <w:proofErr w:type="spellStart"/>
      <w:r w:rsidR="00310B76" w:rsidRPr="003D53EA">
        <w:rPr>
          <w:rFonts w:eastAsiaTheme="majorEastAsia" w:cstheme="minorHAnsi"/>
        </w:rPr>
        <w:t>Honjo</w:t>
      </w:r>
      <w:proofErr w:type="spellEnd"/>
      <w:r w:rsidR="00310B76" w:rsidRPr="003D53EA">
        <w:rPr>
          <w:rFonts w:eastAsiaTheme="majorEastAsia" w:cstheme="minorHAnsi"/>
        </w:rPr>
        <w:t xml:space="preserve"> International Scholarship Foundation. </w:t>
      </w:r>
      <w:r w:rsidR="00B45492">
        <w:rPr>
          <w:rFonts w:eastAsiaTheme="majorEastAsia" w:cstheme="minorHAnsi"/>
        </w:rPr>
        <w:t>KPL was supported by the NIH-P30-AR072577 (VERITY) grant.</w:t>
      </w:r>
      <w:r w:rsidR="00B45492">
        <w:rPr>
          <w:rFonts w:eastAsiaTheme="majorEastAsia" w:cstheme="minorHAnsi"/>
        </w:rPr>
        <w:t xml:space="preserve"> </w:t>
      </w:r>
      <w:r w:rsidR="00310B76" w:rsidRPr="003D53EA">
        <w:rPr>
          <w:rFonts w:eastAsiaTheme="majorEastAsia" w:cstheme="minorHAnsi"/>
        </w:rPr>
        <w:t>DHS was supported by grants from the National Institute of Health (NIH-P30-AR072577 (VERITY) and NIH-K24AR055989)</w:t>
      </w:r>
      <w:bookmarkStart w:id="12" w:name="_GoBack"/>
      <w:bookmarkEnd w:id="12"/>
      <w:r w:rsidR="00310B76" w:rsidRPr="003D53EA">
        <w:rPr>
          <w:rFonts w:eastAsiaTheme="majorEastAsia" w:cstheme="minorHAnsi"/>
        </w:rPr>
        <w:t xml:space="preserve"> and has received funding from Abbvie and Amgen unrelated to this work. </w:t>
      </w:r>
    </w:p>
    <w:p w14:paraId="57A7B769" w14:textId="497FED87" w:rsidR="00E66551" w:rsidRPr="00C64DCA" w:rsidRDefault="00E66551" w:rsidP="00E66551">
      <w:pPr>
        <w:spacing w:line="360" w:lineRule="auto"/>
        <w:rPr>
          <w:rFonts w:cs="Calibri"/>
        </w:rPr>
      </w:pPr>
      <w:r w:rsidRPr="00C64DCA">
        <w:rPr>
          <w:rFonts w:cs="Calibri"/>
          <w:b/>
        </w:rPr>
        <w:t>Disclosures</w:t>
      </w:r>
      <w:r w:rsidRPr="00C64DCA">
        <w:rPr>
          <w:rFonts w:cs="Calibri"/>
        </w:rPr>
        <w:t>: The authors declare no conflicts of interest.</w:t>
      </w:r>
    </w:p>
    <w:p w14:paraId="7E80001A" w14:textId="2ED8C14B" w:rsidR="00E43050" w:rsidRPr="00C64DCA" w:rsidRDefault="00E43050" w:rsidP="00E708BE">
      <w:pPr>
        <w:spacing w:line="240" w:lineRule="auto"/>
        <w:rPr>
          <w:rFonts w:eastAsiaTheme="majorEastAsia"/>
        </w:rPr>
      </w:pPr>
    </w:p>
    <w:p w14:paraId="5BAC5521" w14:textId="77777777" w:rsidR="00AB632B" w:rsidRPr="00C64DCA" w:rsidRDefault="00AB632B" w:rsidP="00AD7335">
      <w:pPr>
        <w:spacing w:line="240" w:lineRule="auto"/>
        <w:rPr>
          <w:rFonts w:eastAsiaTheme="majorEastAsia"/>
        </w:rPr>
      </w:pPr>
    </w:p>
    <w:p w14:paraId="35874AAC" w14:textId="77777777" w:rsidR="00AB632B" w:rsidRPr="00C64DCA" w:rsidRDefault="00AB632B">
      <w:pPr>
        <w:rPr>
          <w:rFonts w:eastAsiaTheme="majorEastAsia"/>
        </w:rPr>
      </w:pPr>
      <w:r w:rsidRPr="00C64DCA">
        <w:rPr>
          <w:rFonts w:eastAsiaTheme="majorEastAsia"/>
        </w:rPr>
        <w:br w:type="page"/>
      </w:r>
    </w:p>
    <w:p w14:paraId="51CE3AAD" w14:textId="7D4AB178" w:rsidR="00127327" w:rsidRPr="00C64DCA" w:rsidRDefault="00127327" w:rsidP="00AD7335">
      <w:pPr>
        <w:spacing w:line="240" w:lineRule="auto"/>
        <w:rPr>
          <w:rFonts w:eastAsiaTheme="majorEastAsia"/>
          <w:b/>
        </w:rPr>
      </w:pPr>
      <w:r w:rsidRPr="00C64DCA">
        <w:rPr>
          <w:rFonts w:eastAsiaTheme="majorEastAsia"/>
          <w:b/>
        </w:rPr>
        <w:lastRenderedPageBreak/>
        <w:t>References</w:t>
      </w:r>
    </w:p>
    <w:p w14:paraId="7358054D" w14:textId="77777777" w:rsidR="00B97C9C" w:rsidRPr="00C64DCA" w:rsidRDefault="00127327" w:rsidP="00B97C9C">
      <w:pPr>
        <w:pStyle w:val="Bibliography"/>
        <w:rPr>
          <w:rFonts w:ascii="Calibri" w:hAnsi="Calibri"/>
        </w:rPr>
      </w:pPr>
      <w:r w:rsidRPr="00C64DCA">
        <w:rPr>
          <w:rFonts w:eastAsiaTheme="majorEastAsia"/>
        </w:rPr>
        <w:fldChar w:fldCharType="begin"/>
      </w:r>
      <w:r w:rsidR="00B97C9C" w:rsidRPr="00C64DCA">
        <w:rPr>
          <w:rFonts w:eastAsiaTheme="majorEastAsia"/>
        </w:rPr>
        <w:instrText xml:space="preserve"> ADDIN ZOTERO_BIBL {"uncited":[],"omitted":[],"custom":[]} CSL_BIBLIOGRAPHY </w:instrText>
      </w:r>
      <w:r w:rsidRPr="00C64DCA">
        <w:rPr>
          <w:rFonts w:eastAsiaTheme="majorEastAsia"/>
        </w:rPr>
        <w:fldChar w:fldCharType="separate"/>
      </w:r>
      <w:r w:rsidR="00B97C9C" w:rsidRPr="00C64DCA">
        <w:rPr>
          <w:rFonts w:ascii="Calibri" w:hAnsi="Calibri"/>
        </w:rPr>
        <w:t xml:space="preserve">1. </w:t>
      </w:r>
      <w:r w:rsidR="00B97C9C" w:rsidRPr="00C64DCA">
        <w:rPr>
          <w:rFonts w:ascii="Calibri" w:hAnsi="Calibri"/>
        </w:rPr>
        <w:tab/>
        <w:t xml:space="preserve">Sieper J, Poddubnyy D. Axial spondyloarthritis. Lancet. 2017 01;390(10089):73–84. </w:t>
      </w:r>
    </w:p>
    <w:p w14:paraId="12D0467F" w14:textId="77777777" w:rsidR="00B97C9C" w:rsidRPr="00C64DCA" w:rsidRDefault="00B97C9C" w:rsidP="00B97C9C">
      <w:pPr>
        <w:pStyle w:val="Bibliography"/>
        <w:rPr>
          <w:rFonts w:ascii="Calibri" w:hAnsi="Calibri"/>
        </w:rPr>
      </w:pPr>
      <w:r w:rsidRPr="00C64DCA">
        <w:rPr>
          <w:rFonts w:ascii="Calibri" w:hAnsi="Calibri"/>
        </w:rPr>
        <w:t xml:space="preserve">2. </w:t>
      </w:r>
      <w:r w:rsidRPr="00C64DCA">
        <w:rPr>
          <w:rFonts w:ascii="Calibri" w:hAnsi="Calibri"/>
        </w:rPr>
        <w:tab/>
        <w:t xml:space="preserve">Rudwaleit M, Haibel H, Baraliakos X, Listing J, Märker-Hermann E, Zeidler H, et al. The early disease stage in axial spondylarthritis: results from the German Spondyloarthritis Inception Cohort. Arthritis Rheum. 2009 Mar;60(3):717–27. </w:t>
      </w:r>
    </w:p>
    <w:p w14:paraId="5B2D42C9" w14:textId="77777777" w:rsidR="00B97C9C" w:rsidRPr="00C64DCA" w:rsidRDefault="00B97C9C" w:rsidP="00B97C9C">
      <w:pPr>
        <w:pStyle w:val="Bibliography"/>
        <w:rPr>
          <w:rFonts w:ascii="Calibri" w:hAnsi="Calibri"/>
        </w:rPr>
      </w:pPr>
      <w:r w:rsidRPr="00C64DCA">
        <w:rPr>
          <w:rFonts w:ascii="Calibri" w:hAnsi="Calibri"/>
        </w:rPr>
        <w:t xml:space="preserve">3. </w:t>
      </w:r>
      <w:r w:rsidRPr="00C64DCA">
        <w:rPr>
          <w:rFonts w:ascii="Calibri" w:hAnsi="Calibri"/>
        </w:rPr>
        <w:tab/>
        <w:t xml:space="preserve">Kiltz U, Baraliakos X, Karakostas P, Igelmann M, Kalthoff L, Klink C, et al. Do patients with non-radiographic axial spondylarthritis differ from patients with ankylosing spondylitis? Arthritis Care Res (Hoboken). 2012 Sep;64(9):1415–22. </w:t>
      </w:r>
    </w:p>
    <w:p w14:paraId="72681240" w14:textId="77777777" w:rsidR="00B97C9C" w:rsidRPr="00C64DCA" w:rsidRDefault="00B97C9C" w:rsidP="00B97C9C">
      <w:pPr>
        <w:pStyle w:val="Bibliography"/>
        <w:rPr>
          <w:rFonts w:ascii="Calibri" w:hAnsi="Calibri"/>
        </w:rPr>
      </w:pPr>
      <w:r w:rsidRPr="00C64DCA">
        <w:rPr>
          <w:rFonts w:ascii="Calibri" w:hAnsi="Calibri"/>
        </w:rPr>
        <w:t xml:space="preserve">4. </w:t>
      </w:r>
      <w:r w:rsidRPr="00C64DCA">
        <w:rPr>
          <w:rFonts w:ascii="Calibri" w:hAnsi="Calibri"/>
        </w:rPr>
        <w:tab/>
        <w:t xml:space="preserve">Barnett K, Mercer SW, Norbury M, Watt G, Wyke S, Guthrie B. Epidemiology of multimorbidity and implications for health care, research, and medical education: a cross-sectional study. The Lancet. 2012 Jul;380(9836):37–43. </w:t>
      </w:r>
    </w:p>
    <w:p w14:paraId="1D911D69" w14:textId="77777777" w:rsidR="00B97C9C" w:rsidRPr="00C64DCA" w:rsidRDefault="00B97C9C" w:rsidP="00B97C9C">
      <w:pPr>
        <w:pStyle w:val="Bibliography"/>
        <w:rPr>
          <w:rFonts w:ascii="Calibri" w:hAnsi="Calibri"/>
        </w:rPr>
      </w:pPr>
      <w:r w:rsidRPr="00C64DCA">
        <w:rPr>
          <w:rFonts w:ascii="Calibri" w:hAnsi="Calibri"/>
        </w:rPr>
        <w:t xml:space="preserve">5. </w:t>
      </w:r>
      <w:r w:rsidRPr="00C64DCA">
        <w:rPr>
          <w:rFonts w:ascii="Calibri" w:hAnsi="Calibri"/>
        </w:rPr>
        <w:tab/>
        <w:t xml:space="preserve">Willerson James T., Ridker Paul M. Inflammation as a Cardiovascular Risk Factor. Circulation. 2004 Jun 1;109(21_suppl_1):II–2. </w:t>
      </w:r>
    </w:p>
    <w:p w14:paraId="6321F7DF" w14:textId="77777777" w:rsidR="00B97C9C" w:rsidRPr="00C64DCA" w:rsidRDefault="00B97C9C" w:rsidP="00B97C9C">
      <w:pPr>
        <w:pStyle w:val="Bibliography"/>
        <w:rPr>
          <w:rFonts w:ascii="Calibri" w:hAnsi="Calibri"/>
        </w:rPr>
      </w:pPr>
      <w:r w:rsidRPr="00C64DCA">
        <w:rPr>
          <w:rFonts w:ascii="Calibri" w:hAnsi="Calibri"/>
        </w:rPr>
        <w:t xml:space="preserve">6. </w:t>
      </w:r>
      <w:r w:rsidRPr="00C64DCA">
        <w:rPr>
          <w:rFonts w:ascii="Calibri" w:hAnsi="Calibri"/>
        </w:rPr>
        <w:tab/>
        <w:t xml:space="preserve">Nikiphorou E, Ramiro S, van der Heijde D, Norton S, Moltó A, Dougados M, et al. Association of Comorbidities in Spondyloarthritis With Poor Function, Work Disability, and Quality of Life: Results From the Assessment of SpondyloArthritis International Society Comorbidities in Spondyloarthritis Study. Arthritis Care &amp; Research. 2018 Aug;70(8):1257–62. </w:t>
      </w:r>
    </w:p>
    <w:p w14:paraId="292EFEBB" w14:textId="77777777" w:rsidR="00B97C9C" w:rsidRPr="00C64DCA" w:rsidRDefault="00B97C9C" w:rsidP="00B97C9C">
      <w:pPr>
        <w:pStyle w:val="Bibliography"/>
        <w:rPr>
          <w:rFonts w:ascii="Calibri" w:hAnsi="Calibri"/>
        </w:rPr>
      </w:pPr>
      <w:r w:rsidRPr="00C64DCA">
        <w:rPr>
          <w:rFonts w:ascii="Calibri" w:hAnsi="Calibri"/>
        </w:rPr>
        <w:t xml:space="preserve">7. </w:t>
      </w:r>
      <w:r w:rsidRPr="00C64DCA">
        <w:rPr>
          <w:rFonts w:ascii="Calibri" w:hAnsi="Calibri"/>
        </w:rPr>
        <w:tab/>
        <w:t xml:space="preserve">Song I-H, Weiß A, Hermann K-GA, Haibel H, Althoff CE, Poddubnyy D, et al. Similar response rates in patients with ankylosing spondylitis and non-radiographic axial spondyloarthritis after 1 year of treatment with etanercept: results from the ESTHER trial. Ann Rheum Dis. 2013 Jun;72(6):823–5. </w:t>
      </w:r>
    </w:p>
    <w:p w14:paraId="0AEF01D0" w14:textId="77777777" w:rsidR="00B97C9C" w:rsidRPr="00C64DCA" w:rsidRDefault="00B97C9C" w:rsidP="00B97C9C">
      <w:pPr>
        <w:pStyle w:val="Bibliography"/>
        <w:rPr>
          <w:rFonts w:ascii="Calibri" w:hAnsi="Calibri"/>
        </w:rPr>
      </w:pPr>
      <w:r w:rsidRPr="00C64DCA">
        <w:rPr>
          <w:rFonts w:ascii="Calibri" w:hAnsi="Calibri"/>
        </w:rPr>
        <w:t xml:space="preserve">8. </w:t>
      </w:r>
      <w:r w:rsidRPr="00C64DCA">
        <w:rPr>
          <w:rFonts w:ascii="Calibri" w:hAnsi="Calibri"/>
        </w:rPr>
        <w:tab/>
        <w:t xml:space="preserve">Landewé R, Braun J, Deodhar A, Dougados M, Maksymowych WP, Mease PJ, et al. Efficacy of certolizumab pegol on signs and symptoms of axial spondyloarthritis including ankylosing spondylitis: 24-week results of a double-blind randomised placebo-controlled Phase 3 study. Annals of the Rheumatic Diseases. 2014 Jan 1;73(1):39–47. </w:t>
      </w:r>
    </w:p>
    <w:p w14:paraId="0E252CAE" w14:textId="77777777" w:rsidR="00B97C9C" w:rsidRPr="00C64DCA" w:rsidRDefault="00B97C9C" w:rsidP="00B97C9C">
      <w:pPr>
        <w:pStyle w:val="Bibliography"/>
        <w:rPr>
          <w:rFonts w:ascii="Calibri" w:hAnsi="Calibri"/>
        </w:rPr>
      </w:pPr>
      <w:r w:rsidRPr="00C64DCA">
        <w:rPr>
          <w:rFonts w:ascii="Calibri" w:hAnsi="Calibri"/>
        </w:rPr>
        <w:t xml:space="preserve">9. </w:t>
      </w:r>
      <w:r w:rsidRPr="00C64DCA">
        <w:rPr>
          <w:rFonts w:ascii="Calibri" w:hAnsi="Calibri"/>
        </w:rPr>
        <w:tab/>
        <w:t xml:space="preserve">Mease PJ, Heijde DVD, Karki C, Palmer JB, Liu M, Pandurengan R, et al. Characterization of Patients With Ankylosing Spondylitis and Nonradiographic Axial Spondyloarthritis in the US-Based Corrona Registry. Arthritis Care &amp; Research. 2018 Nov;70(11):1661–70. </w:t>
      </w:r>
    </w:p>
    <w:p w14:paraId="432FD7D1" w14:textId="77777777" w:rsidR="00B97C9C" w:rsidRPr="00C64DCA" w:rsidRDefault="00B97C9C" w:rsidP="00B97C9C">
      <w:pPr>
        <w:pStyle w:val="Bibliography"/>
        <w:rPr>
          <w:rFonts w:ascii="Calibri" w:hAnsi="Calibri"/>
        </w:rPr>
      </w:pPr>
      <w:r w:rsidRPr="00C64DCA">
        <w:rPr>
          <w:rFonts w:ascii="Calibri" w:hAnsi="Calibri"/>
        </w:rPr>
        <w:t xml:space="preserve">10. </w:t>
      </w:r>
      <w:r w:rsidRPr="00C64DCA">
        <w:rPr>
          <w:rFonts w:ascii="Calibri" w:hAnsi="Calibri"/>
        </w:rPr>
        <w:tab/>
        <w:t xml:space="preserve">Lindström U, Exarchou S, Sigurdardottir V, Sundström B, Askling J, Eriksson J, et al. Validity of ankylosing spondylitis and undifferentiated spondyloarthritis diagnoses in the Swedish National Patient Register. Scandinavian Journal of Rheumatology. 2015 Sep 3;44(5):369–76. </w:t>
      </w:r>
    </w:p>
    <w:p w14:paraId="1D774724" w14:textId="77777777" w:rsidR="00B97C9C" w:rsidRPr="00C64DCA" w:rsidRDefault="00B97C9C" w:rsidP="00B97C9C">
      <w:pPr>
        <w:pStyle w:val="Bibliography"/>
        <w:rPr>
          <w:rFonts w:ascii="Calibri" w:hAnsi="Calibri"/>
        </w:rPr>
      </w:pPr>
      <w:r w:rsidRPr="00C64DCA">
        <w:rPr>
          <w:rFonts w:ascii="Calibri" w:hAnsi="Calibri"/>
        </w:rPr>
        <w:t xml:space="preserve">11. </w:t>
      </w:r>
      <w:r w:rsidRPr="00C64DCA">
        <w:rPr>
          <w:rFonts w:ascii="Calibri" w:hAnsi="Calibri"/>
        </w:rPr>
        <w:tab/>
        <w:t xml:space="preserve">van der Linden S, Valkenburg HA, Cats A. Evaluation of diagnostic criteria for ankylosing spondylitis. A proposal for modification of the New York criteria. Arthritis Rheum. 1984 Apr;27(4):361–8. </w:t>
      </w:r>
    </w:p>
    <w:p w14:paraId="03F0FE3B" w14:textId="77777777" w:rsidR="00B97C9C" w:rsidRPr="00C64DCA" w:rsidRDefault="00B97C9C" w:rsidP="00B97C9C">
      <w:pPr>
        <w:pStyle w:val="Bibliography"/>
        <w:rPr>
          <w:rFonts w:ascii="Calibri" w:hAnsi="Calibri"/>
        </w:rPr>
      </w:pPr>
      <w:r w:rsidRPr="00C64DCA">
        <w:rPr>
          <w:rFonts w:ascii="Calibri" w:hAnsi="Calibri"/>
        </w:rPr>
        <w:t xml:space="preserve">12. </w:t>
      </w:r>
      <w:r w:rsidRPr="00C64DCA">
        <w:rPr>
          <w:rFonts w:ascii="Calibri" w:hAnsi="Calibri"/>
        </w:rPr>
        <w:tab/>
        <w:t xml:space="preserve">Rudwaleit M, van der Heijde D, Landewé R, Listing J, Akkoc N, Brandt J, et al. The development of Assessment of SpondyloArthritis international Society classification criteria for axial spondyloarthritis (part II): validation and final selection. Ann Rheum Dis. 2009 Jun;68(6):777–83. </w:t>
      </w:r>
    </w:p>
    <w:p w14:paraId="4F55E238" w14:textId="77777777" w:rsidR="00B97C9C" w:rsidRPr="00C64DCA" w:rsidRDefault="00B97C9C" w:rsidP="00B97C9C">
      <w:pPr>
        <w:pStyle w:val="Bibliography"/>
        <w:rPr>
          <w:rFonts w:ascii="Calibri" w:hAnsi="Calibri"/>
        </w:rPr>
      </w:pPr>
      <w:r w:rsidRPr="00C64DCA">
        <w:rPr>
          <w:rFonts w:ascii="Calibri" w:hAnsi="Calibri"/>
        </w:rPr>
        <w:lastRenderedPageBreak/>
        <w:t xml:space="preserve">13. </w:t>
      </w:r>
      <w:r w:rsidRPr="00C64DCA">
        <w:rPr>
          <w:rFonts w:ascii="Calibri" w:hAnsi="Calibri"/>
        </w:rPr>
        <w:tab/>
        <w:t xml:space="preserve">Radner H, Yoshida K, Mjaavatten MD, Aletaha D, Frits M, Lu B, et al. Development of a multimorbidity index: Impact on quality of life using a rheumatoid arthritis cohort. Seminars in Arthritis and Rheumatism. 2015 Oct;45(2):167–73. </w:t>
      </w:r>
    </w:p>
    <w:p w14:paraId="2CD44E72" w14:textId="77777777" w:rsidR="00B97C9C" w:rsidRPr="00C64DCA" w:rsidRDefault="00B97C9C" w:rsidP="00B97C9C">
      <w:pPr>
        <w:pStyle w:val="Bibliography"/>
        <w:rPr>
          <w:rFonts w:ascii="Calibri" w:hAnsi="Calibri"/>
        </w:rPr>
      </w:pPr>
      <w:r w:rsidRPr="00C64DCA">
        <w:rPr>
          <w:rFonts w:ascii="Calibri" w:hAnsi="Calibri"/>
        </w:rPr>
        <w:t xml:space="preserve">14. </w:t>
      </w:r>
      <w:r w:rsidRPr="00C64DCA">
        <w:rPr>
          <w:rFonts w:ascii="Calibri" w:hAnsi="Calibri"/>
        </w:rPr>
        <w:tab/>
        <w:t>Arcoxia (etoricoxib) FDA Approval Status [Internet]. Drugs.com. [cited 2019 Feb 22]. Available from: https://www.drugs.com/history/arcoxia.html</w:t>
      </w:r>
    </w:p>
    <w:p w14:paraId="67D2258E" w14:textId="77777777" w:rsidR="00B97C9C" w:rsidRPr="00C64DCA" w:rsidRDefault="00B97C9C" w:rsidP="00B97C9C">
      <w:pPr>
        <w:pStyle w:val="Bibliography"/>
        <w:rPr>
          <w:rFonts w:ascii="Calibri" w:hAnsi="Calibri"/>
        </w:rPr>
      </w:pPr>
      <w:r w:rsidRPr="00C64DCA">
        <w:rPr>
          <w:rFonts w:ascii="Calibri" w:hAnsi="Calibri"/>
        </w:rPr>
        <w:t xml:space="preserve">15. </w:t>
      </w:r>
      <w:r w:rsidRPr="00C64DCA">
        <w:rPr>
          <w:rFonts w:ascii="Calibri" w:hAnsi="Calibri"/>
        </w:rPr>
        <w:tab/>
        <w:t xml:space="preserve">Zhao S, Thong D, Miller N, Duffield SJ, Hughes DM, Chadwick L, et al. The prevalence of depression in axial spondyloarthritis and its association with disease activity: a systematic review and meta-analysis. Arthritis Research &amp; Therapy. 2018 Dec;20(1). </w:t>
      </w:r>
    </w:p>
    <w:p w14:paraId="03F7B6FE" w14:textId="77777777" w:rsidR="00B97C9C" w:rsidRPr="00C64DCA" w:rsidRDefault="00B97C9C" w:rsidP="00B97C9C">
      <w:pPr>
        <w:pStyle w:val="Bibliography"/>
        <w:rPr>
          <w:rFonts w:ascii="Calibri" w:hAnsi="Calibri"/>
        </w:rPr>
      </w:pPr>
      <w:r w:rsidRPr="00C64DCA">
        <w:rPr>
          <w:rFonts w:ascii="Calibri" w:hAnsi="Calibri"/>
        </w:rPr>
        <w:t xml:space="preserve">16. </w:t>
      </w:r>
      <w:r w:rsidRPr="00C64DCA">
        <w:rPr>
          <w:rFonts w:ascii="Calibri" w:hAnsi="Calibri"/>
        </w:rPr>
        <w:tab/>
        <w:t xml:space="preserve">Stolwijk C, van Tubergen A, Castillo-Ortiz JD, Boonen A. Prevalence of extra-articular manifestations in patients with ankylosing spondylitis: a systematic review and meta-analysis. Ann Rheum Dis. 2015 Jan;74(1):65–73. </w:t>
      </w:r>
    </w:p>
    <w:p w14:paraId="5133F228" w14:textId="77777777" w:rsidR="00B97C9C" w:rsidRPr="00C64DCA" w:rsidRDefault="00B97C9C" w:rsidP="00B97C9C">
      <w:pPr>
        <w:pStyle w:val="Bibliography"/>
        <w:rPr>
          <w:rFonts w:ascii="Calibri" w:hAnsi="Calibri"/>
        </w:rPr>
      </w:pPr>
      <w:r w:rsidRPr="00C64DCA">
        <w:rPr>
          <w:rFonts w:ascii="Calibri" w:hAnsi="Calibri"/>
        </w:rPr>
        <w:t xml:space="preserve">17. </w:t>
      </w:r>
      <w:r w:rsidRPr="00C64DCA">
        <w:rPr>
          <w:rFonts w:ascii="Calibri" w:hAnsi="Calibri"/>
        </w:rPr>
        <w:tab/>
        <w:t xml:space="preserve">Baraliakos X, Braun J. Non-radiographic axial spondyloarthritis and ankylosing spondylitis: what are the similarities and differences? RMD Open. 2015 Aug 15;1(Suppl 1). </w:t>
      </w:r>
    </w:p>
    <w:p w14:paraId="50DDD819" w14:textId="77777777" w:rsidR="00B97C9C" w:rsidRPr="00C64DCA" w:rsidRDefault="00B97C9C" w:rsidP="00B97C9C">
      <w:pPr>
        <w:pStyle w:val="Bibliography"/>
        <w:rPr>
          <w:rFonts w:ascii="Calibri" w:hAnsi="Calibri"/>
        </w:rPr>
      </w:pPr>
      <w:r w:rsidRPr="00C64DCA">
        <w:rPr>
          <w:rFonts w:ascii="Calibri" w:hAnsi="Calibri"/>
        </w:rPr>
        <w:t xml:space="preserve">18. </w:t>
      </w:r>
      <w:r w:rsidRPr="00C64DCA">
        <w:rPr>
          <w:rFonts w:ascii="Calibri" w:hAnsi="Calibri"/>
        </w:rPr>
        <w:tab/>
        <w:t xml:space="preserve">Heijde D van der, Ramiro S, Landewé R, Baraliakos X, Bosch FV den, Sepriano A, et al. 2016 update of the ASAS-EULAR management recommendations for axial spondyloarthritis. Annals of the Rheumatic Diseases. 2017 Jun 1;76(6):978–91. </w:t>
      </w:r>
    </w:p>
    <w:p w14:paraId="69B822AD" w14:textId="77777777" w:rsidR="00B97C9C" w:rsidRPr="00C64DCA" w:rsidRDefault="00B97C9C" w:rsidP="00B97C9C">
      <w:pPr>
        <w:pStyle w:val="Bibliography"/>
        <w:rPr>
          <w:rFonts w:ascii="Calibri" w:hAnsi="Calibri"/>
        </w:rPr>
      </w:pPr>
      <w:r w:rsidRPr="00C64DCA">
        <w:rPr>
          <w:rFonts w:ascii="Calibri" w:hAnsi="Calibri"/>
        </w:rPr>
        <w:t xml:space="preserve">19. </w:t>
      </w:r>
      <w:r w:rsidRPr="00C64DCA">
        <w:rPr>
          <w:rFonts w:ascii="Calibri" w:hAnsi="Calibri"/>
        </w:rPr>
        <w:tab/>
        <w:t xml:space="preserve">Ward MM, Deodhar A, Akl EA, Lui A, Ermann J, Gensler LS, et al. American College of Rheumatology/Spondylitis Association of America/Spondyloarthritis Research and Treatment Network 2015 Recommendations for the Treatment of Ankylosing Spondylitis and Nonradiographic Axial Spondyloarthritis: ACR/SAA/Spartan Treatment Recommendations in as. Arthritis &amp; Rheumatology. 2016 Feb;68(2):282–98. </w:t>
      </w:r>
    </w:p>
    <w:p w14:paraId="581740C1" w14:textId="77777777" w:rsidR="00B97C9C" w:rsidRPr="00C64DCA" w:rsidRDefault="00B97C9C" w:rsidP="00B97C9C">
      <w:pPr>
        <w:pStyle w:val="Bibliography"/>
        <w:rPr>
          <w:rFonts w:ascii="Calibri" w:hAnsi="Calibri"/>
        </w:rPr>
      </w:pPr>
      <w:r w:rsidRPr="00C64DCA">
        <w:rPr>
          <w:rFonts w:ascii="Calibri" w:hAnsi="Calibri"/>
        </w:rPr>
        <w:t xml:space="preserve">20. </w:t>
      </w:r>
      <w:r w:rsidRPr="00C64DCA">
        <w:rPr>
          <w:rFonts w:ascii="Calibri" w:hAnsi="Calibri"/>
        </w:rPr>
        <w:tab/>
        <w:t xml:space="preserve">Liao KP, Cai T, Savova GK, Murphy SN, Karlson EW, Ananthakrishnan AN, et al. Development of phenotype algorithms using electronic medical records and incorporating natural language processing. BMJ. 2015 Apr 24;350(apr24 11):h1885–h1885. </w:t>
      </w:r>
    </w:p>
    <w:p w14:paraId="0F1C1A43" w14:textId="77777777" w:rsidR="00B97C9C" w:rsidRPr="00C64DCA" w:rsidRDefault="00B97C9C" w:rsidP="00B97C9C">
      <w:pPr>
        <w:pStyle w:val="Bibliography"/>
        <w:rPr>
          <w:rFonts w:ascii="Calibri" w:hAnsi="Calibri"/>
        </w:rPr>
      </w:pPr>
      <w:r w:rsidRPr="00C64DCA">
        <w:rPr>
          <w:rFonts w:ascii="Calibri" w:hAnsi="Calibri"/>
        </w:rPr>
        <w:t xml:space="preserve">21. </w:t>
      </w:r>
      <w:r w:rsidRPr="00C64DCA">
        <w:rPr>
          <w:rFonts w:ascii="Calibri" w:hAnsi="Calibri"/>
        </w:rPr>
        <w:tab/>
        <w:t xml:space="preserve">O’Malley KJ, Cook KF, Price MD, Wildes KR, Hurdle JF, Ashton CM. Measuring Diagnoses: ICD Code Accuracy. Health Serv Res. 2005 Oct;40(5 Pt 2):1620–39. </w:t>
      </w:r>
    </w:p>
    <w:p w14:paraId="370051F7" w14:textId="7859E3AD" w:rsidR="00127327" w:rsidRPr="00C64DCA" w:rsidRDefault="00127327" w:rsidP="00AD7335">
      <w:pPr>
        <w:spacing w:line="240" w:lineRule="auto"/>
        <w:rPr>
          <w:rFonts w:eastAsiaTheme="majorEastAsia"/>
        </w:rPr>
      </w:pPr>
      <w:r w:rsidRPr="00C64DCA">
        <w:rPr>
          <w:rFonts w:eastAsiaTheme="majorEastAsia"/>
        </w:rPr>
        <w:fldChar w:fldCharType="end"/>
      </w:r>
    </w:p>
    <w:p w14:paraId="1C4D3338" w14:textId="676DE891" w:rsidR="00BB5C47" w:rsidRPr="00C64DCA" w:rsidRDefault="00BB5C47" w:rsidP="00AD7335">
      <w:pPr>
        <w:spacing w:line="240" w:lineRule="auto"/>
        <w:rPr>
          <w:rFonts w:eastAsiaTheme="majorEastAsia"/>
        </w:rPr>
      </w:pPr>
      <w:r w:rsidRPr="00C64DCA">
        <w:rPr>
          <w:rFonts w:eastAsiaTheme="majorEastAsia"/>
        </w:rPr>
        <w:br w:type="page"/>
      </w:r>
    </w:p>
    <w:tbl>
      <w:tblPr>
        <w:tblStyle w:val="TableGrid"/>
        <w:tblW w:w="0" w:type="auto"/>
        <w:tblLook w:val="04A0" w:firstRow="1" w:lastRow="0" w:firstColumn="1" w:lastColumn="0" w:noHBand="0" w:noVBand="1"/>
      </w:tblPr>
      <w:tblGrid>
        <w:gridCol w:w="2387"/>
        <w:gridCol w:w="2286"/>
        <w:gridCol w:w="2268"/>
        <w:gridCol w:w="998"/>
      </w:tblGrid>
      <w:tr w:rsidR="00127327" w:rsidRPr="00C64DCA" w14:paraId="0893F0F1" w14:textId="77777777" w:rsidTr="00E5320F">
        <w:trPr>
          <w:trHeight w:val="250"/>
        </w:trPr>
        <w:tc>
          <w:tcPr>
            <w:tcW w:w="7939" w:type="dxa"/>
            <w:gridSpan w:val="4"/>
            <w:noWrap/>
          </w:tcPr>
          <w:p w14:paraId="3763BE9A" w14:textId="3782029D" w:rsidR="00127327" w:rsidRPr="00C64DCA" w:rsidRDefault="00127327" w:rsidP="00251D4B">
            <w:pPr>
              <w:rPr>
                <w:rFonts w:eastAsiaTheme="majorEastAsia"/>
              </w:rPr>
            </w:pPr>
            <w:bookmarkStart w:id="13" w:name="_Hlk531011711"/>
            <w:r w:rsidRPr="00C64DCA">
              <w:rPr>
                <w:rFonts w:eastAsiaTheme="majorEastAsia"/>
              </w:rPr>
              <w:lastRenderedPageBreak/>
              <w:t>Table 1.</w:t>
            </w:r>
            <w:r w:rsidR="00251D4B" w:rsidRPr="00C64DCA">
              <w:rPr>
                <w:rFonts w:eastAsiaTheme="majorEastAsia"/>
              </w:rPr>
              <w:t xml:space="preserve"> C</w:t>
            </w:r>
            <w:r w:rsidRPr="00C64DCA">
              <w:rPr>
                <w:rFonts w:eastAsiaTheme="majorEastAsia"/>
              </w:rPr>
              <w:t xml:space="preserve">haracteristics of </w:t>
            </w:r>
            <w:r w:rsidR="00D172BE" w:rsidRPr="00C64DCA">
              <w:rPr>
                <w:rFonts w:eastAsiaTheme="majorEastAsia"/>
              </w:rPr>
              <w:t>775</w:t>
            </w:r>
            <w:r w:rsidRPr="00C64DCA">
              <w:rPr>
                <w:rFonts w:eastAsiaTheme="majorEastAsia"/>
              </w:rPr>
              <w:t xml:space="preserve"> axSpA patients</w:t>
            </w:r>
            <w:r w:rsidR="000F338F" w:rsidRPr="00C64DCA">
              <w:rPr>
                <w:rFonts w:eastAsiaTheme="majorEastAsia"/>
              </w:rPr>
              <w:t xml:space="preserve">, compared </w:t>
            </w:r>
            <w:r w:rsidRPr="00C64DCA">
              <w:rPr>
                <w:rFonts w:eastAsiaTheme="majorEastAsia"/>
              </w:rPr>
              <w:t>according to</w:t>
            </w:r>
            <w:r w:rsidR="000F338F" w:rsidRPr="00C64DCA">
              <w:rPr>
                <w:rFonts w:eastAsiaTheme="majorEastAsia"/>
              </w:rPr>
              <w:t xml:space="preserve"> </w:t>
            </w:r>
            <w:r w:rsidR="00B26B33" w:rsidRPr="00C64DCA">
              <w:rPr>
                <w:rFonts w:eastAsiaTheme="majorEastAsia"/>
              </w:rPr>
              <w:t>diagnosis.</w:t>
            </w:r>
          </w:p>
        </w:tc>
      </w:tr>
      <w:tr w:rsidR="00127327" w:rsidRPr="00C64DCA" w14:paraId="71CC53B7" w14:textId="77777777" w:rsidTr="0079105C">
        <w:trPr>
          <w:trHeight w:val="250"/>
        </w:trPr>
        <w:tc>
          <w:tcPr>
            <w:tcW w:w="2387" w:type="dxa"/>
            <w:noWrap/>
            <w:hideMark/>
          </w:tcPr>
          <w:p w14:paraId="2E8EFC9B" w14:textId="77777777" w:rsidR="00127327" w:rsidRPr="00C64DCA" w:rsidRDefault="00127327" w:rsidP="008053BD">
            <w:pPr>
              <w:rPr>
                <w:rFonts w:eastAsiaTheme="majorEastAsia"/>
              </w:rPr>
            </w:pPr>
          </w:p>
        </w:tc>
        <w:tc>
          <w:tcPr>
            <w:tcW w:w="2286" w:type="dxa"/>
            <w:noWrap/>
            <w:hideMark/>
          </w:tcPr>
          <w:p w14:paraId="3E7DA2D8" w14:textId="1383D208" w:rsidR="00127327" w:rsidRPr="00C64DCA" w:rsidRDefault="00127327" w:rsidP="008053BD">
            <w:pPr>
              <w:rPr>
                <w:rFonts w:eastAsiaTheme="majorEastAsia"/>
              </w:rPr>
            </w:pPr>
            <w:r w:rsidRPr="00C64DCA">
              <w:rPr>
                <w:rFonts w:eastAsiaTheme="majorEastAsia"/>
              </w:rPr>
              <w:t>Ankylosing spondylitis (n=6</w:t>
            </w:r>
            <w:r w:rsidR="00D172BE" w:rsidRPr="00C64DCA">
              <w:rPr>
                <w:rFonts w:eastAsiaTheme="majorEastAsia"/>
              </w:rPr>
              <w:t>41</w:t>
            </w:r>
            <w:r w:rsidRPr="00C64DCA">
              <w:rPr>
                <w:rFonts w:eastAsiaTheme="majorEastAsia"/>
              </w:rPr>
              <w:t>)</w:t>
            </w:r>
          </w:p>
        </w:tc>
        <w:tc>
          <w:tcPr>
            <w:tcW w:w="2268" w:type="dxa"/>
            <w:noWrap/>
            <w:hideMark/>
          </w:tcPr>
          <w:p w14:paraId="74DD1ED1" w14:textId="0F0811D8" w:rsidR="00127327" w:rsidRPr="00C64DCA" w:rsidRDefault="00127327" w:rsidP="008053BD">
            <w:pPr>
              <w:rPr>
                <w:rFonts w:eastAsiaTheme="majorEastAsia"/>
              </w:rPr>
            </w:pPr>
            <w:r w:rsidRPr="00C64DCA">
              <w:rPr>
                <w:rFonts w:eastAsiaTheme="majorEastAsia"/>
              </w:rPr>
              <w:t>Non</w:t>
            </w:r>
            <w:r w:rsidR="00D172BE" w:rsidRPr="00C64DCA">
              <w:rPr>
                <w:rFonts w:eastAsiaTheme="majorEastAsia"/>
              </w:rPr>
              <w:t>-</w:t>
            </w:r>
            <w:r w:rsidRPr="00C64DCA">
              <w:rPr>
                <w:rFonts w:eastAsiaTheme="majorEastAsia"/>
              </w:rPr>
              <w:t>radiographic axial spondyloarthritis (n=13</w:t>
            </w:r>
            <w:r w:rsidR="00D172BE" w:rsidRPr="00C64DCA">
              <w:rPr>
                <w:rFonts w:eastAsiaTheme="majorEastAsia"/>
              </w:rPr>
              <w:t>4</w:t>
            </w:r>
            <w:r w:rsidRPr="00C64DCA">
              <w:rPr>
                <w:rFonts w:eastAsiaTheme="majorEastAsia"/>
              </w:rPr>
              <w:t>)</w:t>
            </w:r>
          </w:p>
        </w:tc>
        <w:tc>
          <w:tcPr>
            <w:tcW w:w="998" w:type="dxa"/>
            <w:noWrap/>
            <w:hideMark/>
          </w:tcPr>
          <w:p w14:paraId="61F43CC6" w14:textId="77777777" w:rsidR="00127327" w:rsidRPr="00C64DCA" w:rsidRDefault="00127327" w:rsidP="008053BD">
            <w:pPr>
              <w:rPr>
                <w:rFonts w:eastAsiaTheme="majorEastAsia"/>
              </w:rPr>
            </w:pPr>
            <w:r w:rsidRPr="00C64DCA">
              <w:rPr>
                <w:rFonts w:eastAsiaTheme="majorEastAsia"/>
              </w:rPr>
              <w:t>P-value</w:t>
            </w:r>
          </w:p>
        </w:tc>
      </w:tr>
      <w:tr w:rsidR="0079105C" w:rsidRPr="00C64DCA" w14:paraId="36D91FF4" w14:textId="77777777" w:rsidTr="0079105C">
        <w:trPr>
          <w:trHeight w:val="250"/>
        </w:trPr>
        <w:tc>
          <w:tcPr>
            <w:tcW w:w="2387" w:type="dxa"/>
            <w:noWrap/>
            <w:hideMark/>
          </w:tcPr>
          <w:p w14:paraId="46B480E0" w14:textId="59F0ACE3" w:rsidR="0079105C" w:rsidRPr="00C64DCA" w:rsidRDefault="0079105C" w:rsidP="0079105C">
            <w:pPr>
              <w:rPr>
                <w:rFonts w:eastAsiaTheme="majorEastAsia"/>
              </w:rPr>
            </w:pPr>
            <w:r w:rsidRPr="00C64DCA">
              <w:rPr>
                <w:rFonts w:eastAsiaTheme="majorEastAsia"/>
              </w:rPr>
              <w:t>Age, years</w:t>
            </w:r>
          </w:p>
        </w:tc>
        <w:tc>
          <w:tcPr>
            <w:tcW w:w="2286" w:type="dxa"/>
            <w:noWrap/>
            <w:hideMark/>
          </w:tcPr>
          <w:p w14:paraId="15C0F2B6" w14:textId="4AEFE049" w:rsidR="0079105C" w:rsidRPr="00C64DCA" w:rsidRDefault="0079105C" w:rsidP="0079105C">
            <w:pPr>
              <w:rPr>
                <w:rFonts w:eastAsiaTheme="majorEastAsia"/>
              </w:rPr>
            </w:pPr>
            <w:r w:rsidRPr="00C64DCA">
              <w:rPr>
                <w:rFonts w:eastAsiaTheme="majorEastAsia"/>
              </w:rPr>
              <w:t>53.8 (16.6)</w:t>
            </w:r>
          </w:p>
        </w:tc>
        <w:tc>
          <w:tcPr>
            <w:tcW w:w="2268" w:type="dxa"/>
            <w:noWrap/>
            <w:hideMark/>
          </w:tcPr>
          <w:p w14:paraId="262BE1B9" w14:textId="0913015D" w:rsidR="0079105C" w:rsidRPr="00C64DCA" w:rsidRDefault="0079105C" w:rsidP="0079105C">
            <w:pPr>
              <w:rPr>
                <w:rFonts w:eastAsiaTheme="majorEastAsia"/>
              </w:rPr>
            </w:pPr>
            <w:r w:rsidRPr="00C64DCA">
              <w:rPr>
                <w:rFonts w:eastAsiaTheme="majorEastAsia"/>
              </w:rPr>
              <w:t>46.3 (16.5)</w:t>
            </w:r>
          </w:p>
        </w:tc>
        <w:tc>
          <w:tcPr>
            <w:tcW w:w="998" w:type="dxa"/>
            <w:noWrap/>
            <w:hideMark/>
          </w:tcPr>
          <w:p w14:paraId="7C7F331F" w14:textId="51B27893" w:rsidR="0079105C" w:rsidRPr="00C64DCA" w:rsidRDefault="0079105C" w:rsidP="0079105C">
            <w:pPr>
              <w:rPr>
                <w:rFonts w:eastAsiaTheme="majorEastAsia"/>
              </w:rPr>
            </w:pPr>
            <w:r w:rsidRPr="00C64DCA">
              <w:rPr>
                <w:rFonts w:eastAsiaTheme="majorEastAsia"/>
              </w:rPr>
              <w:t>&lt;0.001</w:t>
            </w:r>
          </w:p>
        </w:tc>
      </w:tr>
      <w:tr w:rsidR="0079105C" w:rsidRPr="00C64DCA" w14:paraId="563DDDCC" w14:textId="77777777" w:rsidTr="0079105C">
        <w:trPr>
          <w:trHeight w:val="250"/>
        </w:trPr>
        <w:tc>
          <w:tcPr>
            <w:tcW w:w="2387" w:type="dxa"/>
            <w:noWrap/>
            <w:hideMark/>
          </w:tcPr>
          <w:p w14:paraId="42AB9880" w14:textId="77777777" w:rsidR="0079105C" w:rsidRPr="00C64DCA" w:rsidRDefault="0079105C" w:rsidP="0079105C">
            <w:pPr>
              <w:rPr>
                <w:rFonts w:eastAsiaTheme="majorEastAsia"/>
              </w:rPr>
            </w:pPr>
            <w:r w:rsidRPr="00C64DCA">
              <w:rPr>
                <w:rFonts w:eastAsiaTheme="majorEastAsia"/>
              </w:rPr>
              <w:t>Male</w:t>
            </w:r>
          </w:p>
        </w:tc>
        <w:tc>
          <w:tcPr>
            <w:tcW w:w="2286" w:type="dxa"/>
            <w:noWrap/>
            <w:hideMark/>
          </w:tcPr>
          <w:p w14:paraId="4C063D91" w14:textId="17106C78" w:rsidR="0079105C" w:rsidRPr="00C64DCA" w:rsidRDefault="0079105C" w:rsidP="0079105C">
            <w:pPr>
              <w:rPr>
                <w:rFonts w:eastAsiaTheme="majorEastAsia"/>
              </w:rPr>
            </w:pPr>
            <w:r w:rsidRPr="00C64DCA">
              <w:rPr>
                <w:rFonts w:eastAsiaTheme="majorEastAsia"/>
              </w:rPr>
              <w:t>490 (77%)</w:t>
            </w:r>
          </w:p>
        </w:tc>
        <w:tc>
          <w:tcPr>
            <w:tcW w:w="2268" w:type="dxa"/>
            <w:noWrap/>
            <w:hideMark/>
          </w:tcPr>
          <w:p w14:paraId="2674C010" w14:textId="55930365" w:rsidR="0079105C" w:rsidRPr="00C64DCA" w:rsidRDefault="0079105C" w:rsidP="0079105C">
            <w:pPr>
              <w:rPr>
                <w:rFonts w:eastAsiaTheme="majorEastAsia"/>
              </w:rPr>
            </w:pPr>
            <w:r w:rsidRPr="00C64DCA">
              <w:rPr>
                <w:rFonts w:eastAsiaTheme="majorEastAsia"/>
              </w:rPr>
              <w:t>85 (64%)</w:t>
            </w:r>
          </w:p>
        </w:tc>
        <w:tc>
          <w:tcPr>
            <w:tcW w:w="998" w:type="dxa"/>
            <w:noWrap/>
            <w:hideMark/>
          </w:tcPr>
          <w:p w14:paraId="67F8FE3A" w14:textId="1593F4D6" w:rsidR="0079105C" w:rsidRPr="00C64DCA" w:rsidRDefault="0079105C" w:rsidP="0079105C">
            <w:pPr>
              <w:rPr>
                <w:rFonts w:eastAsiaTheme="majorEastAsia"/>
              </w:rPr>
            </w:pPr>
            <w:r w:rsidRPr="00C64DCA">
              <w:rPr>
                <w:rFonts w:eastAsiaTheme="majorEastAsia"/>
              </w:rPr>
              <w:t>0.002</w:t>
            </w:r>
          </w:p>
        </w:tc>
      </w:tr>
      <w:tr w:rsidR="0079105C" w:rsidRPr="00C64DCA" w14:paraId="66146C9E" w14:textId="77777777" w:rsidTr="0079105C">
        <w:trPr>
          <w:trHeight w:val="250"/>
        </w:trPr>
        <w:tc>
          <w:tcPr>
            <w:tcW w:w="2387" w:type="dxa"/>
            <w:noWrap/>
            <w:hideMark/>
          </w:tcPr>
          <w:p w14:paraId="1E72B613" w14:textId="10C9D6BA" w:rsidR="0079105C" w:rsidRPr="00C64DCA" w:rsidRDefault="0079105C" w:rsidP="0079105C">
            <w:pPr>
              <w:rPr>
                <w:rFonts w:eastAsiaTheme="majorEastAsia"/>
              </w:rPr>
            </w:pPr>
            <w:r w:rsidRPr="00C64DCA">
              <w:rPr>
                <w:rFonts w:eastAsiaTheme="majorEastAsia"/>
              </w:rPr>
              <w:t>BMI (kg/m2)</w:t>
            </w:r>
          </w:p>
        </w:tc>
        <w:tc>
          <w:tcPr>
            <w:tcW w:w="2286" w:type="dxa"/>
            <w:noWrap/>
            <w:hideMark/>
          </w:tcPr>
          <w:p w14:paraId="31BFBE03" w14:textId="583017A7" w:rsidR="0079105C" w:rsidRPr="00C64DCA" w:rsidRDefault="0079105C" w:rsidP="0079105C">
            <w:pPr>
              <w:rPr>
                <w:rFonts w:eastAsiaTheme="majorEastAsia"/>
              </w:rPr>
            </w:pPr>
            <w:r w:rsidRPr="00C64DCA">
              <w:rPr>
                <w:rFonts w:eastAsiaTheme="majorEastAsia"/>
              </w:rPr>
              <w:t>28.0 (6.2)</w:t>
            </w:r>
          </w:p>
        </w:tc>
        <w:tc>
          <w:tcPr>
            <w:tcW w:w="2268" w:type="dxa"/>
            <w:noWrap/>
            <w:hideMark/>
          </w:tcPr>
          <w:p w14:paraId="23E93B07" w14:textId="7FFF2EF6" w:rsidR="0079105C" w:rsidRPr="00C64DCA" w:rsidRDefault="0079105C" w:rsidP="0079105C">
            <w:pPr>
              <w:rPr>
                <w:rFonts w:eastAsiaTheme="majorEastAsia"/>
              </w:rPr>
            </w:pPr>
            <w:r w:rsidRPr="00C64DCA">
              <w:rPr>
                <w:rFonts w:eastAsiaTheme="majorEastAsia"/>
              </w:rPr>
              <w:t>28.0 (5.9)</w:t>
            </w:r>
          </w:p>
        </w:tc>
        <w:tc>
          <w:tcPr>
            <w:tcW w:w="998" w:type="dxa"/>
            <w:noWrap/>
            <w:hideMark/>
          </w:tcPr>
          <w:p w14:paraId="458A4F63" w14:textId="5617888B" w:rsidR="0079105C" w:rsidRPr="00C64DCA" w:rsidRDefault="0079105C" w:rsidP="0079105C">
            <w:pPr>
              <w:rPr>
                <w:rFonts w:eastAsiaTheme="majorEastAsia"/>
              </w:rPr>
            </w:pPr>
            <w:r w:rsidRPr="00C64DCA">
              <w:rPr>
                <w:rFonts w:eastAsiaTheme="majorEastAsia"/>
              </w:rPr>
              <w:t>0.950</w:t>
            </w:r>
          </w:p>
        </w:tc>
      </w:tr>
      <w:tr w:rsidR="0079105C" w:rsidRPr="00C64DCA" w14:paraId="5922F275" w14:textId="77777777" w:rsidTr="0079105C">
        <w:trPr>
          <w:trHeight w:val="250"/>
        </w:trPr>
        <w:tc>
          <w:tcPr>
            <w:tcW w:w="2387" w:type="dxa"/>
            <w:noWrap/>
            <w:hideMark/>
          </w:tcPr>
          <w:p w14:paraId="3897D991" w14:textId="77777777" w:rsidR="0079105C" w:rsidRPr="00C64DCA" w:rsidRDefault="0079105C" w:rsidP="0079105C">
            <w:pPr>
              <w:rPr>
                <w:rFonts w:eastAsiaTheme="majorEastAsia"/>
              </w:rPr>
            </w:pPr>
            <w:r w:rsidRPr="00C64DCA">
              <w:rPr>
                <w:rFonts w:eastAsiaTheme="majorEastAsia"/>
              </w:rPr>
              <w:t>Smoking</w:t>
            </w:r>
          </w:p>
        </w:tc>
        <w:tc>
          <w:tcPr>
            <w:tcW w:w="2286" w:type="dxa"/>
            <w:noWrap/>
            <w:hideMark/>
          </w:tcPr>
          <w:p w14:paraId="3482664B" w14:textId="4345F0C3" w:rsidR="0079105C" w:rsidRPr="00C64DCA" w:rsidRDefault="0079105C" w:rsidP="0079105C">
            <w:pPr>
              <w:rPr>
                <w:rFonts w:eastAsiaTheme="majorEastAsia"/>
              </w:rPr>
            </w:pPr>
            <w:r w:rsidRPr="00C64DCA">
              <w:rPr>
                <w:rFonts w:eastAsiaTheme="majorEastAsia"/>
              </w:rPr>
              <w:t>71 (11%)</w:t>
            </w:r>
          </w:p>
        </w:tc>
        <w:tc>
          <w:tcPr>
            <w:tcW w:w="2268" w:type="dxa"/>
            <w:noWrap/>
            <w:hideMark/>
          </w:tcPr>
          <w:p w14:paraId="099B2431" w14:textId="3C06E0F4" w:rsidR="0079105C" w:rsidRPr="00C64DCA" w:rsidRDefault="0079105C" w:rsidP="0079105C">
            <w:pPr>
              <w:rPr>
                <w:rFonts w:eastAsiaTheme="majorEastAsia"/>
              </w:rPr>
            </w:pPr>
            <w:r w:rsidRPr="00C64DCA">
              <w:rPr>
                <w:rFonts w:eastAsiaTheme="majorEastAsia"/>
              </w:rPr>
              <w:t>17 (13%)</w:t>
            </w:r>
          </w:p>
        </w:tc>
        <w:tc>
          <w:tcPr>
            <w:tcW w:w="998" w:type="dxa"/>
            <w:noWrap/>
            <w:hideMark/>
          </w:tcPr>
          <w:p w14:paraId="1FC81038" w14:textId="5FDE1356" w:rsidR="0079105C" w:rsidRPr="00C64DCA" w:rsidRDefault="0079105C" w:rsidP="0079105C">
            <w:pPr>
              <w:rPr>
                <w:rFonts w:eastAsiaTheme="majorEastAsia"/>
              </w:rPr>
            </w:pPr>
            <w:r w:rsidRPr="00C64DCA">
              <w:rPr>
                <w:rFonts w:eastAsiaTheme="majorEastAsia"/>
              </w:rPr>
              <w:t>0.590</w:t>
            </w:r>
          </w:p>
        </w:tc>
      </w:tr>
      <w:tr w:rsidR="0079105C" w:rsidRPr="00C64DCA" w14:paraId="105FE723" w14:textId="77777777" w:rsidTr="0079105C">
        <w:trPr>
          <w:trHeight w:val="250"/>
        </w:trPr>
        <w:tc>
          <w:tcPr>
            <w:tcW w:w="2387" w:type="dxa"/>
            <w:noWrap/>
            <w:hideMark/>
          </w:tcPr>
          <w:p w14:paraId="2CBC6299" w14:textId="77777777" w:rsidR="0079105C" w:rsidRPr="00C64DCA" w:rsidRDefault="0079105C" w:rsidP="0079105C">
            <w:pPr>
              <w:rPr>
                <w:rFonts w:eastAsiaTheme="majorEastAsia"/>
              </w:rPr>
            </w:pPr>
            <w:r w:rsidRPr="00C64DCA">
              <w:rPr>
                <w:rFonts w:eastAsiaTheme="majorEastAsia"/>
              </w:rPr>
              <w:t>HLA-B27 tested</w:t>
            </w:r>
          </w:p>
        </w:tc>
        <w:tc>
          <w:tcPr>
            <w:tcW w:w="2286" w:type="dxa"/>
            <w:noWrap/>
            <w:hideMark/>
          </w:tcPr>
          <w:p w14:paraId="521F573B" w14:textId="5E59A9BC" w:rsidR="0079105C" w:rsidRPr="00C64DCA" w:rsidRDefault="0079105C" w:rsidP="0079105C">
            <w:pPr>
              <w:rPr>
                <w:rFonts w:eastAsiaTheme="majorEastAsia"/>
              </w:rPr>
            </w:pPr>
            <w:r w:rsidRPr="00C64DCA">
              <w:rPr>
                <w:rFonts w:eastAsiaTheme="majorEastAsia"/>
              </w:rPr>
              <w:t>359 (56%)</w:t>
            </w:r>
          </w:p>
        </w:tc>
        <w:tc>
          <w:tcPr>
            <w:tcW w:w="2268" w:type="dxa"/>
            <w:noWrap/>
            <w:hideMark/>
          </w:tcPr>
          <w:p w14:paraId="17624F7F" w14:textId="6D136EDE" w:rsidR="0079105C" w:rsidRPr="00C64DCA" w:rsidRDefault="0079105C" w:rsidP="0079105C">
            <w:pPr>
              <w:rPr>
                <w:rFonts w:eastAsiaTheme="majorEastAsia"/>
              </w:rPr>
            </w:pPr>
            <w:r w:rsidRPr="00C64DCA">
              <w:rPr>
                <w:rFonts w:eastAsiaTheme="majorEastAsia"/>
              </w:rPr>
              <w:t>88 (66%)</w:t>
            </w:r>
          </w:p>
        </w:tc>
        <w:tc>
          <w:tcPr>
            <w:tcW w:w="998" w:type="dxa"/>
            <w:noWrap/>
            <w:hideMark/>
          </w:tcPr>
          <w:p w14:paraId="3190858B" w14:textId="6501EC2B" w:rsidR="0079105C" w:rsidRPr="00C64DCA" w:rsidRDefault="0079105C" w:rsidP="0079105C">
            <w:pPr>
              <w:rPr>
                <w:rFonts w:eastAsiaTheme="majorEastAsia"/>
              </w:rPr>
            </w:pPr>
            <w:r w:rsidRPr="00C64DCA">
              <w:rPr>
                <w:rFonts w:eastAsiaTheme="majorEastAsia"/>
              </w:rPr>
              <w:t>0.039</w:t>
            </w:r>
          </w:p>
        </w:tc>
      </w:tr>
      <w:tr w:rsidR="0079105C" w:rsidRPr="00C64DCA" w14:paraId="0F2C14D8" w14:textId="77777777" w:rsidTr="0079105C">
        <w:trPr>
          <w:trHeight w:val="250"/>
        </w:trPr>
        <w:tc>
          <w:tcPr>
            <w:tcW w:w="2387" w:type="dxa"/>
            <w:noWrap/>
            <w:hideMark/>
          </w:tcPr>
          <w:p w14:paraId="4A32E1B0" w14:textId="77777777" w:rsidR="0079105C" w:rsidRPr="00C64DCA" w:rsidRDefault="0079105C" w:rsidP="0079105C">
            <w:pPr>
              <w:rPr>
                <w:rFonts w:eastAsiaTheme="majorEastAsia"/>
              </w:rPr>
            </w:pPr>
            <w:r w:rsidRPr="00C64DCA">
              <w:rPr>
                <w:rFonts w:eastAsiaTheme="majorEastAsia"/>
              </w:rPr>
              <w:t>HLA-B27 positive</w:t>
            </w:r>
          </w:p>
        </w:tc>
        <w:tc>
          <w:tcPr>
            <w:tcW w:w="2286" w:type="dxa"/>
            <w:noWrap/>
            <w:hideMark/>
          </w:tcPr>
          <w:p w14:paraId="1D08EAB7" w14:textId="1E934DED" w:rsidR="0079105C" w:rsidRPr="00C64DCA" w:rsidRDefault="0079105C" w:rsidP="0079105C">
            <w:pPr>
              <w:rPr>
                <w:rFonts w:eastAsiaTheme="majorEastAsia"/>
              </w:rPr>
            </w:pPr>
            <w:r w:rsidRPr="00C64DCA">
              <w:rPr>
                <w:rFonts w:eastAsiaTheme="majorEastAsia"/>
              </w:rPr>
              <w:t>287 (80%)</w:t>
            </w:r>
          </w:p>
        </w:tc>
        <w:tc>
          <w:tcPr>
            <w:tcW w:w="2268" w:type="dxa"/>
            <w:noWrap/>
            <w:hideMark/>
          </w:tcPr>
          <w:p w14:paraId="7A2136C8" w14:textId="5A8D4F56" w:rsidR="0079105C" w:rsidRPr="00C64DCA" w:rsidRDefault="0079105C" w:rsidP="0079105C">
            <w:pPr>
              <w:rPr>
                <w:rFonts w:eastAsiaTheme="majorEastAsia"/>
              </w:rPr>
            </w:pPr>
            <w:r w:rsidRPr="00C64DCA">
              <w:rPr>
                <w:rFonts w:eastAsiaTheme="majorEastAsia"/>
              </w:rPr>
              <w:t>69 (78%)</w:t>
            </w:r>
          </w:p>
        </w:tc>
        <w:tc>
          <w:tcPr>
            <w:tcW w:w="998" w:type="dxa"/>
            <w:noWrap/>
            <w:hideMark/>
          </w:tcPr>
          <w:p w14:paraId="673FA1B9" w14:textId="6598B816" w:rsidR="0079105C" w:rsidRPr="00C64DCA" w:rsidRDefault="0079105C" w:rsidP="0079105C">
            <w:pPr>
              <w:rPr>
                <w:rFonts w:eastAsiaTheme="majorEastAsia"/>
              </w:rPr>
            </w:pPr>
            <w:r w:rsidRPr="00C64DCA">
              <w:rPr>
                <w:rFonts w:eastAsiaTheme="majorEastAsia"/>
              </w:rPr>
              <w:t>0.750</w:t>
            </w:r>
          </w:p>
        </w:tc>
      </w:tr>
      <w:tr w:rsidR="0079105C" w:rsidRPr="00C64DCA" w14:paraId="52A85A20" w14:textId="77777777" w:rsidTr="0079105C">
        <w:trPr>
          <w:trHeight w:val="250"/>
        </w:trPr>
        <w:tc>
          <w:tcPr>
            <w:tcW w:w="2387" w:type="dxa"/>
            <w:noWrap/>
            <w:hideMark/>
          </w:tcPr>
          <w:p w14:paraId="292865C2" w14:textId="77777777" w:rsidR="0079105C" w:rsidRPr="00C64DCA" w:rsidRDefault="0079105C" w:rsidP="0079105C">
            <w:pPr>
              <w:rPr>
                <w:rFonts w:eastAsiaTheme="majorEastAsia"/>
              </w:rPr>
            </w:pPr>
            <w:r w:rsidRPr="00C64DCA">
              <w:rPr>
                <w:rFonts w:eastAsiaTheme="majorEastAsia"/>
              </w:rPr>
              <w:t>Family history*</w:t>
            </w:r>
          </w:p>
        </w:tc>
        <w:tc>
          <w:tcPr>
            <w:tcW w:w="2286" w:type="dxa"/>
            <w:noWrap/>
            <w:hideMark/>
          </w:tcPr>
          <w:p w14:paraId="0DD47B4D" w14:textId="7E2CC358" w:rsidR="0079105C" w:rsidRPr="00C64DCA" w:rsidRDefault="0079105C" w:rsidP="0079105C">
            <w:pPr>
              <w:rPr>
                <w:rFonts w:eastAsiaTheme="majorEastAsia"/>
              </w:rPr>
            </w:pPr>
            <w:r w:rsidRPr="00C64DCA">
              <w:rPr>
                <w:rFonts w:eastAsiaTheme="majorEastAsia"/>
              </w:rPr>
              <w:t>81 (13%)</w:t>
            </w:r>
          </w:p>
        </w:tc>
        <w:tc>
          <w:tcPr>
            <w:tcW w:w="2268" w:type="dxa"/>
            <w:noWrap/>
            <w:hideMark/>
          </w:tcPr>
          <w:p w14:paraId="2B8AF8D0" w14:textId="6FA24270" w:rsidR="0079105C" w:rsidRPr="00C64DCA" w:rsidRDefault="0079105C" w:rsidP="0079105C">
            <w:pPr>
              <w:rPr>
                <w:rFonts w:eastAsiaTheme="majorEastAsia"/>
              </w:rPr>
            </w:pPr>
            <w:r w:rsidRPr="00C64DCA">
              <w:rPr>
                <w:rFonts w:eastAsiaTheme="majorEastAsia"/>
              </w:rPr>
              <w:t>22 (17%)</w:t>
            </w:r>
          </w:p>
        </w:tc>
        <w:tc>
          <w:tcPr>
            <w:tcW w:w="998" w:type="dxa"/>
            <w:noWrap/>
            <w:hideMark/>
          </w:tcPr>
          <w:p w14:paraId="0D78141D" w14:textId="2EDB08C6" w:rsidR="0079105C" w:rsidRPr="00C64DCA" w:rsidRDefault="0079105C" w:rsidP="0079105C">
            <w:pPr>
              <w:rPr>
                <w:rFonts w:eastAsiaTheme="majorEastAsia"/>
              </w:rPr>
            </w:pPr>
            <w:r w:rsidRPr="00C64DCA">
              <w:rPr>
                <w:rFonts w:eastAsiaTheme="majorEastAsia"/>
              </w:rPr>
              <w:t>0.170</w:t>
            </w:r>
          </w:p>
        </w:tc>
      </w:tr>
      <w:tr w:rsidR="0079105C" w:rsidRPr="00C64DCA" w14:paraId="50E78427" w14:textId="77777777" w:rsidTr="0079105C">
        <w:trPr>
          <w:trHeight w:val="250"/>
        </w:trPr>
        <w:tc>
          <w:tcPr>
            <w:tcW w:w="2387" w:type="dxa"/>
            <w:noWrap/>
            <w:hideMark/>
          </w:tcPr>
          <w:p w14:paraId="1F96634E" w14:textId="77777777" w:rsidR="0079105C" w:rsidRPr="00C64DCA" w:rsidRDefault="0079105C" w:rsidP="0079105C">
            <w:pPr>
              <w:rPr>
                <w:rFonts w:eastAsiaTheme="majorEastAsia"/>
              </w:rPr>
            </w:pPr>
            <w:r w:rsidRPr="00C64DCA">
              <w:rPr>
                <w:rFonts w:eastAsiaTheme="majorEastAsia"/>
              </w:rPr>
              <w:t>Uveitis</w:t>
            </w:r>
          </w:p>
        </w:tc>
        <w:tc>
          <w:tcPr>
            <w:tcW w:w="2286" w:type="dxa"/>
            <w:noWrap/>
            <w:hideMark/>
          </w:tcPr>
          <w:p w14:paraId="676C6D77" w14:textId="25FB0C07" w:rsidR="0079105C" w:rsidRPr="00C64DCA" w:rsidRDefault="0079105C" w:rsidP="0079105C">
            <w:pPr>
              <w:rPr>
                <w:rFonts w:eastAsiaTheme="majorEastAsia"/>
              </w:rPr>
            </w:pPr>
            <w:r w:rsidRPr="00C64DCA">
              <w:rPr>
                <w:rFonts w:eastAsiaTheme="majorEastAsia"/>
              </w:rPr>
              <w:t>165 (26%)</w:t>
            </w:r>
          </w:p>
        </w:tc>
        <w:tc>
          <w:tcPr>
            <w:tcW w:w="2268" w:type="dxa"/>
            <w:noWrap/>
            <w:hideMark/>
          </w:tcPr>
          <w:p w14:paraId="45B06F08" w14:textId="1A399554" w:rsidR="0079105C" w:rsidRPr="00C64DCA" w:rsidRDefault="0079105C" w:rsidP="0079105C">
            <w:pPr>
              <w:rPr>
                <w:rFonts w:eastAsiaTheme="majorEastAsia"/>
              </w:rPr>
            </w:pPr>
            <w:r w:rsidRPr="00C64DCA">
              <w:rPr>
                <w:rFonts w:eastAsiaTheme="majorEastAsia"/>
              </w:rPr>
              <w:t>36 (29%)</w:t>
            </w:r>
          </w:p>
        </w:tc>
        <w:tc>
          <w:tcPr>
            <w:tcW w:w="998" w:type="dxa"/>
            <w:noWrap/>
            <w:hideMark/>
          </w:tcPr>
          <w:p w14:paraId="1CA068F7" w14:textId="23EC532C" w:rsidR="0079105C" w:rsidRPr="00C64DCA" w:rsidRDefault="0079105C" w:rsidP="0079105C">
            <w:pPr>
              <w:rPr>
                <w:rFonts w:eastAsiaTheme="majorEastAsia"/>
              </w:rPr>
            </w:pPr>
            <w:r w:rsidRPr="00C64DCA">
              <w:rPr>
                <w:rFonts w:eastAsiaTheme="majorEastAsia"/>
              </w:rPr>
              <w:t>0.570</w:t>
            </w:r>
          </w:p>
        </w:tc>
      </w:tr>
      <w:tr w:rsidR="0079105C" w:rsidRPr="00C64DCA" w14:paraId="5A7AE4F8" w14:textId="77777777" w:rsidTr="0079105C">
        <w:trPr>
          <w:trHeight w:val="250"/>
        </w:trPr>
        <w:tc>
          <w:tcPr>
            <w:tcW w:w="2387" w:type="dxa"/>
            <w:noWrap/>
            <w:hideMark/>
          </w:tcPr>
          <w:p w14:paraId="5CC59D64" w14:textId="77777777" w:rsidR="0079105C" w:rsidRPr="00C64DCA" w:rsidRDefault="0079105C" w:rsidP="0079105C">
            <w:pPr>
              <w:rPr>
                <w:rFonts w:eastAsiaTheme="majorEastAsia"/>
              </w:rPr>
            </w:pPr>
            <w:r w:rsidRPr="00C64DCA">
              <w:rPr>
                <w:rFonts w:eastAsiaTheme="majorEastAsia"/>
              </w:rPr>
              <w:t>Psoriasis</w:t>
            </w:r>
          </w:p>
        </w:tc>
        <w:tc>
          <w:tcPr>
            <w:tcW w:w="2286" w:type="dxa"/>
            <w:noWrap/>
            <w:hideMark/>
          </w:tcPr>
          <w:p w14:paraId="2433DB46" w14:textId="50EBD471" w:rsidR="0079105C" w:rsidRPr="00C64DCA" w:rsidRDefault="0079105C" w:rsidP="0079105C">
            <w:pPr>
              <w:rPr>
                <w:rFonts w:eastAsiaTheme="majorEastAsia"/>
              </w:rPr>
            </w:pPr>
            <w:r w:rsidRPr="00C64DCA">
              <w:rPr>
                <w:rFonts w:eastAsiaTheme="majorEastAsia"/>
              </w:rPr>
              <w:t>82 (13%)</w:t>
            </w:r>
          </w:p>
        </w:tc>
        <w:tc>
          <w:tcPr>
            <w:tcW w:w="2268" w:type="dxa"/>
            <w:noWrap/>
            <w:hideMark/>
          </w:tcPr>
          <w:p w14:paraId="746FCD04" w14:textId="32BFA898" w:rsidR="0079105C" w:rsidRPr="00C64DCA" w:rsidRDefault="0079105C" w:rsidP="0079105C">
            <w:pPr>
              <w:rPr>
                <w:rFonts w:eastAsiaTheme="majorEastAsia"/>
              </w:rPr>
            </w:pPr>
            <w:r w:rsidRPr="00C64DCA">
              <w:rPr>
                <w:rFonts w:eastAsiaTheme="majorEastAsia"/>
              </w:rPr>
              <w:t>8 (6%)</w:t>
            </w:r>
          </w:p>
        </w:tc>
        <w:tc>
          <w:tcPr>
            <w:tcW w:w="998" w:type="dxa"/>
            <w:noWrap/>
            <w:hideMark/>
          </w:tcPr>
          <w:p w14:paraId="00190253" w14:textId="6F1EFBFE" w:rsidR="0079105C" w:rsidRPr="00C64DCA" w:rsidRDefault="0079105C" w:rsidP="0079105C">
            <w:pPr>
              <w:rPr>
                <w:rFonts w:eastAsiaTheme="majorEastAsia"/>
              </w:rPr>
            </w:pPr>
            <w:r w:rsidRPr="00C64DCA">
              <w:rPr>
                <w:rFonts w:eastAsiaTheme="majorEastAsia"/>
              </w:rPr>
              <w:t>0.035</w:t>
            </w:r>
          </w:p>
        </w:tc>
      </w:tr>
      <w:tr w:rsidR="0079105C" w:rsidRPr="00C64DCA" w14:paraId="6FB200CA" w14:textId="77777777" w:rsidTr="0079105C">
        <w:trPr>
          <w:trHeight w:val="250"/>
        </w:trPr>
        <w:tc>
          <w:tcPr>
            <w:tcW w:w="2387" w:type="dxa"/>
            <w:noWrap/>
            <w:hideMark/>
          </w:tcPr>
          <w:p w14:paraId="37AEEE7D" w14:textId="77777777" w:rsidR="0079105C" w:rsidRPr="00C64DCA" w:rsidRDefault="0079105C" w:rsidP="0079105C">
            <w:pPr>
              <w:rPr>
                <w:rFonts w:eastAsiaTheme="majorEastAsia"/>
              </w:rPr>
            </w:pPr>
            <w:r w:rsidRPr="00C64DCA">
              <w:rPr>
                <w:rFonts w:eastAsiaTheme="majorEastAsia"/>
              </w:rPr>
              <w:t>IBD</w:t>
            </w:r>
          </w:p>
        </w:tc>
        <w:tc>
          <w:tcPr>
            <w:tcW w:w="2286" w:type="dxa"/>
            <w:noWrap/>
            <w:hideMark/>
          </w:tcPr>
          <w:p w14:paraId="4D000435" w14:textId="754EF5D2" w:rsidR="0079105C" w:rsidRPr="00C64DCA" w:rsidRDefault="0079105C" w:rsidP="0079105C">
            <w:pPr>
              <w:rPr>
                <w:rFonts w:eastAsiaTheme="majorEastAsia"/>
              </w:rPr>
            </w:pPr>
            <w:r w:rsidRPr="00C64DCA">
              <w:rPr>
                <w:rFonts w:eastAsiaTheme="majorEastAsia"/>
              </w:rPr>
              <w:t>70 (11%)</w:t>
            </w:r>
          </w:p>
        </w:tc>
        <w:tc>
          <w:tcPr>
            <w:tcW w:w="2268" w:type="dxa"/>
            <w:noWrap/>
            <w:hideMark/>
          </w:tcPr>
          <w:p w14:paraId="14AE3415" w14:textId="45D9BE61" w:rsidR="0079105C" w:rsidRPr="00C64DCA" w:rsidRDefault="0079105C" w:rsidP="0079105C">
            <w:pPr>
              <w:rPr>
                <w:rFonts w:eastAsiaTheme="majorEastAsia"/>
              </w:rPr>
            </w:pPr>
            <w:r w:rsidRPr="00C64DCA">
              <w:rPr>
                <w:rFonts w:eastAsiaTheme="majorEastAsia"/>
              </w:rPr>
              <w:t>10 (8%)</w:t>
            </w:r>
          </w:p>
        </w:tc>
        <w:tc>
          <w:tcPr>
            <w:tcW w:w="998" w:type="dxa"/>
            <w:noWrap/>
            <w:hideMark/>
          </w:tcPr>
          <w:p w14:paraId="7A10C066" w14:textId="3C3F7E26" w:rsidR="0079105C" w:rsidRPr="00C64DCA" w:rsidRDefault="0079105C" w:rsidP="0079105C">
            <w:pPr>
              <w:rPr>
                <w:rFonts w:eastAsiaTheme="majorEastAsia"/>
              </w:rPr>
            </w:pPr>
            <w:r w:rsidRPr="00C64DCA">
              <w:rPr>
                <w:rFonts w:eastAsiaTheme="majorEastAsia"/>
              </w:rPr>
              <w:t>0.290</w:t>
            </w:r>
          </w:p>
        </w:tc>
      </w:tr>
      <w:tr w:rsidR="0079105C" w:rsidRPr="00C64DCA" w14:paraId="2C47355D" w14:textId="77777777" w:rsidTr="0079105C">
        <w:trPr>
          <w:trHeight w:val="250"/>
        </w:trPr>
        <w:tc>
          <w:tcPr>
            <w:tcW w:w="2387" w:type="dxa"/>
            <w:noWrap/>
            <w:hideMark/>
          </w:tcPr>
          <w:p w14:paraId="1AD5296A" w14:textId="77777777" w:rsidR="0079105C" w:rsidRPr="00C64DCA" w:rsidRDefault="0079105C" w:rsidP="0079105C">
            <w:pPr>
              <w:rPr>
                <w:rFonts w:eastAsiaTheme="majorEastAsia"/>
              </w:rPr>
            </w:pPr>
            <w:r w:rsidRPr="00C64DCA">
              <w:rPr>
                <w:rFonts w:eastAsiaTheme="majorEastAsia"/>
              </w:rPr>
              <w:t>Peripheral arthritis</w:t>
            </w:r>
          </w:p>
        </w:tc>
        <w:tc>
          <w:tcPr>
            <w:tcW w:w="2286" w:type="dxa"/>
            <w:noWrap/>
            <w:hideMark/>
          </w:tcPr>
          <w:p w14:paraId="7EA28DDD" w14:textId="5E8A9B33" w:rsidR="0079105C" w:rsidRPr="00C64DCA" w:rsidRDefault="0079105C" w:rsidP="0079105C">
            <w:pPr>
              <w:rPr>
                <w:rFonts w:eastAsiaTheme="majorEastAsia"/>
              </w:rPr>
            </w:pPr>
            <w:r w:rsidRPr="00C64DCA">
              <w:rPr>
                <w:rFonts w:eastAsiaTheme="majorEastAsia"/>
              </w:rPr>
              <w:t>114 (18%)</w:t>
            </w:r>
          </w:p>
        </w:tc>
        <w:tc>
          <w:tcPr>
            <w:tcW w:w="2268" w:type="dxa"/>
            <w:noWrap/>
            <w:hideMark/>
          </w:tcPr>
          <w:p w14:paraId="3D2946A1" w14:textId="358B26E2" w:rsidR="0079105C" w:rsidRPr="00C64DCA" w:rsidRDefault="0079105C" w:rsidP="0079105C">
            <w:pPr>
              <w:rPr>
                <w:rFonts w:eastAsiaTheme="majorEastAsia"/>
              </w:rPr>
            </w:pPr>
            <w:r w:rsidRPr="00C64DCA">
              <w:rPr>
                <w:rFonts w:eastAsiaTheme="majorEastAsia"/>
              </w:rPr>
              <w:t>22 (17%)</w:t>
            </w:r>
          </w:p>
        </w:tc>
        <w:tc>
          <w:tcPr>
            <w:tcW w:w="998" w:type="dxa"/>
            <w:noWrap/>
            <w:hideMark/>
          </w:tcPr>
          <w:p w14:paraId="73876554" w14:textId="6AD7565D" w:rsidR="0079105C" w:rsidRPr="00C64DCA" w:rsidRDefault="0079105C" w:rsidP="0079105C">
            <w:pPr>
              <w:rPr>
                <w:rFonts w:eastAsiaTheme="majorEastAsia"/>
              </w:rPr>
            </w:pPr>
            <w:r w:rsidRPr="00C64DCA">
              <w:rPr>
                <w:rFonts w:eastAsiaTheme="majorEastAsia"/>
              </w:rPr>
              <w:t>0.870</w:t>
            </w:r>
          </w:p>
        </w:tc>
      </w:tr>
      <w:tr w:rsidR="0079105C" w:rsidRPr="00C64DCA" w14:paraId="6E782102" w14:textId="77777777" w:rsidTr="0079105C">
        <w:trPr>
          <w:trHeight w:val="250"/>
        </w:trPr>
        <w:tc>
          <w:tcPr>
            <w:tcW w:w="2387" w:type="dxa"/>
            <w:noWrap/>
            <w:hideMark/>
          </w:tcPr>
          <w:p w14:paraId="42D6EF5A" w14:textId="77777777" w:rsidR="0079105C" w:rsidRPr="00C64DCA" w:rsidRDefault="0079105C" w:rsidP="0079105C">
            <w:pPr>
              <w:rPr>
                <w:rFonts w:eastAsiaTheme="majorEastAsia"/>
              </w:rPr>
            </w:pPr>
            <w:r w:rsidRPr="00C64DCA">
              <w:rPr>
                <w:rFonts w:eastAsiaTheme="majorEastAsia"/>
              </w:rPr>
              <w:t>Enthesitis</w:t>
            </w:r>
          </w:p>
        </w:tc>
        <w:tc>
          <w:tcPr>
            <w:tcW w:w="2286" w:type="dxa"/>
            <w:noWrap/>
            <w:hideMark/>
          </w:tcPr>
          <w:p w14:paraId="4AA91CDF" w14:textId="5174331D" w:rsidR="0079105C" w:rsidRPr="00C64DCA" w:rsidRDefault="0079105C" w:rsidP="0079105C">
            <w:pPr>
              <w:rPr>
                <w:rFonts w:eastAsiaTheme="majorEastAsia"/>
              </w:rPr>
            </w:pPr>
            <w:r w:rsidRPr="00C64DCA">
              <w:rPr>
                <w:rFonts w:eastAsiaTheme="majorEastAsia"/>
              </w:rPr>
              <w:t>24 (4%)</w:t>
            </w:r>
          </w:p>
        </w:tc>
        <w:tc>
          <w:tcPr>
            <w:tcW w:w="2268" w:type="dxa"/>
            <w:noWrap/>
            <w:hideMark/>
          </w:tcPr>
          <w:p w14:paraId="54C5744C" w14:textId="48FFA5AB" w:rsidR="0079105C" w:rsidRPr="00C64DCA" w:rsidRDefault="0079105C" w:rsidP="0079105C">
            <w:pPr>
              <w:rPr>
                <w:rFonts w:eastAsiaTheme="majorEastAsia"/>
              </w:rPr>
            </w:pPr>
            <w:r w:rsidRPr="00C64DCA">
              <w:rPr>
                <w:rFonts w:eastAsiaTheme="majorEastAsia"/>
              </w:rPr>
              <w:t>7 (6%)</w:t>
            </w:r>
          </w:p>
        </w:tc>
        <w:tc>
          <w:tcPr>
            <w:tcW w:w="998" w:type="dxa"/>
            <w:noWrap/>
            <w:hideMark/>
          </w:tcPr>
          <w:p w14:paraId="360B66EB" w14:textId="62191077" w:rsidR="0079105C" w:rsidRPr="00C64DCA" w:rsidRDefault="0079105C" w:rsidP="0079105C">
            <w:pPr>
              <w:rPr>
                <w:rFonts w:eastAsiaTheme="majorEastAsia"/>
              </w:rPr>
            </w:pPr>
            <w:r w:rsidRPr="00C64DCA">
              <w:rPr>
                <w:rFonts w:eastAsiaTheme="majorEastAsia"/>
              </w:rPr>
              <w:t>0.360</w:t>
            </w:r>
          </w:p>
        </w:tc>
      </w:tr>
      <w:tr w:rsidR="0079105C" w:rsidRPr="00C64DCA" w14:paraId="166527E7" w14:textId="77777777" w:rsidTr="0079105C">
        <w:trPr>
          <w:trHeight w:val="250"/>
        </w:trPr>
        <w:tc>
          <w:tcPr>
            <w:tcW w:w="2387" w:type="dxa"/>
            <w:noWrap/>
            <w:hideMark/>
          </w:tcPr>
          <w:p w14:paraId="11972930" w14:textId="77777777" w:rsidR="0079105C" w:rsidRPr="00C64DCA" w:rsidRDefault="0079105C" w:rsidP="0079105C">
            <w:pPr>
              <w:rPr>
                <w:rFonts w:eastAsiaTheme="majorEastAsia"/>
              </w:rPr>
            </w:pPr>
            <w:r w:rsidRPr="00C64DCA">
              <w:rPr>
                <w:rFonts w:eastAsiaTheme="majorEastAsia"/>
              </w:rPr>
              <w:t>Dactylitis</w:t>
            </w:r>
          </w:p>
        </w:tc>
        <w:tc>
          <w:tcPr>
            <w:tcW w:w="2286" w:type="dxa"/>
            <w:noWrap/>
            <w:hideMark/>
          </w:tcPr>
          <w:p w14:paraId="6F13D9CC" w14:textId="034AEA14" w:rsidR="0079105C" w:rsidRPr="00C64DCA" w:rsidRDefault="0079105C" w:rsidP="0079105C">
            <w:pPr>
              <w:rPr>
                <w:rFonts w:eastAsiaTheme="majorEastAsia"/>
              </w:rPr>
            </w:pPr>
            <w:r w:rsidRPr="00C64DCA">
              <w:rPr>
                <w:rFonts w:eastAsiaTheme="majorEastAsia"/>
              </w:rPr>
              <w:t>16 (3%)</w:t>
            </w:r>
          </w:p>
        </w:tc>
        <w:tc>
          <w:tcPr>
            <w:tcW w:w="2268" w:type="dxa"/>
            <w:noWrap/>
            <w:hideMark/>
          </w:tcPr>
          <w:p w14:paraId="67974C43" w14:textId="3CD745FA" w:rsidR="0079105C" w:rsidRPr="00C64DCA" w:rsidRDefault="0079105C" w:rsidP="0079105C">
            <w:pPr>
              <w:rPr>
                <w:rFonts w:eastAsiaTheme="majorEastAsia"/>
              </w:rPr>
            </w:pPr>
            <w:r w:rsidRPr="00C64DCA">
              <w:rPr>
                <w:rFonts w:eastAsiaTheme="majorEastAsia"/>
              </w:rPr>
              <w:t>1 (1%)</w:t>
            </w:r>
          </w:p>
        </w:tc>
        <w:tc>
          <w:tcPr>
            <w:tcW w:w="998" w:type="dxa"/>
            <w:noWrap/>
            <w:hideMark/>
          </w:tcPr>
          <w:p w14:paraId="32558892" w14:textId="7699879C" w:rsidR="0079105C" w:rsidRPr="00C64DCA" w:rsidRDefault="0079105C" w:rsidP="0079105C">
            <w:pPr>
              <w:rPr>
                <w:rFonts w:eastAsiaTheme="majorEastAsia"/>
              </w:rPr>
            </w:pPr>
            <w:r w:rsidRPr="00C64DCA">
              <w:rPr>
                <w:rFonts w:eastAsiaTheme="majorEastAsia"/>
              </w:rPr>
              <w:t>0.230</w:t>
            </w:r>
          </w:p>
        </w:tc>
      </w:tr>
      <w:tr w:rsidR="0079105C" w:rsidRPr="00C64DCA" w14:paraId="274BFE30" w14:textId="77777777" w:rsidTr="0079105C">
        <w:trPr>
          <w:trHeight w:val="250"/>
        </w:trPr>
        <w:tc>
          <w:tcPr>
            <w:tcW w:w="2387" w:type="dxa"/>
            <w:noWrap/>
            <w:hideMark/>
          </w:tcPr>
          <w:p w14:paraId="41B87ABF" w14:textId="77777777" w:rsidR="0079105C" w:rsidRPr="00C64DCA" w:rsidRDefault="0079105C" w:rsidP="0079105C">
            <w:pPr>
              <w:rPr>
                <w:rFonts w:eastAsiaTheme="majorEastAsia"/>
              </w:rPr>
            </w:pPr>
            <w:r w:rsidRPr="00C64DCA">
              <w:rPr>
                <w:rFonts w:eastAsiaTheme="majorEastAsia"/>
              </w:rPr>
              <w:t>ESR tested</w:t>
            </w:r>
          </w:p>
        </w:tc>
        <w:tc>
          <w:tcPr>
            <w:tcW w:w="2286" w:type="dxa"/>
            <w:noWrap/>
            <w:hideMark/>
          </w:tcPr>
          <w:p w14:paraId="5D49C335" w14:textId="7FA64431" w:rsidR="0079105C" w:rsidRPr="00C64DCA" w:rsidRDefault="0079105C" w:rsidP="0079105C">
            <w:pPr>
              <w:rPr>
                <w:rFonts w:eastAsiaTheme="majorEastAsia"/>
              </w:rPr>
            </w:pPr>
            <w:r w:rsidRPr="00C64DCA">
              <w:rPr>
                <w:rFonts w:eastAsiaTheme="majorEastAsia"/>
              </w:rPr>
              <w:t>255 (40%)</w:t>
            </w:r>
          </w:p>
        </w:tc>
        <w:tc>
          <w:tcPr>
            <w:tcW w:w="2268" w:type="dxa"/>
            <w:noWrap/>
            <w:hideMark/>
          </w:tcPr>
          <w:p w14:paraId="71D2AF94" w14:textId="2CF28C18" w:rsidR="0079105C" w:rsidRPr="00C64DCA" w:rsidRDefault="0079105C" w:rsidP="0079105C">
            <w:pPr>
              <w:rPr>
                <w:rFonts w:eastAsiaTheme="majorEastAsia"/>
              </w:rPr>
            </w:pPr>
            <w:r w:rsidRPr="00C64DCA">
              <w:rPr>
                <w:rFonts w:eastAsiaTheme="majorEastAsia"/>
              </w:rPr>
              <w:t>50 (37%)</w:t>
            </w:r>
          </w:p>
        </w:tc>
        <w:tc>
          <w:tcPr>
            <w:tcW w:w="998" w:type="dxa"/>
            <w:noWrap/>
            <w:hideMark/>
          </w:tcPr>
          <w:p w14:paraId="3AA6AD1D" w14:textId="7AF45877" w:rsidR="0079105C" w:rsidRPr="00C64DCA" w:rsidRDefault="0079105C" w:rsidP="0079105C">
            <w:pPr>
              <w:rPr>
                <w:rFonts w:eastAsiaTheme="majorEastAsia"/>
              </w:rPr>
            </w:pPr>
            <w:r w:rsidRPr="00C64DCA">
              <w:rPr>
                <w:rFonts w:eastAsiaTheme="majorEastAsia"/>
              </w:rPr>
              <w:t>0.590</w:t>
            </w:r>
          </w:p>
        </w:tc>
      </w:tr>
      <w:tr w:rsidR="0079105C" w:rsidRPr="00C64DCA" w14:paraId="6C0EFD58" w14:textId="77777777" w:rsidTr="0079105C">
        <w:trPr>
          <w:trHeight w:val="250"/>
        </w:trPr>
        <w:tc>
          <w:tcPr>
            <w:tcW w:w="2387" w:type="dxa"/>
            <w:noWrap/>
            <w:hideMark/>
          </w:tcPr>
          <w:p w14:paraId="29634A4F" w14:textId="77777777" w:rsidR="0079105C" w:rsidRPr="00C64DCA" w:rsidRDefault="0079105C" w:rsidP="0079105C">
            <w:pPr>
              <w:rPr>
                <w:rFonts w:eastAsiaTheme="majorEastAsia"/>
              </w:rPr>
            </w:pPr>
            <w:r w:rsidRPr="00C64DCA">
              <w:rPr>
                <w:rFonts w:eastAsiaTheme="majorEastAsia"/>
              </w:rPr>
              <w:t>ESR result (mm/hr) median (IQR)</w:t>
            </w:r>
          </w:p>
        </w:tc>
        <w:tc>
          <w:tcPr>
            <w:tcW w:w="2286" w:type="dxa"/>
            <w:noWrap/>
            <w:hideMark/>
          </w:tcPr>
          <w:p w14:paraId="61268E7E" w14:textId="6364B95E" w:rsidR="0079105C" w:rsidRPr="00C64DCA" w:rsidRDefault="0079105C" w:rsidP="0079105C">
            <w:pPr>
              <w:rPr>
                <w:rFonts w:eastAsiaTheme="majorEastAsia"/>
              </w:rPr>
            </w:pPr>
            <w:r w:rsidRPr="00C64DCA">
              <w:rPr>
                <w:rFonts w:eastAsiaTheme="majorEastAsia"/>
              </w:rPr>
              <w:t>13.0 (6.0 to 27.0)</w:t>
            </w:r>
          </w:p>
        </w:tc>
        <w:tc>
          <w:tcPr>
            <w:tcW w:w="2268" w:type="dxa"/>
            <w:noWrap/>
            <w:hideMark/>
          </w:tcPr>
          <w:p w14:paraId="1F3550CA" w14:textId="64616A13" w:rsidR="0079105C" w:rsidRPr="00C64DCA" w:rsidRDefault="0079105C" w:rsidP="0079105C">
            <w:pPr>
              <w:rPr>
                <w:rFonts w:eastAsiaTheme="majorEastAsia"/>
              </w:rPr>
            </w:pPr>
            <w:r w:rsidRPr="00C64DCA">
              <w:rPr>
                <w:rFonts w:eastAsiaTheme="majorEastAsia"/>
              </w:rPr>
              <w:t>9.5 (5.0 to 21.0)</w:t>
            </w:r>
          </w:p>
        </w:tc>
        <w:tc>
          <w:tcPr>
            <w:tcW w:w="998" w:type="dxa"/>
            <w:noWrap/>
            <w:hideMark/>
          </w:tcPr>
          <w:p w14:paraId="5B692721" w14:textId="1AD57759" w:rsidR="0079105C" w:rsidRPr="00C64DCA" w:rsidRDefault="0079105C" w:rsidP="0079105C">
            <w:pPr>
              <w:rPr>
                <w:rFonts w:eastAsiaTheme="majorEastAsia"/>
              </w:rPr>
            </w:pPr>
            <w:r w:rsidRPr="00C64DCA">
              <w:rPr>
                <w:rFonts w:eastAsiaTheme="majorEastAsia"/>
              </w:rPr>
              <w:t>0.042</w:t>
            </w:r>
          </w:p>
        </w:tc>
      </w:tr>
      <w:tr w:rsidR="0079105C" w:rsidRPr="00C64DCA" w14:paraId="1A9F3456" w14:textId="77777777" w:rsidTr="0079105C">
        <w:trPr>
          <w:trHeight w:val="250"/>
        </w:trPr>
        <w:tc>
          <w:tcPr>
            <w:tcW w:w="2387" w:type="dxa"/>
            <w:noWrap/>
            <w:hideMark/>
          </w:tcPr>
          <w:p w14:paraId="161A0970" w14:textId="77777777" w:rsidR="0079105C" w:rsidRPr="00C64DCA" w:rsidRDefault="0079105C" w:rsidP="0079105C">
            <w:pPr>
              <w:rPr>
                <w:rFonts w:eastAsiaTheme="majorEastAsia"/>
              </w:rPr>
            </w:pPr>
            <w:r w:rsidRPr="00C64DCA">
              <w:rPr>
                <w:rFonts w:eastAsiaTheme="majorEastAsia"/>
              </w:rPr>
              <w:t>CRP tested</w:t>
            </w:r>
          </w:p>
        </w:tc>
        <w:tc>
          <w:tcPr>
            <w:tcW w:w="2286" w:type="dxa"/>
            <w:noWrap/>
            <w:hideMark/>
          </w:tcPr>
          <w:p w14:paraId="7FE8D9E3" w14:textId="447DCA18" w:rsidR="0079105C" w:rsidRPr="00C64DCA" w:rsidRDefault="0079105C" w:rsidP="0079105C">
            <w:pPr>
              <w:rPr>
                <w:rFonts w:eastAsiaTheme="majorEastAsia"/>
              </w:rPr>
            </w:pPr>
            <w:r w:rsidRPr="00C64DCA">
              <w:rPr>
                <w:rFonts w:eastAsiaTheme="majorEastAsia"/>
              </w:rPr>
              <w:t>323 (50%)</w:t>
            </w:r>
          </w:p>
        </w:tc>
        <w:tc>
          <w:tcPr>
            <w:tcW w:w="2268" w:type="dxa"/>
            <w:noWrap/>
            <w:hideMark/>
          </w:tcPr>
          <w:p w14:paraId="22FBCF41" w14:textId="3DE72CDC" w:rsidR="0079105C" w:rsidRPr="00C64DCA" w:rsidRDefault="0079105C" w:rsidP="0079105C">
            <w:pPr>
              <w:rPr>
                <w:rFonts w:eastAsiaTheme="majorEastAsia"/>
              </w:rPr>
            </w:pPr>
            <w:r w:rsidRPr="00C64DCA">
              <w:rPr>
                <w:rFonts w:eastAsiaTheme="majorEastAsia"/>
              </w:rPr>
              <w:t>63 (47%)</w:t>
            </w:r>
          </w:p>
        </w:tc>
        <w:tc>
          <w:tcPr>
            <w:tcW w:w="998" w:type="dxa"/>
            <w:noWrap/>
            <w:hideMark/>
          </w:tcPr>
          <w:p w14:paraId="314AB8C5" w14:textId="0AF2C38C" w:rsidR="0079105C" w:rsidRPr="00C64DCA" w:rsidRDefault="0079105C" w:rsidP="0079105C">
            <w:pPr>
              <w:rPr>
                <w:rFonts w:eastAsiaTheme="majorEastAsia"/>
              </w:rPr>
            </w:pPr>
            <w:r w:rsidRPr="00C64DCA">
              <w:rPr>
                <w:rFonts w:eastAsiaTheme="majorEastAsia"/>
              </w:rPr>
              <w:t>0.480</w:t>
            </w:r>
          </w:p>
        </w:tc>
      </w:tr>
      <w:tr w:rsidR="0079105C" w:rsidRPr="00C64DCA" w14:paraId="67C4C8FE" w14:textId="77777777" w:rsidTr="0079105C">
        <w:trPr>
          <w:trHeight w:val="250"/>
        </w:trPr>
        <w:tc>
          <w:tcPr>
            <w:tcW w:w="2387" w:type="dxa"/>
            <w:noWrap/>
            <w:hideMark/>
          </w:tcPr>
          <w:p w14:paraId="68A787C1" w14:textId="77777777" w:rsidR="0079105C" w:rsidRPr="00C64DCA" w:rsidRDefault="0079105C" w:rsidP="0079105C">
            <w:pPr>
              <w:rPr>
                <w:rFonts w:eastAsiaTheme="majorEastAsia"/>
              </w:rPr>
            </w:pPr>
            <w:r w:rsidRPr="00C64DCA">
              <w:rPr>
                <w:rFonts w:eastAsiaTheme="majorEastAsia"/>
              </w:rPr>
              <w:t>CRP result (mg/dl), median (IQR)</w:t>
            </w:r>
          </w:p>
        </w:tc>
        <w:tc>
          <w:tcPr>
            <w:tcW w:w="2286" w:type="dxa"/>
            <w:noWrap/>
            <w:hideMark/>
          </w:tcPr>
          <w:p w14:paraId="7E0FE002" w14:textId="489FC0ED" w:rsidR="0079105C" w:rsidRPr="00C64DCA" w:rsidRDefault="0079105C" w:rsidP="0079105C">
            <w:pPr>
              <w:rPr>
                <w:rFonts w:eastAsiaTheme="majorEastAsia"/>
              </w:rPr>
            </w:pPr>
            <w:r w:rsidRPr="00C64DCA">
              <w:rPr>
                <w:rFonts w:eastAsiaTheme="majorEastAsia"/>
              </w:rPr>
              <w:t>3.4 (1.2 to 11.0)</w:t>
            </w:r>
          </w:p>
        </w:tc>
        <w:tc>
          <w:tcPr>
            <w:tcW w:w="2268" w:type="dxa"/>
            <w:noWrap/>
            <w:hideMark/>
          </w:tcPr>
          <w:p w14:paraId="4211B851" w14:textId="5E7C6058" w:rsidR="0079105C" w:rsidRPr="00C64DCA" w:rsidRDefault="0079105C" w:rsidP="0079105C">
            <w:pPr>
              <w:rPr>
                <w:rFonts w:eastAsiaTheme="majorEastAsia"/>
              </w:rPr>
            </w:pPr>
            <w:r w:rsidRPr="00C64DCA">
              <w:rPr>
                <w:rFonts w:eastAsiaTheme="majorEastAsia"/>
              </w:rPr>
              <w:t>2.2 (0.7 to 5.3)</w:t>
            </w:r>
          </w:p>
        </w:tc>
        <w:tc>
          <w:tcPr>
            <w:tcW w:w="998" w:type="dxa"/>
            <w:noWrap/>
            <w:hideMark/>
          </w:tcPr>
          <w:p w14:paraId="3CD8E48D" w14:textId="739B3A93" w:rsidR="0079105C" w:rsidRPr="00C64DCA" w:rsidRDefault="0079105C" w:rsidP="0079105C">
            <w:pPr>
              <w:rPr>
                <w:rFonts w:eastAsiaTheme="majorEastAsia"/>
              </w:rPr>
            </w:pPr>
            <w:r w:rsidRPr="00C64DCA">
              <w:rPr>
                <w:rFonts w:eastAsiaTheme="majorEastAsia"/>
              </w:rPr>
              <w:t>0.007</w:t>
            </w:r>
          </w:p>
        </w:tc>
      </w:tr>
      <w:tr w:rsidR="0079105C" w:rsidRPr="00C64DCA" w14:paraId="5B243B8B" w14:textId="77777777" w:rsidTr="0079105C">
        <w:trPr>
          <w:trHeight w:val="250"/>
        </w:trPr>
        <w:tc>
          <w:tcPr>
            <w:tcW w:w="2387" w:type="dxa"/>
            <w:noWrap/>
            <w:hideMark/>
          </w:tcPr>
          <w:p w14:paraId="035F94F7" w14:textId="77777777" w:rsidR="0079105C" w:rsidRPr="00C64DCA" w:rsidRDefault="0079105C" w:rsidP="0079105C">
            <w:pPr>
              <w:rPr>
                <w:rFonts w:eastAsiaTheme="majorEastAsia"/>
              </w:rPr>
            </w:pPr>
            <w:r w:rsidRPr="00C64DCA">
              <w:rPr>
                <w:rFonts w:eastAsiaTheme="majorEastAsia"/>
              </w:rPr>
              <w:t>Pain VAS available</w:t>
            </w:r>
          </w:p>
        </w:tc>
        <w:tc>
          <w:tcPr>
            <w:tcW w:w="2286" w:type="dxa"/>
            <w:noWrap/>
            <w:hideMark/>
          </w:tcPr>
          <w:p w14:paraId="04E26F4C" w14:textId="4E1BA6BF" w:rsidR="0079105C" w:rsidRPr="00C64DCA" w:rsidRDefault="0079105C" w:rsidP="0079105C">
            <w:pPr>
              <w:rPr>
                <w:rFonts w:eastAsiaTheme="majorEastAsia"/>
              </w:rPr>
            </w:pPr>
            <w:r w:rsidRPr="00C64DCA">
              <w:rPr>
                <w:rFonts w:eastAsiaTheme="majorEastAsia"/>
              </w:rPr>
              <w:t>227 (35%)</w:t>
            </w:r>
          </w:p>
        </w:tc>
        <w:tc>
          <w:tcPr>
            <w:tcW w:w="2268" w:type="dxa"/>
            <w:noWrap/>
            <w:hideMark/>
          </w:tcPr>
          <w:p w14:paraId="7DD4667C" w14:textId="37C77499" w:rsidR="0079105C" w:rsidRPr="00C64DCA" w:rsidRDefault="0079105C" w:rsidP="0079105C">
            <w:pPr>
              <w:rPr>
                <w:rFonts w:eastAsiaTheme="majorEastAsia"/>
              </w:rPr>
            </w:pPr>
            <w:r w:rsidRPr="00C64DCA">
              <w:rPr>
                <w:rFonts w:eastAsiaTheme="majorEastAsia"/>
              </w:rPr>
              <w:t>53 (40%)</w:t>
            </w:r>
          </w:p>
        </w:tc>
        <w:tc>
          <w:tcPr>
            <w:tcW w:w="998" w:type="dxa"/>
            <w:noWrap/>
            <w:hideMark/>
          </w:tcPr>
          <w:p w14:paraId="586CA5DF" w14:textId="1E447E25" w:rsidR="0079105C" w:rsidRPr="00C64DCA" w:rsidRDefault="0079105C" w:rsidP="0079105C">
            <w:pPr>
              <w:rPr>
                <w:rFonts w:eastAsiaTheme="majorEastAsia"/>
              </w:rPr>
            </w:pPr>
            <w:r w:rsidRPr="00C64DCA">
              <w:rPr>
                <w:rFonts w:eastAsiaTheme="majorEastAsia"/>
              </w:rPr>
              <w:t>0.360</w:t>
            </w:r>
          </w:p>
        </w:tc>
      </w:tr>
      <w:tr w:rsidR="0079105C" w:rsidRPr="00C64DCA" w14:paraId="47F5C4CA" w14:textId="77777777" w:rsidTr="0079105C">
        <w:trPr>
          <w:trHeight w:val="250"/>
        </w:trPr>
        <w:tc>
          <w:tcPr>
            <w:tcW w:w="2387" w:type="dxa"/>
            <w:noWrap/>
            <w:hideMark/>
          </w:tcPr>
          <w:p w14:paraId="180D340B" w14:textId="4E6FFBC7" w:rsidR="0079105C" w:rsidRPr="00C64DCA" w:rsidRDefault="0079105C" w:rsidP="0079105C">
            <w:pPr>
              <w:rPr>
                <w:rFonts w:eastAsiaTheme="majorEastAsia"/>
              </w:rPr>
            </w:pPr>
            <w:r w:rsidRPr="00C64DCA">
              <w:rPr>
                <w:rFonts w:eastAsiaTheme="majorEastAsia"/>
              </w:rPr>
              <w:t>Pain VAS</w:t>
            </w:r>
          </w:p>
        </w:tc>
        <w:tc>
          <w:tcPr>
            <w:tcW w:w="2286" w:type="dxa"/>
            <w:noWrap/>
            <w:hideMark/>
          </w:tcPr>
          <w:p w14:paraId="4D9236BA" w14:textId="6F9E0387" w:rsidR="0079105C" w:rsidRPr="00C64DCA" w:rsidRDefault="0079105C" w:rsidP="0079105C">
            <w:pPr>
              <w:rPr>
                <w:rFonts w:eastAsiaTheme="majorEastAsia"/>
              </w:rPr>
            </w:pPr>
            <w:r w:rsidRPr="00C64DCA">
              <w:rPr>
                <w:rFonts w:eastAsiaTheme="majorEastAsia"/>
              </w:rPr>
              <w:t>2.2 (3.0)</w:t>
            </w:r>
          </w:p>
        </w:tc>
        <w:tc>
          <w:tcPr>
            <w:tcW w:w="2268" w:type="dxa"/>
            <w:noWrap/>
            <w:hideMark/>
          </w:tcPr>
          <w:p w14:paraId="7D4A6844" w14:textId="6A40EE84" w:rsidR="0079105C" w:rsidRPr="00C64DCA" w:rsidRDefault="0079105C" w:rsidP="0079105C">
            <w:pPr>
              <w:rPr>
                <w:rFonts w:eastAsiaTheme="majorEastAsia"/>
              </w:rPr>
            </w:pPr>
            <w:r w:rsidRPr="00C64DCA">
              <w:rPr>
                <w:rFonts w:eastAsiaTheme="majorEastAsia"/>
              </w:rPr>
              <w:t>3.0 (3.3)</w:t>
            </w:r>
          </w:p>
        </w:tc>
        <w:tc>
          <w:tcPr>
            <w:tcW w:w="998" w:type="dxa"/>
            <w:noWrap/>
            <w:hideMark/>
          </w:tcPr>
          <w:p w14:paraId="2A8EEBB8" w14:textId="44A81254" w:rsidR="0079105C" w:rsidRPr="00C64DCA" w:rsidRDefault="0079105C" w:rsidP="0079105C">
            <w:pPr>
              <w:rPr>
                <w:rFonts w:eastAsiaTheme="majorEastAsia"/>
              </w:rPr>
            </w:pPr>
            <w:r w:rsidRPr="00C64DCA">
              <w:rPr>
                <w:rFonts w:eastAsiaTheme="majorEastAsia"/>
              </w:rPr>
              <w:t>0.120</w:t>
            </w:r>
          </w:p>
        </w:tc>
      </w:tr>
      <w:tr w:rsidR="0079105C" w:rsidRPr="00C64DCA" w14:paraId="58AFFE9F" w14:textId="77777777" w:rsidTr="0079105C">
        <w:trPr>
          <w:trHeight w:val="250"/>
        </w:trPr>
        <w:tc>
          <w:tcPr>
            <w:tcW w:w="2387" w:type="dxa"/>
            <w:noWrap/>
          </w:tcPr>
          <w:p w14:paraId="3A8B5625" w14:textId="77777777" w:rsidR="0079105C" w:rsidRPr="00C64DCA" w:rsidRDefault="0079105C" w:rsidP="0079105C">
            <w:pPr>
              <w:rPr>
                <w:rFonts w:eastAsiaTheme="majorEastAsia"/>
              </w:rPr>
            </w:pPr>
            <w:r w:rsidRPr="00C64DCA">
              <w:rPr>
                <w:rFonts w:eastAsiaTheme="majorEastAsia"/>
              </w:rPr>
              <w:t>Comorbidity count**, mean (SD)</w:t>
            </w:r>
          </w:p>
        </w:tc>
        <w:tc>
          <w:tcPr>
            <w:tcW w:w="2286" w:type="dxa"/>
            <w:noWrap/>
          </w:tcPr>
          <w:p w14:paraId="0E749E57" w14:textId="6C4ABB35" w:rsidR="0079105C" w:rsidRPr="00C64DCA" w:rsidRDefault="0079105C" w:rsidP="0079105C">
            <w:pPr>
              <w:rPr>
                <w:rFonts w:eastAsiaTheme="majorEastAsia"/>
              </w:rPr>
            </w:pPr>
            <w:r w:rsidRPr="00C64DCA">
              <w:rPr>
                <w:rFonts w:eastAsiaTheme="majorEastAsia"/>
              </w:rPr>
              <w:t>1.5 (2.2)</w:t>
            </w:r>
          </w:p>
        </w:tc>
        <w:tc>
          <w:tcPr>
            <w:tcW w:w="2268" w:type="dxa"/>
            <w:noWrap/>
          </w:tcPr>
          <w:p w14:paraId="2AEB1B5D" w14:textId="446423E0" w:rsidR="0079105C" w:rsidRPr="00C64DCA" w:rsidRDefault="0079105C" w:rsidP="0079105C">
            <w:pPr>
              <w:rPr>
                <w:rFonts w:eastAsiaTheme="majorEastAsia"/>
              </w:rPr>
            </w:pPr>
            <w:r w:rsidRPr="00C64DCA">
              <w:rPr>
                <w:rFonts w:eastAsiaTheme="majorEastAsia"/>
              </w:rPr>
              <w:t>1.3 (2.2)</w:t>
            </w:r>
          </w:p>
        </w:tc>
        <w:tc>
          <w:tcPr>
            <w:tcW w:w="998" w:type="dxa"/>
            <w:noWrap/>
          </w:tcPr>
          <w:p w14:paraId="18859BA0" w14:textId="7ED405E4" w:rsidR="0079105C" w:rsidRPr="00C64DCA" w:rsidRDefault="0079105C" w:rsidP="0079105C">
            <w:pPr>
              <w:rPr>
                <w:rFonts w:eastAsiaTheme="majorEastAsia"/>
              </w:rPr>
            </w:pPr>
            <w:r w:rsidRPr="00C64DCA">
              <w:rPr>
                <w:rFonts w:eastAsiaTheme="majorEastAsia"/>
              </w:rPr>
              <w:t>0.290</w:t>
            </w:r>
          </w:p>
        </w:tc>
      </w:tr>
      <w:tr w:rsidR="00127327" w:rsidRPr="00C64DCA" w14:paraId="59DA3576" w14:textId="77777777" w:rsidTr="00E5320F">
        <w:trPr>
          <w:trHeight w:val="250"/>
        </w:trPr>
        <w:tc>
          <w:tcPr>
            <w:tcW w:w="7939" w:type="dxa"/>
            <w:gridSpan w:val="4"/>
            <w:noWrap/>
          </w:tcPr>
          <w:p w14:paraId="20A4E41A" w14:textId="73255816" w:rsidR="00974401" w:rsidRPr="00C64DCA" w:rsidRDefault="000F338F" w:rsidP="008053BD">
            <w:pPr>
              <w:rPr>
                <w:rFonts w:eastAsiaTheme="majorEastAsia"/>
              </w:rPr>
            </w:pPr>
            <w:r w:rsidRPr="00C64DCA">
              <w:rPr>
                <w:rFonts w:eastAsiaTheme="majorEastAsia"/>
              </w:rPr>
              <w:t>Data</w:t>
            </w:r>
            <w:r w:rsidR="00974401" w:rsidRPr="00C64DCA">
              <w:rPr>
                <w:rFonts w:eastAsiaTheme="majorEastAsia"/>
              </w:rPr>
              <w:t xml:space="preserve"> collected at the latest clinical visit (the index date) for each patient and </w:t>
            </w:r>
            <w:r w:rsidR="007F6E33" w:rsidRPr="00C64DCA">
              <w:rPr>
                <w:rFonts w:eastAsiaTheme="majorEastAsia"/>
              </w:rPr>
              <w:t xml:space="preserve">are </w:t>
            </w:r>
            <w:r w:rsidRPr="00C64DCA">
              <w:rPr>
                <w:rFonts w:eastAsiaTheme="majorEastAsia"/>
              </w:rPr>
              <w:t>shown as mean (SD) and n (%) unless otherwise specified.</w:t>
            </w:r>
            <w:r w:rsidR="008B41CC" w:rsidRPr="00C64DCA">
              <w:rPr>
                <w:rFonts w:eastAsiaTheme="majorEastAsia"/>
              </w:rPr>
              <w:t xml:space="preserve"> </w:t>
            </w:r>
          </w:p>
          <w:p w14:paraId="55EB1DCF" w14:textId="7B3E508B" w:rsidR="000F338F" w:rsidRPr="00C64DCA" w:rsidRDefault="008B41CC" w:rsidP="008053BD">
            <w:pPr>
              <w:rPr>
                <w:rFonts w:eastAsiaTheme="majorEastAsia"/>
              </w:rPr>
            </w:pPr>
            <w:r w:rsidRPr="00C64DCA">
              <w:rPr>
                <w:rFonts w:eastAsiaTheme="majorEastAsia"/>
              </w:rPr>
              <w:t>ESR, CRP and pain VAS within one year prior to the index date were included.</w:t>
            </w:r>
          </w:p>
          <w:p w14:paraId="72C80E1F" w14:textId="391AD85C" w:rsidR="00127327" w:rsidRPr="00C64DCA" w:rsidRDefault="00127327" w:rsidP="008053BD">
            <w:pPr>
              <w:rPr>
                <w:rFonts w:eastAsiaTheme="majorEastAsia"/>
              </w:rPr>
            </w:pPr>
            <w:r w:rsidRPr="00C64DCA">
              <w:rPr>
                <w:rFonts w:eastAsiaTheme="majorEastAsia"/>
              </w:rPr>
              <w:t>BMI, body mass index; VAS, visual analogue scale; IQR, interquartile range; SD, standard deviation; IBD, inflammatory bowel disease.</w:t>
            </w:r>
          </w:p>
          <w:p w14:paraId="7FD2BED5" w14:textId="77777777" w:rsidR="00127327" w:rsidRPr="00C64DCA" w:rsidRDefault="00127327" w:rsidP="008053BD">
            <w:pPr>
              <w:rPr>
                <w:rFonts w:eastAsiaTheme="majorEastAsia"/>
              </w:rPr>
            </w:pPr>
            <w:r w:rsidRPr="00C64DCA">
              <w:rPr>
                <w:rFonts w:eastAsiaTheme="majorEastAsia"/>
              </w:rPr>
              <w:t>*family history of axial spondyloarthritis, psoriasis, uveitis, reactive arthritis or IBD.</w:t>
            </w:r>
          </w:p>
          <w:p w14:paraId="52EFF015" w14:textId="77777777" w:rsidR="00127327" w:rsidRPr="00C64DCA" w:rsidRDefault="00127327" w:rsidP="008053BD">
            <w:pPr>
              <w:rPr>
                <w:rFonts w:eastAsiaTheme="majorEastAsia"/>
              </w:rPr>
            </w:pPr>
            <w:r w:rsidRPr="00C64DCA">
              <w:rPr>
                <w:rFonts w:eastAsiaTheme="majorEastAsia"/>
              </w:rPr>
              <w:t>**number of comorbidities among a list of 39 chronic conditions</w:t>
            </w:r>
          </w:p>
        </w:tc>
      </w:tr>
    </w:tbl>
    <w:p w14:paraId="2BAA17E7" w14:textId="77645F4B" w:rsidR="00127327" w:rsidRPr="00C64DCA" w:rsidRDefault="00127327">
      <w:pPr>
        <w:rPr>
          <w:rFonts w:eastAsiaTheme="majorEastAsia"/>
        </w:rPr>
      </w:pPr>
      <w:r w:rsidRPr="00C64DCA">
        <w:rPr>
          <w:rFonts w:eastAsiaTheme="majorEastAsia"/>
        </w:rPr>
        <w:br w:type="page"/>
      </w:r>
    </w:p>
    <w:tbl>
      <w:tblPr>
        <w:tblStyle w:val="TableGrid"/>
        <w:tblW w:w="0" w:type="auto"/>
        <w:tblLook w:val="04A0" w:firstRow="1" w:lastRow="0" w:firstColumn="1" w:lastColumn="0" w:noHBand="0" w:noVBand="1"/>
      </w:tblPr>
      <w:tblGrid>
        <w:gridCol w:w="3227"/>
        <w:gridCol w:w="1748"/>
        <w:gridCol w:w="2268"/>
        <w:gridCol w:w="998"/>
      </w:tblGrid>
      <w:tr w:rsidR="00763A58" w:rsidRPr="00C64DCA" w14:paraId="1ACF78F8" w14:textId="77777777" w:rsidTr="00763A58">
        <w:trPr>
          <w:trHeight w:val="250"/>
        </w:trPr>
        <w:tc>
          <w:tcPr>
            <w:tcW w:w="8241" w:type="dxa"/>
            <w:gridSpan w:val="4"/>
            <w:tcBorders>
              <w:top w:val="single" w:sz="4" w:space="0" w:color="auto"/>
              <w:left w:val="single" w:sz="4" w:space="0" w:color="auto"/>
              <w:bottom w:val="single" w:sz="4" w:space="0" w:color="auto"/>
              <w:right w:val="single" w:sz="4" w:space="0" w:color="auto"/>
            </w:tcBorders>
            <w:noWrap/>
            <w:hideMark/>
          </w:tcPr>
          <w:p w14:paraId="568DD920" w14:textId="5768EF7B" w:rsidR="00763A58" w:rsidRPr="00C64DCA" w:rsidRDefault="00763A58" w:rsidP="007F6E33">
            <w:r w:rsidRPr="00C64DCA">
              <w:lastRenderedPageBreak/>
              <w:t xml:space="preserve">Table 2. </w:t>
            </w:r>
            <w:r w:rsidR="007F6E33" w:rsidRPr="00C64DCA">
              <w:t>Comparing m</w:t>
            </w:r>
            <w:r w:rsidR="00905831" w:rsidRPr="00C64DCA">
              <w:t xml:space="preserve">edications used in 775 axSpA patients </w:t>
            </w:r>
            <w:r w:rsidR="00251D4B" w:rsidRPr="00C64DCA">
              <w:t>according to diagnosis.</w:t>
            </w:r>
            <w:r w:rsidR="00E324DD" w:rsidRPr="00C64DCA">
              <w:t xml:space="preserve"> </w:t>
            </w:r>
          </w:p>
        </w:tc>
      </w:tr>
      <w:tr w:rsidR="00763A58" w:rsidRPr="00C64DCA" w14:paraId="59447F0B" w14:textId="77777777" w:rsidTr="00763A58">
        <w:trPr>
          <w:trHeight w:val="250"/>
        </w:trPr>
        <w:tc>
          <w:tcPr>
            <w:tcW w:w="3227" w:type="dxa"/>
            <w:tcBorders>
              <w:top w:val="single" w:sz="4" w:space="0" w:color="auto"/>
              <w:left w:val="single" w:sz="4" w:space="0" w:color="auto"/>
              <w:bottom w:val="single" w:sz="4" w:space="0" w:color="auto"/>
              <w:right w:val="single" w:sz="4" w:space="0" w:color="auto"/>
            </w:tcBorders>
            <w:noWrap/>
            <w:hideMark/>
          </w:tcPr>
          <w:p w14:paraId="24607B7E" w14:textId="77777777" w:rsidR="00763A58" w:rsidRPr="00C64DCA" w:rsidRDefault="00763A58">
            <w:pPr>
              <w:rPr>
                <w:rFonts w:cs="Times New Roman"/>
              </w:rPr>
            </w:pPr>
          </w:p>
        </w:tc>
        <w:tc>
          <w:tcPr>
            <w:tcW w:w="1748" w:type="dxa"/>
            <w:tcBorders>
              <w:top w:val="single" w:sz="4" w:space="0" w:color="auto"/>
              <w:left w:val="single" w:sz="4" w:space="0" w:color="auto"/>
              <w:bottom w:val="single" w:sz="4" w:space="0" w:color="auto"/>
              <w:right w:val="single" w:sz="4" w:space="0" w:color="auto"/>
            </w:tcBorders>
            <w:noWrap/>
            <w:hideMark/>
          </w:tcPr>
          <w:p w14:paraId="246E497F" w14:textId="24EE4605" w:rsidR="00763A58" w:rsidRPr="00C64DCA" w:rsidRDefault="00763A58" w:rsidP="00763A58">
            <w:r w:rsidRPr="00C64DCA">
              <w:t>Ankylosing spondylitis (n=641)</w:t>
            </w:r>
          </w:p>
        </w:tc>
        <w:tc>
          <w:tcPr>
            <w:tcW w:w="2268" w:type="dxa"/>
            <w:tcBorders>
              <w:top w:val="single" w:sz="4" w:space="0" w:color="auto"/>
              <w:left w:val="single" w:sz="4" w:space="0" w:color="auto"/>
              <w:bottom w:val="single" w:sz="4" w:space="0" w:color="auto"/>
              <w:right w:val="single" w:sz="4" w:space="0" w:color="auto"/>
            </w:tcBorders>
            <w:noWrap/>
            <w:hideMark/>
          </w:tcPr>
          <w:p w14:paraId="360653DF" w14:textId="57302A18" w:rsidR="00763A58" w:rsidRPr="00C64DCA" w:rsidRDefault="00763A58" w:rsidP="00763A58">
            <w:r w:rsidRPr="00C64DCA">
              <w:t>Non-radiographic axial spondyloarthritis (n=134)</w:t>
            </w:r>
          </w:p>
        </w:tc>
        <w:tc>
          <w:tcPr>
            <w:tcW w:w="998" w:type="dxa"/>
            <w:tcBorders>
              <w:top w:val="single" w:sz="4" w:space="0" w:color="auto"/>
              <w:left w:val="single" w:sz="4" w:space="0" w:color="auto"/>
              <w:bottom w:val="single" w:sz="4" w:space="0" w:color="auto"/>
              <w:right w:val="single" w:sz="4" w:space="0" w:color="auto"/>
            </w:tcBorders>
            <w:noWrap/>
            <w:hideMark/>
          </w:tcPr>
          <w:p w14:paraId="2BCC5779" w14:textId="77777777" w:rsidR="00763A58" w:rsidRPr="00C64DCA" w:rsidRDefault="00763A58">
            <w:r w:rsidRPr="00C64DCA">
              <w:t>P-value</w:t>
            </w:r>
          </w:p>
        </w:tc>
      </w:tr>
      <w:tr w:rsidR="00763A58" w:rsidRPr="00C64DCA" w14:paraId="04A09211" w14:textId="77777777" w:rsidTr="00763A58">
        <w:trPr>
          <w:trHeight w:val="250"/>
        </w:trPr>
        <w:tc>
          <w:tcPr>
            <w:tcW w:w="3227" w:type="dxa"/>
            <w:tcBorders>
              <w:top w:val="single" w:sz="4" w:space="0" w:color="auto"/>
              <w:left w:val="single" w:sz="4" w:space="0" w:color="auto"/>
              <w:bottom w:val="nil"/>
              <w:right w:val="single" w:sz="4" w:space="0" w:color="auto"/>
            </w:tcBorders>
            <w:noWrap/>
            <w:hideMark/>
          </w:tcPr>
          <w:p w14:paraId="33CAAAC7" w14:textId="77777777" w:rsidR="00763A58" w:rsidRPr="00C64DCA" w:rsidRDefault="00763A58">
            <w:pPr>
              <w:jc w:val="right"/>
            </w:pPr>
            <w:r w:rsidRPr="00C64DCA">
              <w:t>bDMARDs</w:t>
            </w:r>
          </w:p>
        </w:tc>
        <w:tc>
          <w:tcPr>
            <w:tcW w:w="1748" w:type="dxa"/>
            <w:tcBorders>
              <w:top w:val="single" w:sz="4" w:space="0" w:color="auto"/>
              <w:left w:val="single" w:sz="4" w:space="0" w:color="auto"/>
              <w:bottom w:val="nil"/>
              <w:right w:val="single" w:sz="4" w:space="0" w:color="auto"/>
            </w:tcBorders>
            <w:noWrap/>
            <w:hideMark/>
          </w:tcPr>
          <w:p w14:paraId="01066FB6" w14:textId="57C0EB9E" w:rsidR="00763A58" w:rsidRPr="00C64DCA" w:rsidRDefault="00763A58">
            <w:r w:rsidRPr="00C64DCA">
              <w:t>353 (55%)</w:t>
            </w:r>
          </w:p>
        </w:tc>
        <w:tc>
          <w:tcPr>
            <w:tcW w:w="2268" w:type="dxa"/>
            <w:tcBorders>
              <w:top w:val="single" w:sz="4" w:space="0" w:color="auto"/>
              <w:left w:val="single" w:sz="4" w:space="0" w:color="auto"/>
              <w:bottom w:val="nil"/>
              <w:right w:val="single" w:sz="4" w:space="0" w:color="auto"/>
            </w:tcBorders>
            <w:noWrap/>
            <w:hideMark/>
          </w:tcPr>
          <w:p w14:paraId="6EF83D4E" w14:textId="104D7671" w:rsidR="00763A58" w:rsidRPr="00C64DCA" w:rsidRDefault="00763A58">
            <w:r w:rsidRPr="00C64DCA">
              <w:t>70 (52%)</w:t>
            </w:r>
          </w:p>
        </w:tc>
        <w:tc>
          <w:tcPr>
            <w:tcW w:w="998" w:type="dxa"/>
            <w:tcBorders>
              <w:top w:val="single" w:sz="4" w:space="0" w:color="auto"/>
              <w:left w:val="single" w:sz="4" w:space="0" w:color="auto"/>
              <w:bottom w:val="nil"/>
              <w:right w:val="single" w:sz="4" w:space="0" w:color="auto"/>
            </w:tcBorders>
            <w:noWrap/>
            <w:hideMark/>
          </w:tcPr>
          <w:p w14:paraId="4454CF46" w14:textId="74651C03" w:rsidR="00763A58" w:rsidRPr="00C64DCA" w:rsidRDefault="00763A58">
            <w:r w:rsidRPr="00C64DCA">
              <w:t>0.550</w:t>
            </w:r>
          </w:p>
        </w:tc>
      </w:tr>
      <w:tr w:rsidR="00763A58" w:rsidRPr="00C64DCA" w14:paraId="74F7D127" w14:textId="77777777" w:rsidTr="00763A58">
        <w:trPr>
          <w:trHeight w:val="250"/>
        </w:trPr>
        <w:tc>
          <w:tcPr>
            <w:tcW w:w="3227" w:type="dxa"/>
            <w:tcBorders>
              <w:top w:val="nil"/>
              <w:left w:val="single" w:sz="4" w:space="0" w:color="auto"/>
              <w:bottom w:val="nil"/>
              <w:right w:val="single" w:sz="4" w:space="0" w:color="auto"/>
            </w:tcBorders>
            <w:noWrap/>
            <w:hideMark/>
          </w:tcPr>
          <w:p w14:paraId="1F103D4A" w14:textId="77777777" w:rsidR="00763A58" w:rsidRPr="00C64DCA" w:rsidRDefault="00763A58">
            <w:pPr>
              <w:jc w:val="right"/>
            </w:pPr>
            <w:r w:rsidRPr="00C64DCA">
              <w:t>Adalimumab</w:t>
            </w:r>
          </w:p>
        </w:tc>
        <w:tc>
          <w:tcPr>
            <w:tcW w:w="1748" w:type="dxa"/>
            <w:tcBorders>
              <w:top w:val="nil"/>
              <w:left w:val="single" w:sz="4" w:space="0" w:color="auto"/>
              <w:bottom w:val="nil"/>
              <w:right w:val="single" w:sz="4" w:space="0" w:color="auto"/>
            </w:tcBorders>
            <w:noWrap/>
            <w:hideMark/>
          </w:tcPr>
          <w:p w14:paraId="4D0C12AE" w14:textId="52DBCB1F" w:rsidR="00763A58" w:rsidRPr="00C64DCA" w:rsidRDefault="00763A58">
            <w:r w:rsidRPr="00C64DCA">
              <w:t>205 (32%)</w:t>
            </w:r>
          </w:p>
        </w:tc>
        <w:tc>
          <w:tcPr>
            <w:tcW w:w="2268" w:type="dxa"/>
            <w:tcBorders>
              <w:top w:val="nil"/>
              <w:left w:val="single" w:sz="4" w:space="0" w:color="auto"/>
              <w:bottom w:val="nil"/>
              <w:right w:val="single" w:sz="4" w:space="0" w:color="auto"/>
            </w:tcBorders>
            <w:noWrap/>
            <w:hideMark/>
          </w:tcPr>
          <w:p w14:paraId="63356C09" w14:textId="51724038" w:rsidR="00763A58" w:rsidRPr="00C64DCA" w:rsidRDefault="00763A58">
            <w:r w:rsidRPr="00C64DCA">
              <w:t>39 (29%)</w:t>
            </w:r>
          </w:p>
        </w:tc>
        <w:tc>
          <w:tcPr>
            <w:tcW w:w="998" w:type="dxa"/>
            <w:tcBorders>
              <w:top w:val="nil"/>
              <w:left w:val="single" w:sz="4" w:space="0" w:color="auto"/>
              <w:bottom w:val="nil"/>
              <w:right w:val="single" w:sz="4" w:space="0" w:color="auto"/>
            </w:tcBorders>
            <w:noWrap/>
            <w:hideMark/>
          </w:tcPr>
          <w:p w14:paraId="137E7269" w14:textId="565A6510" w:rsidR="00763A58" w:rsidRPr="00C64DCA" w:rsidRDefault="00763A58">
            <w:r w:rsidRPr="00C64DCA">
              <w:t>0.510</w:t>
            </w:r>
          </w:p>
        </w:tc>
      </w:tr>
      <w:tr w:rsidR="00763A58" w:rsidRPr="00C64DCA" w14:paraId="01DBF8FC" w14:textId="77777777" w:rsidTr="00763A58">
        <w:trPr>
          <w:trHeight w:val="250"/>
        </w:trPr>
        <w:tc>
          <w:tcPr>
            <w:tcW w:w="3227" w:type="dxa"/>
            <w:tcBorders>
              <w:top w:val="nil"/>
              <w:left w:val="single" w:sz="4" w:space="0" w:color="auto"/>
              <w:bottom w:val="nil"/>
              <w:right w:val="single" w:sz="4" w:space="0" w:color="auto"/>
            </w:tcBorders>
            <w:noWrap/>
            <w:hideMark/>
          </w:tcPr>
          <w:p w14:paraId="621FA90C" w14:textId="77777777" w:rsidR="00763A58" w:rsidRPr="00C64DCA" w:rsidRDefault="00763A58">
            <w:pPr>
              <w:jc w:val="right"/>
            </w:pPr>
            <w:r w:rsidRPr="00C64DCA">
              <w:t>Etanercept</w:t>
            </w:r>
          </w:p>
        </w:tc>
        <w:tc>
          <w:tcPr>
            <w:tcW w:w="1748" w:type="dxa"/>
            <w:tcBorders>
              <w:top w:val="nil"/>
              <w:left w:val="single" w:sz="4" w:space="0" w:color="auto"/>
              <w:bottom w:val="nil"/>
              <w:right w:val="single" w:sz="4" w:space="0" w:color="auto"/>
            </w:tcBorders>
            <w:noWrap/>
            <w:hideMark/>
          </w:tcPr>
          <w:p w14:paraId="73A51024" w14:textId="1D624553" w:rsidR="00763A58" w:rsidRPr="00C64DCA" w:rsidRDefault="00763A58">
            <w:r w:rsidRPr="00C64DCA">
              <w:t>190 (30%)</w:t>
            </w:r>
          </w:p>
        </w:tc>
        <w:tc>
          <w:tcPr>
            <w:tcW w:w="2268" w:type="dxa"/>
            <w:tcBorders>
              <w:top w:val="nil"/>
              <w:left w:val="single" w:sz="4" w:space="0" w:color="auto"/>
              <w:bottom w:val="nil"/>
              <w:right w:val="single" w:sz="4" w:space="0" w:color="auto"/>
            </w:tcBorders>
            <w:noWrap/>
            <w:hideMark/>
          </w:tcPr>
          <w:p w14:paraId="1E692CAB" w14:textId="48A31562" w:rsidR="00763A58" w:rsidRPr="00C64DCA" w:rsidRDefault="00763A58">
            <w:r w:rsidRPr="00C64DCA">
              <w:t>36 (27%)</w:t>
            </w:r>
          </w:p>
        </w:tc>
        <w:tc>
          <w:tcPr>
            <w:tcW w:w="998" w:type="dxa"/>
            <w:tcBorders>
              <w:top w:val="nil"/>
              <w:left w:val="single" w:sz="4" w:space="0" w:color="auto"/>
              <w:bottom w:val="nil"/>
              <w:right w:val="single" w:sz="4" w:space="0" w:color="auto"/>
            </w:tcBorders>
            <w:noWrap/>
            <w:hideMark/>
          </w:tcPr>
          <w:p w14:paraId="43E34BB3" w14:textId="64E3FA3E" w:rsidR="00763A58" w:rsidRPr="00C64DCA" w:rsidRDefault="00763A58">
            <w:r w:rsidRPr="00C64DCA">
              <w:t>0.520</w:t>
            </w:r>
          </w:p>
        </w:tc>
      </w:tr>
      <w:tr w:rsidR="00763A58" w:rsidRPr="00C64DCA" w14:paraId="70AF7C7A" w14:textId="77777777" w:rsidTr="00763A58">
        <w:trPr>
          <w:trHeight w:val="250"/>
        </w:trPr>
        <w:tc>
          <w:tcPr>
            <w:tcW w:w="3227" w:type="dxa"/>
            <w:tcBorders>
              <w:top w:val="nil"/>
              <w:left w:val="single" w:sz="4" w:space="0" w:color="auto"/>
              <w:bottom w:val="nil"/>
              <w:right w:val="single" w:sz="4" w:space="0" w:color="auto"/>
            </w:tcBorders>
            <w:noWrap/>
            <w:hideMark/>
          </w:tcPr>
          <w:p w14:paraId="6EEB7EB0" w14:textId="77777777" w:rsidR="00763A58" w:rsidRPr="00C64DCA" w:rsidRDefault="00763A58">
            <w:pPr>
              <w:jc w:val="right"/>
            </w:pPr>
            <w:r w:rsidRPr="00C64DCA">
              <w:t>Infliximab</w:t>
            </w:r>
          </w:p>
        </w:tc>
        <w:tc>
          <w:tcPr>
            <w:tcW w:w="1748" w:type="dxa"/>
            <w:tcBorders>
              <w:top w:val="nil"/>
              <w:left w:val="single" w:sz="4" w:space="0" w:color="auto"/>
              <w:bottom w:val="nil"/>
              <w:right w:val="single" w:sz="4" w:space="0" w:color="auto"/>
            </w:tcBorders>
            <w:noWrap/>
            <w:hideMark/>
          </w:tcPr>
          <w:p w14:paraId="5B68070C" w14:textId="44487B7E" w:rsidR="00763A58" w:rsidRPr="00C64DCA" w:rsidRDefault="00763A58">
            <w:r w:rsidRPr="00C64DCA">
              <w:t>85 (13%)</w:t>
            </w:r>
          </w:p>
        </w:tc>
        <w:tc>
          <w:tcPr>
            <w:tcW w:w="2268" w:type="dxa"/>
            <w:tcBorders>
              <w:top w:val="nil"/>
              <w:left w:val="single" w:sz="4" w:space="0" w:color="auto"/>
              <w:bottom w:val="nil"/>
              <w:right w:val="single" w:sz="4" w:space="0" w:color="auto"/>
            </w:tcBorders>
            <w:noWrap/>
            <w:hideMark/>
          </w:tcPr>
          <w:p w14:paraId="40E33180" w14:textId="12E23B28" w:rsidR="00763A58" w:rsidRPr="00C64DCA" w:rsidRDefault="00763A58">
            <w:r w:rsidRPr="00C64DCA">
              <w:t>17 (13%)</w:t>
            </w:r>
          </w:p>
        </w:tc>
        <w:tc>
          <w:tcPr>
            <w:tcW w:w="998" w:type="dxa"/>
            <w:tcBorders>
              <w:top w:val="nil"/>
              <w:left w:val="single" w:sz="4" w:space="0" w:color="auto"/>
              <w:bottom w:val="nil"/>
              <w:right w:val="single" w:sz="4" w:space="0" w:color="auto"/>
            </w:tcBorders>
            <w:noWrap/>
            <w:hideMark/>
          </w:tcPr>
          <w:p w14:paraId="66EEC2AE" w14:textId="1903F7CA" w:rsidR="00763A58" w:rsidRPr="00C64DCA" w:rsidRDefault="00763A58">
            <w:r w:rsidRPr="00C64DCA">
              <w:t>0.860</w:t>
            </w:r>
          </w:p>
        </w:tc>
      </w:tr>
      <w:tr w:rsidR="00763A58" w:rsidRPr="00C64DCA" w14:paraId="3980A748" w14:textId="77777777" w:rsidTr="00763A58">
        <w:trPr>
          <w:trHeight w:val="250"/>
        </w:trPr>
        <w:tc>
          <w:tcPr>
            <w:tcW w:w="3227" w:type="dxa"/>
            <w:tcBorders>
              <w:top w:val="nil"/>
              <w:left w:val="single" w:sz="4" w:space="0" w:color="auto"/>
              <w:bottom w:val="nil"/>
              <w:right w:val="single" w:sz="4" w:space="0" w:color="auto"/>
            </w:tcBorders>
            <w:noWrap/>
            <w:hideMark/>
          </w:tcPr>
          <w:p w14:paraId="17474A69" w14:textId="77777777" w:rsidR="00763A58" w:rsidRPr="00C64DCA" w:rsidRDefault="00763A58">
            <w:pPr>
              <w:jc w:val="right"/>
            </w:pPr>
            <w:r w:rsidRPr="00C64DCA">
              <w:t>Golimumab</w:t>
            </w:r>
          </w:p>
        </w:tc>
        <w:tc>
          <w:tcPr>
            <w:tcW w:w="1748" w:type="dxa"/>
            <w:tcBorders>
              <w:top w:val="nil"/>
              <w:left w:val="single" w:sz="4" w:space="0" w:color="auto"/>
              <w:bottom w:val="nil"/>
              <w:right w:val="single" w:sz="4" w:space="0" w:color="auto"/>
            </w:tcBorders>
            <w:noWrap/>
            <w:hideMark/>
          </w:tcPr>
          <w:p w14:paraId="24FE5BD0" w14:textId="20B5B987" w:rsidR="00763A58" w:rsidRPr="00C64DCA" w:rsidRDefault="00763A58">
            <w:r w:rsidRPr="00C64DCA">
              <w:t>26 (4%)</w:t>
            </w:r>
          </w:p>
        </w:tc>
        <w:tc>
          <w:tcPr>
            <w:tcW w:w="2268" w:type="dxa"/>
            <w:tcBorders>
              <w:top w:val="nil"/>
              <w:left w:val="single" w:sz="4" w:space="0" w:color="auto"/>
              <w:bottom w:val="nil"/>
              <w:right w:val="single" w:sz="4" w:space="0" w:color="auto"/>
            </w:tcBorders>
            <w:noWrap/>
            <w:hideMark/>
          </w:tcPr>
          <w:p w14:paraId="4D1500D8" w14:textId="393E3086" w:rsidR="00763A58" w:rsidRPr="00C64DCA" w:rsidRDefault="00763A58">
            <w:r w:rsidRPr="00C64DCA">
              <w:t>7 (5%)</w:t>
            </w:r>
          </w:p>
        </w:tc>
        <w:tc>
          <w:tcPr>
            <w:tcW w:w="998" w:type="dxa"/>
            <w:tcBorders>
              <w:top w:val="nil"/>
              <w:left w:val="single" w:sz="4" w:space="0" w:color="auto"/>
              <w:bottom w:val="nil"/>
              <w:right w:val="single" w:sz="4" w:space="0" w:color="auto"/>
            </w:tcBorders>
            <w:noWrap/>
            <w:hideMark/>
          </w:tcPr>
          <w:p w14:paraId="39CE46D8" w14:textId="4845BD00" w:rsidR="00763A58" w:rsidRPr="00C64DCA" w:rsidRDefault="00763A58">
            <w:r w:rsidRPr="00C64DCA">
              <w:t>0.540</w:t>
            </w:r>
          </w:p>
        </w:tc>
      </w:tr>
      <w:tr w:rsidR="00763A58" w:rsidRPr="00C64DCA" w14:paraId="597B55ED" w14:textId="77777777" w:rsidTr="00763A58">
        <w:trPr>
          <w:trHeight w:val="250"/>
        </w:trPr>
        <w:tc>
          <w:tcPr>
            <w:tcW w:w="3227" w:type="dxa"/>
            <w:tcBorders>
              <w:top w:val="nil"/>
              <w:left w:val="single" w:sz="4" w:space="0" w:color="auto"/>
              <w:bottom w:val="nil"/>
              <w:right w:val="single" w:sz="4" w:space="0" w:color="auto"/>
            </w:tcBorders>
            <w:noWrap/>
            <w:hideMark/>
          </w:tcPr>
          <w:p w14:paraId="179E54B1" w14:textId="77777777" w:rsidR="00763A58" w:rsidRPr="00C64DCA" w:rsidRDefault="00763A58">
            <w:pPr>
              <w:jc w:val="right"/>
            </w:pPr>
            <w:r w:rsidRPr="00C64DCA">
              <w:t>Certolizumab pegol</w:t>
            </w:r>
          </w:p>
        </w:tc>
        <w:tc>
          <w:tcPr>
            <w:tcW w:w="1748" w:type="dxa"/>
            <w:tcBorders>
              <w:top w:val="nil"/>
              <w:left w:val="single" w:sz="4" w:space="0" w:color="auto"/>
              <w:bottom w:val="nil"/>
              <w:right w:val="single" w:sz="4" w:space="0" w:color="auto"/>
            </w:tcBorders>
            <w:noWrap/>
            <w:hideMark/>
          </w:tcPr>
          <w:p w14:paraId="3023D47B" w14:textId="26709476" w:rsidR="00763A58" w:rsidRPr="00C64DCA" w:rsidRDefault="00763A58">
            <w:r w:rsidRPr="00C64DCA">
              <w:t>20 (3%)</w:t>
            </w:r>
          </w:p>
        </w:tc>
        <w:tc>
          <w:tcPr>
            <w:tcW w:w="2268" w:type="dxa"/>
            <w:tcBorders>
              <w:top w:val="nil"/>
              <w:left w:val="single" w:sz="4" w:space="0" w:color="auto"/>
              <w:bottom w:val="nil"/>
              <w:right w:val="single" w:sz="4" w:space="0" w:color="auto"/>
            </w:tcBorders>
            <w:noWrap/>
            <w:hideMark/>
          </w:tcPr>
          <w:p w14:paraId="699B45C7" w14:textId="30A260C5" w:rsidR="00763A58" w:rsidRPr="00C64DCA" w:rsidRDefault="00763A58">
            <w:r w:rsidRPr="00C64DCA">
              <w:t>3 (2%)</w:t>
            </w:r>
          </w:p>
        </w:tc>
        <w:tc>
          <w:tcPr>
            <w:tcW w:w="998" w:type="dxa"/>
            <w:tcBorders>
              <w:top w:val="nil"/>
              <w:left w:val="single" w:sz="4" w:space="0" w:color="auto"/>
              <w:bottom w:val="nil"/>
              <w:right w:val="single" w:sz="4" w:space="0" w:color="auto"/>
            </w:tcBorders>
            <w:noWrap/>
            <w:hideMark/>
          </w:tcPr>
          <w:p w14:paraId="04D0CDFF" w14:textId="230C1036" w:rsidR="00763A58" w:rsidRPr="00C64DCA" w:rsidRDefault="00763A58" w:rsidP="007D7AD6">
            <w:r w:rsidRPr="00C64DCA">
              <w:t>0.</w:t>
            </w:r>
            <w:r w:rsidR="007D7AD6" w:rsidRPr="00C64DCA">
              <w:t>782</w:t>
            </w:r>
          </w:p>
        </w:tc>
      </w:tr>
      <w:tr w:rsidR="00763A58" w:rsidRPr="00C64DCA" w14:paraId="340E6D36" w14:textId="77777777" w:rsidTr="00763A58">
        <w:trPr>
          <w:trHeight w:val="250"/>
        </w:trPr>
        <w:tc>
          <w:tcPr>
            <w:tcW w:w="3227" w:type="dxa"/>
            <w:tcBorders>
              <w:top w:val="nil"/>
              <w:left w:val="single" w:sz="4" w:space="0" w:color="auto"/>
              <w:bottom w:val="nil"/>
              <w:right w:val="single" w:sz="4" w:space="0" w:color="auto"/>
            </w:tcBorders>
            <w:noWrap/>
            <w:hideMark/>
          </w:tcPr>
          <w:p w14:paraId="6B9C37F7" w14:textId="77777777" w:rsidR="00763A58" w:rsidRPr="00C64DCA" w:rsidRDefault="00763A58">
            <w:pPr>
              <w:jc w:val="right"/>
            </w:pPr>
            <w:r w:rsidRPr="00C64DCA">
              <w:t>Secukinumab</w:t>
            </w:r>
          </w:p>
        </w:tc>
        <w:tc>
          <w:tcPr>
            <w:tcW w:w="1748" w:type="dxa"/>
            <w:tcBorders>
              <w:top w:val="nil"/>
              <w:left w:val="single" w:sz="4" w:space="0" w:color="auto"/>
              <w:bottom w:val="nil"/>
              <w:right w:val="single" w:sz="4" w:space="0" w:color="auto"/>
            </w:tcBorders>
            <w:noWrap/>
            <w:hideMark/>
          </w:tcPr>
          <w:p w14:paraId="631BFAE3" w14:textId="1BB422DE" w:rsidR="00763A58" w:rsidRPr="00C64DCA" w:rsidRDefault="00763A58">
            <w:r w:rsidRPr="00C64DCA">
              <w:t>21 (3%)</w:t>
            </w:r>
          </w:p>
        </w:tc>
        <w:tc>
          <w:tcPr>
            <w:tcW w:w="2268" w:type="dxa"/>
            <w:tcBorders>
              <w:top w:val="nil"/>
              <w:left w:val="single" w:sz="4" w:space="0" w:color="auto"/>
              <w:bottom w:val="nil"/>
              <w:right w:val="single" w:sz="4" w:space="0" w:color="auto"/>
            </w:tcBorders>
            <w:noWrap/>
            <w:hideMark/>
          </w:tcPr>
          <w:p w14:paraId="4374AF8E" w14:textId="6A0BFC90" w:rsidR="00763A58" w:rsidRPr="00C64DCA" w:rsidRDefault="00763A58">
            <w:r w:rsidRPr="00C64DCA">
              <w:t>4 (3%)</w:t>
            </w:r>
          </w:p>
        </w:tc>
        <w:tc>
          <w:tcPr>
            <w:tcW w:w="998" w:type="dxa"/>
            <w:tcBorders>
              <w:top w:val="nil"/>
              <w:left w:val="single" w:sz="4" w:space="0" w:color="auto"/>
              <w:bottom w:val="nil"/>
              <w:right w:val="single" w:sz="4" w:space="0" w:color="auto"/>
            </w:tcBorders>
            <w:noWrap/>
            <w:hideMark/>
          </w:tcPr>
          <w:p w14:paraId="6E7FB34C" w14:textId="75039589" w:rsidR="00763A58" w:rsidRPr="00C64DCA" w:rsidRDefault="007D7AD6" w:rsidP="007D7AD6">
            <w:r w:rsidRPr="00C64DCA">
              <w:t>1.000</w:t>
            </w:r>
          </w:p>
        </w:tc>
      </w:tr>
      <w:tr w:rsidR="00763A58" w:rsidRPr="00C64DCA" w14:paraId="21EECBF2" w14:textId="77777777" w:rsidTr="00763A58">
        <w:trPr>
          <w:trHeight w:val="250"/>
        </w:trPr>
        <w:tc>
          <w:tcPr>
            <w:tcW w:w="3227" w:type="dxa"/>
            <w:tcBorders>
              <w:top w:val="nil"/>
              <w:left w:val="single" w:sz="4" w:space="0" w:color="auto"/>
              <w:bottom w:val="single" w:sz="4" w:space="0" w:color="auto"/>
              <w:right w:val="single" w:sz="4" w:space="0" w:color="auto"/>
            </w:tcBorders>
            <w:noWrap/>
            <w:hideMark/>
          </w:tcPr>
          <w:p w14:paraId="28807B2C" w14:textId="77777777" w:rsidR="00763A58" w:rsidRPr="00C64DCA" w:rsidRDefault="00763A58">
            <w:pPr>
              <w:jc w:val="right"/>
            </w:pPr>
            <w:proofErr w:type="spellStart"/>
            <w:r w:rsidRPr="00C64DCA">
              <w:t>Ustekinumab</w:t>
            </w:r>
            <w:proofErr w:type="spellEnd"/>
          </w:p>
        </w:tc>
        <w:tc>
          <w:tcPr>
            <w:tcW w:w="1748" w:type="dxa"/>
            <w:tcBorders>
              <w:top w:val="nil"/>
              <w:left w:val="single" w:sz="4" w:space="0" w:color="auto"/>
              <w:bottom w:val="single" w:sz="4" w:space="0" w:color="auto"/>
              <w:right w:val="single" w:sz="4" w:space="0" w:color="auto"/>
            </w:tcBorders>
            <w:noWrap/>
            <w:hideMark/>
          </w:tcPr>
          <w:p w14:paraId="6402168E" w14:textId="42412DDD" w:rsidR="00763A58" w:rsidRPr="00C64DCA" w:rsidRDefault="00763A58">
            <w:r w:rsidRPr="00C64DCA">
              <w:t>12 (2%)</w:t>
            </w:r>
          </w:p>
        </w:tc>
        <w:tc>
          <w:tcPr>
            <w:tcW w:w="2268" w:type="dxa"/>
            <w:tcBorders>
              <w:top w:val="nil"/>
              <w:left w:val="single" w:sz="4" w:space="0" w:color="auto"/>
              <w:bottom w:val="single" w:sz="4" w:space="0" w:color="auto"/>
              <w:right w:val="single" w:sz="4" w:space="0" w:color="auto"/>
            </w:tcBorders>
            <w:noWrap/>
            <w:hideMark/>
          </w:tcPr>
          <w:p w14:paraId="3F28420B" w14:textId="026A5FC3" w:rsidR="00763A58" w:rsidRPr="00C64DCA" w:rsidRDefault="007D7AD6">
            <w:r w:rsidRPr="00C64DCA">
              <w:t>0</w:t>
            </w:r>
          </w:p>
        </w:tc>
        <w:tc>
          <w:tcPr>
            <w:tcW w:w="998" w:type="dxa"/>
            <w:tcBorders>
              <w:top w:val="nil"/>
              <w:left w:val="single" w:sz="4" w:space="0" w:color="auto"/>
              <w:bottom w:val="single" w:sz="4" w:space="0" w:color="auto"/>
              <w:right w:val="single" w:sz="4" w:space="0" w:color="auto"/>
            </w:tcBorders>
            <w:noWrap/>
            <w:hideMark/>
          </w:tcPr>
          <w:p w14:paraId="067A6E86" w14:textId="086F0123" w:rsidR="00763A58" w:rsidRPr="00C64DCA" w:rsidRDefault="00763A58" w:rsidP="007D7AD6">
            <w:r w:rsidRPr="00C64DCA">
              <w:t>0.</w:t>
            </w:r>
            <w:r w:rsidR="007D7AD6" w:rsidRPr="00C64DCA">
              <w:t>238</w:t>
            </w:r>
          </w:p>
        </w:tc>
      </w:tr>
      <w:tr w:rsidR="00763A58" w:rsidRPr="00C64DCA" w14:paraId="0BB776E6" w14:textId="77777777" w:rsidTr="00763A58">
        <w:trPr>
          <w:trHeight w:val="250"/>
        </w:trPr>
        <w:tc>
          <w:tcPr>
            <w:tcW w:w="3227" w:type="dxa"/>
            <w:tcBorders>
              <w:top w:val="single" w:sz="4" w:space="0" w:color="auto"/>
              <w:left w:val="single" w:sz="4" w:space="0" w:color="auto"/>
              <w:bottom w:val="nil"/>
              <w:right w:val="single" w:sz="4" w:space="0" w:color="auto"/>
            </w:tcBorders>
            <w:noWrap/>
            <w:hideMark/>
          </w:tcPr>
          <w:p w14:paraId="6112BE68" w14:textId="77777777" w:rsidR="00763A58" w:rsidRPr="00C64DCA" w:rsidRDefault="00763A58">
            <w:pPr>
              <w:jc w:val="right"/>
            </w:pPr>
            <w:r w:rsidRPr="00C64DCA">
              <w:t>csDMARDs</w:t>
            </w:r>
          </w:p>
        </w:tc>
        <w:tc>
          <w:tcPr>
            <w:tcW w:w="1748" w:type="dxa"/>
            <w:tcBorders>
              <w:top w:val="single" w:sz="4" w:space="0" w:color="auto"/>
              <w:left w:val="single" w:sz="4" w:space="0" w:color="auto"/>
              <w:bottom w:val="nil"/>
              <w:right w:val="single" w:sz="4" w:space="0" w:color="auto"/>
            </w:tcBorders>
            <w:noWrap/>
            <w:hideMark/>
          </w:tcPr>
          <w:p w14:paraId="271F7E2A" w14:textId="15252F50" w:rsidR="00763A58" w:rsidRPr="00C64DCA" w:rsidRDefault="00763A58">
            <w:r w:rsidRPr="00C64DCA">
              <w:t>158 (25%)</w:t>
            </w:r>
          </w:p>
        </w:tc>
        <w:tc>
          <w:tcPr>
            <w:tcW w:w="2268" w:type="dxa"/>
            <w:tcBorders>
              <w:top w:val="single" w:sz="4" w:space="0" w:color="auto"/>
              <w:left w:val="single" w:sz="4" w:space="0" w:color="auto"/>
              <w:bottom w:val="nil"/>
              <w:right w:val="single" w:sz="4" w:space="0" w:color="auto"/>
            </w:tcBorders>
            <w:noWrap/>
            <w:hideMark/>
          </w:tcPr>
          <w:p w14:paraId="7E37D7B0" w14:textId="3CA570BA" w:rsidR="00763A58" w:rsidRPr="00C64DCA" w:rsidRDefault="00763A58">
            <w:r w:rsidRPr="00C64DCA">
              <w:t>35 (26%)</w:t>
            </w:r>
          </w:p>
        </w:tc>
        <w:tc>
          <w:tcPr>
            <w:tcW w:w="998" w:type="dxa"/>
            <w:tcBorders>
              <w:top w:val="single" w:sz="4" w:space="0" w:color="auto"/>
              <w:left w:val="single" w:sz="4" w:space="0" w:color="auto"/>
              <w:bottom w:val="nil"/>
              <w:right w:val="single" w:sz="4" w:space="0" w:color="auto"/>
            </w:tcBorders>
            <w:noWrap/>
            <w:hideMark/>
          </w:tcPr>
          <w:p w14:paraId="3F5A7140" w14:textId="5EC04C53" w:rsidR="00763A58" w:rsidRPr="00C64DCA" w:rsidRDefault="00763A58">
            <w:r w:rsidRPr="00C64DCA">
              <w:t>0.720</w:t>
            </w:r>
          </w:p>
        </w:tc>
      </w:tr>
      <w:tr w:rsidR="00763A58" w:rsidRPr="00C64DCA" w14:paraId="5B1D7D47" w14:textId="77777777" w:rsidTr="00763A58">
        <w:trPr>
          <w:trHeight w:val="250"/>
        </w:trPr>
        <w:tc>
          <w:tcPr>
            <w:tcW w:w="3227" w:type="dxa"/>
            <w:tcBorders>
              <w:top w:val="nil"/>
              <w:left w:val="single" w:sz="4" w:space="0" w:color="auto"/>
              <w:bottom w:val="nil"/>
              <w:right w:val="single" w:sz="4" w:space="0" w:color="auto"/>
            </w:tcBorders>
            <w:noWrap/>
            <w:hideMark/>
          </w:tcPr>
          <w:p w14:paraId="18591672" w14:textId="77777777" w:rsidR="00763A58" w:rsidRPr="00C64DCA" w:rsidRDefault="00763A58">
            <w:pPr>
              <w:jc w:val="right"/>
            </w:pPr>
            <w:r w:rsidRPr="00C64DCA">
              <w:t>Sulfasalazine</w:t>
            </w:r>
          </w:p>
        </w:tc>
        <w:tc>
          <w:tcPr>
            <w:tcW w:w="1748" w:type="dxa"/>
            <w:tcBorders>
              <w:top w:val="nil"/>
              <w:left w:val="single" w:sz="4" w:space="0" w:color="auto"/>
              <w:bottom w:val="nil"/>
              <w:right w:val="single" w:sz="4" w:space="0" w:color="auto"/>
            </w:tcBorders>
            <w:noWrap/>
            <w:hideMark/>
          </w:tcPr>
          <w:p w14:paraId="2CBED26E" w14:textId="19409C5E" w:rsidR="00763A58" w:rsidRPr="00C64DCA" w:rsidRDefault="00763A58">
            <w:r w:rsidRPr="00C64DCA">
              <w:t>81 (13%)</w:t>
            </w:r>
          </w:p>
        </w:tc>
        <w:tc>
          <w:tcPr>
            <w:tcW w:w="2268" w:type="dxa"/>
            <w:tcBorders>
              <w:top w:val="nil"/>
              <w:left w:val="single" w:sz="4" w:space="0" w:color="auto"/>
              <w:bottom w:val="nil"/>
              <w:right w:val="single" w:sz="4" w:space="0" w:color="auto"/>
            </w:tcBorders>
            <w:noWrap/>
            <w:hideMark/>
          </w:tcPr>
          <w:p w14:paraId="2F9B9696" w14:textId="5B5C9B7A" w:rsidR="00763A58" w:rsidRPr="00C64DCA" w:rsidRDefault="00763A58">
            <w:r w:rsidRPr="00C64DCA">
              <w:t>18 (13%)</w:t>
            </w:r>
          </w:p>
        </w:tc>
        <w:tc>
          <w:tcPr>
            <w:tcW w:w="998" w:type="dxa"/>
            <w:tcBorders>
              <w:top w:val="nil"/>
              <w:left w:val="single" w:sz="4" w:space="0" w:color="auto"/>
              <w:bottom w:val="nil"/>
              <w:right w:val="single" w:sz="4" w:space="0" w:color="auto"/>
            </w:tcBorders>
            <w:noWrap/>
            <w:hideMark/>
          </w:tcPr>
          <w:p w14:paraId="7EECBD0C" w14:textId="123CEA44" w:rsidR="00763A58" w:rsidRPr="00C64DCA" w:rsidRDefault="00763A58">
            <w:r w:rsidRPr="00C64DCA">
              <w:t>0.800</w:t>
            </w:r>
          </w:p>
        </w:tc>
      </w:tr>
      <w:tr w:rsidR="00763A58" w:rsidRPr="00C64DCA" w14:paraId="003E256C" w14:textId="77777777" w:rsidTr="00763A58">
        <w:trPr>
          <w:trHeight w:val="250"/>
        </w:trPr>
        <w:tc>
          <w:tcPr>
            <w:tcW w:w="3227" w:type="dxa"/>
            <w:tcBorders>
              <w:top w:val="nil"/>
              <w:left w:val="single" w:sz="4" w:space="0" w:color="auto"/>
              <w:bottom w:val="nil"/>
              <w:right w:val="single" w:sz="4" w:space="0" w:color="auto"/>
            </w:tcBorders>
            <w:noWrap/>
            <w:hideMark/>
          </w:tcPr>
          <w:p w14:paraId="155BF9D1" w14:textId="77777777" w:rsidR="00763A58" w:rsidRPr="00C64DCA" w:rsidRDefault="00763A58">
            <w:pPr>
              <w:jc w:val="right"/>
            </w:pPr>
            <w:r w:rsidRPr="00C64DCA">
              <w:t>Methotrexate</w:t>
            </w:r>
          </w:p>
        </w:tc>
        <w:tc>
          <w:tcPr>
            <w:tcW w:w="1748" w:type="dxa"/>
            <w:tcBorders>
              <w:top w:val="nil"/>
              <w:left w:val="single" w:sz="4" w:space="0" w:color="auto"/>
              <w:bottom w:val="nil"/>
              <w:right w:val="single" w:sz="4" w:space="0" w:color="auto"/>
            </w:tcBorders>
            <w:noWrap/>
            <w:hideMark/>
          </w:tcPr>
          <w:p w14:paraId="048B856C" w14:textId="6FB3C743" w:rsidR="00763A58" w:rsidRPr="00C64DCA" w:rsidRDefault="00763A58">
            <w:r w:rsidRPr="00C64DCA">
              <w:t>101 (16%)</w:t>
            </w:r>
          </w:p>
        </w:tc>
        <w:tc>
          <w:tcPr>
            <w:tcW w:w="2268" w:type="dxa"/>
            <w:tcBorders>
              <w:top w:val="nil"/>
              <w:left w:val="single" w:sz="4" w:space="0" w:color="auto"/>
              <w:bottom w:val="nil"/>
              <w:right w:val="single" w:sz="4" w:space="0" w:color="auto"/>
            </w:tcBorders>
            <w:noWrap/>
            <w:hideMark/>
          </w:tcPr>
          <w:p w14:paraId="778A2013" w14:textId="4182301C" w:rsidR="00763A58" w:rsidRPr="00C64DCA" w:rsidRDefault="00763A58">
            <w:r w:rsidRPr="00C64DCA">
              <w:t>23 (17%)</w:t>
            </w:r>
          </w:p>
        </w:tc>
        <w:tc>
          <w:tcPr>
            <w:tcW w:w="998" w:type="dxa"/>
            <w:tcBorders>
              <w:top w:val="nil"/>
              <w:left w:val="single" w:sz="4" w:space="0" w:color="auto"/>
              <w:bottom w:val="nil"/>
              <w:right w:val="single" w:sz="4" w:space="0" w:color="auto"/>
            </w:tcBorders>
            <w:noWrap/>
            <w:hideMark/>
          </w:tcPr>
          <w:p w14:paraId="08FD80AD" w14:textId="45F3EB93" w:rsidR="00763A58" w:rsidRPr="00C64DCA" w:rsidRDefault="00763A58">
            <w:r w:rsidRPr="00C64DCA">
              <w:t>0.690</w:t>
            </w:r>
          </w:p>
        </w:tc>
      </w:tr>
      <w:tr w:rsidR="00763A58" w:rsidRPr="00C64DCA" w14:paraId="20495041" w14:textId="77777777" w:rsidTr="00763A58">
        <w:trPr>
          <w:trHeight w:val="250"/>
        </w:trPr>
        <w:tc>
          <w:tcPr>
            <w:tcW w:w="3227" w:type="dxa"/>
            <w:tcBorders>
              <w:top w:val="nil"/>
              <w:left w:val="single" w:sz="4" w:space="0" w:color="auto"/>
              <w:bottom w:val="single" w:sz="4" w:space="0" w:color="auto"/>
              <w:right w:val="single" w:sz="4" w:space="0" w:color="auto"/>
            </w:tcBorders>
            <w:noWrap/>
            <w:hideMark/>
          </w:tcPr>
          <w:p w14:paraId="6B2E5907" w14:textId="77777777" w:rsidR="00763A58" w:rsidRPr="00C64DCA" w:rsidRDefault="00763A58">
            <w:pPr>
              <w:jc w:val="right"/>
            </w:pPr>
            <w:r w:rsidRPr="00C64DCA">
              <w:t>Leflunomide</w:t>
            </w:r>
          </w:p>
        </w:tc>
        <w:tc>
          <w:tcPr>
            <w:tcW w:w="1748" w:type="dxa"/>
            <w:tcBorders>
              <w:top w:val="nil"/>
              <w:left w:val="single" w:sz="4" w:space="0" w:color="auto"/>
              <w:bottom w:val="single" w:sz="4" w:space="0" w:color="auto"/>
              <w:right w:val="single" w:sz="4" w:space="0" w:color="auto"/>
            </w:tcBorders>
            <w:noWrap/>
            <w:hideMark/>
          </w:tcPr>
          <w:p w14:paraId="6C1A559B" w14:textId="588D7B9F" w:rsidR="00763A58" w:rsidRPr="00C64DCA" w:rsidRDefault="00763A58">
            <w:r w:rsidRPr="00C64DCA">
              <w:t>4 (1%)</w:t>
            </w:r>
          </w:p>
        </w:tc>
        <w:tc>
          <w:tcPr>
            <w:tcW w:w="2268" w:type="dxa"/>
            <w:tcBorders>
              <w:top w:val="nil"/>
              <w:left w:val="single" w:sz="4" w:space="0" w:color="auto"/>
              <w:bottom w:val="single" w:sz="4" w:space="0" w:color="auto"/>
              <w:right w:val="single" w:sz="4" w:space="0" w:color="auto"/>
            </w:tcBorders>
            <w:noWrap/>
            <w:hideMark/>
          </w:tcPr>
          <w:p w14:paraId="49531178" w14:textId="2A486343" w:rsidR="00763A58" w:rsidRPr="00C64DCA" w:rsidRDefault="00763A58">
            <w:r w:rsidRPr="00C64DCA">
              <w:t>3 (2%)</w:t>
            </w:r>
          </w:p>
        </w:tc>
        <w:tc>
          <w:tcPr>
            <w:tcW w:w="998" w:type="dxa"/>
            <w:tcBorders>
              <w:top w:val="nil"/>
              <w:left w:val="single" w:sz="4" w:space="0" w:color="auto"/>
              <w:bottom w:val="single" w:sz="4" w:space="0" w:color="auto"/>
              <w:right w:val="single" w:sz="4" w:space="0" w:color="auto"/>
            </w:tcBorders>
            <w:noWrap/>
            <w:hideMark/>
          </w:tcPr>
          <w:p w14:paraId="12D213AB" w14:textId="00632A68" w:rsidR="00763A58" w:rsidRPr="00C64DCA" w:rsidRDefault="00763A58" w:rsidP="007D7AD6">
            <w:r w:rsidRPr="00C64DCA">
              <w:t>0.</w:t>
            </w:r>
            <w:r w:rsidR="007D7AD6" w:rsidRPr="00C64DCA">
              <w:t>104</w:t>
            </w:r>
          </w:p>
        </w:tc>
      </w:tr>
      <w:tr w:rsidR="00763A58" w:rsidRPr="00C64DCA" w14:paraId="70A1F87B" w14:textId="77777777" w:rsidTr="00763A58">
        <w:trPr>
          <w:trHeight w:val="250"/>
        </w:trPr>
        <w:tc>
          <w:tcPr>
            <w:tcW w:w="3227" w:type="dxa"/>
            <w:tcBorders>
              <w:top w:val="single" w:sz="4" w:space="0" w:color="auto"/>
              <w:left w:val="single" w:sz="4" w:space="0" w:color="auto"/>
              <w:bottom w:val="nil"/>
              <w:right w:val="single" w:sz="4" w:space="0" w:color="auto"/>
            </w:tcBorders>
            <w:noWrap/>
            <w:hideMark/>
          </w:tcPr>
          <w:p w14:paraId="37988BE1" w14:textId="77777777" w:rsidR="00763A58" w:rsidRPr="00C64DCA" w:rsidRDefault="00763A58">
            <w:pPr>
              <w:jc w:val="right"/>
            </w:pPr>
            <w:r w:rsidRPr="00C64DCA">
              <w:t>NSAIDs</w:t>
            </w:r>
          </w:p>
        </w:tc>
        <w:tc>
          <w:tcPr>
            <w:tcW w:w="1748" w:type="dxa"/>
            <w:tcBorders>
              <w:top w:val="single" w:sz="4" w:space="0" w:color="auto"/>
              <w:left w:val="single" w:sz="4" w:space="0" w:color="auto"/>
              <w:bottom w:val="nil"/>
              <w:right w:val="single" w:sz="4" w:space="0" w:color="auto"/>
            </w:tcBorders>
            <w:noWrap/>
            <w:hideMark/>
          </w:tcPr>
          <w:p w14:paraId="723B0E67" w14:textId="6B91CA30" w:rsidR="00763A58" w:rsidRPr="00C64DCA" w:rsidRDefault="00763A58">
            <w:r w:rsidRPr="00C64DCA">
              <w:t>480 (75%)</w:t>
            </w:r>
          </w:p>
        </w:tc>
        <w:tc>
          <w:tcPr>
            <w:tcW w:w="2268" w:type="dxa"/>
            <w:tcBorders>
              <w:top w:val="single" w:sz="4" w:space="0" w:color="auto"/>
              <w:left w:val="single" w:sz="4" w:space="0" w:color="auto"/>
              <w:bottom w:val="nil"/>
              <w:right w:val="single" w:sz="4" w:space="0" w:color="auto"/>
            </w:tcBorders>
            <w:noWrap/>
            <w:hideMark/>
          </w:tcPr>
          <w:p w14:paraId="5EA47330" w14:textId="3C134681" w:rsidR="00763A58" w:rsidRPr="00C64DCA" w:rsidRDefault="00763A58">
            <w:r w:rsidRPr="00C64DCA">
              <w:t>106 (79%)</w:t>
            </w:r>
          </w:p>
        </w:tc>
        <w:tc>
          <w:tcPr>
            <w:tcW w:w="998" w:type="dxa"/>
            <w:tcBorders>
              <w:top w:val="single" w:sz="4" w:space="0" w:color="auto"/>
              <w:left w:val="single" w:sz="4" w:space="0" w:color="auto"/>
              <w:bottom w:val="nil"/>
              <w:right w:val="single" w:sz="4" w:space="0" w:color="auto"/>
            </w:tcBorders>
            <w:noWrap/>
            <w:hideMark/>
          </w:tcPr>
          <w:p w14:paraId="65E3D652" w14:textId="39A13B12" w:rsidR="00763A58" w:rsidRPr="00C64DCA" w:rsidRDefault="00763A58">
            <w:r w:rsidRPr="00C64DCA">
              <w:t>0.300</w:t>
            </w:r>
          </w:p>
        </w:tc>
      </w:tr>
      <w:tr w:rsidR="00763A58" w:rsidRPr="00C64DCA" w14:paraId="067C19CD" w14:textId="77777777" w:rsidTr="00763A58">
        <w:trPr>
          <w:trHeight w:val="250"/>
        </w:trPr>
        <w:tc>
          <w:tcPr>
            <w:tcW w:w="3227" w:type="dxa"/>
            <w:tcBorders>
              <w:top w:val="nil"/>
              <w:left w:val="single" w:sz="4" w:space="0" w:color="auto"/>
              <w:bottom w:val="nil"/>
              <w:right w:val="single" w:sz="4" w:space="0" w:color="auto"/>
            </w:tcBorders>
            <w:noWrap/>
            <w:hideMark/>
          </w:tcPr>
          <w:p w14:paraId="10C667B8" w14:textId="77777777" w:rsidR="00763A58" w:rsidRPr="00C64DCA" w:rsidRDefault="00763A58">
            <w:pPr>
              <w:jc w:val="right"/>
            </w:pPr>
            <w:r w:rsidRPr="00C64DCA">
              <w:t>Ibuprofen</w:t>
            </w:r>
          </w:p>
        </w:tc>
        <w:tc>
          <w:tcPr>
            <w:tcW w:w="1748" w:type="dxa"/>
            <w:tcBorders>
              <w:top w:val="nil"/>
              <w:left w:val="single" w:sz="4" w:space="0" w:color="auto"/>
              <w:bottom w:val="nil"/>
              <w:right w:val="single" w:sz="4" w:space="0" w:color="auto"/>
            </w:tcBorders>
            <w:noWrap/>
            <w:hideMark/>
          </w:tcPr>
          <w:p w14:paraId="2685BA03" w14:textId="234005D4" w:rsidR="00763A58" w:rsidRPr="00C64DCA" w:rsidRDefault="00763A58">
            <w:r w:rsidRPr="00C64DCA">
              <w:t>234 (37%)</w:t>
            </w:r>
          </w:p>
        </w:tc>
        <w:tc>
          <w:tcPr>
            <w:tcW w:w="2268" w:type="dxa"/>
            <w:tcBorders>
              <w:top w:val="nil"/>
              <w:left w:val="single" w:sz="4" w:space="0" w:color="auto"/>
              <w:bottom w:val="nil"/>
              <w:right w:val="single" w:sz="4" w:space="0" w:color="auto"/>
            </w:tcBorders>
            <w:noWrap/>
            <w:hideMark/>
          </w:tcPr>
          <w:p w14:paraId="733DD975" w14:textId="419EA657" w:rsidR="00763A58" w:rsidRPr="00C64DCA" w:rsidRDefault="00763A58">
            <w:r w:rsidRPr="00C64DCA">
              <w:t>61 (46%)</w:t>
            </w:r>
          </w:p>
        </w:tc>
        <w:tc>
          <w:tcPr>
            <w:tcW w:w="998" w:type="dxa"/>
            <w:tcBorders>
              <w:top w:val="nil"/>
              <w:left w:val="single" w:sz="4" w:space="0" w:color="auto"/>
              <w:bottom w:val="nil"/>
              <w:right w:val="single" w:sz="4" w:space="0" w:color="auto"/>
            </w:tcBorders>
            <w:noWrap/>
            <w:hideMark/>
          </w:tcPr>
          <w:p w14:paraId="26CC4B93" w14:textId="4B0AF773" w:rsidR="00763A58" w:rsidRPr="00C64DCA" w:rsidRDefault="00763A58">
            <w:r w:rsidRPr="00C64DCA">
              <w:t>0.051</w:t>
            </w:r>
          </w:p>
        </w:tc>
      </w:tr>
      <w:tr w:rsidR="00763A58" w:rsidRPr="00C64DCA" w14:paraId="5BBCDC73" w14:textId="77777777" w:rsidTr="00763A58">
        <w:trPr>
          <w:trHeight w:val="250"/>
        </w:trPr>
        <w:tc>
          <w:tcPr>
            <w:tcW w:w="3227" w:type="dxa"/>
            <w:tcBorders>
              <w:top w:val="nil"/>
              <w:left w:val="single" w:sz="4" w:space="0" w:color="auto"/>
              <w:bottom w:val="nil"/>
              <w:right w:val="single" w:sz="4" w:space="0" w:color="auto"/>
            </w:tcBorders>
            <w:noWrap/>
            <w:hideMark/>
          </w:tcPr>
          <w:p w14:paraId="61F68751" w14:textId="77777777" w:rsidR="00763A58" w:rsidRPr="00C64DCA" w:rsidRDefault="00763A58">
            <w:pPr>
              <w:jc w:val="right"/>
            </w:pPr>
            <w:r w:rsidRPr="00C64DCA">
              <w:t>Naproxen</w:t>
            </w:r>
          </w:p>
        </w:tc>
        <w:tc>
          <w:tcPr>
            <w:tcW w:w="1748" w:type="dxa"/>
            <w:tcBorders>
              <w:top w:val="nil"/>
              <w:left w:val="single" w:sz="4" w:space="0" w:color="auto"/>
              <w:bottom w:val="nil"/>
              <w:right w:val="single" w:sz="4" w:space="0" w:color="auto"/>
            </w:tcBorders>
            <w:noWrap/>
            <w:hideMark/>
          </w:tcPr>
          <w:p w14:paraId="49B210F5" w14:textId="37E51D8E" w:rsidR="00763A58" w:rsidRPr="00C64DCA" w:rsidRDefault="00763A58">
            <w:r w:rsidRPr="00C64DCA">
              <w:t>204 (32%)</w:t>
            </w:r>
          </w:p>
        </w:tc>
        <w:tc>
          <w:tcPr>
            <w:tcW w:w="2268" w:type="dxa"/>
            <w:tcBorders>
              <w:top w:val="nil"/>
              <w:left w:val="single" w:sz="4" w:space="0" w:color="auto"/>
              <w:bottom w:val="nil"/>
              <w:right w:val="single" w:sz="4" w:space="0" w:color="auto"/>
            </w:tcBorders>
            <w:noWrap/>
            <w:hideMark/>
          </w:tcPr>
          <w:p w14:paraId="4F415B5F" w14:textId="33D867B8" w:rsidR="00763A58" w:rsidRPr="00C64DCA" w:rsidRDefault="00763A58">
            <w:r w:rsidRPr="00C64DCA">
              <w:t>49 (37%)</w:t>
            </w:r>
          </w:p>
        </w:tc>
        <w:tc>
          <w:tcPr>
            <w:tcW w:w="998" w:type="dxa"/>
            <w:tcBorders>
              <w:top w:val="nil"/>
              <w:left w:val="single" w:sz="4" w:space="0" w:color="auto"/>
              <w:bottom w:val="nil"/>
              <w:right w:val="single" w:sz="4" w:space="0" w:color="auto"/>
            </w:tcBorders>
            <w:noWrap/>
            <w:hideMark/>
          </w:tcPr>
          <w:p w14:paraId="195B3996" w14:textId="7964051E" w:rsidR="00763A58" w:rsidRPr="00C64DCA" w:rsidRDefault="00763A58">
            <w:r w:rsidRPr="00C64DCA">
              <w:t>0.290</w:t>
            </w:r>
          </w:p>
        </w:tc>
      </w:tr>
      <w:tr w:rsidR="00763A58" w:rsidRPr="00C64DCA" w14:paraId="00444B86" w14:textId="77777777" w:rsidTr="00763A58">
        <w:trPr>
          <w:trHeight w:val="250"/>
        </w:trPr>
        <w:tc>
          <w:tcPr>
            <w:tcW w:w="3227" w:type="dxa"/>
            <w:tcBorders>
              <w:top w:val="nil"/>
              <w:left w:val="single" w:sz="4" w:space="0" w:color="auto"/>
              <w:bottom w:val="nil"/>
              <w:right w:val="single" w:sz="4" w:space="0" w:color="auto"/>
            </w:tcBorders>
            <w:noWrap/>
            <w:hideMark/>
          </w:tcPr>
          <w:p w14:paraId="77620104" w14:textId="77777777" w:rsidR="00763A58" w:rsidRPr="00C64DCA" w:rsidRDefault="00763A58">
            <w:pPr>
              <w:jc w:val="right"/>
            </w:pPr>
            <w:r w:rsidRPr="00C64DCA">
              <w:t>Indomethacin</w:t>
            </w:r>
          </w:p>
        </w:tc>
        <w:tc>
          <w:tcPr>
            <w:tcW w:w="1748" w:type="dxa"/>
            <w:tcBorders>
              <w:top w:val="nil"/>
              <w:left w:val="single" w:sz="4" w:space="0" w:color="auto"/>
              <w:bottom w:val="nil"/>
              <w:right w:val="single" w:sz="4" w:space="0" w:color="auto"/>
            </w:tcBorders>
            <w:noWrap/>
            <w:hideMark/>
          </w:tcPr>
          <w:p w14:paraId="05CDDD1C" w14:textId="0AEA8B34" w:rsidR="00763A58" w:rsidRPr="00C64DCA" w:rsidRDefault="00763A58">
            <w:r w:rsidRPr="00C64DCA">
              <w:t>157 (24%)</w:t>
            </w:r>
          </w:p>
        </w:tc>
        <w:tc>
          <w:tcPr>
            <w:tcW w:w="2268" w:type="dxa"/>
            <w:tcBorders>
              <w:top w:val="nil"/>
              <w:left w:val="single" w:sz="4" w:space="0" w:color="auto"/>
              <w:bottom w:val="nil"/>
              <w:right w:val="single" w:sz="4" w:space="0" w:color="auto"/>
            </w:tcBorders>
            <w:noWrap/>
            <w:hideMark/>
          </w:tcPr>
          <w:p w14:paraId="45A828F4" w14:textId="69A577BD" w:rsidR="00763A58" w:rsidRPr="00C64DCA" w:rsidRDefault="00763A58">
            <w:r w:rsidRPr="00C64DCA">
              <w:t>28 (21%)</w:t>
            </w:r>
          </w:p>
        </w:tc>
        <w:tc>
          <w:tcPr>
            <w:tcW w:w="998" w:type="dxa"/>
            <w:tcBorders>
              <w:top w:val="nil"/>
              <w:left w:val="single" w:sz="4" w:space="0" w:color="auto"/>
              <w:bottom w:val="nil"/>
              <w:right w:val="single" w:sz="4" w:space="0" w:color="auto"/>
            </w:tcBorders>
            <w:noWrap/>
            <w:hideMark/>
          </w:tcPr>
          <w:p w14:paraId="5F37F1CE" w14:textId="0D25391A" w:rsidR="00763A58" w:rsidRPr="00C64DCA" w:rsidRDefault="00763A58">
            <w:r w:rsidRPr="00C64DCA">
              <w:t>0.370</w:t>
            </w:r>
          </w:p>
        </w:tc>
      </w:tr>
      <w:tr w:rsidR="00763A58" w:rsidRPr="00C64DCA" w14:paraId="4C494FE0" w14:textId="77777777" w:rsidTr="00763A58">
        <w:trPr>
          <w:trHeight w:val="250"/>
        </w:trPr>
        <w:tc>
          <w:tcPr>
            <w:tcW w:w="3227" w:type="dxa"/>
            <w:tcBorders>
              <w:top w:val="nil"/>
              <w:left w:val="single" w:sz="4" w:space="0" w:color="auto"/>
              <w:bottom w:val="nil"/>
              <w:right w:val="single" w:sz="4" w:space="0" w:color="auto"/>
            </w:tcBorders>
            <w:noWrap/>
            <w:hideMark/>
          </w:tcPr>
          <w:p w14:paraId="5712056E" w14:textId="77777777" w:rsidR="00763A58" w:rsidRPr="00C64DCA" w:rsidRDefault="00763A58">
            <w:pPr>
              <w:jc w:val="right"/>
            </w:pPr>
            <w:r w:rsidRPr="00C64DCA">
              <w:t>Celecoxib</w:t>
            </w:r>
          </w:p>
        </w:tc>
        <w:tc>
          <w:tcPr>
            <w:tcW w:w="1748" w:type="dxa"/>
            <w:tcBorders>
              <w:top w:val="nil"/>
              <w:left w:val="single" w:sz="4" w:space="0" w:color="auto"/>
              <w:bottom w:val="nil"/>
              <w:right w:val="single" w:sz="4" w:space="0" w:color="auto"/>
            </w:tcBorders>
            <w:noWrap/>
            <w:hideMark/>
          </w:tcPr>
          <w:p w14:paraId="69673E2D" w14:textId="59F9200D" w:rsidR="00763A58" w:rsidRPr="00C64DCA" w:rsidRDefault="00763A58">
            <w:r w:rsidRPr="00C64DCA">
              <w:t>116 (18%)</w:t>
            </w:r>
          </w:p>
        </w:tc>
        <w:tc>
          <w:tcPr>
            <w:tcW w:w="2268" w:type="dxa"/>
            <w:tcBorders>
              <w:top w:val="nil"/>
              <w:left w:val="single" w:sz="4" w:space="0" w:color="auto"/>
              <w:bottom w:val="nil"/>
              <w:right w:val="single" w:sz="4" w:space="0" w:color="auto"/>
            </w:tcBorders>
            <w:noWrap/>
            <w:hideMark/>
          </w:tcPr>
          <w:p w14:paraId="38C93E2F" w14:textId="14B6AE76" w:rsidR="00763A58" w:rsidRPr="00C64DCA" w:rsidRDefault="00763A58">
            <w:r w:rsidRPr="00C64DCA">
              <w:t>19 (14%)</w:t>
            </w:r>
          </w:p>
        </w:tc>
        <w:tc>
          <w:tcPr>
            <w:tcW w:w="998" w:type="dxa"/>
            <w:tcBorders>
              <w:top w:val="nil"/>
              <w:left w:val="single" w:sz="4" w:space="0" w:color="auto"/>
              <w:bottom w:val="nil"/>
              <w:right w:val="single" w:sz="4" w:space="0" w:color="auto"/>
            </w:tcBorders>
            <w:noWrap/>
            <w:hideMark/>
          </w:tcPr>
          <w:p w14:paraId="1B6351E4" w14:textId="680C4ED1" w:rsidR="00763A58" w:rsidRPr="00C64DCA" w:rsidRDefault="00763A58">
            <w:r w:rsidRPr="00C64DCA">
              <w:t>0.280</w:t>
            </w:r>
          </w:p>
        </w:tc>
      </w:tr>
      <w:tr w:rsidR="00763A58" w:rsidRPr="00C64DCA" w14:paraId="0DE5E583" w14:textId="77777777" w:rsidTr="00763A58">
        <w:trPr>
          <w:trHeight w:val="250"/>
        </w:trPr>
        <w:tc>
          <w:tcPr>
            <w:tcW w:w="3227" w:type="dxa"/>
            <w:tcBorders>
              <w:top w:val="nil"/>
              <w:left w:val="single" w:sz="4" w:space="0" w:color="auto"/>
              <w:bottom w:val="nil"/>
              <w:right w:val="single" w:sz="4" w:space="0" w:color="auto"/>
            </w:tcBorders>
            <w:noWrap/>
            <w:hideMark/>
          </w:tcPr>
          <w:p w14:paraId="338A191F" w14:textId="77777777" w:rsidR="00763A58" w:rsidRPr="00C64DCA" w:rsidRDefault="00763A58">
            <w:pPr>
              <w:jc w:val="right"/>
            </w:pPr>
            <w:r w:rsidRPr="00C64DCA">
              <w:t>Diclofenac</w:t>
            </w:r>
          </w:p>
        </w:tc>
        <w:tc>
          <w:tcPr>
            <w:tcW w:w="1748" w:type="dxa"/>
            <w:tcBorders>
              <w:top w:val="nil"/>
              <w:left w:val="single" w:sz="4" w:space="0" w:color="auto"/>
              <w:bottom w:val="nil"/>
              <w:right w:val="single" w:sz="4" w:space="0" w:color="auto"/>
            </w:tcBorders>
            <w:noWrap/>
            <w:hideMark/>
          </w:tcPr>
          <w:p w14:paraId="53F27E72" w14:textId="69CEAD30" w:rsidR="00763A58" w:rsidRPr="00C64DCA" w:rsidRDefault="00763A58">
            <w:r w:rsidRPr="00C64DCA">
              <w:t>86 (13%)</w:t>
            </w:r>
          </w:p>
        </w:tc>
        <w:tc>
          <w:tcPr>
            <w:tcW w:w="2268" w:type="dxa"/>
            <w:tcBorders>
              <w:top w:val="nil"/>
              <w:left w:val="single" w:sz="4" w:space="0" w:color="auto"/>
              <w:bottom w:val="nil"/>
              <w:right w:val="single" w:sz="4" w:space="0" w:color="auto"/>
            </w:tcBorders>
            <w:noWrap/>
            <w:hideMark/>
          </w:tcPr>
          <w:p w14:paraId="18E9C07F" w14:textId="2A36647B" w:rsidR="00763A58" w:rsidRPr="00C64DCA" w:rsidRDefault="00763A58">
            <w:r w:rsidRPr="00C64DCA">
              <w:t>23 (17%)</w:t>
            </w:r>
          </w:p>
        </w:tc>
        <w:tc>
          <w:tcPr>
            <w:tcW w:w="998" w:type="dxa"/>
            <w:tcBorders>
              <w:top w:val="nil"/>
              <w:left w:val="single" w:sz="4" w:space="0" w:color="auto"/>
              <w:bottom w:val="nil"/>
              <w:right w:val="single" w:sz="4" w:space="0" w:color="auto"/>
            </w:tcBorders>
            <w:noWrap/>
            <w:hideMark/>
          </w:tcPr>
          <w:p w14:paraId="5A8A7CE3" w14:textId="3B38A6DB" w:rsidR="00763A58" w:rsidRPr="00C64DCA" w:rsidRDefault="00763A58">
            <w:r w:rsidRPr="00C64DCA">
              <w:t>0.260</w:t>
            </w:r>
          </w:p>
        </w:tc>
      </w:tr>
      <w:tr w:rsidR="00763A58" w:rsidRPr="00C64DCA" w14:paraId="08BA6D35" w14:textId="77777777" w:rsidTr="00763A58">
        <w:trPr>
          <w:trHeight w:val="250"/>
        </w:trPr>
        <w:tc>
          <w:tcPr>
            <w:tcW w:w="3227" w:type="dxa"/>
            <w:tcBorders>
              <w:top w:val="nil"/>
              <w:left w:val="single" w:sz="4" w:space="0" w:color="auto"/>
              <w:bottom w:val="single" w:sz="4" w:space="0" w:color="auto"/>
              <w:right w:val="single" w:sz="4" w:space="0" w:color="auto"/>
            </w:tcBorders>
            <w:noWrap/>
            <w:hideMark/>
          </w:tcPr>
          <w:p w14:paraId="47A28C49" w14:textId="77777777" w:rsidR="00763A58" w:rsidRPr="00C64DCA" w:rsidRDefault="00763A58">
            <w:pPr>
              <w:jc w:val="right"/>
            </w:pPr>
            <w:r w:rsidRPr="00C64DCA">
              <w:t>Meloxicam</w:t>
            </w:r>
          </w:p>
        </w:tc>
        <w:tc>
          <w:tcPr>
            <w:tcW w:w="1748" w:type="dxa"/>
            <w:tcBorders>
              <w:top w:val="nil"/>
              <w:left w:val="single" w:sz="4" w:space="0" w:color="auto"/>
              <w:bottom w:val="single" w:sz="4" w:space="0" w:color="auto"/>
              <w:right w:val="single" w:sz="4" w:space="0" w:color="auto"/>
            </w:tcBorders>
            <w:noWrap/>
            <w:hideMark/>
          </w:tcPr>
          <w:p w14:paraId="41ECA11D" w14:textId="5D722E0D" w:rsidR="00763A58" w:rsidRPr="00C64DCA" w:rsidRDefault="00763A58">
            <w:r w:rsidRPr="00C64DCA">
              <w:t>58 (9%)</w:t>
            </w:r>
          </w:p>
        </w:tc>
        <w:tc>
          <w:tcPr>
            <w:tcW w:w="2268" w:type="dxa"/>
            <w:tcBorders>
              <w:top w:val="nil"/>
              <w:left w:val="single" w:sz="4" w:space="0" w:color="auto"/>
              <w:bottom w:val="single" w:sz="4" w:space="0" w:color="auto"/>
              <w:right w:val="single" w:sz="4" w:space="0" w:color="auto"/>
            </w:tcBorders>
            <w:noWrap/>
            <w:hideMark/>
          </w:tcPr>
          <w:p w14:paraId="2DEDB226" w14:textId="204C6A21" w:rsidR="00763A58" w:rsidRPr="00C64DCA" w:rsidRDefault="00763A58">
            <w:r w:rsidRPr="00C64DCA">
              <w:t>20 (15%)</w:t>
            </w:r>
          </w:p>
        </w:tc>
        <w:tc>
          <w:tcPr>
            <w:tcW w:w="998" w:type="dxa"/>
            <w:tcBorders>
              <w:top w:val="nil"/>
              <w:left w:val="single" w:sz="4" w:space="0" w:color="auto"/>
              <w:bottom w:val="single" w:sz="4" w:space="0" w:color="auto"/>
              <w:right w:val="single" w:sz="4" w:space="0" w:color="auto"/>
            </w:tcBorders>
            <w:noWrap/>
            <w:hideMark/>
          </w:tcPr>
          <w:p w14:paraId="12D822C4" w14:textId="70124910" w:rsidR="00763A58" w:rsidRPr="00C64DCA" w:rsidRDefault="00763A58">
            <w:r w:rsidRPr="00C64DCA">
              <w:t>0.040</w:t>
            </w:r>
          </w:p>
        </w:tc>
      </w:tr>
      <w:tr w:rsidR="00763A58" w:rsidRPr="00C64DCA" w14:paraId="60D22E95" w14:textId="77777777" w:rsidTr="00763A58">
        <w:trPr>
          <w:trHeight w:val="250"/>
        </w:trPr>
        <w:tc>
          <w:tcPr>
            <w:tcW w:w="3227" w:type="dxa"/>
            <w:tcBorders>
              <w:top w:val="single" w:sz="4" w:space="0" w:color="auto"/>
              <w:left w:val="single" w:sz="4" w:space="0" w:color="auto"/>
              <w:bottom w:val="single" w:sz="4" w:space="0" w:color="auto"/>
              <w:right w:val="single" w:sz="4" w:space="0" w:color="auto"/>
            </w:tcBorders>
            <w:noWrap/>
            <w:hideMark/>
          </w:tcPr>
          <w:p w14:paraId="72FC3FFA" w14:textId="77777777" w:rsidR="00763A58" w:rsidRPr="00C64DCA" w:rsidRDefault="00763A58">
            <w:pPr>
              <w:jc w:val="right"/>
            </w:pPr>
            <w:r w:rsidRPr="00C64DCA">
              <w:t>Prednisone</w:t>
            </w:r>
          </w:p>
        </w:tc>
        <w:tc>
          <w:tcPr>
            <w:tcW w:w="1748" w:type="dxa"/>
            <w:tcBorders>
              <w:top w:val="single" w:sz="4" w:space="0" w:color="auto"/>
              <w:left w:val="single" w:sz="4" w:space="0" w:color="auto"/>
              <w:bottom w:val="single" w:sz="4" w:space="0" w:color="auto"/>
              <w:right w:val="single" w:sz="4" w:space="0" w:color="auto"/>
            </w:tcBorders>
            <w:noWrap/>
            <w:hideMark/>
          </w:tcPr>
          <w:p w14:paraId="522F3CBA" w14:textId="2E012A84" w:rsidR="00763A58" w:rsidRPr="00C64DCA" w:rsidRDefault="00763A58">
            <w:r w:rsidRPr="00C64DCA">
              <w:t>223 (35%)</w:t>
            </w:r>
          </w:p>
        </w:tc>
        <w:tc>
          <w:tcPr>
            <w:tcW w:w="2268" w:type="dxa"/>
            <w:tcBorders>
              <w:top w:val="single" w:sz="4" w:space="0" w:color="auto"/>
              <w:left w:val="single" w:sz="4" w:space="0" w:color="auto"/>
              <w:bottom w:val="single" w:sz="4" w:space="0" w:color="auto"/>
              <w:right w:val="single" w:sz="4" w:space="0" w:color="auto"/>
            </w:tcBorders>
            <w:noWrap/>
            <w:hideMark/>
          </w:tcPr>
          <w:p w14:paraId="79397C6A" w14:textId="1AE10213" w:rsidR="00763A58" w:rsidRPr="00C64DCA" w:rsidRDefault="00763A58">
            <w:r w:rsidRPr="00C64DCA">
              <w:t>51 (38%)</w:t>
            </w:r>
          </w:p>
        </w:tc>
        <w:tc>
          <w:tcPr>
            <w:tcW w:w="998" w:type="dxa"/>
            <w:tcBorders>
              <w:top w:val="single" w:sz="4" w:space="0" w:color="auto"/>
              <w:left w:val="single" w:sz="4" w:space="0" w:color="auto"/>
              <w:bottom w:val="single" w:sz="4" w:space="0" w:color="auto"/>
              <w:right w:val="single" w:sz="4" w:space="0" w:color="auto"/>
            </w:tcBorders>
            <w:noWrap/>
            <w:hideMark/>
          </w:tcPr>
          <w:p w14:paraId="2D66EE56" w14:textId="0765EDDD" w:rsidR="00763A58" w:rsidRPr="00C64DCA" w:rsidRDefault="00763A58">
            <w:r w:rsidRPr="00C64DCA">
              <w:t>0.470</w:t>
            </w:r>
          </w:p>
        </w:tc>
      </w:tr>
      <w:tr w:rsidR="00763A58" w14:paraId="429CD6EB" w14:textId="77777777" w:rsidTr="00763A58">
        <w:trPr>
          <w:trHeight w:val="250"/>
        </w:trPr>
        <w:tc>
          <w:tcPr>
            <w:tcW w:w="8241" w:type="dxa"/>
            <w:gridSpan w:val="4"/>
            <w:tcBorders>
              <w:top w:val="single" w:sz="4" w:space="0" w:color="auto"/>
              <w:left w:val="single" w:sz="4" w:space="0" w:color="auto"/>
              <w:bottom w:val="single" w:sz="4" w:space="0" w:color="auto"/>
              <w:right w:val="single" w:sz="4" w:space="0" w:color="auto"/>
            </w:tcBorders>
            <w:noWrap/>
            <w:hideMark/>
          </w:tcPr>
          <w:p w14:paraId="37BF57EC" w14:textId="77777777" w:rsidR="00763A58" w:rsidRDefault="00763A58">
            <w:r w:rsidRPr="00C64DCA">
              <w:t>bDMARD, biologic disease modifying anti-rheumatic drugs; csDMARD, conventional synthetic DMARD; NSAID, non-steroidal anti-inflammatory drugs.</w:t>
            </w:r>
          </w:p>
        </w:tc>
      </w:tr>
    </w:tbl>
    <w:p w14:paraId="60A8C757" w14:textId="10771BF0" w:rsidR="00127327" w:rsidRPr="001B4849" w:rsidRDefault="00127327">
      <w:pPr>
        <w:rPr>
          <w:rFonts w:eastAsiaTheme="majorEastAsia"/>
        </w:rPr>
      </w:pPr>
    </w:p>
    <w:bookmarkEnd w:id="13"/>
    <w:p w14:paraId="09BA5BD8" w14:textId="06F7640D" w:rsidR="00D863B3" w:rsidRPr="001B4849" w:rsidRDefault="00D863B3" w:rsidP="006547A0">
      <w:pPr>
        <w:rPr>
          <w:rFonts w:eastAsiaTheme="majorEastAsia"/>
        </w:rPr>
      </w:pPr>
    </w:p>
    <w:sectPr w:rsidR="00D863B3" w:rsidRPr="001B48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BE980" w14:textId="77777777" w:rsidR="00597C70" w:rsidRDefault="00597C70" w:rsidP="00294155">
      <w:pPr>
        <w:spacing w:after="0" w:line="240" w:lineRule="auto"/>
      </w:pPr>
      <w:r>
        <w:separator/>
      </w:r>
    </w:p>
  </w:endnote>
  <w:endnote w:type="continuationSeparator" w:id="0">
    <w:p w14:paraId="66280B69" w14:textId="77777777" w:rsidR="00597C70" w:rsidRDefault="00597C70" w:rsidP="0029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501329"/>
      <w:docPartObj>
        <w:docPartGallery w:val="Page Numbers (Bottom of Page)"/>
        <w:docPartUnique/>
      </w:docPartObj>
    </w:sdtPr>
    <w:sdtEndPr>
      <w:rPr>
        <w:noProof/>
      </w:rPr>
    </w:sdtEndPr>
    <w:sdtContent>
      <w:p w14:paraId="788FE97E" w14:textId="6EB1A7D7" w:rsidR="00CD3F9C" w:rsidRDefault="00CD3F9C">
        <w:pPr>
          <w:pStyle w:val="Footer"/>
          <w:jc w:val="center"/>
        </w:pPr>
        <w:r>
          <w:fldChar w:fldCharType="begin"/>
        </w:r>
        <w:r>
          <w:instrText xml:space="preserve"> PAGE   \* MERGEFORMAT </w:instrText>
        </w:r>
        <w:r>
          <w:fldChar w:fldCharType="separate"/>
        </w:r>
        <w:r w:rsidR="00310B76">
          <w:rPr>
            <w:noProof/>
          </w:rPr>
          <w:t>12</w:t>
        </w:r>
        <w:r>
          <w:rPr>
            <w:noProof/>
          </w:rPr>
          <w:fldChar w:fldCharType="end"/>
        </w:r>
      </w:p>
    </w:sdtContent>
  </w:sdt>
  <w:p w14:paraId="3BA52372" w14:textId="77777777" w:rsidR="00CD3F9C" w:rsidRDefault="00CD3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3D30" w14:textId="77777777" w:rsidR="00597C70" w:rsidRDefault="00597C70" w:rsidP="00294155">
      <w:pPr>
        <w:spacing w:after="0" w:line="240" w:lineRule="auto"/>
      </w:pPr>
      <w:r>
        <w:separator/>
      </w:r>
    </w:p>
  </w:footnote>
  <w:footnote w:type="continuationSeparator" w:id="0">
    <w:p w14:paraId="04478C2A" w14:textId="77777777" w:rsidR="00597C70" w:rsidRDefault="00597C70" w:rsidP="0029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53E07"/>
    <w:multiLevelType w:val="hybridMultilevel"/>
    <w:tmpl w:val="C85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121"/>
    <w:rsid w:val="00003724"/>
    <w:rsid w:val="00032D06"/>
    <w:rsid w:val="00033AAA"/>
    <w:rsid w:val="0003595E"/>
    <w:rsid w:val="00043985"/>
    <w:rsid w:val="00055F29"/>
    <w:rsid w:val="00062B8B"/>
    <w:rsid w:val="00064D38"/>
    <w:rsid w:val="00066A41"/>
    <w:rsid w:val="000714D9"/>
    <w:rsid w:val="00071CE0"/>
    <w:rsid w:val="000752AD"/>
    <w:rsid w:val="00091483"/>
    <w:rsid w:val="00092F71"/>
    <w:rsid w:val="000A1FEE"/>
    <w:rsid w:val="000C2720"/>
    <w:rsid w:val="000C59B1"/>
    <w:rsid w:val="000D6B98"/>
    <w:rsid w:val="000E4322"/>
    <w:rsid w:val="000F338F"/>
    <w:rsid w:val="00101561"/>
    <w:rsid w:val="00112DBE"/>
    <w:rsid w:val="001211C7"/>
    <w:rsid w:val="00127327"/>
    <w:rsid w:val="0013564C"/>
    <w:rsid w:val="00144879"/>
    <w:rsid w:val="00146225"/>
    <w:rsid w:val="00154EAB"/>
    <w:rsid w:val="00157E21"/>
    <w:rsid w:val="0016119C"/>
    <w:rsid w:val="001657C8"/>
    <w:rsid w:val="00166FFE"/>
    <w:rsid w:val="00183F08"/>
    <w:rsid w:val="0019632F"/>
    <w:rsid w:val="001A08F4"/>
    <w:rsid w:val="001A61F3"/>
    <w:rsid w:val="001B4849"/>
    <w:rsid w:val="001C0118"/>
    <w:rsid w:val="001C0E2B"/>
    <w:rsid w:val="001C5A0D"/>
    <w:rsid w:val="001E4744"/>
    <w:rsid w:val="00213489"/>
    <w:rsid w:val="0021411C"/>
    <w:rsid w:val="0021504F"/>
    <w:rsid w:val="00222C01"/>
    <w:rsid w:val="002235EF"/>
    <w:rsid w:val="0022516E"/>
    <w:rsid w:val="00226D34"/>
    <w:rsid w:val="0023036B"/>
    <w:rsid w:val="002403EC"/>
    <w:rsid w:val="00245291"/>
    <w:rsid w:val="00245EEF"/>
    <w:rsid w:val="00251D4B"/>
    <w:rsid w:val="0025659D"/>
    <w:rsid w:val="00267BC7"/>
    <w:rsid w:val="0028330F"/>
    <w:rsid w:val="00294155"/>
    <w:rsid w:val="00295531"/>
    <w:rsid w:val="00297016"/>
    <w:rsid w:val="002A3F46"/>
    <w:rsid w:val="002A4584"/>
    <w:rsid w:val="002B41E9"/>
    <w:rsid w:val="002B44B0"/>
    <w:rsid w:val="002B5951"/>
    <w:rsid w:val="002B5FDB"/>
    <w:rsid w:val="002C2CBA"/>
    <w:rsid w:val="002D291F"/>
    <w:rsid w:val="002E750A"/>
    <w:rsid w:val="002F5600"/>
    <w:rsid w:val="002F63A4"/>
    <w:rsid w:val="00304465"/>
    <w:rsid w:val="00305254"/>
    <w:rsid w:val="00310B76"/>
    <w:rsid w:val="00310DE5"/>
    <w:rsid w:val="00316DCD"/>
    <w:rsid w:val="003512F6"/>
    <w:rsid w:val="0036377D"/>
    <w:rsid w:val="003645A1"/>
    <w:rsid w:val="00367C9A"/>
    <w:rsid w:val="003A698F"/>
    <w:rsid w:val="003B3EE3"/>
    <w:rsid w:val="003D14F3"/>
    <w:rsid w:val="003D2DD2"/>
    <w:rsid w:val="003D47B6"/>
    <w:rsid w:val="003D4D58"/>
    <w:rsid w:val="003F5FF5"/>
    <w:rsid w:val="00405907"/>
    <w:rsid w:val="00421F64"/>
    <w:rsid w:val="004427E8"/>
    <w:rsid w:val="004430A3"/>
    <w:rsid w:val="00456215"/>
    <w:rsid w:val="0046530A"/>
    <w:rsid w:val="00467351"/>
    <w:rsid w:val="0047248B"/>
    <w:rsid w:val="004764F1"/>
    <w:rsid w:val="00487A18"/>
    <w:rsid w:val="004A7A7F"/>
    <w:rsid w:val="004B10BB"/>
    <w:rsid w:val="004B610B"/>
    <w:rsid w:val="004C0AE0"/>
    <w:rsid w:val="004C77E1"/>
    <w:rsid w:val="004E29E7"/>
    <w:rsid w:val="004E2D96"/>
    <w:rsid w:val="004F0654"/>
    <w:rsid w:val="004F3150"/>
    <w:rsid w:val="005169D0"/>
    <w:rsid w:val="00517B38"/>
    <w:rsid w:val="00523D36"/>
    <w:rsid w:val="005242A5"/>
    <w:rsid w:val="00526D7D"/>
    <w:rsid w:val="0054667F"/>
    <w:rsid w:val="00555E9F"/>
    <w:rsid w:val="0056358C"/>
    <w:rsid w:val="00564D37"/>
    <w:rsid w:val="00572711"/>
    <w:rsid w:val="00576E7E"/>
    <w:rsid w:val="00591317"/>
    <w:rsid w:val="00597C70"/>
    <w:rsid w:val="00597D32"/>
    <w:rsid w:val="005A1B11"/>
    <w:rsid w:val="005E0B06"/>
    <w:rsid w:val="005E456B"/>
    <w:rsid w:val="005E7174"/>
    <w:rsid w:val="005F3330"/>
    <w:rsid w:val="005F4DA8"/>
    <w:rsid w:val="00600AFA"/>
    <w:rsid w:val="00602599"/>
    <w:rsid w:val="0060495C"/>
    <w:rsid w:val="0060532E"/>
    <w:rsid w:val="00635203"/>
    <w:rsid w:val="00635F80"/>
    <w:rsid w:val="006373C7"/>
    <w:rsid w:val="006403E4"/>
    <w:rsid w:val="00650A99"/>
    <w:rsid w:val="006547A0"/>
    <w:rsid w:val="006A5E75"/>
    <w:rsid w:val="006B4B98"/>
    <w:rsid w:val="006B5BA3"/>
    <w:rsid w:val="006C2E6D"/>
    <w:rsid w:val="006D2784"/>
    <w:rsid w:val="006F3553"/>
    <w:rsid w:val="00703CD9"/>
    <w:rsid w:val="00714C01"/>
    <w:rsid w:val="00732A2F"/>
    <w:rsid w:val="00740A6D"/>
    <w:rsid w:val="00747F97"/>
    <w:rsid w:val="007549BE"/>
    <w:rsid w:val="00763A58"/>
    <w:rsid w:val="00773BB5"/>
    <w:rsid w:val="007807B0"/>
    <w:rsid w:val="0079105C"/>
    <w:rsid w:val="00791E52"/>
    <w:rsid w:val="00792403"/>
    <w:rsid w:val="00795EAB"/>
    <w:rsid w:val="007B7435"/>
    <w:rsid w:val="007C65F7"/>
    <w:rsid w:val="007D1AC9"/>
    <w:rsid w:val="007D7AD6"/>
    <w:rsid w:val="007E342D"/>
    <w:rsid w:val="007F6E33"/>
    <w:rsid w:val="0080087A"/>
    <w:rsid w:val="008053BD"/>
    <w:rsid w:val="00815840"/>
    <w:rsid w:val="00821F88"/>
    <w:rsid w:val="00823BFA"/>
    <w:rsid w:val="008310A3"/>
    <w:rsid w:val="00833F41"/>
    <w:rsid w:val="00836E1C"/>
    <w:rsid w:val="008373D6"/>
    <w:rsid w:val="00853F2B"/>
    <w:rsid w:val="00864A17"/>
    <w:rsid w:val="008743AD"/>
    <w:rsid w:val="00876296"/>
    <w:rsid w:val="008912EB"/>
    <w:rsid w:val="00891D6D"/>
    <w:rsid w:val="00893063"/>
    <w:rsid w:val="008B41CC"/>
    <w:rsid w:val="008D0712"/>
    <w:rsid w:val="008F53BA"/>
    <w:rsid w:val="008F55F2"/>
    <w:rsid w:val="008F70BF"/>
    <w:rsid w:val="008F73BF"/>
    <w:rsid w:val="00905831"/>
    <w:rsid w:val="0091051F"/>
    <w:rsid w:val="00915EB6"/>
    <w:rsid w:val="00916743"/>
    <w:rsid w:val="00922C36"/>
    <w:rsid w:val="009233D2"/>
    <w:rsid w:val="00927838"/>
    <w:rsid w:val="009454CF"/>
    <w:rsid w:val="009722BF"/>
    <w:rsid w:val="00974401"/>
    <w:rsid w:val="00975E35"/>
    <w:rsid w:val="0097681A"/>
    <w:rsid w:val="009906E4"/>
    <w:rsid w:val="009B3EFD"/>
    <w:rsid w:val="009B5913"/>
    <w:rsid w:val="009B5B1D"/>
    <w:rsid w:val="009C4C55"/>
    <w:rsid w:val="009E68D8"/>
    <w:rsid w:val="009F1067"/>
    <w:rsid w:val="009F62D7"/>
    <w:rsid w:val="00A02644"/>
    <w:rsid w:val="00A05309"/>
    <w:rsid w:val="00A1050C"/>
    <w:rsid w:val="00A12CDB"/>
    <w:rsid w:val="00A17613"/>
    <w:rsid w:val="00A23351"/>
    <w:rsid w:val="00A349A4"/>
    <w:rsid w:val="00A368D4"/>
    <w:rsid w:val="00A423EB"/>
    <w:rsid w:val="00A44400"/>
    <w:rsid w:val="00A5499B"/>
    <w:rsid w:val="00A56121"/>
    <w:rsid w:val="00A571E6"/>
    <w:rsid w:val="00A7049F"/>
    <w:rsid w:val="00AA4300"/>
    <w:rsid w:val="00AB01FD"/>
    <w:rsid w:val="00AB2C44"/>
    <w:rsid w:val="00AB6073"/>
    <w:rsid w:val="00AB632B"/>
    <w:rsid w:val="00AC2603"/>
    <w:rsid w:val="00AD7335"/>
    <w:rsid w:val="00AE5E9A"/>
    <w:rsid w:val="00AF5EB3"/>
    <w:rsid w:val="00B00A88"/>
    <w:rsid w:val="00B2186D"/>
    <w:rsid w:val="00B26B33"/>
    <w:rsid w:val="00B36359"/>
    <w:rsid w:val="00B36586"/>
    <w:rsid w:val="00B41C50"/>
    <w:rsid w:val="00B45492"/>
    <w:rsid w:val="00B47003"/>
    <w:rsid w:val="00B51408"/>
    <w:rsid w:val="00B542A0"/>
    <w:rsid w:val="00B77F73"/>
    <w:rsid w:val="00B97C9C"/>
    <w:rsid w:val="00BA313B"/>
    <w:rsid w:val="00BB5C47"/>
    <w:rsid w:val="00BB669F"/>
    <w:rsid w:val="00BD52CF"/>
    <w:rsid w:val="00BE1296"/>
    <w:rsid w:val="00BE5CAB"/>
    <w:rsid w:val="00BF377B"/>
    <w:rsid w:val="00BF561E"/>
    <w:rsid w:val="00C07F5D"/>
    <w:rsid w:val="00C36D46"/>
    <w:rsid w:val="00C429FD"/>
    <w:rsid w:val="00C4375E"/>
    <w:rsid w:val="00C4571E"/>
    <w:rsid w:val="00C47DC4"/>
    <w:rsid w:val="00C565CD"/>
    <w:rsid w:val="00C64DCA"/>
    <w:rsid w:val="00CA382B"/>
    <w:rsid w:val="00CA5C5B"/>
    <w:rsid w:val="00CC0921"/>
    <w:rsid w:val="00CC3EFD"/>
    <w:rsid w:val="00CD1EB5"/>
    <w:rsid w:val="00CD3F9C"/>
    <w:rsid w:val="00CD40C4"/>
    <w:rsid w:val="00CE09CC"/>
    <w:rsid w:val="00CE7C06"/>
    <w:rsid w:val="00CF115C"/>
    <w:rsid w:val="00CF11DC"/>
    <w:rsid w:val="00D029E4"/>
    <w:rsid w:val="00D13C6E"/>
    <w:rsid w:val="00D1447B"/>
    <w:rsid w:val="00D14C1C"/>
    <w:rsid w:val="00D172BE"/>
    <w:rsid w:val="00D23E02"/>
    <w:rsid w:val="00D50957"/>
    <w:rsid w:val="00D60E39"/>
    <w:rsid w:val="00D65800"/>
    <w:rsid w:val="00D668E9"/>
    <w:rsid w:val="00D813BB"/>
    <w:rsid w:val="00D84723"/>
    <w:rsid w:val="00D863B3"/>
    <w:rsid w:val="00D9339E"/>
    <w:rsid w:val="00DA08B8"/>
    <w:rsid w:val="00DA40A0"/>
    <w:rsid w:val="00DB39AC"/>
    <w:rsid w:val="00DD531F"/>
    <w:rsid w:val="00DE1B1E"/>
    <w:rsid w:val="00DF2107"/>
    <w:rsid w:val="00DF2303"/>
    <w:rsid w:val="00E01D31"/>
    <w:rsid w:val="00E03455"/>
    <w:rsid w:val="00E05D61"/>
    <w:rsid w:val="00E116EF"/>
    <w:rsid w:val="00E161EC"/>
    <w:rsid w:val="00E27932"/>
    <w:rsid w:val="00E324DD"/>
    <w:rsid w:val="00E37F1D"/>
    <w:rsid w:val="00E43050"/>
    <w:rsid w:val="00E4335E"/>
    <w:rsid w:val="00E5320F"/>
    <w:rsid w:val="00E55825"/>
    <w:rsid w:val="00E610DF"/>
    <w:rsid w:val="00E62ED5"/>
    <w:rsid w:val="00E66551"/>
    <w:rsid w:val="00E67ADE"/>
    <w:rsid w:val="00E67D9E"/>
    <w:rsid w:val="00E708BE"/>
    <w:rsid w:val="00E711C4"/>
    <w:rsid w:val="00E73B4D"/>
    <w:rsid w:val="00E81BFF"/>
    <w:rsid w:val="00E948ED"/>
    <w:rsid w:val="00E95768"/>
    <w:rsid w:val="00E96E5F"/>
    <w:rsid w:val="00EB685E"/>
    <w:rsid w:val="00EC0097"/>
    <w:rsid w:val="00EC036C"/>
    <w:rsid w:val="00EC5BBB"/>
    <w:rsid w:val="00EE1155"/>
    <w:rsid w:val="00EE1753"/>
    <w:rsid w:val="00EE2A21"/>
    <w:rsid w:val="00EF1F08"/>
    <w:rsid w:val="00F16365"/>
    <w:rsid w:val="00F414F7"/>
    <w:rsid w:val="00F5531B"/>
    <w:rsid w:val="00F8144E"/>
    <w:rsid w:val="00F859EB"/>
    <w:rsid w:val="00FA070A"/>
    <w:rsid w:val="00FB7166"/>
    <w:rsid w:val="00FC1B90"/>
    <w:rsid w:val="00FC30C8"/>
    <w:rsid w:val="00FD09F1"/>
    <w:rsid w:val="00FD5AA2"/>
    <w:rsid w:val="00FD7487"/>
    <w:rsid w:val="00FE0A90"/>
    <w:rsid w:val="00FF5290"/>
    <w:rsid w:val="00FF6F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3C82A"/>
  <w15:docId w15:val="{2F9DA8BB-AC37-412E-A96A-9B5FC6C9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73C7"/>
    <w:rPr>
      <w:sz w:val="16"/>
      <w:szCs w:val="16"/>
    </w:rPr>
  </w:style>
  <w:style w:type="paragraph" w:styleId="CommentText">
    <w:name w:val="annotation text"/>
    <w:basedOn w:val="Normal"/>
    <w:link w:val="CommentTextChar"/>
    <w:uiPriority w:val="99"/>
    <w:semiHidden/>
    <w:unhideWhenUsed/>
    <w:rsid w:val="006373C7"/>
    <w:pPr>
      <w:spacing w:line="240" w:lineRule="auto"/>
    </w:pPr>
    <w:rPr>
      <w:sz w:val="20"/>
      <w:szCs w:val="20"/>
    </w:rPr>
  </w:style>
  <w:style w:type="character" w:customStyle="1" w:styleId="CommentTextChar">
    <w:name w:val="Comment Text Char"/>
    <w:basedOn w:val="DefaultParagraphFont"/>
    <w:link w:val="CommentText"/>
    <w:uiPriority w:val="99"/>
    <w:semiHidden/>
    <w:rsid w:val="006373C7"/>
    <w:rPr>
      <w:sz w:val="20"/>
      <w:szCs w:val="20"/>
    </w:rPr>
  </w:style>
  <w:style w:type="paragraph" w:styleId="CommentSubject">
    <w:name w:val="annotation subject"/>
    <w:basedOn w:val="CommentText"/>
    <w:next w:val="CommentText"/>
    <w:link w:val="CommentSubjectChar"/>
    <w:uiPriority w:val="99"/>
    <w:semiHidden/>
    <w:unhideWhenUsed/>
    <w:rsid w:val="006373C7"/>
    <w:rPr>
      <w:b/>
      <w:bCs/>
    </w:rPr>
  </w:style>
  <w:style w:type="character" w:customStyle="1" w:styleId="CommentSubjectChar">
    <w:name w:val="Comment Subject Char"/>
    <w:basedOn w:val="CommentTextChar"/>
    <w:link w:val="CommentSubject"/>
    <w:uiPriority w:val="99"/>
    <w:semiHidden/>
    <w:rsid w:val="006373C7"/>
    <w:rPr>
      <w:b/>
      <w:bCs/>
      <w:sz w:val="20"/>
      <w:szCs w:val="20"/>
    </w:rPr>
  </w:style>
  <w:style w:type="paragraph" w:styleId="BalloonText">
    <w:name w:val="Balloon Text"/>
    <w:basedOn w:val="Normal"/>
    <w:link w:val="BalloonTextChar"/>
    <w:uiPriority w:val="99"/>
    <w:semiHidden/>
    <w:unhideWhenUsed/>
    <w:rsid w:val="0063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C7"/>
    <w:rPr>
      <w:rFonts w:ascii="Segoe UI" w:hAnsi="Segoe UI" w:cs="Segoe UI"/>
      <w:sz w:val="18"/>
      <w:szCs w:val="18"/>
    </w:rPr>
  </w:style>
  <w:style w:type="paragraph" w:styleId="Bibliography">
    <w:name w:val="Bibliography"/>
    <w:basedOn w:val="Normal"/>
    <w:next w:val="Normal"/>
    <w:uiPriority w:val="37"/>
    <w:unhideWhenUsed/>
    <w:rsid w:val="00127327"/>
    <w:pPr>
      <w:tabs>
        <w:tab w:val="left" w:pos="504"/>
      </w:tabs>
      <w:spacing w:after="240" w:line="240" w:lineRule="auto"/>
      <w:ind w:left="504" w:hanging="504"/>
    </w:pPr>
  </w:style>
  <w:style w:type="paragraph" w:styleId="ListParagraph">
    <w:name w:val="List Paragraph"/>
    <w:basedOn w:val="Normal"/>
    <w:uiPriority w:val="34"/>
    <w:qFormat/>
    <w:rsid w:val="009454CF"/>
    <w:pPr>
      <w:ind w:left="720"/>
      <w:contextualSpacing/>
    </w:pPr>
  </w:style>
  <w:style w:type="paragraph" w:styleId="NoSpacing">
    <w:name w:val="No Spacing"/>
    <w:uiPriority w:val="1"/>
    <w:qFormat/>
    <w:rsid w:val="00BA313B"/>
    <w:pPr>
      <w:spacing w:after="0" w:line="240" w:lineRule="auto"/>
    </w:pPr>
  </w:style>
  <w:style w:type="paragraph" w:styleId="Revision">
    <w:name w:val="Revision"/>
    <w:hidden/>
    <w:uiPriority w:val="99"/>
    <w:semiHidden/>
    <w:rsid w:val="003D4D58"/>
    <w:pPr>
      <w:spacing w:after="0" w:line="240" w:lineRule="auto"/>
    </w:pPr>
  </w:style>
  <w:style w:type="paragraph" w:styleId="Header">
    <w:name w:val="header"/>
    <w:basedOn w:val="Normal"/>
    <w:link w:val="HeaderChar"/>
    <w:uiPriority w:val="99"/>
    <w:unhideWhenUsed/>
    <w:rsid w:val="00294155"/>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294155"/>
    <w:rPr>
      <w:sz w:val="18"/>
      <w:szCs w:val="18"/>
    </w:rPr>
  </w:style>
  <w:style w:type="paragraph" w:styleId="Footer">
    <w:name w:val="footer"/>
    <w:basedOn w:val="Normal"/>
    <w:link w:val="FooterChar"/>
    <w:uiPriority w:val="99"/>
    <w:unhideWhenUsed/>
    <w:rsid w:val="0029415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2941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7039">
      <w:bodyDiv w:val="1"/>
      <w:marLeft w:val="0"/>
      <w:marRight w:val="0"/>
      <w:marTop w:val="0"/>
      <w:marBottom w:val="0"/>
      <w:divBdr>
        <w:top w:val="none" w:sz="0" w:space="0" w:color="auto"/>
        <w:left w:val="none" w:sz="0" w:space="0" w:color="auto"/>
        <w:bottom w:val="none" w:sz="0" w:space="0" w:color="auto"/>
        <w:right w:val="none" w:sz="0" w:space="0" w:color="auto"/>
      </w:divBdr>
    </w:div>
    <w:div w:id="924530174">
      <w:bodyDiv w:val="1"/>
      <w:marLeft w:val="0"/>
      <w:marRight w:val="0"/>
      <w:marTop w:val="0"/>
      <w:marBottom w:val="0"/>
      <w:divBdr>
        <w:top w:val="none" w:sz="0" w:space="0" w:color="auto"/>
        <w:left w:val="none" w:sz="0" w:space="0" w:color="auto"/>
        <w:bottom w:val="none" w:sz="0" w:space="0" w:color="auto"/>
        <w:right w:val="none" w:sz="0" w:space="0" w:color="auto"/>
      </w:divBdr>
    </w:div>
    <w:div w:id="1024524706">
      <w:bodyDiv w:val="1"/>
      <w:marLeft w:val="0"/>
      <w:marRight w:val="0"/>
      <w:marTop w:val="0"/>
      <w:marBottom w:val="0"/>
      <w:divBdr>
        <w:top w:val="none" w:sz="0" w:space="0" w:color="auto"/>
        <w:left w:val="none" w:sz="0" w:space="0" w:color="auto"/>
        <w:bottom w:val="none" w:sz="0" w:space="0" w:color="auto"/>
        <w:right w:val="none" w:sz="0" w:space="0" w:color="auto"/>
      </w:divBdr>
    </w:div>
    <w:div w:id="1146505130">
      <w:bodyDiv w:val="1"/>
      <w:marLeft w:val="0"/>
      <w:marRight w:val="0"/>
      <w:marTop w:val="0"/>
      <w:marBottom w:val="0"/>
      <w:divBdr>
        <w:top w:val="none" w:sz="0" w:space="0" w:color="auto"/>
        <w:left w:val="none" w:sz="0" w:space="0" w:color="auto"/>
        <w:bottom w:val="none" w:sz="0" w:space="0" w:color="auto"/>
        <w:right w:val="none" w:sz="0" w:space="0" w:color="auto"/>
      </w:divBdr>
    </w:div>
    <w:div w:id="1284724742">
      <w:bodyDiv w:val="1"/>
      <w:marLeft w:val="0"/>
      <w:marRight w:val="0"/>
      <w:marTop w:val="0"/>
      <w:marBottom w:val="0"/>
      <w:divBdr>
        <w:top w:val="none" w:sz="0" w:space="0" w:color="auto"/>
        <w:left w:val="none" w:sz="0" w:space="0" w:color="auto"/>
        <w:bottom w:val="none" w:sz="0" w:space="0" w:color="auto"/>
        <w:right w:val="none" w:sz="0" w:space="0" w:color="auto"/>
      </w:divBdr>
    </w:div>
    <w:div w:id="1373648375">
      <w:bodyDiv w:val="1"/>
      <w:marLeft w:val="0"/>
      <w:marRight w:val="0"/>
      <w:marTop w:val="0"/>
      <w:marBottom w:val="0"/>
      <w:divBdr>
        <w:top w:val="none" w:sz="0" w:space="0" w:color="auto"/>
        <w:left w:val="none" w:sz="0" w:space="0" w:color="auto"/>
        <w:bottom w:val="none" w:sz="0" w:space="0" w:color="auto"/>
        <w:right w:val="none" w:sz="0" w:space="0" w:color="auto"/>
      </w:divBdr>
    </w:div>
    <w:div w:id="1446193056">
      <w:bodyDiv w:val="1"/>
      <w:marLeft w:val="0"/>
      <w:marRight w:val="0"/>
      <w:marTop w:val="0"/>
      <w:marBottom w:val="0"/>
      <w:divBdr>
        <w:top w:val="none" w:sz="0" w:space="0" w:color="auto"/>
        <w:left w:val="none" w:sz="0" w:space="0" w:color="auto"/>
        <w:bottom w:val="none" w:sz="0" w:space="0" w:color="auto"/>
        <w:right w:val="none" w:sz="0" w:space="0" w:color="auto"/>
      </w:divBdr>
    </w:div>
    <w:div w:id="1659531082">
      <w:bodyDiv w:val="1"/>
      <w:marLeft w:val="0"/>
      <w:marRight w:val="0"/>
      <w:marTop w:val="0"/>
      <w:marBottom w:val="0"/>
      <w:divBdr>
        <w:top w:val="none" w:sz="0" w:space="0" w:color="auto"/>
        <w:left w:val="none" w:sz="0" w:space="0" w:color="auto"/>
        <w:bottom w:val="none" w:sz="0" w:space="0" w:color="auto"/>
        <w:right w:val="none" w:sz="0" w:space="0" w:color="auto"/>
      </w:divBdr>
    </w:div>
    <w:div w:id="1699040267">
      <w:bodyDiv w:val="1"/>
      <w:marLeft w:val="0"/>
      <w:marRight w:val="0"/>
      <w:marTop w:val="0"/>
      <w:marBottom w:val="0"/>
      <w:divBdr>
        <w:top w:val="none" w:sz="0" w:space="0" w:color="auto"/>
        <w:left w:val="none" w:sz="0" w:space="0" w:color="auto"/>
        <w:bottom w:val="none" w:sz="0" w:space="0" w:color="auto"/>
        <w:right w:val="none" w:sz="0" w:space="0" w:color="auto"/>
      </w:divBdr>
    </w:div>
    <w:div w:id="17753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6793-9704-4A67-8F54-4A0F7C1C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16248</Words>
  <Characters>92619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Sizheng [rheuzhas]</dc:creator>
  <cp:lastModifiedBy>Zhao, Sizheng [rheuzhas]</cp:lastModifiedBy>
  <cp:revision>11</cp:revision>
  <cp:lastPrinted>2019-04-14T16:57:00Z</cp:lastPrinted>
  <dcterms:created xsi:type="dcterms:W3CDTF">2019-02-22T10:53:00Z</dcterms:created>
  <dcterms:modified xsi:type="dcterms:W3CDTF">2019-04-14T16:57:00Z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id="CKtfTGcH"/&gt;&lt;style id="http://www.zotero.org/styles/rheumatology" hasBibliography="1" bibliographyStyleHasBeenSet="1"/&gt;&lt;prefs&gt;&lt;pref name="fieldType" value="Field"/&gt;&lt;/prefs&gt;&lt;/data&gt;</vt:lpwstr>
  </property>
  <property fmtid="{D5CDD505-2E9C-101B-9397-08002B2CF9AE}" pid="3" name="_AdHocReviewCycleID">
    <vt:i4>450155758</vt:i4>
  </property>
  <property fmtid="{D5CDD505-2E9C-101B-9397-08002B2CF9AE}" pid="4" name="_NewReviewCycle">
    <vt:lpwstr/>
  </property>
  <property fmtid="{D5CDD505-2E9C-101B-9397-08002B2CF9AE}" pid="5" name="_EmailSubject">
    <vt:lpwstr>Partners AS cohort: concise report</vt:lpwstr>
  </property>
  <property fmtid="{D5CDD505-2E9C-101B-9397-08002B2CF9AE}" pid="6" name="_AuthorEmail">
    <vt:lpwstr>dsolomon@bwh.harvard.edu</vt:lpwstr>
  </property>
  <property fmtid="{D5CDD505-2E9C-101B-9397-08002B2CF9AE}" pid="7" name="_AuthorEmailDisplayName">
    <vt:lpwstr>Solomon, Daniel H.,M.D.,M.P.H.,,Rheumatology</vt:lpwstr>
  </property>
  <property fmtid="{D5CDD505-2E9C-101B-9397-08002B2CF9AE}" pid="8" name="_ReviewingToolsShownOnce">
    <vt:lpwstr/>
  </property>
</Properties>
</file>