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AE80" w14:textId="77777777" w:rsidR="00167B47" w:rsidRDefault="00167B47" w:rsidP="006D0A25">
      <w:pPr>
        <w:spacing w:after="0" w:line="360" w:lineRule="auto"/>
        <w:jc w:val="center"/>
        <w:rPr>
          <w:rFonts w:ascii="Arial" w:hAnsi="Arial" w:cs="Arial"/>
          <w:b/>
          <w:sz w:val="24"/>
          <w:szCs w:val="24"/>
          <w:u w:val="single"/>
        </w:rPr>
      </w:pPr>
    </w:p>
    <w:p w14:paraId="58AD2842" w14:textId="77777777" w:rsidR="00167B47" w:rsidRDefault="00167B47" w:rsidP="006D0A25">
      <w:pPr>
        <w:spacing w:after="0" w:line="360" w:lineRule="auto"/>
        <w:jc w:val="center"/>
        <w:rPr>
          <w:rFonts w:ascii="Arial" w:hAnsi="Arial" w:cs="Arial"/>
          <w:b/>
          <w:sz w:val="24"/>
          <w:szCs w:val="24"/>
          <w:u w:val="single"/>
        </w:rPr>
      </w:pPr>
    </w:p>
    <w:p w14:paraId="38614E95" w14:textId="72343A4A" w:rsidR="00576202" w:rsidRDefault="00716267" w:rsidP="006D0A25">
      <w:pPr>
        <w:spacing w:after="0" w:line="360" w:lineRule="auto"/>
        <w:jc w:val="center"/>
        <w:rPr>
          <w:rFonts w:ascii="Arial" w:hAnsi="Arial" w:cs="Arial"/>
          <w:b/>
          <w:sz w:val="24"/>
          <w:szCs w:val="24"/>
          <w:u w:val="single"/>
        </w:rPr>
      </w:pPr>
      <w:r>
        <w:rPr>
          <w:rFonts w:ascii="Arial" w:hAnsi="Arial" w:cs="Arial"/>
          <w:b/>
          <w:sz w:val="24"/>
          <w:szCs w:val="24"/>
          <w:u w:val="single"/>
        </w:rPr>
        <w:t>A pilot r</w:t>
      </w:r>
      <w:r w:rsidR="006D0A25">
        <w:rPr>
          <w:rFonts w:ascii="Arial" w:hAnsi="Arial" w:cs="Arial"/>
          <w:b/>
          <w:sz w:val="24"/>
          <w:szCs w:val="24"/>
          <w:u w:val="single"/>
        </w:rPr>
        <w:t xml:space="preserve">andomised controlled trial of a programme of psychosocial interventions </w:t>
      </w:r>
      <w:r>
        <w:rPr>
          <w:rFonts w:ascii="Arial" w:hAnsi="Arial" w:cs="Arial"/>
          <w:b/>
          <w:sz w:val="24"/>
          <w:szCs w:val="24"/>
          <w:u w:val="single"/>
        </w:rPr>
        <w:t>(R</w:t>
      </w:r>
      <w:r w:rsidR="00CE34AA">
        <w:rPr>
          <w:rFonts w:ascii="Arial" w:hAnsi="Arial" w:cs="Arial"/>
          <w:b/>
          <w:sz w:val="24"/>
          <w:szCs w:val="24"/>
          <w:u w:val="single"/>
        </w:rPr>
        <w:t>e</w:t>
      </w:r>
      <w:r>
        <w:rPr>
          <w:rFonts w:ascii="Arial" w:hAnsi="Arial" w:cs="Arial"/>
          <w:b/>
          <w:sz w:val="24"/>
          <w:szCs w:val="24"/>
          <w:u w:val="single"/>
        </w:rPr>
        <w:t xml:space="preserve">settle) </w:t>
      </w:r>
      <w:r w:rsidR="006D0A25">
        <w:rPr>
          <w:rFonts w:ascii="Arial" w:hAnsi="Arial" w:cs="Arial"/>
          <w:b/>
          <w:sz w:val="24"/>
          <w:szCs w:val="24"/>
          <w:u w:val="single"/>
        </w:rPr>
        <w:t>for high risk personality disordered offenders</w:t>
      </w:r>
    </w:p>
    <w:p w14:paraId="4CCAA990" w14:textId="05EE6417" w:rsidR="006D0A25" w:rsidRDefault="006D0A25" w:rsidP="006D0A25">
      <w:pPr>
        <w:spacing w:after="0" w:line="360" w:lineRule="auto"/>
        <w:jc w:val="center"/>
        <w:rPr>
          <w:rFonts w:ascii="Arial" w:hAnsi="Arial" w:cs="Arial"/>
          <w:b/>
          <w:sz w:val="24"/>
          <w:szCs w:val="24"/>
          <w:u w:val="single"/>
        </w:rPr>
      </w:pPr>
    </w:p>
    <w:p w14:paraId="44CAB61C" w14:textId="77777777" w:rsidR="00167B47" w:rsidRPr="00167B47" w:rsidRDefault="00167B47" w:rsidP="00167B47">
      <w:pPr>
        <w:spacing w:after="0" w:line="360" w:lineRule="auto"/>
        <w:jc w:val="center"/>
        <w:rPr>
          <w:rFonts w:ascii="Arial" w:hAnsi="Arial" w:cs="Arial"/>
          <w:b/>
          <w:sz w:val="24"/>
          <w:szCs w:val="24"/>
        </w:rPr>
      </w:pPr>
      <w:r w:rsidRPr="00167B47">
        <w:rPr>
          <w:rFonts w:ascii="Arial" w:hAnsi="Arial" w:cs="Arial"/>
          <w:b/>
          <w:sz w:val="24"/>
          <w:szCs w:val="24"/>
        </w:rPr>
        <w:t>Nathan</w:t>
      </w:r>
      <w:r w:rsidRPr="00167B47">
        <w:rPr>
          <w:rFonts w:ascii="Arial" w:hAnsi="Arial" w:cs="Arial"/>
          <w:b/>
          <w:sz w:val="24"/>
          <w:szCs w:val="24"/>
        </w:rPr>
        <w:t>,</w:t>
      </w:r>
      <w:r w:rsidRPr="00167B47">
        <w:rPr>
          <w:rFonts w:ascii="Arial" w:hAnsi="Arial" w:cs="Arial"/>
          <w:b/>
          <w:sz w:val="24"/>
          <w:szCs w:val="24"/>
        </w:rPr>
        <w:t xml:space="preserve"> R</w:t>
      </w:r>
      <w:r w:rsidRPr="00167B47">
        <w:rPr>
          <w:rFonts w:ascii="Arial" w:hAnsi="Arial" w:cs="Arial"/>
          <w:b/>
          <w:sz w:val="24"/>
          <w:szCs w:val="24"/>
        </w:rPr>
        <w:t>ajan</w:t>
      </w:r>
      <w:r w:rsidRPr="00167B47">
        <w:rPr>
          <w:rFonts w:ascii="Arial" w:hAnsi="Arial" w:cs="Arial"/>
          <w:b/>
          <w:sz w:val="24"/>
          <w:szCs w:val="24"/>
        </w:rPr>
        <w:t xml:space="preserve">, </w:t>
      </w:r>
    </w:p>
    <w:p w14:paraId="51199170" w14:textId="77777777" w:rsidR="00167B47" w:rsidRPr="00167B47" w:rsidRDefault="00167B47" w:rsidP="00167B47">
      <w:pPr>
        <w:spacing w:after="0" w:line="360" w:lineRule="auto"/>
        <w:jc w:val="center"/>
        <w:rPr>
          <w:rFonts w:ascii="Arial" w:hAnsi="Arial" w:cs="Arial"/>
          <w:b/>
          <w:sz w:val="24"/>
          <w:szCs w:val="24"/>
        </w:rPr>
      </w:pPr>
      <w:r w:rsidRPr="00167B47">
        <w:rPr>
          <w:rFonts w:ascii="Arial" w:hAnsi="Arial" w:cs="Arial"/>
          <w:b/>
          <w:sz w:val="24"/>
          <w:szCs w:val="24"/>
        </w:rPr>
        <w:t>Centifanti</w:t>
      </w:r>
      <w:r w:rsidRPr="00167B47">
        <w:rPr>
          <w:rFonts w:ascii="Arial" w:hAnsi="Arial" w:cs="Arial"/>
          <w:b/>
          <w:sz w:val="24"/>
          <w:szCs w:val="24"/>
        </w:rPr>
        <w:t>,</w:t>
      </w:r>
      <w:r w:rsidRPr="00167B47">
        <w:rPr>
          <w:rFonts w:ascii="Arial" w:hAnsi="Arial" w:cs="Arial"/>
          <w:b/>
          <w:sz w:val="24"/>
          <w:szCs w:val="24"/>
        </w:rPr>
        <w:t xml:space="preserve"> L</w:t>
      </w:r>
      <w:r w:rsidRPr="00167B47">
        <w:rPr>
          <w:rFonts w:ascii="Arial" w:hAnsi="Arial" w:cs="Arial"/>
          <w:b/>
          <w:sz w:val="24"/>
          <w:szCs w:val="24"/>
        </w:rPr>
        <w:t>una</w:t>
      </w:r>
      <w:r w:rsidRPr="00167B47">
        <w:rPr>
          <w:rFonts w:ascii="Arial" w:hAnsi="Arial" w:cs="Arial"/>
          <w:b/>
          <w:sz w:val="24"/>
          <w:szCs w:val="24"/>
        </w:rPr>
        <w:t xml:space="preserve">, </w:t>
      </w:r>
    </w:p>
    <w:p w14:paraId="1921A7EC" w14:textId="77777777" w:rsidR="00167B47" w:rsidRPr="00167B47" w:rsidRDefault="00167B47" w:rsidP="00167B47">
      <w:pPr>
        <w:spacing w:after="0" w:line="360" w:lineRule="auto"/>
        <w:jc w:val="center"/>
        <w:rPr>
          <w:rFonts w:ascii="Arial" w:hAnsi="Arial" w:cs="Arial"/>
          <w:b/>
          <w:sz w:val="24"/>
          <w:szCs w:val="24"/>
        </w:rPr>
      </w:pPr>
      <w:bookmarkStart w:id="0" w:name="_GoBack"/>
      <w:bookmarkEnd w:id="0"/>
      <w:r w:rsidRPr="00167B47">
        <w:rPr>
          <w:rFonts w:ascii="Arial" w:hAnsi="Arial" w:cs="Arial"/>
          <w:b/>
          <w:sz w:val="24"/>
          <w:szCs w:val="24"/>
        </w:rPr>
        <w:t xml:space="preserve">Baker V, </w:t>
      </w:r>
    </w:p>
    <w:p w14:paraId="2582805A" w14:textId="5A3E4911" w:rsidR="00167B47" w:rsidRPr="00167B47" w:rsidRDefault="00167B47" w:rsidP="00167B47">
      <w:pPr>
        <w:spacing w:after="0" w:line="360" w:lineRule="auto"/>
        <w:jc w:val="center"/>
        <w:rPr>
          <w:rFonts w:ascii="Arial" w:hAnsi="Arial" w:cs="Arial"/>
          <w:b/>
          <w:sz w:val="24"/>
          <w:szCs w:val="24"/>
        </w:rPr>
      </w:pPr>
      <w:r w:rsidRPr="00167B47">
        <w:rPr>
          <w:rFonts w:ascii="Arial" w:hAnsi="Arial" w:cs="Arial"/>
          <w:b/>
          <w:sz w:val="24"/>
          <w:szCs w:val="24"/>
        </w:rPr>
        <w:t>Hill J</w:t>
      </w:r>
      <w:r w:rsidRPr="00167B47">
        <w:rPr>
          <w:rFonts w:ascii="Arial" w:hAnsi="Arial" w:cs="Arial"/>
          <w:b/>
          <w:sz w:val="24"/>
          <w:szCs w:val="24"/>
        </w:rPr>
        <w:t>onathan</w:t>
      </w:r>
    </w:p>
    <w:p w14:paraId="22860757" w14:textId="0AD4593E" w:rsidR="00167B47" w:rsidRPr="00167B47" w:rsidRDefault="00167B47" w:rsidP="00167B47">
      <w:pPr>
        <w:spacing w:after="0" w:line="360" w:lineRule="auto"/>
        <w:jc w:val="center"/>
        <w:rPr>
          <w:rFonts w:ascii="Arial" w:hAnsi="Arial" w:cs="Arial"/>
          <w:b/>
          <w:sz w:val="24"/>
          <w:szCs w:val="24"/>
        </w:rPr>
      </w:pPr>
    </w:p>
    <w:p w14:paraId="0F7061B0" w14:textId="7006F849" w:rsidR="00167B47" w:rsidRPr="00167B47" w:rsidRDefault="00167B47" w:rsidP="00167B47">
      <w:pPr>
        <w:spacing w:after="0" w:line="360" w:lineRule="auto"/>
        <w:jc w:val="center"/>
        <w:rPr>
          <w:rFonts w:ascii="Arial" w:hAnsi="Arial" w:cs="Arial"/>
          <w:b/>
          <w:sz w:val="24"/>
          <w:szCs w:val="24"/>
        </w:rPr>
      </w:pPr>
      <w:r w:rsidRPr="00167B47">
        <w:rPr>
          <w:rFonts w:ascii="Arial" w:hAnsi="Arial" w:cs="Arial"/>
          <w:b/>
          <w:sz w:val="24"/>
          <w:szCs w:val="24"/>
        </w:rPr>
        <w:t>International Journal of Law and Psychiatry 66:01 Sep 2019</w:t>
      </w:r>
    </w:p>
    <w:p w14:paraId="1019C84E" w14:textId="77777777" w:rsidR="00EE7A71" w:rsidRDefault="00EE7A71" w:rsidP="006D0A25">
      <w:pPr>
        <w:spacing w:after="0" w:line="360" w:lineRule="auto"/>
        <w:jc w:val="both"/>
        <w:rPr>
          <w:rFonts w:ascii="Arial" w:hAnsi="Arial" w:cs="Arial"/>
          <w:b/>
          <w:sz w:val="24"/>
          <w:szCs w:val="24"/>
          <w:u w:val="single"/>
        </w:rPr>
      </w:pPr>
    </w:p>
    <w:p w14:paraId="7F52A339" w14:textId="38A58CF3" w:rsidR="00157C2E" w:rsidRPr="00EE7A71" w:rsidRDefault="00F60970" w:rsidP="00EE7A71">
      <w:pPr>
        <w:pStyle w:val="ListParagraph"/>
        <w:numPr>
          <w:ilvl w:val="0"/>
          <w:numId w:val="4"/>
        </w:numPr>
        <w:spacing w:after="0" w:line="360" w:lineRule="auto"/>
        <w:jc w:val="both"/>
        <w:rPr>
          <w:rFonts w:ascii="Arial" w:hAnsi="Arial" w:cs="Arial"/>
          <w:b/>
          <w:sz w:val="26"/>
          <w:szCs w:val="26"/>
        </w:rPr>
      </w:pPr>
      <w:r w:rsidRPr="00EE7A71">
        <w:rPr>
          <w:rFonts w:ascii="Arial" w:hAnsi="Arial" w:cs="Arial"/>
          <w:b/>
          <w:sz w:val="26"/>
          <w:szCs w:val="26"/>
        </w:rPr>
        <w:t xml:space="preserve">Introduction </w:t>
      </w:r>
    </w:p>
    <w:p w14:paraId="39E06E9A" w14:textId="5C1C3B32" w:rsidR="00E35297" w:rsidRPr="00E35297" w:rsidRDefault="00E35297" w:rsidP="00EE7A71">
      <w:pPr>
        <w:spacing w:after="0" w:line="360" w:lineRule="auto"/>
        <w:jc w:val="both"/>
        <w:rPr>
          <w:rFonts w:ascii="Arial" w:hAnsi="Arial" w:cs="Arial"/>
          <w:sz w:val="24"/>
          <w:szCs w:val="24"/>
        </w:rPr>
      </w:pPr>
      <w:r w:rsidRPr="00E35297">
        <w:rPr>
          <w:rFonts w:ascii="Arial" w:hAnsi="Arial" w:cs="Arial"/>
          <w:sz w:val="24"/>
          <w:szCs w:val="24"/>
        </w:rPr>
        <w:t>Personality disorders are</w:t>
      </w:r>
      <w:r w:rsidR="00AE28EA">
        <w:rPr>
          <w:rFonts w:ascii="Arial" w:hAnsi="Arial" w:cs="Arial"/>
          <w:sz w:val="24"/>
          <w:szCs w:val="24"/>
        </w:rPr>
        <w:t xml:space="preserve"> common among service users in</w:t>
      </w:r>
      <w:r w:rsidRPr="00E35297">
        <w:rPr>
          <w:rFonts w:ascii="Arial" w:hAnsi="Arial" w:cs="Arial"/>
          <w:sz w:val="24"/>
          <w:szCs w:val="24"/>
        </w:rPr>
        <w:t xml:space="preserve"> health and forensic services</w:t>
      </w:r>
      <w:r w:rsidR="00A632D1" w:rsidRPr="00A632D1">
        <w:rPr>
          <w:rFonts w:ascii="Arial" w:hAnsi="Arial" w:cs="Arial"/>
          <w:sz w:val="24"/>
          <w:szCs w:val="24"/>
          <w:lang w:val="en-US"/>
        </w:rPr>
        <w:t xml:space="preserve"> </w:t>
      </w:r>
      <w:r w:rsidR="00A632D1">
        <w:rPr>
          <w:rFonts w:ascii="Arial" w:hAnsi="Arial" w:cs="Arial"/>
          <w:sz w:val="24"/>
          <w:szCs w:val="24"/>
          <w:lang w:val="en-US"/>
        </w:rPr>
        <w:t>(</w:t>
      </w:r>
      <w:r w:rsidR="00AE28EA">
        <w:rPr>
          <w:rFonts w:ascii="Arial" w:hAnsi="Arial" w:cs="Arial"/>
          <w:sz w:val="24"/>
          <w:szCs w:val="24"/>
          <w:lang w:val="en-US"/>
        </w:rPr>
        <w:t xml:space="preserve">Fazel &amp; </w:t>
      </w:r>
      <w:proofErr w:type="spellStart"/>
      <w:r w:rsidR="00AE28EA">
        <w:rPr>
          <w:rFonts w:ascii="Arial" w:hAnsi="Arial" w:cs="Arial"/>
          <w:sz w:val="24"/>
          <w:szCs w:val="24"/>
          <w:lang w:val="en-US"/>
        </w:rPr>
        <w:t>Danesh</w:t>
      </w:r>
      <w:proofErr w:type="spellEnd"/>
      <w:r w:rsidR="00AE28EA">
        <w:rPr>
          <w:rFonts w:ascii="Arial" w:hAnsi="Arial" w:cs="Arial"/>
          <w:sz w:val="24"/>
          <w:szCs w:val="24"/>
          <w:lang w:val="en-US"/>
        </w:rPr>
        <w:t xml:space="preserve">, 2002; </w:t>
      </w:r>
      <w:r w:rsidR="00A632D1" w:rsidRPr="00A632D1">
        <w:rPr>
          <w:rFonts w:ascii="Arial" w:hAnsi="Arial" w:cs="Arial"/>
          <w:sz w:val="24"/>
          <w:szCs w:val="24"/>
          <w:lang w:val="en-US"/>
        </w:rPr>
        <w:t>Zimmerman</w:t>
      </w:r>
      <w:r w:rsidR="00A632D1">
        <w:rPr>
          <w:rFonts w:ascii="Arial" w:hAnsi="Arial" w:cs="Arial"/>
          <w:sz w:val="24"/>
          <w:szCs w:val="24"/>
          <w:lang w:val="en-US"/>
        </w:rPr>
        <w:t xml:space="preserve"> et al</w:t>
      </w:r>
      <w:r w:rsidR="00AE28EA">
        <w:rPr>
          <w:rFonts w:ascii="Arial" w:hAnsi="Arial" w:cs="Arial"/>
          <w:sz w:val="24"/>
          <w:szCs w:val="24"/>
          <w:lang w:val="en-US"/>
        </w:rPr>
        <w:t>.</w:t>
      </w:r>
      <w:r w:rsidR="00A632D1">
        <w:rPr>
          <w:rFonts w:ascii="Arial" w:hAnsi="Arial" w:cs="Arial"/>
          <w:sz w:val="24"/>
          <w:szCs w:val="24"/>
          <w:lang w:val="en-US"/>
        </w:rPr>
        <w:t xml:space="preserve">, 2005; </w:t>
      </w:r>
      <w:r w:rsidR="00A632D1" w:rsidRPr="00A632D1">
        <w:rPr>
          <w:rFonts w:ascii="Arial" w:hAnsi="Arial" w:cs="Arial"/>
          <w:sz w:val="24"/>
          <w:szCs w:val="24"/>
          <w:lang w:val="en-US"/>
        </w:rPr>
        <w:t>Newton-Howes</w:t>
      </w:r>
      <w:r w:rsidR="00A632D1">
        <w:rPr>
          <w:rFonts w:ascii="Arial" w:hAnsi="Arial" w:cs="Arial"/>
          <w:sz w:val="24"/>
          <w:szCs w:val="24"/>
          <w:lang w:val="en-US"/>
        </w:rPr>
        <w:t xml:space="preserve"> et al</w:t>
      </w:r>
      <w:r w:rsidR="00AE28EA">
        <w:rPr>
          <w:rFonts w:ascii="Arial" w:hAnsi="Arial" w:cs="Arial"/>
          <w:sz w:val="24"/>
          <w:szCs w:val="24"/>
          <w:lang w:val="en-US"/>
        </w:rPr>
        <w:t>.</w:t>
      </w:r>
      <w:r w:rsidR="00A632D1">
        <w:rPr>
          <w:rFonts w:ascii="Arial" w:hAnsi="Arial" w:cs="Arial"/>
          <w:sz w:val="24"/>
          <w:szCs w:val="24"/>
          <w:lang w:val="en-US"/>
        </w:rPr>
        <w:t>, 2010)</w:t>
      </w:r>
      <w:r w:rsidRPr="00E35297">
        <w:rPr>
          <w:rFonts w:ascii="Arial" w:hAnsi="Arial" w:cs="Arial"/>
          <w:sz w:val="24"/>
          <w:szCs w:val="24"/>
        </w:rPr>
        <w:t xml:space="preserve">.  </w:t>
      </w:r>
      <w:r w:rsidR="00F70114" w:rsidRPr="00E35297">
        <w:rPr>
          <w:rFonts w:ascii="Arial" w:hAnsi="Arial" w:cs="Arial"/>
          <w:sz w:val="24"/>
          <w:szCs w:val="24"/>
        </w:rPr>
        <w:t xml:space="preserve">Offenders with a personality disorder are at a higher risk of reoffending compared to offenders without personality disorder (Howard et al., 2008; </w:t>
      </w:r>
      <w:proofErr w:type="spellStart"/>
      <w:r w:rsidR="00F70114" w:rsidRPr="00E35297">
        <w:rPr>
          <w:rFonts w:ascii="Arial" w:hAnsi="Arial" w:cs="Arial"/>
          <w:sz w:val="24"/>
          <w:szCs w:val="24"/>
        </w:rPr>
        <w:t>Coid</w:t>
      </w:r>
      <w:proofErr w:type="spellEnd"/>
      <w:r w:rsidR="00F70114" w:rsidRPr="00E35297">
        <w:rPr>
          <w:rFonts w:ascii="Arial" w:hAnsi="Arial" w:cs="Arial"/>
          <w:sz w:val="24"/>
          <w:szCs w:val="24"/>
        </w:rPr>
        <w:t xml:space="preserve"> et al., 2007). As a consequence this group presents an increased risk to the public</w:t>
      </w:r>
      <w:r w:rsidR="002528F8">
        <w:rPr>
          <w:rFonts w:ascii="Arial" w:hAnsi="Arial" w:cs="Arial"/>
          <w:sz w:val="24"/>
          <w:szCs w:val="24"/>
        </w:rPr>
        <w:t xml:space="preserve"> in comparison to non-personality disordered offenders</w:t>
      </w:r>
      <w:r w:rsidR="00F70114" w:rsidRPr="00E35297">
        <w:rPr>
          <w:rFonts w:ascii="Arial" w:hAnsi="Arial" w:cs="Arial"/>
          <w:sz w:val="24"/>
          <w:szCs w:val="24"/>
        </w:rPr>
        <w:t xml:space="preserve">. This group also present a significant risk to themselves, </w:t>
      </w:r>
      <w:r w:rsidR="00B04C06">
        <w:rPr>
          <w:rFonts w:ascii="Arial" w:hAnsi="Arial" w:cs="Arial"/>
          <w:sz w:val="24"/>
          <w:szCs w:val="24"/>
        </w:rPr>
        <w:t>since</w:t>
      </w:r>
      <w:r w:rsidR="00B04C06" w:rsidRPr="00E35297">
        <w:rPr>
          <w:rFonts w:ascii="Arial" w:hAnsi="Arial" w:cs="Arial"/>
          <w:sz w:val="24"/>
          <w:szCs w:val="24"/>
        </w:rPr>
        <w:t xml:space="preserve"> </w:t>
      </w:r>
      <w:r w:rsidR="00F70114" w:rsidRPr="00E35297">
        <w:rPr>
          <w:rFonts w:ascii="Arial" w:hAnsi="Arial" w:cs="Arial"/>
          <w:sz w:val="24"/>
          <w:szCs w:val="24"/>
        </w:rPr>
        <w:t xml:space="preserve">increased levels of reckless and suicidal behaviours contribute to higher rates of premature mortality </w:t>
      </w:r>
      <w:r w:rsidR="00221DA4">
        <w:rPr>
          <w:rFonts w:ascii="Arial" w:hAnsi="Arial" w:cs="Arial"/>
          <w:sz w:val="24"/>
          <w:szCs w:val="24"/>
        </w:rPr>
        <w:t xml:space="preserve">when compared to non-disordered groups </w:t>
      </w:r>
      <w:r w:rsidR="00F70114" w:rsidRPr="00E35297">
        <w:rPr>
          <w:rFonts w:ascii="Arial" w:hAnsi="Arial" w:cs="Arial"/>
          <w:sz w:val="24"/>
          <w:szCs w:val="24"/>
        </w:rPr>
        <w:t>(Black, 1996; Martin et al., 1985; Lesage et al., 1994).</w:t>
      </w:r>
      <w:r w:rsidR="00F70114">
        <w:rPr>
          <w:rFonts w:ascii="Arial" w:hAnsi="Arial" w:cs="Arial"/>
          <w:sz w:val="24"/>
          <w:szCs w:val="24"/>
        </w:rPr>
        <w:t xml:space="preserve"> </w:t>
      </w:r>
      <w:r w:rsidRPr="00E35297">
        <w:rPr>
          <w:rFonts w:ascii="Arial" w:hAnsi="Arial" w:cs="Arial"/>
          <w:sz w:val="24"/>
          <w:szCs w:val="24"/>
        </w:rPr>
        <w:t xml:space="preserve">Antisocial personality disorder (ASPD), one of the ten personality disorders identified by the </w:t>
      </w:r>
      <w:r w:rsidR="00B45B91">
        <w:rPr>
          <w:rFonts w:ascii="Arial" w:hAnsi="Arial" w:cs="Arial"/>
          <w:sz w:val="24"/>
          <w:szCs w:val="24"/>
        </w:rPr>
        <w:t>diagnostic and statistical manual</w:t>
      </w:r>
      <w:r w:rsidRPr="00E35297">
        <w:rPr>
          <w:rFonts w:ascii="Arial" w:hAnsi="Arial" w:cs="Arial"/>
          <w:sz w:val="24"/>
          <w:szCs w:val="24"/>
        </w:rPr>
        <w:t xml:space="preserve"> </w:t>
      </w:r>
      <w:r w:rsidR="00B45B91">
        <w:rPr>
          <w:rFonts w:ascii="Arial" w:hAnsi="Arial" w:cs="Arial"/>
          <w:sz w:val="24"/>
          <w:szCs w:val="24"/>
        </w:rPr>
        <w:t>of mental disorders (5</w:t>
      </w:r>
      <w:r w:rsidR="00B45B91" w:rsidRPr="00B45B91">
        <w:rPr>
          <w:rFonts w:ascii="Arial" w:hAnsi="Arial" w:cs="Arial"/>
          <w:sz w:val="24"/>
          <w:szCs w:val="24"/>
          <w:vertAlign w:val="superscript"/>
        </w:rPr>
        <w:t>th</w:t>
      </w:r>
      <w:r w:rsidR="00B45B91">
        <w:rPr>
          <w:rFonts w:ascii="Arial" w:hAnsi="Arial" w:cs="Arial"/>
          <w:sz w:val="24"/>
          <w:szCs w:val="24"/>
        </w:rPr>
        <w:t xml:space="preserve"> edition) </w:t>
      </w:r>
      <w:r w:rsidRPr="00E35297">
        <w:rPr>
          <w:rFonts w:ascii="Arial" w:hAnsi="Arial" w:cs="Arial"/>
          <w:sz w:val="24"/>
          <w:szCs w:val="24"/>
        </w:rPr>
        <w:t>(</w:t>
      </w:r>
      <w:r w:rsidR="00B45B91">
        <w:rPr>
          <w:rFonts w:ascii="Arial" w:hAnsi="Arial" w:cs="Arial"/>
          <w:sz w:val="24"/>
          <w:szCs w:val="24"/>
        </w:rPr>
        <w:t xml:space="preserve">DSM 5; </w:t>
      </w:r>
      <w:r w:rsidRPr="00E35297">
        <w:rPr>
          <w:rFonts w:ascii="Arial" w:hAnsi="Arial" w:cs="Arial"/>
          <w:sz w:val="24"/>
          <w:szCs w:val="24"/>
        </w:rPr>
        <w:t>A</w:t>
      </w:r>
      <w:r w:rsidR="00B45B91">
        <w:rPr>
          <w:rFonts w:ascii="Arial" w:hAnsi="Arial" w:cs="Arial"/>
          <w:sz w:val="24"/>
          <w:szCs w:val="24"/>
        </w:rPr>
        <w:t>merican Psychiatric Association, 2013</w:t>
      </w:r>
      <w:r w:rsidRPr="00E35297">
        <w:rPr>
          <w:rFonts w:ascii="Arial" w:hAnsi="Arial" w:cs="Arial"/>
          <w:sz w:val="24"/>
          <w:szCs w:val="24"/>
        </w:rPr>
        <w:t xml:space="preserve">), is characterised by reckless behaviour, a disregard of societal rules, high impulsivity, reoccurring deceitfulness and lack of remorse. Given these core features, it is unsurprising that ASPD is prevalent among prison populations with around half of all prisoners thought to meet the criteria for ASPD (Fazel &amp; </w:t>
      </w:r>
      <w:proofErr w:type="spellStart"/>
      <w:r w:rsidRPr="00E35297">
        <w:rPr>
          <w:rFonts w:ascii="Arial" w:hAnsi="Arial" w:cs="Arial"/>
          <w:sz w:val="24"/>
          <w:szCs w:val="24"/>
        </w:rPr>
        <w:t>Danesh</w:t>
      </w:r>
      <w:proofErr w:type="spellEnd"/>
      <w:r w:rsidRPr="00E35297">
        <w:rPr>
          <w:rFonts w:ascii="Arial" w:hAnsi="Arial" w:cs="Arial"/>
          <w:sz w:val="24"/>
          <w:szCs w:val="24"/>
        </w:rPr>
        <w:t xml:space="preserve">, 2002; Singleton et al., 1998.) </w:t>
      </w:r>
      <w:r w:rsidR="009C2E8F">
        <w:rPr>
          <w:rFonts w:ascii="Arial" w:hAnsi="Arial" w:cs="Arial"/>
          <w:sz w:val="24"/>
          <w:szCs w:val="24"/>
        </w:rPr>
        <w:t xml:space="preserve">Elevated rates of other personality disorder categories (e.g. paranoid personality disorder and borderline personality disorder) have been found in prison populations (Singleton et al., 1998). </w:t>
      </w:r>
      <w:r w:rsidRPr="00E35297">
        <w:rPr>
          <w:rFonts w:ascii="Arial" w:hAnsi="Arial" w:cs="Arial"/>
          <w:sz w:val="24"/>
          <w:szCs w:val="24"/>
        </w:rPr>
        <w:t xml:space="preserve">In addition, people with personality disorders often experience comorbid mental health problems such as depression (e.g. </w:t>
      </w:r>
      <w:proofErr w:type="spellStart"/>
      <w:r w:rsidRPr="00E35297">
        <w:rPr>
          <w:rFonts w:ascii="Arial" w:hAnsi="Arial" w:cs="Arial"/>
          <w:sz w:val="24"/>
          <w:szCs w:val="24"/>
        </w:rPr>
        <w:t>Corruble</w:t>
      </w:r>
      <w:proofErr w:type="spellEnd"/>
      <w:r w:rsidRPr="00E35297">
        <w:rPr>
          <w:rFonts w:ascii="Arial" w:hAnsi="Arial" w:cs="Arial"/>
          <w:sz w:val="24"/>
          <w:szCs w:val="24"/>
        </w:rPr>
        <w:t xml:space="preserve"> et al., 1996), anxiety (e.g. Sanderson et al., 1994) </w:t>
      </w:r>
      <w:r w:rsidRPr="00E35297">
        <w:rPr>
          <w:rFonts w:ascii="Arial" w:hAnsi="Arial" w:cs="Arial"/>
          <w:sz w:val="24"/>
          <w:szCs w:val="24"/>
        </w:rPr>
        <w:lastRenderedPageBreak/>
        <w:t>and substance abuse and/or dependency (e.g. Johnson et al., 2005; Robins, 1991). Support to manage these additional mental health problems is often the primary reason people with personality disorders come into contact with health services (</w:t>
      </w:r>
      <w:proofErr w:type="spellStart"/>
      <w:r w:rsidRPr="00E35297">
        <w:rPr>
          <w:rFonts w:ascii="Arial" w:hAnsi="Arial" w:cs="Arial"/>
          <w:sz w:val="24"/>
          <w:szCs w:val="24"/>
        </w:rPr>
        <w:t>Coid</w:t>
      </w:r>
      <w:proofErr w:type="spellEnd"/>
      <w:r w:rsidRPr="00E35297">
        <w:rPr>
          <w:rFonts w:ascii="Arial" w:hAnsi="Arial" w:cs="Arial"/>
          <w:sz w:val="24"/>
          <w:szCs w:val="24"/>
        </w:rPr>
        <w:t xml:space="preserve"> et al., 2009). </w:t>
      </w:r>
    </w:p>
    <w:p w14:paraId="71FFDB9D" w14:textId="77777777" w:rsidR="00E35297" w:rsidRDefault="00E35297" w:rsidP="00EE7A71">
      <w:pPr>
        <w:spacing w:after="0" w:line="360" w:lineRule="auto"/>
        <w:jc w:val="both"/>
        <w:rPr>
          <w:rFonts w:ascii="Arial" w:hAnsi="Arial" w:cs="Arial"/>
          <w:sz w:val="24"/>
          <w:szCs w:val="24"/>
        </w:rPr>
      </w:pPr>
    </w:p>
    <w:p w14:paraId="7850BB55" w14:textId="05FFF43C" w:rsidR="00E35297" w:rsidRDefault="00EE7A71" w:rsidP="00EE7A71">
      <w:pPr>
        <w:spacing w:after="0" w:line="360" w:lineRule="auto"/>
        <w:jc w:val="both"/>
        <w:rPr>
          <w:rFonts w:ascii="Arial" w:hAnsi="Arial" w:cs="Arial"/>
          <w:b/>
          <w:sz w:val="24"/>
          <w:szCs w:val="24"/>
        </w:rPr>
      </w:pPr>
      <w:r>
        <w:rPr>
          <w:rFonts w:ascii="Arial" w:hAnsi="Arial" w:cs="Arial"/>
          <w:b/>
          <w:sz w:val="24"/>
          <w:szCs w:val="24"/>
        </w:rPr>
        <w:t>1.</w:t>
      </w:r>
      <w:r w:rsidR="00267EF2">
        <w:rPr>
          <w:rFonts w:ascii="Arial" w:hAnsi="Arial" w:cs="Arial"/>
          <w:b/>
          <w:sz w:val="24"/>
          <w:szCs w:val="24"/>
        </w:rPr>
        <w:t>1</w:t>
      </w:r>
      <w:r>
        <w:rPr>
          <w:rFonts w:ascii="Arial" w:hAnsi="Arial" w:cs="Arial"/>
          <w:b/>
          <w:sz w:val="24"/>
          <w:szCs w:val="24"/>
        </w:rPr>
        <w:t xml:space="preserve"> </w:t>
      </w:r>
      <w:r w:rsidR="00267EF2">
        <w:rPr>
          <w:rFonts w:ascii="Arial" w:hAnsi="Arial" w:cs="Arial"/>
          <w:b/>
          <w:sz w:val="24"/>
          <w:szCs w:val="24"/>
        </w:rPr>
        <w:t>How to t</w:t>
      </w:r>
      <w:r>
        <w:rPr>
          <w:rFonts w:ascii="Arial" w:hAnsi="Arial" w:cs="Arial"/>
          <w:b/>
          <w:sz w:val="24"/>
          <w:szCs w:val="24"/>
        </w:rPr>
        <w:t>reat</w:t>
      </w:r>
      <w:r w:rsidR="00267EF2">
        <w:rPr>
          <w:rFonts w:ascii="Arial" w:hAnsi="Arial" w:cs="Arial"/>
          <w:b/>
          <w:sz w:val="24"/>
          <w:szCs w:val="24"/>
        </w:rPr>
        <w:t xml:space="preserve"> offenders with </w:t>
      </w:r>
      <w:r>
        <w:rPr>
          <w:rFonts w:ascii="Arial" w:hAnsi="Arial" w:cs="Arial"/>
          <w:b/>
          <w:sz w:val="24"/>
          <w:szCs w:val="24"/>
        </w:rPr>
        <w:t>personality disorder</w:t>
      </w:r>
    </w:p>
    <w:p w14:paraId="1A163D6D" w14:textId="4217C79A" w:rsidR="00E35297" w:rsidRDefault="00E35297" w:rsidP="00EE7A71">
      <w:pPr>
        <w:spacing w:after="0" w:line="360" w:lineRule="auto"/>
        <w:jc w:val="both"/>
        <w:rPr>
          <w:rFonts w:ascii="Arial" w:hAnsi="Arial" w:cs="Arial"/>
          <w:sz w:val="24"/>
          <w:szCs w:val="24"/>
        </w:rPr>
      </w:pPr>
      <w:r w:rsidRPr="00E35297">
        <w:rPr>
          <w:rFonts w:ascii="Arial" w:hAnsi="Arial" w:cs="Arial"/>
          <w:sz w:val="24"/>
          <w:szCs w:val="24"/>
        </w:rPr>
        <w:t>Despite the limited evidence base, a range of psychological interventions have been advocated for antisocial personality disorder, including psychotherapy (Perry et al., 1999), group-based a</w:t>
      </w:r>
      <w:r w:rsidR="00B4754F">
        <w:rPr>
          <w:rFonts w:ascii="Arial" w:hAnsi="Arial" w:cs="Arial"/>
          <w:sz w:val="24"/>
          <w:szCs w:val="24"/>
        </w:rPr>
        <w:t>pproaches (Winship et al., 2007</w:t>
      </w:r>
      <w:r w:rsidRPr="00E35297">
        <w:rPr>
          <w:rFonts w:ascii="Arial" w:hAnsi="Arial" w:cs="Arial"/>
          <w:sz w:val="24"/>
          <w:szCs w:val="24"/>
        </w:rPr>
        <w:t>) and therapeutic communities (Lipton et al, 2002b; Duggan, 2009). The National Institute of Clinical Excellence (NICE) recommends the use of cognitive and behavioural group-based treatment for ASPD</w:t>
      </w:r>
      <w:r w:rsidR="00501809">
        <w:rPr>
          <w:rFonts w:ascii="Arial" w:hAnsi="Arial" w:cs="Arial"/>
          <w:sz w:val="24"/>
          <w:szCs w:val="24"/>
        </w:rPr>
        <w:t xml:space="preserve"> (NICE, 2009</w:t>
      </w:r>
      <w:r w:rsidR="00DD00A5">
        <w:rPr>
          <w:rFonts w:ascii="Arial" w:hAnsi="Arial" w:cs="Arial"/>
          <w:sz w:val="24"/>
          <w:szCs w:val="24"/>
        </w:rPr>
        <w:t>a</w:t>
      </w:r>
      <w:r w:rsidR="00501809">
        <w:rPr>
          <w:rFonts w:ascii="Arial" w:hAnsi="Arial" w:cs="Arial"/>
          <w:sz w:val="24"/>
          <w:szCs w:val="24"/>
        </w:rPr>
        <w:t>).</w:t>
      </w:r>
      <w:r w:rsidRPr="00E35297">
        <w:rPr>
          <w:rFonts w:ascii="Arial" w:hAnsi="Arial" w:cs="Arial"/>
          <w:sz w:val="24"/>
          <w:szCs w:val="24"/>
        </w:rPr>
        <w:t xml:space="preserve"> Multi-agency input and a focus on comorbid problems are also considered key in tre</w:t>
      </w:r>
      <w:r w:rsidR="00501809">
        <w:rPr>
          <w:rFonts w:ascii="Arial" w:hAnsi="Arial" w:cs="Arial"/>
          <w:sz w:val="24"/>
          <w:szCs w:val="24"/>
        </w:rPr>
        <w:t>atment design.</w:t>
      </w:r>
      <w:r w:rsidR="00DD00A5">
        <w:rPr>
          <w:rFonts w:ascii="Arial" w:hAnsi="Arial" w:cs="Arial"/>
          <w:sz w:val="24"/>
          <w:szCs w:val="24"/>
        </w:rPr>
        <w:t xml:space="preserve"> There is a larger evidence base supporting psychological interventions for borderline personality disorder (NICE, 2009b), but limited empirical support for the effectiveness of interventions for other personality disorder categories present at elevated rates in offender populations such as paranoid personality disorder and narcissistic personality disorder(</w:t>
      </w:r>
      <w:r w:rsidR="00DD00A5" w:rsidRPr="00DD00A5">
        <w:rPr>
          <w:rFonts w:ascii="Arial" w:hAnsi="Arial" w:cs="Arial"/>
          <w:sz w:val="24"/>
          <w:szCs w:val="24"/>
        </w:rPr>
        <w:t>Singleton et al., 1998</w:t>
      </w:r>
      <w:r w:rsidR="00DD00A5">
        <w:rPr>
          <w:rFonts w:ascii="Arial" w:hAnsi="Arial" w:cs="Arial"/>
          <w:sz w:val="24"/>
          <w:szCs w:val="24"/>
        </w:rPr>
        <w:t xml:space="preserve">). </w:t>
      </w:r>
    </w:p>
    <w:p w14:paraId="623F32D2" w14:textId="77777777" w:rsidR="00E35297" w:rsidRPr="00E35297" w:rsidRDefault="00E35297" w:rsidP="00EE7A71">
      <w:pPr>
        <w:spacing w:after="0" w:line="360" w:lineRule="auto"/>
        <w:jc w:val="both"/>
        <w:rPr>
          <w:rFonts w:ascii="Arial" w:hAnsi="Arial" w:cs="Arial"/>
          <w:sz w:val="24"/>
          <w:szCs w:val="24"/>
        </w:rPr>
      </w:pPr>
    </w:p>
    <w:p w14:paraId="3E145CEF" w14:textId="15D875FB" w:rsidR="00267EF2" w:rsidRDefault="00E35297" w:rsidP="00267EF2">
      <w:pPr>
        <w:spacing w:after="0" w:line="360" w:lineRule="auto"/>
        <w:jc w:val="both"/>
        <w:rPr>
          <w:rFonts w:ascii="Arial" w:hAnsi="Arial" w:cs="Arial"/>
          <w:sz w:val="24"/>
          <w:szCs w:val="24"/>
        </w:rPr>
      </w:pPr>
      <w:r w:rsidRPr="00E35297">
        <w:rPr>
          <w:rFonts w:ascii="Arial" w:hAnsi="Arial" w:cs="Arial"/>
          <w:sz w:val="24"/>
          <w:szCs w:val="24"/>
        </w:rPr>
        <w:t xml:space="preserve">From a treatment perspective it is not clear whether offending can be reduced independently from improved personality functioning, or whether offending behaviour requires separate interventions. The challenge of treating offenders with personality disorders is that in the majority of cases both a personality disorder and an offending-behaviour focus are required (Howells et al., 2007). </w:t>
      </w:r>
      <w:r w:rsidR="00267EF2" w:rsidRPr="00E35297">
        <w:rPr>
          <w:rFonts w:ascii="Arial" w:hAnsi="Arial" w:cs="Arial"/>
          <w:sz w:val="24"/>
          <w:szCs w:val="24"/>
        </w:rPr>
        <w:t>Although personality disorder is prevalent among prisoners, psychological treatment for this group has been limited. Offenders exhibiting features of ASPD such as deceitfulness and a disregard for societal rules are frequently considered a challenging group for clinicians to manage (Duggan, 2009). People with ASPD have often been found to routinely reject treatment attempts (</w:t>
      </w:r>
      <w:proofErr w:type="spellStart"/>
      <w:r w:rsidR="00267EF2" w:rsidRPr="00E35297">
        <w:rPr>
          <w:rFonts w:ascii="Arial" w:hAnsi="Arial" w:cs="Arial"/>
          <w:sz w:val="24"/>
          <w:szCs w:val="24"/>
        </w:rPr>
        <w:t>Tyrer</w:t>
      </w:r>
      <w:proofErr w:type="spellEnd"/>
      <w:r w:rsidR="00267EF2" w:rsidRPr="00E35297">
        <w:rPr>
          <w:rFonts w:ascii="Arial" w:hAnsi="Arial" w:cs="Arial"/>
          <w:sz w:val="24"/>
          <w:szCs w:val="24"/>
        </w:rPr>
        <w:t xml:space="preserve"> et al., 2003) which has led to low levels of engagement or ‘readiness’ (Howells &amp; Day, 2007). This could be due to an overall lack of motivation or distrust of staff (Sheldon et al., 2010). </w:t>
      </w:r>
      <w:r w:rsidR="00656F50">
        <w:rPr>
          <w:rFonts w:ascii="Arial" w:hAnsi="Arial" w:cs="Arial"/>
          <w:sz w:val="24"/>
          <w:szCs w:val="24"/>
        </w:rPr>
        <w:t xml:space="preserve">Challenges in successfully delivering interventions to offenders is not unique to ASDP. Low engagement and failure to complete interventions is a general feature across offender groups (Howells &amp; Day, 2007). </w:t>
      </w:r>
    </w:p>
    <w:p w14:paraId="60F7C94F" w14:textId="1CF2B77D" w:rsidR="00267EF2" w:rsidRDefault="00267EF2" w:rsidP="00EE7A71">
      <w:pPr>
        <w:spacing w:after="0" w:line="360" w:lineRule="auto"/>
        <w:jc w:val="both"/>
        <w:rPr>
          <w:rFonts w:ascii="Arial" w:hAnsi="Arial" w:cs="Arial"/>
          <w:sz w:val="24"/>
          <w:szCs w:val="24"/>
        </w:rPr>
      </w:pPr>
    </w:p>
    <w:p w14:paraId="1788B963" w14:textId="0BF6A2B3" w:rsidR="00267EF2" w:rsidRPr="00783EB0" w:rsidRDefault="00267EF2" w:rsidP="00783EB0">
      <w:pPr>
        <w:pStyle w:val="ListParagraph"/>
        <w:numPr>
          <w:ilvl w:val="1"/>
          <w:numId w:val="5"/>
        </w:numPr>
        <w:spacing w:after="0" w:line="360" w:lineRule="auto"/>
        <w:jc w:val="both"/>
        <w:rPr>
          <w:rFonts w:ascii="Arial" w:hAnsi="Arial" w:cs="Arial"/>
          <w:b/>
          <w:sz w:val="24"/>
          <w:szCs w:val="24"/>
        </w:rPr>
      </w:pPr>
      <w:r>
        <w:rPr>
          <w:rFonts w:ascii="Arial" w:hAnsi="Arial" w:cs="Arial"/>
          <w:b/>
          <w:sz w:val="24"/>
          <w:szCs w:val="24"/>
        </w:rPr>
        <w:t xml:space="preserve"> The state of evaluations of p</w:t>
      </w:r>
      <w:r w:rsidRPr="00783EB0">
        <w:rPr>
          <w:rFonts w:ascii="Arial" w:hAnsi="Arial" w:cs="Arial"/>
          <w:b/>
          <w:sz w:val="24"/>
          <w:szCs w:val="24"/>
        </w:rPr>
        <w:t>ersonality disorder treatment</w:t>
      </w:r>
    </w:p>
    <w:p w14:paraId="2AA34062" w14:textId="7150F3B6" w:rsidR="00267EF2" w:rsidRDefault="00267EF2" w:rsidP="00267EF2">
      <w:pPr>
        <w:spacing w:after="0" w:line="360" w:lineRule="auto"/>
        <w:jc w:val="both"/>
        <w:rPr>
          <w:rFonts w:ascii="Arial" w:hAnsi="Arial" w:cs="Arial"/>
          <w:sz w:val="24"/>
          <w:szCs w:val="24"/>
        </w:rPr>
      </w:pPr>
      <w:r w:rsidRPr="00267EF2">
        <w:rPr>
          <w:rFonts w:ascii="Arial" w:hAnsi="Arial" w:cs="Arial"/>
          <w:sz w:val="24"/>
          <w:szCs w:val="24"/>
        </w:rPr>
        <w:t xml:space="preserve">There is a paucity of research evaluating psychological interventions for offenders with personality disorder. The majority of studies have focused on borderline personality disorder (BPD). Very few trials have used a sample consisting exclusively of people with ASPD (Duggan et al., 2007; Gibbon et al., 2010). Furthermore only one randomised controlled trial has evaluated a psychological intervention in the community specifically for people with an ASPD diagnosis (Davidson et al., 2009; Gibbon et al., 2010). This found that cognitive behaviour therapy did not reduce levels of aggression over a one year follow up period. </w:t>
      </w:r>
    </w:p>
    <w:p w14:paraId="4B12A386" w14:textId="77777777" w:rsidR="00267EF2" w:rsidRDefault="00267EF2" w:rsidP="00267EF2">
      <w:pPr>
        <w:spacing w:after="0" w:line="360" w:lineRule="auto"/>
        <w:jc w:val="both"/>
        <w:rPr>
          <w:rFonts w:ascii="Arial" w:hAnsi="Arial" w:cs="Arial"/>
          <w:sz w:val="24"/>
          <w:szCs w:val="24"/>
        </w:rPr>
      </w:pPr>
    </w:p>
    <w:p w14:paraId="733CBC91" w14:textId="1F55D47C" w:rsidR="00267EF2" w:rsidRDefault="00267EF2" w:rsidP="00267EF2">
      <w:pPr>
        <w:spacing w:after="0" w:line="360" w:lineRule="auto"/>
        <w:jc w:val="both"/>
        <w:rPr>
          <w:rFonts w:ascii="Arial" w:hAnsi="Arial" w:cs="Arial"/>
          <w:sz w:val="24"/>
          <w:szCs w:val="24"/>
        </w:rPr>
      </w:pPr>
      <w:r>
        <w:rPr>
          <w:rFonts w:ascii="Arial" w:hAnsi="Arial" w:cs="Arial"/>
          <w:sz w:val="24"/>
          <w:szCs w:val="24"/>
        </w:rPr>
        <w:t>In England and Wales, c</w:t>
      </w:r>
      <w:r w:rsidRPr="00E35297">
        <w:rPr>
          <w:rFonts w:ascii="Arial" w:hAnsi="Arial" w:cs="Arial"/>
          <w:sz w:val="24"/>
          <w:szCs w:val="24"/>
        </w:rPr>
        <w:t>hanges to the Mental Health Ac</w:t>
      </w:r>
      <w:r w:rsidR="007F79F3">
        <w:rPr>
          <w:rFonts w:ascii="Arial" w:hAnsi="Arial" w:cs="Arial"/>
          <w:sz w:val="24"/>
          <w:szCs w:val="24"/>
        </w:rPr>
        <w:t xml:space="preserve">t (2007) resulted in clinicians and practitioners </w:t>
      </w:r>
      <w:r w:rsidRPr="00E35297">
        <w:rPr>
          <w:rFonts w:ascii="Arial" w:hAnsi="Arial" w:cs="Arial"/>
          <w:sz w:val="24"/>
          <w:szCs w:val="24"/>
        </w:rPr>
        <w:t>taking more responsibility for overseeing the management and treatment of people</w:t>
      </w:r>
      <w:r>
        <w:rPr>
          <w:rFonts w:ascii="Arial" w:hAnsi="Arial" w:cs="Arial"/>
          <w:sz w:val="24"/>
          <w:szCs w:val="24"/>
        </w:rPr>
        <w:t xml:space="preserve"> with</w:t>
      </w:r>
      <w:r w:rsidRPr="00E35297">
        <w:rPr>
          <w:rFonts w:ascii="Arial" w:hAnsi="Arial" w:cs="Arial"/>
          <w:sz w:val="24"/>
          <w:szCs w:val="24"/>
        </w:rPr>
        <w:t xml:space="preserve"> personality disorder (Beck, 2010). </w:t>
      </w:r>
      <w:r w:rsidR="007F79F3">
        <w:rPr>
          <w:rFonts w:ascii="Arial" w:hAnsi="Arial" w:cs="Arial"/>
          <w:sz w:val="24"/>
          <w:szCs w:val="24"/>
        </w:rPr>
        <w:t>In particular, before the amendments to the Mental Health Act, personality disorder fell within a specific category which required the assessing doctor to be satisfied that the</w:t>
      </w:r>
      <w:r w:rsidR="00F439C4">
        <w:rPr>
          <w:rFonts w:ascii="Arial" w:hAnsi="Arial" w:cs="Arial"/>
          <w:sz w:val="24"/>
          <w:szCs w:val="24"/>
        </w:rPr>
        <w:t xml:space="preserve"> proposed treatment would be</w:t>
      </w:r>
      <w:r w:rsidR="00F439C4" w:rsidRPr="00F439C4">
        <w:rPr>
          <w:rFonts w:ascii="Arial" w:hAnsi="Arial" w:cs="Arial"/>
          <w:sz w:val="24"/>
          <w:szCs w:val="24"/>
        </w:rPr>
        <w:t xml:space="preserve"> likely to alleviate or prevent a deterioration of </w:t>
      </w:r>
      <w:r w:rsidR="00F439C4">
        <w:rPr>
          <w:rFonts w:ascii="Arial" w:hAnsi="Arial" w:cs="Arial"/>
          <w:sz w:val="24"/>
          <w:szCs w:val="24"/>
        </w:rPr>
        <w:t>the patient’s condition</w:t>
      </w:r>
      <w:r w:rsidR="007F79F3">
        <w:rPr>
          <w:rFonts w:ascii="Arial" w:hAnsi="Arial" w:cs="Arial"/>
          <w:sz w:val="24"/>
          <w:szCs w:val="24"/>
        </w:rPr>
        <w:t xml:space="preserve"> before </w:t>
      </w:r>
      <w:r w:rsidR="00F439C4">
        <w:rPr>
          <w:rFonts w:ascii="Arial" w:hAnsi="Arial" w:cs="Arial"/>
          <w:sz w:val="24"/>
          <w:szCs w:val="24"/>
        </w:rPr>
        <w:t>making a recommendation for</w:t>
      </w:r>
      <w:r w:rsidR="007F79F3">
        <w:rPr>
          <w:rFonts w:ascii="Arial" w:hAnsi="Arial" w:cs="Arial"/>
          <w:sz w:val="24"/>
          <w:szCs w:val="24"/>
        </w:rPr>
        <w:t xml:space="preserve"> involuntary detention (a </w:t>
      </w:r>
      <w:r w:rsidR="00F439C4">
        <w:rPr>
          <w:rFonts w:ascii="Arial" w:hAnsi="Arial" w:cs="Arial"/>
          <w:sz w:val="24"/>
          <w:szCs w:val="24"/>
        </w:rPr>
        <w:t>rider</w:t>
      </w:r>
      <w:r w:rsidR="007F79F3">
        <w:rPr>
          <w:rFonts w:ascii="Arial" w:hAnsi="Arial" w:cs="Arial"/>
          <w:sz w:val="24"/>
          <w:szCs w:val="24"/>
        </w:rPr>
        <w:t xml:space="preserve"> that did not apply to mental illness). The legislative change introduced a broad category of ‘mental disorder’ which in effect removed any difference in law between personality disorder and mental illness.  </w:t>
      </w:r>
      <w:r w:rsidRPr="00E35297">
        <w:rPr>
          <w:rFonts w:ascii="Arial" w:hAnsi="Arial" w:cs="Arial"/>
          <w:sz w:val="24"/>
          <w:szCs w:val="24"/>
        </w:rPr>
        <w:t>Preceding this, the lack of support and provision for people with personality disorder became apparent, underlining the need to develop specific services devoted to the assessment and treatment of personality disorder (</w:t>
      </w:r>
      <w:r w:rsidRPr="00AE28EA">
        <w:rPr>
          <w:rFonts w:ascii="Arial" w:hAnsi="Arial" w:cs="Arial"/>
          <w:sz w:val="24"/>
          <w:szCs w:val="24"/>
        </w:rPr>
        <w:t>National Institute for</w:t>
      </w:r>
      <w:r>
        <w:rPr>
          <w:rFonts w:ascii="Arial" w:hAnsi="Arial" w:cs="Arial"/>
          <w:sz w:val="24"/>
          <w:szCs w:val="24"/>
        </w:rPr>
        <w:t xml:space="preserve"> </w:t>
      </w:r>
      <w:r w:rsidRPr="00AE28EA">
        <w:rPr>
          <w:rFonts w:ascii="Arial" w:hAnsi="Arial" w:cs="Arial"/>
          <w:sz w:val="24"/>
          <w:szCs w:val="24"/>
        </w:rPr>
        <w:t xml:space="preserve">Mental Health in England </w:t>
      </w:r>
      <w:r>
        <w:rPr>
          <w:rFonts w:ascii="Arial" w:hAnsi="Arial" w:cs="Arial"/>
          <w:sz w:val="24"/>
          <w:szCs w:val="24"/>
        </w:rPr>
        <w:t>NIMHE, 2003)</w:t>
      </w:r>
      <w:r w:rsidRPr="00E35297">
        <w:rPr>
          <w:rFonts w:ascii="Arial" w:hAnsi="Arial" w:cs="Arial"/>
          <w:sz w:val="24"/>
          <w:szCs w:val="24"/>
        </w:rPr>
        <w:t xml:space="preserve">. Services dedicated to the management and treatment of ‘severe’ personality disorders </w:t>
      </w:r>
      <w:r>
        <w:rPr>
          <w:rFonts w:ascii="Arial" w:hAnsi="Arial" w:cs="Arial"/>
          <w:sz w:val="24"/>
          <w:szCs w:val="24"/>
        </w:rPr>
        <w:t>were</w:t>
      </w:r>
      <w:r w:rsidRPr="00E35297">
        <w:rPr>
          <w:rFonts w:ascii="Arial" w:hAnsi="Arial" w:cs="Arial"/>
          <w:sz w:val="24"/>
          <w:szCs w:val="24"/>
        </w:rPr>
        <w:t xml:space="preserve"> implemented through </w:t>
      </w:r>
      <w:r>
        <w:rPr>
          <w:rFonts w:ascii="Arial" w:hAnsi="Arial" w:cs="Arial"/>
          <w:sz w:val="24"/>
          <w:szCs w:val="24"/>
        </w:rPr>
        <w:t xml:space="preserve">a national programme in England and Wales for offenders </w:t>
      </w:r>
      <w:r w:rsidRPr="00E35297">
        <w:rPr>
          <w:rFonts w:ascii="Arial" w:hAnsi="Arial" w:cs="Arial"/>
          <w:sz w:val="24"/>
          <w:szCs w:val="24"/>
        </w:rPr>
        <w:t xml:space="preserve">who </w:t>
      </w:r>
      <w:r>
        <w:rPr>
          <w:rFonts w:ascii="Arial" w:hAnsi="Arial" w:cs="Arial"/>
          <w:sz w:val="24"/>
          <w:szCs w:val="24"/>
        </w:rPr>
        <w:t>were</w:t>
      </w:r>
      <w:r w:rsidRPr="00E35297">
        <w:rPr>
          <w:rFonts w:ascii="Arial" w:hAnsi="Arial" w:cs="Arial"/>
          <w:sz w:val="24"/>
          <w:szCs w:val="24"/>
        </w:rPr>
        <w:t xml:space="preserve"> considered to be at a high risk of reoffending</w:t>
      </w:r>
      <w:r>
        <w:rPr>
          <w:rFonts w:ascii="Arial" w:hAnsi="Arial" w:cs="Arial"/>
          <w:sz w:val="24"/>
          <w:szCs w:val="24"/>
        </w:rPr>
        <w:t xml:space="preserve"> identified by the non-clinical policy term ‘</w:t>
      </w:r>
      <w:r w:rsidRPr="00E35297">
        <w:rPr>
          <w:rFonts w:ascii="Arial" w:hAnsi="Arial" w:cs="Arial"/>
          <w:sz w:val="24"/>
          <w:szCs w:val="24"/>
        </w:rPr>
        <w:t>Dangerous and Severe Personality Disorder</w:t>
      </w:r>
      <w:r>
        <w:rPr>
          <w:rFonts w:ascii="Arial" w:hAnsi="Arial" w:cs="Arial"/>
          <w:sz w:val="24"/>
          <w:szCs w:val="24"/>
        </w:rPr>
        <w:t>’ (DSPD)</w:t>
      </w:r>
      <w:r w:rsidRPr="00E35297">
        <w:rPr>
          <w:rFonts w:ascii="Arial" w:hAnsi="Arial" w:cs="Arial"/>
          <w:sz w:val="24"/>
          <w:szCs w:val="24"/>
        </w:rPr>
        <w:t xml:space="preserve"> (</w:t>
      </w:r>
      <w:r w:rsidRPr="007B60FB">
        <w:rPr>
          <w:rFonts w:ascii="Arial" w:hAnsi="Arial" w:cs="Arial"/>
          <w:sz w:val="24"/>
          <w:szCs w:val="24"/>
        </w:rPr>
        <w:t>Home Offic</w:t>
      </w:r>
      <w:r>
        <w:rPr>
          <w:rFonts w:ascii="Arial" w:hAnsi="Arial" w:cs="Arial"/>
          <w:sz w:val="24"/>
          <w:szCs w:val="24"/>
        </w:rPr>
        <w:t xml:space="preserve">e and the Department of Health, </w:t>
      </w:r>
      <w:r w:rsidRPr="007B60FB">
        <w:rPr>
          <w:rFonts w:ascii="Arial" w:hAnsi="Arial" w:cs="Arial"/>
          <w:sz w:val="24"/>
          <w:szCs w:val="24"/>
        </w:rPr>
        <w:t>1999</w:t>
      </w:r>
      <w:r w:rsidRPr="00E35297">
        <w:rPr>
          <w:rFonts w:ascii="Arial" w:hAnsi="Arial" w:cs="Arial"/>
          <w:sz w:val="24"/>
          <w:szCs w:val="24"/>
        </w:rPr>
        <w:t xml:space="preserve">). </w:t>
      </w:r>
      <w:r>
        <w:rPr>
          <w:rFonts w:ascii="Arial" w:hAnsi="Arial" w:cs="Arial"/>
          <w:sz w:val="24"/>
          <w:szCs w:val="24"/>
        </w:rPr>
        <w:t>The DSPD programme involved the development of specialist residential units, initially in high secure prisons and hospitals. In addition, community based services</w:t>
      </w:r>
      <w:r w:rsidRPr="00F70114">
        <w:rPr>
          <w:rFonts w:ascii="Arial" w:hAnsi="Arial" w:cs="Arial"/>
          <w:sz w:val="24"/>
          <w:szCs w:val="24"/>
        </w:rPr>
        <w:t xml:space="preserve"> </w:t>
      </w:r>
      <w:r>
        <w:rPr>
          <w:rFonts w:ascii="Arial" w:hAnsi="Arial" w:cs="Arial"/>
          <w:sz w:val="24"/>
          <w:szCs w:val="24"/>
        </w:rPr>
        <w:t xml:space="preserve">were piloted, of which Resettle was one. Innovatively, Resettle was specifically designed to allow evaluation using a randomised controlled trial methodology, which we implement here. </w:t>
      </w:r>
    </w:p>
    <w:p w14:paraId="3FC700BD" w14:textId="77777777" w:rsidR="00EE7A71" w:rsidRDefault="00EE7A71" w:rsidP="00EE7A71">
      <w:pPr>
        <w:spacing w:after="0" w:line="360" w:lineRule="auto"/>
        <w:jc w:val="both"/>
        <w:rPr>
          <w:rFonts w:ascii="Arial" w:hAnsi="Arial" w:cs="Arial"/>
          <w:sz w:val="24"/>
          <w:szCs w:val="24"/>
        </w:rPr>
      </w:pPr>
    </w:p>
    <w:p w14:paraId="4AAFBBB3" w14:textId="3AB61FD0" w:rsidR="00EE7A71" w:rsidRPr="00EE7A71" w:rsidRDefault="00EE7A71" w:rsidP="00EE7A71">
      <w:pPr>
        <w:spacing w:after="0" w:line="360" w:lineRule="auto"/>
        <w:jc w:val="both"/>
        <w:rPr>
          <w:rFonts w:ascii="Arial" w:hAnsi="Arial" w:cs="Arial"/>
          <w:b/>
          <w:sz w:val="24"/>
          <w:szCs w:val="24"/>
        </w:rPr>
      </w:pPr>
      <w:r w:rsidRPr="00EE7A71">
        <w:rPr>
          <w:rFonts w:ascii="Arial" w:hAnsi="Arial" w:cs="Arial"/>
          <w:b/>
          <w:sz w:val="24"/>
          <w:szCs w:val="24"/>
        </w:rPr>
        <w:lastRenderedPageBreak/>
        <w:t xml:space="preserve">1.3 </w:t>
      </w:r>
      <w:r w:rsidR="00267EF2">
        <w:rPr>
          <w:rFonts w:ascii="Arial" w:hAnsi="Arial" w:cs="Arial"/>
          <w:b/>
          <w:sz w:val="24"/>
          <w:szCs w:val="24"/>
        </w:rPr>
        <w:t xml:space="preserve">Resettle </w:t>
      </w:r>
      <w:r w:rsidRPr="00EE7A71">
        <w:rPr>
          <w:rFonts w:ascii="Arial" w:hAnsi="Arial" w:cs="Arial"/>
          <w:b/>
          <w:sz w:val="24"/>
          <w:szCs w:val="24"/>
        </w:rPr>
        <w:t xml:space="preserve">Intervention programme  </w:t>
      </w:r>
    </w:p>
    <w:p w14:paraId="02951DB9" w14:textId="06BFD448" w:rsidR="0053474D" w:rsidRPr="0053474D" w:rsidRDefault="0053474D" w:rsidP="0053474D">
      <w:pPr>
        <w:spacing w:after="0" w:line="360" w:lineRule="auto"/>
        <w:jc w:val="both"/>
        <w:rPr>
          <w:rFonts w:ascii="Arial" w:hAnsi="Arial" w:cs="Arial"/>
          <w:sz w:val="24"/>
          <w:szCs w:val="24"/>
        </w:rPr>
      </w:pPr>
      <w:r w:rsidRPr="0053474D">
        <w:rPr>
          <w:rFonts w:ascii="Arial" w:hAnsi="Arial" w:cs="Arial"/>
          <w:sz w:val="24"/>
          <w:szCs w:val="24"/>
        </w:rPr>
        <w:t>The Resettle programme (formerly known as the Community Risk Assessment and Case Management Service ‘CRACMS’) was jointly funded by the Ministry of Justice and the Department of Health (England and Wales) as part of the Dangerous and Severe Personality Disorder (DSPD) services. The programme commenced in April 2008 and was based in the Merseyside area. The intervention was an intensive, community-based, psychosocial programme for personality disordered offenders with a focus on reducing reoffending, managing risk in the community, improving wellbeing and promoting social inclusion (Miller et al., 2010). Resettle was developed to provide risk assessment and management of men considered to have personality disorders who were identified as high or very high risk of harm to others. All cases were subject to Multi Agency Public Protection Arrangements (MAPPA) through which probation, police and the prison service share responsibility with other agencies for offenders who pose a risk in relation to violent or sexual offending. MAPPA eligibility is defined by National Guidance issued by the Ministry of Justice (MOJ) and National Offender Management Service (NOMS).</w:t>
      </w:r>
    </w:p>
    <w:p w14:paraId="2B5807B3" w14:textId="171B04D5" w:rsidR="00E35297" w:rsidRDefault="00E35297" w:rsidP="00EE7A71">
      <w:pPr>
        <w:spacing w:after="0" w:line="360" w:lineRule="auto"/>
        <w:jc w:val="both"/>
        <w:rPr>
          <w:rFonts w:ascii="Arial" w:hAnsi="Arial" w:cs="Arial"/>
          <w:sz w:val="24"/>
          <w:szCs w:val="24"/>
        </w:rPr>
      </w:pPr>
    </w:p>
    <w:p w14:paraId="4657E15D" w14:textId="77777777" w:rsidR="00EE7A71" w:rsidRDefault="00EE7A71" w:rsidP="00EE7A71">
      <w:pPr>
        <w:spacing w:after="0" w:line="360" w:lineRule="auto"/>
        <w:jc w:val="both"/>
        <w:rPr>
          <w:rFonts w:ascii="Arial" w:hAnsi="Arial" w:cs="Arial"/>
          <w:sz w:val="24"/>
          <w:szCs w:val="24"/>
        </w:rPr>
      </w:pPr>
    </w:p>
    <w:p w14:paraId="346D8055" w14:textId="67E104A8" w:rsidR="00EE7A71" w:rsidRPr="00EE7A71" w:rsidRDefault="00EE7A71" w:rsidP="00EE7A71">
      <w:pPr>
        <w:spacing w:after="0" w:line="360" w:lineRule="auto"/>
        <w:jc w:val="both"/>
        <w:rPr>
          <w:rFonts w:ascii="Arial" w:hAnsi="Arial" w:cs="Arial"/>
          <w:b/>
          <w:sz w:val="24"/>
          <w:szCs w:val="24"/>
        </w:rPr>
      </w:pPr>
      <w:r w:rsidRPr="00EE7A71">
        <w:rPr>
          <w:rFonts w:ascii="Arial" w:hAnsi="Arial" w:cs="Arial"/>
          <w:b/>
          <w:sz w:val="24"/>
          <w:szCs w:val="24"/>
        </w:rPr>
        <w:t xml:space="preserve">1.4 Study objectives </w:t>
      </w:r>
    </w:p>
    <w:p w14:paraId="6B2C2FFF" w14:textId="6F2DDB2E" w:rsidR="00E35297" w:rsidRPr="00E35297" w:rsidRDefault="00897738" w:rsidP="00EE7A71">
      <w:pPr>
        <w:spacing w:after="0" w:line="360" w:lineRule="auto"/>
        <w:jc w:val="both"/>
        <w:rPr>
          <w:rFonts w:ascii="Arial" w:hAnsi="Arial" w:cs="Arial"/>
          <w:sz w:val="24"/>
          <w:szCs w:val="24"/>
        </w:rPr>
      </w:pPr>
      <w:r>
        <w:rPr>
          <w:rFonts w:ascii="Arial" w:hAnsi="Arial" w:cs="Arial"/>
          <w:sz w:val="24"/>
          <w:szCs w:val="24"/>
        </w:rPr>
        <w:t>The objective</w:t>
      </w:r>
      <w:r w:rsidR="00AE7E70">
        <w:rPr>
          <w:rFonts w:ascii="Arial" w:hAnsi="Arial" w:cs="Arial"/>
          <w:sz w:val="24"/>
          <w:szCs w:val="24"/>
        </w:rPr>
        <w:t>s</w:t>
      </w:r>
      <w:r>
        <w:rPr>
          <w:rFonts w:ascii="Arial" w:hAnsi="Arial" w:cs="Arial"/>
          <w:sz w:val="24"/>
          <w:szCs w:val="24"/>
        </w:rPr>
        <w:t xml:space="preserve"> of this study </w:t>
      </w:r>
      <w:r w:rsidR="00AE7E70">
        <w:rPr>
          <w:rFonts w:ascii="Arial" w:hAnsi="Arial" w:cs="Arial"/>
          <w:sz w:val="24"/>
          <w:szCs w:val="24"/>
        </w:rPr>
        <w:t>were</w:t>
      </w:r>
      <w:r>
        <w:rPr>
          <w:rFonts w:ascii="Arial" w:hAnsi="Arial" w:cs="Arial"/>
          <w:sz w:val="24"/>
          <w:szCs w:val="24"/>
        </w:rPr>
        <w:t xml:space="preserve"> to </w:t>
      </w:r>
      <w:proofErr w:type="spellStart"/>
      <w:r w:rsidR="00AE7E70">
        <w:rPr>
          <w:rFonts w:ascii="Arial" w:hAnsi="Arial" w:cs="Arial"/>
          <w:sz w:val="24"/>
          <w:szCs w:val="24"/>
        </w:rPr>
        <w:t>i</w:t>
      </w:r>
      <w:proofErr w:type="spellEnd"/>
      <w:r w:rsidR="00AE7E70">
        <w:rPr>
          <w:rFonts w:ascii="Arial" w:hAnsi="Arial" w:cs="Arial"/>
          <w:sz w:val="24"/>
          <w:szCs w:val="24"/>
        </w:rPr>
        <w:t xml:space="preserve">) </w:t>
      </w:r>
      <w:r w:rsidR="00DD7229">
        <w:rPr>
          <w:rFonts w:ascii="Arial" w:hAnsi="Arial" w:cs="Arial"/>
          <w:sz w:val="24"/>
          <w:szCs w:val="24"/>
        </w:rPr>
        <w:t xml:space="preserve">test </w:t>
      </w:r>
      <w:r w:rsidR="00AE7E70">
        <w:rPr>
          <w:rFonts w:ascii="Arial" w:hAnsi="Arial" w:cs="Arial"/>
          <w:sz w:val="24"/>
          <w:szCs w:val="24"/>
        </w:rPr>
        <w:t>the feasibility of</w:t>
      </w:r>
      <w:r w:rsidR="00DD7229" w:rsidRPr="00DD7229">
        <w:rPr>
          <w:rFonts w:ascii="Arial" w:hAnsi="Arial" w:cs="Arial"/>
          <w:sz w:val="24"/>
          <w:szCs w:val="24"/>
        </w:rPr>
        <w:t xml:space="preserve"> </w:t>
      </w:r>
      <w:r w:rsidR="0038145D">
        <w:rPr>
          <w:rFonts w:ascii="Arial" w:hAnsi="Arial" w:cs="Arial"/>
          <w:sz w:val="24"/>
          <w:szCs w:val="24"/>
        </w:rPr>
        <w:t>a randomised controlled trial</w:t>
      </w:r>
      <w:r w:rsidR="00AE7E70">
        <w:rPr>
          <w:rFonts w:ascii="Arial" w:hAnsi="Arial" w:cs="Arial"/>
          <w:sz w:val="24"/>
          <w:szCs w:val="24"/>
        </w:rPr>
        <w:t xml:space="preserve"> of </w:t>
      </w:r>
      <w:r w:rsidR="00DD7229" w:rsidRPr="00E35297">
        <w:rPr>
          <w:rFonts w:ascii="Arial" w:hAnsi="Arial" w:cs="Arial"/>
          <w:sz w:val="24"/>
          <w:szCs w:val="24"/>
        </w:rPr>
        <w:t xml:space="preserve">a </w:t>
      </w:r>
      <w:r w:rsidR="00DD7229">
        <w:rPr>
          <w:rFonts w:ascii="Arial" w:hAnsi="Arial" w:cs="Arial"/>
          <w:sz w:val="24"/>
          <w:szCs w:val="24"/>
        </w:rPr>
        <w:t xml:space="preserve">complex intervention </w:t>
      </w:r>
      <w:r w:rsidR="00DD7229" w:rsidRPr="00E35297">
        <w:rPr>
          <w:rFonts w:ascii="Arial" w:hAnsi="Arial" w:cs="Arial"/>
          <w:sz w:val="24"/>
          <w:szCs w:val="24"/>
        </w:rPr>
        <w:t xml:space="preserve">designed to </w:t>
      </w:r>
      <w:r w:rsidR="00DD7229">
        <w:rPr>
          <w:rFonts w:ascii="Arial" w:hAnsi="Arial" w:cs="Arial"/>
          <w:sz w:val="24"/>
          <w:szCs w:val="24"/>
        </w:rPr>
        <w:t>address</w:t>
      </w:r>
      <w:r w:rsidR="00DD7229" w:rsidRPr="00E35297">
        <w:rPr>
          <w:rFonts w:ascii="Arial" w:hAnsi="Arial" w:cs="Arial"/>
          <w:sz w:val="24"/>
          <w:szCs w:val="24"/>
        </w:rPr>
        <w:t xml:space="preserve"> personality dysfunction and offending behaviours among high risk personality disordered offenders on release from prison</w:t>
      </w:r>
      <w:r w:rsidR="00A4555A">
        <w:rPr>
          <w:rFonts w:ascii="Arial" w:hAnsi="Arial" w:cs="Arial"/>
          <w:sz w:val="24"/>
          <w:szCs w:val="24"/>
        </w:rPr>
        <w:t>,</w:t>
      </w:r>
      <w:r w:rsidR="00DD7229">
        <w:rPr>
          <w:rFonts w:ascii="Arial" w:hAnsi="Arial" w:cs="Arial"/>
          <w:sz w:val="24"/>
          <w:szCs w:val="24"/>
        </w:rPr>
        <w:t xml:space="preserve"> </w:t>
      </w:r>
      <w:r w:rsidR="00AE7E70">
        <w:rPr>
          <w:rFonts w:ascii="Arial" w:hAnsi="Arial" w:cs="Arial"/>
          <w:sz w:val="24"/>
          <w:szCs w:val="24"/>
        </w:rPr>
        <w:t xml:space="preserve">and ii) gather initial evidence </w:t>
      </w:r>
      <w:r w:rsidR="00AE7E70" w:rsidRPr="00AE7E70">
        <w:rPr>
          <w:rFonts w:ascii="Arial" w:hAnsi="Arial" w:cs="Arial"/>
          <w:sz w:val="24"/>
          <w:szCs w:val="24"/>
        </w:rPr>
        <w:t>regarding possible treatment effects</w:t>
      </w:r>
      <w:r w:rsidR="00E35297" w:rsidRPr="00E35297">
        <w:rPr>
          <w:rFonts w:ascii="Arial" w:hAnsi="Arial" w:cs="Arial"/>
          <w:sz w:val="24"/>
          <w:szCs w:val="24"/>
        </w:rPr>
        <w:t xml:space="preserve">. </w:t>
      </w:r>
    </w:p>
    <w:p w14:paraId="193A3EE7" w14:textId="77777777" w:rsidR="00B8288D" w:rsidRPr="00576202" w:rsidRDefault="00B8288D" w:rsidP="00EE7A71">
      <w:pPr>
        <w:spacing w:after="0" w:line="360" w:lineRule="auto"/>
        <w:jc w:val="both"/>
        <w:rPr>
          <w:rFonts w:ascii="Arial" w:hAnsi="Arial" w:cs="Arial"/>
          <w:b/>
          <w:sz w:val="24"/>
          <w:szCs w:val="24"/>
          <w:u w:val="single"/>
        </w:rPr>
      </w:pPr>
    </w:p>
    <w:p w14:paraId="6A8BE1BB" w14:textId="53C1DCAF" w:rsidR="004F4F2B" w:rsidRDefault="00B8288D" w:rsidP="00783EB0">
      <w:pPr>
        <w:pStyle w:val="ListParagraph"/>
        <w:numPr>
          <w:ilvl w:val="0"/>
          <w:numId w:val="5"/>
        </w:numPr>
        <w:spacing w:after="0" w:line="360" w:lineRule="auto"/>
        <w:jc w:val="both"/>
        <w:rPr>
          <w:rFonts w:ascii="Arial" w:hAnsi="Arial" w:cs="Arial"/>
          <w:b/>
          <w:sz w:val="26"/>
          <w:szCs w:val="26"/>
        </w:rPr>
      </w:pPr>
      <w:r w:rsidRPr="00EE7A71">
        <w:rPr>
          <w:rFonts w:ascii="Arial" w:hAnsi="Arial" w:cs="Arial"/>
          <w:b/>
          <w:sz w:val="26"/>
          <w:szCs w:val="26"/>
        </w:rPr>
        <w:t>M</w:t>
      </w:r>
      <w:r w:rsidR="004F4F2B" w:rsidRPr="00EE7A71">
        <w:rPr>
          <w:rFonts w:ascii="Arial" w:hAnsi="Arial" w:cs="Arial"/>
          <w:b/>
          <w:sz w:val="26"/>
          <w:szCs w:val="26"/>
        </w:rPr>
        <w:t xml:space="preserve">ethod </w:t>
      </w:r>
    </w:p>
    <w:p w14:paraId="39E16D1C" w14:textId="4881FBD5" w:rsidR="00EE7A71" w:rsidRPr="00EE7A71" w:rsidRDefault="00F66C26" w:rsidP="00783EB0">
      <w:pPr>
        <w:pStyle w:val="ListParagraph"/>
        <w:numPr>
          <w:ilvl w:val="1"/>
          <w:numId w:val="5"/>
        </w:numPr>
        <w:spacing w:after="0" w:line="360" w:lineRule="auto"/>
        <w:jc w:val="both"/>
        <w:rPr>
          <w:rFonts w:ascii="Arial" w:hAnsi="Arial" w:cs="Arial"/>
          <w:b/>
          <w:sz w:val="24"/>
          <w:szCs w:val="24"/>
        </w:rPr>
      </w:pPr>
      <w:r w:rsidRPr="00EE7A71">
        <w:rPr>
          <w:rFonts w:ascii="Arial" w:hAnsi="Arial" w:cs="Arial"/>
          <w:b/>
          <w:sz w:val="24"/>
          <w:szCs w:val="24"/>
        </w:rPr>
        <w:t xml:space="preserve">Trial design </w:t>
      </w:r>
    </w:p>
    <w:p w14:paraId="09FCE414" w14:textId="25514201" w:rsidR="004F4F2B" w:rsidRPr="00576202" w:rsidRDefault="004F4F2B" w:rsidP="00EE7A71">
      <w:pPr>
        <w:spacing w:after="0" w:line="360" w:lineRule="auto"/>
        <w:jc w:val="both"/>
        <w:rPr>
          <w:rFonts w:ascii="Arial" w:hAnsi="Arial" w:cs="Arial"/>
          <w:sz w:val="24"/>
          <w:szCs w:val="24"/>
        </w:rPr>
      </w:pPr>
      <w:r w:rsidRPr="00576202">
        <w:rPr>
          <w:rFonts w:ascii="Arial" w:hAnsi="Arial" w:cs="Arial"/>
          <w:sz w:val="24"/>
          <w:szCs w:val="24"/>
        </w:rPr>
        <w:t xml:space="preserve">This study was a phase II exploratory </w:t>
      </w:r>
      <w:r w:rsidR="00B8288D" w:rsidRPr="00576202">
        <w:rPr>
          <w:rFonts w:ascii="Arial" w:hAnsi="Arial" w:cs="Arial"/>
          <w:sz w:val="24"/>
          <w:szCs w:val="24"/>
        </w:rPr>
        <w:t>randomised controlled trial</w:t>
      </w:r>
      <w:r w:rsidRPr="00576202">
        <w:rPr>
          <w:rFonts w:ascii="Arial" w:hAnsi="Arial" w:cs="Arial"/>
          <w:sz w:val="24"/>
          <w:szCs w:val="24"/>
        </w:rPr>
        <w:t xml:space="preserve"> </w:t>
      </w:r>
      <w:r w:rsidR="00B8288D" w:rsidRPr="00576202">
        <w:rPr>
          <w:rFonts w:ascii="Arial" w:hAnsi="Arial" w:cs="Arial"/>
          <w:sz w:val="24"/>
          <w:szCs w:val="24"/>
        </w:rPr>
        <w:t xml:space="preserve">(Medical Research Council, 2000) </w:t>
      </w:r>
      <w:r w:rsidRPr="00576202">
        <w:rPr>
          <w:rFonts w:ascii="Arial" w:hAnsi="Arial" w:cs="Arial"/>
          <w:sz w:val="24"/>
          <w:szCs w:val="24"/>
        </w:rPr>
        <w:t xml:space="preserve">of a treatment programme (Resettle) designed to </w:t>
      </w:r>
      <w:r w:rsidR="00B8288D" w:rsidRPr="00576202">
        <w:rPr>
          <w:rFonts w:ascii="Arial" w:hAnsi="Arial" w:cs="Arial"/>
          <w:sz w:val="24"/>
          <w:szCs w:val="24"/>
        </w:rPr>
        <w:t xml:space="preserve">reduce reoffending by treating personality dysfunction and addressing offending </w:t>
      </w:r>
      <w:r w:rsidRPr="00576202">
        <w:rPr>
          <w:rFonts w:ascii="Arial" w:hAnsi="Arial" w:cs="Arial"/>
          <w:sz w:val="24"/>
          <w:szCs w:val="24"/>
        </w:rPr>
        <w:t>among high</w:t>
      </w:r>
      <w:r w:rsidR="00675C96">
        <w:rPr>
          <w:rFonts w:ascii="Arial" w:hAnsi="Arial" w:cs="Arial"/>
          <w:sz w:val="24"/>
          <w:szCs w:val="24"/>
        </w:rPr>
        <w:t>-</w:t>
      </w:r>
      <w:r w:rsidRPr="00576202">
        <w:rPr>
          <w:rFonts w:ascii="Arial" w:hAnsi="Arial" w:cs="Arial"/>
          <w:sz w:val="24"/>
          <w:szCs w:val="24"/>
        </w:rPr>
        <w:t>risk personality disordered offenders released from prison</w:t>
      </w:r>
      <w:r w:rsidR="00B8288D" w:rsidRPr="00576202">
        <w:rPr>
          <w:rFonts w:ascii="Arial" w:hAnsi="Arial" w:cs="Arial"/>
          <w:sz w:val="24"/>
          <w:szCs w:val="24"/>
        </w:rPr>
        <w:t xml:space="preserve"> (trial registration: ISRCTN00991963)</w:t>
      </w:r>
      <w:r w:rsidRPr="00576202">
        <w:rPr>
          <w:rFonts w:ascii="Arial" w:hAnsi="Arial" w:cs="Arial"/>
          <w:sz w:val="24"/>
          <w:szCs w:val="24"/>
        </w:rPr>
        <w:t xml:space="preserve">. </w:t>
      </w:r>
      <w:r w:rsidR="00686F67" w:rsidRPr="00576202">
        <w:rPr>
          <w:rFonts w:ascii="Arial" w:hAnsi="Arial" w:cs="Arial"/>
          <w:sz w:val="24"/>
          <w:szCs w:val="24"/>
        </w:rPr>
        <w:t xml:space="preserve">The design, eligibility criteria and primary outcome measure were not modified from the registered study protocol. </w:t>
      </w:r>
      <w:r w:rsidR="00F66C26" w:rsidRPr="00576202">
        <w:rPr>
          <w:rFonts w:ascii="Arial" w:hAnsi="Arial" w:cs="Arial"/>
          <w:sz w:val="24"/>
          <w:szCs w:val="24"/>
        </w:rPr>
        <w:t>Recruitment took place in prison and follow-</w:t>
      </w:r>
      <w:r w:rsidR="00DB4D2D" w:rsidRPr="00576202">
        <w:rPr>
          <w:rFonts w:ascii="Arial" w:hAnsi="Arial" w:cs="Arial"/>
          <w:sz w:val="24"/>
          <w:szCs w:val="24"/>
        </w:rPr>
        <w:t xml:space="preserve">up assessments </w:t>
      </w:r>
      <w:r w:rsidR="002A1B4A" w:rsidRPr="00576202">
        <w:rPr>
          <w:rFonts w:ascii="Arial" w:hAnsi="Arial" w:cs="Arial"/>
          <w:sz w:val="24"/>
          <w:szCs w:val="24"/>
        </w:rPr>
        <w:t>were</w:t>
      </w:r>
      <w:r w:rsidR="00DB4D2D" w:rsidRPr="00576202">
        <w:rPr>
          <w:rFonts w:ascii="Arial" w:hAnsi="Arial" w:cs="Arial"/>
          <w:sz w:val="24"/>
          <w:szCs w:val="24"/>
        </w:rPr>
        <w:t xml:space="preserve"> conducted at 1 and 2 years after release. </w:t>
      </w:r>
    </w:p>
    <w:p w14:paraId="6F25B66C" w14:textId="77777777" w:rsidR="00686F67" w:rsidRPr="00576202" w:rsidRDefault="00686F67" w:rsidP="00EE7A71">
      <w:pPr>
        <w:spacing w:after="0" w:line="360" w:lineRule="auto"/>
        <w:jc w:val="both"/>
        <w:rPr>
          <w:rFonts w:ascii="Arial" w:hAnsi="Arial" w:cs="Arial"/>
          <w:sz w:val="24"/>
          <w:szCs w:val="24"/>
        </w:rPr>
      </w:pPr>
    </w:p>
    <w:p w14:paraId="2CEB5332" w14:textId="4BA75B66" w:rsidR="006168E7" w:rsidRPr="00EE7A71" w:rsidRDefault="00F66C26" w:rsidP="00783EB0">
      <w:pPr>
        <w:pStyle w:val="ListParagraph"/>
        <w:numPr>
          <w:ilvl w:val="1"/>
          <w:numId w:val="5"/>
        </w:numPr>
        <w:spacing w:after="0" w:line="360" w:lineRule="auto"/>
        <w:jc w:val="both"/>
        <w:rPr>
          <w:rFonts w:ascii="Arial" w:hAnsi="Arial" w:cs="Arial"/>
          <w:b/>
          <w:sz w:val="24"/>
          <w:szCs w:val="24"/>
        </w:rPr>
      </w:pPr>
      <w:r w:rsidRPr="00EE7A71">
        <w:rPr>
          <w:rFonts w:ascii="Arial" w:hAnsi="Arial" w:cs="Arial"/>
          <w:b/>
          <w:sz w:val="24"/>
          <w:szCs w:val="24"/>
        </w:rPr>
        <w:t xml:space="preserve">Recruitment and randomisation </w:t>
      </w:r>
    </w:p>
    <w:p w14:paraId="5AE37257" w14:textId="12E2D870" w:rsidR="004F4F2B" w:rsidRDefault="00F66C26" w:rsidP="00EE7A71">
      <w:pPr>
        <w:spacing w:after="0" w:line="360" w:lineRule="auto"/>
        <w:jc w:val="both"/>
        <w:rPr>
          <w:rFonts w:ascii="Arial" w:hAnsi="Arial" w:cs="Arial"/>
          <w:sz w:val="24"/>
          <w:szCs w:val="24"/>
        </w:rPr>
      </w:pPr>
      <w:r w:rsidRPr="00576202">
        <w:rPr>
          <w:rFonts w:ascii="Arial" w:hAnsi="Arial" w:cs="Arial"/>
          <w:sz w:val="24"/>
          <w:szCs w:val="24"/>
        </w:rPr>
        <w:t xml:space="preserve">Potential participants were identified through probation offices </w:t>
      </w:r>
      <w:r w:rsidR="00DB6778" w:rsidRPr="00576202">
        <w:rPr>
          <w:rFonts w:ascii="Arial" w:hAnsi="Arial" w:cs="Arial"/>
          <w:sz w:val="24"/>
          <w:szCs w:val="24"/>
        </w:rPr>
        <w:t>which</w:t>
      </w:r>
      <w:r w:rsidRPr="00576202">
        <w:rPr>
          <w:rFonts w:ascii="Arial" w:hAnsi="Arial" w:cs="Arial"/>
          <w:sz w:val="24"/>
          <w:szCs w:val="24"/>
        </w:rPr>
        <w:t xml:space="preserve"> have complete records of all offending males in prison. Recruitment occurred between May 2008 and May 2013</w:t>
      </w:r>
      <w:r w:rsidR="00C9460D" w:rsidRPr="00576202">
        <w:rPr>
          <w:rFonts w:ascii="Arial" w:hAnsi="Arial" w:cs="Arial"/>
          <w:sz w:val="24"/>
          <w:szCs w:val="24"/>
        </w:rPr>
        <w:t xml:space="preserve"> across a region in the North West of England.</w:t>
      </w:r>
      <w:r w:rsidR="0063106C" w:rsidRPr="00576202">
        <w:rPr>
          <w:rFonts w:ascii="Arial" w:hAnsi="Arial" w:cs="Arial"/>
          <w:sz w:val="24"/>
          <w:szCs w:val="24"/>
        </w:rPr>
        <w:t xml:space="preserve"> </w:t>
      </w:r>
      <w:r w:rsidR="00DB6778" w:rsidRPr="00576202">
        <w:rPr>
          <w:rFonts w:ascii="Arial" w:hAnsi="Arial" w:cs="Arial"/>
          <w:sz w:val="24"/>
          <w:szCs w:val="24"/>
        </w:rPr>
        <w:t>O</w:t>
      </w:r>
      <w:r w:rsidR="0063106C" w:rsidRPr="00576202">
        <w:rPr>
          <w:rFonts w:ascii="Arial" w:hAnsi="Arial" w:cs="Arial"/>
          <w:sz w:val="24"/>
          <w:szCs w:val="24"/>
        </w:rPr>
        <w:t>ffender managers</w:t>
      </w:r>
      <w:r w:rsidR="00681373">
        <w:rPr>
          <w:rFonts w:ascii="Arial" w:hAnsi="Arial" w:cs="Arial"/>
          <w:sz w:val="24"/>
          <w:szCs w:val="24"/>
        </w:rPr>
        <w:t xml:space="preserve"> </w:t>
      </w:r>
      <w:r w:rsidR="00681373" w:rsidRPr="00576202">
        <w:rPr>
          <w:rFonts w:ascii="Arial" w:hAnsi="Arial" w:cs="Arial"/>
          <w:sz w:val="24"/>
          <w:szCs w:val="24"/>
        </w:rPr>
        <w:t>were asked to identify potential participants who were (1) over 18; (2) likely to have personality disorder; and (3) identified in need of  multi-agency risk management arrangements (MAPPA) and hence high risk</w:t>
      </w:r>
      <w:r w:rsidR="00CA14AF">
        <w:rPr>
          <w:rFonts w:ascii="Arial" w:hAnsi="Arial" w:cs="Arial"/>
          <w:sz w:val="24"/>
          <w:szCs w:val="24"/>
        </w:rPr>
        <w:t>. Offender managers</w:t>
      </w:r>
      <w:r w:rsidR="0063106C" w:rsidRPr="00576202">
        <w:rPr>
          <w:rFonts w:ascii="Arial" w:hAnsi="Arial" w:cs="Arial"/>
          <w:sz w:val="24"/>
          <w:szCs w:val="24"/>
        </w:rPr>
        <w:t xml:space="preserve"> have overall responsibility</w:t>
      </w:r>
      <w:r w:rsidR="00DB6778" w:rsidRPr="00576202">
        <w:rPr>
          <w:rFonts w:ascii="Arial" w:hAnsi="Arial" w:cs="Arial"/>
          <w:sz w:val="24"/>
          <w:szCs w:val="24"/>
        </w:rPr>
        <w:t xml:space="preserve"> for offenders</w:t>
      </w:r>
      <w:r w:rsidR="0063106C" w:rsidRPr="00576202">
        <w:rPr>
          <w:rFonts w:ascii="Arial" w:hAnsi="Arial" w:cs="Arial"/>
          <w:sz w:val="24"/>
          <w:szCs w:val="24"/>
        </w:rPr>
        <w:t xml:space="preserve"> over a substantial </w:t>
      </w:r>
      <w:r w:rsidR="00005BFF" w:rsidRPr="00576202">
        <w:rPr>
          <w:rFonts w:ascii="Arial" w:hAnsi="Arial" w:cs="Arial"/>
          <w:sz w:val="24"/>
          <w:szCs w:val="24"/>
        </w:rPr>
        <w:t>period</w:t>
      </w:r>
      <w:r w:rsidR="0063106C" w:rsidRPr="00576202">
        <w:rPr>
          <w:rFonts w:ascii="Arial" w:hAnsi="Arial" w:cs="Arial"/>
          <w:sz w:val="24"/>
          <w:szCs w:val="24"/>
        </w:rPr>
        <w:t xml:space="preserve"> for </w:t>
      </w:r>
      <w:r w:rsidR="00C406B0" w:rsidRPr="00576202">
        <w:rPr>
          <w:rFonts w:ascii="Arial" w:hAnsi="Arial" w:cs="Arial"/>
          <w:sz w:val="24"/>
          <w:szCs w:val="24"/>
        </w:rPr>
        <w:t>release</w:t>
      </w:r>
      <w:r w:rsidR="0063106C" w:rsidRPr="00576202">
        <w:rPr>
          <w:rFonts w:ascii="Arial" w:hAnsi="Arial" w:cs="Arial"/>
          <w:sz w:val="24"/>
          <w:szCs w:val="24"/>
        </w:rPr>
        <w:t xml:space="preserve"> and follow up</w:t>
      </w:r>
      <w:r w:rsidR="00164D08">
        <w:rPr>
          <w:rFonts w:ascii="Arial" w:hAnsi="Arial" w:cs="Arial"/>
          <w:sz w:val="24"/>
          <w:szCs w:val="24"/>
        </w:rPr>
        <w:t>,</w:t>
      </w:r>
      <w:r w:rsidR="00CA14AF">
        <w:rPr>
          <w:rFonts w:ascii="Arial" w:hAnsi="Arial" w:cs="Arial"/>
          <w:sz w:val="24"/>
          <w:szCs w:val="24"/>
        </w:rPr>
        <w:t xml:space="preserve"> so were deemed best able to make recommendations.</w:t>
      </w:r>
      <w:r w:rsidR="00DB6778" w:rsidRPr="00576202">
        <w:rPr>
          <w:rFonts w:ascii="Arial" w:hAnsi="Arial" w:cs="Arial"/>
          <w:sz w:val="24"/>
          <w:szCs w:val="24"/>
        </w:rPr>
        <w:t xml:space="preserve"> </w:t>
      </w:r>
      <w:r w:rsidR="00D050F7">
        <w:rPr>
          <w:rFonts w:ascii="Arial" w:hAnsi="Arial" w:cs="Arial"/>
          <w:sz w:val="24"/>
          <w:szCs w:val="24"/>
        </w:rPr>
        <w:t>A</w:t>
      </w:r>
      <w:r w:rsidR="00E8271C">
        <w:rPr>
          <w:rFonts w:ascii="Arial" w:hAnsi="Arial" w:cs="Arial"/>
          <w:sz w:val="24"/>
          <w:szCs w:val="24"/>
        </w:rPr>
        <w:t xml:space="preserve"> checklist</w:t>
      </w:r>
      <w:r w:rsidR="00D050F7">
        <w:rPr>
          <w:rFonts w:ascii="Arial" w:hAnsi="Arial" w:cs="Arial"/>
          <w:sz w:val="24"/>
          <w:szCs w:val="24"/>
        </w:rPr>
        <w:t>, which</w:t>
      </w:r>
      <w:r w:rsidR="00E8271C">
        <w:rPr>
          <w:rFonts w:ascii="Arial" w:hAnsi="Arial" w:cs="Arial"/>
          <w:sz w:val="24"/>
          <w:szCs w:val="24"/>
        </w:rPr>
        <w:t xml:space="preserve"> </w:t>
      </w:r>
      <w:r w:rsidR="00D050F7">
        <w:rPr>
          <w:rFonts w:ascii="Arial" w:hAnsi="Arial" w:cs="Arial"/>
          <w:sz w:val="24"/>
          <w:szCs w:val="24"/>
        </w:rPr>
        <w:t>was</w:t>
      </w:r>
      <w:r w:rsidR="00D050F7" w:rsidRPr="006E60B6">
        <w:rPr>
          <w:rFonts w:ascii="Arial" w:hAnsi="Arial" w:cs="Arial"/>
          <w:sz w:val="24"/>
          <w:szCs w:val="24"/>
        </w:rPr>
        <w:t xml:space="preserve"> </w:t>
      </w:r>
      <w:r w:rsidR="00D050F7">
        <w:rPr>
          <w:rFonts w:ascii="Arial" w:hAnsi="Arial" w:cs="Arial"/>
          <w:sz w:val="24"/>
          <w:szCs w:val="24"/>
        </w:rPr>
        <w:t>developed by Resettle,</w:t>
      </w:r>
      <w:r w:rsidR="00D050F7" w:rsidRPr="00D050F7">
        <w:rPr>
          <w:rFonts w:ascii="Arial" w:hAnsi="Arial" w:cs="Arial"/>
          <w:sz w:val="24"/>
          <w:szCs w:val="24"/>
        </w:rPr>
        <w:t xml:space="preserve"> </w:t>
      </w:r>
      <w:r w:rsidR="00D050F7">
        <w:rPr>
          <w:rFonts w:ascii="Arial" w:hAnsi="Arial" w:cs="Arial"/>
          <w:sz w:val="24"/>
          <w:szCs w:val="24"/>
        </w:rPr>
        <w:t>was used to identify likely personality disorder</w:t>
      </w:r>
      <w:r w:rsidR="005C4FB0">
        <w:rPr>
          <w:rFonts w:ascii="Arial" w:hAnsi="Arial" w:cs="Arial"/>
          <w:sz w:val="24"/>
          <w:szCs w:val="24"/>
        </w:rPr>
        <w:t>. The checklist used</w:t>
      </w:r>
      <w:r w:rsidR="00D050F7" w:rsidDel="006E60B6">
        <w:rPr>
          <w:rFonts w:ascii="Arial" w:hAnsi="Arial" w:cs="Arial"/>
          <w:sz w:val="24"/>
          <w:szCs w:val="24"/>
        </w:rPr>
        <w:t xml:space="preserve"> </w:t>
      </w:r>
      <w:r w:rsidR="00A06A6B">
        <w:rPr>
          <w:rFonts w:ascii="Arial" w:hAnsi="Arial" w:cs="Arial"/>
          <w:sz w:val="24"/>
          <w:szCs w:val="24"/>
        </w:rPr>
        <w:t xml:space="preserve">information </w:t>
      </w:r>
      <w:r w:rsidR="005C4FB0">
        <w:rPr>
          <w:rFonts w:ascii="Arial" w:hAnsi="Arial" w:cs="Arial"/>
          <w:sz w:val="24"/>
          <w:szCs w:val="24"/>
        </w:rPr>
        <w:t xml:space="preserve">already </w:t>
      </w:r>
      <w:r w:rsidR="00A06A6B">
        <w:rPr>
          <w:rFonts w:ascii="Arial" w:hAnsi="Arial" w:cs="Arial"/>
          <w:sz w:val="24"/>
          <w:szCs w:val="24"/>
        </w:rPr>
        <w:t xml:space="preserve">contained in a standardised probation risk assessment tool. </w:t>
      </w:r>
      <w:r w:rsidR="00E8271C">
        <w:rPr>
          <w:rFonts w:ascii="Arial" w:hAnsi="Arial" w:cs="Arial"/>
          <w:sz w:val="24"/>
          <w:szCs w:val="24"/>
        </w:rPr>
        <w:t xml:space="preserve">Senior Resettle practitioners </w:t>
      </w:r>
      <w:r w:rsidR="00A06A6B">
        <w:rPr>
          <w:rFonts w:ascii="Arial" w:hAnsi="Arial" w:cs="Arial"/>
          <w:sz w:val="24"/>
          <w:szCs w:val="24"/>
        </w:rPr>
        <w:t xml:space="preserve">delivered training sessions to offender manager teams </w:t>
      </w:r>
      <w:r w:rsidR="002047A0">
        <w:rPr>
          <w:rFonts w:ascii="Arial" w:hAnsi="Arial" w:cs="Arial"/>
          <w:sz w:val="24"/>
          <w:szCs w:val="24"/>
        </w:rPr>
        <w:t>regarding</w:t>
      </w:r>
      <w:r w:rsidR="00A06A6B">
        <w:rPr>
          <w:rFonts w:ascii="Arial" w:hAnsi="Arial" w:cs="Arial"/>
          <w:sz w:val="24"/>
          <w:szCs w:val="24"/>
        </w:rPr>
        <w:t xml:space="preserve"> identification of personality disorder amongst offenders</w:t>
      </w:r>
      <w:r w:rsidR="00E8271C">
        <w:rPr>
          <w:rFonts w:ascii="Arial" w:hAnsi="Arial" w:cs="Arial"/>
          <w:sz w:val="24"/>
          <w:szCs w:val="24"/>
        </w:rPr>
        <w:t xml:space="preserve">.  </w:t>
      </w:r>
      <w:r w:rsidR="00C406B0" w:rsidRPr="00576202">
        <w:rPr>
          <w:rFonts w:ascii="Arial" w:hAnsi="Arial" w:cs="Arial"/>
          <w:sz w:val="24"/>
          <w:szCs w:val="24"/>
        </w:rPr>
        <w:t xml:space="preserve">Thus </w:t>
      </w:r>
      <w:r w:rsidR="002047A0">
        <w:rPr>
          <w:rFonts w:ascii="Arial" w:hAnsi="Arial" w:cs="Arial"/>
          <w:sz w:val="24"/>
          <w:szCs w:val="24"/>
        </w:rPr>
        <w:t>the final</w:t>
      </w:r>
      <w:r w:rsidR="002047A0" w:rsidRPr="00576202">
        <w:rPr>
          <w:rFonts w:ascii="Arial" w:hAnsi="Arial" w:cs="Arial"/>
          <w:sz w:val="24"/>
          <w:szCs w:val="24"/>
        </w:rPr>
        <w:t xml:space="preserve"> </w:t>
      </w:r>
      <w:r w:rsidR="00C406B0" w:rsidRPr="00576202">
        <w:rPr>
          <w:rFonts w:ascii="Arial" w:hAnsi="Arial" w:cs="Arial"/>
          <w:sz w:val="24"/>
          <w:szCs w:val="24"/>
        </w:rPr>
        <w:t xml:space="preserve">sample was defined in terms of a broad assessment of risk and of antisocial personality disorder. </w:t>
      </w:r>
      <w:r w:rsidR="00C9460D" w:rsidRPr="00576202">
        <w:rPr>
          <w:rFonts w:ascii="Arial" w:hAnsi="Arial" w:cs="Arial"/>
          <w:sz w:val="24"/>
          <w:szCs w:val="24"/>
        </w:rPr>
        <w:t xml:space="preserve">Exclusion criteria were severe intellectual impairment or psychotic mental illness identified from a review of the records or from the initial baseline assessment. </w:t>
      </w:r>
    </w:p>
    <w:p w14:paraId="62A650E4" w14:textId="77777777" w:rsidR="00576202" w:rsidRPr="00576202" w:rsidRDefault="00576202" w:rsidP="00EE7A71">
      <w:pPr>
        <w:spacing w:after="0" w:line="360" w:lineRule="auto"/>
        <w:jc w:val="both"/>
        <w:rPr>
          <w:rFonts w:ascii="Arial" w:hAnsi="Arial" w:cs="Arial"/>
          <w:sz w:val="24"/>
          <w:szCs w:val="24"/>
        </w:rPr>
      </w:pPr>
    </w:p>
    <w:p w14:paraId="217A1A24" w14:textId="2FFBDD23" w:rsidR="00C46643" w:rsidRPr="00576202" w:rsidRDefault="00C406B0" w:rsidP="00EE7A71">
      <w:pPr>
        <w:spacing w:after="0" w:line="360" w:lineRule="auto"/>
        <w:jc w:val="both"/>
        <w:rPr>
          <w:rFonts w:ascii="Arial" w:hAnsi="Arial" w:cs="Arial"/>
          <w:sz w:val="24"/>
          <w:szCs w:val="24"/>
        </w:rPr>
      </w:pPr>
      <w:r w:rsidRPr="00576202">
        <w:rPr>
          <w:rFonts w:ascii="Arial" w:hAnsi="Arial" w:cs="Arial"/>
          <w:sz w:val="24"/>
          <w:szCs w:val="24"/>
        </w:rPr>
        <w:t xml:space="preserve">Following identification, the offender manager met with the potential participant to ask whether he agreed to meet the researcher. Where consent was obtained, the researcher met with the subject in the prison where they were residing. </w:t>
      </w:r>
      <w:r w:rsidR="00E963B4" w:rsidRPr="00576202">
        <w:rPr>
          <w:rFonts w:ascii="Arial" w:hAnsi="Arial" w:cs="Arial"/>
          <w:sz w:val="24"/>
          <w:szCs w:val="24"/>
        </w:rPr>
        <w:t>Although subjects were identified by virtue of the fact</w:t>
      </w:r>
      <w:r w:rsidR="00576202">
        <w:rPr>
          <w:rFonts w:ascii="Arial" w:hAnsi="Arial" w:cs="Arial"/>
          <w:sz w:val="24"/>
          <w:szCs w:val="24"/>
        </w:rPr>
        <w:t xml:space="preserve"> they were returning to the Mer</w:t>
      </w:r>
      <w:r w:rsidR="00E963B4" w:rsidRPr="00576202">
        <w:rPr>
          <w:rFonts w:ascii="Arial" w:hAnsi="Arial" w:cs="Arial"/>
          <w:sz w:val="24"/>
          <w:szCs w:val="24"/>
        </w:rPr>
        <w:t xml:space="preserve">seyside area, when in custody they were distributed </w:t>
      </w:r>
      <w:r w:rsidR="00164D08">
        <w:rPr>
          <w:rFonts w:ascii="Arial" w:hAnsi="Arial" w:cs="Arial"/>
          <w:sz w:val="24"/>
          <w:szCs w:val="24"/>
        </w:rPr>
        <w:t>amongst</w:t>
      </w:r>
      <w:r w:rsidR="00E963B4" w:rsidRPr="00576202">
        <w:rPr>
          <w:rFonts w:ascii="Arial" w:hAnsi="Arial" w:cs="Arial"/>
          <w:sz w:val="24"/>
          <w:szCs w:val="24"/>
        </w:rPr>
        <w:t xml:space="preserve"> a wide range of </w:t>
      </w:r>
      <w:r w:rsidR="0038145D" w:rsidRPr="00576202">
        <w:rPr>
          <w:rFonts w:ascii="Arial" w:hAnsi="Arial" w:cs="Arial"/>
          <w:sz w:val="24"/>
          <w:szCs w:val="24"/>
        </w:rPr>
        <w:t>prisons across</w:t>
      </w:r>
      <w:r w:rsidR="00164D08">
        <w:rPr>
          <w:rFonts w:ascii="Arial" w:hAnsi="Arial" w:cs="Arial"/>
          <w:sz w:val="24"/>
          <w:szCs w:val="24"/>
        </w:rPr>
        <w:t xml:space="preserve"> </w:t>
      </w:r>
      <w:r w:rsidR="00E963B4" w:rsidRPr="00576202">
        <w:rPr>
          <w:rFonts w:ascii="Arial" w:hAnsi="Arial" w:cs="Arial"/>
          <w:sz w:val="24"/>
          <w:szCs w:val="24"/>
        </w:rPr>
        <w:t xml:space="preserve">England. </w:t>
      </w:r>
      <w:r w:rsidR="00EE61E4" w:rsidRPr="00576202">
        <w:rPr>
          <w:rFonts w:ascii="Arial" w:hAnsi="Arial" w:cs="Arial"/>
          <w:sz w:val="24"/>
          <w:szCs w:val="24"/>
        </w:rPr>
        <w:t xml:space="preserve">In the course of the study, twenty-one prisons were visited. Due to the large number </w:t>
      </w:r>
      <w:r w:rsidR="00E963B4" w:rsidRPr="00576202">
        <w:rPr>
          <w:rFonts w:ascii="Arial" w:hAnsi="Arial" w:cs="Arial"/>
          <w:sz w:val="24"/>
          <w:szCs w:val="24"/>
        </w:rPr>
        <w:t>of prisons and the fact</w:t>
      </w:r>
      <w:r w:rsidR="00BD2BA8">
        <w:rPr>
          <w:rFonts w:ascii="Arial" w:hAnsi="Arial" w:cs="Arial"/>
          <w:sz w:val="24"/>
          <w:szCs w:val="24"/>
        </w:rPr>
        <w:t xml:space="preserve"> that</w:t>
      </w:r>
      <w:r w:rsidR="00E963B4" w:rsidRPr="00576202">
        <w:rPr>
          <w:rFonts w:ascii="Arial" w:hAnsi="Arial" w:cs="Arial"/>
          <w:sz w:val="24"/>
          <w:szCs w:val="24"/>
        </w:rPr>
        <w:t xml:space="preserve"> the locations of the prisoners were not known in advance of offender manager identification and consent, i</w:t>
      </w:r>
      <w:r w:rsidR="00EE61E4" w:rsidRPr="00576202">
        <w:rPr>
          <w:rFonts w:ascii="Arial" w:hAnsi="Arial" w:cs="Arial"/>
          <w:sz w:val="24"/>
          <w:szCs w:val="24"/>
        </w:rPr>
        <w:t>t was not feasible to get agree</w:t>
      </w:r>
      <w:r w:rsidR="00E963B4" w:rsidRPr="00576202">
        <w:rPr>
          <w:rFonts w:ascii="Arial" w:hAnsi="Arial" w:cs="Arial"/>
          <w:sz w:val="24"/>
          <w:szCs w:val="24"/>
        </w:rPr>
        <w:t>ment to audio-record interviews. In the event of the participant</w:t>
      </w:r>
      <w:r w:rsidR="00576202">
        <w:rPr>
          <w:rFonts w:ascii="Arial" w:hAnsi="Arial" w:cs="Arial"/>
          <w:sz w:val="24"/>
          <w:szCs w:val="24"/>
        </w:rPr>
        <w:t>’s</w:t>
      </w:r>
      <w:r w:rsidR="00E963B4" w:rsidRPr="00576202">
        <w:rPr>
          <w:rFonts w:ascii="Arial" w:hAnsi="Arial" w:cs="Arial"/>
          <w:sz w:val="24"/>
          <w:szCs w:val="24"/>
        </w:rPr>
        <w:t xml:space="preserve"> consent, the baseline assessments</w:t>
      </w:r>
      <w:r w:rsidR="00576202">
        <w:rPr>
          <w:rFonts w:ascii="Arial" w:hAnsi="Arial" w:cs="Arial"/>
          <w:sz w:val="24"/>
          <w:szCs w:val="24"/>
        </w:rPr>
        <w:t xml:space="preserve"> (which took between 2 and 4 hours)</w:t>
      </w:r>
      <w:r w:rsidR="00E963B4" w:rsidRPr="00576202">
        <w:rPr>
          <w:rFonts w:ascii="Arial" w:hAnsi="Arial" w:cs="Arial"/>
          <w:sz w:val="24"/>
          <w:szCs w:val="24"/>
        </w:rPr>
        <w:t xml:space="preserve"> were undertaken, sometimes over a number of visits. </w:t>
      </w:r>
    </w:p>
    <w:p w14:paraId="64498C5A" w14:textId="77777777" w:rsidR="00576202" w:rsidRPr="00576202" w:rsidRDefault="00576202" w:rsidP="00EE7A71">
      <w:pPr>
        <w:spacing w:after="0" w:line="360" w:lineRule="auto"/>
        <w:jc w:val="both"/>
        <w:rPr>
          <w:rFonts w:ascii="Arial" w:hAnsi="Arial" w:cs="Arial"/>
          <w:sz w:val="24"/>
          <w:szCs w:val="24"/>
          <w:u w:val="single"/>
        </w:rPr>
      </w:pPr>
    </w:p>
    <w:p w14:paraId="749A3827" w14:textId="766A7037" w:rsidR="00576202" w:rsidRDefault="00576202" w:rsidP="00EE7A71">
      <w:pPr>
        <w:spacing w:after="0" w:line="360" w:lineRule="auto"/>
        <w:jc w:val="both"/>
        <w:rPr>
          <w:rFonts w:ascii="Arial" w:hAnsi="Arial" w:cs="Arial"/>
          <w:sz w:val="24"/>
          <w:szCs w:val="24"/>
        </w:rPr>
      </w:pPr>
      <w:r w:rsidRPr="00576202">
        <w:rPr>
          <w:rFonts w:ascii="Arial" w:hAnsi="Arial" w:cs="Arial"/>
          <w:sz w:val="24"/>
          <w:szCs w:val="24"/>
        </w:rPr>
        <w:t xml:space="preserve">Baseline assessments were completed and scored prior to randomisation. Randomisation was carried out by an administrator unconnected to the study using random numbers generated by the study statistician. The Minim stratified </w:t>
      </w:r>
      <w:r w:rsidRPr="00576202">
        <w:rPr>
          <w:rFonts w:ascii="Arial" w:hAnsi="Arial" w:cs="Arial"/>
          <w:sz w:val="24"/>
          <w:szCs w:val="24"/>
        </w:rPr>
        <w:lastRenderedPageBreak/>
        <w:t>randomisation programme was utilised to minimise the imbalance between the two groups for the type of index offence (violent versus sexual offence), SCID I diagnosis of drug and alcohol</w:t>
      </w:r>
      <w:r w:rsidR="00164D08">
        <w:rPr>
          <w:rFonts w:ascii="Arial" w:hAnsi="Arial" w:cs="Arial"/>
          <w:sz w:val="24"/>
          <w:szCs w:val="24"/>
        </w:rPr>
        <w:t xml:space="preserve"> abuse (presence versus absence</w:t>
      </w:r>
      <w:r w:rsidRPr="00576202">
        <w:rPr>
          <w:rFonts w:ascii="Arial" w:hAnsi="Arial" w:cs="Arial"/>
          <w:sz w:val="24"/>
          <w:szCs w:val="24"/>
        </w:rPr>
        <w:t xml:space="preserve">), and the designated probation office. The administrator informed the </w:t>
      </w:r>
      <w:r w:rsidR="0038145D">
        <w:rPr>
          <w:rFonts w:ascii="Arial" w:hAnsi="Arial" w:cs="Arial"/>
          <w:sz w:val="24"/>
          <w:szCs w:val="24"/>
        </w:rPr>
        <w:t>researcher</w:t>
      </w:r>
      <w:r w:rsidR="00225015">
        <w:rPr>
          <w:rFonts w:ascii="Arial" w:hAnsi="Arial" w:cs="Arial"/>
          <w:sz w:val="24"/>
          <w:szCs w:val="24"/>
        </w:rPr>
        <w:t>,</w:t>
      </w:r>
      <w:r w:rsidR="0038145D">
        <w:rPr>
          <w:rFonts w:ascii="Arial" w:hAnsi="Arial" w:cs="Arial"/>
          <w:sz w:val="24"/>
          <w:szCs w:val="24"/>
        </w:rPr>
        <w:t xml:space="preserve"> who had undertaken the </w:t>
      </w:r>
      <w:r w:rsidRPr="00576202">
        <w:rPr>
          <w:rFonts w:ascii="Arial" w:hAnsi="Arial" w:cs="Arial"/>
          <w:sz w:val="24"/>
          <w:szCs w:val="24"/>
        </w:rPr>
        <w:t xml:space="preserve">baseline </w:t>
      </w:r>
      <w:r w:rsidR="0038145D">
        <w:rPr>
          <w:rFonts w:ascii="Arial" w:hAnsi="Arial" w:cs="Arial"/>
          <w:sz w:val="24"/>
          <w:szCs w:val="24"/>
        </w:rPr>
        <w:t>assessment</w:t>
      </w:r>
      <w:r w:rsidR="00225015">
        <w:rPr>
          <w:rFonts w:ascii="Arial" w:hAnsi="Arial" w:cs="Arial"/>
          <w:sz w:val="24"/>
          <w:szCs w:val="24"/>
        </w:rPr>
        <w:t>,</w:t>
      </w:r>
      <w:r w:rsidRPr="00576202">
        <w:rPr>
          <w:rFonts w:ascii="Arial" w:hAnsi="Arial" w:cs="Arial"/>
          <w:sz w:val="24"/>
          <w:szCs w:val="24"/>
        </w:rPr>
        <w:t xml:space="preserve"> of the group allocation. </w:t>
      </w:r>
      <w:r w:rsidR="0038145D">
        <w:rPr>
          <w:rFonts w:ascii="Arial" w:hAnsi="Arial" w:cs="Arial"/>
          <w:sz w:val="24"/>
          <w:szCs w:val="24"/>
        </w:rPr>
        <w:t>In turn, t</w:t>
      </w:r>
      <w:r>
        <w:rPr>
          <w:rFonts w:ascii="Arial" w:hAnsi="Arial" w:cs="Arial"/>
          <w:sz w:val="24"/>
          <w:szCs w:val="24"/>
        </w:rPr>
        <w:t>he researcher informed the offender manager of allocation. For control group allocation</w:t>
      </w:r>
      <w:r w:rsidR="0038145D">
        <w:rPr>
          <w:rFonts w:ascii="Arial" w:hAnsi="Arial" w:cs="Arial"/>
          <w:sz w:val="24"/>
          <w:szCs w:val="24"/>
        </w:rPr>
        <w:t>,</w:t>
      </w:r>
      <w:r>
        <w:rPr>
          <w:rFonts w:ascii="Arial" w:hAnsi="Arial" w:cs="Arial"/>
          <w:sz w:val="24"/>
          <w:szCs w:val="24"/>
        </w:rPr>
        <w:t xml:space="preserve"> the offender manager made usual arrangements. In the </w:t>
      </w:r>
      <w:r w:rsidR="0038145D">
        <w:rPr>
          <w:rFonts w:ascii="Arial" w:hAnsi="Arial" w:cs="Arial"/>
          <w:sz w:val="24"/>
          <w:szCs w:val="24"/>
        </w:rPr>
        <w:t xml:space="preserve">event of allocation to the </w:t>
      </w:r>
      <w:r>
        <w:rPr>
          <w:rFonts w:ascii="Arial" w:hAnsi="Arial" w:cs="Arial"/>
          <w:sz w:val="24"/>
          <w:szCs w:val="24"/>
        </w:rPr>
        <w:t>intervention</w:t>
      </w:r>
      <w:r w:rsidR="0038145D">
        <w:rPr>
          <w:rFonts w:ascii="Arial" w:hAnsi="Arial" w:cs="Arial"/>
          <w:sz w:val="24"/>
          <w:szCs w:val="24"/>
        </w:rPr>
        <w:t xml:space="preserve"> group,</w:t>
      </w:r>
      <w:r>
        <w:rPr>
          <w:rFonts w:ascii="Arial" w:hAnsi="Arial" w:cs="Arial"/>
          <w:sz w:val="24"/>
          <w:szCs w:val="24"/>
        </w:rPr>
        <w:t xml:space="preserve"> there was liaison between the offender manager and the Resettle service. </w:t>
      </w:r>
    </w:p>
    <w:p w14:paraId="5B6919BE" w14:textId="77777777" w:rsidR="00576202" w:rsidRDefault="00576202" w:rsidP="00EE7A71">
      <w:pPr>
        <w:spacing w:after="0" w:line="360" w:lineRule="auto"/>
        <w:jc w:val="both"/>
        <w:rPr>
          <w:rFonts w:ascii="Arial" w:hAnsi="Arial" w:cs="Arial"/>
          <w:sz w:val="24"/>
          <w:szCs w:val="24"/>
        </w:rPr>
      </w:pPr>
    </w:p>
    <w:p w14:paraId="1EF49F5B" w14:textId="2766650A" w:rsidR="00D11749" w:rsidRPr="00472001" w:rsidRDefault="00E94AD6" w:rsidP="00783EB0">
      <w:pPr>
        <w:pStyle w:val="ListParagraph"/>
        <w:numPr>
          <w:ilvl w:val="1"/>
          <w:numId w:val="5"/>
        </w:numPr>
        <w:spacing w:after="0" w:line="360" w:lineRule="auto"/>
        <w:jc w:val="both"/>
        <w:rPr>
          <w:rFonts w:ascii="Arial" w:hAnsi="Arial" w:cs="Arial"/>
          <w:b/>
          <w:sz w:val="24"/>
          <w:szCs w:val="24"/>
        </w:rPr>
      </w:pPr>
      <w:r>
        <w:rPr>
          <w:rFonts w:ascii="Arial" w:hAnsi="Arial" w:cs="Arial"/>
          <w:b/>
          <w:sz w:val="24"/>
          <w:szCs w:val="24"/>
        </w:rPr>
        <w:t xml:space="preserve"> </w:t>
      </w:r>
      <w:r w:rsidR="00D11749" w:rsidRPr="00472001">
        <w:rPr>
          <w:rFonts w:ascii="Arial" w:hAnsi="Arial" w:cs="Arial"/>
          <w:b/>
          <w:sz w:val="24"/>
          <w:szCs w:val="24"/>
        </w:rPr>
        <w:t xml:space="preserve">Intervention </w:t>
      </w:r>
    </w:p>
    <w:p w14:paraId="68994405" w14:textId="2395FD02" w:rsidR="00D11749" w:rsidRDefault="00D11749" w:rsidP="00EE7A71">
      <w:pPr>
        <w:spacing w:after="0" w:line="360" w:lineRule="auto"/>
        <w:jc w:val="both"/>
        <w:rPr>
          <w:rFonts w:ascii="Arial" w:hAnsi="Arial" w:cs="Arial"/>
          <w:sz w:val="24"/>
          <w:szCs w:val="24"/>
        </w:rPr>
      </w:pPr>
      <w:r w:rsidRPr="00576202">
        <w:rPr>
          <w:rFonts w:ascii="Arial" w:hAnsi="Arial" w:cs="Arial"/>
          <w:sz w:val="24"/>
          <w:szCs w:val="24"/>
        </w:rPr>
        <w:t>Resettle is based</w:t>
      </w:r>
      <w:r w:rsidR="00576202">
        <w:rPr>
          <w:rFonts w:ascii="Arial" w:hAnsi="Arial" w:cs="Arial"/>
          <w:sz w:val="24"/>
          <w:szCs w:val="24"/>
        </w:rPr>
        <w:t xml:space="preserve"> on a </w:t>
      </w:r>
      <w:r w:rsidR="001B5F87">
        <w:rPr>
          <w:rFonts w:ascii="Arial" w:hAnsi="Arial" w:cs="Arial"/>
          <w:sz w:val="24"/>
          <w:szCs w:val="24"/>
        </w:rPr>
        <w:t>version</w:t>
      </w:r>
      <w:r w:rsidR="00576202">
        <w:rPr>
          <w:rFonts w:ascii="Arial" w:hAnsi="Arial" w:cs="Arial"/>
          <w:sz w:val="24"/>
          <w:szCs w:val="24"/>
        </w:rPr>
        <w:t xml:space="preserve"> of </w:t>
      </w:r>
      <w:proofErr w:type="spellStart"/>
      <w:r w:rsidR="00576202">
        <w:rPr>
          <w:rFonts w:ascii="Arial" w:hAnsi="Arial" w:cs="Arial"/>
          <w:sz w:val="24"/>
          <w:szCs w:val="24"/>
        </w:rPr>
        <w:t>sociotherapy</w:t>
      </w:r>
      <w:proofErr w:type="spellEnd"/>
      <w:r w:rsidR="00576202">
        <w:rPr>
          <w:rFonts w:ascii="Arial" w:hAnsi="Arial" w:cs="Arial"/>
          <w:sz w:val="24"/>
          <w:szCs w:val="24"/>
        </w:rPr>
        <w:t xml:space="preserve"> </w:t>
      </w:r>
      <w:r w:rsidR="001B5F87">
        <w:rPr>
          <w:rFonts w:ascii="Arial" w:hAnsi="Arial" w:cs="Arial"/>
          <w:sz w:val="24"/>
          <w:szCs w:val="24"/>
        </w:rPr>
        <w:t xml:space="preserve">that has been delivered in forensic services </w:t>
      </w:r>
      <w:r w:rsidR="00576202">
        <w:rPr>
          <w:rFonts w:ascii="Arial" w:hAnsi="Arial" w:cs="Arial"/>
          <w:sz w:val="24"/>
          <w:szCs w:val="24"/>
        </w:rPr>
        <w:t>(</w:t>
      </w:r>
      <w:r w:rsidR="001B5F87" w:rsidRPr="001B5F87">
        <w:rPr>
          <w:rFonts w:ascii="Arial" w:hAnsi="Arial" w:cs="Arial"/>
          <w:sz w:val="24"/>
          <w:szCs w:val="24"/>
        </w:rPr>
        <w:t>De Boer-van</w:t>
      </w:r>
      <w:r w:rsidR="001B5F87">
        <w:rPr>
          <w:rFonts w:ascii="Arial" w:hAnsi="Arial" w:cs="Arial"/>
          <w:sz w:val="24"/>
          <w:szCs w:val="24"/>
        </w:rPr>
        <w:t xml:space="preserve"> </w:t>
      </w:r>
      <w:r w:rsidR="001B5F87" w:rsidRPr="001B5F87">
        <w:rPr>
          <w:rFonts w:ascii="Arial" w:hAnsi="Arial" w:cs="Arial"/>
          <w:sz w:val="24"/>
          <w:szCs w:val="24"/>
        </w:rPr>
        <w:t>Schaik &amp; Derks, 2010</w:t>
      </w:r>
      <w:r w:rsidRPr="00576202">
        <w:rPr>
          <w:rFonts w:ascii="Arial" w:hAnsi="Arial" w:cs="Arial"/>
          <w:sz w:val="24"/>
          <w:szCs w:val="24"/>
        </w:rPr>
        <w:t>)</w:t>
      </w:r>
      <w:r w:rsidR="001B5F87">
        <w:rPr>
          <w:rFonts w:ascii="Arial" w:hAnsi="Arial" w:cs="Arial"/>
          <w:sz w:val="24"/>
          <w:szCs w:val="24"/>
        </w:rPr>
        <w:t xml:space="preserve">. The model </w:t>
      </w:r>
      <w:r w:rsidRPr="00576202">
        <w:rPr>
          <w:rFonts w:ascii="Arial" w:hAnsi="Arial" w:cs="Arial"/>
          <w:sz w:val="24"/>
          <w:szCs w:val="24"/>
        </w:rPr>
        <w:t>emphasises the importance of interaction and the social environment as a context for learning</w:t>
      </w:r>
      <w:r w:rsidR="001B5F87">
        <w:rPr>
          <w:rFonts w:ascii="Arial" w:hAnsi="Arial" w:cs="Arial"/>
          <w:sz w:val="24"/>
          <w:szCs w:val="24"/>
        </w:rPr>
        <w:t xml:space="preserve"> (Baker et al, 2013)</w:t>
      </w:r>
      <w:r w:rsidRPr="00576202">
        <w:rPr>
          <w:rFonts w:ascii="Arial" w:hAnsi="Arial" w:cs="Arial"/>
          <w:sz w:val="24"/>
          <w:szCs w:val="24"/>
        </w:rPr>
        <w:t xml:space="preserve">. The model consists of three levels, all of which are underpinned by risk management requirements linked to probation supervision arrangements. The first level is the therapeutic milieu generated by appropriate and prosocial relationships. There is a focus on interactions as opportunities to enhance social learning within a safe and </w:t>
      </w:r>
      <w:proofErr w:type="spellStart"/>
      <w:r w:rsidRPr="00576202">
        <w:rPr>
          <w:rFonts w:ascii="Arial" w:hAnsi="Arial" w:cs="Arial"/>
          <w:sz w:val="24"/>
          <w:szCs w:val="24"/>
        </w:rPr>
        <w:t>boundaried</w:t>
      </w:r>
      <w:proofErr w:type="spellEnd"/>
      <w:r w:rsidRPr="00576202">
        <w:rPr>
          <w:rFonts w:ascii="Arial" w:hAnsi="Arial" w:cs="Arial"/>
          <w:sz w:val="24"/>
          <w:szCs w:val="24"/>
        </w:rPr>
        <w:t xml:space="preserve"> environment. The second level comprises regular group work, through which participants develop enhanced capacities for self-reflection and understanding</w:t>
      </w:r>
      <w:r w:rsidR="003A5FD1">
        <w:rPr>
          <w:rFonts w:ascii="Arial" w:hAnsi="Arial" w:cs="Arial"/>
          <w:sz w:val="24"/>
          <w:szCs w:val="24"/>
        </w:rPr>
        <w:t xml:space="preserve"> of</w:t>
      </w:r>
      <w:r w:rsidRPr="00576202">
        <w:rPr>
          <w:rFonts w:ascii="Arial" w:hAnsi="Arial" w:cs="Arial"/>
          <w:sz w:val="24"/>
          <w:szCs w:val="24"/>
        </w:rPr>
        <w:t xml:space="preserve"> others. Individually-tailored psychosocial interventions, with a focus on risk management, </w:t>
      </w:r>
      <w:r w:rsidR="00A4555A" w:rsidRPr="00576202">
        <w:rPr>
          <w:rFonts w:ascii="Arial" w:hAnsi="Arial" w:cs="Arial"/>
          <w:sz w:val="24"/>
          <w:szCs w:val="24"/>
        </w:rPr>
        <w:t>wellbeing</w:t>
      </w:r>
      <w:r w:rsidR="0038145D">
        <w:rPr>
          <w:rFonts w:ascii="Arial" w:hAnsi="Arial" w:cs="Arial"/>
          <w:sz w:val="24"/>
          <w:szCs w:val="24"/>
        </w:rPr>
        <w:t xml:space="preserve"> and social integration form</w:t>
      </w:r>
      <w:r w:rsidRPr="00576202">
        <w:rPr>
          <w:rFonts w:ascii="Arial" w:hAnsi="Arial" w:cs="Arial"/>
          <w:sz w:val="24"/>
          <w:szCs w:val="24"/>
        </w:rPr>
        <w:t xml:space="preserve"> the final level of the model. All participants are subject to detailed case formulations which are the basis of individual risk management and intervention plans. </w:t>
      </w:r>
    </w:p>
    <w:p w14:paraId="5AD36A94" w14:textId="77777777" w:rsidR="00576202" w:rsidRPr="00576202" w:rsidRDefault="00576202" w:rsidP="00EE7A71">
      <w:pPr>
        <w:spacing w:after="0" w:line="360" w:lineRule="auto"/>
        <w:jc w:val="both"/>
        <w:rPr>
          <w:rFonts w:ascii="Arial" w:hAnsi="Arial" w:cs="Arial"/>
          <w:sz w:val="24"/>
          <w:szCs w:val="24"/>
        </w:rPr>
      </w:pPr>
    </w:p>
    <w:p w14:paraId="7BAC85C8" w14:textId="0268F891" w:rsidR="00BA3850" w:rsidRDefault="00E07BC3" w:rsidP="00EE7A71">
      <w:pPr>
        <w:spacing w:after="0" w:line="360" w:lineRule="auto"/>
        <w:jc w:val="both"/>
        <w:rPr>
          <w:rFonts w:ascii="Arial" w:hAnsi="Arial" w:cs="Arial"/>
          <w:sz w:val="24"/>
          <w:szCs w:val="24"/>
        </w:rPr>
      </w:pPr>
      <w:r>
        <w:rPr>
          <w:rFonts w:ascii="Arial" w:hAnsi="Arial" w:cs="Arial"/>
          <w:sz w:val="24"/>
          <w:szCs w:val="24"/>
        </w:rPr>
        <w:t>Resettle is primarily a community-based service, but there is a critical preparatory phase of engagement prior to release</w:t>
      </w:r>
      <w:r w:rsidR="00E8271C">
        <w:rPr>
          <w:rFonts w:ascii="Arial" w:hAnsi="Arial" w:cs="Arial"/>
          <w:sz w:val="24"/>
          <w:szCs w:val="24"/>
        </w:rPr>
        <w:t xml:space="preserve"> over at least six months</w:t>
      </w:r>
      <w:r>
        <w:rPr>
          <w:rFonts w:ascii="Arial" w:hAnsi="Arial" w:cs="Arial"/>
          <w:sz w:val="24"/>
          <w:szCs w:val="24"/>
        </w:rPr>
        <w:t>.</w:t>
      </w:r>
      <w:r w:rsidR="00ED4BC5">
        <w:rPr>
          <w:rFonts w:ascii="Arial" w:hAnsi="Arial" w:cs="Arial"/>
          <w:sz w:val="24"/>
          <w:szCs w:val="24"/>
        </w:rPr>
        <w:t xml:space="preserve"> </w:t>
      </w:r>
      <w:r w:rsidR="00ED4BC5" w:rsidRPr="00576202">
        <w:rPr>
          <w:rFonts w:ascii="Arial" w:hAnsi="Arial" w:cs="Arial"/>
          <w:sz w:val="24"/>
          <w:szCs w:val="24"/>
        </w:rPr>
        <w:t xml:space="preserve">The Resettle programme was delivered by trained </w:t>
      </w:r>
      <w:proofErr w:type="spellStart"/>
      <w:r w:rsidR="00ED4BC5" w:rsidRPr="00576202">
        <w:rPr>
          <w:rFonts w:ascii="Arial" w:hAnsi="Arial" w:cs="Arial"/>
          <w:sz w:val="24"/>
          <w:szCs w:val="24"/>
        </w:rPr>
        <w:t>sociotherapists</w:t>
      </w:r>
      <w:proofErr w:type="spellEnd"/>
      <w:r w:rsidR="00ED4BC5" w:rsidRPr="00576202">
        <w:rPr>
          <w:rFonts w:ascii="Arial" w:hAnsi="Arial" w:cs="Arial"/>
          <w:sz w:val="24"/>
          <w:szCs w:val="24"/>
        </w:rPr>
        <w:t xml:space="preserve"> who were recruited from clinical and probation backgrounds and received regular supervision.</w:t>
      </w:r>
      <w:r w:rsidR="00ED4BC5">
        <w:rPr>
          <w:rFonts w:ascii="Arial" w:hAnsi="Arial" w:cs="Arial"/>
          <w:sz w:val="24"/>
          <w:szCs w:val="24"/>
        </w:rPr>
        <w:t xml:space="preserve"> Resettle was delivered according to an explicit model of care, but it was not manualised.</w:t>
      </w:r>
      <w:r>
        <w:rPr>
          <w:rFonts w:ascii="Arial" w:hAnsi="Arial" w:cs="Arial"/>
          <w:sz w:val="24"/>
          <w:szCs w:val="24"/>
        </w:rPr>
        <w:t xml:space="preserve"> </w:t>
      </w:r>
      <w:r w:rsidR="00BA3850" w:rsidRPr="00576202">
        <w:rPr>
          <w:rFonts w:ascii="Arial" w:hAnsi="Arial" w:cs="Arial"/>
          <w:sz w:val="24"/>
          <w:szCs w:val="24"/>
        </w:rPr>
        <w:t xml:space="preserve">Resettle key workers </w:t>
      </w:r>
      <w:r w:rsidR="00093AF6">
        <w:rPr>
          <w:rFonts w:ascii="Arial" w:hAnsi="Arial" w:cs="Arial"/>
          <w:sz w:val="24"/>
          <w:szCs w:val="24"/>
        </w:rPr>
        <w:t xml:space="preserve">first </w:t>
      </w:r>
      <w:r w:rsidR="00D023D4">
        <w:rPr>
          <w:rFonts w:ascii="Arial" w:hAnsi="Arial" w:cs="Arial"/>
          <w:sz w:val="24"/>
          <w:szCs w:val="24"/>
        </w:rPr>
        <w:t xml:space="preserve">visited the participant in prison and </w:t>
      </w:r>
      <w:r w:rsidR="00576202">
        <w:rPr>
          <w:rFonts w:ascii="Arial" w:hAnsi="Arial" w:cs="Arial"/>
          <w:sz w:val="24"/>
          <w:szCs w:val="24"/>
        </w:rPr>
        <w:t>undertook</w:t>
      </w:r>
      <w:r w:rsidR="00BA3850" w:rsidRPr="00576202">
        <w:rPr>
          <w:rFonts w:ascii="Arial" w:hAnsi="Arial" w:cs="Arial"/>
          <w:sz w:val="24"/>
          <w:szCs w:val="24"/>
        </w:rPr>
        <w:t xml:space="preserve"> </w:t>
      </w:r>
      <w:r w:rsidR="00D023D4">
        <w:rPr>
          <w:rFonts w:ascii="Arial" w:hAnsi="Arial" w:cs="Arial"/>
          <w:sz w:val="24"/>
          <w:szCs w:val="24"/>
        </w:rPr>
        <w:t>in-</w:t>
      </w:r>
      <w:r w:rsidR="00D023D4" w:rsidRPr="00576202">
        <w:rPr>
          <w:rFonts w:ascii="Arial" w:hAnsi="Arial" w:cs="Arial"/>
          <w:sz w:val="24"/>
          <w:szCs w:val="24"/>
        </w:rPr>
        <w:t>reach</w:t>
      </w:r>
      <w:r w:rsidR="00BA3850" w:rsidRPr="00576202">
        <w:rPr>
          <w:rFonts w:ascii="Arial" w:hAnsi="Arial" w:cs="Arial"/>
          <w:sz w:val="24"/>
          <w:szCs w:val="24"/>
        </w:rPr>
        <w:t xml:space="preserve"> work </w:t>
      </w:r>
      <w:r w:rsidR="00576202">
        <w:rPr>
          <w:rFonts w:ascii="Arial" w:hAnsi="Arial" w:cs="Arial"/>
          <w:sz w:val="24"/>
          <w:szCs w:val="24"/>
        </w:rPr>
        <w:t>which included</w:t>
      </w:r>
      <w:r w:rsidR="00BA3850" w:rsidRPr="00576202">
        <w:rPr>
          <w:rFonts w:ascii="Arial" w:hAnsi="Arial" w:cs="Arial"/>
          <w:sz w:val="24"/>
          <w:szCs w:val="24"/>
        </w:rPr>
        <w:t xml:space="preserve">, introduction to the programme, motivational work, assessment of risk, planning for release and identification of goals. In the immediate post-release period the focus of the intervention </w:t>
      </w:r>
      <w:r w:rsidR="00576202">
        <w:rPr>
          <w:rFonts w:ascii="Arial" w:hAnsi="Arial" w:cs="Arial"/>
          <w:sz w:val="24"/>
          <w:szCs w:val="24"/>
        </w:rPr>
        <w:t>was</w:t>
      </w:r>
      <w:r w:rsidR="00BA3850" w:rsidRPr="00576202">
        <w:rPr>
          <w:rFonts w:ascii="Arial" w:hAnsi="Arial" w:cs="Arial"/>
          <w:sz w:val="24"/>
          <w:szCs w:val="24"/>
        </w:rPr>
        <w:t xml:space="preserve"> on practical support relating to living skills and reintegration into the community. While attending the programme</w:t>
      </w:r>
      <w:r w:rsidR="00214C38">
        <w:rPr>
          <w:rFonts w:ascii="Arial" w:hAnsi="Arial" w:cs="Arial"/>
          <w:sz w:val="24"/>
          <w:szCs w:val="24"/>
        </w:rPr>
        <w:t>,</w:t>
      </w:r>
      <w:r w:rsidR="00BA3850" w:rsidRPr="00576202">
        <w:rPr>
          <w:rFonts w:ascii="Arial" w:hAnsi="Arial" w:cs="Arial"/>
          <w:sz w:val="24"/>
          <w:szCs w:val="24"/>
        </w:rPr>
        <w:t xml:space="preserve"> the participants </w:t>
      </w:r>
      <w:r w:rsidR="00576202">
        <w:rPr>
          <w:rFonts w:ascii="Arial" w:hAnsi="Arial" w:cs="Arial"/>
          <w:sz w:val="24"/>
          <w:szCs w:val="24"/>
        </w:rPr>
        <w:lastRenderedPageBreak/>
        <w:t>were</w:t>
      </w:r>
      <w:r w:rsidR="00BA3850" w:rsidRPr="00576202">
        <w:rPr>
          <w:rFonts w:ascii="Arial" w:hAnsi="Arial" w:cs="Arial"/>
          <w:sz w:val="24"/>
          <w:szCs w:val="24"/>
        </w:rPr>
        <w:t xml:space="preserve"> expected to take part in a number of daily and weekly group meetings</w:t>
      </w:r>
      <w:r w:rsidR="00115F4D" w:rsidRPr="00576202">
        <w:rPr>
          <w:rFonts w:ascii="Arial" w:hAnsi="Arial" w:cs="Arial"/>
          <w:sz w:val="24"/>
          <w:szCs w:val="24"/>
        </w:rPr>
        <w:t>, individual psychosocial sessions, offence focused work, and other sessions such as psycho-education, health living and arts and creativity</w:t>
      </w:r>
      <w:r w:rsidR="00BA3850" w:rsidRPr="00576202">
        <w:rPr>
          <w:rFonts w:ascii="Arial" w:hAnsi="Arial" w:cs="Arial"/>
          <w:sz w:val="24"/>
          <w:szCs w:val="24"/>
        </w:rPr>
        <w:t xml:space="preserve">. In a weekly review meeting the participant </w:t>
      </w:r>
      <w:r w:rsidR="00576202">
        <w:rPr>
          <w:rFonts w:ascii="Arial" w:hAnsi="Arial" w:cs="Arial"/>
          <w:sz w:val="24"/>
          <w:szCs w:val="24"/>
        </w:rPr>
        <w:t>was</w:t>
      </w:r>
      <w:r w:rsidR="00BA3850" w:rsidRPr="00576202">
        <w:rPr>
          <w:rFonts w:ascii="Arial" w:hAnsi="Arial" w:cs="Arial"/>
          <w:sz w:val="24"/>
          <w:szCs w:val="24"/>
        </w:rPr>
        <w:t xml:space="preserve"> assisted to reflect on, and engage in discussions about, their week. </w:t>
      </w:r>
      <w:r w:rsidR="00AB51C1">
        <w:rPr>
          <w:rFonts w:ascii="Arial" w:hAnsi="Arial" w:cs="Arial"/>
          <w:sz w:val="24"/>
          <w:szCs w:val="24"/>
        </w:rPr>
        <w:t>Participants initially attend</w:t>
      </w:r>
      <w:r w:rsidR="00472A30">
        <w:rPr>
          <w:rFonts w:ascii="Arial" w:hAnsi="Arial" w:cs="Arial"/>
          <w:sz w:val="24"/>
          <w:szCs w:val="24"/>
        </w:rPr>
        <w:t>ed</w:t>
      </w:r>
      <w:r w:rsidR="00AB51C1">
        <w:rPr>
          <w:rFonts w:ascii="Arial" w:hAnsi="Arial" w:cs="Arial"/>
          <w:sz w:val="24"/>
          <w:szCs w:val="24"/>
        </w:rPr>
        <w:t xml:space="preserve"> Resettle for 6 days each week. In this phase, there were two key-worker sessions a week. Following a period of familiarisation, less frequent weekly attendance could be negotiated on the basis of individualised assessments of need and risk. </w:t>
      </w:r>
      <w:r>
        <w:rPr>
          <w:rFonts w:ascii="Arial" w:hAnsi="Arial" w:cs="Arial"/>
          <w:sz w:val="24"/>
          <w:szCs w:val="24"/>
        </w:rPr>
        <w:t>If the participant was returned to prison, Resettle practitioners vis</w:t>
      </w:r>
      <w:r w:rsidR="00472A30">
        <w:rPr>
          <w:rFonts w:ascii="Arial" w:hAnsi="Arial" w:cs="Arial"/>
          <w:sz w:val="24"/>
          <w:szCs w:val="24"/>
        </w:rPr>
        <w:t>i</w:t>
      </w:r>
      <w:r>
        <w:rPr>
          <w:rFonts w:ascii="Arial" w:hAnsi="Arial" w:cs="Arial"/>
          <w:sz w:val="24"/>
          <w:szCs w:val="24"/>
        </w:rPr>
        <w:t xml:space="preserve">ted the prison to maintain the therapeutic relationship. </w:t>
      </w:r>
    </w:p>
    <w:p w14:paraId="24953794" w14:textId="77777777" w:rsidR="00576202" w:rsidRDefault="00576202" w:rsidP="00EE7A71">
      <w:pPr>
        <w:spacing w:after="0" w:line="360" w:lineRule="auto"/>
        <w:jc w:val="both"/>
        <w:rPr>
          <w:rFonts w:ascii="Arial" w:hAnsi="Arial" w:cs="Arial"/>
          <w:sz w:val="24"/>
          <w:szCs w:val="24"/>
        </w:rPr>
      </w:pPr>
    </w:p>
    <w:p w14:paraId="7355F490" w14:textId="230541D8" w:rsidR="00472001" w:rsidRPr="00472001" w:rsidRDefault="00115F4D" w:rsidP="00783EB0">
      <w:pPr>
        <w:pStyle w:val="ListParagraph"/>
        <w:numPr>
          <w:ilvl w:val="1"/>
          <w:numId w:val="5"/>
        </w:numPr>
        <w:spacing w:after="0" w:line="360" w:lineRule="auto"/>
        <w:jc w:val="both"/>
        <w:rPr>
          <w:rFonts w:ascii="Arial" w:hAnsi="Arial" w:cs="Arial"/>
          <w:b/>
          <w:sz w:val="24"/>
          <w:szCs w:val="24"/>
        </w:rPr>
      </w:pPr>
      <w:r w:rsidRPr="00472001">
        <w:rPr>
          <w:rFonts w:ascii="Arial" w:hAnsi="Arial" w:cs="Arial"/>
          <w:b/>
          <w:sz w:val="24"/>
          <w:szCs w:val="24"/>
        </w:rPr>
        <w:t>Usual care</w:t>
      </w:r>
    </w:p>
    <w:p w14:paraId="0A6C297B" w14:textId="5AA0B1D7" w:rsidR="00115F4D" w:rsidRPr="00576202" w:rsidRDefault="00157C2E" w:rsidP="00EE7A71">
      <w:pPr>
        <w:spacing w:after="0" w:line="360" w:lineRule="auto"/>
        <w:jc w:val="both"/>
        <w:rPr>
          <w:rFonts w:ascii="Arial" w:hAnsi="Arial" w:cs="Arial"/>
          <w:sz w:val="24"/>
          <w:szCs w:val="24"/>
        </w:rPr>
      </w:pPr>
      <w:r w:rsidRPr="00576202">
        <w:rPr>
          <w:rFonts w:ascii="Arial" w:hAnsi="Arial" w:cs="Arial"/>
          <w:sz w:val="24"/>
          <w:szCs w:val="24"/>
        </w:rPr>
        <w:t xml:space="preserve">Usual care involved standard probation supervision following release from prison custody. This </w:t>
      </w:r>
      <w:r w:rsidR="00686F67" w:rsidRPr="00576202">
        <w:rPr>
          <w:rFonts w:ascii="Arial" w:hAnsi="Arial" w:cs="Arial"/>
          <w:sz w:val="24"/>
          <w:szCs w:val="24"/>
        </w:rPr>
        <w:t>entailed</w:t>
      </w:r>
      <w:r w:rsidRPr="00576202">
        <w:rPr>
          <w:rFonts w:ascii="Arial" w:hAnsi="Arial" w:cs="Arial"/>
          <w:sz w:val="24"/>
          <w:szCs w:val="24"/>
        </w:rPr>
        <w:t xml:space="preserve"> regular meetings (weekly initially) with the </w:t>
      </w:r>
      <w:r w:rsidR="00E07BC3">
        <w:rPr>
          <w:rFonts w:ascii="Arial" w:hAnsi="Arial" w:cs="Arial"/>
          <w:sz w:val="24"/>
          <w:szCs w:val="24"/>
        </w:rPr>
        <w:t>offender manager</w:t>
      </w:r>
      <w:r w:rsidRPr="00576202">
        <w:rPr>
          <w:rFonts w:ascii="Arial" w:hAnsi="Arial" w:cs="Arial"/>
          <w:sz w:val="24"/>
          <w:szCs w:val="24"/>
        </w:rPr>
        <w:t xml:space="preserve"> and engagement with other s</w:t>
      </w:r>
      <w:r w:rsidR="00686F67" w:rsidRPr="00576202">
        <w:rPr>
          <w:rFonts w:ascii="Arial" w:hAnsi="Arial" w:cs="Arial"/>
          <w:sz w:val="24"/>
          <w:szCs w:val="24"/>
        </w:rPr>
        <w:t>ervices where specified in the</w:t>
      </w:r>
      <w:r w:rsidRPr="00576202">
        <w:rPr>
          <w:rFonts w:ascii="Arial" w:hAnsi="Arial" w:cs="Arial"/>
          <w:sz w:val="24"/>
          <w:szCs w:val="24"/>
        </w:rPr>
        <w:t xml:space="preserve"> licence conditions. </w:t>
      </w:r>
      <w:r w:rsidR="00E07BC3">
        <w:rPr>
          <w:rFonts w:ascii="Arial" w:hAnsi="Arial" w:cs="Arial"/>
          <w:sz w:val="24"/>
          <w:szCs w:val="24"/>
        </w:rPr>
        <w:t xml:space="preserve">Although the offender manager may have visited the participant in prison prior to release and if he was returned, this was very limited contact in comparison to the contact between the Resettle practitioners and the participants randomised to the intervention group. </w:t>
      </w:r>
    </w:p>
    <w:p w14:paraId="727FF7DF" w14:textId="77777777" w:rsidR="00A72CC9" w:rsidRDefault="00A72CC9" w:rsidP="00EE7A71">
      <w:pPr>
        <w:spacing w:after="0" w:line="360" w:lineRule="auto"/>
        <w:jc w:val="both"/>
        <w:rPr>
          <w:rFonts w:ascii="Arial" w:hAnsi="Arial" w:cs="Arial"/>
          <w:sz w:val="24"/>
          <w:szCs w:val="24"/>
        </w:rPr>
      </w:pPr>
    </w:p>
    <w:p w14:paraId="4A463DC7" w14:textId="097CC044" w:rsidR="00576202" w:rsidRPr="00472001" w:rsidRDefault="00157C2E" w:rsidP="00783EB0">
      <w:pPr>
        <w:pStyle w:val="ListParagraph"/>
        <w:numPr>
          <w:ilvl w:val="1"/>
          <w:numId w:val="5"/>
        </w:numPr>
        <w:spacing w:after="0" w:line="360" w:lineRule="auto"/>
        <w:jc w:val="both"/>
        <w:rPr>
          <w:rFonts w:ascii="Arial" w:hAnsi="Arial" w:cs="Arial"/>
          <w:b/>
          <w:sz w:val="24"/>
          <w:szCs w:val="24"/>
        </w:rPr>
      </w:pPr>
      <w:r w:rsidRPr="00472001">
        <w:rPr>
          <w:rFonts w:ascii="Arial" w:hAnsi="Arial" w:cs="Arial"/>
          <w:b/>
          <w:sz w:val="24"/>
          <w:szCs w:val="24"/>
        </w:rPr>
        <w:t xml:space="preserve">Measures </w:t>
      </w:r>
    </w:p>
    <w:p w14:paraId="3D2A9A7B" w14:textId="201D6E0E" w:rsidR="00576202" w:rsidRPr="00472001" w:rsidRDefault="00D45D3C" w:rsidP="00783EB0">
      <w:pPr>
        <w:pStyle w:val="ListParagraph"/>
        <w:numPr>
          <w:ilvl w:val="2"/>
          <w:numId w:val="5"/>
        </w:numPr>
        <w:spacing w:after="0" w:line="360" w:lineRule="auto"/>
        <w:jc w:val="both"/>
        <w:rPr>
          <w:rFonts w:ascii="Arial" w:hAnsi="Arial" w:cs="Arial"/>
          <w:b/>
          <w:sz w:val="24"/>
          <w:szCs w:val="24"/>
        </w:rPr>
      </w:pPr>
      <w:r>
        <w:rPr>
          <w:rFonts w:ascii="Arial" w:hAnsi="Arial" w:cs="Arial"/>
          <w:b/>
          <w:sz w:val="24"/>
          <w:szCs w:val="24"/>
        </w:rPr>
        <w:t>Baseline m</w:t>
      </w:r>
      <w:r w:rsidR="00F15134" w:rsidRPr="00472001">
        <w:rPr>
          <w:rFonts w:ascii="Arial" w:hAnsi="Arial" w:cs="Arial"/>
          <w:b/>
          <w:sz w:val="24"/>
          <w:szCs w:val="24"/>
        </w:rPr>
        <w:t xml:space="preserve">easures </w:t>
      </w:r>
    </w:p>
    <w:p w14:paraId="26752459" w14:textId="77777777" w:rsidR="00F22882" w:rsidRPr="00576202" w:rsidRDefault="00D207A4" w:rsidP="00EE7A71">
      <w:pPr>
        <w:spacing w:after="0" w:line="360" w:lineRule="auto"/>
        <w:jc w:val="both"/>
        <w:rPr>
          <w:rFonts w:ascii="Arial" w:hAnsi="Arial" w:cs="Arial"/>
          <w:sz w:val="24"/>
          <w:szCs w:val="24"/>
        </w:rPr>
      </w:pPr>
      <w:r w:rsidRPr="00576202">
        <w:rPr>
          <w:rFonts w:ascii="Arial" w:hAnsi="Arial" w:cs="Arial"/>
          <w:sz w:val="24"/>
          <w:szCs w:val="24"/>
        </w:rPr>
        <w:t>Personality disorders were assessed using the DSM-IV version of the International Personalit</w:t>
      </w:r>
      <w:r w:rsidR="008F0BD9" w:rsidRPr="00576202">
        <w:rPr>
          <w:rFonts w:ascii="Arial" w:hAnsi="Arial" w:cs="Arial"/>
          <w:sz w:val="24"/>
          <w:szCs w:val="24"/>
        </w:rPr>
        <w:t>y Disorder Examination (IPDE</w:t>
      </w:r>
      <w:r w:rsidRPr="00576202">
        <w:rPr>
          <w:rFonts w:ascii="Arial" w:hAnsi="Arial" w:cs="Arial"/>
          <w:sz w:val="24"/>
          <w:szCs w:val="24"/>
        </w:rPr>
        <w:t>)</w:t>
      </w:r>
      <w:r w:rsidR="008F0BD9" w:rsidRPr="00576202">
        <w:rPr>
          <w:rFonts w:ascii="Arial" w:eastAsia="Calibri" w:hAnsi="Arial" w:cs="Arial"/>
          <w:sz w:val="24"/>
          <w:szCs w:val="24"/>
        </w:rPr>
        <w:t xml:space="preserve"> </w:t>
      </w:r>
      <w:r w:rsidR="008F0BD9" w:rsidRPr="00576202">
        <w:rPr>
          <w:rFonts w:ascii="Arial" w:hAnsi="Arial" w:cs="Arial"/>
          <w:sz w:val="24"/>
          <w:szCs w:val="24"/>
        </w:rPr>
        <w:t xml:space="preserve">(Loranger, 1999). </w:t>
      </w:r>
      <w:r w:rsidRPr="00576202">
        <w:rPr>
          <w:rFonts w:ascii="Arial" w:hAnsi="Arial" w:cs="Arial"/>
          <w:sz w:val="24"/>
          <w:szCs w:val="24"/>
        </w:rPr>
        <w:t xml:space="preserve">The IPDE is administered using a 90-item semi-structured interview. </w:t>
      </w:r>
    </w:p>
    <w:p w14:paraId="77001EA1" w14:textId="77777777" w:rsidR="00F22882" w:rsidRPr="00576202" w:rsidRDefault="00F22882" w:rsidP="00EE7A71">
      <w:pPr>
        <w:spacing w:after="0" w:line="360" w:lineRule="auto"/>
        <w:jc w:val="both"/>
        <w:rPr>
          <w:rFonts w:ascii="Arial" w:hAnsi="Arial" w:cs="Arial"/>
          <w:sz w:val="24"/>
          <w:szCs w:val="24"/>
        </w:rPr>
      </w:pPr>
    </w:p>
    <w:p w14:paraId="5AA3FE72" w14:textId="21A99F89" w:rsidR="00F22882" w:rsidRDefault="00864FD1" w:rsidP="00EE7A71">
      <w:pPr>
        <w:spacing w:after="0" w:line="360" w:lineRule="auto"/>
        <w:jc w:val="both"/>
        <w:rPr>
          <w:rFonts w:ascii="Arial" w:hAnsi="Arial" w:cs="Arial"/>
          <w:sz w:val="24"/>
          <w:szCs w:val="24"/>
        </w:rPr>
      </w:pPr>
      <w:r w:rsidRPr="00576202">
        <w:rPr>
          <w:rFonts w:ascii="Arial" w:hAnsi="Arial" w:cs="Arial"/>
          <w:sz w:val="24"/>
          <w:szCs w:val="24"/>
        </w:rPr>
        <w:t xml:space="preserve">The Structured Clinical Interview for Axis 1 Disorders (SCID I) (First, </w:t>
      </w:r>
      <w:r w:rsidR="001A416E">
        <w:rPr>
          <w:rFonts w:ascii="Arial" w:hAnsi="Arial" w:cs="Arial"/>
          <w:sz w:val="24"/>
          <w:szCs w:val="24"/>
        </w:rPr>
        <w:t>et al.,</w:t>
      </w:r>
      <w:r w:rsidRPr="00576202">
        <w:rPr>
          <w:rFonts w:ascii="Arial" w:hAnsi="Arial" w:cs="Arial"/>
          <w:sz w:val="24"/>
          <w:szCs w:val="24"/>
        </w:rPr>
        <w:t xml:space="preserve"> 1997) is an interview-based measure of Axis I disorders (mood disorders, psychotic disorders, substance disorders and anxiety) as defined in the Diagnostic and Statistical Manual of Mental Disorders (DSM IV). </w:t>
      </w:r>
      <w:r w:rsidR="00E727C5" w:rsidRPr="00576202">
        <w:rPr>
          <w:rFonts w:ascii="Arial" w:hAnsi="Arial" w:cs="Arial"/>
          <w:sz w:val="24"/>
          <w:szCs w:val="24"/>
        </w:rPr>
        <w:t xml:space="preserve">DSM V had not been published at the time the study commenced. </w:t>
      </w:r>
      <w:r w:rsidRPr="00576202">
        <w:rPr>
          <w:rFonts w:ascii="Arial" w:hAnsi="Arial" w:cs="Arial"/>
          <w:sz w:val="24"/>
          <w:szCs w:val="24"/>
        </w:rPr>
        <w:t>Good inter-rater reliability has been reported.  (</w:t>
      </w:r>
      <w:proofErr w:type="spellStart"/>
      <w:r w:rsidRPr="00576202">
        <w:rPr>
          <w:rFonts w:ascii="Arial" w:hAnsi="Arial" w:cs="Arial"/>
          <w:sz w:val="24"/>
          <w:szCs w:val="24"/>
        </w:rPr>
        <w:t>Skre</w:t>
      </w:r>
      <w:proofErr w:type="spellEnd"/>
      <w:r w:rsidRPr="00576202">
        <w:rPr>
          <w:rFonts w:ascii="Arial" w:hAnsi="Arial" w:cs="Arial"/>
          <w:sz w:val="24"/>
          <w:szCs w:val="24"/>
        </w:rPr>
        <w:t xml:space="preserve">, </w:t>
      </w:r>
      <w:r w:rsidR="001A416E">
        <w:rPr>
          <w:rFonts w:ascii="Arial" w:hAnsi="Arial" w:cs="Arial"/>
          <w:sz w:val="24"/>
          <w:szCs w:val="24"/>
        </w:rPr>
        <w:t>et al.</w:t>
      </w:r>
      <w:r w:rsidRPr="00576202">
        <w:rPr>
          <w:rFonts w:ascii="Arial" w:hAnsi="Arial" w:cs="Arial"/>
          <w:sz w:val="24"/>
          <w:szCs w:val="24"/>
        </w:rPr>
        <w:t xml:space="preserve">, 2007). </w:t>
      </w:r>
    </w:p>
    <w:p w14:paraId="60655446" w14:textId="77777777" w:rsidR="00576202" w:rsidRPr="00576202" w:rsidRDefault="00576202" w:rsidP="00EE7A71">
      <w:pPr>
        <w:spacing w:after="0" w:line="360" w:lineRule="auto"/>
        <w:jc w:val="both"/>
        <w:rPr>
          <w:rFonts w:ascii="Arial" w:hAnsi="Arial" w:cs="Arial"/>
          <w:sz w:val="24"/>
          <w:szCs w:val="24"/>
        </w:rPr>
      </w:pPr>
    </w:p>
    <w:p w14:paraId="2A5EDABF" w14:textId="77777777" w:rsidR="00F22882" w:rsidRDefault="008F0BD9" w:rsidP="00EE7A71">
      <w:pPr>
        <w:spacing w:after="0" w:line="360" w:lineRule="auto"/>
        <w:jc w:val="both"/>
        <w:rPr>
          <w:rFonts w:ascii="Arial" w:hAnsi="Arial" w:cs="Arial"/>
          <w:sz w:val="24"/>
          <w:szCs w:val="24"/>
        </w:rPr>
      </w:pPr>
      <w:r w:rsidRPr="00576202">
        <w:rPr>
          <w:rFonts w:ascii="Arial" w:hAnsi="Arial" w:cs="Arial"/>
          <w:sz w:val="24"/>
          <w:szCs w:val="24"/>
        </w:rPr>
        <w:t>The Psychopathy Checklist Screening Version</w:t>
      </w:r>
      <w:r w:rsidRPr="00576202">
        <w:rPr>
          <w:rFonts w:ascii="Arial" w:hAnsi="Arial" w:cs="Arial"/>
          <w:i/>
          <w:sz w:val="24"/>
          <w:szCs w:val="24"/>
        </w:rPr>
        <w:t xml:space="preserve"> (PCL: SV) </w:t>
      </w:r>
      <w:r w:rsidRPr="00576202">
        <w:rPr>
          <w:rFonts w:ascii="Arial" w:hAnsi="Arial" w:cs="Arial"/>
          <w:sz w:val="24"/>
          <w:szCs w:val="24"/>
        </w:rPr>
        <w:t xml:space="preserve">(Hart, Cox, &amp; Hare, 1995) </w:t>
      </w:r>
      <w:r w:rsidR="00D207A4" w:rsidRPr="00576202">
        <w:rPr>
          <w:rFonts w:ascii="Arial" w:hAnsi="Arial" w:cs="Arial"/>
          <w:sz w:val="24"/>
          <w:szCs w:val="24"/>
        </w:rPr>
        <w:t xml:space="preserve">was used to investigate psychopathic traits. It is a 12-item measure that requires the </w:t>
      </w:r>
      <w:r w:rsidR="00D207A4" w:rsidRPr="00576202">
        <w:rPr>
          <w:rFonts w:ascii="Arial" w:hAnsi="Arial" w:cs="Arial"/>
          <w:sz w:val="24"/>
          <w:szCs w:val="24"/>
        </w:rPr>
        <w:lastRenderedPageBreak/>
        <w:t xml:space="preserve">assessor to rate the presence of affective/interpersonal (factor 1) and deviant/impulsive factors (factor 2) that have been shown by research to make up the psychopathy construct (Guy &amp; Douglas, 2006). </w:t>
      </w:r>
    </w:p>
    <w:p w14:paraId="13FA98A6" w14:textId="77777777" w:rsidR="004532CE" w:rsidRPr="00576202" w:rsidRDefault="004532CE" w:rsidP="00EE7A71">
      <w:pPr>
        <w:spacing w:after="0" w:line="360" w:lineRule="auto"/>
        <w:jc w:val="both"/>
        <w:rPr>
          <w:rFonts w:ascii="Arial" w:hAnsi="Arial" w:cs="Arial"/>
          <w:sz w:val="24"/>
          <w:szCs w:val="24"/>
        </w:rPr>
      </w:pPr>
    </w:p>
    <w:p w14:paraId="0FBEC1D1" w14:textId="5363FF6A" w:rsidR="00D207A4" w:rsidRPr="00576202" w:rsidRDefault="00D207A4" w:rsidP="00EE7A71">
      <w:pPr>
        <w:spacing w:after="0" w:line="360" w:lineRule="auto"/>
        <w:jc w:val="both"/>
        <w:rPr>
          <w:rFonts w:ascii="Arial" w:hAnsi="Arial" w:cs="Arial"/>
          <w:sz w:val="24"/>
          <w:szCs w:val="24"/>
        </w:rPr>
      </w:pPr>
      <w:r w:rsidRPr="00576202">
        <w:rPr>
          <w:rFonts w:ascii="Arial" w:hAnsi="Arial" w:cs="Arial"/>
          <w:sz w:val="24"/>
          <w:szCs w:val="24"/>
        </w:rPr>
        <w:t>The Symptom Checklist Revised (SCL-90-R) (</w:t>
      </w:r>
      <w:proofErr w:type="spellStart"/>
      <w:r w:rsidRPr="00576202">
        <w:rPr>
          <w:rFonts w:ascii="Arial" w:hAnsi="Arial" w:cs="Arial"/>
          <w:sz w:val="24"/>
          <w:szCs w:val="24"/>
        </w:rPr>
        <w:t>Derogatis</w:t>
      </w:r>
      <w:proofErr w:type="spellEnd"/>
      <w:r w:rsidRPr="00576202">
        <w:rPr>
          <w:rFonts w:ascii="Arial" w:hAnsi="Arial" w:cs="Arial"/>
          <w:sz w:val="24"/>
          <w:szCs w:val="24"/>
        </w:rPr>
        <w:t xml:space="preserve">, </w:t>
      </w:r>
      <w:proofErr w:type="spellStart"/>
      <w:r w:rsidRPr="00576202">
        <w:rPr>
          <w:rFonts w:ascii="Arial" w:hAnsi="Arial" w:cs="Arial"/>
          <w:sz w:val="24"/>
          <w:szCs w:val="24"/>
        </w:rPr>
        <w:t>Rickels</w:t>
      </w:r>
      <w:proofErr w:type="spellEnd"/>
      <w:r w:rsidRPr="00576202">
        <w:rPr>
          <w:rFonts w:ascii="Arial" w:hAnsi="Arial" w:cs="Arial"/>
          <w:sz w:val="24"/>
          <w:szCs w:val="24"/>
        </w:rPr>
        <w:t>, &amp; Rock, 1976) was administered to measure mental health symptoms over the previous 7 days. The SCL-90-R measures symptoms of somatisation, obsessive-compulsive disorder, interpersonal sensitivity, depression and anxiety, along with phobic anxiety, paranoid ideation, psych</w:t>
      </w:r>
      <w:r w:rsidR="007B7574">
        <w:rPr>
          <w:rFonts w:ascii="Arial" w:hAnsi="Arial" w:cs="Arial"/>
          <w:sz w:val="24"/>
          <w:szCs w:val="24"/>
        </w:rPr>
        <w:t>oticism, and hostility (Wilson et al.,</w:t>
      </w:r>
      <w:r w:rsidRPr="00576202">
        <w:rPr>
          <w:rFonts w:ascii="Arial" w:hAnsi="Arial" w:cs="Arial"/>
          <w:sz w:val="24"/>
          <w:szCs w:val="24"/>
        </w:rPr>
        <w:t xml:space="preserve">1985). It has been found to correlate well with other measures of mental state, and has discriminant validity on some subscales (Wilson et al., 1985). </w:t>
      </w:r>
    </w:p>
    <w:p w14:paraId="241E3A88" w14:textId="77777777" w:rsidR="00864FD1" w:rsidRDefault="00864FD1" w:rsidP="00EE7A71">
      <w:pPr>
        <w:spacing w:after="0" w:line="360" w:lineRule="auto"/>
        <w:jc w:val="both"/>
        <w:rPr>
          <w:rFonts w:ascii="Arial" w:hAnsi="Arial" w:cs="Arial"/>
          <w:i/>
          <w:sz w:val="24"/>
          <w:szCs w:val="24"/>
        </w:rPr>
      </w:pPr>
    </w:p>
    <w:p w14:paraId="36B83173" w14:textId="77777777" w:rsidR="004532CE" w:rsidRDefault="004532CE" w:rsidP="00EE7A71">
      <w:pPr>
        <w:spacing w:after="0" w:line="360" w:lineRule="auto"/>
        <w:jc w:val="both"/>
        <w:rPr>
          <w:rFonts w:ascii="Arial" w:hAnsi="Arial" w:cs="Arial"/>
          <w:sz w:val="24"/>
          <w:szCs w:val="24"/>
        </w:rPr>
      </w:pPr>
      <w:r>
        <w:rPr>
          <w:rFonts w:ascii="Arial" w:hAnsi="Arial" w:cs="Arial"/>
          <w:sz w:val="24"/>
          <w:szCs w:val="24"/>
        </w:rPr>
        <w:t>Training on interviewing and coding the IPDE, PCL-R-SV and SCID-I was provided to the research assistants on UK nationally accredited training programmes. In order to ensure criteria for inclusion were met, cases close to threshold for ASPD were discussed with RN.</w:t>
      </w:r>
    </w:p>
    <w:p w14:paraId="534DCB8A" w14:textId="77777777" w:rsidR="004532CE" w:rsidRDefault="004532CE" w:rsidP="00EE7A71">
      <w:pPr>
        <w:spacing w:after="0" w:line="360" w:lineRule="auto"/>
        <w:jc w:val="both"/>
        <w:rPr>
          <w:rFonts w:ascii="Arial" w:hAnsi="Arial" w:cs="Arial"/>
          <w:i/>
          <w:sz w:val="24"/>
          <w:szCs w:val="24"/>
        </w:rPr>
      </w:pPr>
    </w:p>
    <w:p w14:paraId="3B74BA9B" w14:textId="591F89BC" w:rsidR="00F15134" w:rsidRPr="00472001" w:rsidRDefault="00F15134" w:rsidP="00783EB0">
      <w:pPr>
        <w:pStyle w:val="ListParagraph"/>
        <w:numPr>
          <w:ilvl w:val="2"/>
          <w:numId w:val="5"/>
        </w:numPr>
        <w:spacing w:after="0" w:line="360" w:lineRule="auto"/>
        <w:jc w:val="both"/>
        <w:rPr>
          <w:rFonts w:ascii="Arial" w:hAnsi="Arial" w:cs="Arial"/>
          <w:b/>
          <w:sz w:val="24"/>
          <w:szCs w:val="24"/>
        </w:rPr>
      </w:pPr>
      <w:r w:rsidRPr="00472001">
        <w:rPr>
          <w:rFonts w:ascii="Arial" w:hAnsi="Arial" w:cs="Arial"/>
          <w:b/>
          <w:sz w:val="24"/>
          <w:szCs w:val="24"/>
        </w:rPr>
        <w:t>Outcome measures, assessed also at baseline</w:t>
      </w:r>
    </w:p>
    <w:p w14:paraId="7254C609" w14:textId="5C07C70A" w:rsidR="00AC46C9" w:rsidRPr="00472001" w:rsidRDefault="00AC46C9" w:rsidP="00783EB0">
      <w:pPr>
        <w:pStyle w:val="ListParagraph"/>
        <w:numPr>
          <w:ilvl w:val="3"/>
          <w:numId w:val="5"/>
        </w:numPr>
        <w:spacing w:after="0" w:line="360" w:lineRule="auto"/>
        <w:jc w:val="both"/>
        <w:rPr>
          <w:rFonts w:ascii="Arial" w:hAnsi="Arial" w:cs="Arial"/>
          <w:b/>
          <w:sz w:val="24"/>
          <w:szCs w:val="24"/>
        </w:rPr>
      </w:pPr>
      <w:r w:rsidRPr="00472001">
        <w:rPr>
          <w:rFonts w:ascii="Arial" w:hAnsi="Arial" w:cs="Arial"/>
          <w:b/>
          <w:sz w:val="24"/>
          <w:szCs w:val="24"/>
        </w:rPr>
        <w:t>Primary outcome</w:t>
      </w:r>
    </w:p>
    <w:p w14:paraId="25AD5A41" w14:textId="1896A0A2" w:rsidR="00157C2E" w:rsidRDefault="008F0BD9" w:rsidP="00EE7A71">
      <w:pPr>
        <w:spacing w:after="0" w:line="360" w:lineRule="auto"/>
        <w:jc w:val="both"/>
        <w:rPr>
          <w:rFonts w:ascii="Arial" w:hAnsi="Arial" w:cs="Arial"/>
          <w:sz w:val="24"/>
          <w:szCs w:val="24"/>
        </w:rPr>
      </w:pPr>
      <w:r w:rsidRPr="00576202">
        <w:rPr>
          <w:rFonts w:ascii="Arial" w:hAnsi="Arial" w:cs="Arial"/>
          <w:sz w:val="24"/>
          <w:szCs w:val="24"/>
        </w:rPr>
        <w:t>The primary outcome was</w:t>
      </w:r>
      <w:r w:rsidR="00D45D3C">
        <w:rPr>
          <w:rFonts w:ascii="Arial" w:hAnsi="Arial" w:cs="Arial"/>
          <w:sz w:val="24"/>
          <w:szCs w:val="24"/>
        </w:rPr>
        <w:t xml:space="preserve"> number and type of</w:t>
      </w:r>
      <w:r w:rsidRPr="00576202">
        <w:rPr>
          <w:rFonts w:ascii="Arial" w:hAnsi="Arial" w:cs="Arial"/>
          <w:sz w:val="24"/>
          <w:szCs w:val="24"/>
        </w:rPr>
        <w:t xml:space="preserve"> officially recorded offending according to the Police National</w:t>
      </w:r>
      <w:r w:rsidR="00864FD1" w:rsidRPr="00576202">
        <w:rPr>
          <w:rFonts w:ascii="Arial" w:hAnsi="Arial" w:cs="Arial"/>
          <w:sz w:val="24"/>
          <w:szCs w:val="24"/>
        </w:rPr>
        <w:t xml:space="preserve"> </w:t>
      </w:r>
      <w:r w:rsidR="00C52F8D">
        <w:rPr>
          <w:rFonts w:ascii="Arial" w:hAnsi="Arial" w:cs="Arial"/>
          <w:sz w:val="24"/>
          <w:szCs w:val="24"/>
        </w:rPr>
        <w:t>Computer (PNC</w:t>
      </w:r>
      <w:r w:rsidR="00864FD1" w:rsidRPr="00576202">
        <w:rPr>
          <w:rFonts w:ascii="Arial" w:hAnsi="Arial" w:cs="Arial"/>
          <w:sz w:val="24"/>
          <w:szCs w:val="24"/>
        </w:rPr>
        <w:t>)</w:t>
      </w:r>
      <w:r w:rsidRPr="00576202">
        <w:rPr>
          <w:rFonts w:ascii="Arial" w:hAnsi="Arial" w:cs="Arial"/>
          <w:sz w:val="24"/>
          <w:szCs w:val="24"/>
        </w:rPr>
        <w:t xml:space="preserve">. </w:t>
      </w:r>
      <w:r w:rsidR="002638BE">
        <w:rPr>
          <w:rFonts w:ascii="Arial" w:hAnsi="Arial" w:cs="Arial"/>
          <w:sz w:val="24"/>
          <w:szCs w:val="24"/>
        </w:rPr>
        <w:t xml:space="preserve">This database contains </w:t>
      </w:r>
      <w:r w:rsidR="00C52F8D">
        <w:rPr>
          <w:rFonts w:ascii="Arial" w:hAnsi="Arial" w:cs="Arial"/>
          <w:sz w:val="24"/>
          <w:szCs w:val="24"/>
        </w:rPr>
        <w:t xml:space="preserve">information relating to recorded </w:t>
      </w:r>
      <w:r w:rsidR="002638BE">
        <w:rPr>
          <w:rFonts w:ascii="Arial" w:hAnsi="Arial" w:cs="Arial"/>
          <w:sz w:val="24"/>
          <w:szCs w:val="24"/>
        </w:rPr>
        <w:t xml:space="preserve">convictions, cautions and reprimands </w:t>
      </w:r>
      <w:r w:rsidR="00C52F8D">
        <w:rPr>
          <w:rFonts w:ascii="Arial" w:hAnsi="Arial" w:cs="Arial"/>
          <w:sz w:val="24"/>
          <w:szCs w:val="24"/>
        </w:rPr>
        <w:t xml:space="preserve">in England and Wales. </w:t>
      </w:r>
      <w:r w:rsidRPr="00576202">
        <w:rPr>
          <w:rFonts w:ascii="Arial" w:hAnsi="Arial" w:cs="Arial"/>
          <w:sz w:val="24"/>
          <w:szCs w:val="24"/>
        </w:rPr>
        <w:t>Data was obtained for e</w:t>
      </w:r>
      <w:r w:rsidR="00E0588F">
        <w:rPr>
          <w:rFonts w:ascii="Arial" w:hAnsi="Arial" w:cs="Arial"/>
          <w:sz w:val="24"/>
          <w:szCs w:val="24"/>
        </w:rPr>
        <w:t>very offence recorded on the PNC</w:t>
      </w:r>
      <w:r w:rsidRPr="00576202">
        <w:rPr>
          <w:rFonts w:ascii="Arial" w:hAnsi="Arial" w:cs="Arial"/>
          <w:sz w:val="24"/>
          <w:szCs w:val="24"/>
        </w:rPr>
        <w:t xml:space="preserve"> between the point of initial release until the completion of the study.</w:t>
      </w:r>
    </w:p>
    <w:p w14:paraId="066C39CC" w14:textId="77777777" w:rsidR="00576202" w:rsidRPr="00576202" w:rsidRDefault="00576202" w:rsidP="00EE7A71">
      <w:pPr>
        <w:spacing w:after="0" w:line="360" w:lineRule="auto"/>
        <w:jc w:val="both"/>
        <w:rPr>
          <w:rFonts w:ascii="Arial" w:hAnsi="Arial" w:cs="Arial"/>
          <w:sz w:val="24"/>
          <w:szCs w:val="24"/>
        </w:rPr>
      </w:pPr>
    </w:p>
    <w:p w14:paraId="5D2469CD" w14:textId="781A76E1" w:rsidR="00576202" w:rsidRPr="00472001" w:rsidRDefault="00AC46C9" w:rsidP="00783EB0">
      <w:pPr>
        <w:pStyle w:val="ListParagraph"/>
        <w:numPr>
          <w:ilvl w:val="3"/>
          <w:numId w:val="5"/>
        </w:numPr>
        <w:spacing w:after="0" w:line="360" w:lineRule="auto"/>
        <w:jc w:val="both"/>
        <w:rPr>
          <w:rFonts w:ascii="Arial" w:hAnsi="Arial" w:cs="Arial"/>
          <w:b/>
          <w:sz w:val="24"/>
          <w:szCs w:val="24"/>
        </w:rPr>
      </w:pPr>
      <w:r w:rsidRPr="00472001">
        <w:rPr>
          <w:rFonts w:ascii="Arial" w:hAnsi="Arial" w:cs="Arial"/>
          <w:b/>
          <w:sz w:val="24"/>
          <w:szCs w:val="24"/>
        </w:rPr>
        <w:t>Secondary outcomes</w:t>
      </w:r>
    </w:p>
    <w:p w14:paraId="58FBD07D" w14:textId="057DF520" w:rsidR="008F0BD9" w:rsidRDefault="00864FD1" w:rsidP="00EE7A71">
      <w:pPr>
        <w:spacing w:after="0" w:line="360" w:lineRule="auto"/>
        <w:jc w:val="both"/>
        <w:rPr>
          <w:rFonts w:ascii="Arial" w:hAnsi="Arial" w:cs="Arial"/>
          <w:sz w:val="24"/>
          <w:szCs w:val="24"/>
        </w:rPr>
      </w:pPr>
      <w:r w:rsidRPr="00576202">
        <w:rPr>
          <w:rFonts w:ascii="Arial" w:hAnsi="Arial" w:cs="Arial"/>
          <w:sz w:val="24"/>
          <w:szCs w:val="24"/>
        </w:rPr>
        <w:t>The secondary outcome measure was s</w:t>
      </w:r>
      <w:r w:rsidR="008F0BD9" w:rsidRPr="00576202">
        <w:rPr>
          <w:rFonts w:ascii="Arial" w:hAnsi="Arial" w:cs="Arial"/>
          <w:sz w:val="24"/>
          <w:szCs w:val="24"/>
        </w:rPr>
        <w:t xml:space="preserve">elf-reported </w:t>
      </w:r>
      <w:r w:rsidR="009033A5">
        <w:rPr>
          <w:rFonts w:ascii="Arial" w:hAnsi="Arial" w:cs="Arial"/>
          <w:sz w:val="24"/>
          <w:szCs w:val="24"/>
        </w:rPr>
        <w:t>antisocial behaviour</w:t>
      </w:r>
      <w:r w:rsidR="00D45D3C">
        <w:rPr>
          <w:rFonts w:ascii="Arial" w:hAnsi="Arial" w:cs="Arial"/>
          <w:sz w:val="24"/>
          <w:szCs w:val="24"/>
        </w:rPr>
        <w:t>. This</w:t>
      </w:r>
      <w:r w:rsidR="008F0BD9" w:rsidRPr="00576202">
        <w:rPr>
          <w:rFonts w:ascii="Arial" w:hAnsi="Arial" w:cs="Arial"/>
          <w:sz w:val="24"/>
          <w:szCs w:val="24"/>
        </w:rPr>
        <w:t xml:space="preserve"> was recorded at 1 and 2 year follow-up assessments using the Self-reported Delinquency Scale (SRD) (Huizinga &amp; Elliot, 1986) amended for use in an adult group (Palmer &amp; </w:t>
      </w:r>
      <w:proofErr w:type="spellStart"/>
      <w:r w:rsidR="008F0BD9" w:rsidRPr="00576202">
        <w:rPr>
          <w:rFonts w:ascii="Arial" w:hAnsi="Arial" w:cs="Arial"/>
          <w:sz w:val="24"/>
          <w:szCs w:val="24"/>
        </w:rPr>
        <w:t>Hollin</w:t>
      </w:r>
      <w:proofErr w:type="spellEnd"/>
      <w:r w:rsidR="008F0BD9" w:rsidRPr="00576202">
        <w:rPr>
          <w:rFonts w:ascii="Arial" w:hAnsi="Arial" w:cs="Arial"/>
          <w:sz w:val="24"/>
          <w:szCs w:val="24"/>
        </w:rPr>
        <w:t xml:space="preserve">, 2000). The SRD scale is a 32-item self-report measure that asks respondents to indicate the frequency with which they have engaged in a wide range of antisocial behaviours (from theft to sexual or violent </w:t>
      </w:r>
      <w:r w:rsidR="009033A5">
        <w:rPr>
          <w:rFonts w:ascii="Arial" w:hAnsi="Arial" w:cs="Arial"/>
          <w:sz w:val="24"/>
          <w:szCs w:val="24"/>
        </w:rPr>
        <w:t>offending</w:t>
      </w:r>
      <w:r w:rsidR="008F0BD9" w:rsidRPr="00576202">
        <w:rPr>
          <w:rFonts w:ascii="Arial" w:hAnsi="Arial" w:cs="Arial"/>
          <w:sz w:val="24"/>
          <w:szCs w:val="24"/>
        </w:rPr>
        <w:t xml:space="preserve">) over the previous year (Huizinga &amp; Elliot, 1986; Thornberry &amp; Krohn, 2000). </w:t>
      </w:r>
    </w:p>
    <w:p w14:paraId="4F7A29BF" w14:textId="77777777" w:rsidR="00C52F8D" w:rsidRDefault="00C52F8D" w:rsidP="00EE7A71">
      <w:pPr>
        <w:spacing w:after="0" w:line="360" w:lineRule="auto"/>
        <w:jc w:val="both"/>
        <w:rPr>
          <w:rFonts w:ascii="Arial" w:hAnsi="Arial" w:cs="Arial"/>
          <w:sz w:val="24"/>
          <w:szCs w:val="24"/>
        </w:rPr>
      </w:pPr>
    </w:p>
    <w:p w14:paraId="1CA0522A" w14:textId="2413DFA3" w:rsidR="00C52F8D" w:rsidRPr="00C52F8D" w:rsidRDefault="00C52F8D" w:rsidP="00472001">
      <w:pPr>
        <w:spacing w:after="0" w:line="360" w:lineRule="auto"/>
        <w:jc w:val="both"/>
        <w:rPr>
          <w:rFonts w:ascii="Arial" w:hAnsi="Arial" w:cs="Arial"/>
          <w:sz w:val="24"/>
          <w:szCs w:val="24"/>
        </w:rPr>
      </w:pPr>
      <w:r w:rsidRPr="00C52F8D">
        <w:rPr>
          <w:rFonts w:ascii="Arial" w:hAnsi="Arial" w:cs="Arial"/>
          <w:sz w:val="24"/>
          <w:szCs w:val="24"/>
        </w:rPr>
        <w:lastRenderedPageBreak/>
        <w:t>Follow-up was not conducted blind</w:t>
      </w:r>
      <w:r w:rsidR="00D45D3C">
        <w:rPr>
          <w:rFonts w:ascii="Arial" w:hAnsi="Arial" w:cs="Arial"/>
          <w:sz w:val="24"/>
          <w:szCs w:val="24"/>
        </w:rPr>
        <w:t>ly</w:t>
      </w:r>
      <w:r w:rsidRPr="00C52F8D">
        <w:rPr>
          <w:rFonts w:ascii="Arial" w:hAnsi="Arial" w:cs="Arial"/>
          <w:sz w:val="24"/>
          <w:szCs w:val="24"/>
        </w:rPr>
        <w:t xml:space="preserve"> because assignment to the treatment and control groups was evident from the contact process. However, the primary outcome </w:t>
      </w:r>
      <w:r w:rsidR="00D45D3C">
        <w:rPr>
          <w:rFonts w:ascii="Arial" w:hAnsi="Arial" w:cs="Arial"/>
          <w:sz w:val="24"/>
          <w:szCs w:val="24"/>
        </w:rPr>
        <w:t>was number of</w:t>
      </w:r>
      <w:r w:rsidRPr="00C52F8D">
        <w:rPr>
          <w:rFonts w:ascii="Arial" w:hAnsi="Arial" w:cs="Arial"/>
          <w:sz w:val="24"/>
          <w:szCs w:val="24"/>
        </w:rPr>
        <w:t xml:space="preserve"> offic</w:t>
      </w:r>
      <w:r w:rsidR="003C0BC8">
        <w:rPr>
          <w:rFonts w:ascii="Arial" w:hAnsi="Arial" w:cs="Arial"/>
          <w:sz w:val="24"/>
          <w:szCs w:val="24"/>
        </w:rPr>
        <w:t>ially recorded offences. Fig. 1</w:t>
      </w:r>
      <w:r w:rsidRPr="00C52F8D">
        <w:rPr>
          <w:rFonts w:ascii="Arial" w:hAnsi="Arial" w:cs="Arial"/>
          <w:sz w:val="24"/>
          <w:szCs w:val="24"/>
        </w:rPr>
        <w:t xml:space="preserve"> shows the referral and randomisation process during the trial. </w:t>
      </w:r>
    </w:p>
    <w:p w14:paraId="4D7CDD90" w14:textId="77777777" w:rsidR="00C52F8D" w:rsidRPr="00C52F8D" w:rsidRDefault="00C52F8D" w:rsidP="00472001">
      <w:pPr>
        <w:spacing w:after="0" w:line="360" w:lineRule="auto"/>
        <w:jc w:val="both"/>
        <w:rPr>
          <w:rFonts w:ascii="Arial" w:hAnsi="Arial" w:cs="Arial"/>
          <w:sz w:val="24"/>
          <w:szCs w:val="24"/>
        </w:rPr>
      </w:pPr>
    </w:p>
    <w:p w14:paraId="4A4CC204" w14:textId="77777777" w:rsidR="00C52F8D" w:rsidRPr="00576202" w:rsidRDefault="00C52F8D" w:rsidP="00472001">
      <w:pPr>
        <w:spacing w:after="0" w:line="360" w:lineRule="auto"/>
        <w:jc w:val="both"/>
        <w:rPr>
          <w:rFonts w:ascii="Arial" w:hAnsi="Arial" w:cs="Arial"/>
          <w:sz w:val="24"/>
          <w:szCs w:val="24"/>
        </w:rPr>
      </w:pPr>
    </w:p>
    <w:p w14:paraId="7DBBF216" w14:textId="77777777" w:rsidR="006D61BE" w:rsidRPr="00576202" w:rsidRDefault="006D61BE" w:rsidP="00472001">
      <w:pPr>
        <w:spacing w:after="0" w:line="360" w:lineRule="auto"/>
        <w:jc w:val="both"/>
        <w:rPr>
          <w:rFonts w:ascii="Arial" w:hAnsi="Arial" w:cs="Arial"/>
          <w:sz w:val="24"/>
          <w:szCs w:val="24"/>
        </w:rPr>
      </w:pPr>
    </w:p>
    <w:p w14:paraId="6021B4E9" w14:textId="77777777" w:rsidR="00576202" w:rsidRPr="00576202" w:rsidRDefault="00576202" w:rsidP="00472001">
      <w:pPr>
        <w:spacing w:after="0" w:line="360" w:lineRule="auto"/>
        <w:jc w:val="both"/>
        <w:rPr>
          <w:rFonts w:ascii="Arial" w:hAnsi="Arial" w:cs="Arial"/>
          <w:sz w:val="24"/>
          <w:szCs w:val="24"/>
        </w:rPr>
      </w:pPr>
    </w:p>
    <w:p w14:paraId="0E7334B2" w14:textId="22DD9165" w:rsidR="00EC7BEB" w:rsidRPr="00EC7BEB" w:rsidRDefault="00DF42E7" w:rsidP="00783EB0">
      <w:pPr>
        <w:pStyle w:val="ListParagraph"/>
        <w:numPr>
          <w:ilvl w:val="1"/>
          <w:numId w:val="5"/>
        </w:numPr>
        <w:spacing w:after="0" w:line="360" w:lineRule="auto"/>
        <w:jc w:val="both"/>
        <w:rPr>
          <w:rFonts w:ascii="Arial" w:hAnsi="Arial" w:cs="Arial"/>
          <w:b/>
          <w:sz w:val="24"/>
          <w:szCs w:val="24"/>
        </w:rPr>
      </w:pPr>
      <w:r w:rsidRPr="00EC7BEB">
        <w:rPr>
          <w:rFonts w:ascii="Arial" w:hAnsi="Arial" w:cs="Arial"/>
          <w:b/>
          <w:sz w:val="24"/>
          <w:szCs w:val="24"/>
        </w:rPr>
        <w:t>Analysis</w:t>
      </w:r>
    </w:p>
    <w:p w14:paraId="68961C53" w14:textId="4C31716A" w:rsidR="00DF42E7" w:rsidRDefault="00EC7BEB" w:rsidP="00472001">
      <w:pPr>
        <w:spacing w:after="0" w:line="360" w:lineRule="auto"/>
        <w:jc w:val="both"/>
        <w:rPr>
          <w:rFonts w:ascii="Arial" w:hAnsi="Arial" w:cs="Arial"/>
          <w:sz w:val="24"/>
          <w:szCs w:val="24"/>
        </w:rPr>
      </w:pPr>
      <w:r>
        <w:rPr>
          <w:rFonts w:ascii="Arial" w:hAnsi="Arial" w:cs="Arial"/>
          <w:sz w:val="24"/>
          <w:szCs w:val="24"/>
        </w:rPr>
        <w:t>O</w:t>
      </w:r>
      <w:r w:rsidR="00DF42E7" w:rsidRPr="00DF42E7">
        <w:rPr>
          <w:rFonts w:ascii="Arial" w:hAnsi="Arial" w:cs="Arial"/>
          <w:sz w:val="24"/>
          <w:szCs w:val="24"/>
        </w:rPr>
        <w:t xml:space="preserve">fficial records of offending </w:t>
      </w:r>
      <w:r>
        <w:rPr>
          <w:rFonts w:ascii="Arial" w:hAnsi="Arial" w:cs="Arial"/>
          <w:sz w:val="24"/>
          <w:szCs w:val="24"/>
        </w:rPr>
        <w:t>were reviewed for</w:t>
      </w:r>
      <w:r w:rsidR="00DF42E7" w:rsidRPr="00DF42E7">
        <w:rPr>
          <w:rFonts w:ascii="Arial" w:hAnsi="Arial" w:cs="Arial"/>
          <w:sz w:val="24"/>
          <w:szCs w:val="24"/>
        </w:rPr>
        <w:t xml:space="preserve"> the entire two year follow-up period. </w:t>
      </w:r>
      <w:r>
        <w:rPr>
          <w:rFonts w:ascii="Arial" w:hAnsi="Arial" w:cs="Arial"/>
          <w:sz w:val="24"/>
          <w:szCs w:val="24"/>
        </w:rPr>
        <w:t>P</w:t>
      </w:r>
      <w:r w:rsidR="00DF42E7" w:rsidRPr="00DF42E7">
        <w:rPr>
          <w:rFonts w:ascii="Arial" w:hAnsi="Arial" w:cs="Arial"/>
          <w:sz w:val="24"/>
          <w:szCs w:val="24"/>
        </w:rPr>
        <w:t>articipants</w:t>
      </w:r>
      <w:r>
        <w:rPr>
          <w:rFonts w:ascii="Arial" w:hAnsi="Arial" w:cs="Arial"/>
          <w:sz w:val="24"/>
          <w:szCs w:val="24"/>
        </w:rPr>
        <w:t xml:space="preserve"> were also asked</w:t>
      </w:r>
      <w:r w:rsidR="00DF42E7" w:rsidRPr="00DF42E7">
        <w:rPr>
          <w:rFonts w:ascii="Arial" w:hAnsi="Arial" w:cs="Arial"/>
          <w:sz w:val="24"/>
          <w:szCs w:val="24"/>
        </w:rPr>
        <w:t xml:space="preserve"> to self-report the number of offences at the year-1 and year-2 follow-ups and the maximum value across the two years was taken as </w:t>
      </w:r>
      <w:r>
        <w:rPr>
          <w:rFonts w:ascii="Arial" w:hAnsi="Arial" w:cs="Arial"/>
          <w:sz w:val="24"/>
          <w:szCs w:val="24"/>
        </w:rPr>
        <w:t>the</w:t>
      </w:r>
      <w:r w:rsidR="00DF42E7" w:rsidRPr="00DF42E7">
        <w:rPr>
          <w:rFonts w:ascii="Arial" w:hAnsi="Arial" w:cs="Arial"/>
          <w:sz w:val="24"/>
          <w:szCs w:val="24"/>
        </w:rPr>
        <w:t xml:space="preserve"> dependent measure due to missing data at the second follow-up. Thus, </w:t>
      </w:r>
      <w:r>
        <w:rPr>
          <w:rFonts w:ascii="Arial" w:hAnsi="Arial" w:cs="Arial"/>
          <w:sz w:val="24"/>
          <w:szCs w:val="24"/>
        </w:rPr>
        <w:t>the</w:t>
      </w:r>
      <w:r w:rsidR="00DF42E7" w:rsidRPr="00DF42E7">
        <w:rPr>
          <w:rFonts w:ascii="Arial" w:hAnsi="Arial" w:cs="Arial"/>
          <w:sz w:val="24"/>
          <w:szCs w:val="24"/>
        </w:rPr>
        <w:t xml:space="preserve"> dependent measures were total official offences and self-report of </w:t>
      </w:r>
      <w:r w:rsidR="009033A5">
        <w:rPr>
          <w:rFonts w:ascii="Arial" w:hAnsi="Arial" w:cs="Arial"/>
          <w:sz w:val="24"/>
          <w:szCs w:val="24"/>
        </w:rPr>
        <w:t>antisocial behaviour</w:t>
      </w:r>
      <w:r w:rsidR="009033A5" w:rsidRPr="00DF42E7">
        <w:rPr>
          <w:rFonts w:ascii="Arial" w:hAnsi="Arial" w:cs="Arial"/>
          <w:sz w:val="24"/>
          <w:szCs w:val="24"/>
        </w:rPr>
        <w:t xml:space="preserve"> </w:t>
      </w:r>
      <w:r w:rsidR="00DF42E7" w:rsidRPr="00DF42E7">
        <w:rPr>
          <w:rFonts w:ascii="Arial" w:hAnsi="Arial" w:cs="Arial"/>
          <w:sz w:val="24"/>
          <w:szCs w:val="24"/>
        </w:rPr>
        <w:t xml:space="preserve">across the two year follow-up period. </w:t>
      </w:r>
    </w:p>
    <w:p w14:paraId="61C97E75" w14:textId="77777777" w:rsidR="00DF42E7" w:rsidRPr="00DF42E7" w:rsidRDefault="00DF42E7" w:rsidP="00472001">
      <w:pPr>
        <w:spacing w:after="0" w:line="360" w:lineRule="auto"/>
        <w:jc w:val="both"/>
        <w:rPr>
          <w:rFonts w:ascii="Arial" w:hAnsi="Arial" w:cs="Arial"/>
          <w:sz w:val="24"/>
          <w:szCs w:val="24"/>
        </w:rPr>
      </w:pPr>
    </w:p>
    <w:p w14:paraId="0A053456" w14:textId="43EF1358" w:rsidR="00DF42E7" w:rsidRDefault="00DF42E7" w:rsidP="00472001">
      <w:pPr>
        <w:spacing w:after="0" w:line="360" w:lineRule="auto"/>
        <w:jc w:val="both"/>
        <w:rPr>
          <w:rFonts w:ascii="Arial" w:hAnsi="Arial" w:cs="Arial"/>
          <w:sz w:val="24"/>
          <w:szCs w:val="24"/>
        </w:rPr>
      </w:pPr>
      <w:r w:rsidRPr="00DF42E7">
        <w:rPr>
          <w:rFonts w:ascii="Arial" w:hAnsi="Arial" w:cs="Arial"/>
          <w:sz w:val="24"/>
          <w:szCs w:val="24"/>
        </w:rPr>
        <w:t xml:space="preserve">To address the question regarding the effectiveness of the Resettle programme, </w:t>
      </w:r>
      <w:r w:rsidR="00EC7BEB">
        <w:rPr>
          <w:rFonts w:ascii="Arial" w:hAnsi="Arial" w:cs="Arial"/>
          <w:sz w:val="24"/>
          <w:szCs w:val="24"/>
        </w:rPr>
        <w:t>there was first an examination of</w:t>
      </w:r>
      <w:r w:rsidRPr="00DF42E7">
        <w:rPr>
          <w:rFonts w:ascii="Arial" w:hAnsi="Arial" w:cs="Arial"/>
          <w:sz w:val="24"/>
          <w:szCs w:val="24"/>
        </w:rPr>
        <w:t xml:space="preserve"> whether those randomly assigned to the control condition were significantly different from those assigned to the Resettle programme. </w:t>
      </w:r>
      <w:r w:rsidR="00EC7BEB">
        <w:rPr>
          <w:rFonts w:ascii="Arial" w:hAnsi="Arial" w:cs="Arial"/>
          <w:sz w:val="24"/>
          <w:szCs w:val="24"/>
        </w:rPr>
        <w:t>T</w:t>
      </w:r>
      <w:r w:rsidRPr="00DF42E7">
        <w:rPr>
          <w:rFonts w:ascii="Arial" w:hAnsi="Arial" w:cs="Arial"/>
          <w:sz w:val="24"/>
          <w:szCs w:val="24"/>
        </w:rPr>
        <w:t xml:space="preserve">he intent-to-treat and the actively participating Resettle groups </w:t>
      </w:r>
      <w:r w:rsidR="00EC7BEB">
        <w:rPr>
          <w:rFonts w:ascii="Arial" w:hAnsi="Arial" w:cs="Arial"/>
          <w:sz w:val="24"/>
          <w:szCs w:val="24"/>
        </w:rPr>
        <w:t xml:space="preserve">were not separated </w:t>
      </w:r>
      <w:r w:rsidRPr="00DF42E7">
        <w:rPr>
          <w:rFonts w:ascii="Arial" w:hAnsi="Arial" w:cs="Arial"/>
          <w:sz w:val="24"/>
          <w:szCs w:val="24"/>
        </w:rPr>
        <w:t xml:space="preserve">in the first planned contrasted effect, because recommendations are to conservatively test treatment effects by including intent-to-treat individuals in analyses (Gupta, 2011). In the second contrasted effect, </w:t>
      </w:r>
      <w:r w:rsidR="00EC7BEB">
        <w:rPr>
          <w:rFonts w:ascii="Arial" w:hAnsi="Arial" w:cs="Arial"/>
          <w:sz w:val="24"/>
          <w:szCs w:val="24"/>
        </w:rPr>
        <w:t>there was an examination of</w:t>
      </w:r>
      <w:r w:rsidRPr="00DF42E7">
        <w:rPr>
          <w:rFonts w:ascii="Arial" w:hAnsi="Arial" w:cs="Arial"/>
          <w:sz w:val="24"/>
          <w:szCs w:val="24"/>
        </w:rPr>
        <w:t xml:space="preserve"> whether those in the treatment group who followed protocol (i.e., those who actively participated in Resettle) showed fewer offenses over time. This second effect can address the active tre</w:t>
      </w:r>
      <w:r w:rsidR="00EC7BEB">
        <w:rPr>
          <w:rFonts w:ascii="Arial" w:hAnsi="Arial" w:cs="Arial"/>
          <w:sz w:val="24"/>
          <w:szCs w:val="24"/>
        </w:rPr>
        <w:t>atment effects of the programme</w:t>
      </w:r>
      <w:r w:rsidRPr="00DF42E7">
        <w:rPr>
          <w:rFonts w:ascii="Arial" w:hAnsi="Arial" w:cs="Arial"/>
          <w:sz w:val="24"/>
          <w:szCs w:val="24"/>
        </w:rPr>
        <w:t>.</w:t>
      </w:r>
    </w:p>
    <w:p w14:paraId="04B574F4" w14:textId="77777777" w:rsidR="00DF42E7" w:rsidRPr="00DF42E7" w:rsidRDefault="00DF42E7" w:rsidP="00472001">
      <w:pPr>
        <w:spacing w:after="0" w:line="360" w:lineRule="auto"/>
        <w:jc w:val="both"/>
        <w:rPr>
          <w:rFonts w:ascii="Arial" w:hAnsi="Arial" w:cs="Arial"/>
          <w:sz w:val="24"/>
          <w:szCs w:val="24"/>
        </w:rPr>
      </w:pPr>
    </w:p>
    <w:p w14:paraId="40546079" w14:textId="1FD8D078" w:rsidR="00DF42E7" w:rsidRDefault="00DF42E7" w:rsidP="00472001">
      <w:pPr>
        <w:spacing w:after="0" w:line="360" w:lineRule="auto"/>
        <w:jc w:val="both"/>
        <w:rPr>
          <w:rFonts w:ascii="Arial" w:hAnsi="Arial" w:cs="Arial"/>
          <w:sz w:val="24"/>
          <w:szCs w:val="24"/>
        </w:rPr>
      </w:pPr>
      <w:r w:rsidRPr="00DF42E7">
        <w:rPr>
          <w:rFonts w:ascii="Arial" w:hAnsi="Arial" w:cs="Arial"/>
          <w:sz w:val="24"/>
          <w:szCs w:val="24"/>
        </w:rPr>
        <w:t xml:space="preserve">Two regressions each statistically predicting (1) offences and (2) self-report of delinquent acts were run in </w:t>
      </w:r>
      <w:proofErr w:type="spellStart"/>
      <w:r w:rsidRPr="00DF42E7">
        <w:rPr>
          <w:rFonts w:ascii="Arial" w:hAnsi="Arial" w:cs="Arial"/>
          <w:sz w:val="24"/>
          <w:szCs w:val="24"/>
        </w:rPr>
        <w:t>Mplus</w:t>
      </w:r>
      <w:proofErr w:type="spellEnd"/>
      <w:r w:rsidRPr="00DF42E7">
        <w:rPr>
          <w:rFonts w:ascii="Arial" w:hAnsi="Arial" w:cs="Arial"/>
          <w:sz w:val="24"/>
          <w:szCs w:val="24"/>
        </w:rPr>
        <w:t xml:space="preserve"> 7.3 (</w:t>
      </w:r>
      <w:proofErr w:type="spellStart"/>
      <w:r w:rsidRPr="00DF42E7">
        <w:rPr>
          <w:rFonts w:ascii="Arial" w:hAnsi="Arial" w:cs="Arial"/>
          <w:sz w:val="24"/>
          <w:szCs w:val="24"/>
        </w:rPr>
        <w:t>Muthén</w:t>
      </w:r>
      <w:proofErr w:type="spellEnd"/>
      <w:r w:rsidRPr="00DF42E7">
        <w:rPr>
          <w:rFonts w:ascii="Arial" w:hAnsi="Arial" w:cs="Arial"/>
          <w:sz w:val="24"/>
          <w:szCs w:val="24"/>
        </w:rPr>
        <w:t xml:space="preserve"> &amp; </w:t>
      </w:r>
      <w:proofErr w:type="spellStart"/>
      <w:r w:rsidRPr="00DF42E7">
        <w:rPr>
          <w:rFonts w:ascii="Arial" w:hAnsi="Arial" w:cs="Arial"/>
          <w:sz w:val="24"/>
          <w:szCs w:val="24"/>
        </w:rPr>
        <w:t>Muthén</w:t>
      </w:r>
      <w:proofErr w:type="spellEnd"/>
      <w:r w:rsidRPr="00DF42E7">
        <w:rPr>
          <w:rFonts w:ascii="Arial" w:hAnsi="Arial" w:cs="Arial"/>
          <w:sz w:val="24"/>
          <w:szCs w:val="24"/>
        </w:rPr>
        <w:t xml:space="preserve">, 2012) using contrast coding of the control group, the intent-to-treat group, and the participating Resettle group. Two contrasts were created: one was created to examine control versus intent-to-treat and participating Resettle group (-1, .5, .5). The other was created to examine the difference between the participating Resettle group versus the control group (1, -1) while intent-to-treat was coded 0. </w:t>
      </w:r>
      <w:r w:rsidR="00EC7BEB">
        <w:rPr>
          <w:rFonts w:ascii="Arial" w:hAnsi="Arial" w:cs="Arial"/>
          <w:sz w:val="24"/>
          <w:szCs w:val="24"/>
        </w:rPr>
        <w:t>M</w:t>
      </w:r>
      <w:r w:rsidRPr="00DF42E7">
        <w:rPr>
          <w:rFonts w:ascii="Arial" w:hAnsi="Arial" w:cs="Arial"/>
          <w:sz w:val="24"/>
          <w:szCs w:val="24"/>
        </w:rPr>
        <w:t xml:space="preserve">aximum-likelihood with robust </w:t>
      </w:r>
      <w:r w:rsidRPr="00DF42E7">
        <w:rPr>
          <w:rFonts w:ascii="Arial" w:hAnsi="Arial" w:cs="Arial"/>
          <w:sz w:val="24"/>
          <w:szCs w:val="24"/>
        </w:rPr>
        <w:lastRenderedPageBreak/>
        <w:t>standard error estimations and manifest (not latent) variables</w:t>
      </w:r>
      <w:r w:rsidR="00EC7BEB">
        <w:rPr>
          <w:rFonts w:ascii="Arial" w:hAnsi="Arial" w:cs="Arial"/>
          <w:sz w:val="24"/>
          <w:szCs w:val="24"/>
        </w:rPr>
        <w:t xml:space="preserve"> were used</w:t>
      </w:r>
      <w:r w:rsidRPr="00DF42E7">
        <w:rPr>
          <w:rFonts w:ascii="Arial" w:hAnsi="Arial" w:cs="Arial"/>
          <w:sz w:val="24"/>
          <w:szCs w:val="24"/>
        </w:rPr>
        <w:t xml:space="preserve">. A Poisson distribution was fitted to offending and self-reported </w:t>
      </w:r>
      <w:r w:rsidR="009033A5">
        <w:rPr>
          <w:rFonts w:ascii="Arial" w:hAnsi="Arial" w:cs="Arial"/>
          <w:sz w:val="24"/>
          <w:szCs w:val="24"/>
        </w:rPr>
        <w:t>antisocial behaviour</w:t>
      </w:r>
      <w:r w:rsidRPr="00DF42E7">
        <w:rPr>
          <w:rFonts w:ascii="Arial" w:hAnsi="Arial" w:cs="Arial"/>
          <w:sz w:val="24"/>
          <w:szCs w:val="24"/>
        </w:rPr>
        <w:t xml:space="preserve">. A zero-inflation factor was added to the model predicting official offences to deal with the high proportion of zeros in offending (.68) and the </w:t>
      </w:r>
      <w:proofErr w:type="spellStart"/>
      <w:r w:rsidRPr="00DF42E7">
        <w:rPr>
          <w:rFonts w:ascii="Arial" w:hAnsi="Arial" w:cs="Arial"/>
          <w:sz w:val="24"/>
          <w:szCs w:val="24"/>
        </w:rPr>
        <w:t>overdispersed</w:t>
      </w:r>
      <w:proofErr w:type="spellEnd"/>
      <w:r w:rsidRPr="00DF42E7">
        <w:rPr>
          <w:rFonts w:ascii="Arial" w:hAnsi="Arial" w:cs="Arial"/>
          <w:sz w:val="24"/>
          <w:szCs w:val="24"/>
        </w:rPr>
        <w:t xml:space="preserve"> distribution (standard deviation that is higher than the mean). For the regression with official offending, </w:t>
      </w:r>
      <w:r w:rsidR="00EC7BEB">
        <w:rPr>
          <w:rFonts w:ascii="Arial" w:hAnsi="Arial" w:cs="Arial"/>
          <w:sz w:val="24"/>
          <w:szCs w:val="24"/>
        </w:rPr>
        <w:t xml:space="preserve">the </w:t>
      </w:r>
      <w:r w:rsidRPr="00DF42E7">
        <w:rPr>
          <w:rFonts w:ascii="Arial" w:hAnsi="Arial" w:cs="Arial"/>
          <w:sz w:val="24"/>
          <w:szCs w:val="24"/>
        </w:rPr>
        <w:t xml:space="preserve">analysis </w:t>
      </w:r>
      <w:r w:rsidR="00EC7BEB">
        <w:rPr>
          <w:rFonts w:ascii="Arial" w:hAnsi="Arial" w:cs="Arial"/>
          <w:sz w:val="24"/>
          <w:szCs w:val="24"/>
        </w:rPr>
        <w:t xml:space="preserve">was conducted </w:t>
      </w:r>
      <w:r w:rsidRPr="00DF42E7">
        <w:rPr>
          <w:rFonts w:ascii="Arial" w:hAnsi="Arial" w:cs="Arial"/>
          <w:sz w:val="24"/>
          <w:szCs w:val="24"/>
        </w:rPr>
        <w:t xml:space="preserve">while controlling for the length of time spent released within the community, since those offenders with greater lengths of time in the community will have had </w:t>
      </w:r>
      <w:r w:rsidR="00D45D3C">
        <w:rPr>
          <w:rFonts w:ascii="Arial" w:hAnsi="Arial" w:cs="Arial"/>
          <w:sz w:val="24"/>
          <w:szCs w:val="24"/>
        </w:rPr>
        <w:t>greater</w:t>
      </w:r>
      <w:r w:rsidR="00D45D3C" w:rsidRPr="00DF42E7">
        <w:rPr>
          <w:rFonts w:ascii="Arial" w:hAnsi="Arial" w:cs="Arial"/>
          <w:sz w:val="24"/>
          <w:szCs w:val="24"/>
        </w:rPr>
        <w:t xml:space="preserve"> </w:t>
      </w:r>
      <w:r w:rsidRPr="00DF42E7">
        <w:rPr>
          <w:rFonts w:ascii="Arial" w:hAnsi="Arial" w:cs="Arial"/>
          <w:sz w:val="24"/>
          <w:szCs w:val="24"/>
        </w:rPr>
        <w:t>opportunit</w:t>
      </w:r>
      <w:r w:rsidR="00D45D3C">
        <w:rPr>
          <w:rFonts w:ascii="Arial" w:hAnsi="Arial" w:cs="Arial"/>
          <w:sz w:val="24"/>
          <w:szCs w:val="24"/>
        </w:rPr>
        <w:t>y</w:t>
      </w:r>
      <w:r w:rsidRPr="00DF42E7">
        <w:rPr>
          <w:rFonts w:ascii="Arial" w:hAnsi="Arial" w:cs="Arial"/>
          <w:sz w:val="24"/>
          <w:szCs w:val="24"/>
        </w:rPr>
        <w:t xml:space="preserve"> to offend.</w:t>
      </w:r>
    </w:p>
    <w:p w14:paraId="0005E5C4" w14:textId="77777777" w:rsidR="00DF42E7" w:rsidRPr="00DF42E7" w:rsidRDefault="00DF42E7" w:rsidP="00472001">
      <w:pPr>
        <w:spacing w:after="0" w:line="360" w:lineRule="auto"/>
        <w:jc w:val="both"/>
        <w:rPr>
          <w:rFonts w:ascii="Arial" w:hAnsi="Arial" w:cs="Arial"/>
          <w:sz w:val="24"/>
          <w:szCs w:val="24"/>
        </w:rPr>
      </w:pPr>
    </w:p>
    <w:p w14:paraId="7D4C4194" w14:textId="77777777" w:rsidR="00DF42E7" w:rsidRDefault="00DF42E7" w:rsidP="00472001">
      <w:pPr>
        <w:spacing w:after="0" w:line="360" w:lineRule="auto"/>
        <w:jc w:val="both"/>
        <w:rPr>
          <w:rFonts w:ascii="Arial" w:hAnsi="Arial" w:cs="Arial"/>
          <w:sz w:val="24"/>
          <w:szCs w:val="24"/>
        </w:rPr>
      </w:pPr>
      <w:r w:rsidRPr="00DF42E7">
        <w:rPr>
          <w:rFonts w:ascii="Arial" w:hAnsi="Arial" w:cs="Arial"/>
          <w:sz w:val="24"/>
          <w:szCs w:val="24"/>
        </w:rPr>
        <w:t xml:space="preserve">When conducting zero-inflated regression models, </w:t>
      </w:r>
      <w:proofErr w:type="spellStart"/>
      <w:r w:rsidRPr="00DF42E7">
        <w:rPr>
          <w:rFonts w:ascii="Arial" w:hAnsi="Arial" w:cs="Arial"/>
          <w:sz w:val="24"/>
          <w:szCs w:val="24"/>
        </w:rPr>
        <w:t>Mplus</w:t>
      </w:r>
      <w:proofErr w:type="spellEnd"/>
      <w:r w:rsidRPr="00DF42E7">
        <w:rPr>
          <w:rFonts w:ascii="Arial" w:hAnsi="Arial" w:cs="Arial"/>
          <w:sz w:val="24"/>
          <w:szCs w:val="24"/>
        </w:rPr>
        <w:t xml:space="preserve"> creates a continuous outcome measure as well as a latent binary outcome measure, since zero-inflated measures benefit from examining whether participants who score zero versus any other value other than zero might differ in relation to the independent variables. Positive values on the binary outcome are interpreted to mean that lower values are related to greater chance of the dependent variable assuming zero values. Negative values on the binary outcome are interpreted to mean that higher values (using categorical contrast coding) on the independent variable are related to more non-zero values on the dependent variable. </w:t>
      </w:r>
    </w:p>
    <w:p w14:paraId="717CBF81" w14:textId="77777777" w:rsidR="00DF42E7" w:rsidRDefault="00DF42E7" w:rsidP="00472001">
      <w:pPr>
        <w:spacing w:after="0" w:line="360" w:lineRule="auto"/>
        <w:jc w:val="both"/>
        <w:rPr>
          <w:rFonts w:ascii="Arial" w:hAnsi="Arial" w:cs="Arial"/>
          <w:sz w:val="24"/>
          <w:szCs w:val="24"/>
        </w:rPr>
      </w:pPr>
    </w:p>
    <w:p w14:paraId="7F71D51A" w14:textId="025A2F71" w:rsidR="003C0BC8" w:rsidRPr="003C0BC8" w:rsidRDefault="003C0BC8" w:rsidP="00783EB0">
      <w:pPr>
        <w:pStyle w:val="ListParagraph"/>
        <w:numPr>
          <w:ilvl w:val="0"/>
          <w:numId w:val="5"/>
        </w:numPr>
        <w:spacing w:after="0" w:line="360" w:lineRule="auto"/>
        <w:jc w:val="both"/>
        <w:rPr>
          <w:rFonts w:ascii="Arial" w:hAnsi="Arial" w:cs="Arial"/>
          <w:b/>
          <w:sz w:val="26"/>
          <w:szCs w:val="26"/>
        </w:rPr>
      </w:pPr>
      <w:r w:rsidRPr="003C0BC8">
        <w:rPr>
          <w:rFonts w:ascii="Arial" w:hAnsi="Arial" w:cs="Arial"/>
          <w:b/>
          <w:sz w:val="26"/>
          <w:szCs w:val="26"/>
        </w:rPr>
        <w:t xml:space="preserve">Results </w:t>
      </w:r>
    </w:p>
    <w:p w14:paraId="33D0BBB2" w14:textId="243B3D67" w:rsidR="00A80002" w:rsidRPr="003C0BC8" w:rsidRDefault="00ED0F7F" w:rsidP="00783EB0">
      <w:pPr>
        <w:pStyle w:val="ListParagraph"/>
        <w:numPr>
          <w:ilvl w:val="1"/>
          <w:numId w:val="5"/>
        </w:numPr>
        <w:spacing w:after="0" w:line="360" w:lineRule="auto"/>
        <w:jc w:val="both"/>
        <w:rPr>
          <w:rFonts w:ascii="Arial" w:hAnsi="Arial" w:cs="Arial"/>
          <w:b/>
          <w:sz w:val="24"/>
          <w:szCs w:val="24"/>
        </w:rPr>
      </w:pPr>
      <w:r>
        <w:rPr>
          <w:rFonts w:ascii="Arial" w:hAnsi="Arial" w:cs="Arial"/>
          <w:b/>
          <w:sz w:val="24"/>
          <w:szCs w:val="24"/>
        </w:rPr>
        <w:t xml:space="preserve"> </w:t>
      </w:r>
      <w:r w:rsidR="00A80002" w:rsidRPr="003C0BC8">
        <w:rPr>
          <w:rFonts w:ascii="Arial" w:hAnsi="Arial" w:cs="Arial"/>
          <w:b/>
          <w:sz w:val="24"/>
          <w:szCs w:val="24"/>
        </w:rPr>
        <w:t xml:space="preserve">Is an RCT of a complex intervention to address personality dysfunction and offending behaviours among high risk personality disordered offenders feasible with regard to recruitment, retention and acceptability? </w:t>
      </w:r>
    </w:p>
    <w:p w14:paraId="50C17C11" w14:textId="3D689B57" w:rsidR="00F8424B" w:rsidRDefault="00F8424B" w:rsidP="00472001">
      <w:pPr>
        <w:spacing w:after="0" w:line="360" w:lineRule="auto"/>
        <w:jc w:val="both"/>
        <w:rPr>
          <w:rFonts w:ascii="Arial" w:hAnsi="Arial" w:cs="Arial"/>
          <w:sz w:val="24"/>
          <w:szCs w:val="24"/>
        </w:rPr>
      </w:pPr>
      <w:r w:rsidRPr="00F8424B">
        <w:rPr>
          <w:rFonts w:ascii="Arial" w:hAnsi="Arial" w:cs="Arial"/>
          <w:sz w:val="24"/>
          <w:szCs w:val="24"/>
        </w:rPr>
        <w:t xml:space="preserve">The </w:t>
      </w:r>
      <w:r w:rsidR="00A4555A">
        <w:rPr>
          <w:rFonts w:ascii="Arial" w:hAnsi="Arial" w:cs="Arial"/>
          <w:sz w:val="24"/>
          <w:szCs w:val="24"/>
        </w:rPr>
        <w:t>initial intention was</w:t>
      </w:r>
      <w:r w:rsidRPr="00F8424B">
        <w:rPr>
          <w:rFonts w:ascii="Arial" w:hAnsi="Arial" w:cs="Arial"/>
          <w:sz w:val="24"/>
          <w:szCs w:val="24"/>
        </w:rPr>
        <w:t xml:space="preserve"> to recruit 60 participants </w:t>
      </w:r>
      <w:r>
        <w:rPr>
          <w:rFonts w:ascii="Arial" w:hAnsi="Arial" w:cs="Arial"/>
          <w:sz w:val="24"/>
          <w:szCs w:val="24"/>
        </w:rPr>
        <w:t xml:space="preserve">over two years. </w:t>
      </w:r>
      <w:r w:rsidRPr="00F8424B">
        <w:rPr>
          <w:rFonts w:ascii="Arial" w:hAnsi="Arial" w:cs="Arial"/>
          <w:sz w:val="24"/>
          <w:szCs w:val="24"/>
        </w:rPr>
        <w:t xml:space="preserve">Despite </w:t>
      </w:r>
      <w:r>
        <w:rPr>
          <w:rFonts w:ascii="Arial" w:hAnsi="Arial" w:cs="Arial"/>
          <w:sz w:val="24"/>
          <w:szCs w:val="24"/>
        </w:rPr>
        <w:t>recruiting</w:t>
      </w:r>
      <w:r w:rsidRPr="00F8424B">
        <w:rPr>
          <w:rFonts w:ascii="Arial" w:hAnsi="Arial" w:cs="Arial"/>
          <w:sz w:val="24"/>
          <w:szCs w:val="24"/>
        </w:rPr>
        <w:t xml:space="preserve"> close to the anticipated</w:t>
      </w:r>
      <w:r w:rsidR="008752AC">
        <w:rPr>
          <w:rFonts w:ascii="Arial" w:hAnsi="Arial" w:cs="Arial"/>
          <w:sz w:val="24"/>
          <w:szCs w:val="24"/>
        </w:rPr>
        <w:t xml:space="preserve"> yearly number of recruits </w:t>
      </w:r>
      <w:r w:rsidR="00F7006A">
        <w:rPr>
          <w:rFonts w:ascii="Arial" w:hAnsi="Arial" w:cs="Arial"/>
          <w:sz w:val="24"/>
          <w:szCs w:val="24"/>
        </w:rPr>
        <w:t xml:space="preserve">in the first 12 months </w:t>
      </w:r>
      <w:r w:rsidR="008752AC">
        <w:rPr>
          <w:rFonts w:ascii="Arial" w:hAnsi="Arial" w:cs="Arial"/>
          <w:sz w:val="24"/>
          <w:szCs w:val="24"/>
        </w:rPr>
        <w:t>(n=29</w:t>
      </w:r>
      <w:r w:rsidRPr="00F8424B">
        <w:rPr>
          <w:rFonts w:ascii="Arial" w:hAnsi="Arial" w:cs="Arial"/>
          <w:sz w:val="24"/>
          <w:szCs w:val="24"/>
        </w:rPr>
        <w:t>), it became apparent that participants already randomised had re</w:t>
      </w:r>
      <w:r w:rsidR="00A4555A">
        <w:rPr>
          <w:rFonts w:ascii="Arial" w:hAnsi="Arial" w:cs="Arial"/>
          <w:sz w:val="24"/>
          <w:szCs w:val="24"/>
        </w:rPr>
        <w:t xml:space="preserve">lease dates later than planned </w:t>
      </w:r>
      <w:r w:rsidR="004B3660">
        <w:rPr>
          <w:rFonts w:ascii="Arial" w:hAnsi="Arial" w:cs="Arial"/>
          <w:sz w:val="24"/>
          <w:szCs w:val="24"/>
        </w:rPr>
        <w:t xml:space="preserve">for </w:t>
      </w:r>
      <w:r w:rsidR="00A4555A">
        <w:rPr>
          <w:rFonts w:ascii="Arial" w:hAnsi="Arial" w:cs="Arial"/>
          <w:sz w:val="24"/>
          <w:szCs w:val="24"/>
        </w:rPr>
        <w:t xml:space="preserve">and that </w:t>
      </w:r>
      <w:r w:rsidRPr="00F8424B">
        <w:rPr>
          <w:rFonts w:ascii="Arial" w:hAnsi="Arial" w:cs="Arial"/>
          <w:sz w:val="24"/>
          <w:szCs w:val="24"/>
        </w:rPr>
        <w:t xml:space="preserve">there was a strong possibility that too few would be released over the 3 year period of the study to provide follow up after Resettle treatment. </w:t>
      </w:r>
      <w:r w:rsidR="008752AC">
        <w:rPr>
          <w:rFonts w:ascii="Arial" w:hAnsi="Arial" w:cs="Arial"/>
          <w:sz w:val="24"/>
          <w:szCs w:val="24"/>
        </w:rPr>
        <w:t>An</w:t>
      </w:r>
      <w:r w:rsidRPr="00F8424B">
        <w:rPr>
          <w:rFonts w:ascii="Arial" w:hAnsi="Arial" w:cs="Arial"/>
          <w:sz w:val="24"/>
          <w:szCs w:val="24"/>
        </w:rPr>
        <w:t xml:space="preserve"> application for additional funding for a further two years was made and accepted. </w:t>
      </w:r>
    </w:p>
    <w:p w14:paraId="29C17EC1" w14:textId="77777777" w:rsidR="00F8424B" w:rsidRDefault="00F8424B" w:rsidP="00472001">
      <w:pPr>
        <w:spacing w:after="0" w:line="360" w:lineRule="auto"/>
        <w:jc w:val="both"/>
        <w:rPr>
          <w:rFonts w:ascii="Arial" w:hAnsi="Arial" w:cs="Arial"/>
          <w:sz w:val="24"/>
          <w:szCs w:val="24"/>
        </w:rPr>
      </w:pPr>
    </w:p>
    <w:p w14:paraId="26C6AD51" w14:textId="0FAF5EEE" w:rsidR="00F8424B" w:rsidRPr="00F8424B" w:rsidRDefault="00515A85" w:rsidP="00472001">
      <w:pPr>
        <w:spacing w:after="0" w:line="360" w:lineRule="auto"/>
        <w:jc w:val="both"/>
        <w:rPr>
          <w:rFonts w:ascii="Arial" w:hAnsi="Arial" w:cs="Arial"/>
          <w:sz w:val="24"/>
          <w:szCs w:val="24"/>
        </w:rPr>
      </w:pPr>
      <w:r>
        <w:rPr>
          <w:rFonts w:ascii="Arial" w:hAnsi="Arial" w:cs="Arial"/>
          <w:sz w:val="24"/>
          <w:szCs w:val="24"/>
        </w:rPr>
        <w:t>Of the 110</w:t>
      </w:r>
      <w:r w:rsidR="00F8424B" w:rsidRPr="00F8424B">
        <w:rPr>
          <w:rFonts w:ascii="Arial" w:hAnsi="Arial" w:cs="Arial"/>
          <w:sz w:val="24"/>
          <w:szCs w:val="24"/>
        </w:rPr>
        <w:t xml:space="preserve"> men identified </w:t>
      </w:r>
      <w:r w:rsidR="008752AC">
        <w:rPr>
          <w:rFonts w:ascii="Arial" w:hAnsi="Arial" w:cs="Arial"/>
          <w:sz w:val="24"/>
          <w:szCs w:val="24"/>
        </w:rPr>
        <w:t xml:space="preserve">in the extended study period </w:t>
      </w:r>
      <w:r w:rsidR="00F8424B" w:rsidRPr="00F8424B">
        <w:rPr>
          <w:rFonts w:ascii="Arial" w:hAnsi="Arial" w:cs="Arial"/>
          <w:sz w:val="24"/>
          <w:szCs w:val="24"/>
        </w:rPr>
        <w:t>as eligible for the study</w:t>
      </w:r>
      <w:r w:rsidR="00A4555A">
        <w:rPr>
          <w:rFonts w:ascii="Arial" w:hAnsi="Arial" w:cs="Arial"/>
          <w:sz w:val="24"/>
          <w:szCs w:val="24"/>
        </w:rPr>
        <w:t>,</w:t>
      </w:r>
      <w:r w:rsidR="00F8424B" w:rsidRPr="00F8424B">
        <w:rPr>
          <w:rFonts w:ascii="Arial" w:hAnsi="Arial" w:cs="Arial"/>
          <w:sz w:val="24"/>
          <w:szCs w:val="24"/>
        </w:rPr>
        <w:t xml:space="preserve"> 72 (</w:t>
      </w:r>
      <w:r>
        <w:rPr>
          <w:rFonts w:ascii="Arial" w:hAnsi="Arial" w:cs="Arial"/>
          <w:sz w:val="24"/>
          <w:szCs w:val="24"/>
        </w:rPr>
        <w:t>65</w:t>
      </w:r>
      <w:r w:rsidR="00F8424B" w:rsidRPr="00F8424B">
        <w:rPr>
          <w:rFonts w:ascii="Arial" w:hAnsi="Arial" w:cs="Arial"/>
          <w:sz w:val="24"/>
          <w:szCs w:val="24"/>
        </w:rPr>
        <w:t>%) consented to take part and participated in the baseline assessment</w:t>
      </w:r>
      <w:r w:rsidR="00ED0F7F">
        <w:rPr>
          <w:rFonts w:ascii="Arial" w:hAnsi="Arial" w:cs="Arial"/>
          <w:sz w:val="24"/>
          <w:szCs w:val="24"/>
        </w:rPr>
        <w:t xml:space="preserve"> (Figure 1)</w:t>
      </w:r>
      <w:r w:rsidR="00F8424B" w:rsidRPr="00F8424B">
        <w:rPr>
          <w:rFonts w:ascii="Arial" w:hAnsi="Arial" w:cs="Arial"/>
          <w:sz w:val="24"/>
          <w:szCs w:val="24"/>
        </w:rPr>
        <w:t xml:space="preserve">. </w:t>
      </w:r>
      <w:r w:rsidR="0038145D">
        <w:rPr>
          <w:rFonts w:ascii="Arial" w:hAnsi="Arial" w:cs="Arial"/>
          <w:sz w:val="24"/>
          <w:szCs w:val="24"/>
        </w:rPr>
        <w:t xml:space="preserve">Although the men were returned to a defined geographical area, whilst in prison they </w:t>
      </w:r>
      <w:r w:rsidR="0038145D">
        <w:rPr>
          <w:rFonts w:ascii="Arial" w:hAnsi="Arial" w:cs="Arial"/>
          <w:sz w:val="24"/>
          <w:szCs w:val="24"/>
        </w:rPr>
        <w:lastRenderedPageBreak/>
        <w:t>were distributed widely across the prison estate. Thus a practical implication for undertaking the trial was the researcher</w:t>
      </w:r>
      <w:r w:rsidR="00A9007E">
        <w:rPr>
          <w:rFonts w:ascii="Arial" w:hAnsi="Arial" w:cs="Arial"/>
          <w:sz w:val="24"/>
          <w:szCs w:val="24"/>
        </w:rPr>
        <w:t>s</w:t>
      </w:r>
      <w:r w:rsidR="0038145D">
        <w:rPr>
          <w:rFonts w:ascii="Arial" w:hAnsi="Arial" w:cs="Arial"/>
          <w:sz w:val="24"/>
          <w:szCs w:val="24"/>
        </w:rPr>
        <w:t xml:space="preserve"> travelling extensively. </w:t>
      </w:r>
      <w:r w:rsidR="00F8424B" w:rsidRPr="00F8424B">
        <w:rPr>
          <w:rFonts w:ascii="Arial" w:hAnsi="Arial" w:cs="Arial"/>
          <w:sz w:val="24"/>
          <w:szCs w:val="24"/>
        </w:rPr>
        <w:t xml:space="preserve">Following baseline assessments, thirty-eight were randomised to Resettle and 34 to the control group. </w:t>
      </w:r>
    </w:p>
    <w:p w14:paraId="3D27DF2B" w14:textId="77777777" w:rsidR="00F8424B" w:rsidRPr="00F8424B" w:rsidRDefault="00F8424B" w:rsidP="00472001">
      <w:pPr>
        <w:spacing w:after="0" w:line="360" w:lineRule="auto"/>
        <w:jc w:val="both"/>
        <w:rPr>
          <w:rFonts w:ascii="Arial" w:hAnsi="Arial" w:cs="Arial"/>
          <w:sz w:val="24"/>
          <w:szCs w:val="24"/>
        </w:rPr>
      </w:pPr>
    </w:p>
    <w:p w14:paraId="3DA946F8" w14:textId="663A5518" w:rsidR="00A9703F" w:rsidRDefault="003C0BC8" w:rsidP="00472001">
      <w:pPr>
        <w:spacing w:after="0" w:line="360" w:lineRule="auto"/>
        <w:jc w:val="both"/>
        <w:rPr>
          <w:rFonts w:ascii="Arial" w:hAnsi="Arial" w:cs="Arial"/>
          <w:sz w:val="24"/>
          <w:szCs w:val="24"/>
        </w:rPr>
      </w:pPr>
      <w:r>
        <w:rPr>
          <w:rFonts w:ascii="Arial" w:hAnsi="Arial" w:cs="Arial"/>
          <w:sz w:val="24"/>
          <w:szCs w:val="24"/>
        </w:rPr>
        <w:t xml:space="preserve">As can </w:t>
      </w:r>
      <w:r w:rsidR="00237642">
        <w:rPr>
          <w:rFonts w:ascii="Arial" w:hAnsi="Arial" w:cs="Arial"/>
          <w:sz w:val="24"/>
          <w:szCs w:val="24"/>
        </w:rPr>
        <w:t xml:space="preserve">be </w:t>
      </w:r>
      <w:r>
        <w:rPr>
          <w:rFonts w:ascii="Arial" w:hAnsi="Arial" w:cs="Arial"/>
          <w:sz w:val="24"/>
          <w:szCs w:val="24"/>
        </w:rPr>
        <w:t>seen in table</w:t>
      </w:r>
      <w:r w:rsidR="00A9703F">
        <w:rPr>
          <w:rFonts w:ascii="Arial" w:hAnsi="Arial" w:cs="Arial"/>
          <w:sz w:val="24"/>
          <w:szCs w:val="24"/>
        </w:rPr>
        <w:t>s</w:t>
      </w:r>
      <w:r>
        <w:rPr>
          <w:rFonts w:ascii="Arial" w:hAnsi="Arial" w:cs="Arial"/>
          <w:sz w:val="24"/>
          <w:szCs w:val="24"/>
        </w:rPr>
        <w:t xml:space="preserve"> 1</w:t>
      </w:r>
      <w:r w:rsidR="00A9703F">
        <w:rPr>
          <w:rFonts w:ascii="Arial" w:hAnsi="Arial" w:cs="Arial"/>
          <w:sz w:val="24"/>
          <w:szCs w:val="24"/>
        </w:rPr>
        <w:t xml:space="preserve"> and 2</w:t>
      </w:r>
      <w:r w:rsidR="00F8424B" w:rsidRPr="00F8424B">
        <w:rPr>
          <w:rFonts w:ascii="Arial" w:hAnsi="Arial" w:cs="Arial"/>
          <w:sz w:val="24"/>
          <w:szCs w:val="24"/>
        </w:rPr>
        <w:t>, randomisation yielded groups that were very similar by demographic features</w:t>
      </w:r>
      <w:r w:rsidR="00CE34AA">
        <w:rPr>
          <w:rFonts w:ascii="Arial" w:hAnsi="Arial" w:cs="Arial"/>
          <w:sz w:val="24"/>
          <w:szCs w:val="24"/>
        </w:rPr>
        <w:t xml:space="preserve">, </w:t>
      </w:r>
      <w:r w:rsidR="000A37B5" w:rsidRPr="00F8424B">
        <w:rPr>
          <w:rFonts w:ascii="Arial" w:hAnsi="Arial" w:cs="Arial"/>
          <w:sz w:val="24"/>
          <w:szCs w:val="24"/>
        </w:rPr>
        <w:t>offending history</w:t>
      </w:r>
      <w:r w:rsidR="000A37B5">
        <w:rPr>
          <w:rFonts w:ascii="Arial" w:hAnsi="Arial" w:cs="Arial"/>
          <w:sz w:val="24"/>
          <w:szCs w:val="24"/>
        </w:rPr>
        <w:t xml:space="preserve">, </w:t>
      </w:r>
      <w:r w:rsidR="000A37B5" w:rsidRPr="00F8424B">
        <w:rPr>
          <w:rFonts w:ascii="Arial" w:hAnsi="Arial" w:cs="Arial"/>
          <w:sz w:val="24"/>
          <w:szCs w:val="24"/>
        </w:rPr>
        <w:t>psychopathy</w:t>
      </w:r>
      <w:r w:rsidR="00B7134B">
        <w:rPr>
          <w:rFonts w:ascii="Arial" w:hAnsi="Arial" w:cs="Arial"/>
          <w:sz w:val="24"/>
          <w:szCs w:val="24"/>
        </w:rPr>
        <w:t>, mental health symptoms</w:t>
      </w:r>
      <w:r w:rsidR="000A37B5" w:rsidRPr="00F8424B">
        <w:rPr>
          <w:rFonts w:ascii="Arial" w:hAnsi="Arial" w:cs="Arial"/>
          <w:sz w:val="24"/>
          <w:szCs w:val="24"/>
        </w:rPr>
        <w:t xml:space="preserve"> </w:t>
      </w:r>
      <w:r w:rsidR="000A37B5">
        <w:rPr>
          <w:rFonts w:ascii="Arial" w:hAnsi="Arial" w:cs="Arial"/>
          <w:sz w:val="24"/>
          <w:szCs w:val="24"/>
        </w:rPr>
        <w:t xml:space="preserve">and </w:t>
      </w:r>
      <w:r w:rsidR="00CE34AA">
        <w:rPr>
          <w:rFonts w:ascii="Arial" w:hAnsi="Arial" w:cs="Arial"/>
          <w:sz w:val="24"/>
          <w:szCs w:val="24"/>
        </w:rPr>
        <w:t>personality disorder diagnose</w:t>
      </w:r>
      <w:r w:rsidR="000A37B5">
        <w:rPr>
          <w:rFonts w:ascii="Arial" w:hAnsi="Arial" w:cs="Arial"/>
          <w:sz w:val="24"/>
          <w:szCs w:val="24"/>
        </w:rPr>
        <w:t>s</w:t>
      </w:r>
      <w:r w:rsidR="00F8424B" w:rsidRPr="00F8424B">
        <w:rPr>
          <w:rFonts w:ascii="Arial" w:hAnsi="Arial" w:cs="Arial"/>
          <w:sz w:val="24"/>
          <w:szCs w:val="24"/>
        </w:rPr>
        <w:t xml:space="preserve">.  The majority had offended from an early age and had committed a large number of diverse offences, thus indicating the severity of this sample. Forty three (60%) had scores above the published threshold for high psychopathic traits of 15 – 16 (Guy &amp; Douglas, 2006; Hart et al. 1995). </w:t>
      </w:r>
    </w:p>
    <w:p w14:paraId="1A287B34" w14:textId="4BB63C41" w:rsidR="00495E67" w:rsidRDefault="00A9703F">
      <w:pPr>
        <w:rPr>
          <w:rFonts w:ascii="Arial" w:hAnsi="Arial" w:cs="Arial"/>
          <w:sz w:val="24"/>
          <w:szCs w:val="24"/>
        </w:rPr>
      </w:pPr>
      <w:r>
        <w:rPr>
          <w:rFonts w:ascii="Arial" w:hAnsi="Arial" w:cs="Arial"/>
          <w:sz w:val="24"/>
          <w:szCs w:val="24"/>
        </w:rPr>
        <w:br w:type="page"/>
      </w:r>
    </w:p>
    <w:p w14:paraId="296B3F91" w14:textId="591EC957" w:rsidR="00A9703F" w:rsidRPr="00495E67" w:rsidRDefault="00495E67">
      <w:pPr>
        <w:rPr>
          <w:rFonts w:ascii="Arial" w:hAnsi="Arial" w:cs="Arial"/>
          <w:i/>
          <w:sz w:val="24"/>
          <w:szCs w:val="24"/>
        </w:rPr>
      </w:pPr>
      <w:r w:rsidRPr="00495E67">
        <w:rPr>
          <w:rFonts w:ascii="Arial" w:hAnsi="Arial" w:cs="Arial"/>
          <w:i/>
          <w:sz w:val="24"/>
          <w:szCs w:val="24"/>
        </w:rPr>
        <w:lastRenderedPageBreak/>
        <w:t>Table 1. Age, ethnicity, offending, PCL-R scores, and time from release to follow-up of treatment and control groups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2127"/>
        <w:gridCol w:w="1984"/>
      </w:tblGrid>
      <w:tr w:rsidR="00A9703F" w:rsidRPr="00A9703F" w14:paraId="1C435779" w14:textId="77777777" w:rsidTr="00A06A6B">
        <w:trPr>
          <w:trHeight w:val="743"/>
        </w:trPr>
        <w:tc>
          <w:tcPr>
            <w:tcW w:w="2802" w:type="dxa"/>
          </w:tcPr>
          <w:p w14:paraId="5144ADFF" w14:textId="77777777" w:rsidR="00A9703F" w:rsidRDefault="00A9703F" w:rsidP="00A9703F">
            <w:pPr>
              <w:spacing w:after="0" w:line="240" w:lineRule="auto"/>
              <w:rPr>
                <w:rFonts w:ascii="Arial" w:hAnsi="Arial" w:cs="Arial"/>
                <w:sz w:val="24"/>
                <w:szCs w:val="24"/>
                <w:lang w:val="en-US"/>
              </w:rPr>
            </w:pPr>
          </w:p>
          <w:p w14:paraId="4F93BDF3" w14:textId="77777777" w:rsidR="00495E67" w:rsidRPr="00A9703F" w:rsidRDefault="00495E67" w:rsidP="00A9703F">
            <w:pPr>
              <w:spacing w:after="0" w:line="240" w:lineRule="auto"/>
              <w:rPr>
                <w:rFonts w:ascii="Arial" w:hAnsi="Arial" w:cs="Arial"/>
                <w:sz w:val="24"/>
                <w:szCs w:val="24"/>
                <w:lang w:val="en-US"/>
              </w:rPr>
            </w:pPr>
          </w:p>
        </w:tc>
        <w:tc>
          <w:tcPr>
            <w:tcW w:w="1842" w:type="dxa"/>
          </w:tcPr>
          <w:p w14:paraId="71EAF103" w14:textId="77777777" w:rsidR="00A9703F" w:rsidRPr="00A9703F" w:rsidRDefault="00A9703F" w:rsidP="00A9703F">
            <w:pPr>
              <w:spacing w:after="0" w:line="240" w:lineRule="auto"/>
              <w:rPr>
                <w:rFonts w:ascii="Arial" w:hAnsi="Arial" w:cs="Arial"/>
                <w:b/>
                <w:sz w:val="24"/>
                <w:szCs w:val="24"/>
                <w:lang w:val="en-US"/>
              </w:rPr>
            </w:pPr>
            <w:r w:rsidRPr="00A9703F">
              <w:rPr>
                <w:rFonts w:ascii="Arial" w:hAnsi="Arial" w:cs="Arial"/>
                <w:b/>
                <w:sz w:val="24"/>
                <w:szCs w:val="24"/>
                <w:lang w:val="en-US"/>
              </w:rPr>
              <w:t>Resettle (treatment) group (N = 38)</w:t>
            </w:r>
          </w:p>
        </w:tc>
        <w:tc>
          <w:tcPr>
            <w:tcW w:w="2127" w:type="dxa"/>
          </w:tcPr>
          <w:p w14:paraId="5D2CE2D8" w14:textId="258DB008" w:rsidR="00A9703F" w:rsidRPr="00A9703F" w:rsidRDefault="00ED0F7F" w:rsidP="00A9703F">
            <w:pPr>
              <w:spacing w:after="0" w:line="240" w:lineRule="auto"/>
              <w:rPr>
                <w:rFonts w:ascii="Arial" w:hAnsi="Arial" w:cs="Arial"/>
                <w:b/>
                <w:sz w:val="24"/>
                <w:szCs w:val="24"/>
                <w:lang w:val="en-US"/>
              </w:rPr>
            </w:pPr>
            <w:r>
              <w:rPr>
                <w:rFonts w:ascii="Arial" w:hAnsi="Arial" w:cs="Arial"/>
                <w:b/>
                <w:sz w:val="24"/>
                <w:szCs w:val="24"/>
                <w:lang w:val="en-US"/>
              </w:rPr>
              <w:t>Control</w:t>
            </w:r>
            <w:r w:rsidR="00A9703F" w:rsidRPr="00A9703F">
              <w:rPr>
                <w:rFonts w:ascii="Arial" w:hAnsi="Arial" w:cs="Arial"/>
                <w:b/>
                <w:sz w:val="24"/>
                <w:szCs w:val="24"/>
                <w:lang w:val="en-US"/>
              </w:rPr>
              <w:t xml:space="preserve"> group (N = 34)</w:t>
            </w:r>
          </w:p>
        </w:tc>
        <w:tc>
          <w:tcPr>
            <w:tcW w:w="1984" w:type="dxa"/>
          </w:tcPr>
          <w:p w14:paraId="1E0761E5" w14:textId="77777777" w:rsidR="00A9703F" w:rsidRPr="00A9703F" w:rsidRDefault="00A9703F" w:rsidP="00A9703F">
            <w:pPr>
              <w:spacing w:after="0" w:line="240" w:lineRule="auto"/>
              <w:rPr>
                <w:rFonts w:ascii="Arial" w:hAnsi="Arial" w:cs="Arial"/>
                <w:b/>
                <w:sz w:val="24"/>
                <w:szCs w:val="24"/>
                <w:lang w:val="en-US"/>
              </w:rPr>
            </w:pPr>
            <w:r w:rsidRPr="00A9703F">
              <w:rPr>
                <w:rFonts w:ascii="Arial" w:hAnsi="Arial" w:cs="Arial"/>
                <w:b/>
                <w:sz w:val="24"/>
                <w:szCs w:val="24"/>
                <w:lang w:val="en-US"/>
              </w:rPr>
              <w:t>Total</w:t>
            </w:r>
          </w:p>
        </w:tc>
      </w:tr>
      <w:tr w:rsidR="00A9703F" w:rsidRPr="00A9703F" w14:paraId="45516216" w14:textId="77777777" w:rsidTr="00A06A6B">
        <w:tc>
          <w:tcPr>
            <w:tcW w:w="2802" w:type="dxa"/>
          </w:tcPr>
          <w:p w14:paraId="5E7F8928" w14:textId="01E5561F" w:rsidR="00A9703F" w:rsidRPr="00A9703F" w:rsidRDefault="00A9703F" w:rsidP="00A9703F">
            <w:pPr>
              <w:spacing w:after="0" w:line="240" w:lineRule="auto"/>
              <w:rPr>
                <w:rFonts w:ascii="Arial" w:hAnsi="Arial" w:cs="Arial"/>
                <w:b/>
                <w:sz w:val="24"/>
                <w:szCs w:val="24"/>
                <w:lang w:val="en-US"/>
              </w:rPr>
            </w:pPr>
            <w:r w:rsidRPr="00A9703F">
              <w:rPr>
                <w:rFonts w:ascii="Arial" w:hAnsi="Arial" w:cs="Arial"/>
                <w:b/>
                <w:sz w:val="24"/>
                <w:szCs w:val="24"/>
                <w:lang w:val="en-US"/>
              </w:rPr>
              <w:t>Age, M (</w:t>
            </w:r>
            <w:proofErr w:type="spellStart"/>
            <w:r w:rsidRPr="00A9703F">
              <w:rPr>
                <w:rFonts w:ascii="Arial" w:hAnsi="Arial" w:cs="Arial"/>
                <w:b/>
                <w:sz w:val="24"/>
                <w:szCs w:val="24"/>
                <w:lang w:val="en-US"/>
              </w:rPr>
              <w:t>s</w:t>
            </w:r>
            <w:r w:rsidR="00CA6EA4">
              <w:rPr>
                <w:rFonts w:ascii="Arial" w:hAnsi="Arial" w:cs="Arial"/>
                <w:b/>
                <w:sz w:val="24"/>
                <w:szCs w:val="24"/>
                <w:lang w:val="en-US"/>
              </w:rPr>
              <w:t>.</w:t>
            </w:r>
            <w:r w:rsidRPr="00A9703F">
              <w:rPr>
                <w:rFonts w:ascii="Arial" w:hAnsi="Arial" w:cs="Arial"/>
                <w:b/>
                <w:sz w:val="24"/>
                <w:szCs w:val="24"/>
                <w:lang w:val="en-US"/>
              </w:rPr>
              <w:t>d</w:t>
            </w:r>
            <w:r w:rsidR="00CA6EA4">
              <w:rPr>
                <w:rFonts w:ascii="Arial" w:hAnsi="Arial" w:cs="Arial"/>
                <w:b/>
                <w:sz w:val="24"/>
                <w:szCs w:val="24"/>
                <w:lang w:val="en-US"/>
              </w:rPr>
              <w:t>.</w:t>
            </w:r>
            <w:proofErr w:type="spellEnd"/>
            <w:r w:rsidRPr="00A9703F">
              <w:rPr>
                <w:rFonts w:ascii="Arial" w:hAnsi="Arial" w:cs="Arial"/>
                <w:b/>
                <w:sz w:val="24"/>
                <w:szCs w:val="24"/>
                <w:lang w:val="en-US"/>
              </w:rPr>
              <w:t>)</w:t>
            </w:r>
          </w:p>
        </w:tc>
        <w:tc>
          <w:tcPr>
            <w:tcW w:w="1842" w:type="dxa"/>
          </w:tcPr>
          <w:p w14:paraId="5DBDB951"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35.82 (11.31)</w:t>
            </w:r>
          </w:p>
        </w:tc>
        <w:tc>
          <w:tcPr>
            <w:tcW w:w="2127" w:type="dxa"/>
          </w:tcPr>
          <w:p w14:paraId="527B46F2"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32.62 (11.57)</w:t>
            </w:r>
          </w:p>
        </w:tc>
        <w:tc>
          <w:tcPr>
            <w:tcW w:w="1984" w:type="dxa"/>
          </w:tcPr>
          <w:p w14:paraId="5E5D88AE"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34.31 (11.47)</w:t>
            </w:r>
          </w:p>
        </w:tc>
      </w:tr>
      <w:tr w:rsidR="00A9703F" w:rsidRPr="00A9703F" w14:paraId="157A7781" w14:textId="77777777" w:rsidTr="00A06A6B">
        <w:tc>
          <w:tcPr>
            <w:tcW w:w="2802" w:type="dxa"/>
          </w:tcPr>
          <w:p w14:paraId="5E2CCEE4" w14:textId="77777777" w:rsidR="00A9703F" w:rsidRPr="00A9703F" w:rsidRDefault="00A9703F" w:rsidP="00A9703F">
            <w:pPr>
              <w:spacing w:after="0" w:line="240" w:lineRule="auto"/>
              <w:rPr>
                <w:rFonts w:ascii="Arial" w:hAnsi="Arial" w:cs="Arial"/>
                <w:b/>
                <w:sz w:val="24"/>
                <w:szCs w:val="24"/>
                <w:lang w:val="en-US"/>
              </w:rPr>
            </w:pPr>
            <w:r w:rsidRPr="00A9703F">
              <w:rPr>
                <w:rFonts w:ascii="Arial" w:hAnsi="Arial" w:cs="Arial"/>
                <w:b/>
                <w:sz w:val="24"/>
                <w:szCs w:val="24"/>
                <w:lang w:val="en-US"/>
              </w:rPr>
              <w:t>Ethnicity</w:t>
            </w:r>
          </w:p>
        </w:tc>
        <w:tc>
          <w:tcPr>
            <w:tcW w:w="1842" w:type="dxa"/>
          </w:tcPr>
          <w:p w14:paraId="7809E60E" w14:textId="77777777" w:rsidR="00A9703F" w:rsidRPr="00A9703F" w:rsidRDefault="00A9703F" w:rsidP="00A9703F">
            <w:pPr>
              <w:spacing w:after="0" w:line="240" w:lineRule="auto"/>
              <w:rPr>
                <w:rFonts w:ascii="Arial" w:hAnsi="Arial" w:cs="Arial"/>
                <w:sz w:val="24"/>
                <w:szCs w:val="24"/>
                <w:lang w:val="en-US"/>
              </w:rPr>
            </w:pPr>
          </w:p>
        </w:tc>
        <w:tc>
          <w:tcPr>
            <w:tcW w:w="2127" w:type="dxa"/>
          </w:tcPr>
          <w:p w14:paraId="2ECB9023" w14:textId="77777777" w:rsidR="00A9703F" w:rsidRPr="00A9703F" w:rsidRDefault="00A9703F" w:rsidP="00A9703F">
            <w:pPr>
              <w:spacing w:after="0" w:line="240" w:lineRule="auto"/>
              <w:rPr>
                <w:rFonts w:ascii="Arial" w:hAnsi="Arial" w:cs="Arial"/>
                <w:sz w:val="24"/>
                <w:szCs w:val="24"/>
                <w:lang w:val="en-US"/>
              </w:rPr>
            </w:pPr>
          </w:p>
        </w:tc>
        <w:tc>
          <w:tcPr>
            <w:tcW w:w="1984" w:type="dxa"/>
          </w:tcPr>
          <w:p w14:paraId="52655BAA" w14:textId="77777777" w:rsidR="00A9703F" w:rsidRPr="00A9703F" w:rsidRDefault="00A9703F" w:rsidP="00A9703F">
            <w:pPr>
              <w:spacing w:after="0" w:line="240" w:lineRule="auto"/>
              <w:rPr>
                <w:rFonts w:ascii="Arial" w:hAnsi="Arial" w:cs="Arial"/>
                <w:sz w:val="24"/>
                <w:szCs w:val="24"/>
                <w:lang w:val="en-US"/>
              </w:rPr>
            </w:pPr>
          </w:p>
        </w:tc>
      </w:tr>
      <w:tr w:rsidR="00A9703F" w:rsidRPr="00A9703F" w14:paraId="6482838B" w14:textId="77777777" w:rsidTr="00A06A6B">
        <w:tc>
          <w:tcPr>
            <w:tcW w:w="2802" w:type="dxa"/>
          </w:tcPr>
          <w:p w14:paraId="1647552D"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White British</w:t>
            </w:r>
          </w:p>
        </w:tc>
        <w:tc>
          <w:tcPr>
            <w:tcW w:w="1842" w:type="dxa"/>
          </w:tcPr>
          <w:p w14:paraId="499B537F"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34 (89.5%)</w:t>
            </w:r>
          </w:p>
        </w:tc>
        <w:tc>
          <w:tcPr>
            <w:tcW w:w="2127" w:type="dxa"/>
          </w:tcPr>
          <w:p w14:paraId="66DF1929"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33 (97.1%)</w:t>
            </w:r>
          </w:p>
        </w:tc>
        <w:tc>
          <w:tcPr>
            <w:tcW w:w="1984" w:type="dxa"/>
          </w:tcPr>
          <w:p w14:paraId="17D5148F"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67 (93.1%)</w:t>
            </w:r>
          </w:p>
        </w:tc>
      </w:tr>
      <w:tr w:rsidR="00A9703F" w:rsidRPr="00A9703F" w14:paraId="68844110" w14:textId="77777777" w:rsidTr="00A06A6B">
        <w:tc>
          <w:tcPr>
            <w:tcW w:w="2802" w:type="dxa"/>
          </w:tcPr>
          <w:p w14:paraId="7DFD6447"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White Irish</w:t>
            </w:r>
          </w:p>
        </w:tc>
        <w:tc>
          <w:tcPr>
            <w:tcW w:w="1842" w:type="dxa"/>
          </w:tcPr>
          <w:p w14:paraId="7CFCF080"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 (2.6%)</w:t>
            </w:r>
          </w:p>
        </w:tc>
        <w:tc>
          <w:tcPr>
            <w:tcW w:w="2127" w:type="dxa"/>
          </w:tcPr>
          <w:p w14:paraId="0EA35052"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0</w:t>
            </w:r>
          </w:p>
        </w:tc>
        <w:tc>
          <w:tcPr>
            <w:tcW w:w="1984" w:type="dxa"/>
          </w:tcPr>
          <w:p w14:paraId="2A4D09F8"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 (1.4%)</w:t>
            </w:r>
          </w:p>
        </w:tc>
      </w:tr>
      <w:tr w:rsidR="00A9703F" w:rsidRPr="00A9703F" w14:paraId="54E38D17" w14:textId="77777777" w:rsidTr="00A06A6B">
        <w:tc>
          <w:tcPr>
            <w:tcW w:w="2802" w:type="dxa"/>
          </w:tcPr>
          <w:p w14:paraId="34C0F814"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White &amp; black Caribbean</w:t>
            </w:r>
          </w:p>
        </w:tc>
        <w:tc>
          <w:tcPr>
            <w:tcW w:w="1842" w:type="dxa"/>
          </w:tcPr>
          <w:p w14:paraId="69F9D501"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0</w:t>
            </w:r>
          </w:p>
        </w:tc>
        <w:tc>
          <w:tcPr>
            <w:tcW w:w="2127" w:type="dxa"/>
          </w:tcPr>
          <w:p w14:paraId="306D7AFB"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 (2.9%)</w:t>
            </w:r>
          </w:p>
        </w:tc>
        <w:tc>
          <w:tcPr>
            <w:tcW w:w="1984" w:type="dxa"/>
          </w:tcPr>
          <w:p w14:paraId="7313AD12"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 (1.4%)</w:t>
            </w:r>
          </w:p>
        </w:tc>
      </w:tr>
      <w:tr w:rsidR="00A9703F" w:rsidRPr="00A9703F" w14:paraId="65996797" w14:textId="77777777" w:rsidTr="00A06A6B">
        <w:tc>
          <w:tcPr>
            <w:tcW w:w="2802" w:type="dxa"/>
          </w:tcPr>
          <w:p w14:paraId="38A88771"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African</w:t>
            </w:r>
          </w:p>
        </w:tc>
        <w:tc>
          <w:tcPr>
            <w:tcW w:w="1842" w:type="dxa"/>
          </w:tcPr>
          <w:p w14:paraId="3460DCF5"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 (2.6%)</w:t>
            </w:r>
          </w:p>
        </w:tc>
        <w:tc>
          <w:tcPr>
            <w:tcW w:w="2127" w:type="dxa"/>
          </w:tcPr>
          <w:p w14:paraId="030973DB"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0</w:t>
            </w:r>
          </w:p>
        </w:tc>
        <w:tc>
          <w:tcPr>
            <w:tcW w:w="1984" w:type="dxa"/>
          </w:tcPr>
          <w:p w14:paraId="1CAE4BAA"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 (1.4%)</w:t>
            </w:r>
          </w:p>
        </w:tc>
      </w:tr>
      <w:tr w:rsidR="00A9703F" w:rsidRPr="00A9703F" w14:paraId="4EC74AA2" w14:textId="77777777" w:rsidTr="00A06A6B">
        <w:tc>
          <w:tcPr>
            <w:tcW w:w="2802" w:type="dxa"/>
          </w:tcPr>
          <w:p w14:paraId="4927EA7D"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Other mixed background</w:t>
            </w:r>
          </w:p>
        </w:tc>
        <w:tc>
          <w:tcPr>
            <w:tcW w:w="1842" w:type="dxa"/>
          </w:tcPr>
          <w:p w14:paraId="1B5BA710"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2 (5.3)</w:t>
            </w:r>
          </w:p>
        </w:tc>
        <w:tc>
          <w:tcPr>
            <w:tcW w:w="2127" w:type="dxa"/>
          </w:tcPr>
          <w:p w14:paraId="2624C8A3"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0</w:t>
            </w:r>
          </w:p>
        </w:tc>
        <w:tc>
          <w:tcPr>
            <w:tcW w:w="1984" w:type="dxa"/>
          </w:tcPr>
          <w:p w14:paraId="6C31D50D"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2 (2.8%)</w:t>
            </w:r>
          </w:p>
        </w:tc>
      </w:tr>
      <w:tr w:rsidR="00A9703F" w:rsidRPr="00A9703F" w14:paraId="5AB52262" w14:textId="77777777" w:rsidTr="00A06A6B">
        <w:tc>
          <w:tcPr>
            <w:tcW w:w="2802" w:type="dxa"/>
          </w:tcPr>
          <w:p w14:paraId="4E870CE1" w14:textId="659D2C9C" w:rsidR="00A9703F" w:rsidRPr="00A9703F" w:rsidRDefault="00A9703F" w:rsidP="00A9703F">
            <w:pPr>
              <w:spacing w:after="0" w:line="240" w:lineRule="auto"/>
              <w:rPr>
                <w:rFonts w:ascii="Arial" w:hAnsi="Arial" w:cs="Arial"/>
                <w:b/>
                <w:sz w:val="24"/>
                <w:szCs w:val="24"/>
                <w:vertAlign w:val="superscript"/>
                <w:lang w:val="en-US"/>
              </w:rPr>
            </w:pPr>
            <w:r w:rsidRPr="00A9703F">
              <w:rPr>
                <w:rFonts w:ascii="Arial" w:hAnsi="Arial" w:cs="Arial"/>
                <w:b/>
                <w:sz w:val="24"/>
                <w:szCs w:val="24"/>
                <w:lang w:val="en-US"/>
              </w:rPr>
              <w:t>Age at first conviction</w:t>
            </w:r>
          </w:p>
        </w:tc>
        <w:tc>
          <w:tcPr>
            <w:tcW w:w="1842" w:type="dxa"/>
          </w:tcPr>
          <w:p w14:paraId="2E060063" w14:textId="77777777" w:rsidR="00A9703F" w:rsidRPr="00A9703F" w:rsidRDefault="00A9703F" w:rsidP="00A9703F">
            <w:pPr>
              <w:spacing w:after="0" w:line="240" w:lineRule="auto"/>
              <w:rPr>
                <w:rFonts w:ascii="Arial" w:hAnsi="Arial" w:cs="Arial"/>
                <w:sz w:val="24"/>
                <w:szCs w:val="24"/>
                <w:lang w:val="en-US"/>
              </w:rPr>
            </w:pPr>
          </w:p>
        </w:tc>
        <w:tc>
          <w:tcPr>
            <w:tcW w:w="2127" w:type="dxa"/>
          </w:tcPr>
          <w:p w14:paraId="374997FA" w14:textId="77777777" w:rsidR="00A9703F" w:rsidRPr="00A9703F" w:rsidRDefault="00A9703F" w:rsidP="00A9703F">
            <w:pPr>
              <w:spacing w:after="0" w:line="240" w:lineRule="auto"/>
              <w:rPr>
                <w:rFonts w:ascii="Arial" w:hAnsi="Arial" w:cs="Arial"/>
                <w:sz w:val="24"/>
                <w:szCs w:val="24"/>
                <w:lang w:val="en-US"/>
              </w:rPr>
            </w:pPr>
          </w:p>
        </w:tc>
        <w:tc>
          <w:tcPr>
            <w:tcW w:w="1984" w:type="dxa"/>
          </w:tcPr>
          <w:p w14:paraId="1D582CA3" w14:textId="77777777" w:rsidR="00A9703F" w:rsidRPr="00A9703F" w:rsidRDefault="00A9703F" w:rsidP="00A9703F">
            <w:pPr>
              <w:spacing w:after="0" w:line="240" w:lineRule="auto"/>
              <w:rPr>
                <w:rFonts w:ascii="Arial" w:hAnsi="Arial" w:cs="Arial"/>
                <w:sz w:val="24"/>
                <w:szCs w:val="24"/>
                <w:lang w:val="en-US"/>
              </w:rPr>
            </w:pPr>
          </w:p>
        </w:tc>
      </w:tr>
      <w:tr w:rsidR="00A9703F" w:rsidRPr="00A9703F" w14:paraId="3609C7A6" w14:textId="77777777" w:rsidTr="00A06A6B">
        <w:tc>
          <w:tcPr>
            <w:tcW w:w="2802" w:type="dxa"/>
          </w:tcPr>
          <w:p w14:paraId="71F4FA24"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Before age 15</w:t>
            </w:r>
          </w:p>
        </w:tc>
        <w:tc>
          <w:tcPr>
            <w:tcW w:w="1842" w:type="dxa"/>
          </w:tcPr>
          <w:p w14:paraId="5E2D3089"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13 (34.2%)</w:t>
            </w:r>
          </w:p>
        </w:tc>
        <w:tc>
          <w:tcPr>
            <w:tcW w:w="2127" w:type="dxa"/>
          </w:tcPr>
          <w:p w14:paraId="06ABE28C"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13 (38.2%)</w:t>
            </w:r>
          </w:p>
        </w:tc>
        <w:tc>
          <w:tcPr>
            <w:tcW w:w="1984" w:type="dxa"/>
          </w:tcPr>
          <w:p w14:paraId="0B1EC21F"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26 (36.1%)</w:t>
            </w:r>
          </w:p>
        </w:tc>
      </w:tr>
      <w:tr w:rsidR="00A9703F" w:rsidRPr="00A9703F" w14:paraId="798E2BD2" w14:textId="77777777" w:rsidTr="00A06A6B">
        <w:tc>
          <w:tcPr>
            <w:tcW w:w="2802" w:type="dxa"/>
          </w:tcPr>
          <w:p w14:paraId="303D0179"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Age 15 – 17</w:t>
            </w:r>
          </w:p>
        </w:tc>
        <w:tc>
          <w:tcPr>
            <w:tcW w:w="1842" w:type="dxa"/>
          </w:tcPr>
          <w:p w14:paraId="2F6E5474"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11 (28.9%)</w:t>
            </w:r>
          </w:p>
        </w:tc>
        <w:tc>
          <w:tcPr>
            <w:tcW w:w="2127" w:type="dxa"/>
          </w:tcPr>
          <w:p w14:paraId="36AAA348"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12 (35.5%)</w:t>
            </w:r>
          </w:p>
        </w:tc>
        <w:tc>
          <w:tcPr>
            <w:tcW w:w="1984" w:type="dxa"/>
          </w:tcPr>
          <w:p w14:paraId="4B46E363"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23 (31.9%)</w:t>
            </w:r>
          </w:p>
        </w:tc>
      </w:tr>
      <w:tr w:rsidR="00A9703F" w:rsidRPr="00A9703F" w14:paraId="6E88FCA6" w14:textId="77777777" w:rsidTr="00A06A6B">
        <w:tc>
          <w:tcPr>
            <w:tcW w:w="2802" w:type="dxa"/>
          </w:tcPr>
          <w:p w14:paraId="5E3415D7"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 xml:space="preserve">18 + </w:t>
            </w:r>
          </w:p>
        </w:tc>
        <w:tc>
          <w:tcPr>
            <w:tcW w:w="1842" w:type="dxa"/>
          </w:tcPr>
          <w:p w14:paraId="0F36D15E"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14 (36.8%)</w:t>
            </w:r>
          </w:p>
        </w:tc>
        <w:tc>
          <w:tcPr>
            <w:tcW w:w="2127" w:type="dxa"/>
          </w:tcPr>
          <w:p w14:paraId="450ACB14"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9 (26.5%)</w:t>
            </w:r>
          </w:p>
        </w:tc>
        <w:tc>
          <w:tcPr>
            <w:tcW w:w="1984" w:type="dxa"/>
          </w:tcPr>
          <w:p w14:paraId="4A1DA67E"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23 (31.9%)</w:t>
            </w:r>
          </w:p>
        </w:tc>
      </w:tr>
      <w:tr w:rsidR="00A9703F" w:rsidRPr="00A9703F" w14:paraId="513057BE" w14:textId="77777777" w:rsidTr="00A06A6B">
        <w:tc>
          <w:tcPr>
            <w:tcW w:w="2802" w:type="dxa"/>
          </w:tcPr>
          <w:p w14:paraId="18515415" w14:textId="59C53AA1" w:rsidR="00A9703F" w:rsidRPr="00A9703F" w:rsidRDefault="00A9703F" w:rsidP="00A9703F">
            <w:pPr>
              <w:spacing w:after="0" w:line="240" w:lineRule="auto"/>
              <w:rPr>
                <w:rFonts w:ascii="Arial" w:hAnsi="Arial" w:cs="Arial"/>
                <w:b/>
                <w:sz w:val="24"/>
                <w:szCs w:val="24"/>
                <w:lang w:val="en-US"/>
              </w:rPr>
            </w:pPr>
            <w:r w:rsidRPr="00A9703F">
              <w:rPr>
                <w:rFonts w:ascii="Arial" w:hAnsi="Arial" w:cs="Arial"/>
                <w:b/>
                <w:sz w:val="24"/>
                <w:szCs w:val="24"/>
                <w:lang w:val="en-US"/>
              </w:rPr>
              <w:t>No. of previous convictions</w:t>
            </w:r>
          </w:p>
        </w:tc>
        <w:tc>
          <w:tcPr>
            <w:tcW w:w="1842" w:type="dxa"/>
          </w:tcPr>
          <w:p w14:paraId="03137323"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13.26 (9.6)</w:t>
            </w:r>
          </w:p>
        </w:tc>
        <w:tc>
          <w:tcPr>
            <w:tcW w:w="2127" w:type="dxa"/>
          </w:tcPr>
          <w:p w14:paraId="1C34C076"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14.24 (10.9%)</w:t>
            </w:r>
          </w:p>
        </w:tc>
        <w:tc>
          <w:tcPr>
            <w:tcW w:w="1984" w:type="dxa"/>
          </w:tcPr>
          <w:p w14:paraId="2EC831EF"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13.72 (10.2%)</w:t>
            </w:r>
          </w:p>
        </w:tc>
      </w:tr>
      <w:tr w:rsidR="00A9703F" w:rsidRPr="00A9703F" w14:paraId="2481FEFD" w14:textId="77777777" w:rsidTr="00A06A6B">
        <w:tc>
          <w:tcPr>
            <w:tcW w:w="2802" w:type="dxa"/>
          </w:tcPr>
          <w:p w14:paraId="46A2FD86" w14:textId="7E672A25" w:rsidR="00A9703F" w:rsidRPr="00A9703F" w:rsidRDefault="00A9703F" w:rsidP="00A9703F">
            <w:pPr>
              <w:spacing w:after="0" w:line="240" w:lineRule="auto"/>
              <w:rPr>
                <w:rFonts w:ascii="Arial" w:hAnsi="Arial" w:cs="Arial"/>
                <w:b/>
                <w:sz w:val="24"/>
                <w:szCs w:val="24"/>
                <w:lang w:val="en-US"/>
              </w:rPr>
            </w:pPr>
            <w:r w:rsidRPr="00A9703F">
              <w:rPr>
                <w:rFonts w:ascii="Arial" w:hAnsi="Arial" w:cs="Arial"/>
                <w:b/>
                <w:sz w:val="24"/>
                <w:szCs w:val="24"/>
                <w:lang w:val="en-US"/>
              </w:rPr>
              <w:t>No. of previously convicted offences</w:t>
            </w:r>
          </w:p>
        </w:tc>
        <w:tc>
          <w:tcPr>
            <w:tcW w:w="1842" w:type="dxa"/>
          </w:tcPr>
          <w:p w14:paraId="75E4CDED"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32.46 (25.4)</w:t>
            </w:r>
          </w:p>
        </w:tc>
        <w:tc>
          <w:tcPr>
            <w:tcW w:w="2127" w:type="dxa"/>
          </w:tcPr>
          <w:p w14:paraId="65BCEB8A"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30.15 (27.2%)</w:t>
            </w:r>
          </w:p>
        </w:tc>
        <w:tc>
          <w:tcPr>
            <w:tcW w:w="1984" w:type="dxa"/>
          </w:tcPr>
          <w:p w14:paraId="1BA50372"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31.35 (26.1%)</w:t>
            </w:r>
          </w:p>
        </w:tc>
      </w:tr>
      <w:tr w:rsidR="00A9703F" w:rsidRPr="00A9703F" w14:paraId="78C22141" w14:textId="77777777" w:rsidTr="00A06A6B">
        <w:tc>
          <w:tcPr>
            <w:tcW w:w="2802" w:type="dxa"/>
          </w:tcPr>
          <w:p w14:paraId="2A1FE9D5" w14:textId="56C8D0B7" w:rsidR="00A9703F" w:rsidRPr="00A9703F" w:rsidRDefault="00A9703F" w:rsidP="00A9703F">
            <w:pPr>
              <w:spacing w:after="0" w:line="240" w:lineRule="auto"/>
              <w:rPr>
                <w:rFonts w:ascii="Arial" w:hAnsi="Arial" w:cs="Arial"/>
                <w:b/>
                <w:sz w:val="24"/>
                <w:szCs w:val="24"/>
                <w:lang w:val="en-US"/>
              </w:rPr>
            </w:pPr>
            <w:r w:rsidRPr="00A9703F">
              <w:rPr>
                <w:rFonts w:ascii="Arial" w:hAnsi="Arial" w:cs="Arial"/>
                <w:b/>
                <w:sz w:val="24"/>
                <w:szCs w:val="24"/>
                <w:lang w:val="en-US"/>
              </w:rPr>
              <w:t xml:space="preserve">Index offence </w:t>
            </w:r>
          </w:p>
        </w:tc>
        <w:tc>
          <w:tcPr>
            <w:tcW w:w="1842" w:type="dxa"/>
          </w:tcPr>
          <w:p w14:paraId="255A5384" w14:textId="77777777" w:rsidR="00A9703F" w:rsidRPr="00A9703F" w:rsidRDefault="00A9703F" w:rsidP="00A9703F">
            <w:pPr>
              <w:spacing w:after="0" w:line="240" w:lineRule="auto"/>
              <w:rPr>
                <w:rFonts w:ascii="Arial" w:hAnsi="Arial" w:cs="Arial"/>
                <w:sz w:val="24"/>
                <w:szCs w:val="24"/>
                <w:lang w:val="en-US"/>
              </w:rPr>
            </w:pPr>
          </w:p>
        </w:tc>
        <w:tc>
          <w:tcPr>
            <w:tcW w:w="2127" w:type="dxa"/>
          </w:tcPr>
          <w:p w14:paraId="1542BF34" w14:textId="77777777" w:rsidR="00A9703F" w:rsidRPr="00A9703F" w:rsidRDefault="00A9703F" w:rsidP="00A9703F">
            <w:pPr>
              <w:spacing w:after="0" w:line="240" w:lineRule="auto"/>
              <w:rPr>
                <w:rFonts w:ascii="Arial" w:hAnsi="Arial" w:cs="Arial"/>
                <w:sz w:val="24"/>
                <w:szCs w:val="24"/>
                <w:lang w:val="en-US"/>
              </w:rPr>
            </w:pPr>
          </w:p>
        </w:tc>
        <w:tc>
          <w:tcPr>
            <w:tcW w:w="1984" w:type="dxa"/>
          </w:tcPr>
          <w:p w14:paraId="3CADF5F9" w14:textId="77777777" w:rsidR="00A9703F" w:rsidRPr="00A9703F" w:rsidRDefault="00A9703F" w:rsidP="00A9703F">
            <w:pPr>
              <w:spacing w:after="0" w:line="240" w:lineRule="auto"/>
              <w:rPr>
                <w:rFonts w:ascii="Arial" w:hAnsi="Arial" w:cs="Arial"/>
                <w:sz w:val="24"/>
                <w:szCs w:val="24"/>
                <w:lang w:val="en-US"/>
              </w:rPr>
            </w:pPr>
          </w:p>
        </w:tc>
      </w:tr>
      <w:tr w:rsidR="00A9703F" w:rsidRPr="00A9703F" w14:paraId="150AD4E7" w14:textId="77777777" w:rsidTr="00A06A6B">
        <w:tc>
          <w:tcPr>
            <w:tcW w:w="2802" w:type="dxa"/>
          </w:tcPr>
          <w:p w14:paraId="4A82A59C"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Violent</w:t>
            </w:r>
          </w:p>
        </w:tc>
        <w:tc>
          <w:tcPr>
            <w:tcW w:w="1842" w:type="dxa"/>
          </w:tcPr>
          <w:p w14:paraId="11183A33"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25 (65.8%)</w:t>
            </w:r>
          </w:p>
        </w:tc>
        <w:tc>
          <w:tcPr>
            <w:tcW w:w="2127" w:type="dxa"/>
          </w:tcPr>
          <w:p w14:paraId="697D78E9"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25 (73.5%)</w:t>
            </w:r>
          </w:p>
        </w:tc>
        <w:tc>
          <w:tcPr>
            <w:tcW w:w="1984" w:type="dxa"/>
          </w:tcPr>
          <w:p w14:paraId="0D94804D"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50 (69.4%)</w:t>
            </w:r>
          </w:p>
        </w:tc>
      </w:tr>
      <w:tr w:rsidR="00A9703F" w:rsidRPr="00A9703F" w14:paraId="379F9A30" w14:textId="77777777" w:rsidTr="00A06A6B">
        <w:tc>
          <w:tcPr>
            <w:tcW w:w="2802" w:type="dxa"/>
          </w:tcPr>
          <w:p w14:paraId="5B966DF8"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Sexual</w:t>
            </w:r>
          </w:p>
        </w:tc>
        <w:tc>
          <w:tcPr>
            <w:tcW w:w="1842" w:type="dxa"/>
          </w:tcPr>
          <w:p w14:paraId="3505AAF2"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10 (26.3%)</w:t>
            </w:r>
          </w:p>
        </w:tc>
        <w:tc>
          <w:tcPr>
            <w:tcW w:w="2127" w:type="dxa"/>
          </w:tcPr>
          <w:p w14:paraId="357BD650"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5 (14.7%)</w:t>
            </w:r>
          </w:p>
        </w:tc>
        <w:tc>
          <w:tcPr>
            <w:tcW w:w="1984" w:type="dxa"/>
          </w:tcPr>
          <w:p w14:paraId="6AD99114"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15 (20.8%)</w:t>
            </w:r>
          </w:p>
        </w:tc>
      </w:tr>
      <w:tr w:rsidR="00A9703F" w:rsidRPr="00A9703F" w14:paraId="57479E82" w14:textId="77777777" w:rsidTr="00A06A6B">
        <w:tc>
          <w:tcPr>
            <w:tcW w:w="2802" w:type="dxa"/>
          </w:tcPr>
          <w:p w14:paraId="00EAE8E6"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 xml:space="preserve">Burglary </w:t>
            </w:r>
          </w:p>
        </w:tc>
        <w:tc>
          <w:tcPr>
            <w:tcW w:w="1842" w:type="dxa"/>
          </w:tcPr>
          <w:p w14:paraId="4EF581A4"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 (2.6%)</w:t>
            </w:r>
          </w:p>
        </w:tc>
        <w:tc>
          <w:tcPr>
            <w:tcW w:w="2127" w:type="dxa"/>
          </w:tcPr>
          <w:p w14:paraId="3B7B525C"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3 (8.8%)</w:t>
            </w:r>
          </w:p>
        </w:tc>
        <w:tc>
          <w:tcPr>
            <w:tcW w:w="1984" w:type="dxa"/>
          </w:tcPr>
          <w:p w14:paraId="05137A4D"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4 (5.6%)</w:t>
            </w:r>
          </w:p>
        </w:tc>
      </w:tr>
      <w:tr w:rsidR="00A9703F" w:rsidRPr="00A9703F" w14:paraId="1FF59273" w14:textId="77777777" w:rsidTr="00A06A6B">
        <w:tc>
          <w:tcPr>
            <w:tcW w:w="2802" w:type="dxa"/>
          </w:tcPr>
          <w:p w14:paraId="7198C674"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Robbery</w:t>
            </w:r>
          </w:p>
        </w:tc>
        <w:tc>
          <w:tcPr>
            <w:tcW w:w="1842" w:type="dxa"/>
          </w:tcPr>
          <w:p w14:paraId="0D023932"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7 (18.4%)</w:t>
            </w:r>
          </w:p>
        </w:tc>
        <w:tc>
          <w:tcPr>
            <w:tcW w:w="2127" w:type="dxa"/>
          </w:tcPr>
          <w:p w14:paraId="2958D9C1"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7 (20.6%)</w:t>
            </w:r>
          </w:p>
        </w:tc>
        <w:tc>
          <w:tcPr>
            <w:tcW w:w="1984" w:type="dxa"/>
          </w:tcPr>
          <w:p w14:paraId="50A6897E"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15 (20.8%)</w:t>
            </w:r>
          </w:p>
        </w:tc>
      </w:tr>
      <w:tr w:rsidR="00A9703F" w:rsidRPr="00A9703F" w14:paraId="54DF8616" w14:textId="77777777" w:rsidTr="00A06A6B">
        <w:tc>
          <w:tcPr>
            <w:tcW w:w="2802" w:type="dxa"/>
          </w:tcPr>
          <w:p w14:paraId="2AFFF9EE"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Other</w:t>
            </w:r>
          </w:p>
        </w:tc>
        <w:tc>
          <w:tcPr>
            <w:tcW w:w="1842" w:type="dxa"/>
          </w:tcPr>
          <w:p w14:paraId="3923E31F"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7 (18.4%)</w:t>
            </w:r>
          </w:p>
        </w:tc>
        <w:tc>
          <w:tcPr>
            <w:tcW w:w="2127" w:type="dxa"/>
          </w:tcPr>
          <w:p w14:paraId="30CCF6ED"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5 (14.7%)</w:t>
            </w:r>
          </w:p>
        </w:tc>
        <w:tc>
          <w:tcPr>
            <w:tcW w:w="1984" w:type="dxa"/>
          </w:tcPr>
          <w:p w14:paraId="4229B3B2"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12 (16.7%)</w:t>
            </w:r>
          </w:p>
        </w:tc>
      </w:tr>
      <w:tr w:rsidR="00A9703F" w:rsidRPr="00A9703F" w14:paraId="0B61B191" w14:textId="77777777" w:rsidTr="00A06A6B">
        <w:tc>
          <w:tcPr>
            <w:tcW w:w="2802" w:type="dxa"/>
          </w:tcPr>
          <w:p w14:paraId="1E27CC57" w14:textId="77777777" w:rsidR="00A9703F" w:rsidRPr="00A9703F" w:rsidRDefault="00A9703F" w:rsidP="00A9703F">
            <w:pPr>
              <w:spacing w:after="0" w:line="240" w:lineRule="auto"/>
              <w:rPr>
                <w:rFonts w:ascii="Arial" w:hAnsi="Arial" w:cs="Arial"/>
                <w:b/>
                <w:sz w:val="24"/>
                <w:szCs w:val="24"/>
                <w:lang w:val="en-US"/>
              </w:rPr>
            </w:pPr>
            <w:r w:rsidRPr="00A9703F">
              <w:rPr>
                <w:rFonts w:ascii="Arial" w:hAnsi="Arial" w:cs="Arial"/>
                <w:b/>
                <w:sz w:val="24"/>
                <w:szCs w:val="24"/>
                <w:lang w:val="en-US"/>
              </w:rPr>
              <w:t>PCL:SV mean scores (</w:t>
            </w:r>
            <w:proofErr w:type="spellStart"/>
            <w:r w:rsidRPr="00A9703F">
              <w:rPr>
                <w:rFonts w:ascii="Arial" w:hAnsi="Arial" w:cs="Arial"/>
                <w:b/>
                <w:sz w:val="24"/>
                <w:szCs w:val="24"/>
                <w:lang w:val="en-US"/>
              </w:rPr>
              <w:t>s.d.</w:t>
            </w:r>
            <w:proofErr w:type="spellEnd"/>
            <w:r w:rsidRPr="00A9703F">
              <w:rPr>
                <w:rFonts w:ascii="Arial" w:hAnsi="Arial" w:cs="Arial"/>
                <w:b/>
                <w:sz w:val="24"/>
                <w:szCs w:val="24"/>
                <w:lang w:val="en-US"/>
              </w:rPr>
              <w:t>)</w:t>
            </w:r>
          </w:p>
        </w:tc>
        <w:tc>
          <w:tcPr>
            <w:tcW w:w="1842" w:type="dxa"/>
          </w:tcPr>
          <w:p w14:paraId="77D6F0FB" w14:textId="77777777" w:rsidR="00A9703F" w:rsidRPr="00A9703F" w:rsidRDefault="00A9703F" w:rsidP="00A9703F">
            <w:pPr>
              <w:spacing w:after="0" w:line="240" w:lineRule="auto"/>
              <w:rPr>
                <w:rFonts w:ascii="Arial" w:hAnsi="Arial" w:cs="Arial"/>
                <w:sz w:val="24"/>
                <w:szCs w:val="24"/>
                <w:lang w:val="en-US"/>
              </w:rPr>
            </w:pPr>
          </w:p>
        </w:tc>
        <w:tc>
          <w:tcPr>
            <w:tcW w:w="2127" w:type="dxa"/>
          </w:tcPr>
          <w:p w14:paraId="0BE7C30D" w14:textId="77777777" w:rsidR="00A9703F" w:rsidRPr="00A9703F" w:rsidRDefault="00A9703F" w:rsidP="00A9703F">
            <w:pPr>
              <w:spacing w:after="0" w:line="240" w:lineRule="auto"/>
              <w:rPr>
                <w:rFonts w:ascii="Arial" w:hAnsi="Arial" w:cs="Arial"/>
                <w:sz w:val="24"/>
                <w:szCs w:val="24"/>
                <w:lang w:val="en-US"/>
              </w:rPr>
            </w:pPr>
          </w:p>
        </w:tc>
        <w:tc>
          <w:tcPr>
            <w:tcW w:w="1984" w:type="dxa"/>
          </w:tcPr>
          <w:p w14:paraId="5532728F" w14:textId="77777777" w:rsidR="00A9703F" w:rsidRPr="00A9703F" w:rsidRDefault="00A9703F" w:rsidP="00A9703F">
            <w:pPr>
              <w:spacing w:after="0" w:line="240" w:lineRule="auto"/>
              <w:rPr>
                <w:rFonts w:ascii="Arial" w:hAnsi="Arial" w:cs="Arial"/>
                <w:sz w:val="24"/>
                <w:szCs w:val="24"/>
                <w:lang w:val="en-US"/>
              </w:rPr>
            </w:pPr>
          </w:p>
        </w:tc>
      </w:tr>
      <w:tr w:rsidR="00A9703F" w:rsidRPr="00A9703F" w14:paraId="6D771C4A" w14:textId="77777777" w:rsidTr="00A06A6B">
        <w:tc>
          <w:tcPr>
            <w:tcW w:w="2802" w:type="dxa"/>
          </w:tcPr>
          <w:p w14:paraId="3DE5C471"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Total</w:t>
            </w:r>
          </w:p>
        </w:tc>
        <w:tc>
          <w:tcPr>
            <w:tcW w:w="1842" w:type="dxa"/>
          </w:tcPr>
          <w:p w14:paraId="32AE08CE"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16.16 (4.64)</w:t>
            </w:r>
          </w:p>
        </w:tc>
        <w:tc>
          <w:tcPr>
            <w:tcW w:w="2127" w:type="dxa"/>
          </w:tcPr>
          <w:p w14:paraId="599493F0"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15.74 (4.53)</w:t>
            </w:r>
          </w:p>
        </w:tc>
        <w:tc>
          <w:tcPr>
            <w:tcW w:w="1984" w:type="dxa"/>
          </w:tcPr>
          <w:p w14:paraId="33FC3482"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15.96 (4.56)</w:t>
            </w:r>
          </w:p>
        </w:tc>
      </w:tr>
      <w:tr w:rsidR="00A9703F" w:rsidRPr="00A9703F" w14:paraId="4A668A13" w14:textId="77777777" w:rsidTr="00A06A6B">
        <w:tc>
          <w:tcPr>
            <w:tcW w:w="2802" w:type="dxa"/>
          </w:tcPr>
          <w:p w14:paraId="0D854483"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Facet 1</w:t>
            </w:r>
          </w:p>
        </w:tc>
        <w:tc>
          <w:tcPr>
            <w:tcW w:w="1842" w:type="dxa"/>
          </w:tcPr>
          <w:p w14:paraId="4CA2125B"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7.08 (3.04)</w:t>
            </w:r>
          </w:p>
        </w:tc>
        <w:tc>
          <w:tcPr>
            <w:tcW w:w="2127" w:type="dxa"/>
          </w:tcPr>
          <w:p w14:paraId="00A712D1"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6.53 (3.51)</w:t>
            </w:r>
          </w:p>
        </w:tc>
        <w:tc>
          <w:tcPr>
            <w:tcW w:w="1984" w:type="dxa"/>
          </w:tcPr>
          <w:p w14:paraId="248982AA"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6.82 (3.26)</w:t>
            </w:r>
          </w:p>
        </w:tc>
      </w:tr>
      <w:tr w:rsidR="00A9703F" w:rsidRPr="00A9703F" w14:paraId="15986A4B" w14:textId="77777777" w:rsidTr="00A06A6B">
        <w:tc>
          <w:tcPr>
            <w:tcW w:w="2802" w:type="dxa"/>
          </w:tcPr>
          <w:p w14:paraId="5ACBE9D5"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Facet 2</w:t>
            </w:r>
          </w:p>
        </w:tc>
        <w:tc>
          <w:tcPr>
            <w:tcW w:w="1842" w:type="dxa"/>
          </w:tcPr>
          <w:p w14:paraId="5BD67A53"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8.97 (3.31)</w:t>
            </w:r>
          </w:p>
        </w:tc>
        <w:tc>
          <w:tcPr>
            <w:tcW w:w="2127" w:type="dxa"/>
          </w:tcPr>
          <w:p w14:paraId="4E1FBC36"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9.15 (2.36)</w:t>
            </w:r>
          </w:p>
        </w:tc>
        <w:tc>
          <w:tcPr>
            <w:tcW w:w="1984" w:type="dxa"/>
          </w:tcPr>
          <w:p w14:paraId="32843956"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9.06 (2.88)</w:t>
            </w:r>
          </w:p>
        </w:tc>
      </w:tr>
      <w:tr w:rsidR="00A9703F" w:rsidRPr="00A9703F" w14:paraId="44FFD02D" w14:textId="77777777" w:rsidTr="00A06A6B">
        <w:tc>
          <w:tcPr>
            <w:tcW w:w="2802" w:type="dxa"/>
          </w:tcPr>
          <w:p w14:paraId="13326EC1" w14:textId="77777777" w:rsidR="00A9703F" w:rsidRPr="00A9703F" w:rsidRDefault="00A9703F" w:rsidP="00A9703F">
            <w:pPr>
              <w:spacing w:after="0" w:line="240" w:lineRule="auto"/>
              <w:rPr>
                <w:rFonts w:ascii="Arial" w:hAnsi="Arial" w:cs="Arial"/>
                <w:b/>
                <w:sz w:val="24"/>
                <w:szCs w:val="24"/>
                <w:lang w:val="en-US"/>
              </w:rPr>
            </w:pPr>
            <w:r w:rsidRPr="00A9703F">
              <w:rPr>
                <w:rFonts w:ascii="Arial" w:hAnsi="Arial" w:cs="Arial"/>
                <w:b/>
                <w:sz w:val="24"/>
                <w:szCs w:val="24"/>
                <w:lang w:val="en-US"/>
              </w:rPr>
              <w:t>Mean days from release to follow-up (</w:t>
            </w:r>
            <w:proofErr w:type="spellStart"/>
            <w:r w:rsidRPr="00A9703F">
              <w:rPr>
                <w:rFonts w:ascii="Arial" w:hAnsi="Arial" w:cs="Arial"/>
                <w:b/>
                <w:sz w:val="24"/>
                <w:szCs w:val="24"/>
                <w:lang w:val="en-US"/>
              </w:rPr>
              <w:t>s.d.</w:t>
            </w:r>
            <w:proofErr w:type="spellEnd"/>
            <w:r w:rsidRPr="00A9703F">
              <w:rPr>
                <w:rFonts w:ascii="Arial" w:hAnsi="Arial" w:cs="Arial"/>
                <w:b/>
                <w:sz w:val="24"/>
                <w:szCs w:val="24"/>
                <w:lang w:val="en-US"/>
              </w:rPr>
              <w:t>)</w:t>
            </w:r>
          </w:p>
        </w:tc>
        <w:tc>
          <w:tcPr>
            <w:tcW w:w="1842" w:type="dxa"/>
          </w:tcPr>
          <w:p w14:paraId="10CF9BBD"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882.5 (187.1)</w:t>
            </w:r>
          </w:p>
        </w:tc>
        <w:tc>
          <w:tcPr>
            <w:tcW w:w="2127" w:type="dxa"/>
          </w:tcPr>
          <w:p w14:paraId="079648ED"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832.6 (144.1)</w:t>
            </w:r>
          </w:p>
        </w:tc>
        <w:tc>
          <w:tcPr>
            <w:tcW w:w="1984" w:type="dxa"/>
          </w:tcPr>
          <w:p w14:paraId="2B786678" w14:textId="77777777" w:rsidR="00A9703F" w:rsidRPr="00A9703F" w:rsidRDefault="00A9703F" w:rsidP="00A9703F">
            <w:pPr>
              <w:spacing w:after="0" w:line="240" w:lineRule="auto"/>
              <w:rPr>
                <w:rFonts w:ascii="Arial" w:hAnsi="Arial" w:cs="Arial"/>
                <w:sz w:val="24"/>
                <w:szCs w:val="24"/>
                <w:lang w:val="en-US"/>
              </w:rPr>
            </w:pPr>
            <w:r w:rsidRPr="00A9703F">
              <w:rPr>
                <w:rFonts w:ascii="Arial" w:hAnsi="Arial" w:cs="Arial"/>
                <w:sz w:val="24"/>
                <w:szCs w:val="24"/>
                <w:lang w:val="en-US"/>
              </w:rPr>
              <w:t>864.1 (170.1)</w:t>
            </w:r>
          </w:p>
        </w:tc>
      </w:tr>
      <w:tr w:rsidR="00A9703F" w:rsidRPr="00A9703F" w14:paraId="3F0FDBF6" w14:textId="77777777" w:rsidTr="00A06A6B">
        <w:tc>
          <w:tcPr>
            <w:tcW w:w="2802" w:type="dxa"/>
          </w:tcPr>
          <w:p w14:paraId="24E22C3C" w14:textId="7D0E8B92" w:rsidR="00A9703F" w:rsidRPr="00CA6EA4" w:rsidRDefault="00CA6EA4" w:rsidP="00A9703F">
            <w:pPr>
              <w:spacing w:after="0" w:line="240" w:lineRule="auto"/>
              <w:rPr>
                <w:rFonts w:ascii="Arial" w:hAnsi="Arial" w:cs="Arial"/>
                <w:b/>
                <w:sz w:val="24"/>
                <w:szCs w:val="24"/>
                <w:lang w:val="en-US"/>
              </w:rPr>
            </w:pPr>
            <w:r>
              <w:rPr>
                <w:rFonts w:ascii="Arial" w:hAnsi="Arial" w:cs="Arial"/>
                <w:b/>
                <w:sz w:val="24"/>
                <w:szCs w:val="24"/>
                <w:lang w:val="en-US"/>
              </w:rPr>
              <w:t>SCL-90 global severity index mean scores (</w:t>
            </w:r>
            <w:proofErr w:type="spellStart"/>
            <w:r>
              <w:rPr>
                <w:rFonts w:ascii="Arial" w:hAnsi="Arial" w:cs="Arial"/>
                <w:b/>
                <w:sz w:val="24"/>
                <w:szCs w:val="24"/>
                <w:lang w:val="en-US"/>
              </w:rPr>
              <w:t>s.d.</w:t>
            </w:r>
            <w:proofErr w:type="spellEnd"/>
            <w:r>
              <w:rPr>
                <w:rFonts w:ascii="Arial" w:hAnsi="Arial" w:cs="Arial"/>
                <w:b/>
                <w:sz w:val="24"/>
                <w:szCs w:val="24"/>
                <w:lang w:val="en-US"/>
              </w:rPr>
              <w:t xml:space="preserve">) </w:t>
            </w:r>
          </w:p>
        </w:tc>
        <w:tc>
          <w:tcPr>
            <w:tcW w:w="1842" w:type="dxa"/>
          </w:tcPr>
          <w:p w14:paraId="13C7C421" w14:textId="2C922347" w:rsidR="00A9703F" w:rsidRPr="00A9703F" w:rsidRDefault="00B7134B" w:rsidP="00A9703F">
            <w:pPr>
              <w:spacing w:after="0" w:line="240" w:lineRule="auto"/>
              <w:rPr>
                <w:rFonts w:ascii="Arial" w:hAnsi="Arial" w:cs="Arial"/>
                <w:sz w:val="24"/>
                <w:szCs w:val="24"/>
                <w:lang w:val="en-US"/>
              </w:rPr>
            </w:pPr>
            <w:r>
              <w:rPr>
                <w:rFonts w:ascii="Arial" w:hAnsi="Arial" w:cs="Arial"/>
                <w:sz w:val="24"/>
                <w:szCs w:val="24"/>
                <w:lang w:val="en-US"/>
              </w:rPr>
              <w:t>0.85 (0.66</w:t>
            </w:r>
            <w:r w:rsidR="00CA6EA4">
              <w:rPr>
                <w:rFonts w:ascii="Arial" w:hAnsi="Arial" w:cs="Arial"/>
                <w:sz w:val="24"/>
                <w:szCs w:val="24"/>
                <w:lang w:val="en-US"/>
              </w:rPr>
              <w:t>)</w:t>
            </w:r>
          </w:p>
        </w:tc>
        <w:tc>
          <w:tcPr>
            <w:tcW w:w="2127" w:type="dxa"/>
          </w:tcPr>
          <w:p w14:paraId="71BBE0A8" w14:textId="412FA8BB" w:rsidR="00A9703F" w:rsidRPr="00A9703F" w:rsidRDefault="00B7134B" w:rsidP="00A9703F">
            <w:pPr>
              <w:spacing w:after="0" w:line="240" w:lineRule="auto"/>
              <w:rPr>
                <w:rFonts w:ascii="Arial" w:hAnsi="Arial" w:cs="Arial"/>
                <w:sz w:val="24"/>
                <w:szCs w:val="24"/>
                <w:lang w:val="en-US"/>
              </w:rPr>
            </w:pPr>
            <w:r>
              <w:rPr>
                <w:rFonts w:ascii="Arial" w:hAnsi="Arial" w:cs="Arial"/>
                <w:sz w:val="24"/>
                <w:szCs w:val="24"/>
                <w:lang w:val="en-US"/>
              </w:rPr>
              <w:t>0.82 (0.78</w:t>
            </w:r>
            <w:r w:rsidR="00CA6EA4">
              <w:rPr>
                <w:rFonts w:ascii="Arial" w:hAnsi="Arial" w:cs="Arial"/>
                <w:sz w:val="24"/>
                <w:szCs w:val="24"/>
                <w:lang w:val="en-US"/>
              </w:rPr>
              <w:t>)</w:t>
            </w:r>
          </w:p>
        </w:tc>
        <w:tc>
          <w:tcPr>
            <w:tcW w:w="1984" w:type="dxa"/>
          </w:tcPr>
          <w:p w14:paraId="4FA66F7D" w14:textId="598EFDBA" w:rsidR="00A9703F" w:rsidRPr="00A9703F" w:rsidRDefault="00B7134B" w:rsidP="00A9703F">
            <w:pPr>
              <w:spacing w:after="0" w:line="240" w:lineRule="auto"/>
              <w:rPr>
                <w:rFonts w:ascii="Arial" w:hAnsi="Arial" w:cs="Arial"/>
                <w:sz w:val="24"/>
                <w:szCs w:val="24"/>
                <w:lang w:val="en-US"/>
              </w:rPr>
            </w:pPr>
            <w:r>
              <w:rPr>
                <w:rFonts w:ascii="Arial" w:hAnsi="Arial" w:cs="Arial"/>
                <w:sz w:val="24"/>
                <w:szCs w:val="24"/>
                <w:lang w:val="en-US"/>
              </w:rPr>
              <w:t>0.84 (0.71</w:t>
            </w:r>
            <w:r w:rsidR="00CA6EA4">
              <w:rPr>
                <w:rFonts w:ascii="Arial" w:hAnsi="Arial" w:cs="Arial"/>
                <w:sz w:val="24"/>
                <w:szCs w:val="24"/>
                <w:lang w:val="en-US"/>
              </w:rPr>
              <w:t>)</w:t>
            </w:r>
          </w:p>
        </w:tc>
      </w:tr>
    </w:tbl>
    <w:p w14:paraId="578C254B" w14:textId="77777777" w:rsidR="00A9703F" w:rsidRDefault="00A9703F">
      <w:pPr>
        <w:rPr>
          <w:rFonts w:ascii="Arial" w:hAnsi="Arial" w:cs="Arial"/>
          <w:sz w:val="24"/>
          <w:szCs w:val="24"/>
        </w:rPr>
      </w:pPr>
    </w:p>
    <w:p w14:paraId="513BE925" w14:textId="77777777" w:rsidR="000A37B5" w:rsidRDefault="000A37B5">
      <w:pPr>
        <w:rPr>
          <w:rFonts w:ascii="Arial" w:hAnsi="Arial" w:cs="Arial"/>
          <w:sz w:val="24"/>
          <w:szCs w:val="24"/>
          <w:u w:val="single"/>
        </w:rPr>
      </w:pPr>
      <w:r>
        <w:rPr>
          <w:rFonts w:ascii="Arial" w:hAnsi="Arial" w:cs="Arial"/>
          <w:sz w:val="24"/>
          <w:szCs w:val="24"/>
          <w:u w:val="single"/>
        </w:rPr>
        <w:br w:type="page"/>
      </w:r>
    </w:p>
    <w:p w14:paraId="44E0F566" w14:textId="02F97B3A" w:rsidR="000A37B5" w:rsidRPr="000A37B5" w:rsidRDefault="000A37B5" w:rsidP="000A37B5">
      <w:pPr>
        <w:spacing w:after="0" w:line="360" w:lineRule="auto"/>
        <w:jc w:val="both"/>
        <w:rPr>
          <w:rFonts w:ascii="Arial" w:hAnsi="Arial" w:cs="Arial"/>
          <w:sz w:val="24"/>
          <w:szCs w:val="24"/>
          <w:u w:val="single"/>
        </w:rPr>
      </w:pPr>
      <w:r w:rsidRPr="000A37B5">
        <w:rPr>
          <w:rFonts w:ascii="Arial" w:hAnsi="Arial" w:cs="Arial"/>
          <w:sz w:val="24"/>
          <w:szCs w:val="24"/>
        </w:rPr>
        <w:lastRenderedPageBreak/>
        <w:t>The most common categorical personality disorder diagnosis after antisocial personality disorder was borderline personality disorder which was present in similar proportions between the two groups</w:t>
      </w:r>
      <w:r w:rsidR="00ED0F7F">
        <w:rPr>
          <w:rFonts w:ascii="Arial" w:hAnsi="Arial" w:cs="Arial"/>
          <w:sz w:val="24"/>
          <w:szCs w:val="24"/>
        </w:rPr>
        <w:t xml:space="preserve"> (table 2)</w:t>
      </w:r>
      <w:r w:rsidRPr="000A37B5">
        <w:rPr>
          <w:rFonts w:ascii="Arial" w:hAnsi="Arial" w:cs="Arial"/>
          <w:sz w:val="24"/>
          <w:szCs w:val="24"/>
        </w:rPr>
        <w:t xml:space="preserve">. Consistent with evidence on comorbidity of personality disorders many participants had more than one diagnosis (Black et al., 2010). </w:t>
      </w:r>
    </w:p>
    <w:p w14:paraId="05332B2A" w14:textId="77777777" w:rsidR="000A37B5" w:rsidRDefault="000A37B5" w:rsidP="00A9703F">
      <w:pPr>
        <w:rPr>
          <w:rFonts w:ascii="Arial" w:hAnsi="Arial" w:cs="Arial"/>
          <w:sz w:val="24"/>
          <w:szCs w:val="24"/>
          <w:u w:val="single"/>
        </w:rPr>
      </w:pPr>
    </w:p>
    <w:p w14:paraId="63E7AB05" w14:textId="7E1F5B19" w:rsidR="00495E67" w:rsidRPr="00495E67" w:rsidRDefault="00495E67" w:rsidP="00495E67">
      <w:pPr>
        <w:rPr>
          <w:rFonts w:ascii="Arial" w:hAnsi="Arial" w:cs="Arial"/>
          <w:i/>
          <w:sz w:val="24"/>
          <w:szCs w:val="24"/>
        </w:rPr>
      </w:pPr>
      <w:r w:rsidRPr="00495E67">
        <w:rPr>
          <w:rFonts w:ascii="Arial" w:hAnsi="Arial" w:cs="Arial"/>
          <w:i/>
          <w:sz w:val="24"/>
          <w:szCs w:val="24"/>
        </w:rPr>
        <w:t>Table 2. IPDE DSM-IV Personality Disorders in Resettle and control groups.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116"/>
        <w:gridCol w:w="1152"/>
        <w:gridCol w:w="1134"/>
        <w:gridCol w:w="1242"/>
        <w:gridCol w:w="1168"/>
      </w:tblGrid>
      <w:tr w:rsidR="00A9703F" w:rsidRPr="00A9703F" w14:paraId="77AD38E7" w14:textId="77777777" w:rsidTr="00A06A6B">
        <w:trPr>
          <w:trHeight w:val="1008"/>
        </w:trPr>
        <w:tc>
          <w:tcPr>
            <w:tcW w:w="1701" w:type="dxa"/>
            <w:vMerge w:val="restart"/>
          </w:tcPr>
          <w:p w14:paraId="792F2473"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DSM-IV Personality disorders</w:t>
            </w:r>
          </w:p>
          <w:p w14:paraId="20963814" w14:textId="77777777" w:rsidR="00A9703F" w:rsidRPr="00A9703F" w:rsidRDefault="00A9703F" w:rsidP="000A37B5">
            <w:pPr>
              <w:spacing w:after="0" w:line="240" w:lineRule="auto"/>
              <w:rPr>
                <w:rFonts w:ascii="Arial" w:hAnsi="Arial" w:cs="Arial"/>
                <w:bCs/>
                <w:sz w:val="24"/>
                <w:szCs w:val="24"/>
              </w:rPr>
            </w:pPr>
            <w:r w:rsidRPr="00A9703F">
              <w:rPr>
                <w:rFonts w:ascii="Arial" w:hAnsi="Arial" w:cs="Arial"/>
                <w:bCs/>
                <w:sz w:val="24"/>
                <w:szCs w:val="24"/>
              </w:rPr>
              <w:t> </w:t>
            </w:r>
          </w:p>
        </w:tc>
        <w:tc>
          <w:tcPr>
            <w:tcW w:w="2392" w:type="dxa"/>
            <w:gridSpan w:val="2"/>
          </w:tcPr>
          <w:p w14:paraId="3DF22B1C"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Resettle (treatment)</w:t>
            </w:r>
          </w:p>
        </w:tc>
        <w:tc>
          <w:tcPr>
            <w:tcW w:w="2286" w:type="dxa"/>
            <w:gridSpan w:val="2"/>
          </w:tcPr>
          <w:p w14:paraId="0E6CB4D4" w14:textId="15409A53" w:rsidR="00A9703F" w:rsidRPr="00A9703F" w:rsidRDefault="00ED0F7F" w:rsidP="000A37B5">
            <w:pPr>
              <w:spacing w:after="0" w:line="240" w:lineRule="auto"/>
              <w:rPr>
                <w:rFonts w:ascii="Arial" w:hAnsi="Arial" w:cs="Arial"/>
                <w:b/>
                <w:bCs/>
                <w:sz w:val="24"/>
                <w:szCs w:val="24"/>
              </w:rPr>
            </w:pPr>
            <w:r>
              <w:rPr>
                <w:rFonts w:ascii="Arial" w:hAnsi="Arial" w:cs="Arial"/>
                <w:b/>
                <w:bCs/>
                <w:sz w:val="24"/>
                <w:szCs w:val="24"/>
              </w:rPr>
              <w:t>Control</w:t>
            </w:r>
          </w:p>
        </w:tc>
        <w:tc>
          <w:tcPr>
            <w:tcW w:w="2410" w:type="dxa"/>
            <w:gridSpan w:val="2"/>
          </w:tcPr>
          <w:p w14:paraId="7B61F2D1"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Total</w:t>
            </w:r>
          </w:p>
        </w:tc>
      </w:tr>
      <w:tr w:rsidR="00A9703F" w:rsidRPr="00A9703F" w14:paraId="26AF73F9" w14:textId="77777777" w:rsidTr="00A06A6B">
        <w:trPr>
          <w:trHeight w:val="262"/>
        </w:trPr>
        <w:tc>
          <w:tcPr>
            <w:tcW w:w="1701" w:type="dxa"/>
            <w:vMerge/>
            <w:noWrap/>
          </w:tcPr>
          <w:p w14:paraId="4B6CF539" w14:textId="77777777" w:rsidR="00A9703F" w:rsidRPr="00A9703F" w:rsidRDefault="00A9703F" w:rsidP="000A37B5">
            <w:pPr>
              <w:spacing w:after="0" w:line="240" w:lineRule="auto"/>
              <w:rPr>
                <w:rFonts w:ascii="Arial" w:hAnsi="Arial" w:cs="Arial"/>
                <w:bCs/>
                <w:sz w:val="24"/>
                <w:szCs w:val="24"/>
              </w:rPr>
            </w:pPr>
          </w:p>
        </w:tc>
        <w:tc>
          <w:tcPr>
            <w:tcW w:w="1276" w:type="dxa"/>
            <w:noWrap/>
          </w:tcPr>
          <w:p w14:paraId="2E085690"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n (%)</w:t>
            </w:r>
          </w:p>
        </w:tc>
        <w:tc>
          <w:tcPr>
            <w:tcW w:w="1116" w:type="dxa"/>
            <w:noWrap/>
          </w:tcPr>
          <w:p w14:paraId="10ED9766"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n (%)</w:t>
            </w:r>
          </w:p>
        </w:tc>
        <w:tc>
          <w:tcPr>
            <w:tcW w:w="1152" w:type="dxa"/>
            <w:noWrap/>
          </w:tcPr>
          <w:p w14:paraId="05D5E9AB"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n (%)</w:t>
            </w:r>
          </w:p>
        </w:tc>
        <w:tc>
          <w:tcPr>
            <w:tcW w:w="1134" w:type="dxa"/>
            <w:noWrap/>
          </w:tcPr>
          <w:p w14:paraId="7A71EEC7"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n (%)</w:t>
            </w:r>
          </w:p>
        </w:tc>
        <w:tc>
          <w:tcPr>
            <w:tcW w:w="1242" w:type="dxa"/>
          </w:tcPr>
          <w:p w14:paraId="7FE24831"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n (%)</w:t>
            </w:r>
          </w:p>
        </w:tc>
        <w:tc>
          <w:tcPr>
            <w:tcW w:w="1168" w:type="dxa"/>
          </w:tcPr>
          <w:p w14:paraId="26F88267"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n (%)</w:t>
            </w:r>
          </w:p>
        </w:tc>
      </w:tr>
      <w:tr w:rsidR="00A9703F" w:rsidRPr="00A9703F" w14:paraId="0F16E22E" w14:textId="77777777" w:rsidTr="00A06A6B">
        <w:trPr>
          <w:trHeight w:val="508"/>
        </w:trPr>
        <w:tc>
          <w:tcPr>
            <w:tcW w:w="1701" w:type="dxa"/>
            <w:vMerge/>
            <w:noWrap/>
          </w:tcPr>
          <w:p w14:paraId="3400E708" w14:textId="77777777" w:rsidR="00A9703F" w:rsidRPr="00A9703F" w:rsidRDefault="00A9703F" w:rsidP="000A37B5">
            <w:pPr>
              <w:spacing w:after="0" w:line="240" w:lineRule="auto"/>
              <w:rPr>
                <w:rFonts w:ascii="Arial" w:hAnsi="Arial" w:cs="Arial"/>
                <w:bCs/>
                <w:sz w:val="24"/>
                <w:szCs w:val="24"/>
              </w:rPr>
            </w:pPr>
          </w:p>
        </w:tc>
        <w:tc>
          <w:tcPr>
            <w:tcW w:w="1276" w:type="dxa"/>
            <w:noWrap/>
          </w:tcPr>
          <w:p w14:paraId="21ABF400"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Probable</w:t>
            </w:r>
          </w:p>
        </w:tc>
        <w:tc>
          <w:tcPr>
            <w:tcW w:w="1116" w:type="dxa"/>
            <w:noWrap/>
          </w:tcPr>
          <w:p w14:paraId="5CBC7286"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Definite</w:t>
            </w:r>
          </w:p>
        </w:tc>
        <w:tc>
          <w:tcPr>
            <w:tcW w:w="1152" w:type="dxa"/>
            <w:noWrap/>
          </w:tcPr>
          <w:p w14:paraId="4482664E"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Probable</w:t>
            </w:r>
          </w:p>
        </w:tc>
        <w:tc>
          <w:tcPr>
            <w:tcW w:w="1134" w:type="dxa"/>
            <w:noWrap/>
          </w:tcPr>
          <w:p w14:paraId="599BA031"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Definite</w:t>
            </w:r>
          </w:p>
        </w:tc>
        <w:tc>
          <w:tcPr>
            <w:tcW w:w="1242" w:type="dxa"/>
          </w:tcPr>
          <w:p w14:paraId="425D5A2F"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Probable</w:t>
            </w:r>
          </w:p>
        </w:tc>
        <w:tc>
          <w:tcPr>
            <w:tcW w:w="1168" w:type="dxa"/>
          </w:tcPr>
          <w:p w14:paraId="12598383" w14:textId="77777777" w:rsidR="00A9703F" w:rsidRPr="00A9703F" w:rsidRDefault="00A9703F" w:rsidP="000A37B5">
            <w:pPr>
              <w:spacing w:after="0" w:line="240" w:lineRule="auto"/>
              <w:rPr>
                <w:rFonts w:ascii="Arial" w:hAnsi="Arial" w:cs="Arial"/>
                <w:b/>
                <w:bCs/>
                <w:sz w:val="24"/>
                <w:szCs w:val="24"/>
              </w:rPr>
            </w:pPr>
            <w:r w:rsidRPr="00A9703F">
              <w:rPr>
                <w:rFonts w:ascii="Arial" w:hAnsi="Arial" w:cs="Arial"/>
                <w:b/>
                <w:bCs/>
                <w:sz w:val="24"/>
                <w:szCs w:val="24"/>
              </w:rPr>
              <w:t>Definite</w:t>
            </w:r>
          </w:p>
        </w:tc>
      </w:tr>
      <w:tr w:rsidR="00A9703F" w:rsidRPr="00A9703F" w14:paraId="1C0C58B7" w14:textId="77777777" w:rsidTr="00A06A6B">
        <w:trPr>
          <w:trHeight w:val="262"/>
        </w:trPr>
        <w:tc>
          <w:tcPr>
            <w:tcW w:w="1701" w:type="dxa"/>
            <w:noWrap/>
          </w:tcPr>
          <w:p w14:paraId="7BEFAAEA"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Paranoid</w:t>
            </w:r>
          </w:p>
        </w:tc>
        <w:tc>
          <w:tcPr>
            <w:tcW w:w="1276" w:type="dxa"/>
            <w:noWrap/>
          </w:tcPr>
          <w:p w14:paraId="347CD9A8"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3 (7.9)</w:t>
            </w:r>
          </w:p>
        </w:tc>
        <w:tc>
          <w:tcPr>
            <w:tcW w:w="1116" w:type="dxa"/>
            <w:noWrap/>
          </w:tcPr>
          <w:p w14:paraId="34B6C53E"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5 (12.2)</w:t>
            </w:r>
          </w:p>
        </w:tc>
        <w:tc>
          <w:tcPr>
            <w:tcW w:w="1152" w:type="dxa"/>
            <w:noWrap/>
          </w:tcPr>
          <w:p w14:paraId="62B9B2BD"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 (2.9)</w:t>
            </w:r>
          </w:p>
        </w:tc>
        <w:tc>
          <w:tcPr>
            <w:tcW w:w="1134" w:type="dxa"/>
            <w:noWrap/>
          </w:tcPr>
          <w:p w14:paraId="090AE6FD"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 (2.9)</w:t>
            </w:r>
          </w:p>
        </w:tc>
        <w:tc>
          <w:tcPr>
            <w:tcW w:w="1242" w:type="dxa"/>
          </w:tcPr>
          <w:p w14:paraId="024C21B9"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4 (5.6)</w:t>
            </w:r>
          </w:p>
        </w:tc>
        <w:tc>
          <w:tcPr>
            <w:tcW w:w="1168" w:type="dxa"/>
          </w:tcPr>
          <w:p w14:paraId="3DB67752"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6 (8.3)</w:t>
            </w:r>
          </w:p>
        </w:tc>
      </w:tr>
      <w:tr w:rsidR="00A9703F" w:rsidRPr="00A9703F" w14:paraId="65C4950A" w14:textId="77777777" w:rsidTr="00A06A6B">
        <w:trPr>
          <w:trHeight w:val="262"/>
        </w:trPr>
        <w:tc>
          <w:tcPr>
            <w:tcW w:w="1701" w:type="dxa"/>
            <w:noWrap/>
          </w:tcPr>
          <w:p w14:paraId="20B41962"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Schizoid</w:t>
            </w:r>
          </w:p>
        </w:tc>
        <w:tc>
          <w:tcPr>
            <w:tcW w:w="1276" w:type="dxa"/>
            <w:noWrap/>
          </w:tcPr>
          <w:p w14:paraId="383E8138"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3 (7.9)</w:t>
            </w:r>
          </w:p>
        </w:tc>
        <w:tc>
          <w:tcPr>
            <w:tcW w:w="1116" w:type="dxa"/>
            <w:noWrap/>
          </w:tcPr>
          <w:p w14:paraId="50F01929"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152" w:type="dxa"/>
            <w:noWrap/>
          </w:tcPr>
          <w:p w14:paraId="26020F3D"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2 (5.9)</w:t>
            </w:r>
          </w:p>
        </w:tc>
        <w:tc>
          <w:tcPr>
            <w:tcW w:w="1134" w:type="dxa"/>
            <w:noWrap/>
          </w:tcPr>
          <w:p w14:paraId="380F6CBB"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242" w:type="dxa"/>
          </w:tcPr>
          <w:p w14:paraId="42CB060B"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5  (6.9)</w:t>
            </w:r>
          </w:p>
        </w:tc>
        <w:tc>
          <w:tcPr>
            <w:tcW w:w="1168" w:type="dxa"/>
          </w:tcPr>
          <w:p w14:paraId="01B3B21C"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r>
      <w:tr w:rsidR="00A9703F" w:rsidRPr="00A9703F" w14:paraId="0507391F" w14:textId="77777777" w:rsidTr="00A06A6B">
        <w:trPr>
          <w:trHeight w:val="262"/>
        </w:trPr>
        <w:tc>
          <w:tcPr>
            <w:tcW w:w="1701" w:type="dxa"/>
            <w:noWrap/>
          </w:tcPr>
          <w:p w14:paraId="41969BAB"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Schizotypal</w:t>
            </w:r>
          </w:p>
        </w:tc>
        <w:tc>
          <w:tcPr>
            <w:tcW w:w="1276" w:type="dxa"/>
            <w:noWrap/>
          </w:tcPr>
          <w:p w14:paraId="49DEC357"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116" w:type="dxa"/>
            <w:noWrap/>
          </w:tcPr>
          <w:p w14:paraId="01F8C0BE"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152" w:type="dxa"/>
            <w:noWrap/>
          </w:tcPr>
          <w:p w14:paraId="3F06EE39"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134" w:type="dxa"/>
            <w:noWrap/>
          </w:tcPr>
          <w:p w14:paraId="07EDD934"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 (2.9)</w:t>
            </w:r>
          </w:p>
        </w:tc>
        <w:tc>
          <w:tcPr>
            <w:tcW w:w="1242" w:type="dxa"/>
          </w:tcPr>
          <w:p w14:paraId="4AB257DD"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168" w:type="dxa"/>
          </w:tcPr>
          <w:p w14:paraId="36E18710"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 (1.4)</w:t>
            </w:r>
          </w:p>
        </w:tc>
      </w:tr>
      <w:tr w:rsidR="00A9703F" w:rsidRPr="00A9703F" w14:paraId="11C25484" w14:textId="77777777" w:rsidTr="00A06A6B">
        <w:trPr>
          <w:trHeight w:val="616"/>
        </w:trPr>
        <w:tc>
          <w:tcPr>
            <w:tcW w:w="1701" w:type="dxa"/>
            <w:noWrap/>
          </w:tcPr>
          <w:p w14:paraId="0127189B"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Antisocial</w:t>
            </w:r>
          </w:p>
        </w:tc>
        <w:tc>
          <w:tcPr>
            <w:tcW w:w="1276" w:type="dxa"/>
            <w:noWrap/>
          </w:tcPr>
          <w:p w14:paraId="53E7AA94"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2 (5.3)</w:t>
            </w:r>
          </w:p>
        </w:tc>
        <w:tc>
          <w:tcPr>
            <w:tcW w:w="1116" w:type="dxa"/>
            <w:noWrap/>
          </w:tcPr>
          <w:p w14:paraId="7987D96A"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34 (89.5)</w:t>
            </w:r>
          </w:p>
        </w:tc>
        <w:tc>
          <w:tcPr>
            <w:tcW w:w="1152" w:type="dxa"/>
            <w:noWrap/>
          </w:tcPr>
          <w:p w14:paraId="6BACA128"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2 (5.9)</w:t>
            </w:r>
          </w:p>
        </w:tc>
        <w:tc>
          <w:tcPr>
            <w:tcW w:w="1134" w:type="dxa"/>
            <w:noWrap/>
          </w:tcPr>
          <w:p w14:paraId="58AF59DD"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31 (91.2)</w:t>
            </w:r>
          </w:p>
        </w:tc>
        <w:tc>
          <w:tcPr>
            <w:tcW w:w="1242" w:type="dxa"/>
          </w:tcPr>
          <w:p w14:paraId="5A17677F"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4 (5.6)</w:t>
            </w:r>
          </w:p>
        </w:tc>
        <w:tc>
          <w:tcPr>
            <w:tcW w:w="1168" w:type="dxa"/>
          </w:tcPr>
          <w:p w14:paraId="4EEA68C6"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65 (90.3)</w:t>
            </w:r>
          </w:p>
        </w:tc>
      </w:tr>
      <w:tr w:rsidR="00A9703F" w:rsidRPr="00A9703F" w14:paraId="034DFF68" w14:textId="77777777" w:rsidTr="00A06A6B">
        <w:trPr>
          <w:trHeight w:val="262"/>
        </w:trPr>
        <w:tc>
          <w:tcPr>
            <w:tcW w:w="1701" w:type="dxa"/>
            <w:noWrap/>
          </w:tcPr>
          <w:p w14:paraId="67310499"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Borderline</w:t>
            </w:r>
          </w:p>
        </w:tc>
        <w:tc>
          <w:tcPr>
            <w:tcW w:w="1276" w:type="dxa"/>
            <w:noWrap/>
          </w:tcPr>
          <w:p w14:paraId="5E8A47B5"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7 (18.4)</w:t>
            </w:r>
          </w:p>
        </w:tc>
        <w:tc>
          <w:tcPr>
            <w:tcW w:w="1116" w:type="dxa"/>
            <w:noWrap/>
          </w:tcPr>
          <w:p w14:paraId="79EDDAB2"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9 (23.7)</w:t>
            </w:r>
          </w:p>
        </w:tc>
        <w:tc>
          <w:tcPr>
            <w:tcW w:w="1152" w:type="dxa"/>
            <w:noWrap/>
          </w:tcPr>
          <w:p w14:paraId="34EBC6BE"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5 (14.7)</w:t>
            </w:r>
          </w:p>
        </w:tc>
        <w:tc>
          <w:tcPr>
            <w:tcW w:w="1134" w:type="dxa"/>
            <w:noWrap/>
          </w:tcPr>
          <w:p w14:paraId="5434260A"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4 (11.8)</w:t>
            </w:r>
          </w:p>
        </w:tc>
        <w:tc>
          <w:tcPr>
            <w:tcW w:w="1242" w:type="dxa"/>
          </w:tcPr>
          <w:p w14:paraId="6FA41E41"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12 (16.7)</w:t>
            </w:r>
          </w:p>
        </w:tc>
        <w:tc>
          <w:tcPr>
            <w:tcW w:w="1168" w:type="dxa"/>
          </w:tcPr>
          <w:p w14:paraId="06298E8A"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13 (18.1)</w:t>
            </w:r>
          </w:p>
        </w:tc>
      </w:tr>
      <w:tr w:rsidR="00A9703F" w:rsidRPr="00A9703F" w14:paraId="7C9AB4C8" w14:textId="77777777" w:rsidTr="00A06A6B">
        <w:trPr>
          <w:trHeight w:val="262"/>
        </w:trPr>
        <w:tc>
          <w:tcPr>
            <w:tcW w:w="1701" w:type="dxa"/>
            <w:noWrap/>
          </w:tcPr>
          <w:p w14:paraId="624BDFE4"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Narcissistic</w:t>
            </w:r>
          </w:p>
        </w:tc>
        <w:tc>
          <w:tcPr>
            <w:tcW w:w="1276" w:type="dxa"/>
            <w:noWrap/>
          </w:tcPr>
          <w:p w14:paraId="13D926FE"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116" w:type="dxa"/>
            <w:noWrap/>
          </w:tcPr>
          <w:p w14:paraId="0CB99DBE"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 (2.6)</w:t>
            </w:r>
          </w:p>
        </w:tc>
        <w:tc>
          <w:tcPr>
            <w:tcW w:w="1152" w:type="dxa"/>
            <w:noWrap/>
          </w:tcPr>
          <w:p w14:paraId="47E52FBB"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134" w:type="dxa"/>
            <w:noWrap/>
          </w:tcPr>
          <w:p w14:paraId="3E64EB21"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2 (5.9)</w:t>
            </w:r>
          </w:p>
        </w:tc>
        <w:tc>
          <w:tcPr>
            <w:tcW w:w="1242" w:type="dxa"/>
          </w:tcPr>
          <w:p w14:paraId="409D34CB"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168" w:type="dxa"/>
          </w:tcPr>
          <w:p w14:paraId="69FF277C"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3 (4.2)</w:t>
            </w:r>
          </w:p>
        </w:tc>
      </w:tr>
      <w:tr w:rsidR="00A9703F" w:rsidRPr="00A9703F" w14:paraId="5F6315C2" w14:textId="77777777" w:rsidTr="00A06A6B">
        <w:trPr>
          <w:trHeight w:val="262"/>
        </w:trPr>
        <w:tc>
          <w:tcPr>
            <w:tcW w:w="1701" w:type="dxa"/>
            <w:noWrap/>
          </w:tcPr>
          <w:p w14:paraId="56165CB5"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Avoidant</w:t>
            </w:r>
          </w:p>
        </w:tc>
        <w:tc>
          <w:tcPr>
            <w:tcW w:w="1276" w:type="dxa"/>
            <w:noWrap/>
          </w:tcPr>
          <w:p w14:paraId="32EF75EE"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3 (7.9)</w:t>
            </w:r>
          </w:p>
        </w:tc>
        <w:tc>
          <w:tcPr>
            <w:tcW w:w="1116" w:type="dxa"/>
            <w:noWrap/>
          </w:tcPr>
          <w:p w14:paraId="278BEDB3"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 (2.6)</w:t>
            </w:r>
          </w:p>
        </w:tc>
        <w:tc>
          <w:tcPr>
            <w:tcW w:w="1152" w:type="dxa"/>
            <w:noWrap/>
          </w:tcPr>
          <w:p w14:paraId="3E2AB562"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 (2.9)</w:t>
            </w:r>
          </w:p>
        </w:tc>
        <w:tc>
          <w:tcPr>
            <w:tcW w:w="1134" w:type="dxa"/>
            <w:noWrap/>
          </w:tcPr>
          <w:p w14:paraId="077D43C7"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 (2.9)</w:t>
            </w:r>
          </w:p>
        </w:tc>
        <w:tc>
          <w:tcPr>
            <w:tcW w:w="1242" w:type="dxa"/>
          </w:tcPr>
          <w:p w14:paraId="6B9DCE3B"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4 (5.6)</w:t>
            </w:r>
          </w:p>
        </w:tc>
        <w:tc>
          <w:tcPr>
            <w:tcW w:w="1168" w:type="dxa"/>
          </w:tcPr>
          <w:p w14:paraId="1FFD9C54"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2 (2.8)</w:t>
            </w:r>
          </w:p>
        </w:tc>
      </w:tr>
      <w:tr w:rsidR="00A9703F" w:rsidRPr="00A9703F" w14:paraId="5B077DB8" w14:textId="77777777" w:rsidTr="00A06A6B">
        <w:trPr>
          <w:trHeight w:val="262"/>
        </w:trPr>
        <w:tc>
          <w:tcPr>
            <w:tcW w:w="1701" w:type="dxa"/>
            <w:noWrap/>
          </w:tcPr>
          <w:p w14:paraId="7746AC1C"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Obsessive Compulsive</w:t>
            </w:r>
          </w:p>
        </w:tc>
        <w:tc>
          <w:tcPr>
            <w:tcW w:w="1276" w:type="dxa"/>
            <w:noWrap/>
          </w:tcPr>
          <w:p w14:paraId="6D4598F1"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 (2.6)</w:t>
            </w:r>
          </w:p>
        </w:tc>
        <w:tc>
          <w:tcPr>
            <w:tcW w:w="1116" w:type="dxa"/>
            <w:noWrap/>
          </w:tcPr>
          <w:p w14:paraId="22094F9C"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152" w:type="dxa"/>
            <w:noWrap/>
          </w:tcPr>
          <w:p w14:paraId="5A3FE977"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1 (2.9)</w:t>
            </w:r>
          </w:p>
        </w:tc>
        <w:tc>
          <w:tcPr>
            <w:tcW w:w="1134" w:type="dxa"/>
            <w:noWrap/>
          </w:tcPr>
          <w:p w14:paraId="60EC533E"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2 (5.9)</w:t>
            </w:r>
          </w:p>
        </w:tc>
        <w:tc>
          <w:tcPr>
            <w:tcW w:w="1242" w:type="dxa"/>
          </w:tcPr>
          <w:p w14:paraId="654269A2"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2 (2.8)</w:t>
            </w:r>
          </w:p>
        </w:tc>
        <w:tc>
          <w:tcPr>
            <w:tcW w:w="1168" w:type="dxa"/>
          </w:tcPr>
          <w:p w14:paraId="3FDB4C36"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2 (2.8)</w:t>
            </w:r>
          </w:p>
        </w:tc>
      </w:tr>
      <w:tr w:rsidR="00A9703F" w:rsidRPr="00A9703F" w14:paraId="699DF19C" w14:textId="77777777" w:rsidTr="00A06A6B">
        <w:trPr>
          <w:trHeight w:val="95"/>
        </w:trPr>
        <w:tc>
          <w:tcPr>
            <w:tcW w:w="1701" w:type="dxa"/>
            <w:noWrap/>
          </w:tcPr>
          <w:p w14:paraId="496EEE55"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Not Otherwise Specified</w:t>
            </w:r>
          </w:p>
        </w:tc>
        <w:tc>
          <w:tcPr>
            <w:tcW w:w="1276" w:type="dxa"/>
            <w:noWrap/>
          </w:tcPr>
          <w:p w14:paraId="3FBA21B3"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0</w:t>
            </w:r>
          </w:p>
        </w:tc>
        <w:tc>
          <w:tcPr>
            <w:tcW w:w="1116" w:type="dxa"/>
            <w:noWrap/>
          </w:tcPr>
          <w:p w14:paraId="62AB9C4D"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3 (7.9)</w:t>
            </w:r>
          </w:p>
        </w:tc>
        <w:tc>
          <w:tcPr>
            <w:tcW w:w="1152" w:type="dxa"/>
            <w:noWrap/>
          </w:tcPr>
          <w:p w14:paraId="6C9832BA"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3 (8.8)</w:t>
            </w:r>
          </w:p>
        </w:tc>
        <w:tc>
          <w:tcPr>
            <w:tcW w:w="1134" w:type="dxa"/>
            <w:noWrap/>
          </w:tcPr>
          <w:p w14:paraId="25DEF3F8"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3 (8.8)</w:t>
            </w:r>
          </w:p>
        </w:tc>
        <w:tc>
          <w:tcPr>
            <w:tcW w:w="1242" w:type="dxa"/>
          </w:tcPr>
          <w:p w14:paraId="7542483C"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3 (4.2)</w:t>
            </w:r>
          </w:p>
        </w:tc>
        <w:tc>
          <w:tcPr>
            <w:tcW w:w="1168" w:type="dxa"/>
          </w:tcPr>
          <w:p w14:paraId="0ADA0928" w14:textId="77777777" w:rsidR="00A9703F" w:rsidRPr="00A9703F" w:rsidRDefault="00A9703F" w:rsidP="000A37B5">
            <w:pPr>
              <w:spacing w:after="0" w:line="240" w:lineRule="auto"/>
              <w:rPr>
                <w:rFonts w:ascii="Arial" w:hAnsi="Arial" w:cs="Arial"/>
                <w:sz w:val="24"/>
                <w:szCs w:val="24"/>
              </w:rPr>
            </w:pPr>
            <w:r w:rsidRPr="00A9703F">
              <w:rPr>
                <w:rFonts w:ascii="Arial" w:hAnsi="Arial" w:cs="Arial"/>
                <w:sz w:val="24"/>
                <w:szCs w:val="24"/>
              </w:rPr>
              <w:t>6 (8.3)</w:t>
            </w:r>
          </w:p>
        </w:tc>
      </w:tr>
    </w:tbl>
    <w:p w14:paraId="6B4AE2B5" w14:textId="77777777" w:rsidR="00A9703F" w:rsidRPr="00A9703F" w:rsidRDefault="00A9703F" w:rsidP="00A9703F">
      <w:pPr>
        <w:rPr>
          <w:rFonts w:ascii="Arial" w:hAnsi="Arial" w:cs="Arial"/>
          <w:sz w:val="24"/>
          <w:szCs w:val="24"/>
        </w:rPr>
      </w:pPr>
    </w:p>
    <w:p w14:paraId="6BF95704" w14:textId="77777777" w:rsidR="00A9703F" w:rsidRDefault="00A9703F">
      <w:pPr>
        <w:rPr>
          <w:rFonts w:ascii="Arial" w:hAnsi="Arial" w:cs="Arial"/>
          <w:sz w:val="24"/>
          <w:szCs w:val="24"/>
        </w:rPr>
      </w:pPr>
      <w:r>
        <w:rPr>
          <w:rFonts w:ascii="Arial" w:hAnsi="Arial" w:cs="Arial"/>
          <w:sz w:val="24"/>
          <w:szCs w:val="24"/>
        </w:rPr>
        <w:br w:type="page"/>
      </w:r>
    </w:p>
    <w:p w14:paraId="2C5DD0DF" w14:textId="436CECE6" w:rsidR="00B776F2" w:rsidRPr="00B776F2" w:rsidRDefault="004B3660" w:rsidP="00472001">
      <w:pPr>
        <w:spacing w:after="0" w:line="360" w:lineRule="auto"/>
        <w:jc w:val="both"/>
        <w:rPr>
          <w:rFonts w:ascii="Arial" w:hAnsi="Arial" w:cs="Arial"/>
          <w:sz w:val="24"/>
          <w:szCs w:val="24"/>
          <w:lang w:val="en-US"/>
        </w:rPr>
      </w:pPr>
      <w:r>
        <w:rPr>
          <w:rFonts w:ascii="Arial" w:hAnsi="Arial" w:cs="Arial"/>
          <w:sz w:val="24"/>
          <w:szCs w:val="24"/>
          <w:lang w:val="en-US"/>
        </w:rPr>
        <w:lastRenderedPageBreak/>
        <w:t xml:space="preserve">There were a number of challenges to implementing the </w:t>
      </w:r>
      <w:r w:rsidR="00A80002" w:rsidRPr="00A80002">
        <w:rPr>
          <w:rFonts w:ascii="Arial" w:hAnsi="Arial" w:cs="Arial"/>
          <w:sz w:val="24"/>
          <w:szCs w:val="24"/>
          <w:lang w:val="en-US"/>
        </w:rPr>
        <w:t xml:space="preserve">RCT methodology </w:t>
      </w:r>
      <w:r>
        <w:rPr>
          <w:rFonts w:ascii="Arial" w:hAnsi="Arial" w:cs="Arial"/>
          <w:sz w:val="24"/>
          <w:szCs w:val="24"/>
          <w:lang w:val="en-US"/>
        </w:rPr>
        <w:t xml:space="preserve">in a newly commissioned service. </w:t>
      </w:r>
      <w:r w:rsidR="00B776F2">
        <w:rPr>
          <w:rFonts w:ascii="Arial" w:hAnsi="Arial" w:cs="Arial"/>
          <w:sz w:val="24"/>
          <w:szCs w:val="24"/>
          <w:lang w:val="en-US"/>
        </w:rPr>
        <w:t>After</w:t>
      </w:r>
      <w:r w:rsidR="00A80002" w:rsidRPr="00A80002">
        <w:rPr>
          <w:rFonts w:ascii="Arial" w:hAnsi="Arial" w:cs="Arial"/>
          <w:sz w:val="24"/>
          <w:szCs w:val="24"/>
          <w:lang w:val="en-US"/>
        </w:rPr>
        <w:t xml:space="preserve"> commencement of the service and </w:t>
      </w:r>
      <w:r w:rsidR="00B776F2">
        <w:rPr>
          <w:rFonts w:ascii="Arial" w:hAnsi="Arial" w:cs="Arial"/>
          <w:sz w:val="24"/>
          <w:szCs w:val="24"/>
          <w:lang w:val="en-US"/>
        </w:rPr>
        <w:t>its</w:t>
      </w:r>
      <w:r w:rsidR="00A80002" w:rsidRPr="00A80002">
        <w:rPr>
          <w:rFonts w:ascii="Arial" w:hAnsi="Arial" w:cs="Arial"/>
          <w:sz w:val="24"/>
          <w:szCs w:val="24"/>
          <w:lang w:val="en-US"/>
        </w:rPr>
        <w:t xml:space="preserve"> evaluation</w:t>
      </w:r>
      <w:r w:rsidR="00B776F2">
        <w:rPr>
          <w:rFonts w:ascii="Arial" w:hAnsi="Arial" w:cs="Arial"/>
          <w:sz w:val="24"/>
          <w:szCs w:val="24"/>
          <w:lang w:val="en-US"/>
        </w:rPr>
        <w:t>,</w:t>
      </w:r>
      <w:r w:rsidR="00A80002" w:rsidRPr="00A80002">
        <w:rPr>
          <w:rFonts w:ascii="Arial" w:hAnsi="Arial" w:cs="Arial"/>
          <w:sz w:val="24"/>
          <w:szCs w:val="24"/>
          <w:lang w:val="en-US"/>
        </w:rPr>
        <w:t xml:space="preserve"> there remained questions </w:t>
      </w:r>
      <w:r w:rsidR="00A80002">
        <w:rPr>
          <w:rFonts w:ascii="Arial" w:hAnsi="Arial" w:cs="Arial"/>
          <w:sz w:val="24"/>
          <w:szCs w:val="24"/>
          <w:lang w:val="en-US"/>
        </w:rPr>
        <w:t xml:space="preserve">from </w:t>
      </w:r>
      <w:r w:rsidR="00246396">
        <w:rPr>
          <w:rFonts w:ascii="Arial" w:hAnsi="Arial" w:cs="Arial"/>
          <w:sz w:val="24"/>
          <w:szCs w:val="24"/>
          <w:lang w:val="en-US"/>
        </w:rPr>
        <w:t>referrers</w:t>
      </w:r>
      <w:r w:rsidR="00A80002">
        <w:rPr>
          <w:rFonts w:ascii="Arial" w:hAnsi="Arial" w:cs="Arial"/>
          <w:sz w:val="24"/>
          <w:szCs w:val="24"/>
          <w:lang w:val="en-US"/>
        </w:rPr>
        <w:t xml:space="preserve"> and commissioners </w:t>
      </w:r>
      <w:r w:rsidR="00A80002" w:rsidRPr="00A80002">
        <w:rPr>
          <w:rFonts w:ascii="Arial" w:hAnsi="Arial" w:cs="Arial"/>
          <w:sz w:val="24"/>
          <w:szCs w:val="24"/>
          <w:lang w:val="en-US"/>
        </w:rPr>
        <w:t xml:space="preserve">about the need for an </w:t>
      </w:r>
      <w:r w:rsidR="00A80002" w:rsidRPr="00B776F2">
        <w:rPr>
          <w:rFonts w:ascii="Arial" w:hAnsi="Arial" w:cs="Arial"/>
          <w:sz w:val="24"/>
          <w:szCs w:val="24"/>
          <w:lang w:val="en-US"/>
        </w:rPr>
        <w:t>evaluation.</w:t>
      </w:r>
      <w:r w:rsidR="00B776F2" w:rsidRPr="00B776F2">
        <w:rPr>
          <w:rFonts w:ascii="Arial" w:hAnsi="Arial" w:cs="Arial"/>
          <w:sz w:val="24"/>
          <w:szCs w:val="24"/>
          <w:lang w:val="en-US"/>
        </w:rPr>
        <w:t xml:space="preserve"> </w:t>
      </w:r>
      <w:r w:rsidR="00B776F2">
        <w:rPr>
          <w:rFonts w:ascii="Arial" w:hAnsi="Arial" w:cs="Arial"/>
          <w:sz w:val="24"/>
          <w:szCs w:val="24"/>
          <w:lang w:val="en-US"/>
        </w:rPr>
        <w:t xml:space="preserve">It </w:t>
      </w:r>
      <w:r>
        <w:rPr>
          <w:rFonts w:ascii="Arial" w:hAnsi="Arial" w:cs="Arial"/>
          <w:sz w:val="24"/>
          <w:szCs w:val="24"/>
          <w:lang w:val="en-US"/>
        </w:rPr>
        <w:t>was evident that some</w:t>
      </w:r>
      <w:r w:rsidR="00B776F2" w:rsidRPr="00B776F2">
        <w:rPr>
          <w:rFonts w:ascii="Arial" w:hAnsi="Arial" w:cs="Arial"/>
          <w:sz w:val="24"/>
          <w:szCs w:val="24"/>
          <w:lang w:val="en-US"/>
        </w:rPr>
        <w:t xml:space="preserve"> potential referrers (e.g. offender managers and MAPPA panels) </w:t>
      </w:r>
      <w:r>
        <w:rPr>
          <w:rFonts w:ascii="Arial" w:hAnsi="Arial" w:cs="Arial"/>
          <w:sz w:val="24"/>
          <w:szCs w:val="24"/>
          <w:lang w:val="en-US"/>
        </w:rPr>
        <w:t xml:space="preserve">had a </w:t>
      </w:r>
      <w:r w:rsidR="00B776F2" w:rsidRPr="00B776F2">
        <w:rPr>
          <w:rFonts w:ascii="Arial" w:hAnsi="Arial" w:cs="Arial"/>
          <w:sz w:val="24"/>
          <w:szCs w:val="24"/>
          <w:lang w:val="en-US"/>
        </w:rPr>
        <w:t xml:space="preserve">limited recognition of the need to formally evaluate new intervention services. </w:t>
      </w:r>
      <w:r>
        <w:rPr>
          <w:rFonts w:ascii="Arial" w:hAnsi="Arial" w:cs="Arial"/>
          <w:sz w:val="24"/>
          <w:szCs w:val="24"/>
          <w:lang w:val="en-US"/>
        </w:rPr>
        <w:t xml:space="preserve">Furthermore, </w:t>
      </w:r>
      <w:proofErr w:type="spellStart"/>
      <w:r>
        <w:rPr>
          <w:rFonts w:ascii="Arial" w:hAnsi="Arial" w:cs="Arial"/>
          <w:sz w:val="24"/>
          <w:szCs w:val="24"/>
          <w:lang w:val="en-US"/>
        </w:rPr>
        <w:t>r</w:t>
      </w:r>
      <w:r w:rsidR="00B776F2" w:rsidRPr="00B776F2">
        <w:rPr>
          <w:rFonts w:ascii="Arial" w:hAnsi="Arial" w:cs="Arial"/>
          <w:sz w:val="24"/>
          <w:szCs w:val="24"/>
          <w:lang w:val="en-US"/>
        </w:rPr>
        <w:t>andomisation</w:t>
      </w:r>
      <w:proofErr w:type="spellEnd"/>
      <w:r w:rsidR="00B776F2" w:rsidRPr="00B776F2">
        <w:rPr>
          <w:rFonts w:ascii="Arial" w:hAnsi="Arial" w:cs="Arial"/>
          <w:sz w:val="24"/>
          <w:szCs w:val="24"/>
          <w:lang w:val="en-US"/>
        </w:rPr>
        <w:t xml:space="preserve"> was seen to restrict access to an effective specialist service. </w:t>
      </w:r>
      <w:r w:rsidRPr="00B776F2">
        <w:rPr>
          <w:rFonts w:ascii="Arial" w:hAnsi="Arial" w:cs="Arial"/>
          <w:sz w:val="24"/>
          <w:szCs w:val="24"/>
          <w:lang w:val="en-US"/>
        </w:rPr>
        <w:t xml:space="preserve">Comments by referrers suggested that the one in two likelihood of receiving the new service was a disincentive to undertaking the process of referral. </w:t>
      </w:r>
      <w:r w:rsidR="00B776F2" w:rsidRPr="00B776F2">
        <w:rPr>
          <w:rFonts w:ascii="Arial" w:hAnsi="Arial" w:cs="Arial"/>
          <w:sz w:val="24"/>
          <w:szCs w:val="24"/>
          <w:lang w:val="en-US"/>
        </w:rPr>
        <w:t>Within the service</w:t>
      </w:r>
      <w:r>
        <w:rPr>
          <w:rFonts w:ascii="Arial" w:hAnsi="Arial" w:cs="Arial"/>
          <w:sz w:val="24"/>
          <w:szCs w:val="24"/>
          <w:lang w:val="en-US"/>
        </w:rPr>
        <w:t xml:space="preserve"> itself</w:t>
      </w:r>
      <w:r w:rsidR="00B776F2" w:rsidRPr="00B776F2">
        <w:rPr>
          <w:rFonts w:ascii="Arial" w:hAnsi="Arial" w:cs="Arial"/>
          <w:sz w:val="24"/>
          <w:szCs w:val="24"/>
          <w:lang w:val="en-US"/>
        </w:rPr>
        <w:t xml:space="preserve">, this was </w:t>
      </w:r>
      <w:r w:rsidR="00A4555A">
        <w:rPr>
          <w:rFonts w:ascii="Arial" w:hAnsi="Arial" w:cs="Arial"/>
          <w:sz w:val="24"/>
          <w:szCs w:val="24"/>
          <w:lang w:val="en-US"/>
        </w:rPr>
        <w:t>perceived to be</w:t>
      </w:r>
      <w:r w:rsidR="00B776F2" w:rsidRPr="00B776F2">
        <w:rPr>
          <w:rFonts w:ascii="Arial" w:hAnsi="Arial" w:cs="Arial"/>
          <w:sz w:val="24"/>
          <w:szCs w:val="24"/>
          <w:lang w:val="en-US"/>
        </w:rPr>
        <w:t xml:space="preserve"> a particular problem given difficulties ensuring sufficient referrals</w:t>
      </w:r>
      <w:r w:rsidR="00F8143C">
        <w:rPr>
          <w:rFonts w:ascii="Arial" w:hAnsi="Arial" w:cs="Arial"/>
          <w:sz w:val="24"/>
          <w:szCs w:val="24"/>
          <w:lang w:val="en-US"/>
        </w:rPr>
        <w:t xml:space="preserve"> to justify the allocated resources</w:t>
      </w:r>
      <w:r w:rsidR="00B776F2" w:rsidRPr="00B776F2">
        <w:rPr>
          <w:rFonts w:ascii="Arial" w:hAnsi="Arial" w:cs="Arial"/>
          <w:sz w:val="24"/>
          <w:szCs w:val="24"/>
          <w:lang w:val="en-US"/>
        </w:rPr>
        <w:t xml:space="preserve">. </w:t>
      </w:r>
    </w:p>
    <w:p w14:paraId="45CA9AB6" w14:textId="5010067A" w:rsidR="00A80002" w:rsidRDefault="00A80002" w:rsidP="00472001">
      <w:pPr>
        <w:spacing w:after="0" w:line="360" w:lineRule="auto"/>
        <w:jc w:val="both"/>
        <w:rPr>
          <w:rFonts w:ascii="Arial" w:hAnsi="Arial" w:cs="Arial"/>
          <w:sz w:val="24"/>
          <w:szCs w:val="24"/>
        </w:rPr>
      </w:pPr>
    </w:p>
    <w:p w14:paraId="089E0154" w14:textId="77777777" w:rsidR="00A80002" w:rsidRPr="00DF42E7" w:rsidRDefault="00A80002" w:rsidP="00472001">
      <w:pPr>
        <w:spacing w:after="0" w:line="360" w:lineRule="auto"/>
        <w:jc w:val="both"/>
        <w:rPr>
          <w:rFonts w:ascii="Arial" w:hAnsi="Arial" w:cs="Arial"/>
          <w:sz w:val="24"/>
          <w:szCs w:val="24"/>
        </w:rPr>
      </w:pPr>
    </w:p>
    <w:p w14:paraId="1D26D2F5" w14:textId="286D7C52" w:rsidR="005055DB" w:rsidRPr="003C0BC8" w:rsidRDefault="00B776F2" w:rsidP="00783EB0">
      <w:pPr>
        <w:pStyle w:val="ListParagraph"/>
        <w:numPr>
          <w:ilvl w:val="1"/>
          <w:numId w:val="5"/>
        </w:numPr>
        <w:spacing w:after="0" w:line="360" w:lineRule="auto"/>
        <w:jc w:val="both"/>
        <w:rPr>
          <w:rFonts w:ascii="Arial" w:hAnsi="Arial" w:cs="Arial"/>
          <w:b/>
          <w:sz w:val="24"/>
          <w:szCs w:val="24"/>
        </w:rPr>
      </w:pPr>
      <w:r w:rsidRPr="003C0BC8">
        <w:rPr>
          <w:rFonts w:ascii="Arial" w:hAnsi="Arial" w:cs="Arial"/>
          <w:b/>
          <w:sz w:val="24"/>
          <w:szCs w:val="24"/>
        </w:rPr>
        <w:t>Is There Evidence for the Effectiveness of the</w:t>
      </w:r>
      <w:r w:rsidR="005055DB" w:rsidRPr="003C0BC8">
        <w:rPr>
          <w:rFonts w:ascii="Arial" w:hAnsi="Arial" w:cs="Arial"/>
          <w:b/>
          <w:sz w:val="24"/>
          <w:szCs w:val="24"/>
        </w:rPr>
        <w:t xml:space="preserve"> Resettle Programme </w:t>
      </w:r>
      <w:r w:rsidRPr="003C0BC8">
        <w:rPr>
          <w:rFonts w:ascii="Arial" w:hAnsi="Arial" w:cs="Arial"/>
          <w:b/>
          <w:sz w:val="24"/>
          <w:szCs w:val="24"/>
        </w:rPr>
        <w:t>in</w:t>
      </w:r>
      <w:r w:rsidR="005055DB" w:rsidRPr="003C0BC8">
        <w:rPr>
          <w:rFonts w:ascii="Arial" w:hAnsi="Arial" w:cs="Arial"/>
          <w:b/>
          <w:sz w:val="24"/>
          <w:szCs w:val="24"/>
        </w:rPr>
        <w:t xml:space="preserve"> Reducing Offending as Compared to the Control Group’s Level of Offending When Using the Intent-to-Treat analysis?</w:t>
      </w:r>
    </w:p>
    <w:p w14:paraId="0E928A7E" w14:textId="41EF371D" w:rsidR="00A70745" w:rsidRDefault="005055DB" w:rsidP="00472001">
      <w:pPr>
        <w:spacing w:after="0" w:line="360" w:lineRule="auto"/>
        <w:jc w:val="both"/>
        <w:rPr>
          <w:rFonts w:ascii="Arial" w:hAnsi="Arial" w:cs="Arial"/>
          <w:sz w:val="24"/>
          <w:szCs w:val="24"/>
        </w:rPr>
      </w:pPr>
      <w:r w:rsidRPr="005055DB">
        <w:rPr>
          <w:rFonts w:ascii="Arial" w:hAnsi="Arial" w:cs="Arial"/>
          <w:sz w:val="24"/>
          <w:szCs w:val="24"/>
        </w:rPr>
        <w:t>The model with official offending retained 72 observations.</w:t>
      </w:r>
      <w:r w:rsidR="0091532F">
        <w:rPr>
          <w:rFonts w:ascii="Arial" w:hAnsi="Arial" w:cs="Arial"/>
          <w:sz w:val="24"/>
          <w:szCs w:val="24"/>
        </w:rPr>
        <w:t xml:space="preserve"> Figure 2 shows the </w:t>
      </w:r>
      <w:proofErr w:type="spellStart"/>
      <w:r w:rsidR="0063335B">
        <w:rPr>
          <w:rFonts w:ascii="Arial" w:hAnsi="Arial" w:cs="Arial"/>
          <w:sz w:val="24"/>
          <w:szCs w:val="24"/>
        </w:rPr>
        <w:t>unstandaridized</w:t>
      </w:r>
      <w:proofErr w:type="spellEnd"/>
      <w:r w:rsidR="0063335B">
        <w:rPr>
          <w:rFonts w:ascii="Arial" w:hAnsi="Arial" w:cs="Arial"/>
          <w:sz w:val="24"/>
          <w:szCs w:val="24"/>
        </w:rPr>
        <w:t xml:space="preserve"> </w:t>
      </w:r>
      <w:r w:rsidR="0091532F">
        <w:rPr>
          <w:rFonts w:ascii="Arial" w:hAnsi="Arial" w:cs="Arial"/>
          <w:sz w:val="24"/>
          <w:szCs w:val="24"/>
        </w:rPr>
        <w:t>estimates and confidence intervals in statistically predicting the Poisson distribution of total offenses on release and the zero-inflated binary latent factor.</w:t>
      </w:r>
      <w:r w:rsidRPr="005055DB">
        <w:rPr>
          <w:rFonts w:ascii="Arial" w:hAnsi="Arial" w:cs="Arial"/>
          <w:sz w:val="24"/>
          <w:szCs w:val="24"/>
        </w:rPr>
        <w:t xml:space="preserve"> When examining official offending, those offenders assigned to Resettle had higher total offenses in the two year follow-up as compared to the control group</w:t>
      </w:r>
      <w:r w:rsidR="0091532F">
        <w:rPr>
          <w:rFonts w:ascii="Arial" w:hAnsi="Arial" w:cs="Arial"/>
          <w:sz w:val="24"/>
          <w:szCs w:val="24"/>
        </w:rPr>
        <w:t>, with the Intent-to-Treat groups higher by a factor of just over 1 in the Poisson-distributed rate of arrests</w:t>
      </w:r>
      <w:r w:rsidR="003A11B9">
        <w:rPr>
          <w:rFonts w:ascii="Arial" w:hAnsi="Arial" w:cs="Arial"/>
          <w:sz w:val="24"/>
          <w:szCs w:val="24"/>
        </w:rPr>
        <w:t xml:space="preserve"> over the two year period</w:t>
      </w:r>
      <w:r w:rsidR="0091532F">
        <w:rPr>
          <w:rFonts w:ascii="Arial" w:hAnsi="Arial" w:cs="Arial"/>
          <w:sz w:val="24"/>
          <w:szCs w:val="24"/>
        </w:rPr>
        <w:t xml:space="preserve"> </w:t>
      </w:r>
      <w:r w:rsidRPr="005055DB">
        <w:rPr>
          <w:rFonts w:ascii="Arial" w:hAnsi="Arial" w:cs="Arial"/>
          <w:sz w:val="24"/>
          <w:szCs w:val="24"/>
        </w:rPr>
        <w:t xml:space="preserve"> (estimate= 1.188, SE=.585, </w:t>
      </w:r>
      <w:r w:rsidRPr="005055DB">
        <w:rPr>
          <w:rFonts w:ascii="Arial" w:hAnsi="Arial" w:cs="Arial"/>
          <w:i/>
          <w:sz w:val="24"/>
          <w:szCs w:val="24"/>
        </w:rPr>
        <w:t>p</w:t>
      </w:r>
      <w:r w:rsidRPr="005055DB">
        <w:rPr>
          <w:rFonts w:ascii="Arial" w:hAnsi="Arial" w:cs="Arial"/>
          <w:sz w:val="24"/>
          <w:szCs w:val="24"/>
        </w:rPr>
        <w:t>=.042, 95%CI=-.042, 2.334). This may be somewhat driven by the fact that one offender in the intent-to-treat group had nine offenses and that was the maximum score</w:t>
      </w:r>
      <w:r w:rsidR="0091532F">
        <w:rPr>
          <w:rFonts w:ascii="Arial" w:hAnsi="Arial" w:cs="Arial"/>
          <w:sz w:val="24"/>
          <w:szCs w:val="24"/>
        </w:rPr>
        <w:t xml:space="preserve"> in the entire cohort</w:t>
      </w:r>
      <w:r w:rsidRPr="005055DB">
        <w:rPr>
          <w:rFonts w:ascii="Arial" w:hAnsi="Arial" w:cs="Arial"/>
          <w:sz w:val="24"/>
          <w:szCs w:val="24"/>
        </w:rPr>
        <w:t xml:space="preserve">. Examining the zero-inflation factor, those assigned to Resettle were significantly more likely to assume a zero value (in comparison to any value equal or above one arrest) than those in the control group (estimate= 2.371, SE=.973, </w:t>
      </w:r>
      <w:r w:rsidRPr="005055DB">
        <w:rPr>
          <w:rFonts w:ascii="Arial" w:hAnsi="Arial" w:cs="Arial"/>
          <w:i/>
          <w:sz w:val="24"/>
          <w:szCs w:val="24"/>
        </w:rPr>
        <w:t>p</w:t>
      </w:r>
      <w:r w:rsidRPr="005055DB">
        <w:rPr>
          <w:rFonts w:ascii="Arial" w:hAnsi="Arial" w:cs="Arial"/>
          <w:sz w:val="24"/>
          <w:szCs w:val="24"/>
        </w:rPr>
        <w:t>=.015, 95%CI=.464, 4.278). That is, there was about a 2 times higher odds that offenders</w:t>
      </w:r>
      <w:r w:rsidR="00A36037">
        <w:rPr>
          <w:rFonts w:ascii="Arial" w:hAnsi="Arial" w:cs="Arial"/>
          <w:sz w:val="24"/>
          <w:szCs w:val="24"/>
        </w:rPr>
        <w:t xml:space="preserve"> (including the intent-to-treat offenders</w:t>
      </w:r>
      <w:r w:rsidR="000A0972">
        <w:rPr>
          <w:rFonts w:ascii="Arial" w:hAnsi="Arial" w:cs="Arial"/>
          <w:sz w:val="24"/>
          <w:szCs w:val="24"/>
        </w:rPr>
        <w:t>) in</w:t>
      </w:r>
      <w:r w:rsidR="0063335B">
        <w:rPr>
          <w:rFonts w:ascii="Arial" w:hAnsi="Arial" w:cs="Arial"/>
          <w:sz w:val="24"/>
          <w:szCs w:val="24"/>
        </w:rPr>
        <w:t xml:space="preserve"> the Resettle programme</w:t>
      </w:r>
      <w:r w:rsidRPr="005055DB">
        <w:rPr>
          <w:rFonts w:ascii="Arial" w:hAnsi="Arial" w:cs="Arial"/>
          <w:sz w:val="24"/>
          <w:szCs w:val="24"/>
        </w:rPr>
        <w:t xml:space="preserve"> had no offending (rather than </w:t>
      </w:r>
      <w:r w:rsidRPr="005055DB">
        <w:rPr>
          <w:rFonts w:ascii="Arial" w:hAnsi="Arial" w:cs="Arial"/>
          <w:i/>
          <w:sz w:val="24"/>
          <w:szCs w:val="24"/>
        </w:rPr>
        <w:t>any</w:t>
      </w:r>
      <w:r w:rsidRPr="005055DB">
        <w:rPr>
          <w:rFonts w:ascii="Arial" w:hAnsi="Arial" w:cs="Arial"/>
          <w:sz w:val="24"/>
          <w:szCs w:val="24"/>
        </w:rPr>
        <w:t xml:space="preserve"> level of offending) in the two year follow-up period than </w:t>
      </w:r>
      <w:r w:rsidR="0063335B">
        <w:rPr>
          <w:rFonts w:ascii="Arial" w:hAnsi="Arial" w:cs="Arial"/>
          <w:sz w:val="24"/>
          <w:szCs w:val="24"/>
        </w:rPr>
        <w:t xml:space="preserve">offenders </w:t>
      </w:r>
      <w:r w:rsidRPr="005055DB">
        <w:rPr>
          <w:rFonts w:ascii="Arial" w:hAnsi="Arial" w:cs="Arial"/>
          <w:sz w:val="24"/>
          <w:szCs w:val="24"/>
        </w:rPr>
        <w:t>in the control group. When running the regression again with length of time in the community added to the regression, none of the predictors were significant any longer (</w:t>
      </w:r>
      <w:r w:rsidR="0091532F">
        <w:rPr>
          <w:rFonts w:ascii="Arial" w:hAnsi="Arial" w:cs="Arial"/>
          <w:sz w:val="24"/>
          <w:szCs w:val="24"/>
        </w:rPr>
        <w:t xml:space="preserve">see Figure 3; </w:t>
      </w:r>
      <w:r w:rsidRPr="005055DB">
        <w:rPr>
          <w:rFonts w:ascii="Arial" w:hAnsi="Arial" w:cs="Arial"/>
          <w:sz w:val="24"/>
          <w:szCs w:val="24"/>
        </w:rPr>
        <w:t xml:space="preserve">estimate= 1.204, SE=.621, </w:t>
      </w:r>
      <w:r w:rsidRPr="005055DB">
        <w:rPr>
          <w:rFonts w:ascii="Arial" w:hAnsi="Arial" w:cs="Arial"/>
          <w:i/>
          <w:sz w:val="24"/>
          <w:szCs w:val="24"/>
        </w:rPr>
        <w:t>p</w:t>
      </w:r>
      <w:r w:rsidRPr="005055DB">
        <w:rPr>
          <w:rFonts w:ascii="Arial" w:hAnsi="Arial" w:cs="Arial"/>
          <w:sz w:val="24"/>
          <w:szCs w:val="24"/>
        </w:rPr>
        <w:t xml:space="preserve">=.053, 95%CI= -0.014, 2.423; estimate= 2.077, SE=.1.12, </w:t>
      </w:r>
      <w:r w:rsidRPr="005055DB">
        <w:rPr>
          <w:rFonts w:ascii="Arial" w:hAnsi="Arial" w:cs="Arial"/>
          <w:i/>
          <w:sz w:val="24"/>
          <w:szCs w:val="24"/>
        </w:rPr>
        <w:t>p</w:t>
      </w:r>
      <w:r w:rsidRPr="005055DB">
        <w:rPr>
          <w:rFonts w:ascii="Arial" w:hAnsi="Arial" w:cs="Arial"/>
          <w:sz w:val="24"/>
          <w:szCs w:val="24"/>
        </w:rPr>
        <w:t xml:space="preserve">=.073, 95%CI= -0.877, 4.201, respectively). Yet the </w:t>
      </w:r>
      <w:r w:rsidRPr="005055DB">
        <w:rPr>
          <w:rFonts w:ascii="Arial" w:hAnsi="Arial" w:cs="Arial"/>
          <w:sz w:val="24"/>
          <w:szCs w:val="24"/>
        </w:rPr>
        <w:lastRenderedPageBreak/>
        <w:t xml:space="preserve">incremental variance of length in time in the community was non-significant after including treatment groups (Δ-2LL (df=2) = 3.573, </w:t>
      </w:r>
      <w:r w:rsidRPr="005055DB">
        <w:rPr>
          <w:rFonts w:ascii="Arial" w:hAnsi="Arial" w:cs="Arial"/>
          <w:i/>
          <w:sz w:val="24"/>
          <w:szCs w:val="24"/>
        </w:rPr>
        <w:t>p</w:t>
      </w:r>
      <w:r w:rsidRPr="005055DB">
        <w:rPr>
          <w:rFonts w:ascii="Arial" w:hAnsi="Arial" w:cs="Arial"/>
          <w:sz w:val="24"/>
          <w:szCs w:val="24"/>
        </w:rPr>
        <w:t xml:space="preserve">&gt;.05). Also, the unstandardized betas were non-significant. Thus, adding length of time with opportunity to offend may have limited </w:t>
      </w:r>
      <w:r w:rsidR="009D2CD2">
        <w:rPr>
          <w:rFonts w:ascii="Arial" w:hAnsi="Arial" w:cs="Arial"/>
          <w:sz w:val="24"/>
          <w:szCs w:val="24"/>
        </w:rPr>
        <w:t>the</w:t>
      </w:r>
      <w:r w:rsidRPr="005055DB">
        <w:rPr>
          <w:rFonts w:ascii="Arial" w:hAnsi="Arial" w:cs="Arial"/>
          <w:sz w:val="24"/>
          <w:szCs w:val="24"/>
        </w:rPr>
        <w:t xml:space="preserve"> ability to find significant effects.</w:t>
      </w:r>
      <w:r w:rsidR="00A70745">
        <w:rPr>
          <w:rFonts w:ascii="Arial" w:hAnsi="Arial" w:cs="Arial"/>
          <w:sz w:val="24"/>
          <w:szCs w:val="24"/>
        </w:rPr>
        <w:t xml:space="preserve"> </w:t>
      </w:r>
      <w:r w:rsidR="0091532F">
        <w:rPr>
          <w:noProof/>
          <w:lang w:eastAsia="en-GB"/>
        </w:rPr>
        <w:drawing>
          <wp:inline distT="0" distB="0" distL="0" distR="0" wp14:anchorId="0E5A5F48" wp14:editId="3C06007C">
            <wp:extent cx="5543550" cy="3724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550" cy="3724275"/>
                    </a:xfrm>
                    <a:prstGeom prst="rect">
                      <a:avLst/>
                    </a:prstGeom>
                  </pic:spPr>
                </pic:pic>
              </a:graphicData>
            </a:graphic>
          </wp:inline>
        </w:drawing>
      </w:r>
    </w:p>
    <w:p w14:paraId="38BCB129" w14:textId="70E70577" w:rsidR="0091532F" w:rsidRPr="00472001" w:rsidRDefault="0091532F" w:rsidP="00472001">
      <w:pPr>
        <w:spacing w:after="0" w:line="360" w:lineRule="auto"/>
        <w:jc w:val="both"/>
        <w:rPr>
          <w:rFonts w:ascii="Arial" w:hAnsi="Arial" w:cs="Arial"/>
          <w:i/>
          <w:sz w:val="24"/>
          <w:szCs w:val="24"/>
        </w:rPr>
      </w:pPr>
      <w:r w:rsidRPr="00472001">
        <w:rPr>
          <w:rFonts w:ascii="Arial" w:hAnsi="Arial" w:cs="Arial"/>
          <w:i/>
          <w:sz w:val="24"/>
          <w:szCs w:val="24"/>
        </w:rPr>
        <w:t xml:space="preserve">Figure 2. </w:t>
      </w:r>
      <w:r w:rsidR="003C5FAA" w:rsidRPr="00472001">
        <w:rPr>
          <w:rFonts w:ascii="Arial" w:hAnsi="Arial" w:cs="Arial"/>
          <w:i/>
          <w:sz w:val="24"/>
          <w:szCs w:val="24"/>
        </w:rPr>
        <w:t>Statistical prediction of number of Poisson-distributed</w:t>
      </w:r>
      <w:r w:rsidR="00A36037">
        <w:rPr>
          <w:rFonts w:ascii="Arial" w:hAnsi="Arial" w:cs="Arial"/>
          <w:i/>
          <w:sz w:val="24"/>
          <w:szCs w:val="24"/>
        </w:rPr>
        <w:t xml:space="preserve"> official</w:t>
      </w:r>
      <w:r w:rsidR="003C5FAA" w:rsidRPr="00472001">
        <w:rPr>
          <w:rFonts w:ascii="Arial" w:hAnsi="Arial" w:cs="Arial"/>
          <w:i/>
          <w:sz w:val="24"/>
          <w:szCs w:val="24"/>
        </w:rPr>
        <w:t xml:space="preserve"> offenses and the zero-inflation binary</w:t>
      </w:r>
      <w:r w:rsidR="0063335B">
        <w:rPr>
          <w:rFonts w:ascii="Arial" w:hAnsi="Arial" w:cs="Arial"/>
          <w:i/>
          <w:sz w:val="24"/>
          <w:szCs w:val="24"/>
        </w:rPr>
        <w:t xml:space="preserve"> (“bin”)</w:t>
      </w:r>
      <w:r w:rsidR="003C5FAA" w:rsidRPr="00472001">
        <w:rPr>
          <w:rFonts w:ascii="Arial" w:hAnsi="Arial" w:cs="Arial"/>
          <w:i/>
          <w:sz w:val="24"/>
          <w:szCs w:val="24"/>
        </w:rPr>
        <w:t xml:space="preserve"> factor by participating Resettle group (Treat) and by Intent-to-Treat groups (ITT) versus the control group.</w:t>
      </w:r>
      <w:r w:rsidR="0063335B">
        <w:rPr>
          <w:rFonts w:ascii="Arial" w:hAnsi="Arial" w:cs="Arial"/>
          <w:i/>
          <w:sz w:val="24"/>
          <w:szCs w:val="24"/>
        </w:rPr>
        <w:t xml:space="preserve"> Note: confidence intervals which did not include zero were significant at p&lt;.05.</w:t>
      </w:r>
    </w:p>
    <w:p w14:paraId="201A18DD" w14:textId="77777777" w:rsidR="0091532F" w:rsidRDefault="0091532F" w:rsidP="005055DB">
      <w:pPr>
        <w:spacing w:after="0" w:line="240" w:lineRule="auto"/>
        <w:jc w:val="both"/>
        <w:rPr>
          <w:rFonts w:ascii="Arial" w:hAnsi="Arial" w:cs="Arial"/>
          <w:sz w:val="24"/>
          <w:szCs w:val="24"/>
        </w:rPr>
      </w:pPr>
    </w:p>
    <w:p w14:paraId="26D7CABB" w14:textId="08F59A59" w:rsidR="00A70745" w:rsidRDefault="0091532F" w:rsidP="005055DB">
      <w:pPr>
        <w:spacing w:after="0" w:line="240" w:lineRule="auto"/>
        <w:jc w:val="both"/>
        <w:rPr>
          <w:rFonts w:ascii="Arial" w:hAnsi="Arial" w:cs="Arial"/>
          <w:sz w:val="24"/>
          <w:szCs w:val="24"/>
        </w:rPr>
      </w:pPr>
      <w:r>
        <w:rPr>
          <w:noProof/>
          <w:lang w:eastAsia="en-GB"/>
        </w:rPr>
        <w:lastRenderedPageBreak/>
        <w:drawing>
          <wp:inline distT="0" distB="0" distL="0" distR="0" wp14:anchorId="512F0E9D" wp14:editId="18135551">
            <wp:extent cx="5731510" cy="4269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269105"/>
                    </a:xfrm>
                    <a:prstGeom prst="rect">
                      <a:avLst/>
                    </a:prstGeom>
                  </pic:spPr>
                </pic:pic>
              </a:graphicData>
            </a:graphic>
          </wp:inline>
        </w:drawing>
      </w:r>
    </w:p>
    <w:p w14:paraId="61A7EA2F" w14:textId="46D05FB7" w:rsidR="003C5FAA" w:rsidRPr="00472001" w:rsidRDefault="003C5FAA" w:rsidP="00472001">
      <w:pPr>
        <w:spacing w:after="0" w:line="360" w:lineRule="auto"/>
        <w:jc w:val="both"/>
        <w:rPr>
          <w:rFonts w:ascii="Arial" w:hAnsi="Arial" w:cs="Arial"/>
          <w:i/>
          <w:sz w:val="24"/>
          <w:szCs w:val="24"/>
        </w:rPr>
      </w:pPr>
      <w:r w:rsidRPr="00472001">
        <w:rPr>
          <w:rFonts w:ascii="Arial" w:hAnsi="Arial" w:cs="Arial"/>
          <w:i/>
          <w:sz w:val="24"/>
          <w:szCs w:val="24"/>
        </w:rPr>
        <w:t>Figure 3. Statistical prediction of number of Poisson-distributed</w:t>
      </w:r>
      <w:r w:rsidR="00A36037">
        <w:rPr>
          <w:rFonts w:ascii="Arial" w:hAnsi="Arial" w:cs="Arial"/>
          <w:i/>
          <w:sz w:val="24"/>
          <w:szCs w:val="24"/>
        </w:rPr>
        <w:t xml:space="preserve"> official</w:t>
      </w:r>
      <w:r w:rsidRPr="00472001">
        <w:rPr>
          <w:rFonts w:ascii="Arial" w:hAnsi="Arial" w:cs="Arial"/>
          <w:i/>
          <w:sz w:val="24"/>
          <w:szCs w:val="24"/>
        </w:rPr>
        <w:t xml:space="preserve"> offenses and the zero-inflation binary</w:t>
      </w:r>
      <w:r w:rsidR="0063335B">
        <w:rPr>
          <w:rFonts w:ascii="Arial" w:hAnsi="Arial" w:cs="Arial"/>
          <w:i/>
          <w:sz w:val="24"/>
          <w:szCs w:val="24"/>
        </w:rPr>
        <w:t xml:space="preserve"> (“bin”)</w:t>
      </w:r>
      <w:r w:rsidRPr="00472001">
        <w:rPr>
          <w:rFonts w:ascii="Arial" w:hAnsi="Arial" w:cs="Arial"/>
          <w:i/>
          <w:sz w:val="24"/>
          <w:szCs w:val="24"/>
        </w:rPr>
        <w:t xml:space="preserve"> factor by participating Resettle group (Treat) and by Intent-to-Treat groups (ITT) versus the control group, while controlling for length of time released in the community (Length Comm).</w:t>
      </w:r>
      <w:r w:rsidR="00A36037">
        <w:rPr>
          <w:rFonts w:ascii="Arial" w:hAnsi="Arial" w:cs="Arial"/>
          <w:i/>
          <w:sz w:val="24"/>
          <w:szCs w:val="24"/>
        </w:rPr>
        <w:t xml:space="preserve"> Note: confidence intervals which did not include zero were significant at p&lt;.05.</w:t>
      </w:r>
    </w:p>
    <w:p w14:paraId="3B654A51" w14:textId="77777777" w:rsidR="00472001" w:rsidRDefault="00472001" w:rsidP="00472001">
      <w:pPr>
        <w:spacing w:after="0" w:line="360" w:lineRule="auto"/>
        <w:jc w:val="both"/>
        <w:rPr>
          <w:rFonts w:ascii="Arial" w:hAnsi="Arial" w:cs="Arial"/>
          <w:sz w:val="24"/>
          <w:szCs w:val="24"/>
        </w:rPr>
      </w:pPr>
    </w:p>
    <w:p w14:paraId="16915CF5" w14:textId="77777777" w:rsidR="003C5FAA" w:rsidRDefault="003C5FAA" w:rsidP="005055DB">
      <w:pPr>
        <w:spacing w:after="0" w:line="240" w:lineRule="auto"/>
        <w:jc w:val="both"/>
        <w:rPr>
          <w:rFonts w:ascii="Arial" w:hAnsi="Arial" w:cs="Arial"/>
          <w:sz w:val="24"/>
          <w:szCs w:val="24"/>
        </w:rPr>
      </w:pPr>
    </w:p>
    <w:p w14:paraId="3F89424C" w14:textId="4639A45E" w:rsidR="005055DB" w:rsidRDefault="005055DB" w:rsidP="00472001">
      <w:pPr>
        <w:spacing w:after="0" w:line="360" w:lineRule="auto"/>
        <w:jc w:val="both"/>
        <w:rPr>
          <w:rFonts w:ascii="Arial" w:hAnsi="Arial" w:cs="Arial"/>
          <w:sz w:val="24"/>
          <w:szCs w:val="24"/>
        </w:rPr>
      </w:pPr>
      <w:r w:rsidRPr="005055DB">
        <w:rPr>
          <w:rFonts w:ascii="Arial" w:hAnsi="Arial" w:cs="Arial"/>
          <w:sz w:val="24"/>
          <w:szCs w:val="24"/>
        </w:rPr>
        <w:t xml:space="preserve">No significant effects of being assigned to Resettle were found for self-report of </w:t>
      </w:r>
      <w:r w:rsidR="009033A5">
        <w:rPr>
          <w:rFonts w:ascii="Arial" w:hAnsi="Arial" w:cs="Arial"/>
          <w:sz w:val="24"/>
          <w:szCs w:val="24"/>
        </w:rPr>
        <w:t xml:space="preserve">antisocial behaviour </w:t>
      </w:r>
      <w:r w:rsidR="0091532F">
        <w:rPr>
          <w:rFonts w:ascii="Arial" w:hAnsi="Arial" w:cs="Arial"/>
          <w:sz w:val="24"/>
          <w:szCs w:val="24"/>
        </w:rPr>
        <w:t>in Figure 4</w:t>
      </w:r>
      <w:r w:rsidRPr="005055DB">
        <w:rPr>
          <w:rFonts w:ascii="Arial" w:hAnsi="Arial" w:cs="Arial"/>
          <w:sz w:val="24"/>
          <w:szCs w:val="24"/>
        </w:rPr>
        <w:t xml:space="preserve"> (estimate= 2.534, SE=.889, </w:t>
      </w:r>
      <w:r w:rsidRPr="005055DB">
        <w:rPr>
          <w:rFonts w:ascii="Arial" w:hAnsi="Arial" w:cs="Arial"/>
          <w:i/>
          <w:sz w:val="24"/>
          <w:szCs w:val="24"/>
        </w:rPr>
        <w:t>p</w:t>
      </w:r>
      <w:r w:rsidRPr="005055DB">
        <w:rPr>
          <w:rFonts w:ascii="Arial" w:hAnsi="Arial" w:cs="Arial"/>
          <w:sz w:val="24"/>
          <w:szCs w:val="24"/>
        </w:rPr>
        <w:t>=.085, 95%CI=-.210, 3.277). This analysis retained 20 observations, so the low sample size should be noted.</w:t>
      </w:r>
    </w:p>
    <w:p w14:paraId="0FC139B3" w14:textId="77777777" w:rsidR="00A70745" w:rsidRPr="005055DB" w:rsidRDefault="00A70745" w:rsidP="00472001">
      <w:pPr>
        <w:spacing w:after="0" w:line="360" w:lineRule="auto"/>
        <w:jc w:val="both"/>
        <w:rPr>
          <w:rFonts w:ascii="Arial" w:hAnsi="Arial" w:cs="Arial"/>
          <w:sz w:val="24"/>
          <w:szCs w:val="24"/>
        </w:rPr>
      </w:pPr>
    </w:p>
    <w:p w14:paraId="02CF4493" w14:textId="5D87D888" w:rsidR="005055DB" w:rsidRPr="005E7029" w:rsidRDefault="00B776F2" w:rsidP="00783EB0">
      <w:pPr>
        <w:pStyle w:val="ListParagraph"/>
        <w:numPr>
          <w:ilvl w:val="1"/>
          <w:numId w:val="5"/>
        </w:numPr>
        <w:spacing w:after="0" w:line="360" w:lineRule="auto"/>
        <w:jc w:val="both"/>
        <w:rPr>
          <w:rFonts w:ascii="Arial" w:hAnsi="Arial" w:cs="Arial"/>
          <w:b/>
          <w:sz w:val="24"/>
          <w:szCs w:val="24"/>
        </w:rPr>
      </w:pPr>
      <w:r w:rsidRPr="005E7029">
        <w:rPr>
          <w:rFonts w:ascii="Arial" w:hAnsi="Arial" w:cs="Arial"/>
          <w:b/>
          <w:sz w:val="24"/>
          <w:szCs w:val="24"/>
        </w:rPr>
        <w:t>Is There Evidence for the Effectiveness of the</w:t>
      </w:r>
      <w:r w:rsidR="005055DB" w:rsidRPr="005E7029">
        <w:rPr>
          <w:rFonts w:ascii="Arial" w:hAnsi="Arial" w:cs="Arial"/>
          <w:b/>
          <w:sz w:val="24"/>
          <w:szCs w:val="24"/>
        </w:rPr>
        <w:t xml:space="preserve"> Resettle Programme </w:t>
      </w:r>
      <w:r w:rsidRPr="005E7029">
        <w:rPr>
          <w:rFonts w:ascii="Arial" w:hAnsi="Arial" w:cs="Arial"/>
          <w:b/>
          <w:sz w:val="24"/>
          <w:szCs w:val="24"/>
        </w:rPr>
        <w:t>in</w:t>
      </w:r>
      <w:r w:rsidR="005055DB" w:rsidRPr="005E7029">
        <w:rPr>
          <w:rFonts w:ascii="Arial" w:hAnsi="Arial" w:cs="Arial"/>
          <w:b/>
          <w:sz w:val="24"/>
          <w:szCs w:val="24"/>
        </w:rPr>
        <w:t xml:space="preserve"> Reducing Offending as Compared to the Control Group’s Level of Offending When Only Comparing the Participating Resettle Group?</w:t>
      </w:r>
    </w:p>
    <w:p w14:paraId="6D66BA3A" w14:textId="49BFAE48" w:rsidR="003A11B9" w:rsidRDefault="005055DB" w:rsidP="00472001">
      <w:pPr>
        <w:spacing w:after="0" w:line="360" w:lineRule="auto"/>
        <w:jc w:val="both"/>
        <w:rPr>
          <w:rFonts w:ascii="Arial" w:hAnsi="Arial" w:cs="Arial"/>
          <w:sz w:val="24"/>
          <w:szCs w:val="24"/>
        </w:rPr>
      </w:pPr>
      <w:r w:rsidRPr="005055DB">
        <w:rPr>
          <w:rFonts w:ascii="Arial" w:hAnsi="Arial" w:cs="Arial"/>
          <w:sz w:val="24"/>
          <w:szCs w:val="24"/>
        </w:rPr>
        <w:t>The participating Resettle group</w:t>
      </w:r>
      <w:r w:rsidR="0091532F">
        <w:rPr>
          <w:rFonts w:ascii="Arial" w:hAnsi="Arial" w:cs="Arial"/>
          <w:sz w:val="24"/>
          <w:szCs w:val="24"/>
        </w:rPr>
        <w:t xml:space="preserve"> (Treatment group)</w:t>
      </w:r>
      <w:r w:rsidRPr="005055DB">
        <w:rPr>
          <w:rFonts w:ascii="Arial" w:hAnsi="Arial" w:cs="Arial"/>
          <w:sz w:val="24"/>
          <w:szCs w:val="24"/>
        </w:rPr>
        <w:t xml:space="preserve"> had fewer </w:t>
      </w:r>
      <w:r w:rsidR="00A36037">
        <w:rPr>
          <w:rFonts w:ascii="Arial" w:hAnsi="Arial" w:cs="Arial"/>
          <w:sz w:val="24"/>
          <w:szCs w:val="24"/>
        </w:rPr>
        <w:t xml:space="preserve">official </w:t>
      </w:r>
      <w:r w:rsidRPr="005055DB">
        <w:rPr>
          <w:rFonts w:ascii="Arial" w:hAnsi="Arial" w:cs="Arial"/>
          <w:sz w:val="24"/>
          <w:szCs w:val="24"/>
        </w:rPr>
        <w:t>offences as compared to the control group</w:t>
      </w:r>
      <w:r w:rsidR="0091532F">
        <w:rPr>
          <w:rFonts w:ascii="Arial" w:hAnsi="Arial" w:cs="Arial"/>
          <w:sz w:val="24"/>
          <w:szCs w:val="24"/>
        </w:rPr>
        <w:t>, with a lower rate of Poisson-distributed arrests of about 1</w:t>
      </w:r>
      <w:r w:rsidR="003A11B9">
        <w:rPr>
          <w:rFonts w:ascii="Arial" w:hAnsi="Arial" w:cs="Arial"/>
          <w:sz w:val="24"/>
          <w:szCs w:val="24"/>
        </w:rPr>
        <w:t xml:space="preserve"> over the two year period</w:t>
      </w:r>
      <w:r w:rsidRPr="005055DB">
        <w:rPr>
          <w:rFonts w:ascii="Arial" w:hAnsi="Arial" w:cs="Arial"/>
          <w:sz w:val="24"/>
          <w:szCs w:val="24"/>
        </w:rPr>
        <w:t xml:space="preserve"> (</w:t>
      </w:r>
      <w:r w:rsidR="0091532F">
        <w:rPr>
          <w:rFonts w:ascii="Arial" w:hAnsi="Arial" w:cs="Arial"/>
          <w:sz w:val="24"/>
          <w:szCs w:val="24"/>
        </w:rPr>
        <w:t xml:space="preserve">see Figure 2; </w:t>
      </w:r>
      <w:r w:rsidRPr="005055DB">
        <w:rPr>
          <w:rFonts w:ascii="Arial" w:hAnsi="Arial" w:cs="Arial"/>
          <w:sz w:val="24"/>
          <w:szCs w:val="24"/>
        </w:rPr>
        <w:t xml:space="preserve">estimate= -1.055, SE=.489, </w:t>
      </w:r>
      <w:r w:rsidRPr="005055DB">
        <w:rPr>
          <w:rFonts w:ascii="Arial" w:hAnsi="Arial" w:cs="Arial"/>
          <w:i/>
          <w:sz w:val="24"/>
          <w:szCs w:val="24"/>
        </w:rPr>
        <w:t>p</w:t>
      </w:r>
      <w:r w:rsidRPr="005055DB">
        <w:rPr>
          <w:rFonts w:ascii="Arial" w:hAnsi="Arial" w:cs="Arial"/>
          <w:sz w:val="24"/>
          <w:szCs w:val="24"/>
        </w:rPr>
        <w:t xml:space="preserve">=.031, </w:t>
      </w:r>
      <w:r w:rsidRPr="005055DB">
        <w:rPr>
          <w:rFonts w:ascii="Arial" w:hAnsi="Arial" w:cs="Arial"/>
          <w:sz w:val="24"/>
          <w:szCs w:val="24"/>
        </w:rPr>
        <w:lastRenderedPageBreak/>
        <w:t xml:space="preserve">95%CI= -2.014, -.096). </w:t>
      </w:r>
      <w:r w:rsidR="00A36037" w:rsidRPr="005055DB">
        <w:rPr>
          <w:rFonts w:ascii="Arial" w:hAnsi="Arial" w:cs="Arial"/>
          <w:sz w:val="24"/>
          <w:szCs w:val="24"/>
        </w:rPr>
        <w:t xml:space="preserve">Further, 20% of the variance in offending was explained by the programme groupings. </w:t>
      </w:r>
      <w:r w:rsidRPr="005055DB">
        <w:rPr>
          <w:rFonts w:ascii="Arial" w:hAnsi="Arial" w:cs="Arial"/>
          <w:sz w:val="24"/>
          <w:szCs w:val="24"/>
        </w:rPr>
        <w:t xml:space="preserve">However, the Resettle group was less likely to assume zero-values on offending than the control (estimate= -2.123, SE= 1.023, </w:t>
      </w:r>
      <w:r w:rsidRPr="005055DB">
        <w:rPr>
          <w:rFonts w:ascii="Arial" w:hAnsi="Arial" w:cs="Arial"/>
          <w:i/>
          <w:sz w:val="24"/>
          <w:szCs w:val="24"/>
        </w:rPr>
        <w:t>p</w:t>
      </w:r>
      <w:r w:rsidRPr="005055DB">
        <w:rPr>
          <w:rFonts w:ascii="Arial" w:hAnsi="Arial" w:cs="Arial"/>
          <w:sz w:val="24"/>
          <w:szCs w:val="24"/>
        </w:rPr>
        <w:t xml:space="preserve">=.038, 95%CI= -4.129, -.117). In other words, the </w:t>
      </w:r>
      <w:r w:rsidR="00A36037">
        <w:rPr>
          <w:rFonts w:ascii="Arial" w:hAnsi="Arial" w:cs="Arial"/>
          <w:sz w:val="24"/>
          <w:szCs w:val="24"/>
        </w:rPr>
        <w:t>R</w:t>
      </w:r>
      <w:r w:rsidRPr="005055DB">
        <w:rPr>
          <w:rFonts w:ascii="Arial" w:hAnsi="Arial" w:cs="Arial"/>
          <w:sz w:val="24"/>
          <w:szCs w:val="24"/>
        </w:rPr>
        <w:t xml:space="preserve">esettle group was </w:t>
      </w:r>
      <w:r w:rsidR="00481E42">
        <w:rPr>
          <w:rFonts w:ascii="Arial" w:hAnsi="Arial" w:cs="Arial"/>
          <w:sz w:val="24"/>
          <w:szCs w:val="24"/>
        </w:rPr>
        <w:t xml:space="preserve">more </w:t>
      </w:r>
      <w:r w:rsidRPr="005055DB">
        <w:rPr>
          <w:rFonts w:ascii="Arial" w:hAnsi="Arial" w:cs="Arial"/>
          <w:sz w:val="24"/>
          <w:szCs w:val="24"/>
        </w:rPr>
        <w:t xml:space="preserve">likely to have </w:t>
      </w:r>
      <w:r w:rsidRPr="005055DB">
        <w:rPr>
          <w:rFonts w:ascii="Arial" w:hAnsi="Arial" w:cs="Arial"/>
          <w:i/>
          <w:sz w:val="24"/>
          <w:szCs w:val="24"/>
        </w:rPr>
        <w:t>any</w:t>
      </w:r>
      <w:r w:rsidRPr="005055DB">
        <w:rPr>
          <w:rFonts w:ascii="Arial" w:hAnsi="Arial" w:cs="Arial"/>
          <w:sz w:val="24"/>
          <w:szCs w:val="24"/>
        </w:rPr>
        <w:t xml:space="preserve"> level of offending than the control group</w:t>
      </w:r>
      <w:r w:rsidR="00A36037">
        <w:rPr>
          <w:rFonts w:ascii="Arial" w:hAnsi="Arial" w:cs="Arial"/>
          <w:sz w:val="24"/>
          <w:szCs w:val="24"/>
        </w:rPr>
        <w:t>, although the total count was reduced for the Resettle participating group as compared to control or usual care</w:t>
      </w:r>
      <w:r w:rsidRPr="005055DB">
        <w:rPr>
          <w:rFonts w:ascii="Arial" w:hAnsi="Arial" w:cs="Arial"/>
          <w:sz w:val="24"/>
          <w:szCs w:val="24"/>
        </w:rPr>
        <w:t xml:space="preserve">. </w:t>
      </w:r>
    </w:p>
    <w:p w14:paraId="2C94CDA0" w14:textId="77777777" w:rsidR="003A11B9" w:rsidRDefault="003A11B9" w:rsidP="00472001">
      <w:pPr>
        <w:spacing w:after="0" w:line="360" w:lineRule="auto"/>
        <w:jc w:val="both"/>
        <w:rPr>
          <w:rFonts w:ascii="Arial" w:hAnsi="Arial" w:cs="Arial"/>
          <w:sz w:val="24"/>
          <w:szCs w:val="24"/>
        </w:rPr>
      </w:pPr>
    </w:p>
    <w:p w14:paraId="12FF8EEF" w14:textId="3B0D3431" w:rsidR="005055DB" w:rsidRDefault="005055DB" w:rsidP="00472001">
      <w:pPr>
        <w:spacing w:after="0" w:line="360" w:lineRule="auto"/>
        <w:jc w:val="both"/>
        <w:rPr>
          <w:rFonts w:ascii="Arial" w:hAnsi="Arial" w:cs="Arial"/>
          <w:sz w:val="24"/>
          <w:szCs w:val="24"/>
        </w:rPr>
      </w:pPr>
      <w:r w:rsidRPr="005055DB">
        <w:rPr>
          <w:rFonts w:ascii="Arial" w:hAnsi="Arial" w:cs="Arial"/>
          <w:sz w:val="24"/>
          <w:szCs w:val="24"/>
        </w:rPr>
        <w:t>When including length of time in the community, as above</w:t>
      </w:r>
      <w:r w:rsidR="003A11B9">
        <w:rPr>
          <w:rFonts w:ascii="Arial" w:hAnsi="Arial" w:cs="Arial"/>
          <w:sz w:val="24"/>
          <w:szCs w:val="24"/>
        </w:rPr>
        <w:t xml:space="preserve"> and shown in Figure 3</w:t>
      </w:r>
      <w:r w:rsidRPr="005055DB">
        <w:rPr>
          <w:rFonts w:ascii="Arial" w:hAnsi="Arial" w:cs="Arial"/>
          <w:sz w:val="24"/>
          <w:szCs w:val="24"/>
        </w:rPr>
        <w:t xml:space="preserve">, the effects dropped to nonsignificant (estimate= -1.037, SE=.547, </w:t>
      </w:r>
      <w:r w:rsidRPr="005055DB">
        <w:rPr>
          <w:rFonts w:ascii="Arial" w:hAnsi="Arial" w:cs="Arial"/>
          <w:i/>
          <w:sz w:val="24"/>
          <w:szCs w:val="24"/>
        </w:rPr>
        <w:t>p</w:t>
      </w:r>
      <w:r w:rsidRPr="005055DB">
        <w:rPr>
          <w:rFonts w:ascii="Arial" w:hAnsi="Arial" w:cs="Arial"/>
          <w:sz w:val="24"/>
          <w:szCs w:val="24"/>
        </w:rPr>
        <w:t xml:space="preserve">=.058, 95%CI= -2.110, 0.036; estimate= -1.886, SE=1.294, </w:t>
      </w:r>
      <w:r w:rsidRPr="005055DB">
        <w:rPr>
          <w:rFonts w:ascii="Arial" w:hAnsi="Arial" w:cs="Arial"/>
          <w:i/>
          <w:sz w:val="24"/>
          <w:szCs w:val="24"/>
        </w:rPr>
        <w:t>p</w:t>
      </w:r>
      <w:r w:rsidRPr="005055DB">
        <w:rPr>
          <w:rFonts w:ascii="Arial" w:hAnsi="Arial" w:cs="Arial"/>
          <w:sz w:val="24"/>
          <w:szCs w:val="24"/>
        </w:rPr>
        <w:t xml:space="preserve">=.145, 95%CI= -4.423, 0.652, respectively), yet again it is noted that it had no significant incremental variance (Δ-2LL (df=2) = 3.573, </w:t>
      </w:r>
      <w:r w:rsidRPr="005055DB">
        <w:rPr>
          <w:rFonts w:ascii="Arial" w:hAnsi="Arial" w:cs="Arial"/>
          <w:i/>
          <w:sz w:val="24"/>
          <w:szCs w:val="24"/>
        </w:rPr>
        <w:t>p</w:t>
      </w:r>
      <w:r w:rsidRPr="005055DB">
        <w:rPr>
          <w:rFonts w:ascii="Arial" w:hAnsi="Arial" w:cs="Arial"/>
          <w:sz w:val="24"/>
          <w:szCs w:val="24"/>
        </w:rPr>
        <w:t>&gt;.05) and did not significantly predict offenses.</w:t>
      </w:r>
    </w:p>
    <w:p w14:paraId="1B89ED02" w14:textId="61032072" w:rsidR="00FE7D84" w:rsidRDefault="00FE7D84" w:rsidP="00472001">
      <w:pPr>
        <w:spacing w:after="0" w:line="360" w:lineRule="auto"/>
        <w:jc w:val="both"/>
        <w:rPr>
          <w:rFonts w:ascii="Arial" w:hAnsi="Arial" w:cs="Arial"/>
          <w:sz w:val="24"/>
          <w:szCs w:val="24"/>
        </w:rPr>
      </w:pPr>
    </w:p>
    <w:p w14:paraId="711B2CA8" w14:textId="629A82B8" w:rsidR="00A70745" w:rsidRPr="005055DB" w:rsidRDefault="00A70745" w:rsidP="00472001">
      <w:pPr>
        <w:spacing w:after="0" w:line="360" w:lineRule="auto"/>
        <w:jc w:val="both"/>
        <w:rPr>
          <w:rFonts w:ascii="Arial" w:hAnsi="Arial" w:cs="Arial"/>
          <w:sz w:val="24"/>
          <w:szCs w:val="24"/>
        </w:rPr>
      </w:pPr>
    </w:p>
    <w:p w14:paraId="3A8D0DF6" w14:textId="7EA36B69" w:rsidR="005055DB" w:rsidRDefault="005055DB" w:rsidP="00472001">
      <w:pPr>
        <w:spacing w:after="0" w:line="360" w:lineRule="auto"/>
        <w:jc w:val="both"/>
        <w:rPr>
          <w:rFonts w:ascii="Arial" w:hAnsi="Arial" w:cs="Arial"/>
          <w:sz w:val="24"/>
          <w:szCs w:val="24"/>
        </w:rPr>
      </w:pPr>
      <w:r w:rsidRPr="005055DB">
        <w:rPr>
          <w:rFonts w:ascii="Arial" w:hAnsi="Arial" w:cs="Arial"/>
          <w:sz w:val="24"/>
          <w:szCs w:val="24"/>
        </w:rPr>
        <w:t xml:space="preserve">For self-report of </w:t>
      </w:r>
      <w:r w:rsidR="009033A5">
        <w:rPr>
          <w:rFonts w:ascii="Arial" w:hAnsi="Arial" w:cs="Arial"/>
          <w:sz w:val="24"/>
          <w:szCs w:val="24"/>
        </w:rPr>
        <w:t xml:space="preserve"> antisocial behaviour</w:t>
      </w:r>
      <w:r w:rsidRPr="005055DB">
        <w:rPr>
          <w:rFonts w:ascii="Arial" w:hAnsi="Arial" w:cs="Arial"/>
          <w:sz w:val="24"/>
          <w:szCs w:val="24"/>
        </w:rPr>
        <w:t xml:space="preserve">, the Resettle group reported significantly less </w:t>
      </w:r>
      <w:r w:rsidR="009033A5" w:rsidRPr="009033A5">
        <w:rPr>
          <w:rFonts w:ascii="Arial" w:hAnsi="Arial" w:cs="Arial"/>
          <w:sz w:val="24"/>
          <w:szCs w:val="24"/>
        </w:rPr>
        <w:t>antisocial behaviour</w:t>
      </w:r>
      <w:r w:rsidRPr="005055DB">
        <w:rPr>
          <w:rFonts w:ascii="Arial" w:hAnsi="Arial" w:cs="Arial"/>
          <w:sz w:val="24"/>
          <w:szCs w:val="24"/>
        </w:rPr>
        <w:t xml:space="preserve"> over the two years than the control group (estimate= -1.526, SE=.698, </w:t>
      </w:r>
      <w:r w:rsidRPr="005055DB">
        <w:rPr>
          <w:rFonts w:ascii="Arial" w:hAnsi="Arial" w:cs="Arial"/>
          <w:i/>
          <w:sz w:val="24"/>
          <w:szCs w:val="24"/>
        </w:rPr>
        <w:t>p</w:t>
      </w:r>
      <w:r w:rsidRPr="005055DB">
        <w:rPr>
          <w:rFonts w:ascii="Arial" w:hAnsi="Arial" w:cs="Arial"/>
          <w:sz w:val="24"/>
          <w:szCs w:val="24"/>
        </w:rPr>
        <w:t xml:space="preserve">=.029, 95%CI= -2.894, -0.159). Of note, this effect remained significant even when controlling for length of time in the community (estimate= -1.524, SE=.707, </w:t>
      </w:r>
      <w:r w:rsidRPr="005055DB">
        <w:rPr>
          <w:rFonts w:ascii="Arial" w:hAnsi="Arial" w:cs="Arial"/>
          <w:i/>
          <w:sz w:val="24"/>
          <w:szCs w:val="24"/>
        </w:rPr>
        <w:t>p</w:t>
      </w:r>
      <w:r w:rsidRPr="005055DB">
        <w:rPr>
          <w:rFonts w:ascii="Arial" w:hAnsi="Arial" w:cs="Arial"/>
          <w:sz w:val="24"/>
          <w:szCs w:val="24"/>
        </w:rPr>
        <w:t xml:space="preserve">=.031, 95%CI= -2.909, -0.138), and this effect was of moderate size and indicates a 1.5 increase in the ordinal count of delinquent activity in the control group as compared to the Resettle programme group. The effect of length in community was non-significant </w:t>
      </w:r>
      <w:r w:rsidR="003A11B9">
        <w:rPr>
          <w:rFonts w:ascii="Arial" w:hAnsi="Arial" w:cs="Arial"/>
          <w:sz w:val="24"/>
          <w:szCs w:val="24"/>
        </w:rPr>
        <w:t xml:space="preserve">and is not included in Figure 5 for that reason </w:t>
      </w:r>
      <w:r w:rsidRPr="005055DB">
        <w:rPr>
          <w:rFonts w:ascii="Arial" w:hAnsi="Arial" w:cs="Arial"/>
          <w:sz w:val="24"/>
          <w:szCs w:val="24"/>
        </w:rPr>
        <w:t xml:space="preserve">(estimate= 0.00, SE=.003, </w:t>
      </w:r>
      <w:r w:rsidRPr="005055DB">
        <w:rPr>
          <w:rFonts w:ascii="Arial" w:hAnsi="Arial" w:cs="Arial"/>
          <w:i/>
          <w:sz w:val="24"/>
          <w:szCs w:val="24"/>
        </w:rPr>
        <w:t>p</w:t>
      </w:r>
      <w:r w:rsidRPr="005055DB">
        <w:rPr>
          <w:rFonts w:ascii="Arial" w:hAnsi="Arial" w:cs="Arial"/>
          <w:sz w:val="24"/>
          <w:szCs w:val="24"/>
        </w:rPr>
        <w:t xml:space="preserve">=.969, 95%CI= -0.007, 0.006). Thus, both regressions show that the Resettle group had fewer </w:t>
      </w:r>
      <w:r w:rsidR="00A36037">
        <w:rPr>
          <w:rFonts w:ascii="Arial" w:hAnsi="Arial" w:cs="Arial"/>
          <w:sz w:val="24"/>
          <w:szCs w:val="24"/>
        </w:rPr>
        <w:t xml:space="preserve">number of </w:t>
      </w:r>
      <w:r w:rsidRPr="005055DB">
        <w:rPr>
          <w:rFonts w:ascii="Arial" w:hAnsi="Arial" w:cs="Arial"/>
          <w:sz w:val="24"/>
          <w:szCs w:val="24"/>
        </w:rPr>
        <w:t>offenses, whether measured via official records or self-report, although some variance in the official offending data was taken</w:t>
      </w:r>
      <w:r w:rsidR="003A11B9">
        <w:rPr>
          <w:rFonts w:ascii="Arial" w:hAnsi="Arial" w:cs="Arial"/>
          <w:sz w:val="24"/>
          <w:szCs w:val="24"/>
        </w:rPr>
        <w:t xml:space="preserve"> up</w:t>
      </w:r>
      <w:r w:rsidRPr="005055DB">
        <w:rPr>
          <w:rFonts w:ascii="Arial" w:hAnsi="Arial" w:cs="Arial"/>
          <w:sz w:val="24"/>
          <w:szCs w:val="24"/>
        </w:rPr>
        <w:t xml:space="preserve"> by opportunity to offend.</w:t>
      </w:r>
    </w:p>
    <w:p w14:paraId="1D9F3521" w14:textId="77777777" w:rsidR="00973F9F" w:rsidRDefault="00973F9F" w:rsidP="005055DB">
      <w:pPr>
        <w:spacing w:after="0" w:line="240" w:lineRule="auto"/>
        <w:jc w:val="both"/>
        <w:rPr>
          <w:rFonts w:ascii="Arial" w:hAnsi="Arial" w:cs="Arial"/>
          <w:sz w:val="24"/>
          <w:szCs w:val="24"/>
        </w:rPr>
      </w:pPr>
    </w:p>
    <w:p w14:paraId="0F1841B7" w14:textId="309DCF77" w:rsidR="00973F9F" w:rsidRDefault="00973F9F" w:rsidP="005055DB">
      <w:pPr>
        <w:spacing w:after="0" w:line="240" w:lineRule="auto"/>
        <w:jc w:val="both"/>
        <w:rPr>
          <w:rFonts w:ascii="Arial" w:hAnsi="Arial" w:cs="Arial"/>
          <w:sz w:val="24"/>
          <w:szCs w:val="24"/>
        </w:rPr>
      </w:pPr>
      <w:r>
        <w:rPr>
          <w:noProof/>
          <w:lang w:eastAsia="en-GB"/>
        </w:rPr>
        <w:lastRenderedPageBreak/>
        <w:drawing>
          <wp:inline distT="0" distB="0" distL="0" distR="0" wp14:anchorId="312CD4BC" wp14:editId="34585DDD">
            <wp:extent cx="5731510" cy="39357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35730"/>
                    </a:xfrm>
                    <a:prstGeom prst="rect">
                      <a:avLst/>
                    </a:prstGeom>
                  </pic:spPr>
                </pic:pic>
              </a:graphicData>
            </a:graphic>
          </wp:inline>
        </w:drawing>
      </w:r>
    </w:p>
    <w:p w14:paraId="64DD921D" w14:textId="28494315" w:rsidR="00FE7D84" w:rsidRDefault="00FE7D84" w:rsidP="005055DB">
      <w:pPr>
        <w:spacing w:after="0" w:line="240" w:lineRule="auto"/>
        <w:jc w:val="both"/>
        <w:rPr>
          <w:rFonts w:ascii="Arial" w:hAnsi="Arial" w:cs="Arial"/>
          <w:sz w:val="24"/>
          <w:szCs w:val="24"/>
        </w:rPr>
      </w:pPr>
    </w:p>
    <w:p w14:paraId="2A038F99" w14:textId="5E5C8C82" w:rsidR="003C5FAA" w:rsidRDefault="003C5FAA" w:rsidP="00472001">
      <w:pPr>
        <w:spacing w:after="0" w:line="360" w:lineRule="auto"/>
        <w:jc w:val="both"/>
        <w:rPr>
          <w:rFonts w:ascii="Arial" w:hAnsi="Arial" w:cs="Arial"/>
          <w:sz w:val="24"/>
          <w:szCs w:val="24"/>
        </w:rPr>
      </w:pPr>
      <w:r>
        <w:rPr>
          <w:rFonts w:ascii="Arial" w:hAnsi="Arial" w:cs="Arial"/>
          <w:sz w:val="24"/>
          <w:szCs w:val="24"/>
        </w:rPr>
        <w:t xml:space="preserve">Figure 4. Statistical prediction of number of Poisson-distributed self-report of </w:t>
      </w:r>
      <w:r w:rsidR="009033A5" w:rsidRPr="009033A5">
        <w:rPr>
          <w:rFonts w:ascii="Arial" w:hAnsi="Arial" w:cs="Arial"/>
          <w:sz w:val="24"/>
          <w:szCs w:val="24"/>
        </w:rPr>
        <w:t>antisocial behaviour</w:t>
      </w:r>
      <w:r>
        <w:rPr>
          <w:rFonts w:ascii="Arial" w:hAnsi="Arial" w:cs="Arial"/>
          <w:sz w:val="24"/>
          <w:szCs w:val="24"/>
        </w:rPr>
        <w:t xml:space="preserve"> (SRD Tot) by participating Resettle group (Treat) and by Intent-to-Treat groups (ITT) versus the control group.</w:t>
      </w:r>
      <w:r w:rsidR="00A36037">
        <w:rPr>
          <w:rFonts w:ascii="Arial" w:hAnsi="Arial" w:cs="Arial"/>
          <w:sz w:val="24"/>
          <w:szCs w:val="24"/>
        </w:rPr>
        <w:t xml:space="preserve"> </w:t>
      </w:r>
      <w:r w:rsidR="00A36037">
        <w:rPr>
          <w:rFonts w:ascii="Arial" w:hAnsi="Arial" w:cs="Arial"/>
          <w:i/>
          <w:sz w:val="24"/>
          <w:szCs w:val="24"/>
        </w:rPr>
        <w:t>Note: confidence intervals which did not include zero were significant at p&lt;.05.</w:t>
      </w:r>
    </w:p>
    <w:p w14:paraId="3EEF5333" w14:textId="77777777" w:rsidR="00FE7D84" w:rsidRDefault="00FE7D84" w:rsidP="005055DB">
      <w:pPr>
        <w:spacing w:after="0" w:line="240" w:lineRule="auto"/>
        <w:jc w:val="both"/>
        <w:rPr>
          <w:rFonts w:ascii="Arial" w:hAnsi="Arial" w:cs="Arial"/>
          <w:sz w:val="24"/>
          <w:szCs w:val="24"/>
        </w:rPr>
      </w:pPr>
    </w:p>
    <w:p w14:paraId="31C551E8" w14:textId="77777777" w:rsidR="00FE7D84" w:rsidRDefault="00FE7D84" w:rsidP="005055DB">
      <w:pPr>
        <w:spacing w:after="0" w:line="240" w:lineRule="auto"/>
        <w:jc w:val="both"/>
        <w:rPr>
          <w:rFonts w:ascii="Arial" w:hAnsi="Arial" w:cs="Arial"/>
          <w:sz w:val="24"/>
          <w:szCs w:val="24"/>
        </w:rPr>
      </w:pPr>
    </w:p>
    <w:p w14:paraId="263F2CF7" w14:textId="41B50B2F" w:rsidR="00FE7D84" w:rsidRDefault="00FE7D84" w:rsidP="005055DB">
      <w:pPr>
        <w:spacing w:after="0" w:line="240" w:lineRule="auto"/>
        <w:jc w:val="both"/>
        <w:rPr>
          <w:rFonts w:ascii="Arial" w:hAnsi="Arial" w:cs="Arial"/>
          <w:sz w:val="24"/>
          <w:szCs w:val="24"/>
        </w:rPr>
      </w:pPr>
      <w:r>
        <w:rPr>
          <w:noProof/>
          <w:lang w:eastAsia="en-GB"/>
        </w:rPr>
        <w:lastRenderedPageBreak/>
        <w:drawing>
          <wp:inline distT="0" distB="0" distL="0" distR="0" wp14:anchorId="597AEF9A" wp14:editId="0B9EC44E">
            <wp:extent cx="5731510" cy="46462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646295"/>
                    </a:xfrm>
                    <a:prstGeom prst="rect">
                      <a:avLst/>
                    </a:prstGeom>
                  </pic:spPr>
                </pic:pic>
              </a:graphicData>
            </a:graphic>
          </wp:inline>
        </w:drawing>
      </w:r>
    </w:p>
    <w:p w14:paraId="505D639E" w14:textId="07BAD945" w:rsidR="001A40B6" w:rsidRDefault="001A40B6" w:rsidP="005055DB">
      <w:pPr>
        <w:spacing w:after="0" w:line="240" w:lineRule="auto"/>
        <w:jc w:val="both"/>
        <w:rPr>
          <w:rFonts w:ascii="Arial" w:hAnsi="Arial" w:cs="Arial"/>
          <w:sz w:val="24"/>
          <w:szCs w:val="24"/>
        </w:rPr>
      </w:pPr>
    </w:p>
    <w:p w14:paraId="3A27869A" w14:textId="1F8750B0" w:rsidR="003C5FAA" w:rsidRPr="00ED0F7F" w:rsidRDefault="003C5FAA" w:rsidP="00A36037">
      <w:pPr>
        <w:spacing w:after="0" w:line="360" w:lineRule="auto"/>
        <w:jc w:val="both"/>
        <w:rPr>
          <w:rFonts w:ascii="Arial" w:hAnsi="Arial" w:cs="Arial"/>
          <w:i/>
          <w:sz w:val="24"/>
          <w:szCs w:val="24"/>
        </w:rPr>
      </w:pPr>
      <w:r w:rsidRPr="00ED0F7F">
        <w:rPr>
          <w:rFonts w:ascii="Arial" w:hAnsi="Arial" w:cs="Arial"/>
          <w:i/>
          <w:sz w:val="24"/>
          <w:szCs w:val="24"/>
        </w:rPr>
        <w:t xml:space="preserve">Figure 5. Statistical prediction of number of Poisson-distributed self-report of </w:t>
      </w:r>
      <w:r w:rsidR="009033A5" w:rsidRPr="009033A5">
        <w:rPr>
          <w:rFonts w:ascii="Arial" w:hAnsi="Arial" w:cs="Arial"/>
          <w:i/>
          <w:sz w:val="24"/>
          <w:szCs w:val="24"/>
        </w:rPr>
        <w:t>antisocial behaviour</w:t>
      </w:r>
      <w:r w:rsidRPr="00ED0F7F">
        <w:rPr>
          <w:rFonts w:ascii="Arial" w:hAnsi="Arial" w:cs="Arial"/>
          <w:i/>
          <w:sz w:val="24"/>
          <w:szCs w:val="24"/>
        </w:rPr>
        <w:t xml:space="preserve"> (SRD Tot) by participating Resettle group (Treat) and by Intent-to-Treat groups (ITT) versus the control group, while controlling for length of time in the community (Length Comm).</w:t>
      </w:r>
      <w:r w:rsidR="00A36037" w:rsidRPr="00ED0F7F">
        <w:rPr>
          <w:rFonts w:ascii="Arial" w:hAnsi="Arial" w:cs="Arial"/>
          <w:i/>
          <w:sz w:val="24"/>
          <w:szCs w:val="24"/>
        </w:rPr>
        <w:t xml:space="preserve"> Note: confidence intervals which did not include zero were significant at p&lt;.05.</w:t>
      </w:r>
    </w:p>
    <w:p w14:paraId="29C388A7" w14:textId="33823AEE" w:rsidR="006168E7" w:rsidRPr="005055DB" w:rsidRDefault="006168E7" w:rsidP="00472001">
      <w:pPr>
        <w:spacing w:after="0" w:line="360" w:lineRule="auto"/>
        <w:jc w:val="both"/>
        <w:rPr>
          <w:rFonts w:ascii="Arial" w:hAnsi="Arial" w:cs="Arial"/>
          <w:sz w:val="24"/>
          <w:szCs w:val="24"/>
        </w:rPr>
      </w:pPr>
    </w:p>
    <w:p w14:paraId="7EDD4E57" w14:textId="3ECC25B8" w:rsidR="00C53C88" w:rsidRPr="00C53C88" w:rsidRDefault="00C53C88" w:rsidP="00783EB0">
      <w:pPr>
        <w:pStyle w:val="ListParagraph"/>
        <w:numPr>
          <w:ilvl w:val="0"/>
          <w:numId w:val="5"/>
        </w:numPr>
        <w:spacing w:after="0" w:line="360" w:lineRule="auto"/>
        <w:jc w:val="both"/>
        <w:rPr>
          <w:rFonts w:ascii="Arial" w:hAnsi="Arial" w:cs="Arial"/>
          <w:b/>
          <w:sz w:val="26"/>
          <w:szCs w:val="26"/>
          <w:lang w:val="en-US"/>
        </w:rPr>
      </w:pPr>
      <w:r w:rsidRPr="00C53C88">
        <w:rPr>
          <w:rFonts w:ascii="Arial" w:hAnsi="Arial" w:cs="Arial"/>
          <w:b/>
          <w:sz w:val="26"/>
          <w:szCs w:val="26"/>
          <w:lang w:val="en-US"/>
        </w:rPr>
        <w:t xml:space="preserve">Discussion </w:t>
      </w:r>
    </w:p>
    <w:p w14:paraId="02DC4700" w14:textId="1B5D30B4" w:rsidR="00C53C88" w:rsidRPr="00C53C88" w:rsidRDefault="009D2CD2" w:rsidP="00783EB0">
      <w:pPr>
        <w:pStyle w:val="ListParagraph"/>
        <w:numPr>
          <w:ilvl w:val="1"/>
          <w:numId w:val="5"/>
        </w:numPr>
        <w:spacing w:after="0" w:line="360" w:lineRule="auto"/>
        <w:jc w:val="both"/>
        <w:rPr>
          <w:rFonts w:ascii="Arial" w:hAnsi="Arial" w:cs="Arial"/>
          <w:b/>
          <w:sz w:val="24"/>
          <w:szCs w:val="24"/>
          <w:lang w:val="en-US"/>
        </w:rPr>
      </w:pPr>
      <w:r w:rsidRPr="00C53C88">
        <w:rPr>
          <w:rFonts w:ascii="Arial" w:hAnsi="Arial" w:cs="Arial"/>
          <w:b/>
          <w:sz w:val="24"/>
          <w:szCs w:val="24"/>
          <w:lang w:val="en-US"/>
        </w:rPr>
        <w:t>Feasibility</w:t>
      </w:r>
    </w:p>
    <w:p w14:paraId="1454E6FB" w14:textId="7FEB2AA1" w:rsidR="001A40B6" w:rsidRDefault="001A40B6" w:rsidP="00472001">
      <w:pPr>
        <w:spacing w:after="0" w:line="360" w:lineRule="auto"/>
        <w:jc w:val="both"/>
        <w:rPr>
          <w:rFonts w:ascii="Arial" w:hAnsi="Arial" w:cs="Arial"/>
          <w:sz w:val="24"/>
          <w:szCs w:val="24"/>
          <w:lang w:val="en-US"/>
        </w:rPr>
      </w:pPr>
      <w:r w:rsidRPr="001A40B6">
        <w:rPr>
          <w:rFonts w:ascii="Arial" w:hAnsi="Arial" w:cs="Arial"/>
          <w:sz w:val="24"/>
          <w:szCs w:val="24"/>
          <w:lang w:val="en-US"/>
        </w:rPr>
        <w:t>This was the first ever rando</w:t>
      </w:r>
      <w:r w:rsidR="005C3B33">
        <w:rPr>
          <w:rFonts w:ascii="Arial" w:hAnsi="Arial" w:cs="Arial"/>
          <w:sz w:val="24"/>
          <w:szCs w:val="24"/>
          <w:lang w:val="en-US"/>
        </w:rPr>
        <w:t xml:space="preserve">mized controlled trial (RCT) of community treatment of consecutively identified high risk </w:t>
      </w:r>
      <w:r w:rsidRPr="001A40B6">
        <w:rPr>
          <w:rFonts w:ascii="Arial" w:hAnsi="Arial" w:cs="Arial"/>
          <w:sz w:val="24"/>
          <w:szCs w:val="24"/>
          <w:lang w:val="en-US"/>
        </w:rPr>
        <w:t xml:space="preserve">personality disordered offenders recruited </w:t>
      </w:r>
      <w:r w:rsidR="005C3B33">
        <w:rPr>
          <w:rFonts w:ascii="Arial" w:hAnsi="Arial" w:cs="Arial"/>
          <w:sz w:val="24"/>
          <w:szCs w:val="24"/>
          <w:lang w:val="en-US"/>
        </w:rPr>
        <w:t>in</w:t>
      </w:r>
      <w:r w:rsidRPr="001A40B6">
        <w:rPr>
          <w:rFonts w:ascii="Arial" w:hAnsi="Arial" w:cs="Arial"/>
          <w:sz w:val="24"/>
          <w:szCs w:val="24"/>
          <w:lang w:val="en-US"/>
        </w:rPr>
        <w:t xml:space="preserve"> prison. The evidence from the baseline measures was that, not only did nearly all participants meet criteria for antisocial personality disorder, but many met criteria for more than one personality disorder</w:t>
      </w:r>
      <w:r w:rsidR="00ED5476">
        <w:rPr>
          <w:rFonts w:ascii="Arial" w:hAnsi="Arial" w:cs="Arial"/>
          <w:sz w:val="24"/>
          <w:szCs w:val="24"/>
          <w:lang w:val="en-US"/>
        </w:rPr>
        <w:t xml:space="preserve"> including psychopathy</w:t>
      </w:r>
      <w:r w:rsidRPr="001A40B6">
        <w:rPr>
          <w:rFonts w:ascii="Arial" w:hAnsi="Arial" w:cs="Arial"/>
          <w:sz w:val="24"/>
          <w:szCs w:val="24"/>
          <w:lang w:val="en-US"/>
        </w:rPr>
        <w:t>.</w:t>
      </w:r>
      <w:r w:rsidR="00ED5476">
        <w:rPr>
          <w:rFonts w:ascii="Arial" w:hAnsi="Arial" w:cs="Arial"/>
          <w:sz w:val="24"/>
          <w:szCs w:val="24"/>
          <w:lang w:val="en-US"/>
        </w:rPr>
        <w:t xml:space="preserve"> These added factors make treatment challenging (e.g., Salekin Worley, &amp; Grimes, 2010).</w:t>
      </w:r>
      <w:r w:rsidRPr="001A40B6">
        <w:rPr>
          <w:rFonts w:ascii="Arial" w:hAnsi="Arial" w:cs="Arial"/>
          <w:sz w:val="24"/>
          <w:szCs w:val="24"/>
          <w:lang w:val="en-US"/>
        </w:rPr>
        <w:t xml:space="preserve"> </w:t>
      </w:r>
    </w:p>
    <w:p w14:paraId="5A261205" w14:textId="77777777" w:rsidR="000B3447" w:rsidRDefault="000B3447" w:rsidP="00472001">
      <w:pPr>
        <w:spacing w:after="0" w:line="360" w:lineRule="auto"/>
        <w:jc w:val="both"/>
        <w:rPr>
          <w:rFonts w:ascii="Arial" w:hAnsi="Arial" w:cs="Arial"/>
          <w:sz w:val="24"/>
          <w:szCs w:val="24"/>
          <w:lang w:val="en-US"/>
        </w:rPr>
      </w:pPr>
    </w:p>
    <w:p w14:paraId="5938AFE9" w14:textId="4F6DB650" w:rsidR="007966DB" w:rsidRPr="007966DB" w:rsidRDefault="000B3447" w:rsidP="00472001">
      <w:pPr>
        <w:spacing w:after="0" w:line="360" w:lineRule="auto"/>
        <w:jc w:val="both"/>
        <w:rPr>
          <w:rFonts w:ascii="Arial" w:hAnsi="Arial" w:cs="Arial"/>
          <w:sz w:val="24"/>
          <w:szCs w:val="24"/>
          <w:lang w:val="en-US"/>
        </w:rPr>
      </w:pPr>
      <w:r w:rsidRPr="000B3447">
        <w:rPr>
          <w:rFonts w:ascii="Arial" w:hAnsi="Arial" w:cs="Arial"/>
          <w:sz w:val="24"/>
          <w:szCs w:val="24"/>
          <w:lang w:val="en-US"/>
        </w:rPr>
        <w:lastRenderedPageBreak/>
        <w:t>Recruitment of 72/110 (65%) of eligible men in prison was high, and comparable to RCTs of non-offending samples</w:t>
      </w:r>
      <w:r w:rsidR="00530DB9" w:rsidRPr="00530DB9">
        <w:rPr>
          <w:rFonts w:ascii="Arial" w:hAnsi="Arial" w:cs="Arial"/>
          <w:sz w:val="24"/>
          <w:szCs w:val="24"/>
          <w:lang w:val="en-US"/>
        </w:rPr>
        <w:t xml:space="preserve"> </w:t>
      </w:r>
      <w:r w:rsidR="00530DB9">
        <w:rPr>
          <w:rFonts w:ascii="Arial" w:hAnsi="Arial" w:cs="Arial"/>
          <w:sz w:val="24"/>
          <w:szCs w:val="24"/>
          <w:lang w:val="en-US"/>
        </w:rPr>
        <w:t>(</w:t>
      </w:r>
      <w:r w:rsidR="00530DB9" w:rsidRPr="00530DB9">
        <w:rPr>
          <w:rFonts w:ascii="Arial" w:hAnsi="Arial" w:cs="Arial"/>
          <w:sz w:val="24"/>
          <w:szCs w:val="24"/>
          <w:lang w:val="en-US"/>
        </w:rPr>
        <w:t>Walters</w:t>
      </w:r>
      <w:r w:rsidR="00530DB9">
        <w:rPr>
          <w:rFonts w:ascii="Arial" w:hAnsi="Arial" w:cs="Arial"/>
          <w:sz w:val="24"/>
          <w:szCs w:val="24"/>
          <w:lang w:val="en-US"/>
        </w:rPr>
        <w:t xml:space="preserve"> et al, 2017)</w:t>
      </w:r>
      <w:r w:rsidRPr="000B3447">
        <w:rPr>
          <w:rFonts w:ascii="Arial" w:hAnsi="Arial" w:cs="Arial"/>
          <w:sz w:val="24"/>
          <w:szCs w:val="24"/>
          <w:lang w:val="en-US"/>
        </w:rPr>
        <w:t xml:space="preserve">. </w:t>
      </w:r>
      <w:r w:rsidR="006761EA">
        <w:rPr>
          <w:rFonts w:ascii="Arial" w:hAnsi="Arial" w:cs="Arial"/>
          <w:sz w:val="24"/>
          <w:szCs w:val="24"/>
          <w:lang w:val="en-US"/>
        </w:rPr>
        <w:t>T</w:t>
      </w:r>
      <w:r w:rsidR="00A4555A">
        <w:rPr>
          <w:rFonts w:ascii="Arial" w:hAnsi="Arial" w:cs="Arial"/>
          <w:sz w:val="24"/>
          <w:szCs w:val="24"/>
          <w:lang w:val="en-US"/>
        </w:rPr>
        <w:t>he number of participants available for follow-up was</w:t>
      </w:r>
      <w:r w:rsidR="006761EA">
        <w:rPr>
          <w:rFonts w:ascii="Arial" w:hAnsi="Arial" w:cs="Arial"/>
          <w:sz w:val="24"/>
          <w:szCs w:val="24"/>
          <w:lang w:val="en-US"/>
        </w:rPr>
        <w:t xml:space="preserve"> affected by the uncertainty regarding the actual release dates.</w:t>
      </w:r>
      <w:r w:rsidR="00A4555A">
        <w:rPr>
          <w:rFonts w:ascii="Arial" w:hAnsi="Arial" w:cs="Arial"/>
          <w:sz w:val="24"/>
          <w:szCs w:val="24"/>
          <w:lang w:val="en-US"/>
        </w:rPr>
        <w:t xml:space="preserve"> </w:t>
      </w:r>
      <w:r w:rsidR="006761EA">
        <w:rPr>
          <w:rFonts w:ascii="Arial" w:hAnsi="Arial" w:cs="Arial"/>
          <w:sz w:val="24"/>
          <w:szCs w:val="24"/>
          <w:lang w:val="en-US"/>
        </w:rPr>
        <w:t xml:space="preserve">This complication was </w:t>
      </w:r>
      <w:r w:rsidR="00A4555A">
        <w:rPr>
          <w:rFonts w:ascii="Arial" w:hAnsi="Arial" w:cs="Arial"/>
          <w:sz w:val="24"/>
          <w:szCs w:val="24"/>
          <w:lang w:val="en-US"/>
        </w:rPr>
        <w:t xml:space="preserve">not taken into account in the initial study design and </w:t>
      </w:r>
      <w:r w:rsidR="00530DB9">
        <w:rPr>
          <w:rFonts w:ascii="Arial" w:hAnsi="Arial" w:cs="Arial"/>
          <w:sz w:val="24"/>
          <w:szCs w:val="24"/>
          <w:lang w:val="en-US"/>
        </w:rPr>
        <w:t xml:space="preserve">thus </w:t>
      </w:r>
      <w:r w:rsidR="00A4555A">
        <w:rPr>
          <w:rFonts w:ascii="Arial" w:hAnsi="Arial" w:cs="Arial"/>
          <w:sz w:val="24"/>
          <w:szCs w:val="24"/>
          <w:lang w:val="en-US"/>
        </w:rPr>
        <w:t xml:space="preserve">the study duration had to be extended at extra cost. </w:t>
      </w:r>
      <w:r w:rsidR="006761EA">
        <w:rPr>
          <w:rFonts w:ascii="Arial" w:hAnsi="Arial" w:cs="Arial"/>
          <w:sz w:val="24"/>
          <w:szCs w:val="24"/>
          <w:lang w:val="en-US"/>
        </w:rPr>
        <w:t>Although</w:t>
      </w:r>
      <w:r w:rsidR="006761EA" w:rsidRPr="007966DB">
        <w:rPr>
          <w:rFonts w:ascii="Arial" w:hAnsi="Arial" w:cs="Arial"/>
          <w:sz w:val="24"/>
          <w:szCs w:val="24"/>
          <w:lang w:val="en-US"/>
        </w:rPr>
        <w:t xml:space="preserve"> </w:t>
      </w:r>
      <w:r w:rsidR="007966DB" w:rsidRPr="007966DB">
        <w:rPr>
          <w:rFonts w:ascii="Arial" w:hAnsi="Arial" w:cs="Arial"/>
          <w:sz w:val="24"/>
          <w:szCs w:val="24"/>
          <w:lang w:val="en-US"/>
        </w:rPr>
        <w:t>the numbers recruited to the study were higher than originally planned, the numbers of prisoners released and available for treatment and follow up were lower,</w:t>
      </w:r>
      <w:r w:rsidR="007966DB" w:rsidRPr="007966DB">
        <w:rPr>
          <w:rFonts w:ascii="Arial" w:hAnsi="Arial" w:cs="Arial"/>
          <w:b/>
          <w:sz w:val="24"/>
          <w:szCs w:val="24"/>
          <w:lang w:val="en-US"/>
        </w:rPr>
        <w:t xml:space="preserve"> </w:t>
      </w:r>
      <w:r w:rsidR="007966DB" w:rsidRPr="007966DB">
        <w:rPr>
          <w:rFonts w:ascii="Arial" w:hAnsi="Arial" w:cs="Arial"/>
          <w:sz w:val="24"/>
          <w:szCs w:val="24"/>
          <w:lang w:val="en-US"/>
        </w:rPr>
        <w:t>because of the substantial periods of time that many remained in prison after recruitment to the study. This was the case even after extension of the study time period to take account of the problem. Future studies will have to anticipate this phenomenon, by planning to recruit larger numbers, and to</w:t>
      </w:r>
      <w:r w:rsidR="00530DB9">
        <w:rPr>
          <w:rFonts w:ascii="Arial" w:hAnsi="Arial" w:cs="Arial"/>
          <w:sz w:val="24"/>
          <w:szCs w:val="24"/>
          <w:lang w:val="en-US"/>
        </w:rPr>
        <w:t xml:space="preserve"> build in longer study </w:t>
      </w:r>
      <w:r w:rsidR="006761EA">
        <w:rPr>
          <w:rFonts w:ascii="Arial" w:hAnsi="Arial" w:cs="Arial"/>
          <w:sz w:val="24"/>
          <w:szCs w:val="24"/>
          <w:lang w:val="en-US"/>
        </w:rPr>
        <w:t xml:space="preserve">time </w:t>
      </w:r>
      <w:r w:rsidR="00530DB9">
        <w:rPr>
          <w:rFonts w:ascii="Arial" w:hAnsi="Arial" w:cs="Arial"/>
          <w:sz w:val="24"/>
          <w:szCs w:val="24"/>
          <w:lang w:val="en-US"/>
        </w:rPr>
        <w:t>to allow for the necessary</w:t>
      </w:r>
      <w:r w:rsidR="007966DB" w:rsidRPr="007966DB">
        <w:rPr>
          <w:rFonts w:ascii="Arial" w:hAnsi="Arial" w:cs="Arial"/>
          <w:sz w:val="24"/>
          <w:szCs w:val="24"/>
          <w:lang w:val="en-US"/>
        </w:rPr>
        <w:t xml:space="preserve"> </w:t>
      </w:r>
      <w:r w:rsidR="00530DB9">
        <w:rPr>
          <w:rFonts w:ascii="Arial" w:hAnsi="Arial" w:cs="Arial"/>
          <w:sz w:val="24"/>
          <w:szCs w:val="24"/>
          <w:lang w:val="en-US"/>
        </w:rPr>
        <w:t xml:space="preserve">time </w:t>
      </w:r>
      <w:r w:rsidR="006761EA">
        <w:rPr>
          <w:rFonts w:ascii="Arial" w:hAnsi="Arial" w:cs="Arial"/>
          <w:sz w:val="24"/>
          <w:szCs w:val="24"/>
          <w:lang w:val="en-US"/>
        </w:rPr>
        <w:t>with</w:t>
      </w:r>
      <w:r w:rsidR="00530DB9">
        <w:rPr>
          <w:rFonts w:ascii="Arial" w:hAnsi="Arial" w:cs="Arial"/>
          <w:sz w:val="24"/>
          <w:szCs w:val="24"/>
          <w:lang w:val="en-US"/>
        </w:rPr>
        <w:t xml:space="preserve">in the community. </w:t>
      </w:r>
    </w:p>
    <w:p w14:paraId="33B377F4" w14:textId="77777777" w:rsidR="004B3660" w:rsidRDefault="004B3660" w:rsidP="00472001">
      <w:pPr>
        <w:spacing w:after="0" w:line="360" w:lineRule="auto"/>
        <w:jc w:val="both"/>
        <w:rPr>
          <w:rFonts w:ascii="Arial" w:hAnsi="Arial" w:cs="Arial"/>
          <w:sz w:val="24"/>
          <w:szCs w:val="24"/>
          <w:lang w:val="en-US"/>
        </w:rPr>
      </w:pPr>
    </w:p>
    <w:p w14:paraId="466D8505" w14:textId="5099B4A1" w:rsidR="000B3447" w:rsidRPr="000B3447" w:rsidRDefault="000B3447" w:rsidP="00472001">
      <w:pPr>
        <w:spacing w:after="0" w:line="360" w:lineRule="auto"/>
        <w:jc w:val="both"/>
        <w:rPr>
          <w:rFonts w:ascii="Arial" w:hAnsi="Arial" w:cs="Arial"/>
          <w:sz w:val="24"/>
          <w:szCs w:val="24"/>
          <w:lang w:val="en-US"/>
        </w:rPr>
      </w:pPr>
      <w:r w:rsidRPr="000B3447">
        <w:rPr>
          <w:rFonts w:ascii="Arial" w:hAnsi="Arial" w:cs="Arial"/>
          <w:sz w:val="24"/>
          <w:szCs w:val="24"/>
          <w:lang w:val="en-US"/>
        </w:rPr>
        <w:t xml:space="preserve">Randomization was effective in generating groups that were very similar on rates of previous convictions, and numbers of personality disorders. Follow up rates were excellent at one year, and good at two years in both treatment and control groups. The process required a high level of co-ordination between the Resettle treatment team and the research team. Substantial sophistication was required of the treatment team, on the one hand to maintain therapeutic commitment, and on the other hand create the conditions for an objective evaluation. </w:t>
      </w:r>
    </w:p>
    <w:p w14:paraId="48E1A53C" w14:textId="77777777" w:rsidR="003A11B9" w:rsidRDefault="003A11B9" w:rsidP="00472001">
      <w:pPr>
        <w:spacing w:after="0" w:line="360" w:lineRule="auto"/>
        <w:jc w:val="both"/>
        <w:rPr>
          <w:rFonts w:ascii="Arial" w:hAnsi="Arial" w:cs="Arial"/>
          <w:sz w:val="24"/>
          <w:szCs w:val="24"/>
          <w:lang w:val="en-US"/>
        </w:rPr>
      </w:pPr>
    </w:p>
    <w:p w14:paraId="54274C3A" w14:textId="295A2B70" w:rsidR="00A4555A" w:rsidRPr="00A4555A" w:rsidRDefault="00A4555A" w:rsidP="00472001">
      <w:pPr>
        <w:spacing w:after="0" w:line="360" w:lineRule="auto"/>
        <w:jc w:val="both"/>
        <w:rPr>
          <w:rFonts w:ascii="Arial" w:hAnsi="Arial" w:cs="Arial"/>
          <w:sz w:val="24"/>
          <w:szCs w:val="24"/>
          <w:lang w:val="en-US"/>
        </w:rPr>
      </w:pPr>
      <w:r w:rsidRPr="00A4555A">
        <w:rPr>
          <w:rFonts w:ascii="Arial" w:hAnsi="Arial" w:cs="Arial"/>
          <w:sz w:val="24"/>
          <w:szCs w:val="24"/>
          <w:lang w:val="en-US"/>
        </w:rPr>
        <w:t xml:space="preserve">A number of processes </w:t>
      </w:r>
      <w:r w:rsidR="00CA39EE">
        <w:rPr>
          <w:rFonts w:ascii="Arial" w:hAnsi="Arial" w:cs="Arial"/>
          <w:sz w:val="24"/>
          <w:szCs w:val="24"/>
          <w:lang w:val="en-US"/>
        </w:rPr>
        <w:t>contribute</w:t>
      </w:r>
      <w:r w:rsidR="00895DBB">
        <w:rPr>
          <w:rFonts w:ascii="Arial" w:hAnsi="Arial" w:cs="Arial"/>
          <w:sz w:val="24"/>
          <w:szCs w:val="24"/>
          <w:lang w:val="en-US"/>
        </w:rPr>
        <w:t>d</w:t>
      </w:r>
      <w:r w:rsidR="00CA39EE">
        <w:rPr>
          <w:rFonts w:ascii="Arial" w:hAnsi="Arial" w:cs="Arial"/>
          <w:sz w:val="24"/>
          <w:szCs w:val="24"/>
          <w:lang w:val="en-US"/>
        </w:rPr>
        <w:t xml:space="preserve"> to </w:t>
      </w:r>
      <w:r w:rsidRPr="00A4555A">
        <w:rPr>
          <w:rFonts w:ascii="Arial" w:hAnsi="Arial" w:cs="Arial"/>
          <w:sz w:val="24"/>
          <w:szCs w:val="24"/>
          <w:lang w:val="en-US"/>
        </w:rPr>
        <w:t xml:space="preserve">the </w:t>
      </w:r>
      <w:r w:rsidR="00F8143C">
        <w:rPr>
          <w:rFonts w:ascii="Arial" w:hAnsi="Arial" w:cs="Arial"/>
          <w:sz w:val="24"/>
          <w:szCs w:val="24"/>
          <w:lang w:val="en-US"/>
        </w:rPr>
        <w:t>challenges implementing the RCT approach to a new service</w:t>
      </w:r>
      <w:r w:rsidR="00D82CFA">
        <w:rPr>
          <w:rFonts w:ascii="Arial" w:hAnsi="Arial" w:cs="Arial"/>
          <w:sz w:val="24"/>
          <w:szCs w:val="24"/>
          <w:lang w:val="en-US"/>
        </w:rPr>
        <w:t xml:space="preserve">, including </w:t>
      </w:r>
      <w:r w:rsidR="00CA39EE">
        <w:rPr>
          <w:rFonts w:ascii="Arial" w:hAnsi="Arial" w:cs="Arial"/>
          <w:sz w:val="24"/>
          <w:szCs w:val="24"/>
          <w:lang w:val="en-US"/>
        </w:rPr>
        <w:t xml:space="preserve">general </w:t>
      </w:r>
      <w:r w:rsidR="00D82CFA">
        <w:rPr>
          <w:rFonts w:ascii="Arial" w:hAnsi="Arial" w:cs="Arial"/>
          <w:sz w:val="24"/>
          <w:szCs w:val="24"/>
          <w:lang w:val="en-US"/>
        </w:rPr>
        <w:t xml:space="preserve">questions about the need for evaluation and </w:t>
      </w:r>
      <w:r w:rsidR="00CA39EE">
        <w:rPr>
          <w:rFonts w:ascii="Arial" w:hAnsi="Arial" w:cs="Arial"/>
          <w:sz w:val="24"/>
          <w:szCs w:val="24"/>
          <w:lang w:val="en-US"/>
        </w:rPr>
        <w:t xml:space="preserve">more specific questions about the RCT methodology. In building an RCT design </w:t>
      </w:r>
      <w:r w:rsidR="00530DB9">
        <w:rPr>
          <w:rFonts w:ascii="Arial" w:hAnsi="Arial" w:cs="Arial"/>
          <w:sz w:val="24"/>
          <w:szCs w:val="24"/>
          <w:lang w:val="en-US"/>
        </w:rPr>
        <w:t>in</w:t>
      </w:r>
      <w:r w:rsidR="00CA39EE">
        <w:rPr>
          <w:rFonts w:ascii="Arial" w:hAnsi="Arial" w:cs="Arial"/>
          <w:sz w:val="24"/>
          <w:szCs w:val="24"/>
          <w:lang w:val="en-US"/>
        </w:rPr>
        <w:t xml:space="preserve">to the </w:t>
      </w:r>
      <w:r w:rsidR="00530DB9">
        <w:rPr>
          <w:rFonts w:ascii="Arial" w:hAnsi="Arial" w:cs="Arial"/>
          <w:sz w:val="24"/>
          <w:szCs w:val="24"/>
          <w:lang w:val="en-US"/>
        </w:rPr>
        <w:t>implementation</w:t>
      </w:r>
      <w:r w:rsidR="00CA39EE">
        <w:rPr>
          <w:rFonts w:ascii="Arial" w:hAnsi="Arial" w:cs="Arial"/>
          <w:sz w:val="24"/>
          <w:szCs w:val="24"/>
          <w:lang w:val="en-US"/>
        </w:rPr>
        <w:t xml:space="preserve"> of a new service, there is a difficult balance to be struck</w:t>
      </w:r>
      <w:r w:rsidR="006761EA">
        <w:rPr>
          <w:rFonts w:ascii="Arial" w:hAnsi="Arial" w:cs="Arial"/>
          <w:sz w:val="24"/>
          <w:szCs w:val="24"/>
          <w:lang w:val="en-US"/>
        </w:rPr>
        <w:t>.</w:t>
      </w:r>
      <w:r w:rsidR="00CA39EE">
        <w:rPr>
          <w:rFonts w:ascii="Arial" w:hAnsi="Arial" w:cs="Arial"/>
          <w:sz w:val="24"/>
          <w:szCs w:val="24"/>
          <w:lang w:val="en-US"/>
        </w:rPr>
        <w:t xml:space="preserve"> </w:t>
      </w:r>
      <w:r w:rsidR="006067E6">
        <w:rPr>
          <w:rFonts w:ascii="Arial" w:hAnsi="Arial" w:cs="Arial"/>
          <w:sz w:val="24"/>
          <w:szCs w:val="24"/>
          <w:lang w:val="en-US"/>
        </w:rPr>
        <w:t>The service providers are likely to share their therapeutic optimism with potential referrers. This can lead to the referrers coming to believe that the RCT element interferes with their access to a service that is assumed without evidence to be effective. On the basis of the experience of maintaining the RCT design</w:t>
      </w:r>
      <w:r w:rsidR="00785873">
        <w:rPr>
          <w:rFonts w:ascii="Arial" w:hAnsi="Arial" w:cs="Arial"/>
          <w:sz w:val="24"/>
          <w:szCs w:val="24"/>
          <w:lang w:val="en-US"/>
        </w:rPr>
        <w:t xml:space="preserve"> in relation to Resettle</w:t>
      </w:r>
      <w:r w:rsidR="006067E6">
        <w:rPr>
          <w:rFonts w:ascii="Arial" w:hAnsi="Arial" w:cs="Arial"/>
          <w:sz w:val="24"/>
          <w:szCs w:val="24"/>
          <w:lang w:val="en-US"/>
        </w:rPr>
        <w:t xml:space="preserve">, it is recommended that the researchers and service providers agree </w:t>
      </w:r>
      <w:r w:rsidR="00785873">
        <w:rPr>
          <w:rFonts w:ascii="Arial" w:hAnsi="Arial" w:cs="Arial"/>
          <w:sz w:val="24"/>
          <w:szCs w:val="24"/>
          <w:lang w:val="en-US"/>
        </w:rPr>
        <w:t xml:space="preserve">in advance </w:t>
      </w:r>
      <w:r w:rsidR="006067E6">
        <w:rPr>
          <w:rFonts w:ascii="Arial" w:hAnsi="Arial" w:cs="Arial"/>
          <w:sz w:val="24"/>
          <w:szCs w:val="24"/>
          <w:lang w:val="en-US"/>
        </w:rPr>
        <w:t>how to</w:t>
      </w:r>
      <w:r w:rsidR="006761EA">
        <w:rPr>
          <w:rFonts w:ascii="Arial" w:hAnsi="Arial" w:cs="Arial"/>
          <w:sz w:val="24"/>
          <w:szCs w:val="24"/>
          <w:lang w:val="en-US"/>
        </w:rPr>
        <w:t xml:space="preserve"> instill moderated enthusiasm </w:t>
      </w:r>
      <w:r w:rsidR="006067E6">
        <w:rPr>
          <w:rFonts w:ascii="Arial" w:hAnsi="Arial" w:cs="Arial"/>
          <w:sz w:val="24"/>
          <w:szCs w:val="24"/>
          <w:lang w:val="en-US"/>
        </w:rPr>
        <w:t>whilst still being</w:t>
      </w:r>
      <w:r w:rsidR="006761EA">
        <w:rPr>
          <w:rFonts w:ascii="Arial" w:hAnsi="Arial" w:cs="Arial"/>
          <w:sz w:val="24"/>
          <w:szCs w:val="24"/>
          <w:lang w:val="en-US"/>
        </w:rPr>
        <w:t xml:space="preserve"> able to “sell” the usefulness of </w:t>
      </w:r>
      <w:r w:rsidR="006067E6">
        <w:rPr>
          <w:rFonts w:ascii="Arial" w:hAnsi="Arial" w:cs="Arial"/>
          <w:sz w:val="24"/>
          <w:szCs w:val="24"/>
          <w:lang w:val="en-US"/>
        </w:rPr>
        <w:t>a rigorous testing approach</w:t>
      </w:r>
      <w:r w:rsidR="006761EA">
        <w:rPr>
          <w:rFonts w:ascii="Arial" w:hAnsi="Arial" w:cs="Arial"/>
          <w:sz w:val="24"/>
          <w:szCs w:val="24"/>
          <w:lang w:val="en-US"/>
        </w:rPr>
        <w:t xml:space="preserve"> which necessarily demands random assignment to conditions. </w:t>
      </w:r>
      <w:r w:rsidR="00CA39EE">
        <w:rPr>
          <w:rFonts w:ascii="Arial" w:hAnsi="Arial" w:cs="Arial"/>
          <w:sz w:val="24"/>
          <w:szCs w:val="24"/>
          <w:lang w:val="en-US"/>
        </w:rPr>
        <w:t xml:space="preserve">A priori assumptions amongst referrers and providers about the </w:t>
      </w:r>
      <w:r w:rsidRPr="00A4555A">
        <w:rPr>
          <w:rFonts w:ascii="Arial" w:hAnsi="Arial" w:cs="Arial"/>
          <w:sz w:val="24"/>
          <w:szCs w:val="24"/>
          <w:lang w:val="en-US"/>
        </w:rPr>
        <w:t xml:space="preserve"> </w:t>
      </w:r>
      <w:r w:rsidR="00895DBB">
        <w:rPr>
          <w:rFonts w:ascii="Arial" w:hAnsi="Arial" w:cs="Arial"/>
          <w:sz w:val="24"/>
          <w:szCs w:val="24"/>
          <w:lang w:val="en-US"/>
        </w:rPr>
        <w:t xml:space="preserve">effectiveness of new intervention services for offenders may in part be </w:t>
      </w:r>
      <w:r w:rsidR="00895DBB">
        <w:rPr>
          <w:rFonts w:ascii="Arial" w:hAnsi="Arial" w:cs="Arial"/>
          <w:sz w:val="24"/>
          <w:szCs w:val="24"/>
          <w:lang w:val="en-US"/>
        </w:rPr>
        <w:lastRenderedPageBreak/>
        <w:t>linked to beliefs that greater levels of supervision and control of offenders is associated with a reduced likelihood of offending, despite the lack of empirical support for this conclusion (</w:t>
      </w:r>
      <w:proofErr w:type="spellStart"/>
      <w:r w:rsidR="001F6D0C" w:rsidRPr="001F6D0C">
        <w:rPr>
          <w:rFonts w:ascii="Arial" w:hAnsi="Arial" w:cs="Arial"/>
          <w:sz w:val="24"/>
          <w:szCs w:val="24"/>
        </w:rPr>
        <w:t>MacKenzie</w:t>
      </w:r>
      <w:proofErr w:type="spellEnd"/>
      <w:r w:rsidR="001F6D0C" w:rsidRPr="001F6D0C">
        <w:rPr>
          <w:rFonts w:ascii="Arial" w:hAnsi="Arial" w:cs="Arial"/>
          <w:sz w:val="24"/>
          <w:szCs w:val="24"/>
        </w:rPr>
        <w:t xml:space="preserve"> </w:t>
      </w:r>
      <w:r w:rsidR="001F6D0C">
        <w:rPr>
          <w:rFonts w:ascii="Arial" w:hAnsi="Arial" w:cs="Arial"/>
          <w:sz w:val="24"/>
          <w:szCs w:val="24"/>
        </w:rPr>
        <w:t>&amp; Farrington, 2015)</w:t>
      </w:r>
      <w:r w:rsidR="00530DB9">
        <w:rPr>
          <w:rFonts w:ascii="Arial" w:hAnsi="Arial" w:cs="Arial"/>
          <w:sz w:val="24"/>
          <w:szCs w:val="24"/>
          <w:lang w:val="en-US"/>
        </w:rPr>
        <w:t xml:space="preserve">. </w:t>
      </w:r>
      <w:r w:rsidRPr="00A4555A">
        <w:rPr>
          <w:rFonts w:ascii="Arial" w:hAnsi="Arial" w:cs="Arial"/>
          <w:sz w:val="24"/>
          <w:szCs w:val="24"/>
          <w:lang w:val="en-US"/>
        </w:rPr>
        <w:t>With regard to treatment of personality disorder, the evidence base suggests that the critical ingredient is the quality of the contact rather than the frequency per se</w:t>
      </w:r>
      <w:r w:rsidR="00052656" w:rsidRPr="00052656">
        <w:rPr>
          <w:rFonts w:ascii="Arial" w:hAnsi="Arial" w:cs="Arial"/>
          <w:sz w:val="24"/>
          <w:szCs w:val="24"/>
          <w:lang w:val="en-US"/>
        </w:rPr>
        <w:t xml:space="preserve"> </w:t>
      </w:r>
      <w:r w:rsidR="00052656">
        <w:rPr>
          <w:rFonts w:ascii="Arial" w:hAnsi="Arial" w:cs="Arial"/>
          <w:sz w:val="24"/>
          <w:szCs w:val="24"/>
          <w:lang w:val="en-US"/>
        </w:rPr>
        <w:t>(</w:t>
      </w:r>
      <w:r w:rsidR="00847DBB" w:rsidRPr="00847DBB">
        <w:rPr>
          <w:rFonts w:ascii="Arial" w:hAnsi="Arial" w:cs="Arial"/>
          <w:sz w:val="24"/>
          <w:szCs w:val="24"/>
        </w:rPr>
        <w:t>Lipsey</w:t>
      </w:r>
      <w:r w:rsidR="00847DBB">
        <w:rPr>
          <w:rFonts w:ascii="Arial" w:hAnsi="Arial" w:cs="Arial"/>
          <w:sz w:val="24"/>
          <w:szCs w:val="24"/>
        </w:rPr>
        <w:t xml:space="preserve">, </w:t>
      </w:r>
      <w:r w:rsidR="00847DBB" w:rsidRPr="00847DBB">
        <w:rPr>
          <w:rFonts w:ascii="Arial" w:hAnsi="Arial" w:cs="Arial"/>
          <w:sz w:val="24"/>
          <w:szCs w:val="24"/>
        </w:rPr>
        <w:t>2009</w:t>
      </w:r>
      <w:r w:rsidR="00847DBB">
        <w:rPr>
          <w:rFonts w:ascii="Arial" w:hAnsi="Arial" w:cs="Arial"/>
          <w:sz w:val="24"/>
          <w:szCs w:val="24"/>
        </w:rPr>
        <w:t xml:space="preserve">; </w:t>
      </w:r>
      <w:proofErr w:type="spellStart"/>
      <w:r w:rsidR="00052656">
        <w:rPr>
          <w:rFonts w:ascii="Arial" w:hAnsi="Arial" w:cs="Arial"/>
          <w:sz w:val="24"/>
          <w:szCs w:val="24"/>
          <w:lang w:val="en-US"/>
        </w:rPr>
        <w:t>Grattet</w:t>
      </w:r>
      <w:proofErr w:type="spellEnd"/>
      <w:r w:rsidR="00052656">
        <w:rPr>
          <w:rFonts w:ascii="Arial" w:hAnsi="Arial" w:cs="Arial"/>
          <w:sz w:val="24"/>
          <w:szCs w:val="24"/>
          <w:lang w:val="en-US"/>
        </w:rPr>
        <w:t xml:space="preserve"> </w:t>
      </w:r>
      <w:r w:rsidR="006761EA">
        <w:rPr>
          <w:rFonts w:ascii="Arial" w:hAnsi="Arial" w:cs="Arial"/>
          <w:sz w:val="24"/>
          <w:szCs w:val="24"/>
          <w:lang w:val="en-US"/>
        </w:rPr>
        <w:t xml:space="preserve">&amp; </w:t>
      </w:r>
      <w:r w:rsidR="00052656">
        <w:rPr>
          <w:rFonts w:ascii="Arial" w:hAnsi="Arial" w:cs="Arial"/>
          <w:sz w:val="24"/>
          <w:szCs w:val="24"/>
          <w:lang w:val="en-US"/>
        </w:rPr>
        <w:t>Lin, 2016)</w:t>
      </w:r>
      <w:r w:rsidR="00052656" w:rsidRPr="00A4555A">
        <w:rPr>
          <w:rFonts w:ascii="Arial" w:hAnsi="Arial" w:cs="Arial"/>
          <w:sz w:val="24"/>
          <w:szCs w:val="24"/>
          <w:lang w:val="en-US"/>
        </w:rPr>
        <w:t>.</w:t>
      </w:r>
      <w:r w:rsidRPr="00A4555A">
        <w:rPr>
          <w:rFonts w:ascii="Arial" w:hAnsi="Arial" w:cs="Arial"/>
          <w:sz w:val="24"/>
          <w:szCs w:val="24"/>
          <w:lang w:val="en-US"/>
        </w:rPr>
        <w:t xml:space="preserve"> </w:t>
      </w:r>
    </w:p>
    <w:p w14:paraId="02A4318E" w14:textId="77777777" w:rsidR="00A4555A" w:rsidRPr="00A4555A" w:rsidRDefault="00A4555A" w:rsidP="00472001">
      <w:pPr>
        <w:spacing w:after="0" w:line="360" w:lineRule="auto"/>
        <w:jc w:val="both"/>
        <w:rPr>
          <w:rFonts w:ascii="Arial" w:hAnsi="Arial" w:cs="Arial"/>
          <w:sz w:val="24"/>
          <w:szCs w:val="24"/>
          <w:lang w:val="en-US"/>
        </w:rPr>
      </w:pPr>
    </w:p>
    <w:p w14:paraId="700DB7F3" w14:textId="54396A14" w:rsidR="00A4555A" w:rsidRDefault="00A4555A" w:rsidP="00472001">
      <w:pPr>
        <w:spacing w:after="0" w:line="360" w:lineRule="auto"/>
        <w:jc w:val="both"/>
        <w:rPr>
          <w:rFonts w:ascii="Arial" w:hAnsi="Arial" w:cs="Arial"/>
          <w:sz w:val="24"/>
          <w:szCs w:val="24"/>
          <w:lang w:val="en-US"/>
        </w:rPr>
      </w:pPr>
      <w:r w:rsidRPr="00A4555A">
        <w:rPr>
          <w:rFonts w:ascii="Arial" w:hAnsi="Arial" w:cs="Arial"/>
          <w:sz w:val="24"/>
          <w:szCs w:val="24"/>
          <w:lang w:val="en-US"/>
        </w:rPr>
        <w:t xml:space="preserve">A number of recommendations for implementing future researched services arise from the review of the challenges in this case. The implications of the evaluation approach needs to be thought through in detail at the outset so that potential challenges can be understood and anticipated. This may be achieved by joint modeling of the service delivery and research approaches. There should be a clear governance structure both to oversee service delivery and to facilitate the evaluation. </w:t>
      </w:r>
      <w:r w:rsidR="00530DB9">
        <w:rPr>
          <w:rFonts w:ascii="Arial" w:hAnsi="Arial" w:cs="Arial"/>
          <w:sz w:val="24"/>
          <w:szCs w:val="24"/>
          <w:lang w:val="en-US"/>
        </w:rPr>
        <w:t>Ideally</w:t>
      </w:r>
      <w:r w:rsidR="006761EA">
        <w:rPr>
          <w:rFonts w:ascii="Arial" w:hAnsi="Arial" w:cs="Arial"/>
          <w:sz w:val="24"/>
          <w:szCs w:val="24"/>
          <w:lang w:val="en-US"/>
        </w:rPr>
        <w:t>,</w:t>
      </w:r>
      <w:r w:rsidR="00530DB9">
        <w:rPr>
          <w:rFonts w:ascii="Arial" w:hAnsi="Arial" w:cs="Arial"/>
          <w:sz w:val="24"/>
          <w:szCs w:val="24"/>
          <w:lang w:val="en-US"/>
        </w:rPr>
        <w:t xml:space="preserve"> recruitment and training of s</w:t>
      </w:r>
      <w:r w:rsidRPr="00A4555A">
        <w:rPr>
          <w:rFonts w:ascii="Arial" w:hAnsi="Arial" w:cs="Arial"/>
          <w:sz w:val="24"/>
          <w:szCs w:val="24"/>
          <w:lang w:val="en-US"/>
        </w:rPr>
        <w:t xml:space="preserve">taff </w:t>
      </w:r>
      <w:r w:rsidR="00530DB9">
        <w:rPr>
          <w:rFonts w:ascii="Arial" w:hAnsi="Arial" w:cs="Arial"/>
          <w:sz w:val="24"/>
          <w:szCs w:val="24"/>
          <w:lang w:val="en-US"/>
        </w:rPr>
        <w:t xml:space="preserve">to deliver </w:t>
      </w:r>
      <w:r w:rsidR="00AF0918">
        <w:rPr>
          <w:rFonts w:ascii="Arial" w:hAnsi="Arial" w:cs="Arial"/>
          <w:sz w:val="24"/>
          <w:szCs w:val="24"/>
          <w:lang w:val="en-US"/>
        </w:rPr>
        <w:t xml:space="preserve">a researched </w:t>
      </w:r>
      <w:r w:rsidR="00530DB9">
        <w:rPr>
          <w:rFonts w:ascii="Arial" w:hAnsi="Arial" w:cs="Arial"/>
          <w:sz w:val="24"/>
          <w:szCs w:val="24"/>
          <w:lang w:val="en-US"/>
        </w:rPr>
        <w:t>service should include support to understand (</w:t>
      </w:r>
      <w:proofErr w:type="spellStart"/>
      <w:r w:rsidR="00530DB9">
        <w:rPr>
          <w:rFonts w:ascii="Arial" w:hAnsi="Arial" w:cs="Arial"/>
          <w:sz w:val="24"/>
          <w:szCs w:val="24"/>
          <w:lang w:val="en-US"/>
        </w:rPr>
        <w:t>i</w:t>
      </w:r>
      <w:proofErr w:type="spellEnd"/>
      <w:r w:rsidR="00530DB9">
        <w:rPr>
          <w:rFonts w:ascii="Arial" w:hAnsi="Arial" w:cs="Arial"/>
          <w:sz w:val="24"/>
          <w:szCs w:val="24"/>
          <w:lang w:val="en-US"/>
        </w:rPr>
        <w:t xml:space="preserve">) the rationale for evaluating services and </w:t>
      </w:r>
      <w:r w:rsidR="00AF0918">
        <w:rPr>
          <w:rFonts w:ascii="Arial" w:hAnsi="Arial" w:cs="Arial"/>
          <w:sz w:val="24"/>
          <w:szCs w:val="24"/>
          <w:lang w:val="en-US"/>
        </w:rPr>
        <w:t xml:space="preserve">(ii) the hierarchy of trial designs. </w:t>
      </w:r>
    </w:p>
    <w:p w14:paraId="1BCDF214" w14:textId="77777777" w:rsidR="009D2CD2" w:rsidRDefault="009D2CD2" w:rsidP="00472001">
      <w:pPr>
        <w:spacing w:after="0" w:line="360" w:lineRule="auto"/>
        <w:jc w:val="both"/>
        <w:rPr>
          <w:rFonts w:ascii="Arial" w:hAnsi="Arial" w:cs="Arial"/>
          <w:sz w:val="24"/>
          <w:szCs w:val="24"/>
          <w:lang w:val="en-US"/>
        </w:rPr>
      </w:pPr>
    </w:p>
    <w:p w14:paraId="7591D89E" w14:textId="153E2FD0" w:rsidR="00C53C88" w:rsidRPr="00C53C88" w:rsidRDefault="009D2CD2" w:rsidP="00783EB0">
      <w:pPr>
        <w:pStyle w:val="ListParagraph"/>
        <w:numPr>
          <w:ilvl w:val="1"/>
          <w:numId w:val="5"/>
        </w:numPr>
        <w:spacing w:after="0" w:line="360" w:lineRule="auto"/>
        <w:jc w:val="both"/>
        <w:rPr>
          <w:rFonts w:ascii="Arial" w:hAnsi="Arial" w:cs="Arial"/>
          <w:b/>
          <w:sz w:val="24"/>
          <w:szCs w:val="24"/>
          <w:lang w:val="en-US"/>
        </w:rPr>
      </w:pPr>
      <w:r w:rsidRPr="00C53C88">
        <w:rPr>
          <w:rFonts w:ascii="Arial" w:hAnsi="Arial" w:cs="Arial"/>
          <w:b/>
          <w:sz w:val="24"/>
          <w:szCs w:val="24"/>
          <w:lang w:val="en-US"/>
        </w:rPr>
        <w:t>Treatment effects</w:t>
      </w:r>
    </w:p>
    <w:p w14:paraId="1AA96A83" w14:textId="75054991" w:rsidR="003A11B9" w:rsidRPr="001A40B6" w:rsidRDefault="003A11B9" w:rsidP="00472001">
      <w:pPr>
        <w:spacing w:after="0" w:line="360" w:lineRule="auto"/>
        <w:jc w:val="both"/>
        <w:rPr>
          <w:rFonts w:ascii="Arial" w:hAnsi="Arial" w:cs="Arial"/>
          <w:sz w:val="24"/>
          <w:szCs w:val="24"/>
          <w:lang w:val="en-US"/>
        </w:rPr>
      </w:pPr>
      <w:r w:rsidRPr="001A40B6">
        <w:rPr>
          <w:rFonts w:ascii="Arial" w:hAnsi="Arial" w:cs="Arial"/>
          <w:sz w:val="24"/>
          <w:szCs w:val="24"/>
          <w:lang w:val="en-US"/>
        </w:rPr>
        <w:t xml:space="preserve">The findings </w:t>
      </w:r>
      <w:r w:rsidR="00F8424B">
        <w:rPr>
          <w:rFonts w:ascii="Arial" w:hAnsi="Arial" w:cs="Arial"/>
          <w:sz w:val="24"/>
          <w:szCs w:val="24"/>
          <w:lang w:val="en-US"/>
        </w:rPr>
        <w:t xml:space="preserve">of effectiveness </w:t>
      </w:r>
      <w:r w:rsidR="00A80002">
        <w:rPr>
          <w:rFonts w:ascii="Arial" w:hAnsi="Arial" w:cs="Arial"/>
          <w:sz w:val="24"/>
          <w:szCs w:val="24"/>
          <w:lang w:val="en-US"/>
        </w:rPr>
        <w:t xml:space="preserve">from this pilot study </w:t>
      </w:r>
      <w:r w:rsidRPr="001A40B6">
        <w:rPr>
          <w:rFonts w:ascii="Arial" w:hAnsi="Arial" w:cs="Arial"/>
          <w:sz w:val="24"/>
          <w:szCs w:val="24"/>
          <w:lang w:val="en-US"/>
        </w:rPr>
        <w:t>were mixed. The most robust measure of o</w:t>
      </w:r>
      <w:r w:rsidR="00AF0918">
        <w:rPr>
          <w:rFonts w:ascii="Arial" w:hAnsi="Arial" w:cs="Arial"/>
          <w:sz w:val="24"/>
          <w:szCs w:val="24"/>
          <w:lang w:val="en-US"/>
        </w:rPr>
        <w:t>utcome, police records of offenc</w:t>
      </w:r>
      <w:r w:rsidRPr="001A40B6">
        <w:rPr>
          <w:rFonts w:ascii="Arial" w:hAnsi="Arial" w:cs="Arial"/>
          <w:sz w:val="24"/>
          <w:szCs w:val="24"/>
          <w:lang w:val="en-US"/>
        </w:rPr>
        <w:t xml:space="preserve">es over the period since initial release, effectively provided 100% follow up, and over the maximum possible follow up period. Of the 72 men recruited to the study, 57 were released from prison, 28 in the Resettle treatment group, and 29 in the control group. Undertaking intent-to-treat analyses did not find clear evidence of an effect of the intervention on officially recorded offending. Comparison of absolute numbers of offences between the groups found higher levels of offending in the Resettle group. However, of the participants allocated at randomization to the Resettle group there was about a 2 times higher odds that they had </w:t>
      </w:r>
      <w:r w:rsidRPr="00167B47">
        <w:rPr>
          <w:rFonts w:ascii="Arial" w:hAnsi="Arial" w:cs="Arial"/>
          <w:i/>
          <w:sz w:val="24"/>
          <w:szCs w:val="24"/>
          <w:lang w:val="en-US"/>
        </w:rPr>
        <w:t>no</w:t>
      </w:r>
      <w:r w:rsidRPr="001A40B6">
        <w:rPr>
          <w:rFonts w:ascii="Arial" w:hAnsi="Arial" w:cs="Arial"/>
          <w:sz w:val="24"/>
          <w:szCs w:val="24"/>
          <w:lang w:val="en-US"/>
        </w:rPr>
        <w:t xml:space="preserve"> offending compared to participants allocated to the control group. Analyses comparing only those </w:t>
      </w:r>
      <w:r w:rsidRPr="00783EB0">
        <w:rPr>
          <w:rFonts w:ascii="Arial" w:hAnsi="Arial" w:cs="Arial"/>
          <w:i/>
          <w:sz w:val="24"/>
          <w:szCs w:val="24"/>
          <w:lang w:val="en-US"/>
        </w:rPr>
        <w:t>participating</w:t>
      </w:r>
      <w:r w:rsidRPr="001A40B6">
        <w:rPr>
          <w:rFonts w:ascii="Arial" w:hAnsi="Arial" w:cs="Arial"/>
          <w:sz w:val="24"/>
          <w:szCs w:val="24"/>
          <w:lang w:val="en-US"/>
        </w:rPr>
        <w:t xml:space="preserve"> in the intervention with the control group found </w:t>
      </w:r>
      <w:r w:rsidR="005167E5">
        <w:rPr>
          <w:rFonts w:ascii="Arial" w:hAnsi="Arial" w:cs="Arial"/>
          <w:sz w:val="24"/>
          <w:szCs w:val="24"/>
          <w:lang w:val="en-US"/>
        </w:rPr>
        <w:t xml:space="preserve">that offending numbers were reduced for the intervention group; although they were </w:t>
      </w:r>
      <w:r w:rsidR="00763D37">
        <w:rPr>
          <w:rFonts w:ascii="Arial" w:hAnsi="Arial" w:cs="Arial"/>
          <w:sz w:val="24"/>
          <w:szCs w:val="24"/>
          <w:lang w:val="en-US"/>
        </w:rPr>
        <w:t xml:space="preserve">more </w:t>
      </w:r>
      <w:r w:rsidR="005167E5">
        <w:rPr>
          <w:rFonts w:ascii="Arial" w:hAnsi="Arial" w:cs="Arial"/>
          <w:sz w:val="24"/>
          <w:szCs w:val="24"/>
          <w:lang w:val="en-US"/>
        </w:rPr>
        <w:t>likely to offend at all when compared to the control group, they were nonetheless offending at lower rates</w:t>
      </w:r>
      <w:r w:rsidRPr="001A40B6">
        <w:rPr>
          <w:rFonts w:ascii="Arial" w:hAnsi="Arial" w:cs="Arial"/>
          <w:sz w:val="24"/>
          <w:szCs w:val="24"/>
          <w:lang w:val="en-US"/>
        </w:rPr>
        <w:t xml:space="preserve">. Whether adopting an intent-to-treat approach or just including offenders participating in Resettle, the significant effects noted above became nonsignificant once </w:t>
      </w:r>
      <w:r w:rsidR="005167E5">
        <w:rPr>
          <w:rFonts w:ascii="Arial" w:hAnsi="Arial" w:cs="Arial"/>
          <w:sz w:val="24"/>
          <w:szCs w:val="24"/>
          <w:lang w:val="en-US"/>
        </w:rPr>
        <w:t>accounting for</w:t>
      </w:r>
      <w:r w:rsidRPr="001A40B6">
        <w:rPr>
          <w:rFonts w:ascii="Arial" w:hAnsi="Arial" w:cs="Arial"/>
          <w:sz w:val="24"/>
          <w:szCs w:val="24"/>
          <w:lang w:val="en-US"/>
        </w:rPr>
        <w:t xml:space="preserve"> time in the </w:t>
      </w:r>
      <w:r w:rsidRPr="001A40B6">
        <w:rPr>
          <w:rFonts w:ascii="Arial" w:hAnsi="Arial" w:cs="Arial"/>
          <w:sz w:val="24"/>
          <w:szCs w:val="24"/>
          <w:lang w:val="en-US"/>
        </w:rPr>
        <w:lastRenderedPageBreak/>
        <w:t xml:space="preserve">community. </w:t>
      </w:r>
      <w:r w:rsidR="008560E3">
        <w:rPr>
          <w:rFonts w:ascii="Arial" w:hAnsi="Arial" w:cs="Arial"/>
          <w:sz w:val="24"/>
          <w:szCs w:val="24"/>
          <w:lang w:val="en-US"/>
        </w:rPr>
        <w:t>This</w:t>
      </w:r>
      <w:r w:rsidR="005167E5">
        <w:rPr>
          <w:rFonts w:ascii="Arial" w:hAnsi="Arial" w:cs="Arial"/>
          <w:sz w:val="24"/>
          <w:szCs w:val="24"/>
          <w:lang w:val="en-US"/>
        </w:rPr>
        <w:t xml:space="preserve"> inclusion</w:t>
      </w:r>
      <w:r>
        <w:rPr>
          <w:rFonts w:ascii="Arial" w:hAnsi="Arial" w:cs="Arial"/>
          <w:sz w:val="24"/>
          <w:szCs w:val="24"/>
          <w:lang w:val="en-US"/>
        </w:rPr>
        <w:t xml:space="preserve"> </w:t>
      </w:r>
      <w:r w:rsidR="008560E3">
        <w:rPr>
          <w:rFonts w:ascii="Arial" w:hAnsi="Arial" w:cs="Arial"/>
          <w:sz w:val="24"/>
          <w:szCs w:val="24"/>
          <w:lang w:val="en-US"/>
        </w:rPr>
        <w:t xml:space="preserve">may have </w:t>
      </w:r>
      <w:r>
        <w:rPr>
          <w:rFonts w:ascii="Arial" w:hAnsi="Arial" w:cs="Arial"/>
          <w:sz w:val="24"/>
          <w:szCs w:val="24"/>
          <w:lang w:val="en-US"/>
        </w:rPr>
        <w:t>reduced power</w:t>
      </w:r>
      <w:r w:rsidR="005167E5">
        <w:rPr>
          <w:rFonts w:ascii="Arial" w:hAnsi="Arial" w:cs="Arial"/>
          <w:sz w:val="24"/>
          <w:szCs w:val="24"/>
          <w:lang w:val="en-US"/>
        </w:rPr>
        <w:t>, but this is something for future research to determine with a greater sample size</w:t>
      </w:r>
      <w:r>
        <w:rPr>
          <w:rFonts w:ascii="Arial" w:hAnsi="Arial" w:cs="Arial"/>
          <w:sz w:val="24"/>
          <w:szCs w:val="24"/>
          <w:lang w:val="en-US"/>
        </w:rPr>
        <w:t>.</w:t>
      </w:r>
    </w:p>
    <w:p w14:paraId="7067D6EA" w14:textId="77777777" w:rsidR="003A11B9" w:rsidRPr="001A40B6" w:rsidRDefault="003A11B9" w:rsidP="00472001">
      <w:pPr>
        <w:spacing w:after="0" w:line="360" w:lineRule="auto"/>
        <w:jc w:val="both"/>
        <w:rPr>
          <w:rFonts w:ascii="Arial" w:hAnsi="Arial" w:cs="Arial"/>
          <w:sz w:val="24"/>
          <w:szCs w:val="24"/>
          <w:lang w:val="en-US"/>
        </w:rPr>
      </w:pPr>
    </w:p>
    <w:p w14:paraId="5AACB91B" w14:textId="22C8877D" w:rsidR="003A11B9" w:rsidRPr="001A40B6" w:rsidRDefault="003A11B9" w:rsidP="00472001">
      <w:pPr>
        <w:spacing w:after="0" w:line="360" w:lineRule="auto"/>
        <w:jc w:val="both"/>
        <w:rPr>
          <w:rFonts w:ascii="Arial" w:hAnsi="Arial" w:cs="Arial"/>
          <w:sz w:val="24"/>
          <w:szCs w:val="24"/>
          <w:lang w:val="en-US"/>
        </w:rPr>
      </w:pPr>
      <w:r w:rsidRPr="001A40B6">
        <w:rPr>
          <w:rFonts w:ascii="Arial" w:hAnsi="Arial" w:cs="Arial"/>
          <w:sz w:val="24"/>
          <w:szCs w:val="24"/>
          <w:lang w:val="en-US"/>
        </w:rPr>
        <w:t xml:space="preserve">Comparing self-reported offending found no effect of Resettle in the intent-to-treat </w:t>
      </w:r>
      <w:r w:rsidR="008560E3">
        <w:rPr>
          <w:rFonts w:ascii="Arial" w:hAnsi="Arial" w:cs="Arial"/>
          <w:sz w:val="24"/>
          <w:szCs w:val="24"/>
          <w:lang w:val="en-US"/>
        </w:rPr>
        <w:t>analysis. However, research participants who also became service participants (i.e. with</w:t>
      </w:r>
      <w:r w:rsidRPr="001A40B6">
        <w:rPr>
          <w:rFonts w:ascii="Arial" w:hAnsi="Arial" w:cs="Arial"/>
          <w:sz w:val="24"/>
          <w:szCs w:val="24"/>
          <w:lang w:val="en-US"/>
        </w:rPr>
        <w:t xml:space="preserve"> Resettle</w:t>
      </w:r>
      <w:r w:rsidR="008560E3">
        <w:rPr>
          <w:rFonts w:ascii="Arial" w:hAnsi="Arial" w:cs="Arial"/>
          <w:sz w:val="24"/>
          <w:szCs w:val="24"/>
          <w:lang w:val="en-US"/>
        </w:rPr>
        <w:t>)</w:t>
      </w:r>
      <w:r w:rsidRPr="001A40B6">
        <w:rPr>
          <w:rFonts w:ascii="Arial" w:hAnsi="Arial" w:cs="Arial"/>
          <w:sz w:val="24"/>
          <w:szCs w:val="24"/>
          <w:lang w:val="en-US"/>
        </w:rPr>
        <w:t xml:space="preserve"> reported reduced offending in the follow-up period compared to the control group. Importantly, this remained significant even after controlling for time in the community. </w:t>
      </w:r>
    </w:p>
    <w:p w14:paraId="182DD9CB" w14:textId="77777777" w:rsidR="001A40B6" w:rsidRPr="001A40B6" w:rsidRDefault="001A40B6" w:rsidP="00472001">
      <w:pPr>
        <w:spacing w:after="0" w:line="360" w:lineRule="auto"/>
        <w:jc w:val="both"/>
        <w:rPr>
          <w:rFonts w:ascii="Arial" w:hAnsi="Arial" w:cs="Arial"/>
          <w:sz w:val="24"/>
          <w:szCs w:val="24"/>
          <w:lang w:val="en-US"/>
        </w:rPr>
      </w:pPr>
    </w:p>
    <w:p w14:paraId="345B9996" w14:textId="34B46382" w:rsidR="007966DB" w:rsidRDefault="001A40B6" w:rsidP="00472001">
      <w:pPr>
        <w:spacing w:after="0" w:line="360" w:lineRule="auto"/>
        <w:jc w:val="both"/>
        <w:rPr>
          <w:rFonts w:ascii="Arial" w:hAnsi="Arial" w:cs="Arial"/>
          <w:sz w:val="24"/>
          <w:szCs w:val="24"/>
          <w:lang w:val="en-US"/>
        </w:rPr>
      </w:pPr>
      <w:r w:rsidRPr="001A40B6">
        <w:rPr>
          <w:rFonts w:ascii="Arial" w:hAnsi="Arial" w:cs="Arial"/>
          <w:sz w:val="24"/>
          <w:szCs w:val="24"/>
          <w:lang w:val="en-US"/>
        </w:rPr>
        <w:t xml:space="preserve">The findings indicate promise for the treatment without providing conclusive evidence in its </w:t>
      </w:r>
      <w:proofErr w:type="spellStart"/>
      <w:r w:rsidRPr="001A40B6">
        <w:rPr>
          <w:rFonts w:ascii="Arial" w:hAnsi="Arial" w:cs="Arial"/>
          <w:sz w:val="24"/>
          <w:szCs w:val="24"/>
          <w:lang w:val="en-US"/>
        </w:rPr>
        <w:t>favour</w:t>
      </w:r>
      <w:proofErr w:type="spellEnd"/>
      <w:r w:rsidRPr="001A40B6">
        <w:rPr>
          <w:rFonts w:ascii="Arial" w:hAnsi="Arial" w:cs="Arial"/>
          <w:sz w:val="24"/>
          <w:szCs w:val="24"/>
          <w:lang w:val="en-US"/>
        </w:rPr>
        <w:t xml:space="preserve">. The police records </w:t>
      </w:r>
      <w:r w:rsidR="005167E5">
        <w:rPr>
          <w:rFonts w:ascii="Arial" w:hAnsi="Arial" w:cs="Arial"/>
          <w:sz w:val="24"/>
          <w:szCs w:val="24"/>
          <w:lang w:val="en-US"/>
        </w:rPr>
        <w:t>were an</w:t>
      </w:r>
      <w:r w:rsidR="005167E5" w:rsidRPr="001A40B6">
        <w:rPr>
          <w:rFonts w:ascii="Arial" w:hAnsi="Arial" w:cs="Arial"/>
          <w:sz w:val="24"/>
          <w:szCs w:val="24"/>
          <w:lang w:val="en-US"/>
        </w:rPr>
        <w:t xml:space="preserve"> </w:t>
      </w:r>
      <w:r w:rsidRPr="001A40B6">
        <w:rPr>
          <w:rFonts w:ascii="Arial" w:hAnsi="Arial" w:cs="Arial"/>
          <w:sz w:val="24"/>
          <w:szCs w:val="24"/>
          <w:lang w:val="en-US"/>
        </w:rPr>
        <w:t>objective</w:t>
      </w:r>
      <w:r w:rsidR="005167E5">
        <w:rPr>
          <w:rFonts w:ascii="Arial" w:hAnsi="Arial" w:cs="Arial"/>
          <w:sz w:val="24"/>
          <w:szCs w:val="24"/>
          <w:lang w:val="en-US"/>
        </w:rPr>
        <w:t xml:space="preserve"> measure</w:t>
      </w:r>
      <w:r w:rsidRPr="001A40B6">
        <w:rPr>
          <w:rFonts w:ascii="Arial" w:hAnsi="Arial" w:cs="Arial"/>
          <w:sz w:val="24"/>
          <w:szCs w:val="24"/>
          <w:lang w:val="en-US"/>
        </w:rPr>
        <w:t xml:space="preserve"> not open to </w:t>
      </w:r>
      <w:r w:rsidR="005167E5">
        <w:rPr>
          <w:rFonts w:ascii="Arial" w:hAnsi="Arial" w:cs="Arial"/>
          <w:sz w:val="24"/>
          <w:szCs w:val="24"/>
          <w:lang w:val="en-US"/>
        </w:rPr>
        <w:t xml:space="preserve">self-report </w:t>
      </w:r>
      <w:r w:rsidRPr="001A40B6">
        <w:rPr>
          <w:rFonts w:ascii="Arial" w:hAnsi="Arial" w:cs="Arial"/>
          <w:sz w:val="24"/>
          <w:szCs w:val="24"/>
          <w:lang w:val="en-US"/>
        </w:rPr>
        <w:t>biases. However as was evident in the differences between numbers of offences detected and those reported by participants, many go undetected</w:t>
      </w:r>
      <w:r w:rsidR="005167E5">
        <w:rPr>
          <w:rFonts w:ascii="Arial" w:hAnsi="Arial" w:cs="Arial"/>
          <w:sz w:val="24"/>
          <w:szCs w:val="24"/>
          <w:lang w:val="en-US"/>
        </w:rPr>
        <w:t>; thus, they are not without bias</w:t>
      </w:r>
      <w:r w:rsidRPr="001A40B6">
        <w:rPr>
          <w:rFonts w:ascii="Arial" w:hAnsi="Arial" w:cs="Arial"/>
          <w:sz w:val="24"/>
          <w:szCs w:val="24"/>
          <w:lang w:val="en-US"/>
        </w:rPr>
        <w:t xml:space="preserve"> </w:t>
      </w:r>
      <w:r w:rsidR="005167E5">
        <w:rPr>
          <w:rFonts w:ascii="Arial" w:hAnsi="Arial" w:cs="Arial"/>
          <w:sz w:val="24"/>
          <w:szCs w:val="24"/>
          <w:lang w:val="en-US"/>
        </w:rPr>
        <w:t>and</w:t>
      </w:r>
      <w:r w:rsidRPr="001A40B6">
        <w:rPr>
          <w:rFonts w:ascii="Arial" w:hAnsi="Arial" w:cs="Arial"/>
          <w:sz w:val="24"/>
          <w:szCs w:val="24"/>
          <w:lang w:val="en-US"/>
        </w:rPr>
        <w:t xml:space="preserve"> may not </w:t>
      </w:r>
      <w:r w:rsidR="005167E5">
        <w:rPr>
          <w:rFonts w:ascii="Arial" w:hAnsi="Arial" w:cs="Arial"/>
          <w:sz w:val="24"/>
          <w:szCs w:val="24"/>
          <w:lang w:val="en-US"/>
        </w:rPr>
        <w:t>represent the entirety of</w:t>
      </w:r>
      <w:r w:rsidRPr="001A40B6">
        <w:rPr>
          <w:rFonts w:ascii="Arial" w:hAnsi="Arial" w:cs="Arial"/>
          <w:sz w:val="24"/>
          <w:szCs w:val="24"/>
          <w:lang w:val="en-US"/>
        </w:rPr>
        <w:t xml:space="preserve"> offending</w:t>
      </w:r>
      <w:r w:rsidR="005167E5">
        <w:rPr>
          <w:rFonts w:ascii="Arial" w:hAnsi="Arial" w:cs="Arial"/>
          <w:sz w:val="24"/>
          <w:szCs w:val="24"/>
          <w:lang w:val="en-US"/>
        </w:rPr>
        <w:t xml:space="preserve"> </w:t>
      </w:r>
      <w:proofErr w:type="spellStart"/>
      <w:r w:rsidR="005167E5">
        <w:rPr>
          <w:rFonts w:ascii="Arial" w:hAnsi="Arial" w:cs="Arial"/>
          <w:sz w:val="24"/>
          <w:szCs w:val="24"/>
          <w:lang w:val="en-US"/>
        </w:rPr>
        <w:t>behaviour</w:t>
      </w:r>
      <w:proofErr w:type="spellEnd"/>
      <w:r w:rsidRPr="001A40B6">
        <w:rPr>
          <w:rFonts w:ascii="Arial" w:hAnsi="Arial" w:cs="Arial"/>
          <w:sz w:val="24"/>
          <w:szCs w:val="24"/>
          <w:lang w:val="en-US"/>
        </w:rPr>
        <w:t>. On the other hand</w:t>
      </w:r>
      <w:r w:rsidR="005167E5">
        <w:rPr>
          <w:rFonts w:ascii="Arial" w:hAnsi="Arial" w:cs="Arial"/>
          <w:sz w:val="24"/>
          <w:szCs w:val="24"/>
          <w:lang w:val="en-US"/>
        </w:rPr>
        <w:t>,</w:t>
      </w:r>
      <w:r w:rsidRPr="001A40B6">
        <w:rPr>
          <w:rFonts w:ascii="Arial" w:hAnsi="Arial" w:cs="Arial"/>
          <w:sz w:val="24"/>
          <w:szCs w:val="24"/>
          <w:lang w:val="en-US"/>
        </w:rPr>
        <w:t xml:space="preserve"> Reset</w:t>
      </w:r>
      <w:r w:rsidR="0044625C">
        <w:rPr>
          <w:rFonts w:ascii="Arial" w:hAnsi="Arial" w:cs="Arial"/>
          <w:sz w:val="24"/>
          <w:szCs w:val="24"/>
          <w:lang w:val="en-US"/>
        </w:rPr>
        <w:t>tle participants may have under-</w:t>
      </w:r>
      <w:r w:rsidRPr="001A40B6">
        <w:rPr>
          <w:rFonts w:ascii="Arial" w:hAnsi="Arial" w:cs="Arial"/>
          <w:sz w:val="24"/>
          <w:szCs w:val="24"/>
          <w:lang w:val="en-US"/>
        </w:rPr>
        <w:t xml:space="preserve">reported their offending more than control participants, because of optimism for their futures engendered by participation in the project. </w:t>
      </w:r>
      <w:r w:rsidR="0044625C" w:rsidRPr="0044625C">
        <w:rPr>
          <w:rFonts w:ascii="Arial" w:hAnsi="Arial" w:cs="Arial"/>
          <w:sz w:val="24"/>
          <w:szCs w:val="24"/>
        </w:rPr>
        <w:t xml:space="preserve">Conversely they may have been more willing to disclose further offending </w:t>
      </w:r>
      <w:r w:rsidR="008560E3">
        <w:rPr>
          <w:rFonts w:ascii="Arial" w:hAnsi="Arial" w:cs="Arial"/>
          <w:sz w:val="24"/>
          <w:szCs w:val="24"/>
        </w:rPr>
        <w:t>given their experience of</w:t>
      </w:r>
      <w:r w:rsidR="0044625C" w:rsidRPr="0044625C">
        <w:rPr>
          <w:rFonts w:ascii="Arial" w:hAnsi="Arial" w:cs="Arial"/>
          <w:sz w:val="24"/>
          <w:szCs w:val="24"/>
        </w:rPr>
        <w:t xml:space="preserve"> a supportive relationship focussed on addressing their criminogenic needs</w:t>
      </w:r>
      <w:r w:rsidR="0044625C">
        <w:rPr>
          <w:rFonts w:ascii="Arial" w:hAnsi="Arial" w:cs="Arial"/>
          <w:sz w:val="24"/>
          <w:szCs w:val="24"/>
        </w:rPr>
        <w:t xml:space="preserve">. </w:t>
      </w:r>
      <w:r w:rsidRPr="001A40B6">
        <w:rPr>
          <w:rFonts w:ascii="Arial" w:hAnsi="Arial" w:cs="Arial"/>
          <w:sz w:val="24"/>
          <w:szCs w:val="24"/>
          <w:lang w:val="en-US"/>
        </w:rPr>
        <w:t>Comparisons o</w:t>
      </w:r>
      <w:r w:rsidR="005167E5">
        <w:rPr>
          <w:rFonts w:ascii="Arial" w:hAnsi="Arial" w:cs="Arial"/>
          <w:sz w:val="24"/>
          <w:szCs w:val="24"/>
          <w:lang w:val="en-US"/>
        </w:rPr>
        <w:t>f</w:t>
      </w:r>
      <w:r w:rsidRPr="001A40B6">
        <w:rPr>
          <w:rFonts w:ascii="Arial" w:hAnsi="Arial" w:cs="Arial"/>
          <w:sz w:val="24"/>
          <w:szCs w:val="24"/>
          <w:lang w:val="en-US"/>
        </w:rPr>
        <w:t xml:space="preserve"> police records were also affected by the different times in the community in each of the </w:t>
      </w:r>
      <w:r w:rsidR="00ED0F7F">
        <w:rPr>
          <w:rFonts w:ascii="Arial" w:hAnsi="Arial" w:cs="Arial"/>
          <w:sz w:val="24"/>
          <w:szCs w:val="24"/>
          <w:lang w:val="en-US"/>
        </w:rPr>
        <w:t xml:space="preserve">three groups: </w:t>
      </w:r>
      <w:r w:rsidRPr="001A40B6">
        <w:rPr>
          <w:rFonts w:ascii="Arial" w:hAnsi="Arial" w:cs="Arial"/>
          <w:sz w:val="24"/>
          <w:szCs w:val="24"/>
          <w:lang w:val="en-US"/>
        </w:rPr>
        <w:t>Resettle participants, those who decline</w:t>
      </w:r>
      <w:r w:rsidR="00ED0F7F">
        <w:rPr>
          <w:rFonts w:ascii="Arial" w:hAnsi="Arial" w:cs="Arial"/>
          <w:sz w:val="24"/>
          <w:szCs w:val="24"/>
          <w:lang w:val="en-US"/>
        </w:rPr>
        <w:t>d</w:t>
      </w:r>
      <w:r w:rsidRPr="001A40B6">
        <w:rPr>
          <w:rFonts w:ascii="Arial" w:hAnsi="Arial" w:cs="Arial"/>
          <w:sz w:val="24"/>
          <w:szCs w:val="24"/>
          <w:lang w:val="en-US"/>
        </w:rPr>
        <w:t xml:space="preserve"> Resettle, and controls. This may have arisen from </w:t>
      </w:r>
      <w:r w:rsidR="00ED0F7F">
        <w:rPr>
          <w:rFonts w:ascii="Arial" w:hAnsi="Arial" w:cs="Arial"/>
          <w:sz w:val="24"/>
          <w:szCs w:val="24"/>
          <w:lang w:val="en-US"/>
        </w:rPr>
        <w:t xml:space="preserve">the effect on </w:t>
      </w:r>
      <w:r w:rsidRPr="001A40B6">
        <w:rPr>
          <w:rFonts w:ascii="Arial" w:hAnsi="Arial" w:cs="Arial"/>
          <w:sz w:val="24"/>
          <w:szCs w:val="24"/>
          <w:lang w:val="en-US"/>
        </w:rPr>
        <w:t xml:space="preserve">decisions about release </w:t>
      </w:r>
      <w:r w:rsidR="00ED0F7F">
        <w:rPr>
          <w:rFonts w:ascii="Arial" w:hAnsi="Arial" w:cs="Arial"/>
          <w:sz w:val="24"/>
          <w:szCs w:val="24"/>
          <w:lang w:val="en-US"/>
        </w:rPr>
        <w:t>of</w:t>
      </w:r>
      <w:r w:rsidRPr="001A40B6">
        <w:rPr>
          <w:rFonts w:ascii="Arial" w:hAnsi="Arial" w:cs="Arial"/>
          <w:sz w:val="24"/>
          <w:szCs w:val="24"/>
          <w:lang w:val="en-US"/>
        </w:rPr>
        <w:t xml:space="preserve"> whether or not offenders were randomized to, or took up the offer of, Resettle treatment. </w:t>
      </w:r>
    </w:p>
    <w:p w14:paraId="19528787" w14:textId="77777777" w:rsidR="007966DB" w:rsidRDefault="007966DB" w:rsidP="00472001">
      <w:pPr>
        <w:spacing w:after="0" w:line="360" w:lineRule="auto"/>
        <w:jc w:val="both"/>
        <w:rPr>
          <w:rFonts w:ascii="Arial" w:hAnsi="Arial" w:cs="Arial"/>
          <w:sz w:val="24"/>
          <w:szCs w:val="24"/>
          <w:lang w:val="en-US"/>
        </w:rPr>
      </w:pPr>
    </w:p>
    <w:p w14:paraId="69F547A3" w14:textId="19DEFB50" w:rsidR="005167E5" w:rsidRPr="001A40B6" w:rsidRDefault="001A40B6" w:rsidP="005167E5">
      <w:pPr>
        <w:spacing w:after="0" w:line="360" w:lineRule="auto"/>
        <w:jc w:val="both"/>
        <w:rPr>
          <w:rFonts w:ascii="Arial" w:hAnsi="Arial" w:cs="Arial"/>
          <w:sz w:val="24"/>
          <w:szCs w:val="24"/>
          <w:lang w:val="en-US"/>
        </w:rPr>
      </w:pPr>
      <w:r w:rsidRPr="001A40B6">
        <w:rPr>
          <w:rFonts w:ascii="Arial" w:hAnsi="Arial" w:cs="Arial"/>
          <w:sz w:val="24"/>
          <w:szCs w:val="24"/>
          <w:lang w:val="en-US"/>
        </w:rPr>
        <w:t>Around one half of those randomized to Resettle declined to take part. This is valuable information for the planning of treatments, and also poses a challenge to their evaluation. While inte</w:t>
      </w:r>
      <w:r w:rsidR="0054786A">
        <w:rPr>
          <w:rFonts w:ascii="Arial" w:hAnsi="Arial" w:cs="Arial"/>
          <w:sz w:val="24"/>
          <w:szCs w:val="24"/>
          <w:lang w:val="en-US"/>
        </w:rPr>
        <w:t>ntion to treat analyses provide</w:t>
      </w:r>
      <w:r w:rsidRPr="001A40B6">
        <w:rPr>
          <w:rFonts w:ascii="Arial" w:hAnsi="Arial" w:cs="Arial"/>
          <w:sz w:val="24"/>
          <w:szCs w:val="24"/>
          <w:lang w:val="en-US"/>
        </w:rPr>
        <w:t xml:space="preserve"> the best indicator of effectiveness</w:t>
      </w:r>
      <w:r w:rsidR="006E6A65">
        <w:rPr>
          <w:rFonts w:ascii="Arial" w:hAnsi="Arial" w:cs="Arial"/>
          <w:sz w:val="24"/>
          <w:szCs w:val="24"/>
          <w:lang w:val="en-US"/>
        </w:rPr>
        <w:t xml:space="preserve"> (Yelland et al, 2015)</w:t>
      </w:r>
      <w:r w:rsidRPr="001A40B6">
        <w:rPr>
          <w:rFonts w:ascii="Arial" w:hAnsi="Arial" w:cs="Arial"/>
          <w:sz w:val="24"/>
          <w:szCs w:val="24"/>
          <w:lang w:val="en-US"/>
        </w:rPr>
        <w:t xml:space="preserve">, they were to some degree undermined by the inclusion of participants who did not receive any Resettle input, either while in prison or afterwards. </w:t>
      </w:r>
      <w:r w:rsidR="005167E5">
        <w:rPr>
          <w:rFonts w:ascii="Arial" w:hAnsi="Arial" w:cs="Arial"/>
          <w:sz w:val="24"/>
          <w:szCs w:val="24"/>
          <w:lang w:val="en-US"/>
        </w:rPr>
        <w:t xml:space="preserve">Caution also needs to be exercised when interpreting the results as this study was designed as a feasibility study and as such was not based on an informed power calculation of the sample size needed to detect a known effect of the treatment.  </w:t>
      </w:r>
    </w:p>
    <w:p w14:paraId="06ED0BDB" w14:textId="77777777" w:rsidR="001A40B6" w:rsidRPr="001A40B6" w:rsidRDefault="001A40B6" w:rsidP="00472001">
      <w:pPr>
        <w:spacing w:after="0" w:line="360" w:lineRule="auto"/>
        <w:jc w:val="both"/>
        <w:rPr>
          <w:rFonts w:ascii="Arial" w:hAnsi="Arial" w:cs="Arial"/>
          <w:i/>
          <w:sz w:val="24"/>
          <w:szCs w:val="24"/>
          <w:lang w:val="en-US"/>
        </w:rPr>
      </w:pPr>
    </w:p>
    <w:p w14:paraId="736855B6" w14:textId="69EC130D" w:rsidR="000D7B62" w:rsidRDefault="000D7B62" w:rsidP="000D7B62">
      <w:pPr>
        <w:pStyle w:val="ListParagraph"/>
        <w:numPr>
          <w:ilvl w:val="1"/>
          <w:numId w:val="5"/>
        </w:numPr>
        <w:spacing w:after="0" w:line="360" w:lineRule="auto"/>
        <w:jc w:val="both"/>
        <w:rPr>
          <w:rFonts w:ascii="Arial" w:hAnsi="Arial" w:cs="Arial"/>
          <w:b/>
          <w:sz w:val="24"/>
          <w:szCs w:val="24"/>
          <w:lang w:val="en-US"/>
        </w:rPr>
      </w:pPr>
      <w:r>
        <w:rPr>
          <w:rFonts w:ascii="Arial" w:hAnsi="Arial" w:cs="Arial"/>
          <w:b/>
          <w:sz w:val="24"/>
          <w:szCs w:val="24"/>
          <w:lang w:val="en-US"/>
        </w:rPr>
        <w:lastRenderedPageBreak/>
        <w:t xml:space="preserve"> Limitations</w:t>
      </w:r>
    </w:p>
    <w:p w14:paraId="20A3C22D" w14:textId="0D7A0B29" w:rsidR="000D7B62" w:rsidRPr="00167B47" w:rsidRDefault="00C042B6" w:rsidP="00167B47">
      <w:pPr>
        <w:pStyle w:val="ListParagraph"/>
        <w:spacing w:after="0" w:line="360" w:lineRule="auto"/>
        <w:ind w:left="360"/>
        <w:jc w:val="both"/>
        <w:rPr>
          <w:rFonts w:ascii="Arial" w:hAnsi="Arial" w:cs="Arial"/>
          <w:b/>
          <w:sz w:val="24"/>
          <w:szCs w:val="24"/>
          <w:lang w:val="en-US"/>
        </w:rPr>
      </w:pPr>
      <w:r>
        <w:rPr>
          <w:rFonts w:ascii="Arial" w:hAnsi="Arial" w:cs="Arial"/>
          <w:b/>
          <w:sz w:val="24"/>
          <w:szCs w:val="24"/>
          <w:lang w:val="en-US"/>
        </w:rPr>
        <w:t xml:space="preserve">Whilst the primary outcome measure (officially recorded offences) is robust insofar as it </w:t>
      </w:r>
      <w:r w:rsidR="00763D37">
        <w:rPr>
          <w:rFonts w:ascii="Arial" w:hAnsi="Arial" w:cs="Arial"/>
          <w:b/>
          <w:sz w:val="24"/>
          <w:szCs w:val="24"/>
          <w:lang w:val="en-US"/>
        </w:rPr>
        <w:t xml:space="preserve">is </w:t>
      </w:r>
      <w:r>
        <w:rPr>
          <w:rFonts w:ascii="Arial" w:hAnsi="Arial" w:cs="Arial"/>
          <w:b/>
          <w:sz w:val="24"/>
          <w:szCs w:val="24"/>
          <w:lang w:val="en-US"/>
        </w:rPr>
        <w:t xml:space="preserve">not subject to self-report biases that may differ between the two groups, it is likely in general to underrepresent the extent of offending. </w:t>
      </w:r>
      <w:r w:rsidR="000D7B62">
        <w:rPr>
          <w:rFonts w:ascii="Arial" w:hAnsi="Arial" w:cs="Arial"/>
          <w:b/>
          <w:sz w:val="24"/>
          <w:szCs w:val="24"/>
          <w:lang w:val="en-US"/>
        </w:rPr>
        <w:t>There was a lower number of participants available for follow</w:t>
      </w:r>
      <w:r w:rsidR="00C74A92">
        <w:rPr>
          <w:rFonts w:ascii="Arial" w:hAnsi="Arial" w:cs="Arial"/>
          <w:b/>
          <w:sz w:val="24"/>
          <w:szCs w:val="24"/>
          <w:lang w:val="en-US"/>
        </w:rPr>
        <w:t>-</w:t>
      </w:r>
      <w:r w:rsidR="000D7B62">
        <w:rPr>
          <w:rFonts w:ascii="Arial" w:hAnsi="Arial" w:cs="Arial"/>
          <w:b/>
          <w:sz w:val="24"/>
          <w:szCs w:val="24"/>
          <w:lang w:val="en-US"/>
        </w:rPr>
        <w:t xml:space="preserve">up than expected </w:t>
      </w:r>
      <w:r w:rsidR="0047641D">
        <w:rPr>
          <w:rFonts w:ascii="Arial" w:hAnsi="Arial" w:cs="Arial"/>
          <w:b/>
          <w:sz w:val="24"/>
          <w:szCs w:val="24"/>
          <w:lang w:val="en-US"/>
        </w:rPr>
        <w:t xml:space="preserve">within the initial planned study duration due to the unexpected length of time it took for many of the participants to achieve approval for release from prison into the community. </w:t>
      </w:r>
      <w:r>
        <w:rPr>
          <w:rFonts w:ascii="Arial" w:hAnsi="Arial" w:cs="Arial"/>
          <w:b/>
          <w:sz w:val="24"/>
          <w:szCs w:val="24"/>
          <w:lang w:val="en-US"/>
        </w:rPr>
        <w:t>Consequently,</w:t>
      </w:r>
      <w:r w:rsidR="0047641D">
        <w:rPr>
          <w:rFonts w:ascii="Arial" w:hAnsi="Arial" w:cs="Arial"/>
          <w:b/>
          <w:sz w:val="24"/>
          <w:szCs w:val="24"/>
          <w:lang w:val="en-US"/>
        </w:rPr>
        <w:t xml:space="preserve"> it was necessary to extend the study by two years. Even so, the numbers for follow-up were lower than planned. </w:t>
      </w:r>
      <w:r>
        <w:rPr>
          <w:rFonts w:ascii="Arial" w:hAnsi="Arial" w:cs="Arial"/>
          <w:b/>
          <w:sz w:val="24"/>
          <w:szCs w:val="24"/>
          <w:lang w:val="en-US"/>
        </w:rPr>
        <w:t xml:space="preserve">The most important limitation to any interpretation of </w:t>
      </w:r>
      <w:r w:rsidR="00DE4489">
        <w:rPr>
          <w:rFonts w:ascii="Arial" w:hAnsi="Arial" w:cs="Arial"/>
          <w:b/>
          <w:sz w:val="24"/>
          <w:szCs w:val="24"/>
          <w:lang w:val="en-US"/>
        </w:rPr>
        <w:t>any outcome</w:t>
      </w:r>
      <w:r>
        <w:rPr>
          <w:rFonts w:ascii="Arial" w:hAnsi="Arial" w:cs="Arial"/>
          <w:b/>
          <w:sz w:val="24"/>
          <w:szCs w:val="24"/>
          <w:lang w:val="en-US"/>
        </w:rPr>
        <w:t xml:space="preserve"> differences between the intervention and control groups is that </w:t>
      </w:r>
      <w:r w:rsidR="00DE4489">
        <w:rPr>
          <w:rFonts w:ascii="Arial" w:hAnsi="Arial" w:cs="Arial"/>
          <w:b/>
          <w:sz w:val="24"/>
          <w:szCs w:val="24"/>
          <w:lang w:val="en-US"/>
        </w:rPr>
        <w:t xml:space="preserve">these findings arise from a study whose sample size is not based on a power calculation. </w:t>
      </w:r>
      <w:r>
        <w:rPr>
          <w:rFonts w:ascii="Arial" w:hAnsi="Arial" w:cs="Arial"/>
          <w:b/>
          <w:sz w:val="24"/>
          <w:szCs w:val="24"/>
          <w:lang w:val="en-US"/>
        </w:rPr>
        <w:t xml:space="preserve"> </w:t>
      </w:r>
    </w:p>
    <w:p w14:paraId="23CF449E" w14:textId="287A0DD3" w:rsidR="00C53C88" w:rsidRPr="00C53C88" w:rsidRDefault="00210BC7" w:rsidP="00783EB0">
      <w:pPr>
        <w:pStyle w:val="ListParagraph"/>
        <w:numPr>
          <w:ilvl w:val="1"/>
          <w:numId w:val="5"/>
        </w:numPr>
        <w:spacing w:after="0" w:line="360" w:lineRule="auto"/>
        <w:jc w:val="both"/>
        <w:rPr>
          <w:rFonts w:ascii="Arial" w:hAnsi="Arial" w:cs="Arial"/>
          <w:b/>
          <w:sz w:val="24"/>
          <w:szCs w:val="24"/>
          <w:lang w:val="en-US"/>
        </w:rPr>
      </w:pPr>
      <w:r w:rsidRPr="00C53C88">
        <w:rPr>
          <w:rFonts w:ascii="Arial" w:hAnsi="Arial" w:cs="Arial"/>
          <w:b/>
          <w:sz w:val="24"/>
          <w:szCs w:val="24"/>
          <w:lang w:val="en-US"/>
        </w:rPr>
        <w:t xml:space="preserve">Conclusions </w:t>
      </w:r>
    </w:p>
    <w:p w14:paraId="418673CC" w14:textId="4D95CCC2" w:rsidR="006F12C2" w:rsidRDefault="00C53C88" w:rsidP="00472001">
      <w:pPr>
        <w:spacing w:after="0" w:line="360" w:lineRule="auto"/>
        <w:jc w:val="both"/>
        <w:rPr>
          <w:rFonts w:ascii="Arial" w:hAnsi="Arial" w:cs="Arial"/>
          <w:sz w:val="24"/>
          <w:szCs w:val="24"/>
          <w:lang w:val="en-US"/>
        </w:rPr>
      </w:pPr>
      <w:r w:rsidRPr="00C53C88">
        <w:rPr>
          <w:rFonts w:ascii="Arial" w:hAnsi="Arial" w:cs="Arial"/>
          <w:sz w:val="24"/>
          <w:szCs w:val="24"/>
          <w:lang w:val="en-US"/>
        </w:rPr>
        <w:t xml:space="preserve">In spite of formidable challenges, </w:t>
      </w:r>
      <w:r w:rsidR="005167E5">
        <w:rPr>
          <w:rFonts w:ascii="Arial" w:hAnsi="Arial" w:cs="Arial"/>
          <w:sz w:val="24"/>
          <w:szCs w:val="24"/>
          <w:lang w:val="en-US"/>
        </w:rPr>
        <w:t>the present</w:t>
      </w:r>
      <w:r w:rsidR="005167E5" w:rsidRPr="00C53C88">
        <w:rPr>
          <w:rFonts w:ascii="Arial" w:hAnsi="Arial" w:cs="Arial"/>
          <w:sz w:val="24"/>
          <w:szCs w:val="24"/>
          <w:lang w:val="en-US"/>
        </w:rPr>
        <w:t xml:space="preserve"> </w:t>
      </w:r>
      <w:r w:rsidRPr="00C53C88">
        <w:rPr>
          <w:rFonts w:ascii="Arial" w:hAnsi="Arial" w:cs="Arial"/>
          <w:sz w:val="24"/>
          <w:szCs w:val="24"/>
          <w:lang w:val="en-US"/>
        </w:rPr>
        <w:t>study demonstrated that a high quality RCT can be conducted with very high risk personality disordered offenders. It has also documented the severity and complexity of the psych</w:t>
      </w:r>
      <w:r>
        <w:rPr>
          <w:rFonts w:ascii="Arial" w:hAnsi="Arial" w:cs="Arial"/>
          <w:sz w:val="24"/>
          <w:szCs w:val="24"/>
          <w:lang w:val="en-US"/>
        </w:rPr>
        <w:t>iatric needs of this population</w:t>
      </w:r>
      <w:r w:rsidRPr="00C53C88">
        <w:rPr>
          <w:rFonts w:ascii="Arial" w:hAnsi="Arial" w:cs="Arial"/>
          <w:sz w:val="24"/>
          <w:szCs w:val="24"/>
          <w:lang w:val="en-US"/>
        </w:rPr>
        <w:t xml:space="preserve">. Combining that with the </w:t>
      </w:r>
      <w:proofErr w:type="spellStart"/>
      <w:r w:rsidRPr="00C53C88">
        <w:rPr>
          <w:rFonts w:ascii="Arial" w:hAnsi="Arial" w:cs="Arial"/>
          <w:sz w:val="24"/>
          <w:szCs w:val="24"/>
          <w:lang w:val="en-US"/>
        </w:rPr>
        <w:t>rigours</w:t>
      </w:r>
      <w:proofErr w:type="spellEnd"/>
      <w:r w:rsidRPr="00C53C88">
        <w:rPr>
          <w:rFonts w:ascii="Arial" w:hAnsi="Arial" w:cs="Arial"/>
          <w:sz w:val="24"/>
          <w:szCs w:val="24"/>
          <w:lang w:val="en-US"/>
        </w:rPr>
        <w:t xml:space="preserve"> demanded of conducting an RCT requires joint planning and management of the treatment and the research. The findings support continued investment in this approach with refinements both of the treatment and the design of studies.</w:t>
      </w:r>
    </w:p>
    <w:p w14:paraId="1E108844" w14:textId="77777777" w:rsidR="0044625C" w:rsidRDefault="0044625C" w:rsidP="00472001">
      <w:pPr>
        <w:spacing w:after="0" w:line="360" w:lineRule="auto"/>
        <w:jc w:val="both"/>
        <w:rPr>
          <w:rFonts w:ascii="Arial" w:hAnsi="Arial" w:cs="Arial"/>
          <w:b/>
          <w:sz w:val="24"/>
          <w:szCs w:val="24"/>
          <w:lang w:val="en-US"/>
        </w:rPr>
      </w:pPr>
    </w:p>
    <w:p w14:paraId="7B484CB3" w14:textId="77777777" w:rsidR="0044625C" w:rsidRDefault="0044625C" w:rsidP="00472001">
      <w:pPr>
        <w:spacing w:after="0" w:line="360" w:lineRule="auto"/>
        <w:jc w:val="both"/>
        <w:rPr>
          <w:rFonts w:ascii="Arial" w:hAnsi="Arial" w:cs="Arial"/>
          <w:b/>
          <w:sz w:val="24"/>
          <w:szCs w:val="24"/>
          <w:lang w:val="en-US"/>
        </w:rPr>
      </w:pPr>
    </w:p>
    <w:p w14:paraId="5E15229D" w14:textId="356DC881" w:rsidR="006F12C2" w:rsidRPr="00CE34AA" w:rsidRDefault="006F12C2" w:rsidP="00472001">
      <w:pPr>
        <w:spacing w:after="0" w:line="360" w:lineRule="auto"/>
        <w:jc w:val="both"/>
        <w:rPr>
          <w:rFonts w:ascii="Arial" w:hAnsi="Arial" w:cs="Arial"/>
          <w:b/>
          <w:sz w:val="24"/>
          <w:szCs w:val="24"/>
          <w:lang w:val="en-US"/>
        </w:rPr>
      </w:pPr>
      <w:r w:rsidRPr="00CE34AA">
        <w:rPr>
          <w:rFonts w:ascii="Arial" w:hAnsi="Arial" w:cs="Arial"/>
          <w:b/>
          <w:sz w:val="24"/>
          <w:szCs w:val="24"/>
          <w:lang w:val="en-US"/>
        </w:rPr>
        <w:t>References</w:t>
      </w:r>
    </w:p>
    <w:p w14:paraId="1C404C29" w14:textId="77777777" w:rsidR="006F12C2" w:rsidRDefault="006F12C2" w:rsidP="00472001">
      <w:pPr>
        <w:spacing w:after="0" w:line="360" w:lineRule="auto"/>
        <w:jc w:val="both"/>
        <w:rPr>
          <w:rFonts w:ascii="Arial" w:hAnsi="Arial" w:cs="Arial"/>
          <w:sz w:val="24"/>
          <w:szCs w:val="24"/>
          <w:lang w:val="en-US"/>
        </w:rPr>
      </w:pPr>
    </w:p>
    <w:p w14:paraId="5BECBEDC" w14:textId="41421379" w:rsidR="00F74430" w:rsidRPr="00F74430" w:rsidRDefault="001E7908" w:rsidP="00F74430">
      <w:pPr>
        <w:pStyle w:val="ListParagraph"/>
        <w:numPr>
          <w:ilvl w:val="0"/>
          <w:numId w:val="2"/>
        </w:numPr>
        <w:spacing w:after="0" w:line="360" w:lineRule="auto"/>
        <w:jc w:val="both"/>
        <w:rPr>
          <w:rFonts w:ascii="Arial" w:hAnsi="Arial" w:cs="Arial"/>
          <w:sz w:val="24"/>
          <w:szCs w:val="24"/>
          <w:lang w:val="en-US"/>
        </w:rPr>
      </w:pPr>
      <w:r w:rsidRPr="001E7908">
        <w:rPr>
          <w:rFonts w:ascii="Arial" w:hAnsi="Arial" w:cs="Arial"/>
          <w:sz w:val="24"/>
          <w:szCs w:val="24"/>
        </w:rPr>
        <w:t>American Psychiatric Association. (2013). </w:t>
      </w:r>
      <w:r w:rsidRPr="001E7908">
        <w:rPr>
          <w:rFonts w:ascii="Arial" w:hAnsi="Arial" w:cs="Arial"/>
          <w:i/>
          <w:iCs/>
          <w:sz w:val="24"/>
          <w:szCs w:val="24"/>
        </w:rPr>
        <w:t>Diagnostic and statistical manual of mental disorders</w:t>
      </w:r>
      <w:r w:rsidRPr="001E7908">
        <w:rPr>
          <w:rFonts w:ascii="Arial" w:hAnsi="Arial" w:cs="Arial"/>
          <w:sz w:val="24"/>
          <w:szCs w:val="24"/>
        </w:rPr>
        <w:t> (5th ed.). Washington, DC: Author.</w:t>
      </w:r>
    </w:p>
    <w:p w14:paraId="4A083C34" w14:textId="0F093623" w:rsidR="00543519" w:rsidRPr="00C354C7" w:rsidRDefault="00543519" w:rsidP="00C354C7">
      <w:pPr>
        <w:pStyle w:val="ListParagraph"/>
        <w:numPr>
          <w:ilvl w:val="0"/>
          <w:numId w:val="2"/>
        </w:numPr>
        <w:spacing w:line="360" w:lineRule="auto"/>
        <w:jc w:val="both"/>
        <w:rPr>
          <w:rFonts w:ascii="Arial" w:hAnsi="Arial" w:cs="Arial"/>
          <w:sz w:val="24"/>
          <w:szCs w:val="24"/>
        </w:rPr>
      </w:pPr>
      <w:r w:rsidRPr="00543519">
        <w:rPr>
          <w:rFonts w:ascii="Arial" w:hAnsi="Arial" w:cs="Arial"/>
          <w:sz w:val="24"/>
          <w:szCs w:val="24"/>
        </w:rPr>
        <w:t>Baker</w:t>
      </w:r>
      <w:r w:rsidR="00B50E29">
        <w:rPr>
          <w:rFonts w:ascii="Arial" w:hAnsi="Arial" w:cs="Arial"/>
          <w:sz w:val="24"/>
          <w:szCs w:val="24"/>
        </w:rPr>
        <w:t>,</w:t>
      </w:r>
      <w:r w:rsidRPr="00543519">
        <w:rPr>
          <w:rFonts w:ascii="Arial" w:hAnsi="Arial" w:cs="Arial"/>
          <w:sz w:val="24"/>
          <w:szCs w:val="24"/>
        </w:rPr>
        <w:t xml:space="preserve"> V., Johnson</w:t>
      </w:r>
      <w:r w:rsidR="00B50E29">
        <w:rPr>
          <w:rFonts w:ascii="Arial" w:hAnsi="Arial" w:cs="Arial"/>
          <w:sz w:val="24"/>
          <w:szCs w:val="24"/>
        </w:rPr>
        <w:t>,</w:t>
      </w:r>
      <w:r w:rsidRPr="00543519">
        <w:rPr>
          <w:rFonts w:ascii="Arial" w:hAnsi="Arial" w:cs="Arial"/>
          <w:sz w:val="24"/>
          <w:szCs w:val="24"/>
        </w:rPr>
        <w:t xml:space="preserve"> D. &amp; </w:t>
      </w:r>
      <w:proofErr w:type="spellStart"/>
      <w:r w:rsidRPr="00543519">
        <w:rPr>
          <w:rFonts w:ascii="Arial" w:hAnsi="Arial" w:cs="Arial"/>
          <w:sz w:val="24"/>
          <w:szCs w:val="24"/>
        </w:rPr>
        <w:t>Oluonye</w:t>
      </w:r>
      <w:proofErr w:type="spellEnd"/>
      <w:r w:rsidR="00B50E29">
        <w:rPr>
          <w:rFonts w:ascii="Arial" w:hAnsi="Arial" w:cs="Arial"/>
          <w:sz w:val="24"/>
          <w:szCs w:val="24"/>
        </w:rPr>
        <w:t>,</w:t>
      </w:r>
      <w:r w:rsidRPr="00543519">
        <w:rPr>
          <w:rFonts w:ascii="Arial" w:hAnsi="Arial" w:cs="Arial"/>
          <w:sz w:val="24"/>
          <w:szCs w:val="24"/>
        </w:rPr>
        <w:t xml:space="preserve"> S. (2013) Resettle: a significant new step in an emerging pathway that manages risk and addresses need in high-risk personality disordered offenders on their release into the community</w:t>
      </w:r>
      <w:r w:rsidR="00B50E29">
        <w:rPr>
          <w:rFonts w:ascii="Arial" w:hAnsi="Arial" w:cs="Arial"/>
          <w:sz w:val="24"/>
          <w:szCs w:val="24"/>
        </w:rPr>
        <w:t xml:space="preserve">. </w:t>
      </w:r>
      <w:r w:rsidR="00B50E29" w:rsidRPr="00B50E29">
        <w:rPr>
          <w:rFonts w:ascii="Arial" w:hAnsi="Arial" w:cs="Arial"/>
          <w:i/>
          <w:sz w:val="24"/>
          <w:szCs w:val="24"/>
        </w:rPr>
        <w:t>Psychology, Crime &amp; Law</w:t>
      </w:r>
      <w:r w:rsidR="00B50E29" w:rsidRPr="00B50E29">
        <w:rPr>
          <w:rFonts w:ascii="Arial" w:hAnsi="Arial" w:cs="Arial"/>
          <w:sz w:val="24"/>
          <w:szCs w:val="24"/>
        </w:rPr>
        <w:t>, 19</w:t>
      </w:r>
      <w:r w:rsidR="00B50E29">
        <w:rPr>
          <w:rFonts w:ascii="Arial" w:hAnsi="Arial" w:cs="Arial"/>
          <w:sz w:val="24"/>
          <w:szCs w:val="24"/>
        </w:rPr>
        <w:t>(</w:t>
      </w:r>
      <w:r w:rsidR="00B50E29" w:rsidRPr="00B50E29">
        <w:rPr>
          <w:rFonts w:ascii="Arial" w:hAnsi="Arial" w:cs="Arial"/>
          <w:sz w:val="24"/>
          <w:szCs w:val="24"/>
        </w:rPr>
        <w:t>5-6</w:t>
      </w:r>
      <w:r w:rsidR="00B50E29">
        <w:rPr>
          <w:rFonts w:ascii="Arial" w:hAnsi="Arial" w:cs="Arial"/>
          <w:sz w:val="24"/>
          <w:szCs w:val="24"/>
        </w:rPr>
        <w:t>)</w:t>
      </w:r>
      <w:r w:rsidR="00B50E29" w:rsidRPr="00B50E29">
        <w:rPr>
          <w:rFonts w:ascii="Arial" w:hAnsi="Arial" w:cs="Arial"/>
          <w:sz w:val="24"/>
          <w:szCs w:val="24"/>
        </w:rPr>
        <w:t>, 449-460</w:t>
      </w:r>
      <w:r w:rsidR="00B50E29">
        <w:rPr>
          <w:rFonts w:ascii="Arial" w:hAnsi="Arial" w:cs="Arial"/>
          <w:sz w:val="24"/>
          <w:szCs w:val="24"/>
        </w:rPr>
        <w:t xml:space="preserve">. </w:t>
      </w:r>
      <w:hyperlink r:id="rId12" w:history="1">
        <w:r w:rsidR="00C354C7" w:rsidRPr="00C354C7">
          <w:rPr>
            <w:rStyle w:val="Hyperlink"/>
            <w:rFonts w:ascii="Arial" w:hAnsi="Arial" w:cs="Arial"/>
            <w:color w:val="auto"/>
            <w:sz w:val="24"/>
            <w:szCs w:val="24"/>
            <w:u w:val="none"/>
          </w:rPr>
          <w:t>https://doi.org/10.1080/1068316X.2013.758976</w:t>
        </w:r>
      </w:hyperlink>
    </w:p>
    <w:p w14:paraId="52F75A7A" w14:textId="1C7805A9" w:rsidR="00F74430" w:rsidRPr="00F74430" w:rsidRDefault="00F74430" w:rsidP="003D1975">
      <w:pPr>
        <w:pStyle w:val="ListParagraph"/>
        <w:numPr>
          <w:ilvl w:val="0"/>
          <w:numId w:val="2"/>
        </w:numPr>
        <w:spacing w:after="0" w:line="360" w:lineRule="auto"/>
        <w:jc w:val="both"/>
        <w:rPr>
          <w:rFonts w:ascii="Arial" w:hAnsi="Arial" w:cs="Arial"/>
          <w:sz w:val="24"/>
          <w:szCs w:val="24"/>
          <w:lang w:val="en-US"/>
        </w:rPr>
      </w:pPr>
      <w:r w:rsidRPr="00F74430">
        <w:rPr>
          <w:rFonts w:ascii="Arial" w:hAnsi="Arial" w:cs="Arial"/>
          <w:sz w:val="24"/>
          <w:szCs w:val="24"/>
          <w:lang w:val="en-US"/>
        </w:rPr>
        <w:lastRenderedPageBreak/>
        <w:t xml:space="preserve">Beck, J. (2010). Dangerous Severe Personality Disorder: The Controversy Continues. </w:t>
      </w:r>
      <w:proofErr w:type="spellStart"/>
      <w:r w:rsidRPr="00F74430">
        <w:rPr>
          <w:rFonts w:ascii="Arial" w:hAnsi="Arial" w:cs="Arial"/>
          <w:sz w:val="24"/>
          <w:szCs w:val="24"/>
          <w:lang w:val="en-US"/>
        </w:rPr>
        <w:t>Behavioural</w:t>
      </w:r>
      <w:proofErr w:type="spellEnd"/>
      <w:r w:rsidRPr="00F74430">
        <w:rPr>
          <w:rFonts w:ascii="Arial" w:hAnsi="Arial" w:cs="Arial"/>
          <w:sz w:val="24"/>
          <w:szCs w:val="24"/>
          <w:lang w:val="en-US"/>
        </w:rPr>
        <w:t xml:space="preserve"> Sciences and the Law, 28, 277-288.</w:t>
      </w:r>
      <w:r w:rsidR="003D1975">
        <w:rPr>
          <w:rFonts w:ascii="Arial" w:hAnsi="Arial" w:cs="Arial"/>
          <w:sz w:val="24"/>
          <w:szCs w:val="24"/>
          <w:lang w:val="en-US"/>
        </w:rPr>
        <w:t xml:space="preserve"> </w:t>
      </w:r>
      <w:r w:rsidR="003D1975" w:rsidRPr="003D1975">
        <w:rPr>
          <w:rFonts w:ascii="Arial" w:hAnsi="Arial" w:cs="Arial"/>
          <w:sz w:val="24"/>
          <w:szCs w:val="24"/>
          <w:lang w:val="en-US"/>
        </w:rPr>
        <w:t>https://doi.org/10.1002/bsl.931</w:t>
      </w:r>
      <w:r w:rsidR="003D1975">
        <w:rPr>
          <w:rFonts w:ascii="Arial" w:hAnsi="Arial" w:cs="Arial"/>
          <w:sz w:val="24"/>
          <w:szCs w:val="24"/>
          <w:lang w:val="en-US"/>
        </w:rPr>
        <w:t xml:space="preserve">. </w:t>
      </w:r>
    </w:p>
    <w:p w14:paraId="1A58D232" w14:textId="5611947A" w:rsidR="00357E93" w:rsidRPr="003D1975" w:rsidRDefault="00357E93" w:rsidP="003D1975">
      <w:pPr>
        <w:pStyle w:val="ListParagraph"/>
        <w:numPr>
          <w:ilvl w:val="0"/>
          <w:numId w:val="2"/>
        </w:numPr>
        <w:spacing w:after="0" w:line="360" w:lineRule="auto"/>
        <w:jc w:val="both"/>
        <w:rPr>
          <w:rFonts w:ascii="Arial" w:hAnsi="Arial" w:cs="Arial"/>
          <w:sz w:val="24"/>
          <w:szCs w:val="24"/>
        </w:rPr>
      </w:pPr>
      <w:r w:rsidRPr="00357E93">
        <w:rPr>
          <w:rFonts w:ascii="Arial" w:hAnsi="Arial" w:cs="Arial"/>
          <w:sz w:val="24"/>
          <w:szCs w:val="24"/>
          <w:lang w:val="en-US"/>
        </w:rPr>
        <w:t xml:space="preserve">Black, D., </w:t>
      </w:r>
      <w:proofErr w:type="spellStart"/>
      <w:r w:rsidRPr="00357E93">
        <w:rPr>
          <w:rFonts w:ascii="Arial" w:hAnsi="Arial" w:cs="Arial"/>
          <w:sz w:val="24"/>
          <w:szCs w:val="24"/>
          <w:lang w:val="en-US"/>
        </w:rPr>
        <w:t>Baumgard</w:t>
      </w:r>
      <w:proofErr w:type="spellEnd"/>
      <w:r w:rsidRPr="00357E93">
        <w:rPr>
          <w:rFonts w:ascii="Arial" w:hAnsi="Arial" w:cs="Arial"/>
          <w:sz w:val="24"/>
          <w:szCs w:val="24"/>
          <w:lang w:val="en-US"/>
        </w:rPr>
        <w:t>, C., Bell, S., &amp; Kao, C. (1996). Death Rates in 71 Men with Antisocial</w:t>
      </w:r>
      <w:r w:rsidRPr="00357E93">
        <w:rPr>
          <w:rFonts w:ascii="Arial" w:hAnsi="Arial" w:cs="Arial"/>
          <w:sz w:val="24"/>
          <w:szCs w:val="24"/>
          <w:lang w:val="en-US"/>
        </w:rPr>
        <w:tab/>
      </w:r>
      <w:r w:rsidR="003D1975">
        <w:rPr>
          <w:rFonts w:ascii="Arial" w:hAnsi="Arial" w:cs="Arial"/>
          <w:sz w:val="24"/>
          <w:szCs w:val="24"/>
          <w:lang w:val="en-US"/>
        </w:rPr>
        <w:t xml:space="preserve"> Personality </w:t>
      </w:r>
      <w:r w:rsidRPr="00357E93">
        <w:rPr>
          <w:rFonts w:ascii="Arial" w:hAnsi="Arial" w:cs="Arial"/>
          <w:sz w:val="24"/>
          <w:szCs w:val="24"/>
          <w:lang w:val="en-US"/>
        </w:rPr>
        <w:t>Disorder</w:t>
      </w:r>
      <w:r w:rsidR="003D1975">
        <w:rPr>
          <w:rFonts w:ascii="Arial" w:hAnsi="Arial" w:cs="Arial"/>
          <w:sz w:val="24"/>
          <w:szCs w:val="24"/>
          <w:lang w:val="en-US"/>
        </w:rPr>
        <w:t>:</w:t>
      </w:r>
      <w:r w:rsidR="003D1975" w:rsidRPr="003D1975">
        <w:rPr>
          <w:rFonts w:ascii="Arial" w:eastAsia="Times New Roman" w:hAnsi="Arial" w:cs="Arial"/>
          <w:b/>
          <w:bCs/>
          <w:color w:val="505050"/>
          <w:kern w:val="36"/>
          <w:sz w:val="35"/>
          <w:szCs w:val="35"/>
          <w:lang w:eastAsia="en-GB"/>
        </w:rPr>
        <w:t xml:space="preserve"> </w:t>
      </w:r>
      <w:r w:rsidR="003D1975" w:rsidRPr="003D1975">
        <w:rPr>
          <w:rFonts w:ascii="Arial" w:hAnsi="Arial" w:cs="Arial"/>
          <w:sz w:val="24"/>
          <w:szCs w:val="24"/>
        </w:rPr>
        <w:t>A Comparison With General Population Mortality</w:t>
      </w:r>
      <w:r w:rsidRPr="003D1975">
        <w:rPr>
          <w:rFonts w:ascii="Arial" w:hAnsi="Arial" w:cs="Arial"/>
          <w:sz w:val="24"/>
          <w:szCs w:val="24"/>
          <w:lang w:val="en-US"/>
        </w:rPr>
        <w:t xml:space="preserve">. Psychosomatics, 37(2), 131-136. </w:t>
      </w:r>
      <w:r w:rsidR="003D1975" w:rsidRPr="003D1975">
        <w:rPr>
          <w:rFonts w:ascii="Arial" w:hAnsi="Arial" w:cs="Arial"/>
          <w:sz w:val="24"/>
          <w:szCs w:val="24"/>
          <w:lang w:val="en-US"/>
        </w:rPr>
        <w:t>https://doi.org/10.1016/S0033-3182(96)71579-7.</w:t>
      </w:r>
    </w:p>
    <w:p w14:paraId="2C36DFF9" w14:textId="254918DF" w:rsidR="00093A79" w:rsidRPr="00357E93" w:rsidRDefault="00093A79" w:rsidP="00093A79">
      <w:pPr>
        <w:pStyle w:val="ListParagraph"/>
        <w:numPr>
          <w:ilvl w:val="0"/>
          <w:numId w:val="2"/>
        </w:numPr>
        <w:spacing w:after="0" w:line="360" w:lineRule="auto"/>
        <w:jc w:val="both"/>
        <w:rPr>
          <w:rFonts w:ascii="Arial" w:hAnsi="Arial" w:cs="Arial"/>
          <w:sz w:val="24"/>
          <w:szCs w:val="24"/>
          <w:lang w:val="en-US"/>
        </w:rPr>
      </w:pPr>
      <w:r w:rsidRPr="00093A79">
        <w:rPr>
          <w:rFonts w:ascii="Arial" w:hAnsi="Arial" w:cs="Arial"/>
          <w:sz w:val="24"/>
          <w:szCs w:val="24"/>
          <w:lang w:val="en-US"/>
        </w:rPr>
        <w:t xml:space="preserve">Black, D. W., Gunter, T., Loveless, P., Allen, J., &amp; </w:t>
      </w:r>
      <w:proofErr w:type="spellStart"/>
      <w:r w:rsidRPr="00093A79">
        <w:rPr>
          <w:rFonts w:ascii="Arial" w:hAnsi="Arial" w:cs="Arial"/>
          <w:sz w:val="24"/>
          <w:szCs w:val="24"/>
          <w:lang w:val="en-US"/>
        </w:rPr>
        <w:t>Sieleni</w:t>
      </w:r>
      <w:proofErr w:type="spellEnd"/>
      <w:r w:rsidRPr="00093A79">
        <w:rPr>
          <w:rFonts w:ascii="Arial" w:hAnsi="Arial" w:cs="Arial"/>
          <w:sz w:val="24"/>
          <w:szCs w:val="24"/>
          <w:lang w:val="en-US"/>
        </w:rPr>
        <w:t xml:space="preserve">, B. (2010). Antisocial personality disorder in incarcerated offenders: Psychiatric comorbidity and quality of life. </w:t>
      </w:r>
      <w:r w:rsidR="003D1975">
        <w:rPr>
          <w:rFonts w:ascii="Arial" w:hAnsi="Arial" w:cs="Arial"/>
          <w:sz w:val="24"/>
          <w:szCs w:val="24"/>
          <w:lang w:val="en-US"/>
        </w:rPr>
        <w:t xml:space="preserve">Annals of Clinical Psychiatry, </w:t>
      </w:r>
      <w:r w:rsidRPr="00093A79">
        <w:rPr>
          <w:rFonts w:ascii="Arial" w:hAnsi="Arial" w:cs="Arial"/>
          <w:sz w:val="24"/>
          <w:szCs w:val="24"/>
          <w:lang w:val="en-US"/>
        </w:rPr>
        <w:t>22(2), 113-120.</w:t>
      </w:r>
    </w:p>
    <w:p w14:paraId="296678BD" w14:textId="0F23DC70" w:rsidR="00F74430" w:rsidRPr="002C7BF3" w:rsidRDefault="00357E93" w:rsidP="00F74430">
      <w:pPr>
        <w:pStyle w:val="ListParagraph"/>
        <w:numPr>
          <w:ilvl w:val="0"/>
          <w:numId w:val="2"/>
        </w:numPr>
        <w:spacing w:after="0" w:line="360" w:lineRule="auto"/>
        <w:jc w:val="both"/>
        <w:rPr>
          <w:rFonts w:ascii="Arial" w:hAnsi="Arial" w:cs="Arial"/>
          <w:sz w:val="24"/>
          <w:szCs w:val="24"/>
          <w:lang w:val="en-US"/>
        </w:rPr>
      </w:pPr>
      <w:proofErr w:type="spellStart"/>
      <w:r w:rsidRPr="00167B47">
        <w:rPr>
          <w:rFonts w:ascii="Arial" w:hAnsi="Arial" w:cs="Arial"/>
          <w:sz w:val="24"/>
          <w:szCs w:val="24"/>
          <w:lang w:val="it-IT"/>
        </w:rPr>
        <w:t>Corruble</w:t>
      </w:r>
      <w:proofErr w:type="spellEnd"/>
      <w:r w:rsidRPr="00167B47">
        <w:rPr>
          <w:rFonts w:ascii="Arial" w:hAnsi="Arial" w:cs="Arial"/>
          <w:sz w:val="24"/>
          <w:szCs w:val="24"/>
          <w:lang w:val="it-IT"/>
        </w:rPr>
        <w:t xml:space="preserve">, E., </w:t>
      </w:r>
      <w:proofErr w:type="spellStart"/>
      <w:r w:rsidRPr="00167B47">
        <w:rPr>
          <w:rFonts w:ascii="Arial" w:hAnsi="Arial" w:cs="Arial"/>
          <w:sz w:val="24"/>
          <w:szCs w:val="24"/>
          <w:lang w:val="it-IT"/>
        </w:rPr>
        <w:t>Ginestet</w:t>
      </w:r>
      <w:proofErr w:type="spellEnd"/>
      <w:r w:rsidRPr="00167B47">
        <w:rPr>
          <w:rFonts w:ascii="Arial" w:hAnsi="Arial" w:cs="Arial"/>
          <w:sz w:val="24"/>
          <w:szCs w:val="24"/>
          <w:lang w:val="it-IT"/>
        </w:rPr>
        <w:t xml:space="preserve">, D., &amp; Guelfi, J. (1996). </w:t>
      </w:r>
      <w:r w:rsidRPr="002C7BF3">
        <w:rPr>
          <w:rFonts w:ascii="Arial" w:hAnsi="Arial" w:cs="Arial"/>
          <w:sz w:val="24"/>
          <w:szCs w:val="24"/>
          <w:lang w:val="en-US"/>
        </w:rPr>
        <w:t xml:space="preserve">Comorbidity of personality disorders and </w:t>
      </w:r>
      <w:r w:rsidRPr="002C7BF3">
        <w:rPr>
          <w:rFonts w:ascii="Arial" w:hAnsi="Arial" w:cs="Arial"/>
          <w:sz w:val="24"/>
          <w:szCs w:val="24"/>
          <w:lang w:val="en-US"/>
        </w:rPr>
        <w:tab/>
        <w:t>unipolar major depression: a review. Journal of Affective Disorders, 37(2-3), 157-170.</w:t>
      </w:r>
      <w:r w:rsidR="000801AB" w:rsidRPr="002C7BF3">
        <w:t xml:space="preserve"> </w:t>
      </w:r>
      <w:hyperlink r:id="rId13" w:tgtFrame="_blank" w:tooltip="Persistent link using digital object identifier" w:history="1">
        <w:r w:rsidR="000801AB" w:rsidRPr="002C7BF3">
          <w:rPr>
            <w:rStyle w:val="Hyperlink"/>
            <w:rFonts w:ascii="Arial" w:hAnsi="Arial" w:cs="Arial"/>
            <w:color w:val="auto"/>
            <w:sz w:val="24"/>
            <w:szCs w:val="24"/>
            <w:u w:val="none"/>
          </w:rPr>
          <w:t>https://doi.org/10.1016/0165-0327(95)00091-7</w:t>
        </w:r>
      </w:hyperlink>
      <w:r w:rsidR="000801AB" w:rsidRPr="002C7BF3">
        <w:rPr>
          <w:rFonts w:ascii="Arial" w:hAnsi="Arial" w:cs="Arial"/>
          <w:sz w:val="24"/>
          <w:szCs w:val="24"/>
          <w:lang w:val="en-US"/>
        </w:rPr>
        <w:t xml:space="preserve">. </w:t>
      </w:r>
    </w:p>
    <w:p w14:paraId="7F0BABAD" w14:textId="5B32B882" w:rsidR="00F74430" w:rsidRPr="00F74430" w:rsidRDefault="00F74430" w:rsidP="00F74430">
      <w:pPr>
        <w:pStyle w:val="ListParagraph"/>
        <w:numPr>
          <w:ilvl w:val="0"/>
          <w:numId w:val="2"/>
        </w:numPr>
        <w:spacing w:after="0" w:line="360" w:lineRule="auto"/>
        <w:jc w:val="both"/>
        <w:rPr>
          <w:rFonts w:ascii="Arial" w:hAnsi="Arial" w:cs="Arial"/>
          <w:sz w:val="24"/>
          <w:szCs w:val="24"/>
          <w:lang w:val="en-US"/>
        </w:rPr>
      </w:pPr>
      <w:proofErr w:type="spellStart"/>
      <w:r w:rsidRPr="00F74430">
        <w:rPr>
          <w:rFonts w:ascii="Arial" w:hAnsi="Arial" w:cs="Arial"/>
          <w:sz w:val="24"/>
          <w:szCs w:val="24"/>
          <w:lang w:val="en-US"/>
        </w:rPr>
        <w:t>Coid</w:t>
      </w:r>
      <w:proofErr w:type="spellEnd"/>
      <w:r w:rsidRPr="00F74430">
        <w:rPr>
          <w:rFonts w:ascii="Arial" w:hAnsi="Arial" w:cs="Arial"/>
          <w:sz w:val="24"/>
          <w:szCs w:val="24"/>
          <w:lang w:val="en-US"/>
        </w:rPr>
        <w:t xml:space="preserve">, J., Moran, P., </w:t>
      </w:r>
      <w:proofErr w:type="spellStart"/>
      <w:r w:rsidRPr="00F74430">
        <w:rPr>
          <w:rFonts w:ascii="Arial" w:hAnsi="Arial" w:cs="Arial"/>
          <w:sz w:val="24"/>
          <w:szCs w:val="24"/>
          <w:lang w:val="en-US"/>
        </w:rPr>
        <w:t>Begginton</w:t>
      </w:r>
      <w:proofErr w:type="spellEnd"/>
      <w:r w:rsidRPr="00F74430">
        <w:rPr>
          <w:rFonts w:ascii="Arial" w:hAnsi="Arial" w:cs="Arial"/>
          <w:sz w:val="24"/>
          <w:szCs w:val="24"/>
          <w:lang w:val="en-US"/>
        </w:rPr>
        <w:t xml:space="preserve">, P., </w:t>
      </w:r>
      <w:proofErr w:type="spellStart"/>
      <w:r w:rsidRPr="00F74430">
        <w:rPr>
          <w:rFonts w:ascii="Arial" w:hAnsi="Arial" w:cs="Arial"/>
          <w:sz w:val="24"/>
          <w:szCs w:val="24"/>
          <w:lang w:val="en-US"/>
        </w:rPr>
        <w:t>Brugha</w:t>
      </w:r>
      <w:proofErr w:type="spellEnd"/>
      <w:r w:rsidRPr="00F74430">
        <w:rPr>
          <w:rFonts w:ascii="Arial" w:hAnsi="Arial" w:cs="Arial"/>
          <w:sz w:val="24"/>
          <w:szCs w:val="24"/>
          <w:lang w:val="en-US"/>
        </w:rPr>
        <w:t xml:space="preserve">, T., Jenkins, R., Farrell, M., Singleton, N., &amp; </w:t>
      </w:r>
      <w:r w:rsidRPr="00F74430">
        <w:rPr>
          <w:rFonts w:ascii="Arial" w:hAnsi="Arial" w:cs="Arial"/>
          <w:sz w:val="24"/>
          <w:szCs w:val="24"/>
          <w:lang w:val="en-US"/>
        </w:rPr>
        <w:tab/>
        <w:t xml:space="preserve">Ullrich, S. (2009). The co-morbidity of personality disorder and clinical syndromes in prisoners. Criminal </w:t>
      </w:r>
      <w:proofErr w:type="spellStart"/>
      <w:r w:rsidRPr="00F74430">
        <w:rPr>
          <w:rFonts w:ascii="Arial" w:hAnsi="Arial" w:cs="Arial"/>
          <w:sz w:val="24"/>
          <w:szCs w:val="24"/>
          <w:lang w:val="en-US"/>
        </w:rPr>
        <w:t>Behaviour</w:t>
      </w:r>
      <w:proofErr w:type="spellEnd"/>
      <w:r w:rsidRPr="00F74430">
        <w:rPr>
          <w:rFonts w:ascii="Arial" w:hAnsi="Arial" w:cs="Arial"/>
          <w:sz w:val="24"/>
          <w:szCs w:val="24"/>
          <w:lang w:val="en-US"/>
        </w:rPr>
        <w:t xml:space="preserve"> and Mental Health, 19, 321-333.</w:t>
      </w:r>
    </w:p>
    <w:p w14:paraId="7507BE92" w14:textId="599CE55A" w:rsidR="00E94AD6" w:rsidRPr="00E94AD6" w:rsidRDefault="001E7908" w:rsidP="002C7BF3">
      <w:pPr>
        <w:pStyle w:val="ListParagraph"/>
        <w:numPr>
          <w:ilvl w:val="0"/>
          <w:numId w:val="2"/>
        </w:numPr>
        <w:spacing w:after="0" w:line="360" w:lineRule="auto"/>
        <w:jc w:val="both"/>
        <w:rPr>
          <w:rFonts w:ascii="Arial" w:hAnsi="Arial" w:cs="Arial"/>
          <w:sz w:val="24"/>
          <w:szCs w:val="24"/>
          <w:lang w:val="en-US"/>
        </w:rPr>
      </w:pPr>
      <w:proofErr w:type="spellStart"/>
      <w:r w:rsidRPr="001E7908">
        <w:rPr>
          <w:rFonts w:ascii="Arial" w:hAnsi="Arial" w:cs="Arial"/>
          <w:sz w:val="24"/>
          <w:szCs w:val="24"/>
          <w:lang w:val="en-US"/>
        </w:rPr>
        <w:t>Coid</w:t>
      </w:r>
      <w:proofErr w:type="spellEnd"/>
      <w:r w:rsidRPr="001E7908">
        <w:rPr>
          <w:rFonts w:ascii="Arial" w:hAnsi="Arial" w:cs="Arial"/>
          <w:sz w:val="24"/>
          <w:szCs w:val="24"/>
          <w:lang w:val="en-US"/>
        </w:rPr>
        <w:t>, J., Yang, M., Ullrich, S., Zhang, T., Roberts, A., Roberts, C., &amp; Farrington, D. (2007). Predicting and understanding risk of re-offending: the Prisoner Cohort Study. Research summary, 6.</w:t>
      </w:r>
      <w:r w:rsidR="002C7BF3" w:rsidRPr="002C7BF3">
        <w:t xml:space="preserve"> </w:t>
      </w:r>
      <w:r w:rsidR="002C7BF3" w:rsidRPr="002C7BF3">
        <w:rPr>
          <w:rFonts w:ascii="Arial" w:hAnsi="Arial" w:cs="Arial"/>
          <w:sz w:val="24"/>
          <w:szCs w:val="24"/>
          <w:lang w:val="en-US"/>
        </w:rPr>
        <w:t>https://doi.org/10.1002/cbm.747</w:t>
      </w:r>
      <w:r w:rsidR="002C7BF3">
        <w:rPr>
          <w:rFonts w:ascii="Arial" w:hAnsi="Arial" w:cs="Arial"/>
          <w:sz w:val="24"/>
          <w:szCs w:val="24"/>
          <w:lang w:val="en-US"/>
        </w:rPr>
        <w:t>.</w:t>
      </w:r>
    </w:p>
    <w:p w14:paraId="419B51AD" w14:textId="23FD36F6" w:rsidR="00E94AD6" w:rsidRDefault="00E94AD6" w:rsidP="002C7BF3">
      <w:pPr>
        <w:pStyle w:val="ListParagraph"/>
        <w:numPr>
          <w:ilvl w:val="0"/>
          <w:numId w:val="2"/>
        </w:numPr>
        <w:spacing w:after="0" w:line="360" w:lineRule="auto"/>
        <w:jc w:val="both"/>
        <w:rPr>
          <w:rFonts w:ascii="Arial" w:hAnsi="Arial" w:cs="Arial"/>
          <w:sz w:val="24"/>
          <w:szCs w:val="24"/>
          <w:lang w:val="en-US"/>
        </w:rPr>
      </w:pPr>
      <w:r w:rsidRPr="00E94AD6">
        <w:rPr>
          <w:rFonts w:ascii="Arial" w:hAnsi="Arial" w:cs="Arial"/>
          <w:sz w:val="24"/>
          <w:szCs w:val="24"/>
          <w:lang w:val="en-US"/>
        </w:rPr>
        <w:t xml:space="preserve">Davidson, K., </w:t>
      </w:r>
      <w:proofErr w:type="spellStart"/>
      <w:r w:rsidRPr="00E94AD6">
        <w:rPr>
          <w:rFonts w:ascii="Arial" w:hAnsi="Arial" w:cs="Arial"/>
          <w:sz w:val="24"/>
          <w:szCs w:val="24"/>
          <w:lang w:val="en-US"/>
        </w:rPr>
        <w:t>Tyrer</w:t>
      </w:r>
      <w:proofErr w:type="spellEnd"/>
      <w:r w:rsidRPr="00E94AD6">
        <w:rPr>
          <w:rFonts w:ascii="Arial" w:hAnsi="Arial" w:cs="Arial"/>
          <w:sz w:val="24"/>
          <w:szCs w:val="24"/>
          <w:lang w:val="en-US"/>
        </w:rPr>
        <w:t xml:space="preserve">, P., Tata, P., Cooke, D., </w:t>
      </w:r>
      <w:proofErr w:type="spellStart"/>
      <w:r w:rsidRPr="00E94AD6">
        <w:rPr>
          <w:rFonts w:ascii="Arial" w:hAnsi="Arial" w:cs="Arial"/>
          <w:sz w:val="24"/>
          <w:szCs w:val="24"/>
          <w:lang w:val="en-US"/>
        </w:rPr>
        <w:t>Gumley</w:t>
      </w:r>
      <w:proofErr w:type="spellEnd"/>
      <w:r w:rsidRPr="00E94AD6">
        <w:rPr>
          <w:rFonts w:ascii="Arial" w:hAnsi="Arial" w:cs="Arial"/>
          <w:sz w:val="24"/>
          <w:szCs w:val="24"/>
          <w:lang w:val="en-US"/>
        </w:rPr>
        <w:t xml:space="preserve">, A., Ford, I., Walker, A., </w:t>
      </w:r>
      <w:proofErr w:type="spellStart"/>
      <w:r w:rsidRPr="00E94AD6">
        <w:rPr>
          <w:rFonts w:ascii="Arial" w:hAnsi="Arial" w:cs="Arial"/>
          <w:sz w:val="24"/>
          <w:szCs w:val="24"/>
          <w:lang w:val="en-US"/>
        </w:rPr>
        <w:t>Bezlyak</w:t>
      </w:r>
      <w:proofErr w:type="spellEnd"/>
      <w:r w:rsidRPr="00E94AD6">
        <w:rPr>
          <w:rFonts w:ascii="Arial" w:hAnsi="Arial" w:cs="Arial"/>
          <w:sz w:val="24"/>
          <w:szCs w:val="24"/>
          <w:lang w:val="en-US"/>
        </w:rPr>
        <w:t xml:space="preserve">, V., </w:t>
      </w:r>
      <w:proofErr w:type="spellStart"/>
      <w:r w:rsidRPr="00E94AD6">
        <w:rPr>
          <w:rFonts w:ascii="Arial" w:hAnsi="Arial" w:cs="Arial"/>
          <w:sz w:val="24"/>
          <w:szCs w:val="24"/>
          <w:lang w:val="en-US"/>
        </w:rPr>
        <w:t>Seivewright</w:t>
      </w:r>
      <w:proofErr w:type="spellEnd"/>
      <w:r w:rsidRPr="00E94AD6">
        <w:rPr>
          <w:rFonts w:ascii="Arial" w:hAnsi="Arial" w:cs="Arial"/>
          <w:sz w:val="24"/>
          <w:szCs w:val="24"/>
          <w:lang w:val="en-US"/>
        </w:rPr>
        <w:t xml:space="preserve">, H., Robertson, H., &amp; Crawford, M. (2009). Cognitive </w:t>
      </w:r>
      <w:proofErr w:type="spellStart"/>
      <w:r w:rsidRPr="00E94AD6">
        <w:rPr>
          <w:rFonts w:ascii="Arial" w:hAnsi="Arial" w:cs="Arial"/>
          <w:sz w:val="24"/>
          <w:szCs w:val="24"/>
          <w:lang w:val="en-US"/>
        </w:rPr>
        <w:t>behaviour</w:t>
      </w:r>
      <w:proofErr w:type="spellEnd"/>
      <w:r w:rsidRPr="00E94AD6">
        <w:rPr>
          <w:rFonts w:ascii="Arial" w:hAnsi="Arial" w:cs="Arial"/>
          <w:sz w:val="24"/>
          <w:szCs w:val="24"/>
          <w:lang w:val="en-US"/>
        </w:rPr>
        <w:t xml:space="preserve"> therapy for violent men with antisocial personality disorder in the community: an exploratory randomized controlled trial. Psychological Medicine, 39, 569- 577. </w:t>
      </w:r>
      <w:r w:rsidR="002C7BF3" w:rsidRPr="002C7BF3">
        <w:rPr>
          <w:rFonts w:ascii="Arial" w:hAnsi="Arial" w:cs="Arial"/>
          <w:sz w:val="24"/>
          <w:szCs w:val="24"/>
          <w:lang w:val="en-US"/>
        </w:rPr>
        <w:t>https://doi.org/10.1017/S0033291708004066</w:t>
      </w:r>
      <w:r w:rsidR="002C7BF3">
        <w:rPr>
          <w:rFonts w:ascii="Arial" w:hAnsi="Arial" w:cs="Arial"/>
          <w:sz w:val="24"/>
          <w:szCs w:val="24"/>
          <w:lang w:val="en-US"/>
        </w:rPr>
        <w:t>.</w:t>
      </w:r>
    </w:p>
    <w:p w14:paraId="5B1390FC" w14:textId="481B70C1" w:rsidR="0040792A" w:rsidRDefault="0040792A" w:rsidP="0040792A">
      <w:pPr>
        <w:numPr>
          <w:ilvl w:val="0"/>
          <w:numId w:val="2"/>
        </w:numPr>
        <w:spacing w:after="0" w:line="360" w:lineRule="auto"/>
        <w:contextualSpacing/>
        <w:jc w:val="both"/>
        <w:rPr>
          <w:rFonts w:ascii="Arial" w:hAnsi="Arial" w:cs="Arial"/>
          <w:sz w:val="24"/>
          <w:szCs w:val="24"/>
          <w:lang w:val="en-US"/>
        </w:rPr>
      </w:pPr>
      <w:r>
        <w:rPr>
          <w:rFonts w:ascii="Arial" w:hAnsi="Arial" w:cs="Arial"/>
          <w:sz w:val="24"/>
          <w:szCs w:val="24"/>
          <w:lang w:val="en-US"/>
        </w:rPr>
        <w:t xml:space="preserve">De Boer-van Schaik, J. &amp; Derks, F. (2010) The Van der </w:t>
      </w:r>
      <w:proofErr w:type="spellStart"/>
      <w:r>
        <w:rPr>
          <w:rFonts w:ascii="Arial" w:hAnsi="Arial" w:cs="Arial"/>
          <w:sz w:val="24"/>
          <w:szCs w:val="24"/>
          <w:lang w:val="en-US"/>
        </w:rPr>
        <w:t>Hoeven</w:t>
      </w:r>
      <w:proofErr w:type="spellEnd"/>
      <w:r>
        <w:rPr>
          <w:rFonts w:ascii="Arial" w:hAnsi="Arial" w:cs="Arial"/>
          <w:sz w:val="24"/>
          <w:szCs w:val="24"/>
          <w:lang w:val="en-US"/>
        </w:rPr>
        <w:t xml:space="preserve"> clinic: a flexible and innovative forensic psychiatric hospital based on therapeutic community principles. In, </w:t>
      </w:r>
      <w:proofErr w:type="spellStart"/>
      <w:r>
        <w:rPr>
          <w:rFonts w:ascii="Arial" w:hAnsi="Arial" w:cs="Arial"/>
          <w:sz w:val="24"/>
          <w:szCs w:val="24"/>
          <w:lang w:val="en-US"/>
        </w:rPr>
        <w:t>R.Shuker</w:t>
      </w:r>
      <w:proofErr w:type="spellEnd"/>
      <w:r>
        <w:rPr>
          <w:rFonts w:ascii="Arial" w:hAnsi="Arial" w:cs="Arial"/>
          <w:sz w:val="24"/>
          <w:szCs w:val="24"/>
          <w:lang w:val="en-US"/>
        </w:rPr>
        <w:t xml:space="preserve"> &amp; E. Sullivan (Eds), </w:t>
      </w:r>
      <w:proofErr w:type="spellStart"/>
      <w:r w:rsidRPr="003F539D">
        <w:rPr>
          <w:rFonts w:ascii="Arial" w:hAnsi="Arial" w:cs="Arial"/>
          <w:i/>
          <w:sz w:val="24"/>
          <w:szCs w:val="24"/>
          <w:lang w:val="en-US"/>
        </w:rPr>
        <w:t>Grendon</w:t>
      </w:r>
      <w:proofErr w:type="spellEnd"/>
      <w:r w:rsidRPr="003F539D">
        <w:rPr>
          <w:rFonts w:ascii="Arial" w:hAnsi="Arial" w:cs="Arial"/>
          <w:i/>
          <w:sz w:val="24"/>
          <w:szCs w:val="24"/>
          <w:lang w:val="en-US"/>
        </w:rPr>
        <w:t xml:space="preserve"> and the Emergency of Forensic Therapeutic Communities: Developments in Research and Practice</w:t>
      </w:r>
      <w:r>
        <w:rPr>
          <w:rFonts w:ascii="Arial" w:hAnsi="Arial" w:cs="Arial"/>
          <w:sz w:val="24"/>
          <w:szCs w:val="24"/>
          <w:lang w:val="en-US"/>
        </w:rPr>
        <w:t xml:space="preserve"> (pp. 45-60). Chichester, Wiley-Blackwell. </w:t>
      </w:r>
    </w:p>
    <w:p w14:paraId="604B5271" w14:textId="477EFF35" w:rsidR="007B7574" w:rsidRPr="007B7574" w:rsidRDefault="007B7574" w:rsidP="002C7BF3">
      <w:pPr>
        <w:numPr>
          <w:ilvl w:val="0"/>
          <w:numId w:val="2"/>
        </w:numPr>
        <w:spacing w:after="0" w:line="360" w:lineRule="auto"/>
        <w:contextualSpacing/>
        <w:jc w:val="both"/>
        <w:rPr>
          <w:rFonts w:ascii="Arial" w:hAnsi="Arial" w:cs="Arial"/>
          <w:sz w:val="24"/>
          <w:szCs w:val="24"/>
          <w:lang w:val="en-US"/>
        </w:rPr>
      </w:pPr>
      <w:proofErr w:type="spellStart"/>
      <w:r w:rsidRPr="00331ACA">
        <w:rPr>
          <w:rFonts w:ascii="Arial" w:hAnsi="Arial" w:cs="Arial"/>
          <w:sz w:val="24"/>
          <w:szCs w:val="24"/>
          <w:lang w:val="en-US"/>
        </w:rPr>
        <w:t>Derogatis</w:t>
      </w:r>
      <w:proofErr w:type="spellEnd"/>
      <w:r w:rsidRPr="00331ACA">
        <w:rPr>
          <w:rFonts w:ascii="Arial" w:hAnsi="Arial" w:cs="Arial"/>
          <w:sz w:val="24"/>
          <w:szCs w:val="24"/>
          <w:lang w:val="en-US"/>
        </w:rPr>
        <w:t xml:space="preserve">, L.R., </w:t>
      </w:r>
      <w:proofErr w:type="spellStart"/>
      <w:r w:rsidRPr="00331ACA">
        <w:rPr>
          <w:rFonts w:ascii="Arial" w:hAnsi="Arial" w:cs="Arial"/>
          <w:sz w:val="24"/>
          <w:szCs w:val="24"/>
          <w:lang w:val="en-US"/>
        </w:rPr>
        <w:t>Rickels</w:t>
      </w:r>
      <w:proofErr w:type="spellEnd"/>
      <w:r w:rsidRPr="00331ACA">
        <w:rPr>
          <w:rFonts w:ascii="Arial" w:hAnsi="Arial" w:cs="Arial"/>
          <w:sz w:val="24"/>
          <w:szCs w:val="24"/>
          <w:lang w:val="en-US"/>
        </w:rPr>
        <w:t xml:space="preserve">, K., &amp; Rock, A. F. (1976) The SCL-90 and the MMPI: a step in the validation of a new self-report scale. </w:t>
      </w:r>
      <w:r w:rsidRPr="007B7574">
        <w:rPr>
          <w:rFonts w:ascii="Arial" w:hAnsi="Arial" w:cs="Arial"/>
          <w:i/>
          <w:sz w:val="24"/>
          <w:szCs w:val="24"/>
          <w:lang w:val="en-US"/>
        </w:rPr>
        <w:t>British Journal of Psychiatry</w:t>
      </w:r>
      <w:r w:rsidRPr="00331ACA">
        <w:rPr>
          <w:rFonts w:ascii="Arial" w:hAnsi="Arial" w:cs="Arial"/>
          <w:sz w:val="24"/>
          <w:szCs w:val="24"/>
          <w:lang w:val="en-US"/>
        </w:rPr>
        <w:t xml:space="preserve">, 128, 280-289. </w:t>
      </w:r>
      <w:r w:rsidR="002C7BF3" w:rsidRPr="002C7BF3">
        <w:rPr>
          <w:rFonts w:ascii="Arial" w:hAnsi="Arial" w:cs="Arial"/>
          <w:sz w:val="24"/>
          <w:szCs w:val="24"/>
          <w:lang w:val="en-US"/>
        </w:rPr>
        <w:t>https://doi.org/10.1192/bjp.128.3.280</w:t>
      </w:r>
      <w:r w:rsidR="002C7BF3">
        <w:rPr>
          <w:rFonts w:ascii="Arial" w:hAnsi="Arial" w:cs="Arial"/>
          <w:sz w:val="24"/>
          <w:szCs w:val="24"/>
          <w:lang w:val="en-US"/>
        </w:rPr>
        <w:t>.</w:t>
      </w:r>
    </w:p>
    <w:p w14:paraId="18613801" w14:textId="0DFCE3B1" w:rsidR="00E94AD6" w:rsidRDefault="00E94AD6" w:rsidP="002C7BF3">
      <w:pPr>
        <w:pStyle w:val="ListParagraph"/>
        <w:numPr>
          <w:ilvl w:val="0"/>
          <w:numId w:val="2"/>
        </w:numPr>
        <w:spacing w:after="0" w:line="360" w:lineRule="auto"/>
        <w:jc w:val="both"/>
        <w:rPr>
          <w:rFonts w:ascii="Arial" w:hAnsi="Arial" w:cs="Arial"/>
          <w:sz w:val="24"/>
          <w:szCs w:val="24"/>
          <w:lang w:val="en-US"/>
        </w:rPr>
      </w:pPr>
      <w:r w:rsidRPr="00E94AD6">
        <w:rPr>
          <w:rFonts w:ascii="Arial" w:hAnsi="Arial" w:cs="Arial"/>
          <w:sz w:val="24"/>
          <w:szCs w:val="24"/>
          <w:lang w:val="en-US"/>
        </w:rPr>
        <w:lastRenderedPageBreak/>
        <w:t xml:space="preserve">Duggan, C., </w:t>
      </w:r>
      <w:proofErr w:type="spellStart"/>
      <w:r w:rsidRPr="00E94AD6">
        <w:rPr>
          <w:rFonts w:ascii="Arial" w:hAnsi="Arial" w:cs="Arial"/>
          <w:sz w:val="24"/>
          <w:szCs w:val="24"/>
          <w:lang w:val="en-US"/>
        </w:rPr>
        <w:t>Huband</w:t>
      </w:r>
      <w:proofErr w:type="spellEnd"/>
      <w:r w:rsidRPr="00E94AD6">
        <w:rPr>
          <w:rFonts w:ascii="Arial" w:hAnsi="Arial" w:cs="Arial"/>
          <w:sz w:val="24"/>
          <w:szCs w:val="24"/>
          <w:lang w:val="en-US"/>
        </w:rPr>
        <w:t xml:space="preserve">, N., </w:t>
      </w:r>
      <w:proofErr w:type="spellStart"/>
      <w:r w:rsidRPr="00E94AD6">
        <w:rPr>
          <w:rFonts w:ascii="Arial" w:hAnsi="Arial" w:cs="Arial"/>
          <w:sz w:val="24"/>
          <w:szCs w:val="24"/>
          <w:lang w:val="en-US"/>
        </w:rPr>
        <w:t>Smailagic</w:t>
      </w:r>
      <w:proofErr w:type="spellEnd"/>
      <w:r w:rsidRPr="00E94AD6">
        <w:rPr>
          <w:rFonts w:ascii="Arial" w:hAnsi="Arial" w:cs="Arial"/>
          <w:sz w:val="24"/>
          <w:szCs w:val="24"/>
          <w:lang w:val="en-US"/>
        </w:rPr>
        <w:t xml:space="preserve">, N., </w:t>
      </w:r>
      <w:proofErr w:type="spellStart"/>
      <w:r w:rsidRPr="00E94AD6">
        <w:rPr>
          <w:rFonts w:ascii="Arial" w:hAnsi="Arial" w:cs="Arial"/>
          <w:sz w:val="24"/>
          <w:szCs w:val="24"/>
          <w:lang w:val="en-US"/>
        </w:rPr>
        <w:t>Ferriter</w:t>
      </w:r>
      <w:proofErr w:type="spellEnd"/>
      <w:r w:rsidRPr="00E94AD6">
        <w:rPr>
          <w:rFonts w:ascii="Arial" w:hAnsi="Arial" w:cs="Arial"/>
          <w:sz w:val="24"/>
          <w:szCs w:val="24"/>
          <w:lang w:val="en-US"/>
        </w:rPr>
        <w:t xml:space="preserve">, M., &amp; Adams, C. (2007). The use of </w:t>
      </w:r>
      <w:r w:rsidRPr="00E94AD6">
        <w:rPr>
          <w:rFonts w:ascii="Arial" w:hAnsi="Arial" w:cs="Arial"/>
          <w:sz w:val="24"/>
          <w:szCs w:val="24"/>
          <w:lang w:val="en-US"/>
        </w:rPr>
        <w:tab/>
        <w:t>psychological treatments for people with personality disorder: A systematic review of randomized controlled trials. Personality and Mental Health, 1, 95-125.</w:t>
      </w:r>
      <w:r w:rsidR="002C7BF3">
        <w:rPr>
          <w:rFonts w:ascii="Arial" w:hAnsi="Arial" w:cs="Arial"/>
          <w:sz w:val="24"/>
          <w:szCs w:val="24"/>
          <w:lang w:val="en-US"/>
        </w:rPr>
        <w:t xml:space="preserve"> </w:t>
      </w:r>
      <w:r w:rsidR="002C7BF3" w:rsidRPr="002C7BF3">
        <w:rPr>
          <w:rFonts w:ascii="Arial" w:hAnsi="Arial" w:cs="Arial"/>
          <w:sz w:val="24"/>
          <w:szCs w:val="24"/>
          <w:lang w:val="en-US"/>
        </w:rPr>
        <w:t>https://doi.org/10.1002/pmh.22</w:t>
      </w:r>
      <w:r w:rsidR="002C7BF3">
        <w:rPr>
          <w:rFonts w:ascii="Arial" w:hAnsi="Arial" w:cs="Arial"/>
          <w:sz w:val="24"/>
          <w:szCs w:val="24"/>
          <w:lang w:val="en-US"/>
        </w:rPr>
        <w:t>.</w:t>
      </w:r>
    </w:p>
    <w:p w14:paraId="62852741" w14:textId="4CF245BB" w:rsidR="007B60FB" w:rsidRDefault="007B60FB" w:rsidP="002C7BF3">
      <w:pPr>
        <w:pStyle w:val="ListParagraph"/>
        <w:numPr>
          <w:ilvl w:val="0"/>
          <w:numId w:val="2"/>
        </w:numPr>
        <w:spacing w:after="0" w:line="360" w:lineRule="auto"/>
        <w:jc w:val="both"/>
        <w:rPr>
          <w:rFonts w:ascii="Arial" w:hAnsi="Arial" w:cs="Arial"/>
          <w:sz w:val="24"/>
          <w:szCs w:val="24"/>
          <w:lang w:val="en-US"/>
        </w:rPr>
      </w:pPr>
      <w:r w:rsidRPr="007B60FB">
        <w:rPr>
          <w:rFonts w:ascii="Arial" w:hAnsi="Arial" w:cs="Arial"/>
          <w:sz w:val="24"/>
          <w:szCs w:val="24"/>
        </w:rPr>
        <w:t xml:space="preserve">Duggan, C. (2009). A treatment guideline for people with antisocial personality disorder: </w:t>
      </w:r>
      <w:r w:rsidRPr="007B60FB">
        <w:rPr>
          <w:rFonts w:ascii="Arial" w:hAnsi="Arial" w:cs="Arial"/>
          <w:sz w:val="24"/>
          <w:szCs w:val="24"/>
        </w:rPr>
        <w:tab/>
        <w:t xml:space="preserve">Overcoming attitudinal barriers and evidential limitations. </w:t>
      </w:r>
      <w:r w:rsidRPr="007B60FB">
        <w:rPr>
          <w:rFonts w:ascii="Arial" w:hAnsi="Arial" w:cs="Arial"/>
          <w:i/>
          <w:iCs/>
          <w:sz w:val="24"/>
          <w:szCs w:val="24"/>
        </w:rPr>
        <w:t>Criminal Behaviour and Mental Health</w:t>
      </w:r>
      <w:r w:rsidRPr="007B60FB">
        <w:rPr>
          <w:rFonts w:ascii="Arial" w:hAnsi="Arial" w:cs="Arial"/>
          <w:sz w:val="24"/>
          <w:szCs w:val="24"/>
        </w:rPr>
        <w:t xml:space="preserve">, </w:t>
      </w:r>
      <w:r w:rsidRPr="007B60FB">
        <w:rPr>
          <w:rFonts w:ascii="Arial" w:hAnsi="Arial" w:cs="Arial"/>
          <w:i/>
          <w:iCs/>
          <w:sz w:val="24"/>
          <w:szCs w:val="24"/>
        </w:rPr>
        <w:t>19</w:t>
      </w:r>
      <w:r w:rsidRPr="007B60FB">
        <w:rPr>
          <w:rFonts w:ascii="Arial" w:hAnsi="Arial" w:cs="Arial"/>
          <w:sz w:val="24"/>
          <w:szCs w:val="24"/>
        </w:rPr>
        <w:t>(4), 219-223.</w:t>
      </w:r>
      <w:r w:rsidR="002C7BF3" w:rsidRPr="002C7BF3">
        <w:t xml:space="preserve"> </w:t>
      </w:r>
      <w:r w:rsidR="002C7BF3" w:rsidRPr="002C7BF3">
        <w:rPr>
          <w:rFonts w:ascii="Arial" w:hAnsi="Arial" w:cs="Arial"/>
          <w:sz w:val="24"/>
          <w:szCs w:val="24"/>
        </w:rPr>
        <w:t>https://psycnet.apa.org/doi/10.1002/cbm.726</w:t>
      </w:r>
      <w:r w:rsidR="002C7BF3">
        <w:rPr>
          <w:rFonts w:ascii="Arial" w:hAnsi="Arial" w:cs="Arial"/>
          <w:sz w:val="24"/>
          <w:szCs w:val="24"/>
        </w:rPr>
        <w:t>.</w:t>
      </w:r>
    </w:p>
    <w:p w14:paraId="60865612" w14:textId="19DFF8DF" w:rsidR="00F74430" w:rsidRDefault="006F12C2" w:rsidP="002C7BF3">
      <w:pPr>
        <w:pStyle w:val="ListParagraph"/>
        <w:numPr>
          <w:ilvl w:val="0"/>
          <w:numId w:val="2"/>
        </w:numPr>
        <w:spacing w:after="0" w:line="360" w:lineRule="auto"/>
        <w:jc w:val="both"/>
        <w:rPr>
          <w:rFonts w:ascii="Arial" w:hAnsi="Arial" w:cs="Arial"/>
          <w:sz w:val="24"/>
          <w:szCs w:val="24"/>
          <w:lang w:val="en-US"/>
        </w:rPr>
      </w:pPr>
      <w:r w:rsidRPr="006F12C2">
        <w:rPr>
          <w:rFonts w:ascii="Arial" w:hAnsi="Arial" w:cs="Arial"/>
          <w:sz w:val="24"/>
          <w:szCs w:val="24"/>
          <w:lang w:val="en-US"/>
        </w:rPr>
        <w:t>Fazel</w:t>
      </w:r>
      <w:r w:rsidR="004E6E18">
        <w:rPr>
          <w:rFonts w:ascii="Arial" w:hAnsi="Arial" w:cs="Arial"/>
          <w:sz w:val="24"/>
          <w:szCs w:val="24"/>
          <w:lang w:val="en-US"/>
        </w:rPr>
        <w:t>,</w:t>
      </w:r>
      <w:r w:rsidRPr="006F12C2">
        <w:rPr>
          <w:rFonts w:ascii="Arial" w:hAnsi="Arial" w:cs="Arial"/>
          <w:sz w:val="24"/>
          <w:szCs w:val="24"/>
          <w:lang w:val="en-US"/>
        </w:rPr>
        <w:t xml:space="preserve"> </w:t>
      </w:r>
      <w:r>
        <w:rPr>
          <w:rFonts w:ascii="Arial" w:hAnsi="Arial" w:cs="Arial"/>
          <w:sz w:val="24"/>
          <w:szCs w:val="24"/>
          <w:lang w:val="en-US"/>
        </w:rPr>
        <w:t>S</w:t>
      </w:r>
      <w:r w:rsidR="004E6E18">
        <w:rPr>
          <w:rFonts w:ascii="Arial" w:hAnsi="Arial" w:cs="Arial"/>
          <w:sz w:val="24"/>
          <w:szCs w:val="24"/>
          <w:lang w:val="en-US"/>
        </w:rPr>
        <w:t>.</w:t>
      </w:r>
      <w:r>
        <w:rPr>
          <w:rFonts w:ascii="Arial" w:hAnsi="Arial" w:cs="Arial"/>
          <w:sz w:val="24"/>
          <w:szCs w:val="24"/>
          <w:lang w:val="en-US"/>
        </w:rPr>
        <w:t xml:space="preserve"> &amp; </w:t>
      </w:r>
      <w:proofErr w:type="spellStart"/>
      <w:r w:rsidRPr="006F12C2">
        <w:rPr>
          <w:rFonts w:ascii="Arial" w:hAnsi="Arial" w:cs="Arial"/>
          <w:sz w:val="24"/>
          <w:szCs w:val="24"/>
          <w:lang w:val="en-US"/>
        </w:rPr>
        <w:t>Danesh</w:t>
      </w:r>
      <w:proofErr w:type="spellEnd"/>
      <w:r w:rsidR="004E6E18">
        <w:rPr>
          <w:rFonts w:ascii="Arial" w:hAnsi="Arial" w:cs="Arial"/>
          <w:sz w:val="24"/>
          <w:szCs w:val="24"/>
          <w:lang w:val="en-US"/>
        </w:rPr>
        <w:t>,</w:t>
      </w:r>
      <w:r w:rsidRPr="006F12C2">
        <w:rPr>
          <w:rFonts w:ascii="Arial" w:hAnsi="Arial" w:cs="Arial"/>
          <w:sz w:val="24"/>
          <w:szCs w:val="24"/>
          <w:lang w:val="en-US"/>
        </w:rPr>
        <w:t xml:space="preserve"> </w:t>
      </w:r>
      <w:r>
        <w:rPr>
          <w:rFonts w:ascii="Arial" w:hAnsi="Arial" w:cs="Arial"/>
          <w:sz w:val="24"/>
          <w:szCs w:val="24"/>
          <w:lang w:val="en-US"/>
        </w:rPr>
        <w:t>J</w:t>
      </w:r>
      <w:r w:rsidR="004E6E18">
        <w:rPr>
          <w:rFonts w:ascii="Arial" w:hAnsi="Arial" w:cs="Arial"/>
          <w:sz w:val="24"/>
          <w:szCs w:val="24"/>
          <w:lang w:val="en-US"/>
        </w:rPr>
        <w:t>.</w:t>
      </w:r>
      <w:r>
        <w:rPr>
          <w:rFonts w:ascii="Arial" w:hAnsi="Arial" w:cs="Arial"/>
          <w:sz w:val="24"/>
          <w:szCs w:val="24"/>
          <w:lang w:val="en-US"/>
        </w:rPr>
        <w:t xml:space="preserve"> </w:t>
      </w:r>
      <w:r w:rsidRPr="006F12C2">
        <w:rPr>
          <w:rFonts w:ascii="Arial" w:hAnsi="Arial" w:cs="Arial"/>
          <w:sz w:val="24"/>
          <w:szCs w:val="24"/>
          <w:lang w:val="en-US"/>
        </w:rPr>
        <w:t>(</w:t>
      </w:r>
      <w:r w:rsidR="004E6E18">
        <w:rPr>
          <w:rFonts w:ascii="Arial" w:hAnsi="Arial" w:cs="Arial"/>
          <w:sz w:val="24"/>
          <w:szCs w:val="24"/>
          <w:lang w:val="en-US"/>
        </w:rPr>
        <w:t>2002).</w:t>
      </w:r>
      <w:r w:rsidRPr="006F12C2">
        <w:rPr>
          <w:rFonts w:ascii="Arial" w:hAnsi="Arial" w:cs="Arial"/>
          <w:sz w:val="24"/>
          <w:szCs w:val="24"/>
          <w:lang w:val="en-US"/>
        </w:rPr>
        <w:t xml:space="preserve"> Serious mental disorder in 23 000 prisoners: a systematic review of 62 surveys. </w:t>
      </w:r>
      <w:r w:rsidRPr="004E6E18">
        <w:rPr>
          <w:rFonts w:ascii="Arial" w:hAnsi="Arial" w:cs="Arial"/>
          <w:i/>
          <w:sz w:val="24"/>
          <w:szCs w:val="24"/>
          <w:lang w:val="en-US"/>
        </w:rPr>
        <w:t>The Lancet, 359</w:t>
      </w:r>
      <w:r w:rsidR="007B60FB">
        <w:rPr>
          <w:rFonts w:ascii="Arial" w:hAnsi="Arial" w:cs="Arial"/>
          <w:sz w:val="24"/>
          <w:szCs w:val="24"/>
          <w:lang w:val="en-US"/>
        </w:rPr>
        <w:t>(</w:t>
      </w:r>
      <w:r w:rsidRPr="006F12C2">
        <w:rPr>
          <w:rFonts w:ascii="Arial" w:hAnsi="Arial" w:cs="Arial"/>
          <w:sz w:val="24"/>
          <w:szCs w:val="24"/>
          <w:lang w:val="en-US"/>
        </w:rPr>
        <w:t>9306</w:t>
      </w:r>
      <w:r w:rsidR="007B60FB">
        <w:rPr>
          <w:rFonts w:ascii="Arial" w:hAnsi="Arial" w:cs="Arial"/>
          <w:sz w:val="24"/>
          <w:szCs w:val="24"/>
          <w:lang w:val="en-US"/>
        </w:rPr>
        <w:t>)</w:t>
      </w:r>
      <w:r w:rsidRPr="006F12C2">
        <w:rPr>
          <w:rFonts w:ascii="Arial" w:hAnsi="Arial" w:cs="Arial"/>
          <w:sz w:val="24"/>
          <w:szCs w:val="24"/>
          <w:lang w:val="en-US"/>
        </w:rPr>
        <w:t>, 545-550</w:t>
      </w:r>
      <w:r w:rsidR="007B60FB">
        <w:rPr>
          <w:rFonts w:ascii="Arial" w:hAnsi="Arial" w:cs="Arial"/>
          <w:sz w:val="24"/>
          <w:szCs w:val="24"/>
          <w:lang w:val="en-US"/>
        </w:rPr>
        <w:t>.</w:t>
      </w:r>
      <w:r w:rsidR="002C7BF3" w:rsidRPr="002C7BF3">
        <w:t xml:space="preserve"> </w:t>
      </w:r>
      <w:r w:rsidR="002C7BF3" w:rsidRPr="002C7BF3">
        <w:rPr>
          <w:rFonts w:ascii="Arial" w:hAnsi="Arial" w:cs="Arial"/>
          <w:sz w:val="24"/>
          <w:szCs w:val="24"/>
          <w:lang w:val="en-US"/>
        </w:rPr>
        <w:t>http://doi.org/10.1016/S0140-6736(02)07740-1</w:t>
      </w:r>
      <w:r w:rsidR="002C7BF3">
        <w:rPr>
          <w:rFonts w:ascii="Arial" w:hAnsi="Arial" w:cs="Arial"/>
          <w:sz w:val="24"/>
          <w:szCs w:val="24"/>
          <w:lang w:val="en-US"/>
        </w:rPr>
        <w:t>.</w:t>
      </w:r>
    </w:p>
    <w:p w14:paraId="1B4126DF" w14:textId="3FA16AE3" w:rsidR="00F74430" w:rsidRDefault="00F74430" w:rsidP="002C7BF3">
      <w:pPr>
        <w:pStyle w:val="ListParagraph"/>
        <w:numPr>
          <w:ilvl w:val="0"/>
          <w:numId w:val="2"/>
        </w:numPr>
        <w:spacing w:after="0" w:line="360" w:lineRule="auto"/>
        <w:jc w:val="both"/>
        <w:rPr>
          <w:rFonts w:ascii="Arial" w:hAnsi="Arial" w:cs="Arial"/>
          <w:sz w:val="24"/>
          <w:szCs w:val="24"/>
          <w:lang w:val="en-US"/>
        </w:rPr>
      </w:pPr>
      <w:r w:rsidRPr="00F74430">
        <w:rPr>
          <w:rFonts w:ascii="Arial" w:hAnsi="Arial" w:cs="Arial"/>
          <w:sz w:val="24"/>
          <w:szCs w:val="24"/>
          <w:lang w:val="en-US"/>
        </w:rPr>
        <w:t xml:space="preserve">Feeney, A. (2003). Dangerous </w:t>
      </w:r>
      <w:r w:rsidR="002C7BF3" w:rsidRPr="00F74430">
        <w:rPr>
          <w:rFonts w:ascii="Arial" w:hAnsi="Arial" w:cs="Arial"/>
          <w:sz w:val="24"/>
          <w:szCs w:val="24"/>
          <w:lang w:val="en-US"/>
        </w:rPr>
        <w:t>severe</w:t>
      </w:r>
      <w:r w:rsidRPr="00F74430">
        <w:rPr>
          <w:rFonts w:ascii="Arial" w:hAnsi="Arial" w:cs="Arial"/>
          <w:sz w:val="24"/>
          <w:szCs w:val="24"/>
          <w:lang w:val="en-US"/>
        </w:rPr>
        <w:t xml:space="preserve"> personality disorder. Advances in Psychiatric Treatment, 9, 349- 358. </w:t>
      </w:r>
      <w:r w:rsidR="002C7BF3" w:rsidRPr="002C7BF3">
        <w:rPr>
          <w:rFonts w:ascii="Arial" w:hAnsi="Arial" w:cs="Arial"/>
          <w:sz w:val="24"/>
          <w:szCs w:val="24"/>
          <w:lang w:val="en-US"/>
        </w:rPr>
        <w:t>https://doi.org/10.1192/apt.9.5.349</w:t>
      </w:r>
      <w:r w:rsidR="002C7BF3">
        <w:rPr>
          <w:rFonts w:ascii="Arial" w:hAnsi="Arial" w:cs="Arial"/>
          <w:sz w:val="24"/>
          <w:szCs w:val="24"/>
          <w:lang w:val="en-US"/>
        </w:rPr>
        <w:t>.</w:t>
      </w:r>
    </w:p>
    <w:p w14:paraId="5BE2CD8C" w14:textId="31399697" w:rsidR="001A416E" w:rsidRPr="00F74430" w:rsidRDefault="001A416E" w:rsidP="001A416E">
      <w:pPr>
        <w:pStyle w:val="ListParagraph"/>
        <w:numPr>
          <w:ilvl w:val="0"/>
          <w:numId w:val="2"/>
        </w:numPr>
        <w:spacing w:after="0" w:line="360" w:lineRule="auto"/>
        <w:jc w:val="both"/>
        <w:rPr>
          <w:rFonts w:ascii="Arial" w:hAnsi="Arial" w:cs="Arial"/>
          <w:sz w:val="24"/>
          <w:szCs w:val="24"/>
          <w:lang w:val="en-US"/>
        </w:rPr>
      </w:pPr>
      <w:r w:rsidRPr="001A416E">
        <w:rPr>
          <w:rFonts w:ascii="Arial" w:hAnsi="Arial" w:cs="Arial"/>
          <w:sz w:val="24"/>
          <w:szCs w:val="24"/>
          <w:lang w:val="en-US"/>
        </w:rPr>
        <w:t xml:space="preserve">First, M. B., Gibbon, M., Spitzer, R. L., Williams, J.B.W., &amp; Benjamin L.S. (1997).  </w:t>
      </w:r>
      <w:r w:rsidRPr="001A416E">
        <w:rPr>
          <w:rFonts w:ascii="Arial" w:hAnsi="Arial" w:cs="Arial"/>
          <w:i/>
          <w:sz w:val="24"/>
          <w:szCs w:val="24"/>
          <w:lang w:val="en-US"/>
        </w:rPr>
        <w:t>SCID-II Personality Questionnaire</w:t>
      </w:r>
      <w:r w:rsidRPr="001A416E">
        <w:rPr>
          <w:rFonts w:ascii="Arial" w:hAnsi="Arial" w:cs="Arial"/>
          <w:sz w:val="24"/>
          <w:szCs w:val="24"/>
          <w:lang w:val="en-US"/>
        </w:rPr>
        <w:t>. Washington, DC: American Psychiatric Press.</w:t>
      </w:r>
    </w:p>
    <w:p w14:paraId="7926F453" w14:textId="545D8094" w:rsidR="00E94AD6" w:rsidRPr="00E94AD6" w:rsidRDefault="00E94AD6" w:rsidP="00E94AD6">
      <w:pPr>
        <w:pStyle w:val="ListParagraph"/>
        <w:numPr>
          <w:ilvl w:val="0"/>
          <w:numId w:val="2"/>
        </w:numPr>
        <w:spacing w:after="0" w:line="360" w:lineRule="auto"/>
        <w:jc w:val="both"/>
        <w:rPr>
          <w:rFonts w:ascii="Arial" w:hAnsi="Arial" w:cs="Arial"/>
          <w:sz w:val="24"/>
          <w:szCs w:val="24"/>
          <w:lang w:val="en-US"/>
        </w:rPr>
      </w:pPr>
      <w:r w:rsidRPr="00167B47">
        <w:rPr>
          <w:rFonts w:ascii="Arial" w:hAnsi="Arial" w:cs="Arial"/>
          <w:sz w:val="24"/>
          <w:szCs w:val="24"/>
          <w:lang w:val="de-DE"/>
        </w:rPr>
        <w:t xml:space="preserve">Gibbon, S., </w:t>
      </w:r>
      <w:proofErr w:type="spellStart"/>
      <w:r w:rsidRPr="00167B47">
        <w:rPr>
          <w:rFonts w:ascii="Arial" w:hAnsi="Arial" w:cs="Arial"/>
          <w:sz w:val="24"/>
          <w:szCs w:val="24"/>
          <w:lang w:val="de-DE"/>
        </w:rPr>
        <w:t>Duggan</w:t>
      </w:r>
      <w:proofErr w:type="spellEnd"/>
      <w:r w:rsidRPr="00167B47">
        <w:rPr>
          <w:rFonts w:ascii="Arial" w:hAnsi="Arial" w:cs="Arial"/>
          <w:sz w:val="24"/>
          <w:szCs w:val="24"/>
          <w:lang w:val="de-DE"/>
        </w:rPr>
        <w:t xml:space="preserve">, C., Stoffers, J., </w:t>
      </w:r>
      <w:proofErr w:type="spellStart"/>
      <w:r w:rsidRPr="00167B47">
        <w:rPr>
          <w:rFonts w:ascii="Arial" w:hAnsi="Arial" w:cs="Arial"/>
          <w:sz w:val="24"/>
          <w:szCs w:val="24"/>
          <w:lang w:val="de-DE"/>
        </w:rPr>
        <w:t>Huband</w:t>
      </w:r>
      <w:proofErr w:type="spellEnd"/>
      <w:r w:rsidRPr="00167B47">
        <w:rPr>
          <w:rFonts w:ascii="Arial" w:hAnsi="Arial" w:cs="Arial"/>
          <w:sz w:val="24"/>
          <w:szCs w:val="24"/>
          <w:lang w:val="de-DE"/>
        </w:rPr>
        <w:t xml:space="preserve">, N., </w:t>
      </w:r>
      <w:proofErr w:type="spellStart"/>
      <w:r w:rsidRPr="00167B47">
        <w:rPr>
          <w:rFonts w:ascii="Arial" w:hAnsi="Arial" w:cs="Arial"/>
          <w:sz w:val="24"/>
          <w:szCs w:val="24"/>
          <w:lang w:val="de-DE"/>
        </w:rPr>
        <w:t>Vollm</w:t>
      </w:r>
      <w:proofErr w:type="spellEnd"/>
      <w:r w:rsidRPr="00167B47">
        <w:rPr>
          <w:rFonts w:ascii="Arial" w:hAnsi="Arial" w:cs="Arial"/>
          <w:sz w:val="24"/>
          <w:szCs w:val="24"/>
          <w:lang w:val="de-DE"/>
        </w:rPr>
        <w:t xml:space="preserve">, B. A., </w:t>
      </w:r>
      <w:proofErr w:type="spellStart"/>
      <w:r w:rsidRPr="00167B47">
        <w:rPr>
          <w:rFonts w:ascii="Arial" w:hAnsi="Arial" w:cs="Arial"/>
          <w:sz w:val="24"/>
          <w:szCs w:val="24"/>
          <w:lang w:val="de-DE"/>
        </w:rPr>
        <w:t>Ferr</w:t>
      </w:r>
      <w:r w:rsidR="009A2479" w:rsidRPr="00167B47">
        <w:rPr>
          <w:rFonts w:ascii="Arial" w:hAnsi="Arial" w:cs="Arial"/>
          <w:sz w:val="24"/>
          <w:szCs w:val="24"/>
          <w:lang w:val="de-DE"/>
        </w:rPr>
        <w:t>iter</w:t>
      </w:r>
      <w:proofErr w:type="spellEnd"/>
      <w:r w:rsidR="009A2479" w:rsidRPr="00167B47">
        <w:rPr>
          <w:rFonts w:ascii="Arial" w:hAnsi="Arial" w:cs="Arial"/>
          <w:sz w:val="24"/>
          <w:szCs w:val="24"/>
          <w:lang w:val="de-DE"/>
        </w:rPr>
        <w:t>, M., &amp; Lieb, K.</w:t>
      </w:r>
      <w:r w:rsidRPr="00167B47">
        <w:rPr>
          <w:rFonts w:ascii="Arial" w:hAnsi="Arial" w:cs="Arial"/>
          <w:sz w:val="24"/>
          <w:szCs w:val="24"/>
          <w:lang w:val="de-DE"/>
        </w:rPr>
        <w:t xml:space="preserve"> (2010). </w:t>
      </w:r>
      <w:r w:rsidRPr="007B7574">
        <w:rPr>
          <w:rFonts w:ascii="Arial" w:hAnsi="Arial" w:cs="Arial"/>
          <w:i/>
          <w:sz w:val="24"/>
          <w:szCs w:val="24"/>
          <w:lang w:val="en-US"/>
        </w:rPr>
        <w:t>Psychological interventions for antisocial personality disorder</w:t>
      </w:r>
      <w:r w:rsidRPr="00E94AD6">
        <w:rPr>
          <w:rFonts w:ascii="Arial" w:hAnsi="Arial" w:cs="Arial"/>
          <w:sz w:val="24"/>
          <w:szCs w:val="24"/>
          <w:lang w:val="en-US"/>
        </w:rPr>
        <w:t>. Cochrane Database of Systematic Reviews, 6.</w:t>
      </w:r>
    </w:p>
    <w:p w14:paraId="0B664446" w14:textId="680B2152" w:rsidR="004A0FB8" w:rsidRDefault="004A0FB8" w:rsidP="002C7BF3">
      <w:pPr>
        <w:pStyle w:val="ListParagraph"/>
        <w:numPr>
          <w:ilvl w:val="0"/>
          <w:numId w:val="2"/>
        </w:numPr>
        <w:spacing w:after="0" w:line="360" w:lineRule="auto"/>
        <w:jc w:val="both"/>
        <w:rPr>
          <w:rFonts w:ascii="Arial" w:hAnsi="Arial" w:cs="Arial"/>
          <w:sz w:val="24"/>
          <w:szCs w:val="24"/>
          <w:lang w:val="en-US"/>
        </w:rPr>
      </w:pPr>
      <w:proofErr w:type="spellStart"/>
      <w:r w:rsidRPr="004A0FB8">
        <w:rPr>
          <w:rFonts w:ascii="Arial" w:hAnsi="Arial" w:cs="Arial"/>
          <w:sz w:val="24"/>
          <w:szCs w:val="24"/>
          <w:lang w:val="en-US"/>
        </w:rPr>
        <w:t>Grattet</w:t>
      </w:r>
      <w:proofErr w:type="spellEnd"/>
      <w:r w:rsidR="004E6E18">
        <w:rPr>
          <w:rFonts w:ascii="Arial" w:hAnsi="Arial" w:cs="Arial"/>
          <w:sz w:val="24"/>
          <w:szCs w:val="24"/>
          <w:lang w:val="en-US"/>
        </w:rPr>
        <w:t>,</w:t>
      </w:r>
      <w:r w:rsidRPr="004A0FB8">
        <w:rPr>
          <w:rFonts w:ascii="Arial" w:hAnsi="Arial" w:cs="Arial"/>
          <w:sz w:val="24"/>
          <w:szCs w:val="24"/>
          <w:lang w:val="en-US"/>
        </w:rPr>
        <w:t xml:space="preserve"> R</w:t>
      </w:r>
      <w:r w:rsidR="004E6E18">
        <w:rPr>
          <w:rFonts w:ascii="Arial" w:hAnsi="Arial" w:cs="Arial"/>
          <w:sz w:val="24"/>
          <w:szCs w:val="24"/>
          <w:lang w:val="en-US"/>
        </w:rPr>
        <w:t>.</w:t>
      </w:r>
      <w:r w:rsidRPr="004A0FB8">
        <w:rPr>
          <w:rFonts w:ascii="Arial" w:hAnsi="Arial" w:cs="Arial"/>
          <w:sz w:val="24"/>
          <w:szCs w:val="24"/>
          <w:lang w:val="en-US"/>
        </w:rPr>
        <w:t xml:space="preserve"> </w:t>
      </w:r>
      <w:r w:rsidR="004E6E18">
        <w:rPr>
          <w:rFonts w:ascii="Arial" w:hAnsi="Arial" w:cs="Arial"/>
          <w:sz w:val="24"/>
          <w:szCs w:val="24"/>
          <w:lang w:val="en-US"/>
        </w:rPr>
        <w:t>&amp;</w:t>
      </w:r>
      <w:r w:rsidRPr="004A0FB8">
        <w:rPr>
          <w:rFonts w:ascii="Arial" w:hAnsi="Arial" w:cs="Arial"/>
          <w:sz w:val="24"/>
          <w:szCs w:val="24"/>
          <w:lang w:val="en-US"/>
        </w:rPr>
        <w:t xml:space="preserve"> Lin</w:t>
      </w:r>
      <w:r w:rsidR="004E6E18">
        <w:rPr>
          <w:rFonts w:ascii="Arial" w:hAnsi="Arial" w:cs="Arial"/>
          <w:sz w:val="24"/>
          <w:szCs w:val="24"/>
          <w:lang w:val="en-US"/>
        </w:rPr>
        <w:t>,</w:t>
      </w:r>
      <w:r w:rsidRPr="004A0FB8">
        <w:rPr>
          <w:rFonts w:ascii="Arial" w:hAnsi="Arial" w:cs="Arial"/>
          <w:sz w:val="24"/>
          <w:szCs w:val="24"/>
          <w:lang w:val="en-US"/>
        </w:rPr>
        <w:t xml:space="preserve"> J</w:t>
      </w:r>
      <w:r w:rsidR="004E6E18">
        <w:rPr>
          <w:rFonts w:ascii="Arial" w:hAnsi="Arial" w:cs="Arial"/>
          <w:sz w:val="24"/>
          <w:szCs w:val="24"/>
          <w:lang w:val="en-US"/>
        </w:rPr>
        <w:t>. (2016).</w:t>
      </w:r>
      <w:r w:rsidRPr="004A0FB8">
        <w:rPr>
          <w:rFonts w:ascii="Arial" w:hAnsi="Arial" w:cs="Arial"/>
          <w:sz w:val="24"/>
          <w:szCs w:val="24"/>
          <w:lang w:val="en-US"/>
        </w:rPr>
        <w:t xml:space="preserve"> </w:t>
      </w:r>
      <w:r w:rsidRPr="004A0FB8">
        <w:rPr>
          <w:rFonts w:ascii="Arial" w:hAnsi="Arial" w:cs="Arial"/>
          <w:bCs/>
          <w:sz w:val="24"/>
          <w:szCs w:val="24"/>
        </w:rPr>
        <w:t xml:space="preserve">Supervision Intensity and Parole Outcomes: A Competing Risks Approach to Criminal and Technical Parole Violations. </w:t>
      </w:r>
      <w:r w:rsidRPr="004E6E18">
        <w:rPr>
          <w:rFonts w:ascii="Arial" w:hAnsi="Arial" w:cs="Arial"/>
          <w:i/>
          <w:sz w:val="24"/>
          <w:szCs w:val="24"/>
          <w:lang w:val="en-US"/>
        </w:rPr>
        <w:t>Justice Quarterly, 33</w:t>
      </w:r>
      <w:r w:rsidR="004E6E18">
        <w:rPr>
          <w:rFonts w:ascii="Arial" w:hAnsi="Arial" w:cs="Arial"/>
          <w:sz w:val="24"/>
          <w:szCs w:val="24"/>
          <w:lang w:val="en-US"/>
        </w:rPr>
        <w:t>(</w:t>
      </w:r>
      <w:r>
        <w:rPr>
          <w:rFonts w:ascii="Arial" w:hAnsi="Arial" w:cs="Arial"/>
          <w:sz w:val="24"/>
          <w:szCs w:val="24"/>
          <w:lang w:val="en-US"/>
        </w:rPr>
        <w:t>4</w:t>
      </w:r>
      <w:r w:rsidR="004E6E18">
        <w:rPr>
          <w:rFonts w:ascii="Arial" w:hAnsi="Arial" w:cs="Arial"/>
          <w:sz w:val="24"/>
          <w:szCs w:val="24"/>
          <w:lang w:val="en-US"/>
        </w:rPr>
        <w:t>)</w:t>
      </w:r>
      <w:r>
        <w:rPr>
          <w:rFonts w:ascii="Arial" w:hAnsi="Arial" w:cs="Arial"/>
          <w:sz w:val="24"/>
          <w:szCs w:val="24"/>
          <w:lang w:val="en-US"/>
        </w:rPr>
        <w:t>, 565-583</w:t>
      </w:r>
      <w:r w:rsidR="004E6E18">
        <w:rPr>
          <w:rFonts w:ascii="Arial" w:hAnsi="Arial" w:cs="Arial"/>
          <w:sz w:val="24"/>
          <w:szCs w:val="24"/>
          <w:lang w:val="en-US"/>
        </w:rPr>
        <w:t>.</w:t>
      </w:r>
      <w:r w:rsidR="002C7BF3" w:rsidRPr="002C7BF3">
        <w:t xml:space="preserve"> </w:t>
      </w:r>
      <w:r w:rsidR="002C7BF3" w:rsidRPr="002C7BF3">
        <w:rPr>
          <w:rFonts w:ascii="Arial" w:hAnsi="Arial" w:cs="Arial"/>
          <w:sz w:val="24"/>
          <w:szCs w:val="24"/>
          <w:lang w:val="en-US"/>
        </w:rPr>
        <w:t>https://doi.org/10.1080/07418825.2014.932001</w:t>
      </w:r>
      <w:r w:rsidR="002C7BF3">
        <w:rPr>
          <w:rFonts w:ascii="Arial" w:hAnsi="Arial" w:cs="Arial"/>
          <w:sz w:val="24"/>
          <w:szCs w:val="24"/>
          <w:lang w:val="en-US"/>
        </w:rPr>
        <w:t>.</w:t>
      </w:r>
    </w:p>
    <w:p w14:paraId="067340C9" w14:textId="2DEF55C1" w:rsidR="003B3529" w:rsidRPr="002C7BF3" w:rsidRDefault="003B3529" w:rsidP="002C7BF3">
      <w:pPr>
        <w:pStyle w:val="ListParagraph"/>
        <w:numPr>
          <w:ilvl w:val="0"/>
          <w:numId w:val="2"/>
        </w:numPr>
        <w:spacing w:after="0" w:line="360" w:lineRule="auto"/>
        <w:jc w:val="both"/>
        <w:rPr>
          <w:rFonts w:ascii="Arial" w:hAnsi="Arial" w:cs="Arial"/>
          <w:sz w:val="24"/>
          <w:szCs w:val="24"/>
          <w:lang w:val="en-US"/>
        </w:rPr>
      </w:pPr>
      <w:r w:rsidRPr="002C7BF3">
        <w:rPr>
          <w:rFonts w:ascii="Arial" w:hAnsi="Arial" w:cs="Arial"/>
          <w:sz w:val="24"/>
          <w:szCs w:val="24"/>
        </w:rPr>
        <w:t xml:space="preserve">Gupta SK (2011) Intention to treat concept: A review. </w:t>
      </w:r>
      <w:r w:rsidRPr="002C7BF3">
        <w:rPr>
          <w:rFonts w:ascii="Arial" w:hAnsi="Arial" w:cs="Arial"/>
          <w:i/>
          <w:sz w:val="24"/>
          <w:szCs w:val="24"/>
        </w:rPr>
        <w:t>Perspectives in Clinical Research</w:t>
      </w:r>
      <w:r w:rsidRPr="002C7BF3">
        <w:rPr>
          <w:rFonts w:ascii="Arial" w:hAnsi="Arial" w:cs="Arial"/>
          <w:sz w:val="24"/>
          <w:szCs w:val="24"/>
        </w:rPr>
        <w:t xml:space="preserve"> 2(3): 109-112</w:t>
      </w:r>
      <w:r w:rsidR="002C7BF3" w:rsidRPr="002C7BF3">
        <w:rPr>
          <w:rFonts w:ascii="Arial" w:hAnsi="Arial" w:cs="Arial"/>
          <w:sz w:val="24"/>
          <w:szCs w:val="24"/>
        </w:rPr>
        <w:t xml:space="preserve">. </w:t>
      </w:r>
      <w:hyperlink r:id="rId14" w:history="1">
        <w:r w:rsidR="002C7BF3" w:rsidRPr="002C7BF3">
          <w:rPr>
            <w:rStyle w:val="Hyperlink"/>
            <w:rFonts w:ascii="Arial" w:hAnsi="Arial" w:cs="Arial"/>
            <w:color w:val="auto"/>
            <w:sz w:val="24"/>
            <w:szCs w:val="24"/>
            <w:u w:val="none"/>
          </w:rPr>
          <w:t>https://dx.doi.org/10.4103%2F2229-3485.83221</w:t>
        </w:r>
      </w:hyperlink>
      <w:r w:rsidR="002C7BF3" w:rsidRPr="002C7BF3">
        <w:rPr>
          <w:rFonts w:ascii="Arial" w:hAnsi="Arial" w:cs="Arial"/>
          <w:sz w:val="24"/>
          <w:szCs w:val="24"/>
        </w:rPr>
        <w:t xml:space="preserve">. </w:t>
      </w:r>
    </w:p>
    <w:p w14:paraId="0CC65811" w14:textId="252CB84B" w:rsidR="007B7574" w:rsidRPr="007B7574" w:rsidRDefault="007B7574" w:rsidP="002C7BF3">
      <w:pPr>
        <w:numPr>
          <w:ilvl w:val="0"/>
          <w:numId w:val="2"/>
        </w:numPr>
        <w:spacing w:after="0" w:line="360" w:lineRule="auto"/>
        <w:contextualSpacing/>
        <w:jc w:val="both"/>
        <w:rPr>
          <w:rFonts w:ascii="Arial" w:hAnsi="Arial" w:cs="Arial"/>
          <w:sz w:val="24"/>
          <w:szCs w:val="24"/>
          <w:lang w:val="en-US"/>
        </w:rPr>
      </w:pPr>
      <w:r w:rsidRPr="007B7574">
        <w:rPr>
          <w:rFonts w:ascii="Arial" w:eastAsia="Calibri" w:hAnsi="Arial" w:cs="Arial"/>
          <w:sz w:val="24"/>
          <w:szCs w:val="24"/>
          <w:lang w:val="en-US"/>
        </w:rPr>
        <w:t xml:space="preserve">Guy, L.S., &amp; Douglas, K.S. (2006). Examining the utility of the PCL: SV as a screening measure using competing models of psychopathy. </w:t>
      </w:r>
      <w:r w:rsidRPr="007B7574">
        <w:rPr>
          <w:rFonts w:ascii="Arial" w:eastAsia="Calibri" w:hAnsi="Arial" w:cs="Arial"/>
          <w:i/>
          <w:sz w:val="24"/>
          <w:szCs w:val="24"/>
          <w:lang w:val="en-US"/>
        </w:rPr>
        <w:t>Psychological Assessment</w:t>
      </w:r>
      <w:r w:rsidRPr="007B7574">
        <w:rPr>
          <w:rFonts w:ascii="Arial" w:eastAsia="Calibri" w:hAnsi="Arial" w:cs="Arial"/>
          <w:sz w:val="24"/>
          <w:szCs w:val="24"/>
          <w:lang w:val="en-US"/>
        </w:rPr>
        <w:t>, 18, 225-230.</w:t>
      </w:r>
      <w:r w:rsidR="002C7BF3" w:rsidRPr="002C7BF3">
        <w:t xml:space="preserve"> </w:t>
      </w:r>
      <w:r w:rsidR="002C7BF3" w:rsidRPr="002C7BF3">
        <w:rPr>
          <w:rFonts w:ascii="Arial" w:eastAsia="Calibri" w:hAnsi="Arial" w:cs="Arial"/>
          <w:sz w:val="24"/>
          <w:szCs w:val="24"/>
          <w:lang w:val="en-US"/>
        </w:rPr>
        <w:t>https://doi.org/10.1037/1040-3590.18.2.225</w:t>
      </w:r>
      <w:r w:rsidR="002C7BF3">
        <w:rPr>
          <w:rFonts w:ascii="Arial" w:eastAsia="Calibri" w:hAnsi="Arial" w:cs="Arial"/>
          <w:sz w:val="24"/>
          <w:szCs w:val="24"/>
          <w:lang w:val="en-US"/>
        </w:rPr>
        <w:t>.</w:t>
      </w:r>
    </w:p>
    <w:p w14:paraId="174DD98E" w14:textId="302D4930" w:rsidR="007B7574" w:rsidRPr="00331ACA" w:rsidRDefault="007B7574" w:rsidP="007B7574">
      <w:pPr>
        <w:numPr>
          <w:ilvl w:val="0"/>
          <w:numId w:val="2"/>
        </w:numPr>
        <w:spacing w:after="0" w:line="360" w:lineRule="auto"/>
        <w:contextualSpacing/>
        <w:jc w:val="both"/>
        <w:rPr>
          <w:rFonts w:ascii="Arial" w:hAnsi="Arial" w:cs="Arial"/>
          <w:sz w:val="24"/>
          <w:szCs w:val="24"/>
          <w:lang w:val="en-US"/>
        </w:rPr>
      </w:pPr>
      <w:r w:rsidRPr="00331ACA">
        <w:rPr>
          <w:rFonts w:ascii="Arial" w:hAnsi="Arial" w:cs="Arial"/>
          <w:sz w:val="24"/>
          <w:szCs w:val="24"/>
          <w:lang w:val="en-US"/>
        </w:rPr>
        <w:t>Hart, S. D., Cox, D. N., &amp; Hare, R. D. (1995). The Hare P</w:t>
      </w:r>
      <w:r>
        <w:rPr>
          <w:rFonts w:ascii="Arial" w:hAnsi="Arial" w:cs="Arial"/>
          <w:sz w:val="24"/>
          <w:szCs w:val="24"/>
          <w:lang w:val="en-US"/>
        </w:rPr>
        <w:t xml:space="preserve">sychopathy Checklist: Screening </w:t>
      </w:r>
      <w:r w:rsidRPr="00331ACA">
        <w:rPr>
          <w:rFonts w:ascii="Arial" w:hAnsi="Arial" w:cs="Arial"/>
          <w:sz w:val="24"/>
          <w:szCs w:val="24"/>
          <w:lang w:val="en-US"/>
        </w:rPr>
        <w:t>Version (1st ed.). Toronto, Ontario, Canada: Multi-Health Systems.</w:t>
      </w:r>
    </w:p>
    <w:p w14:paraId="119535B7" w14:textId="42882131" w:rsidR="00613088" w:rsidRPr="001E7908" w:rsidRDefault="00613088" w:rsidP="00472001">
      <w:pPr>
        <w:pStyle w:val="ListParagraph"/>
        <w:numPr>
          <w:ilvl w:val="0"/>
          <w:numId w:val="2"/>
        </w:numPr>
        <w:spacing w:after="0" w:line="360" w:lineRule="auto"/>
        <w:jc w:val="both"/>
        <w:rPr>
          <w:rFonts w:ascii="Arial" w:hAnsi="Arial" w:cs="Arial"/>
          <w:sz w:val="24"/>
          <w:szCs w:val="24"/>
          <w:lang w:val="en-US"/>
        </w:rPr>
      </w:pPr>
      <w:r w:rsidRPr="00613088">
        <w:rPr>
          <w:rFonts w:ascii="Arial" w:hAnsi="Arial" w:cs="Arial"/>
          <w:sz w:val="24"/>
          <w:szCs w:val="24"/>
        </w:rPr>
        <w:t>Home Office and the Department of Health (1999)</w:t>
      </w:r>
      <w:r w:rsidR="004E6E18">
        <w:rPr>
          <w:rFonts w:ascii="Arial" w:hAnsi="Arial" w:cs="Arial"/>
          <w:sz w:val="24"/>
          <w:szCs w:val="24"/>
        </w:rPr>
        <w:t>.</w:t>
      </w:r>
      <w:r w:rsidRPr="00613088">
        <w:rPr>
          <w:rFonts w:ascii="Arial" w:hAnsi="Arial" w:cs="Arial"/>
          <w:sz w:val="24"/>
          <w:szCs w:val="24"/>
        </w:rPr>
        <w:t xml:space="preserve"> Managing Dangerous People with Severe Personality Disorder. Proposals for Policy Development. London: Home Office.</w:t>
      </w:r>
    </w:p>
    <w:p w14:paraId="72004549" w14:textId="091ED741" w:rsidR="001E7908" w:rsidRDefault="001E7908" w:rsidP="00AC2843">
      <w:pPr>
        <w:pStyle w:val="ListParagraph"/>
        <w:numPr>
          <w:ilvl w:val="0"/>
          <w:numId w:val="2"/>
        </w:numPr>
        <w:spacing w:after="0" w:line="360" w:lineRule="auto"/>
        <w:jc w:val="both"/>
        <w:rPr>
          <w:rFonts w:ascii="Arial" w:hAnsi="Arial" w:cs="Arial"/>
          <w:sz w:val="24"/>
          <w:szCs w:val="24"/>
          <w:lang w:val="en-US"/>
        </w:rPr>
      </w:pPr>
      <w:r w:rsidRPr="001E7908">
        <w:rPr>
          <w:rFonts w:ascii="Arial" w:hAnsi="Arial" w:cs="Arial"/>
          <w:sz w:val="24"/>
          <w:szCs w:val="24"/>
          <w:lang w:val="en-US"/>
        </w:rPr>
        <w:t xml:space="preserve">Howard, R., </w:t>
      </w:r>
      <w:proofErr w:type="spellStart"/>
      <w:r w:rsidRPr="001E7908">
        <w:rPr>
          <w:rFonts w:ascii="Arial" w:hAnsi="Arial" w:cs="Arial"/>
          <w:sz w:val="24"/>
          <w:szCs w:val="24"/>
          <w:lang w:val="en-US"/>
        </w:rPr>
        <w:t>Huband</w:t>
      </w:r>
      <w:proofErr w:type="spellEnd"/>
      <w:r w:rsidRPr="001E7908">
        <w:rPr>
          <w:rFonts w:ascii="Arial" w:hAnsi="Arial" w:cs="Arial"/>
          <w:sz w:val="24"/>
          <w:szCs w:val="24"/>
          <w:lang w:val="en-US"/>
        </w:rPr>
        <w:t>, N., Duggan, C., &amp; Man</w:t>
      </w:r>
      <w:r w:rsidR="00AC2843">
        <w:rPr>
          <w:rFonts w:ascii="Arial" w:hAnsi="Arial" w:cs="Arial"/>
          <w:sz w:val="24"/>
          <w:szCs w:val="24"/>
          <w:lang w:val="en-US"/>
        </w:rPr>
        <w:t xml:space="preserve">nion, A. (2008). Exploring the link between </w:t>
      </w:r>
      <w:r w:rsidR="00AC2843">
        <w:rPr>
          <w:rFonts w:ascii="Arial" w:hAnsi="Arial" w:cs="Arial"/>
          <w:sz w:val="24"/>
          <w:szCs w:val="24"/>
          <w:lang w:val="en-US"/>
        </w:rPr>
        <w:tab/>
        <w:t xml:space="preserve">personality disorder and criminality in a community sample. Journal of </w:t>
      </w:r>
      <w:r w:rsidRPr="001E7908">
        <w:rPr>
          <w:rFonts w:ascii="Arial" w:hAnsi="Arial" w:cs="Arial"/>
          <w:sz w:val="24"/>
          <w:szCs w:val="24"/>
          <w:lang w:val="en-US"/>
        </w:rPr>
        <w:lastRenderedPageBreak/>
        <w:t>Personality Disorders, 22(6), 589-603.</w:t>
      </w:r>
      <w:r w:rsidR="00AC2843" w:rsidRPr="00AC2843">
        <w:t xml:space="preserve"> </w:t>
      </w:r>
      <w:r w:rsidR="00AC2843" w:rsidRPr="00AC2843">
        <w:rPr>
          <w:rFonts w:ascii="Arial" w:hAnsi="Arial" w:cs="Arial"/>
          <w:sz w:val="24"/>
          <w:szCs w:val="24"/>
          <w:lang w:val="en-US"/>
        </w:rPr>
        <w:t>https://doi.org/10.1521/pedi.2008.22.6.589</w:t>
      </w:r>
      <w:r w:rsidR="00AC2843">
        <w:rPr>
          <w:rFonts w:ascii="Arial" w:hAnsi="Arial" w:cs="Arial"/>
          <w:sz w:val="24"/>
          <w:szCs w:val="24"/>
          <w:lang w:val="en-US"/>
        </w:rPr>
        <w:t>.</w:t>
      </w:r>
    </w:p>
    <w:p w14:paraId="2918B6CF" w14:textId="449FE391" w:rsidR="00E94AD6" w:rsidRPr="00E94AD6" w:rsidRDefault="00E94AD6" w:rsidP="00AC2843">
      <w:pPr>
        <w:pStyle w:val="ListParagraph"/>
        <w:numPr>
          <w:ilvl w:val="0"/>
          <w:numId w:val="2"/>
        </w:numPr>
        <w:spacing w:after="0" w:line="360" w:lineRule="auto"/>
        <w:jc w:val="both"/>
        <w:rPr>
          <w:rFonts w:ascii="Arial" w:hAnsi="Arial" w:cs="Arial"/>
          <w:sz w:val="24"/>
          <w:szCs w:val="24"/>
          <w:lang w:val="en-US"/>
        </w:rPr>
      </w:pPr>
      <w:r w:rsidRPr="00E94AD6">
        <w:rPr>
          <w:rFonts w:ascii="Arial" w:hAnsi="Arial" w:cs="Arial"/>
          <w:sz w:val="24"/>
          <w:szCs w:val="24"/>
          <w:lang w:val="en-US"/>
        </w:rPr>
        <w:t>Howells, K., &amp; Day, A. (2007). Readiness for treatment in high risk offenders with personality disorders. Psychology, Crime &amp; Law, 13(1), 47-56</w:t>
      </w:r>
      <w:r w:rsidR="00AC2843">
        <w:rPr>
          <w:rFonts w:ascii="Arial" w:hAnsi="Arial" w:cs="Arial"/>
          <w:sz w:val="24"/>
          <w:szCs w:val="24"/>
          <w:lang w:val="en-US"/>
        </w:rPr>
        <w:t xml:space="preserve">. </w:t>
      </w:r>
      <w:r w:rsidR="00AC2843" w:rsidRPr="00AC2843">
        <w:rPr>
          <w:rFonts w:ascii="Arial" w:hAnsi="Arial" w:cs="Arial"/>
          <w:sz w:val="24"/>
          <w:szCs w:val="24"/>
          <w:lang w:val="en-US"/>
        </w:rPr>
        <w:t>https://doi.org/10.1080/10683160600869767</w:t>
      </w:r>
      <w:r w:rsidR="00AC2843">
        <w:rPr>
          <w:rFonts w:ascii="Arial" w:hAnsi="Arial" w:cs="Arial"/>
          <w:sz w:val="24"/>
          <w:szCs w:val="24"/>
          <w:lang w:val="en-US"/>
        </w:rPr>
        <w:t>.</w:t>
      </w:r>
    </w:p>
    <w:p w14:paraId="5022D122" w14:textId="184F76A3" w:rsidR="00E94AD6" w:rsidRDefault="00E94AD6" w:rsidP="00AC2843">
      <w:pPr>
        <w:pStyle w:val="ListParagraph"/>
        <w:numPr>
          <w:ilvl w:val="0"/>
          <w:numId w:val="2"/>
        </w:numPr>
        <w:spacing w:after="0" w:line="360" w:lineRule="auto"/>
        <w:jc w:val="both"/>
        <w:rPr>
          <w:rFonts w:ascii="Arial" w:hAnsi="Arial" w:cs="Arial"/>
          <w:sz w:val="24"/>
          <w:szCs w:val="24"/>
          <w:lang w:val="en-US"/>
        </w:rPr>
      </w:pPr>
      <w:r w:rsidRPr="00167B47">
        <w:rPr>
          <w:rFonts w:ascii="Arial" w:hAnsi="Arial" w:cs="Arial"/>
          <w:sz w:val="24"/>
          <w:szCs w:val="24"/>
          <w:lang w:val="de-DE"/>
        </w:rPr>
        <w:t xml:space="preserve">Howells, K., </w:t>
      </w:r>
      <w:proofErr w:type="spellStart"/>
      <w:r w:rsidRPr="00167B47">
        <w:rPr>
          <w:rFonts w:ascii="Arial" w:hAnsi="Arial" w:cs="Arial"/>
          <w:sz w:val="24"/>
          <w:szCs w:val="24"/>
          <w:lang w:val="de-DE"/>
        </w:rPr>
        <w:t>Krishnan</w:t>
      </w:r>
      <w:proofErr w:type="spellEnd"/>
      <w:r w:rsidRPr="00167B47">
        <w:rPr>
          <w:rFonts w:ascii="Arial" w:hAnsi="Arial" w:cs="Arial"/>
          <w:sz w:val="24"/>
          <w:szCs w:val="24"/>
          <w:lang w:val="de-DE"/>
        </w:rPr>
        <w:t xml:space="preserve">, G., &amp; </w:t>
      </w:r>
      <w:proofErr w:type="spellStart"/>
      <w:r w:rsidRPr="00167B47">
        <w:rPr>
          <w:rFonts w:ascii="Arial" w:hAnsi="Arial" w:cs="Arial"/>
          <w:sz w:val="24"/>
          <w:szCs w:val="24"/>
          <w:lang w:val="de-DE"/>
        </w:rPr>
        <w:t>Daffern</w:t>
      </w:r>
      <w:proofErr w:type="spellEnd"/>
      <w:r w:rsidRPr="00167B47">
        <w:rPr>
          <w:rFonts w:ascii="Arial" w:hAnsi="Arial" w:cs="Arial"/>
          <w:sz w:val="24"/>
          <w:szCs w:val="24"/>
          <w:lang w:val="de-DE"/>
        </w:rPr>
        <w:t xml:space="preserve">, M. (2007). </w:t>
      </w:r>
      <w:r w:rsidRPr="00E94AD6">
        <w:rPr>
          <w:rFonts w:ascii="Arial" w:hAnsi="Arial" w:cs="Arial"/>
          <w:sz w:val="24"/>
          <w:szCs w:val="24"/>
          <w:lang w:val="en-US"/>
        </w:rPr>
        <w:t>Challenges in the treatment of dangerous and server personality disorder. Advance Psychiatric Treatments, 13, 325–332.</w:t>
      </w:r>
      <w:r w:rsidR="00AC2843" w:rsidRPr="00AC2843">
        <w:t xml:space="preserve"> </w:t>
      </w:r>
      <w:r w:rsidR="00AC2843" w:rsidRPr="00AC2843">
        <w:rPr>
          <w:rFonts w:ascii="Arial" w:hAnsi="Arial" w:cs="Arial"/>
          <w:sz w:val="24"/>
          <w:szCs w:val="24"/>
          <w:lang w:val="en-US"/>
        </w:rPr>
        <w:t>https://doi.org/10.1192/apt.bp.106.002857</w:t>
      </w:r>
      <w:r w:rsidR="00AC2843">
        <w:rPr>
          <w:rFonts w:ascii="Arial" w:hAnsi="Arial" w:cs="Arial"/>
          <w:sz w:val="24"/>
          <w:szCs w:val="24"/>
          <w:lang w:val="en-US"/>
        </w:rPr>
        <w:t>.</w:t>
      </w:r>
    </w:p>
    <w:p w14:paraId="27F5D560" w14:textId="2A28E466" w:rsidR="007B7574" w:rsidRPr="007B7574" w:rsidRDefault="007B7574" w:rsidP="00AC2843">
      <w:pPr>
        <w:numPr>
          <w:ilvl w:val="0"/>
          <w:numId w:val="2"/>
        </w:numPr>
        <w:spacing w:after="0" w:line="360" w:lineRule="auto"/>
        <w:contextualSpacing/>
        <w:jc w:val="both"/>
        <w:rPr>
          <w:rFonts w:ascii="Arial" w:hAnsi="Arial" w:cs="Arial"/>
          <w:sz w:val="24"/>
          <w:szCs w:val="24"/>
          <w:lang w:val="en-US"/>
        </w:rPr>
      </w:pPr>
      <w:r w:rsidRPr="00331ACA">
        <w:rPr>
          <w:rFonts w:ascii="Arial" w:hAnsi="Arial" w:cs="Arial"/>
          <w:sz w:val="24"/>
          <w:szCs w:val="24"/>
          <w:lang w:val="en-US"/>
        </w:rPr>
        <w:t xml:space="preserve">Huizinga, D., &amp; Elliott, D. (1986). Reassessing the Reliability and Validity of Self-Report Delinquency Measures. </w:t>
      </w:r>
      <w:r w:rsidRPr="007B7574">
        <w:rPr>
          <w:rFonts w:ascii="Arial" w:hAnsi="Arial" w:cs="Arial"/>
          <w:i/>
          <w:sz w:val="24"/>
          <w:szCs w:val="24"/>
          <w:lang w:val="en-US"/>
        </w:rPr>
        <w:t>Journal of Quantitative Criminology</w:t>
      </w:r>
      <w:r w:rsidRPr="00331ACA">
        <w:rPr>
          <w:rFonts w:ascii="Arial" w:hAnsi="Arial" w:cs="Arial"/>
          <w:sz w:val="24"/>
          <w:szCs w:val="24"/>
          <w:lang w:val="en-US"/>
        </w:rPr>
        <w:t>, 2(4), 293- 327.</w:t>
      </w:r>
      <w:r w:rsidR="00AC2843" w:rsidRPr="00AC2843">
        <w:t xml:space="preserve"> </w:t>
      </w:r>
      <w:r w:rsidR="00AC2843" w:rsidRPr="00AC2843">
        <w:rPr>
          <w:rFonts w:ascii="Arial" w:hAnsi="Arial" w:cs="Arial"/>
          <w:sz w:val="24"/>
          <w:szCs w:val="24"/>
          <w:lang w:val="en-US"/>
        </w:rPr>
        <w:t>http://dx.doi.org/10.1007/BF01064258</w:t>
      </w:r>
      <w:r w:rsidR="00AC2843">
        <w:rPr>
          <w:rFonts w:ascii="Arial" w:hAnsi="Arial" w:cs="Arial"/>
          <w:sz w:val="24"/>
          <w:szCs w:val="24"/>
          <w:lang w:val="en-US"/>
        </w:rPr>
        <w:t>.</w:t>
      </w:r>
    </w:p>
    <w:p w14:paraId="18DB982D" w14:textId="291501C3" w:rsidR="00357E93" w:rsidRPr="00357E93" w:rsidRDefault="00357E93" w:rsidP="00AC2843">
      <w:pPr>
        <w:pStyle w:val="ListParagraph"/>
        <w:numPr>
          <w:ilvl w:val="0"/>
          <w:numId w:val="2"/>
        </w:numPr>
        <w:spacing w:after="0" w:line="360" w:lineRule="auto"/>
        <w:jc w:val="both"/>
        <w:rPr>
          <w:rFonts w:ascii="Arial" w:hAnsi="Arial" w:cs="Arial"/>
          <w:sz w:val="24"/>
          <w:szCs w:val="24"/>
          <w:lang w:val="en-US"/>
        </w:rPr>
      </w:pPr>
      <w:r w:rsidRPr="00167B47">
        <w:rPr>
          <w:rFonts w:ascii="Arial" w:hAnsi="Arial" w:cs="Arial"/>
          <w:sz w:val="24"/>
          <w:szCs w:val="24"/>
          <w:lang w:val="de-DE"/>
        </w:rPr>
        <w:t xml:space="preserve">Lesage, A. D., Boyer, R., </w:t>
      </w:r>
      <w:proofErr w:type="spellStart"/>
      <w:r w:rsidRPr="00167B47">
        <w:rPr>
          <w:rFonts w:ascii="Arial" w:hAnsi="Arial" w:cs="Arial"/>
          <w:sz w:val="24"/>
          <w:szCs w:val="24"/>
          <w:lang w:val="de-DE"/>
        </w:rPr>
        <w:t>Grunberg</w:t>
      </w:r>
      <w:proofErr w:type="spellEnd"/>
      <w:r w:rsidRPr="00167B47">
        <w:rPr>
          <w:rFonts w:ascii="Arial" w:hAnsi="Arial" w:cs="Arial"/>
          <w:sz w:val="24"/>
          <w:szCs w:val="24"/>
          <w:lang w:val="de-DE"/>
        </w:rPr>
        <w:t xml:space="preserve">, F., &amp; </w:t>
      </w:r>
      <w:proofErr w:type="spellStart"/>
      <w:r w:rsidRPr="00167B47">
        <w:rPr>
          <w:rFonts w:ascii="Arial" w:hAnsi="Arial" w:cs="Arial"/>
          <w:sz w:val="24"/>
          <w:szCs w:val="24"/>
          <w:lang w:val="de-DE"/>
        </w:rPr>
        <w:t>Vanier</w:t>
      </w:r>
      <w:proofErr w:type="spellEnd"/>
      <w:r w:rsidRPr="00167B47">
        <w:rPr>
          <w:rFonts w:ascii="Arial" w:hAnsi="Arial" w:cs="Arial"/>
          <w:sz w:val="24"/>
          <w:szCs w:val="24"/>
          <w:lang w:val="de-DE"/>
        </w:rPr>
        <w:t xml:space="preserve">, C. (1994). </w:t>
      </w:r>
      <w:r w:rsidRPr="00357E93">
        <w:rPr>
          <w:rFonts w:ascii="Arial" w:hAnsi="Arial" w:cs="Arial"/>
          <w:sz w:val="24"/>
          <w:szCs w:val="24"/>
          <w:lang w:val="en-US"/>
        </w:rPr>
        <w:t>Suicide and mental disorders: a case-control study of young men. American Journal of Psychiatry.</w:t>
      </w:r>
      <w:r w:rsidR="00560BD4" w:rsidRPr="00560BD4">
        <w:rPr>
          <w:rFonts w:ascii="Arial" w:hAnsi="Arial" w:cs="Arial"/>
          <w:color w:val="555555"/>
          <w:sz w:val="21"/>
          <w:szCs w:val="21"/>
        </w:rPr>
        <w:t xml:space="preserve"> </w:t>
      </w:r>
      <w:r w:rsidR="00AC2843">
        <w:rPr>
          <w:rFonts w:ascii="Arial" w:hAnsi="Arial" w:cs="Arial"/>
          <w:sz w:val="24"/>
          <w:szCs w:val="24"/>
        </w:rPr>
        <w:t xml:space="preserve">151(7):1063-8. </w:t>
      </w:r>
      <w:r w:rsidR="00AC2843" w:rsidRPr="00AC2843">
        <w:rPr>
          <w:rFonts w:ascii="Arial" w:hAnsi="Arial" w:cs="Arial"/>
          <w:sz w:val="24"/>
          <w:szCs w:val="24"/>
        </w:rPr>
        <w:t>https://doi.org/10.1176/ajp.151.7.1063</w:t>
      </w:r>
      <w:r w:rsidR="00AC2843">
        <w:rPr>
          <w:rFonts w:ascii="Arial" w:hAnsi="Arial" w:cs="Arial"/>
          <w:sz w:val="24"/>
          <w:szCs w:val="24"/>
        </w:rPr>
        <w:t>.</w:t>
      </w:r>
    </w:p>
    <w:p w14:paraId="3C7C74F8" w14:textId="2A203928" w:rsidR="0054786A" w:rsidRPr="00501809" w:rsidRDefault="00847DBB" w:rsidP="00AC2843">
      <w:pPr>
        <w:pStyle w:val="ListParagraph"/>
        <w:numPr>
          <w:ilvl w:val="0"/>
          <w:numId w:val="2"/>
        </w:numPr>
        <w:spacing w:after="0" w:line="360" w:lineRule="auto"/>
        <w:jc w:val="both"/>
        <w:rPr>
          <w:rFonts w:ascii="Arial" w:hAnsi="Arial" w:cs="Arial"/>
          <w:sz w:val="24"/>
          <w:szCs w:val="24"/>
          <w:lang w:val="en-US"/>
        </w:rPr>
      </w:pPr>
      <w:r w:rsidRPr="00847DBB">
        <w:rPr>
          <w:rFonts w:ascii="Arial" w:hAnsi="Arial" w:cs="Arial"/>
          <w:sz w:val="24"/>
          <w:szCs w:val="24"/>
        </w:rPr>
        <w:t>Lipsey</w:t>
      </w:r>
      <w:r w:rsidR="004E6E18">
        <w:rPr>
          <w:rFonts w:ascii="Arial" w:hAnsi="Arial" w:cs="Arial"/>
          <w:sz w:val="24"/>
          <w:szCs w:val="24"/>
        </w:rPr>
        <w:t>,</w:t>
      </w:r>
      <w:r w:rsidRPr="00847DBB">
        <w:rPr>
          <w:rFonts w:ascii="Arial" w:hAnsi="Arial" w:cs="Arial"/>
          <w:sz w:val="24"/>
          <w:szCs w:val="24"/>
        </w:rPr>
        <w:t xml:space="preserve"> </w:t>
      </w:r>
      <w:r>
        <w:rPr>
          <w:rFonts w:ascii="Arial" w:hAnsi="Arial" w:cs="Arial"/>
          <w:sz w:val="24"/>
          <w:szCs w:val="24"/>
        </w:rPr>
        <w:t>M</w:t>
      </w:r>
      <w:r w:rsidR="004E6E18">
        <w:rPr>
          <w:rFonts w:ascii="Arial" w:hAnsi="Arial" w:cs="Arial"/>
          <w:sz w:val="24"/>
          <w:szCs w:val="24"/>
        </w:rPr>
        <w:t>.</w:t>
      </w:r>
      <w:r>
        <w:rPr>
          <w:rFonts w:ascii="Arial" w:hAnsi="Arial" w:cs="Arial"/>
          <w:sz w:val="24"/>
          <w:szCs w:val="24"/>
        </w:rPr>
        <w:t>W</w:t>
      </w:r>
      <w:r w:rsidR="004E6E18">
        <w:rPr>
          <w:rFonts w:ascii="Arial" w:hAnsi="Arial" w:cs="Arial"/>
          <w:sz w:val="24"/>
          <w:szCs w:val="24"/>
        </w:rPr>
        <w:t>.</w:t>
      </w:r>
      <w:r w:rsidRPr="00847DBB">
        <w:rPr>
          <w:rFonts w:ascii="Arial" w:hAnsi="Arial" w:cs="Arial"/>
          <w:sz w:val="24"/>
          <w:szCs w:val="24"/>
        </w:rPr>
        <w:t xml:space="preserve"> </w:t>
      </w:r>
      <w:r>
        <w:rPr>
          <w:rFonts w:ascii="Arial" w:hAnsi="Arial" w:cs="Arial"/>
          <w:sz w:val="24"/>
          <w:szCs w:val="24"/>
        </w:rPr>
        <w:t>(</w:t>
      </w:r>
      <w:r w:rsidRPr="00847DBB">
        <w:rPr>
          <w:rFonts w:ascii="Arial" w:hAnsi="Arial" w:cs="Arial"/>
          <w:sz w:val="24"/>
          <w:szCs w:val="24"/>
        </w:rPr>
        <w:t>2009</w:t>
      </w:r>
      <w:r w:rsidR="004E6E18">
        <w:rPr>
          <w:rFonts w:ascii="Arial" w:hAnsi="Arial" w:cs="Arial"/>
          <w:sz w:val="24"/>
          <w:szCs w:val="24"/>
        </w:rPr>
        <w:t>).</w:t>
      </w:r>
      <w:r>
        <w:rPr>
          <w:rFonts w:ascii="Arial" w:hAnsi="Arial" w:cs="Arial"/>
          <w:sz w:val="24"/>
          <w:szCs w:val="24"/>
        </w:rPr>
        <w:t xml:space="preserve"> </w:t>
      </w:r>
      <w:r w:rsidR="00AC2843">
        <w:rPr>
          <w:rFonts w:ascii="Arial" w:hAnsi="Arial" w:cs="Arial"/>
          <w:sz w:val="24"/>
          <w:szCs w:val="24"/>
        </w:rPr>
        <w:t>The Primary factors that characterize effective interventions with juvenile offenders: a m</w:t>
      </w:r>
      <w:r w:rsidRPr="00847DBB">
        <w:rPr>
          <w:rFonts w:ascii="Arial" w:hAnsi="Arial" w:cs="Arial"/>
          <w:sz w:val="24"/>
          <w:szCs w:val="24"/>
        </w:rPr>
        <w:t>eta</w:t>
      </w:r>
      <w:r w:rsidR="00AC2843">
        <w:rPr>
          <w:rFonts w:ascii="Arial" w:hAnsi="Arial" w:cs="Arial"/>
          <w:sz w:val="24"/>
          <w:szCs w:val="24"/>
        </w:rPr>
        <w:t>-analytic o</w:t>
      </w:r>
      <w:r w:rsidRPr="00847DBB">
        <w:rPr>
          <w:rFonts w:ascii="Arial" w:hAnsi="Arial" w:cs="Arial"/>
          <w:sz w:val="24"/>
          <w:szCs w:val="24"/>
        </w:rPr>
        <w:t>verview</w:t>
      </w:r>
      <w:r>
        <w:rPr>
          <w:rFonts w:ascii="Arial" w:hAnsi="Arial" w:cs="Arial"/>
          <w:sz w:val="24"/>
          <w:szCs w:val="24"/>
        </w:rPr>
        <w:t>.</w:t>
      </w:r>
      <w:r w:rsidRPr="00847DBB">
        <w:rPr>
          <w:rFonts w:ascii="Arial" w:hAnsi="Arial" w:cs="Arial"/>
          <w:sz w:val="24"/>
          <w:szCs w:val="24"/>
        </w:rPr>
        <w:t xml:space="preserve"> </w:t>
      </w:r>
      <w:r w:rsidRPr="00530DB9">
        <w:rPr>
          <w:rFonts w:ascii="Arial" w:hAnsi="Arial" w:cs="Arial"/>
          <w:i/>
          <w:sz w:val="24"/>
          <w:szCs w:val="24"/>
        </w:rPr>
        <w:t>Victims and Offenders, 4</w:t>
      </w:r>
      <w:r>
        <w:rPr>
          <w:rFonts w:ascii="Arial" w:hAnsi="Arial" w:cs="Arial"/>
          <w:sz w:val="24"/>
          <w:szCs w:val="24"/>
        </w:rPr>
        <w:t xml:space="preserve">, </w:t>
      </w:r>
      <w:r w:rsidR="004E6E18">
        <w:rPr>
          <w:rFonts w:ascii="Arial" w:hAnsi="Arial" w:cs="Arial"/>
          <w:sz w:val="24"/>
          <w:szCs w:val="24"/>
        </w:rPr>
        <w:t>1</w:t>
      </w:r>
      <w:r w:rsidR="0054786A">
        <w:rPr>
          <w:rFonts w:ascii="Arial" w:hAnsi="Arial" w:cs="Arial"/>
          <w:sz w:val="24"/>
          <w:szCs w:val="24"/>
        </w:rPr>
        <w:t>24–147</w:t>
      </w:r>
      <w:r w:rsidR="004E6E18">
        <w:rPr>
          <w:rFonts w:ascii="Arial" w:hAnsi="Arial" w:cs="Arial"/>
          <w:sz w:val="24"/>
          <w:szCs w:val="24"/>
        </w:rPr>
        <w:t>.</w:t>
      </w:r>
      <w:r w:rsidR="00AC2843">
        <w:rPr>
          <w:rFonts w:ascii="Arial" w:hAnsi="Arial" w:cs="Arial"/>
          <w:sz w:val="24"/>
          <w:szCs w:val="24"/>
        </w:rPr>
        <w:t xml:space="preserve"> </w:t>
      </w:r>
      <w:r w:rsidR="00AC2843" w:rsidRPr="00AC2843">
        <w:rPr>
          <w:rFonts w:ascii="Arial" w:hAnsi="Arial" w:cs="Arial"/>
          <w:sz w:val="24"/>
          <w:szCs w:val="24"/>
        </w:rPr>
        <w:t>https://doi.org/10.1080/15564880802612573</w:t>
      </w:r>
      <w:r w:rsidR="00AC2843">
        <w:rPr>
          <w:rFonts w:ascii="Arial" w:hAnsi="Arial" w:cs="Arial"/>
          <w:sz w:val="24"/>
          <w:szCs w:val="24"/>
        </w:rPr>
        <w:t>.</w:t>
      </w:r>
    </w:p>
    <w:p w14:paraId="2E53829D" w14:textId="74E92F6D" w:rsidR="00501809" w:rsidRDefault="00501809" w:rsidP="00472001">
      <w:pPr>
        <w:pStyle w:val="ListParagraph"/>
        <w:numPr>
          <w:ilvl w:val="0"/>
          <w:numId w:val="2"/>
        </w:numPr>
        <w:spacing w:after="0" w:line="360" w:lineRule="auto"/>
        <w:jc w:val="both"/>
        <w:rPr>
          <w:rFonts w:ascii="Arial" w:hAnsi="Arial" w:cs="Arial"/>
          <w:sz w:val="24"/>
          <w:szCs w:val="24"/>
          <w:lang w:val="en-US"/>
        </w:rPr>
      </w:pPr>
      <w:r w:rsidRPr="00501809">
        <w:rPr>
          <w:rFonts w:ascii="Arial" w:hAnsi="Arial" w:cs="Arial"/>
          <w:sz w:val="24"/>
          <w:szCs w:val="24"/>
          <w:lang w:val="en-US"/>
        </w:rPr>
        <w:t xml:space="preserve">Lipton, D. S., Pearson, F. S., Cleland, C. M., &amp; Yee, D. (2002). The effects of therapeutic </w:t>
      </w:r>
      <w:r w:rsidRPr="00501809">
        <w:rPr>
          <w:rFonts w:ascii="Arial" w:hAnsi="Arial" w:cs="Arial"/>
          <w:sz w:val="24"/>
          <w:szCs w:val="24"/>
          <w:lang w:val="en-US"/>
        </w:rPr>
        <w:tab/>
        <w:t xml:space="preserve">communities and milieu therapy on recidivism. </w:t>
      </w:r>
      <w:r w:rsidR="00C354C7">
        <w:rPr>
          <w:rFonts w:ascii="Arial" w:hAnsi="Arial" w:cs="Arial"/>
          <w:sz w:val="24"/>
          <w:szCs w:val="24"/>
          <w:lang w:val="en-US"/>
        </w:rPr>
        <w:t xml:space="preserve">In J. McGuire (Ed), </w:t>
      </w:r>
      <w:r w:rsidRPr="00C354C7">
        <w:rPr>
          <w:rFonts w:ascii="Arial" w:hAnsi="Arial" w:cs="Arial"/>
          <w:i/>
          <w:sz w:val="24"/>
          <w:szCs w:val="24"/>
          <w:lang w:val="en-US"/>
        </w:rPr>
        <w:t xml:space="preserve">Offender rehabilitation and treatment: Effective </w:t>
      </w:r>
      <w:proofErr w:type="spellStart"/>
      <w:r w:rsidRPr="00C354C7">
        <w:rPr>
          <w:rFonts w:ascii="Arial" w:hAnsi="Arial" w:cs="Arial"/>
          <w:i/>
          <w:sz w:val="24"/>
          <w:szCs w:val="24"/>
          <w:lang w:val="en-US"/>
        </w:rPr>
        <w:t>programmes</w:t>
      </w:r>
      <w:proofErr w:type="spellEnd"/>
      <w:r w:rsidRPr="00C354C7">
        <w:rPr>
          <w:rFonts w:ascii="Arial" w:hAnsi="Arial" w:cs="Arial"/>
          <w:i/>
          <w:sz w:val="24"/>
          <w:szCs w:val="24"/>
          <w:lang w:val="en-US"/>
        </w:rPr>
        <w:t xml:space="preserve"> and policies to reduce re-offending</w:t>
      </w:r>
      <w:r w:rsidRPr="00501809">
        <w:rPr>
          <w:rFonts w:ascii="Arial" w:hAnsi="Arial" w:cs="Arial"/>
          <w:sz w:val="24"/>
          <w:szCs w:val="24"/>
          <w:lang w:val="en-US"/>
        </w:rPr>
        <w:t xml:space="preserve">, </w:t>
      </w:r>
      <w:r w:rsidR="00C354C7">
        <w:rPr>
          <w:rFonts w:ascii="Arial" w:hAnsi="Arial" w:cs="Arial"/>
          <w:sz w:val="24"/>
          <w:szCs w:val="24"/>
          <w:lang w:val="en-US"/>
        </w:rPr>
        <w:t xml:space="preserve">(pp. </w:t>
      </w:r>
      <w:r w:rsidRPr="00501809">
        <w:rPr>
          <w:rFonts w:ascii="Arial" w:hAnsi="Arial" w:cs="Arial"/>
          <w:sz w:val="24"/>
          <w:szCs w:val="24"/>
          <w:lang w:val="en-US"/>
        </w:rPr>
        <w:t>39-77</w:t>
      </w:r>
      <w:r w:rsidR="00C354C7">
        <w:rPr>
          <w:rFonts w:ascii="Arial" w:hAnsi="Arial" w:cs="Arial"/>
          <w:sz w:val="24"/>
          <w:szCs w:val="24"/>
          <w:lang w:val="en-US"/>
        </w:rPr>
        <w:t>). Chichester: John Wiley and Sons</w:t>
      </w:r>
      <w:r w:rsidRPr="00501809">
        <w:rPr>
          <w:rFonts w:ascii="Arial" w:hAnsi="Arial" w:cs="Arial"/>
          <w:sz w:val="24"/>
          <w:szCs w:val="24"/>
          <w:lang w:val="en-US"/>
        </w:rPr>
        <w:t>.</w:t>
      </w:r>
    </w:p>
    <w:p w14:paraId="46C4EBA6" w14:textId="295736DE" w:rsidR="0040792A" w:rsidRPr="0040792A" w:rsidRDefault="0040792A" w:rsidP="0040792A">
      <w:pPr>
        <w:numPr>
          <w:ilvl w:val="0"/>
          <w:numId w:val="2"/>
        </w:numPr>
        <w:spacing w:after="0" w:line="360" w:lineRule="auto"/>
        <w:contextualSpacing/>
        <w:jc w:val="both"/>
        <w:rPr>
          <w:rFonts w:ascii="Arial" w:hAnsi="Arial" w:cs="Arial"/>
          <w:sz w:val="24"/>
          <w:szCs w:val="24"/>
          <w:lang w:val="en-US"/>
        </w:rPr>
      </w:pPr>
      <w:r w:rsidRPr="00331ACA">
        <w:rPr>
          <w:rFonts w:ascii="Arial" w:hAnsi="Arial" w:cs="Arial"/>
          <w:sz w:val="24"/>
          <w:szCs w:val="24"/>
          <w:lang w:val="en-US"/>
        </w:rPr>
        <w:t xml:space="preserve">Loranger, A. (1999). </w:t>
      </w:r>
      <w:r w:rsidRPr="0040792A">
        <w:rPr>
          <w:rFonts w:ascii="Arial" w:hAnsi="Arial" w:cs="Arial"/>
          <w:i/>
          <w:sz w:val="24"/>
          <w:szCs w:val="24"/>
          <w:lang w:val="en-US"/>
        </w:rPr>
        <w:t>International Personality Disorder Examination, DSM IV and ICD 10 interviews</w:t>
      </w:r>
      <w:r w:rsidRPr="00331ACA">
        <w:rPr>
          <w:rFonts w:ascii="Arial" w:hAnsi="Arial" w:cs="Arial"/>
          <w:sz w:val="24"/>
          <w:szCs w:val="24"/>
          <w:lang w:val="en-US"/>
        </w:rPr>
        <w:t xml:space="preserve">. Lutz: Psychological Assessment Resources, Inc. </w:t>
      </w:r>
    </w:p>
    <w:p w14:paraId="42352522" w14:textId="355EDE07" w:rsidR="00357E93" w:rsidRDefault="00357E93" w:rsidP="00357E93">
      <w:pPr>
        <w:pStyle w:val="ListParagraph"/>
        <w:numPr>
          <w:ilvl w:val="0"/>
          <w:numId w:val="2"/>
        </w:numPr>
        <w:spacing w:after="0" w:line="360" w:lineRule="auto"/>
        <w:jc w:val="both"/>
        <w:rPr>
          <w:rFonts w:ascii="Arial" w:hAnsi="Arial" w:cs="Arial"/>
          <w:sz w:val="24"/>
          <w:szCs w:val="24"/>
        </w:rPr>
      </w:pPr>
      <w:r w:rsidRPr="00357E93">
        <w:rPr>
          <w:rFonts w:ascii="Arial" w:hAnsi="Arial" w:cs="Arial"/>
          <w:sz w:val="24"/>
          <w:szCs w:val="24"/>
        </w:rPr>
        <w:t xml:space="preserve">Martin, R. L., Cloninger, C. R., </w:t>
      </w:r>
      <w:proofErr w:type="spellStart"/>
      <w:r w:rsidRPr="00357E93">
        <w:rPr>
          <w:rFonts w:ascii="Arial" w:hAnsi="Arial" w:cs="Arial"/>
          <w:sz w:val="24"/>
          <w:szCs w:val="24"/>
        </w:rPr>
        <w:t>Guze</w:t>
      </w:r>
      <w:proofErr w:type="spellEnd"/>
      <w:r w:rsidRPr="00357E93">
        <w:rPr>
          <w:rFonts w:ascii="Arial" w:hAnsi="Arial" w:cs="Arial"/>
          <w:sz w:val="24"/>
          <w:szCs w:val="24"/>
        </w:rPr>
        <w:t xml:space="preserve">, S. B., &amp; Clayton, P. J. (1985). Mortality in a follow-up </w:t>
      </w:r>
      <w:r w:rsidRPr="00357E93">
        <w:rPr>
          <w:rFonts w:ascii="Arial" w:hAnsi="Arial" w:cs="Arial"/>
          <w:sz w:val="24"/>
          <w:szCs w:val="24"/>
        </w:rPr>
        <w:tab/>
        <w:t xml:space="preserve">of 500 psychiatric outpatients: II. Cause-specific mortality. </w:t>
      </w:r>
      <w:r w:rsidRPr="00357E93">
        <w:rPr>
          <w:rFonts w:ascii="Arial" w:hAnsi="Arial" w:cs="Arial"/>
          <w:i/>
          <w:iCs/>
          <w:sz w:val="24"/>
          <w:szCs w:val="24"/>
        </w:rPr>
        <w:t xml:space="preserve">Archives of General </w:t>
      </w:r>
      <w:r w:rsidRPr="00357E93">
        <w:rPr>
          <w:rFonts w:ascii="Arial" w:hAnsi="Arial" w:cs="Arial"/>
          <w:i/>
          <w:iCs/>
          <w:sz w:val="24"/>
          <w:szCs w:val="24"/>
        </w:rPr>
        <w:tab/>
        <w:t>Psychiatry</w:t>
      </w:r>
      <w:r w:rsidRPr="00357E93">
        <w:rPr>
          <w:rFonts w:ascii="Arial" w:hAnsi="Arial" w:cs="Arial"/>
          <w:sz w:val="24"/>
          <w:szCs w:val="24"/>
        </w:rPr>
        <w:t xml:space="preserve">, </w:t>
      </w:r>
      <w:r w:rsidRPr="00357E93">
        <w:rPr>
          <w:rFonts w:ascii="Arial" w:hAnsi="Arial" w:cs="Arial"/>
          <w:i/>
          <w:iCs/>
          <w:sz w:val="24"/>
          <w:szCs w:val="24"/>
        </w:rPr>
        <w:t>42</w:t>
      </w:r>
      <w:r w:rsidRPr="00357E93">
        <w:rPr>
          <w:rFonts w:ascii="Arial" w:hAnsi="Arial" w:cs="Arial"/>
          <w:sz w:val="24"/>
          <w:szCs w:val="24"/>
        </w:rPr>
        <w:t>(1), 58.</w:t>
      </w:r>
      <w:r w:rsidR="00C354C7" w:rsidRPr="00C354C7">
        <w:rPr>
          <w:rFonts w:ascii="Helvetica" w:hAnsi="Helvetica" w:cs="Helvetica"/>
          <w:color w:val="333333"/>
          <w:sz w:val="21"/>
          <w:szCs w:val="21"/>
        </w:rPr>
        <w:t xml:space="preserve"> </w:t>
      </w:r>
      <w:r w:rsidR="00AC2843" w:rsidRPr="00AC2843">
        <w:rPr>
          <w:rFonts w:ascii="Helvetica" w:hAnsi="Helvetica" w:cs="Helvetica"/>
          <w:color w:val="333333"/>
          <w:sz w:val="21"/>
          <w:szCs w:val="21"/>
        </w:rPr>
        <w:t>https://</w:t>
      </w:r>
      <w:r w:rsidR="00C354C7" w:rsidRPr="00C354C7">
        <w:rPr>
          <w:rFonts w:ascii="Arial" w:hAnsi="Arial" w:cs="Arial"/>
          <w:sz w:val="24"/>
          <w:szCs w:val="24"/>
        </w:rPr>
        <w:t>doi:10.1001/archpsyc.1985.01790240049005</w:t>
      </w:r>
      <w:r w:rsidR="00AC2843">
        <w:rPr>
          <w:rFonts w:ascii="Arial" w:hAnsi="Arial" w:cs="Arial"/>
          <w:sz w:val="24"/>
          <w:szCs w:val="24"/>
        </w:rPr>
        <w:t>.</w:t>
      </w:r>
    </w:p>
    <w:p w14:paraId="74C4280E" w14:textId="29C4A061" w:rsidR="0013648D" w:rsidRPr="00357E93" w:rsidRDefault="0013648D" w:rsidP="0013648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Medical Research Council (2000). A Framework for development and evaluation of RCTs for complex interventions to improve health. </w:t>
      </w:r>
      <w:r w:rsidRPr="0013648D">
        <w:rPr>
          <w:rFonts w:ascii="Arial" w:hAnsi="Arial" w:cs="Arial"/>
          <w:sz w:val="24"/>
          <w:szCs w:val="24"/>
        </w:rPr>
        <w:t>https://mrc.ukri.org/documents/pdf/rcts-for-complex-interventions-to-improve-health/</w:t>
      </w:r>
    </w:p>
    <w:p w14:paraId="3A2DED48" w14:textId="47BE5743" w:rsidR="001F6D0C" w:rsidRPr="00002BBE" w:rsidRDefault="001F6D0C" w:rsidP="00AC2843">
      <w:pPr>
        <w:pStyle w:val="ListParagraph"/>
        <w:numPr>
          <w:ilvl w:val="0"/>
          <w:numId w:val="2"/>
        </w:numPr>
        <w:spacing w:after="0" w:line="360" w:lineRule="auto"/>
        <w:jc w:val="both"/>
        <w:rPr>
          <w:rFonts w:ascii="Arial" w:hAnsi="Arial" w:cs="Arial"/>
          <w:sz w:val="24"/>
          <w:szCs w:val="24"/>
          <w:lang w:val="en-US"/>
        </w:rPr>
      </w:pPr>
      <w:proofErr w:type="spellStart"/>
      <w:r w:rsidRPr="00167B47">
        <w:rPr>
          <w:rFonts w:ascii="Arial" w:hAnsi="Arial" w:cs="Arial"/>
          <w:sz w:val="24"/>
          <w:szCs w:val="24"/>
          <w:lang w:val="it-IT"/>
        </w:rPr>
        <w:t>MacKenzie</w:t>
      </w:r>
      <w:proofErr w:type="spellEnd"/>
      <w:r w:rsidR="004E6E18" w:rsidRPr="00167B47">
        <w:rPr>
          <w:rFonts w:ascii="Arial" w:hAnsi="Arial" w:cs="Arial"/>
          <w:sz w:val="24"/>
          <w:szCs w:val="24"/>
          <w:lang w:val="it-IT"/>
        </w:rPr>
        <w:t>,</w:t>
      </w:r>
      <w:r w:rsidRPr="00167B47">
        <w:rPr>
          <w:rFonts w:ascii="Arial" w:hAnsi="Arial" w:cs="Arial"/>
          <w:sz w:val="24"/>
          <w:szCs w:val="24"/>
          <w:lang w:val="it-IT"/>
        </w:rPr>
        <w:t xml:space="preserve"> D</w:t>
      </w:r>
      <w:r w:rsidR="004E6E18" w:rsidRPr="00167B47">
        <w:rPr>
          <w:rFonts w:ascii="Arial" w:hAnsi="Arial" w:cs="Arial"/>
          <w:sz w:val="24"/>
          <w:szCs w:val="24"/>
          <w:lang w:val="it-IT"/>
        </w:rPr>
        <w:t>.</w:t>
      </w:r>
      <w:r w:rsidRPr="00167B47">
        <w:rPr>
          <w:rFonts w:ascii="Arial" w:hAnsi="Arial" w:cs="Arial"/>
          <w:sz w:val="24"/>
          <w:szCs w:val="24"/>
          <w:lang w:val="it-IT"/>
        </w:rPr>
        <w:t>L</w:t>
      </w:r>
      <w:r w:rsidR="004E6E18" w:rsidRPr="00167B47">
        <w:rPr>
          <w:rFonts w:ascii="Arial" w:hAnsi="Arial" w:cs="Arial"/>
          <w:sz w:val="24"/>
          <w:szCs w:val="24"/>
          <w:lang w:val="it-IT"/>
        </w:rPr>
        <w:t>.</w:t>
      </w:r>
      <w:r w:rsidRPr="00167B47">
        <w:rPr>
          <w:rFonts w:ascii="Arial" w:hAnsi="Arial" w:cs="Arial"/>
          <w:sz w:val="24"/>
          <w:szCs w:val="24"/>
          <w:lang w:val="it-IT"/>
        </w:rPr>
        <w:t xml:space="preserve"> </w:t>
      </w:r>
      <w:r w:rsidR="004E6E18" w:rsidRPr="00167B47">
        <w:rPr>
          <w:rFonts w:ascii="Arial" w:hAnsi="Arial" w:cs="Arial"/>
          <w:sz w:val="24"/>
          <w:szCs w:val="24"/>
          <w:lang w:val="it-IT"/>
        </w:rPr>
        <w:t>&amp;</w:t>
      </w:r>
      <w:r w:rsidRPr="00167B47">
        <w:rPr>
          <w:rFonts w:ascii="Arial" w:hAnsi="Arial" w:cs="Arial"/>
          <w:sz w:val="24"/>
          <w:szCs w:val="24"/>
          <w:lang w:val="it-IT"/>
        </w:rPr>
        <w:t xml:space="preserve"> </w:t>
      </w:r>
      <w:proofErr w:type="spellStart"/>
      <w:r w:rsidRPr="00167B47">
        <w:rPr>
          <w:rFonts w:ascii="Arial" w:hAnsi="Arial" w:cs="Arial"/>
          <w:sz w:val="24"/>
          <w:szCs w:val="24"/>
          <w:lang w:val="it-IT"/>
        </w:rPr>
        <w:t>Farrington</w:t>
      </w:r>
      <w:proofErr w:type="spellEnd"/>
      <w:r w:rsidR="004E6E18" w:rsidRPr="00167B47">
        <w:rPr>
          <w:rFonts w:ascii="Arial" w:hAnsi="Arial" w:cs="Arial"/>
          <w:sz w:val="24"/>
          <w:szCs w:val="24"/>
          <w:lang w:val="it-IT"/>
        </w:rPr>
        <w:t>,</w:t>
      </w:r>
      <w:r w:rsidRPr="00167B47">
        <w:rPr>
          <w:rFonts w:ascii="Arial" w:hAnsi="Arial" w:cs="Arial"/>
          <w:sz w:val="24"/>
          <w:szCs w:val="24"/>
          <w:lang w:val="it-IT"/>
        </w:rPr>
        <w:t xml:space="preserve"> D</w:t>
      </w:r>
      <w:r w:rsidR="004E6E18" w:rsidRPr="00167B47">
        <w:rPr>
          <w:rFonts w:ascii="Arial" w:hAnsi="Arial" w:cs="Arial"/>
          <w:sz w:val="24"/>
          <w:szCs w:val="24"/>
          <w:lang w:val="it-IT"/>
        </w:rPr>
        <w:t>.</w:t>
      </w:r>
      <w:r w:rsidRPr="00167B47">
        <w:rPr>
          <w:rFonts w:ascii="Arial" w:hAnsi="Arial" w:cs="Arial"/>
          <w:sz w:val="24"/>
          <w:szCs w:val="24"/>
          <w:lang w:val="it-IT"/>
        </w:rPr>
        <w:t>P</w:t>
      </w:r>
      <w:r w:rsidR="004E6E18" w:rsidRPr="00167B47">
        <w:rPr>
          <w:rFonts w:ascii="Arial" w:hAnsi="Arial" w:cs="Arial"/>
          <w:sz w:val="24"/>
          <w:szCs w:val="24"/>
          <w:lang w:val="it-IT"/>
        </w:rPr>
        <w:t>.</w:t>
      </w:r>
      <w:r w:rsidRPr="00167B47">
        <w:rPr>
          <w:rFonts w:ascii="Arial" w:hAnsi="Arial" w:cs="Arial"/>
          <w:sz w:val="24"/>
          <w:szCs w:val="24"/>
          <w:lang w:val="it-IT"/>
        </w:rPr>
        <w:t xml:space="preserve"> (2015)</w:t>
      </w:r>
      <w:r w:rsidR="004E6E18" w:rsidRPr="00167B47">
        <w:rPr>
          <w:rFonts w:ascii="Arial" w:hAnsi="Arial" w:cs="Arial"/>
          <w:sz w:val="24"/>
          <w:szCs w:val="24"/>
          <w:lang w:val="it-IT"/>
        </w:rPr>
        <w:t>.</w:t>
      </w:r>
      <w:r w:rsidRPr="00167B47">
        <w:rPr>
          <w:rFonts w:ascii="Arial" w:hAnsi="Arial" w:cs="Arial"/>
          <w:sz w:val="24"/>
          <w:szCs w:val="24"/>
          <w:lang w:val="it-IT"/>
        </w:rPr>
        <w:t xml:space="preserve"> </w:t>
      </w:r>
      <w:r w:rsidRPr="001F6D0C">
        <w:rPr>
          <w:rFonts w:ascii="Arial" w:hAnsi="Arial" w:cs="Arial"/>
          <w:sz w:val="24"/>
          <w:szCs w:val="24"/>
        </w:rPr>
        <w:t>Preventing future offending of delinquents and offenders: what have we learned from experiments and meta-</w:t>
      </w:r>
      <w:r w:rsidRPr="001F6D0C">
        <w:rPr>
          <w:rFonts w:ascii="Arial" w:hAnsi="Arial" w:cs="Arial"/>
          <w:sz w:val="24"/>
          <w:szCs w:val="24"/>
        </w:rPr>
        <w:lastRenderedPageBreak/>
        <w:t xml:space="preserve">analyses? </w:t>
      </w:r>
      <w:r w:rsidRPr="00530DB9">
        <w:rPr>
          <w:rFonts w:ascii="Arial" w:hAnsi="Arial" w:cs="Arial"/>
          <w:i/>
          <w:sz w:val="24"/>
          <w:szCs w:val="24"/>
        </w:rPr>
        <w:t xml:space="preserve">J Exp </w:t>
      </w:r>
      <w:proofErr w:type="spellStart"/>
      <w:r w:rsidRPr="00530DB9">
        <w:rPr>
          <w:rFonts w:ascii="Arial" w:hAnsi="Arial" w:cs="Arial"/>
          <w:i/>
          <w:sz w:val="24"/>
          <w:szCs w:val="24"/>
        </w:rPr>
        <w:t>Criminol</w:t>
      </w:r>
      <w:proofErr w:type="spellEnd"/>
      <w:r w:rsidRPr="00530DB9">
        <w:rPr>
          <w:rFonts w:ascii="Arial" w:hAnsi="Arial" w:cs="Arial"/>
          <w:i/>
          <w:sz w:val="24"/>
          <w:szCs w:val="24"/>
        </w:rPr>
        <w:t>, 11</w:t>
      </w:r>
      <w:r w:rsidR="004E6E18">
        <w:rPr>
          <w:rFonts w:ascii="Arial" w:hAnsi="Arial" w:cs="Arial"/>
          <w:sz w:val="24"/>
          <w:szCs w:val="24"/>
        </w:rPr>
        <w:t>(</w:t>
      </w:r>
      <w:r>
        <w:rPr>
          <w:rFonts w:ascii="Arial" w:hAnsi="Arial" w:cs="Arial"/>
          <w:sz w:val="24"/>
          <w:szCs w:val="24"/>
        </w:rPr>
        <w:t>4</w:t>
      </w:r>
      <w:r w:rsidR="004E6E18">
        <w:rPr>
          <w:rFonts w:ascii="Arial" w:hAnsi="Arial" w:cs="Arial"/>
          <w:sz w:val="24"/>
          <w:szCs w:val="24"/>
        </w:rPr>
        <w:t>),</w:t>
      </w:r>
      <w:r>
        <w:rPr>
          <w:rFonts w:ascii="Arial" w:hAnsi="Arial" w:cs="Arial"/>
          <w:sz w:val="24"/>
          <w:szCs w:val="24"/>
        </w:rPr>
        <w:t xml:space="preserve"> </w:t>
      </w:r>
      <w:r w:rsidRPr="001F6D0C">
        <w:rPr>
          <w:rFonts w:ascii="Arial" w:hAnsi="Arial" w:cs="Arial"/>
          <w:sz w:val="24"/>
          <w:szCs w:val="24"/>
        </w:rPr>
        <w:t>565–595</w:t>
      </w:r>
      <w:r w:rsidR="004E6E18">
        <w:rPr>
          <w:rFonts w:ascii="Arial" w:hAnsi="Arial" w:cs="Arial"/>
          <w:sz w:val="24"/>
          <w:szCs w:val="24"/>
        </w:rPr>
        <w:t>.</w:t>
      </w:r>
      <w:r w:rsidR="00AC2843" w:rsidRPr="00AC2843">
        <w:t xml:space="preserve"> </w:t>
      </w:r>
      <w:r w:rsidR="00AC2843" w:rsidRPr="00AC2843">
        <w:rPr>
          <w:rFonts w:ascii="Arial" w:hAnsi="Arial" w:cs="Arial"/>
          <w:sz w:val="24"/>
          <w:szCs w:val="24"/>
        </w:rPr>
        <w:t>https://psycnet.apa.org/doi/10.1007/s11292-015-9244-9</w:t>
      </w:r>
      <w:r w:rsidR="00AC2843">
        <w:rPr>
          <w:rFonts w:ascii="Arial" w:hAnsi="Arial" w:cs="Arial"/>
          <w:sz w:val="24"/>
          <w:szCs w:val="24"/>
        </w:rPr>
        <w:t>.</w:t>
      </w:r>
    </w:p>
    <w:p w14:paraId="332984C4" w14:textId="1A654D8D" w:rsidR="00002BBE" w:rsidRPr="00A632D1" w:rsidRDefault="00002BBE" w:rsidP="00AC2843">
      <w:pPr>
        <w:pStyle w:val="ListParagraph"/>
        <w:numPr>
          <w:ilvl w:val="0"/>
          <w:numId w:val="2"/>
        </w:numPr>
        <w:spacing w:after="0" w:line="360" w:lineRule="auto"/>
        <w:jc w:val="both"/>
        <w:rPr>
          <w:rFonts w:ascii="Arial" w:hAnsi="Arial" w:cs="Arial"/>
          <w:sz w:val="24"/>
          <w:szCs w:val="24"/>
          <w:lang w:val="en-US"/>
        </w:rPr>
      </w:pPr>
      <w:r w:rsidRPr="00002BBE">
        <w:rPr>
          <w:rFonts w:ascii="Arial" w:hAnsi="Arial" w:cs="Arial"/>
          <w:sz w:val="24"/>
          <w:szCs w:val="24"/>
          <w:lang w:val="en-US"/>
        </w:rPr>
        <w:t xml:space="preserve">Miller, K., Baker, V., &amp; </w:t>
      </w:r>
      <w:proofErr w:type="spellStart"/>
      <w:r w:rsidRPr="00002BBE">
        <w:rPr>
          <w:rFonts w:ascii="Arial" w:hAnsi="Arial" w:cs="Arial"/>
          <w:sz w:val="24"/>
          <w:szCs w:val="24"/>
          <w:lang w:val="en-US"/>
        </w:rPr>
        <w:t>Olyonye</w:t>
      </w:r>
      <w:proofErr w:type="spellEnd"/>
      <w:r w:rsidRPr="00002BBE">
        <w:rPr>
          <w:rFonts w:ascii="Arial" w:hAnsi="Arial" w:cs="Arial"/>
          <w:sz w:val="24"/>
          <w:szCs w:val="24"/>
          <w:lang w:val="en-US"/>
        </w:rPr>
        <w:t xml:space="preserve">, S. (2010). From design to reality: the challenges of </w:t>
      </w:r>
      <w:r w:rsidRPr="00002BBE">
        <w:rPr>
          <w:rFonts w:ascii="Arial" w:hAnsi="Arial" w:cs="Arial"/>
          <w:sz w:val="24"/>
          <w:szCs w:val="24"/>
          <w:lang w:val="en-US"/>
        </w:rPr>
        <w:tab/>
        <w:t>developing and delivering treatment and interventi</w:t>
      </w:r>
      <w:r>
        <w:rPr>
          <w:rFonts w:ascii="Arial" w:hAnsi="Arial" w:cs="Arial"/>
          <w:sz w:val="24"/>
          <w:szCs w:val="24"/>
          <w:lang w:val="en-US"/>
        </w:rPr>
        <w:t xml:space="preserve">on services for offenders with </w:t>
      </w:r>
      <w:r w:rsidRPr="00002BBE">
        <w:rPr>
          <w:rFonts w:ascii="Arial" w:hAnsi="Arial" w:cs="Arial"/>
          <w:sz w:val="24"/>
          <w:szCs w:val="24"/>
          <w:lang w:val="en-US"/>
        </w:rPr>
        <w:t xml:space="preserve">personality disorders. </w:t>
      </w:r>
      <w:r w:rsidRPr="00AC2843">
        <w:rPr>
          <w:rFonts w:ascii="Arial" w:hAnsi="Arial" w:cs="Arial"/>
          <w:i/>
          <w:sz w:val="24"/>
          <w:szCs w:val="24"/>
          <w:lang w:val="en-US"/>
        </w:rPr>
        <w:t>Mental Health Review Journal</w:t>
      </w:r>
      <w:r w:rsidRPr="00002BBE">
        <w:rPr>
          <w:rFonts w:ascii="Arial" w:hAnsi="Arial" w:cs="Arial"/>
          <w:sz w:val="24"/>
          <w:szCs w:val="24"/>
          <w:lang w:val="en-US"/>
        </w:rPr>
        <w:t>, 15(4), 46 – 50.</w:t>
      </w:r>
      <w:r w:rsidR="00AC2843" w:rsidRPr="00AC2843">
        <w:t xml:space="preserve"> </w:t>
      </w:r>
      <w:r w:rsidR="00AC2843" w:rsidRPr="00AC2843">
        <w:rPr>
          <w:rFonts w:ascii="Arial" w:hAnsi="Arial" w:cs="Arial"/>
          <w:sz w:val="24"/>
          <w:szCs w:val="24"/>
          <w:lang w:val="en-US"/>
        </w:rPr>
        <w:t>https://doi.org/10.5042/mhrj.2010.0739</w:t>
      </w:r>
      <w:r w:rsidR="00AC2843">
        <w:rPr>
          <w:rFonts w:ascii="Arial" w:hAnsi="Arial" w:cs="Arial"/>
          <w:sz w:val="24"/>
          <w:szCs w:val="24"/>
          <w:lang w:val="en-US"/>
        </w:rPr>
        <w:t>.</w:t>
      </w:r>
    </w:p>
    <w:p w14:paraId="7AFE98E4" w14:textId="752DB1FC" w:rsidR="003B3529" w:rsidRPr="003B3529" w:rsidRDefault="003B3529" w:rsidP="00F74430">
      <w:pPr>
        <w:pStyle w:val="ListParagraph"/>
        <w:numPr>
          <w:ilvl w:val="0"/>
          <w:numId w:val="2"/>
        </w:numPr>
        <w:spacing w:after="0" w:line="360" w:lineRule="auto"/>
        <w:jc w:val="both"/>
        <w:rPr>
          <w:rFonts w:ascii="Arial" w:hAnsi="Arial" w:cs="Arial"/>
          <w:sz w:val="24"/>
          <w:szCs w:val="24"/>
          <w:lang w:val="en-US"/>
        </w:rPr>
      </w:pPr>
      <w:proofErr w:type="spellStart"/>
      <w:r w:rsidRPr="003B3529">
        <w:rPr>
          <w:rFonts w:ascii="Arial" w:hAnsi="Arial" w:cs="Arial"/>
          <w:sz w:val="24"/>
          <w:szCs w:val="24"/>
        </w:rPr>
        <w:t>Muthén</w:t>
      </w:r>
      <w:proofErr w:type="spellEnd"/>
      <w:r w:rsidRPr="003B3529">
        <w:rPr>
          <w:rFonts w:ascii="Arial" w:hAnsi="Arial" w:cs="Arial"/>
          <w:sz w:val="24"/>
          <w:szCs w:val="24"/>
        </w:rPr>
        <w:t xml:space="preserve">, L.K. and </w:t>
      </w:r>
      <w:proofErr w:type="spellStart"/>
      <w:r w:rsidRPr="003B3529">
        <w:rPr>
          <w:rFonts w:ascii="Arial" w:hAnsi="Arial" w:cs="Arial"/>
          <w:sz w:val="24"/>
          <w:szCs w:val="24"/>
        </w:rPr>
        <w:t>Muthén</w:t>
      </w:r>
      <w:proofErr w:type="spellEnd"/>
      <w:r w:rsidRPr="003B3529">
        <w:rPr>
          <w:rFonts w:ascii="Arial" w:hAnsi="Arial" w:cs="Arial"/>
          <w:sz w:val="24"/>
          <w:szCs w:val="24"/>
        </w:rPr>
        <w:t xml:space="preserve">, B.O. (2012). </w:t>
      </w:r>
      <w:proofErr w:type="spellStart"/>
      <w:r w:rsidRPr="003B3529">
        <w:rPr>
          <w:rFonts w:ascii="Arial" w:hAnsi="Arial" w:cs="Arial"/>
          <w:i/>
          <w:sz w:val="24"/>
          <w:szCs w:val="24"/>
        </w:rPr>
        <w:t>Mplus</w:t>
      </w:r>
      <w:proofErr w:type="spellEnd"/>
      <w:r w:rsidRPr="003B3529">
        <w:rPr>
          <w:rFonts w:ascii="Arial" w:hAnsi="Arial" w:cs="Arial"/>
          <w:i/>
          <w:sz w:val="24"/>
          <w:szCs w:val="24"/>
        </w:rPr>
        <w:t xml:space="preserve"> User’s Guide</w:t>
      </w:r>
      <w:r w:rsidRPr="003B3529">
        <w:rPr>
          <w:rFonts w:ascii="Arial" w:hAnsi="Arial" w:cs="Arial"/>
          <w:sz w:val="24"/>
          <w:szCs w:val="24"/>
        </w:rPr>
        <w:t xml:space="preserve">. Seventh Edition. Los Angeles, CA: </w:t>
      </w:r>
      <w:proofErr w:type="spellStart"/>
      <w:r w:rsidRPr="003B3529">
        <w:rPr>
          <w:rFonts w:ascii="Arial" w:hAnsi="Arial" w:cs="Arial"/>
          <w:sz w:val="24"/>
          <w:szCs w:val="24"/>
        </w:rPr>
        <w:t>Muthén</w:t>
      </w:r>
      <w:proofErr w:type="spellEnd"/>
      <w:r w:rsidRPr="003B3529">
        <w:rPr>
          <w:rFonts w:ascii="Arial" w:hAnsi="Arial" w:cs="Arial"/>
          <w:sz w:val="24"/>
          <w:szCs w:val="24"/>
        </w:rPr>
        <w:t xml:space="preserve"> &amp; </w:t>
      </w:r>
      <w:proofErr w:type="spellStart"/>
      <w:r w:rsidRPr="003B3529">
        <w:rPr>
          <w:rFonts w:ascii="Arial" w:hAnsi="Arial" w:cs="Arial"/>
          <w:sz w:val="24"/>
          <w:szCs w:val="24"/>
        </w:rPr>
        <w:t>Muthén</w:t>
      </w:r>
      <w:proofErr w:type="spellEnd"/>
      <w:r>
        <w:rPr>
          <w:rFonts w:ascii="Arial" w:hAnsi="Arial" w:cs="Arial"/>
          <w:sz w:val="24"/>
          <w:szCs w:val="24"/>
        </w:rPr>
        <w:t>.</w:t>
      </w:r>
      <w:r w:rsidRPr="003B3529">
        <w:rPr>
          <w:rFonts w:ascii="Arial" w:hAnsi="Arial" w:cs="Arial"/>
          <w:sz w:val="24"/>
          <w:szCs w:val="24"/>
        </w:rPr>
        <w:t xml:space="preserve"> </w:t>
      </w:r>
    </w:p>
    <w:p w14:paraId="79821239" w14:textId="143C5818" w:rsidR="009A2479" w:rsidRDefault="009A2479" w:rsidP="00F74430">
      <w:pPr>
        <w:pStyle w:val="ListParagraph"/>
        <w:numPr>
          <w:ilvl w:val="0"/>
          <w:numId w:val="2"/>
        </w:numPr>
        <w:spacing w:after="0" w:line="360" w:lineRule="auto"/>
        <w:jc w:val="both"/>
        <w:rPr>
          <w:rFonts w:ascii="Arial" w:hAnsi="Arial" w:cs="Arial"/>
          <w:sz w:val="24"/>
          <w:szCs w:val="24"/>
          <w:lang w:val="en-US"/>
        </w:rPr>
      </w:pPr>
      <w:r w:rsidRPr="009A2479">
        <w:rPr>
          <w:rFonts w:ascii="Arial" w:hAnsi="Arial" w:cs="Arial"/>
          <w:sz w:val="24"/>
          <w:szCs w:val="24"/>
        </w:rPr>
        <w:t>National Institute for Mental Health in England</w:t>
      </w:r>
      <w:r>
        <w:rPr>
          <w:rFonts w:ascii="Arial" w:hAnsi="Arial" w:cs="Arial"/>
          <w:sz w:val="24"/>
          <w:szCs w:val="24"/>
        </w:rPr>
        <w:t xml:space="preserve"> (2003). </w:t>
      </w:r>
      <w:r w:rsidRPr="009A2479">
        <w:rPr>
          <w:rFonts w:ascii="Arial" w:hAnsi="Arial" w:cs="Arial"/>
          <w:i/>
          <w:sz w:val="24"/>
          <w:szCs w:val="24"/>
        </w:rPr>
        <w:t xml:space="preserve">Personality disorder: No longer a diagnosis of exclusion. </w:t>
      </w:r>
      <w:r>
        <w:rPr>
          <w:rFonts w:ascii="Arial" w:hAnsi="Arial" w:cs="Arial"/>
          <w:sz w:val="24"/>
          <w:szCs w:val="24"/>
        </w:rPr>
        <w:t xml:space="preserve">Department of Health. </w:t>
      </w:r>
    </w:p>
    <w:p w14:paraId="1F3B1048" w14:textId="7315EB69" w:rsidR="00F74430" w:rsidRDefault="00A632D1" w:rsidP="00AC2843">
      <w:pPr>
        <w:pStyle w:val="ListParagraph"/>
        <w:numPr>
          <w:ilvl w:val="0"/>
          <w:numId w:val="2"/>
        </w:numPr>
        <w:spacing w:after="0" w:line="360" w:lineRule="auto"/>
        <w:jc w:val="both"/>
        <w:rPr>
          <w:rFonts w:ascii="Arial" w:hAnsi="Arial" w:cs="Arial"/>
          <w:sz w:val="24"/>
          <w:szCs w:val="24"/>
          <w:lang w:val="en-US"/>
        </w:rPr>
      </w:pPr>
      <w:r w:rsidRPr="00A632D1">
        <w:rPr>
          <w:rFonts w:ascii="Arial" w:hAnsi="Arial" w:cs="Arial"/>
          <w:sz w:val="24"/>
          <w:szCs w:val="24"/>
          <w:lang w:val="en-US"/>
        </w:rPr>
        <w:t>Newton-Howes</w:t>
      </w:r>
      <w:r w:rsidR="004E6E18">
        <w:rPr>
          <w:rFonts w:ascii="Arial" w:hAnsi="Arial" w:cs="Arial"/>
          <w:sz w:val="24"/>
          <w:szCs w:val="24"/>
          <w:lang w:val="en-US"/>
        </w:rPr>
        <w:t>,</w:t>
      </w:r>
      <w:r w:rsidRPr="00A632D1">
        <w:rPr>
          <w:rFonts w:ascii="Arial" w:hAnsi="Arial" w:cs="Arial"/>
          <w:sz w:val="24"/>
          <w:szCs w:val="24"/>
          <w:lang w:val="en-US"/>
        </w:rPr>
        <w:t xml:space="preserve"> G</w:t>
      </w:r>
      <w:r w:rsidR="004E6E18">
        <w:rPr>
          <w:rFonts w:ascii="Arial" w:hAnsi="Arial" w:cs="Arial"/>
          <w:sz w:val="24"/>
          <w:szCs w:val="24"/>
          <w:lang w:val="en-US"/>
        </w:rPr>
        <w:t>.</w:t>
      </w:r>
      <w:r w:rsidRPr="00A632D1">
        <w:rPr>
          <w:rFonts w:ascii="Arial" w:hAnsi="Arial" w:cs="Arial"/>
          <w:sz w:val="24"/>
          <w:szCs w:val="24"/>
          <w:lang w:val="en-US"/>
        </w:rPr>
        <w:t xml:space="preserve">, </w:t>
      </w:r>
      <w:proofErr w:type="spellStart"/>
      <w:r w:rsidRPr="00A632D1">
        <w:rPr>
          <w:rFonts w:ascii="Arial" w:hAnsi="Arial" w:cs="Arial"/>
          <w:sz w:val="24"/>
          <w:szCs w:val="24"/>
          <w:lang w:val="en-US"/>
        </w:rPr>
        <w:t>Tyrer</w:t>
      </w:r>
      <w:proofErr w:type="spellEnd"/>
      <w:r w:rsidR="004E6E18">
        <w:rPr>
          <w:rFonts w:ascii="Arial" w:hAnsi="Arial" w:cs="Arial"/>
          <w:sz w:val="24"/>
          <w:szCs w:val="24"/>
          <w:lang w:val="en-US"/>
        </w:rPr>
        <w:t>,</w:t>
      </w:r>
      <w:r w:rsidRPr="00A632D1">
        <w:rPr>
          <w:rFonts w:ascii="Arial" w:hAnsi="Arial" w:cs="Arial"/>
          <w:sz w:val="24"/>
          <w:szCs w:val="24"/>
          <w:lang w:val="en-US"/>
        </w:rPr>
        <w:t xml:space="preserve"> P</w:t>
      </w:r>
      <w:r w:rsidR="004E6E18">
        <w:rPr>
          <w:rFonts w:ascii="Arial" w:hAnsi="Arial" w:cs="Arial"/>
          <w:sz w:val="24"/>
          <w:szCs w:val="24"/>
          <w:lang w:val="en-US"/>
        </w:rPr>
        <w:t>.</w:t>
      </w:r>
      <w:r w:rsidRPr="00A632D1">
        <w:rPr>
          <w:rFonts w:ascii="Arial" w:hAnsi="Arial" w:cs="Arial"/>
          <w:sz w:val="24"/>
          <w:szCs w:val="24"/>
          <w:lang w:val="en-US"/>
        </w:rPr>
        <w:t xml:space="preserve">, </w:t>
      </w:r>
      <w:proofErr w:type="spellStart"/>
      <w:r w:rsidRPr="00A632D1">
        <w:rPr>
          <w:rFonts w:ascii="Arial" w:hAnsi="Arial" w:cs="Arial"/>
          <w:sz w:val="24"/>
          <w:szCs w:val="24"/>
          <w:lang w:val="en-US"/>
        </w:rPr>
        <w:t>Anagnostakis</w:t>
      </w:r>
      <w:proofErr w:type="spellEnd"/>
      <w:r w:rsidR="004E6E18">
        <w:rPr>
          <w:rFonts w:ascii="Arial" w:hAnsi="Arial" w:cs="Arial"/>
          <w:sz w:val="24"/>
          <w:szCs w:val="24"/>
          <w:lang w:val="en-US"/>
        </w:rPr>
        <w:t>,</w:t>
      </w:r>
      <w:r w:rsidRPr="00A632D1">
        <w:rPr>
          <w:rFonts w:ascii="Arial" w:hAnsi="Arial" w:cs="Arial"/>
          <w:sz w:val="24"/>
          <w:szCs w:val="24"/>
          <w:lang w:val="en-US"/>
        </w:rPr>
        <w:t xml:space="preserve"> K</w:t>
      </w:r>
      <w:r w:rsidR="004E6E18">
        <w:rPr>
          <w:rFonts w:ascii="Arial" w:hAnsi="Arial" w:cs="Arial"/>
          <w:sz w:val="24"/>
          <w:szCs w:val="24"/>
          <w:lang w:val="en-US"/>
        </w:rPr>
        <w:t>.</w:t>
      </w:r>
      <w:r w:rsidRPr="00A632D1">
        <w:rPr>
          <w:rFonts w:ascii="Arial" w:hAnsi="Arial" w:cs="Arial"/>
          <w:sz w:val="24"/>
          <w:szCs w:val="24"/>
          <w:lang w:val="en-US"/>
        </w:rPr>
        <w:t>, Cooper</w:t>
      </w:r>
      <w:r w:rsidR="004E6E18">
        <w:rPr>
          <w:rFonts w:ascii="Arial" w:hAnsi="Arial" w:cs="Arial"/>
          <w:sz w:val="24"/>
          <w:szCs w:val="24"/>
          <w:lang w:val="en-US"/>
        </w:rPr>
        <w:t>,</w:t>
      </w:r>
      <w:r w:rsidRPr="00A632D1">
        <w:rPr>
          <w:rFonts w:ascii="Arial" w:hAnsi="Arial" w:cs="Arial"/>
          <w:sz w:val="24"/>
          <w:szCs w:val="24"/>
          <w:lang w:val="en-US"/>
        </w:rPr>
        <w:t xml:space="preserve"> S</w:t>
      </w:r>
      <w:r w:rsidR="004E6E18">
        <w:rPr>
          <w:rFonts w:ascii="Arial" w:hAnsi="Arial" w:cs="Arial"/>
          <w:sz w:val="24"/>
          <w:szCs w:val="24"/>
          <w:lang w:val="en-US"/>
        </w:rPr>
        <w:t>.</w:t>
      </w:r>
      <w:r w:rsidRPr="00A632D1">
        <w:rPr>
          <w:rFonts w:ascii="Arial" w:hAnsi="Arial" w:cs="Arial"/>
          <w:sz w:val="24"/>
          <w:szCs w:val="24"/>
          <w:lang w:val="en-US"/>
        </w:rPr>
        <w:t>, Bowden-Jones</w:t>
      </w:r>
      <w:r w:rsidR="004E6E18">
        <w:rPr>
          <w:rFonts w:ascii="Arial" w:hAnsi="Arial" w:cs="Arial"/>
          <w:sz w:val="24"/>
          <w:szCs w:val="24"/>
          <w:lang w:val="en-US"/>
        </w:rPr>
        <w:t>,</w:t>
      </w:r>
      <w:r w:rsidRPr="00A632D1">
        <w:rPr>
          <w:rFonts w:ascii="Arial" w:hAnsi="Arial" w:cs="Arial"/>
          <w:sz w:val="24"/>
          <w:szCs w:val="24"/>
          <w:lang w:val="en-US"/>
        </w:rPr>
        <w:t xml:space="preserve"> O</w:t>
      </w:r>
      <w:r w:rsidR="004E6E18">
        <w:rPr>
          <w:rFonts w:ascii="Arial" w:hAnsi="Arial" w:cs="Arial"/>
          <w:sz w:val="24"/>
          <w:szCs w:val="24"/>
          <w:lang w:val="en-US"/>
        </w:rPr>
        <w:t>.</w:t>
      </w:r>
      <w:r w:rsidRPr="00A632D1">
        <w:rPr>
          <w:rFonts w:ascii="Arial" w:hAnsi="Arial" w:cs="Arial"/>
          <w:sz w:val="24"/>
          <w:szCs w:val="24"/>
          <w:lang w:val="en-US"/>
        </w:rPr>
        <w:t xml:space="preserve">, </w:t>
      </w:r>
      <w:r w:rsidR="00AC2843">
        <w:rPr>
          <w:rFonts w:ascii="Arial" w:hAnsi="Arial" w:cs="Arial"/>
          <w:sz w:val="24"/>
          <w:szCs w:val="24"/>
          <w:lang w:val="en-US"/>
        </w:rPr>
        <w:t>&amp;</w:t>
      </w:r>
      <w:r w:rsidRPr="00A632D1">
        <w:rPr>
          <w:rFonts w:ascii="Arial" w:hAnsi="Arial" w:cs="Arial"/>
          <w:sz w:val="24"/>
          <w:szCs w:val="24"/>
          <w:lang w:val="en-US"/>
        </w:rPr>
        <w:t xml:space="preserve"> Weaver</w:t>
      </w:r>
      <w:r w:rsidR="004E6E18">
        <w:rPr>
          <w:rFonts w:ascii="Arial" w:hAnsi="Arial" w:cs="Arial"/>
          <w:sz w:val="24"/>
          <w:szCs w:val="24"/>
          <w:lang w:val="en-US"/>
        </w:rPr>
        <w:t>,</w:t>
      </w:r>
      <w:r w:rsidRPr="00A632D1">
        <w:rPr>
          <w:rFonts w:ascii="Arial" w:hAnsi="Arial" w:cs="Arial"/>
          <w:sz w:val="24"/>
          <w:szCs w:val="24"/>
          <w:lang w:val="en-US"/>
        </w:rPr>
        <w:t xml:space="preserve"> T</w:t>
      </w:r>
      <w:r w:rsidR="004E6E18">
        <w:rPr>
          <w:rFonts w:ascii="Arial" w:hAnsi="Arial" w:cs="Arial"/>
          <w:sz w:val="24"/>
          <w:szCs w:val="24"/>
          <w:lang w:val="en-US"/>
        </w:rPr>
        <w:t>.</w:t>
      </w:r>
      <w:r w:rsidRPr="00A632D1">
        <w:rPr>
          <w:rFonts w:ascii="Arial" w:hAnsi="Arial" w:cs="Arial"/>
          <w:sz w:val="24"/>
          <w:szCs w:val="24"/>
          <w:lang w:val="en-US"/>
        </w:rPr>
        <w:t xml:space="preserve"> (2010)</w:t>
      </w:r>
      <w:r w:rsidR="004E6E18">
        <w:rPr>
          <w:rFonts w:ascii="Arial" w:hAnsi="Arial" w:cs="Arial"/>
          <w:sz w:val="24"/>
          <w:szCs w:val="24"/>
          <w:lang w:val="en-US"/>
        </w:rPr>
        <w:t>.</w:t>
      </w:r>
      <w:r w:rsidRPr="00A632D1">
        <w:rPr>
          <w:rFonts w:ascii="Arial" w:hAnsi="Arial" w:cs="Arial"/>
          <w:sz w:val="24"/>
          <w:szCs w:val="24"/>
          <w:lang w:val="en-US"/>
        </w:rPr>
        <w:t xml:space="preserve"> The prevalence of personality disorder, its comorbidity with mental state disorders, and its clinical significance in community mental health teams. </w:t>
      </w:r>
      <w:r w:rsidRPr="00530DB9">
        <w:rPr>
          <w:rFonts w:ascii="Arial" w:hAnsi="Arial" w:cs="Arial"/>
          <w:i/>
          <w:sz w:val="24"/>
          <w:szCs w:val="24"/>
          <w:lang w:val="en-US"/>
        </w:rPr>
        <w:t>Social Psychiatry and Psychiatric Epidemiology, 45</w:t>
      </w:r>
      <w:r w:rsidR="004E6E18">
        <w:rPr>
          <w:rFonts w:ascii="Arial" w:hAnsi="Arial" w:cs="Arial"/>
          <w:sz w:val="24"/>
          <w:szCs w:val="24"/>
          <w:lang w:val="en-US"/>
        </w:rPr>
        <w:t>(</w:t>
      </w:r>
      <w:r w:rsidRPr="00A632D1">
        <w:rPr>
          <w:rFonts w:ascii="Arial" w:hAnsi="Arial" w:cs="Arial"/>
          <w:sz w:val="24"/>
          <w:szCs w:val="24"/>
          <w:lang w:val="en-US"/>
        </w:rPr>
        <w:t>4</w:t>
      </w:r>
      <w:r w:rsidR="004E6E18">
        <w:rPr>
          <w:rFonts w:ascii="Arial" w:hAnsi="Arial" w:cs="Arial"/>
          <w:sz w:val="24"/>
          <w:szCs w:val="24"/>
          <w:lang w:val="en-US"/>
        </w:rPr>
        <w:t>)</w:t>
      </w:r>
      <w:r w:rsidRPr="00A632D1">
        <w:rPr>
          <w:rFonts w:ascii="Arial" w:hAnsi="Arial" w:cs="Arial"/>
          <w:sz w:val="24"/>
          <w:szCs w:val="24"/>
          <w:lang w:val="en-US"/>
        </w:rPr>
        <w:t xml:space="preserve">, </w:t>
      </w:r>
      <w:r>
        <w:rPr>
          <w:rFonts w:ascii="Arial" w:hAnsi="Arial" w:cs="Arial"/>
          <w:sz w:val="24"/>
          <w:szCs w:val="24"/>
          <w:lang w:val="en-US"/>
        </w:rPr>
        <w:t>453–460</w:t>
      </w:r>
      <w:r w:rsidR="004E6E18">
        <w:rPr>
          <w:rFonts w:ascii="Arial" w:hAnsi="Arial" w:cs="Arial"/>
          <w:sz w:val="24"/>
          <w:szCs w:val="24"/>
          <w:lang w:val="en-US"/>
        </w:rPr>
        <w:t>.</w:t>
      </w:r>
      <w:r w:rsidR="00AC2843" w:rsidRPr="00AC2843">
        <w:t xml:space="preserve"> </w:t>
      </w:r>
      <w:r w:rsidR="00AC2843" w:rsidRPr="00AC2843">
        <w:rPr>
          <w:rFonts w:ascii="Arial" w:hAnsi="Arial" w:cs="Arial"/>
          <w:sz w:val="24"/>
          <w:szCs w:val="24"/>
          <w:lang w:val="en-US"/>
        </w:rPr>
        <w:t>http://dx.doi.org/10.1007/s00127-009-0084-7</w:t>
      </w:r>
    </w:p>
    <w:p w14:paraId="30D07FA9" w14:textId="18BEAF56" w:rsidR="00B1125C" w:rsidRDefault="00B1125C" w:rsidP="00B1125C">
      <w:pPr>
        <w:pStyle w:val="ListParagraph"/>
        <w:numPr>
          <w:ilvl w:val="0"/>
          <w:numId w:val="2"/>
        </w:numPr>
        <w:spacing w:after="0" w:line="360" w:lineRule="auto"/>
        <w:jc w:val="both"/>
        <w:rPr>
          <w:rFonts w:ascii="Arial" w:hAnsi="Arial" w:cs="Arial"/>
          <w:sz w:val="24"/>
          <w:szCs w:val="24"/>
          <w:lang w:val="en-US"/>
        </w:rPr>
      </w:pPr>
      <w:r w:rsidRPr="00B1125C">
        <w:rPr>
          <w:rFonts w:ascii="Arial" w:hAnsi="Arial" w:cs="Arial"/>
          <w:sz w:val="24"/>
          <w:szCs w:val="24"/>
          <w:lang w:val="en-US"/>
        </w:rPr>
        <w:t xml:space="preserve">NICE </w:t>
      </w:r>
      <w:r w:rsidR="00E94AD6">
        <w:rPr>
          <w:rFonts w:ascii="Arial" w:hAnsi="Arial" w:cs="Arial"/>
          <w:sz w:val="24"/>
          <w:szCs w:val="24"/>
          <w:lang w:val="en-US"/>
        </w:rPr>
        <w:t>(2009</w:t>
      </w:r>
      <w:r w:rsidRPr="00B1125C">
        <w:rPr>
          <w:rFonts w:ascii="Arial" w:hAnsi="Arial" w:cs="Arial"/>
          <w:sz w:val="24"/>
          <w:szCs w:val="24"/>
          <w:lang w:val="en-US"/>
        </w:rPr>
        <w:t xml:space="preserve">). </w:t>
      </w:r>
      <w:r w:rsidR="00E94AD6">
        <w:rPr>
          <w:rFonts w:ascii="Arial" w:hAnsi="Arial" w:cs="Arial"/>
          <w:sz w:val="24"/>
          <w:szCs w:val="24"/>
          <w:lang w:val="en-US"/>
        </w:rPr>
        <w:t>Antisocial personality disorder</w:t>
      </w:r>
      <w:r w:rsidR="00DE4489">
        <w:rPr>
          <w:rFonts w:ascii="Arial" w:hAnsi="Arial" w:cs="Arial"/>
          <w:sz w:val="24"/>
          <w:szCs w:val="24"/>
          <w:lang w:val="en-US"/>
        </w:rPr>
        <w:t>:</w:t>
      </w:r>
      <w:r w:rsidR="00E94AD6">
        <w:rPr>
          <w:rFonts w:ascii="Arial" w:hAnsi="Arial" w:cs="Arial"/>
          <w:sz w:val="24"/>
          <w:szCs w:val="24"/>
          <w:lang w:val="en-US"/>
        </w:rPr>
        <w:t xml:space="preserve"> prevention and management. </w:t>
      </w:r>
      <w:hyperlink r:id="rId15" w:history="1">
        <w:r w:rsidR="00DE4489" w:rsidRPr="007E1933">
          <w:rPr>
            <w:rStyle w:val="Hyperlink"/>
            <w:rFonts w:ascii="Arial" w:hAnsi="Arial" w:cs="Arial"/>
            <w:sz w:val="24"/>
            <w:szCs w:val="24"/>
            <w:lang w:val="en-US"/>
          </w:rPr>
          <w:t>https://www.nice.org.uk/guidance/cg77/resources/antisocial-personality-disorder-prevention-and-management-pdf</w:t>
        </w:r>
      </w:hyperlink>
    </w:p>
    <w:p w14:paraId="2E15C28A" w14:textId="5555516B" w:rsidR="00DE4489" w:rsidRDefault="00DE4489" w:rsidP="00DE4489">
      <w:pPr>
        <w:pStyle w:val="ListParagraph"/>
        <w:numPr>
          <w:ilvl w:val="0"/>
          <w:numId w:val="2"/>
        </w:numPr>
        <w:spacing w:after="0" w:line="360" w:lineRule="auto"/>
        <w:jc w:val="both"/>
        <w:rPr>
          <w:rFonts w:ascii="Arial" w:hAnsi="Arial" w:cs="Arial"/>
          <w:sz w:val="24"/>
          <w:szCs w:val="24"/>
          <w:lang w:val="en-US"/>
        </w:rPr>
      </w:pPr>
      <w:r>
        <w:rPr>
          <w:rFonts w:ascii="Arial" w:hAnsi="Arial" w:cs="Arial"/>
          <w:sz w:val="24"/>
          <w:szCs w:val="24"/>
          <w:lang w:val="en-US"/>
        </w:rPr>
        <w:t xml:space="preserve">NICE (2009) Borderline personality disorder: recognition and management. </w:t>
      </w:r>
      <w:r w:rsidRPr="00DE4489">
        <w:rPr>
          <w:rFonts w:ascii="Arial" w:hAnsi="Arial" w:cs="Arial"/>
          <w:sz w:val="24"/>
          <w:szCs w:val="24"/>
          <w:lang w:val="en-US"/>
        </w:rPr>
        <w:t>https://www.nice.org.uk/guidance/cg78</w:t>
      </w:r>
    </w:p>
    <w:p w14:paraId="4FDAD99F" w14:textId="2242BCE6" w:rsidR="007B7574" w:rsidRDefault="007B7574" w:rsidP="005D75A0">
      <w:pPr>
        <w:pStyle w:val="ListParagraph"/>
        <w:numPr>
          <w:ilvl w:val="0"/>
          <w:numId w:val="2"/>
        </w:numPr>
        <w:spacing w:after="0" w:line="360" w:lineRule="auto"/>
        <w:jc w:val="both"/>
        <w:rPr>
          <w:rFonts w:ascii="Arial" w:hAnsi="Arial" w:cs="Arial"/>
          <w:sz w:val="24"/>
          <w:szCs w:val="24"/>
          <w:lang w:val="en-US"/>
        </w:rPr>
      </w:pPr>
      <w:r>
        <w:rPr>
          <w:rFonts w:ascii="Arial" w:hAnsi="Arial" w:cs="Arial"/>
          <w:sz w:val="24"/>
          <w:szCs w:val="24"/>
          <w:lang w:val="en-US"/>
        </w:rPr>
        <w:t xml:space="preserve">Palmer, E., &amp; </w:t>
      </w:r>
      <w:proofErr w:type="spellStart"/>
      <w:r>
        <w:rPr>
          <w:rFonts w:ascii="Arial" w:hAnsi="Arial" w:cs="Arial"/>
          <w:sz w:val="24"/>
          <w:szCs w:val="24"/>
          <w:lang w:val="en-US"/>
        </w:rPr>
        <w:t>Hollin</w:t>
      </w:r>
      <w:proofErr w:type="spellEnd"/>
      <w:r>
        <w:rPr>
          <w:rFonts w:ascii="Arial" w:hAnsi="Arial" w:cs="Arial"/>
          <w:sz w:val="24"/>
          <w:szCs w:val="24"/>
          <w:lang w:val="en-US"/>
        </w:rPr>
        <w:t xml:space="preserve">, C., (2000). The interrelations of socio-moral reasoning, perceptions of own parenting and attributions of intent with self-reported delinquency. </w:t>
      </w:r>
      <w:r w:rsidRPr="007B7574">
        <w:rPr>
          <w:rFonts w:ascii="Arial" w:hAnsi="Arial" w:cs="Arial"/>
          <w:i/>
          <w:sz w:val="24"/>
          <w:szCs w:val="24"/>
          <w:lang w:val="en-US"/>
        </w:rPr>
        <w:t>Legal and Criminal Psychology</w:t>
      </w:r>
      <w:r>
        <w:rPr>
          <w:rFonts w:ascii="Arial" w:hAnsi="Arial" w:cs="Arial"/>
          <w:sz w:val="24"/>
          <w:szCs w:val="24"/>
          <w:lang w:val="en-US"/>
        </w:rPr>
        <w:t xml:space="preserve">, 15, 201-218. </w:t>
      </w:r>
      <w:r w:rsidR="005D75A0" w:rsidRPr="005D75A0">
        <w:rPr>
          <w:rFonts w:ascii="Arial" w:hAnsi="Arial" w:cs="Arial"/>
          <w:sz w:val="24"/>
          <w:szCs w:val="24"/>
          <w:lang w:val="en-US"/>
        </w:rPr>
        <w:t>https://doi.org/10.1348/135532500168092</w:t>
      </w:r>
      <w:r w:rsidR="005D75A0">
        <w:rPr>
          <w:rFonts w:ascii="Arial" w:hAnsi="Arial" w:cs="Arial"/>
          <w:sz w:val="24"/>
          <w:szCs w:val="24"/>
          <w:lang w:val="en-US"/>
        </w:rPr>
        <w:t>.</w:t>
      </w:r>
    </w:p>
    <w:p w14:paraId="78D8F1C7" w14:textId="45AAB66A" w:rsidR="00F74430" w:rsidRPr="007B7574" w:rsidRDefault="00F74430" w:rsidP="005D75A0">
      <w:pPr>
        <w:pStyle w:val="ListParagraph"/>
        <w:numPr>
          <w:ilvl w:val="0"/>
          <w:numId w:val="2"/>
        </w:numPr>
        <w:spacing w:after="0" w:line="360" w:lineRule="auto"/>
        <w:jc w:val="both"/>
        <w:rPr>
          <w:rFonts w:ascii="Arial" w:hAnsi="Arial" w:cs="Arial"/>
          <w:sz w:val="24"/>
          <w:szCs w:val="24"/>
          <w:lang w:val="en-US"/>
        </w:rPr>
      </w:pPr>
      <w:r w:rsidRPr="00167B47">
        <w:rPr>
          <w:rFonts w:ascii="Arial" w:hAnsi="Arial" w:cs="Arial"/>
          <w:sz w:val="24"/>
          <w:szCs w:val="24"/>
          <w:lang w:val="it-IT"/>
        </w:rPr>
        <w:t xml:space="preserve">Perry, J., </w:t>
      </w:r>
      <w:proofErr w:type="spellStart"/>
      <w:r w:rsidRPr="00167B47">
        <w:rPr>
          <w:rFonts w:ascii="Arial" w:hAnsi="Arial" w:cs="Arial"/>
          <w:sz w:val="24"/>
          <w:szCs w:val="24"/>
          <w:lang w:val="it-IT"/>
        </w:rPr>
        <w:t>Banon</w:t>
      </w:r>
      <w:proofErr w:type="spellEnd"/>
      <w:r w:rsidRPr="00167B47">
        <w:rPr>
          <w:rFonts w:ascii="Arial" w:hAnsi="Arial" w:cs="Arial"/>
          <w:sz w:val="24"/>
          <w:szCs w:val="24"/>
          <w:lang w:val="it-IT"/>
        </w:rPr>
        <w:t xml:space="preserve">, E., &amp; Ianni, F. (1999). </w:t>
      </w:r>
      <w:r w:rsidR="005D75A0" w:rsidRPr="007B7574">
        <w:rPr>
          <w:rFonts w:ascii="Arial" w:hAnsi="Arial" w:cs="Arial"/>
          <w:sz w:val="24"/>
          <w:szCs w:val="24"/>
          <w:lang w:val="en-US"/>
        </w:rPr>
        <w:t>Effectiveness</w:t>
      </w:r>
      <w:r w:rsidRPr="007B7574">
        <w:rPr>
          <w:rFonts w:ascii="Arial" w:hAnsi="Arial" w:cs="Arial"/>
          <w:sz w:val="24"/>
          <w:szCs w:val="24"/>
          <w:lang w:val="en-US"/>
        </w:rPr>
        <w:t xml:space="preserve"> of</w:t>
      </w:r>
      <w:r w:rsidR="009A2479" w:rsidRPr="007B7574">
        <w:rPr>
          <w:rFonts w:ascii="Arial" w:hAnsi="Arial" w:cs="Arial"/>
          <w:sz w:val="24"/>
          <w:szCs w:val="24"/>
          <w:lang w:val="en-US"/>
        </w:rPr>
        <w:t xml:space="preserve"> Psychotherapy for Personality </w:t>
      </w:r>
      <w:r w:rsidRPr="007B7574">
        <w:rPr>
          <w:rFonts w:ascii="Arial" w:hAnsi="Arial" w:cs="Arial"/>
          <w:sz w:val="24"/>
          <w:szCs w:val="24"/>
          <w:lang w:val="en-US"/>
        </w:rPr>
        <w:t xml:space="preserve">Disorder. </w:t>
      </w:r>
      <w:r w:rsidRPr="007B7574">
        <w:rPr>
          <w:rFonts w:ascii="Arial" w:hAnsi="Arial" w:cs="Arial"/>
          <w:i/>
          <w:sz w:val="24"/>
          <w:szCs w:val="24"/>
          <w:lang w:val="en-US"/>
        </w:rPr>
        <w:t>American Journal of Psychiatry</w:t>
      </w:r>
      <w:r w:rsidRPr="007B7574">
        <w:rPr>
          <w:rFonts w:ascii="Arial" w:hAnsi="Arial" w:cs="Arial"/>
          <w:sz w:val="24"/>
          <w:szCs w:val="24"/>
          <w:lang w:val="en-US"/>
        </w:rPr>
        <w:t>, 156(9), 1312-1321.</w:t>
      </w:r>
      <w:r w:rsidR="005D75A0">
        <w:rPr>
          <w:rFonts w:ascii="Arial" w:hAnsi="Arial" w:cs="Arial"/>
          <w:sz w:val="24"/>
          <w:szCs w:val="24"/>
          <w:lang w:val="en-US"/>
        </w:rPr>
        <w:t xml:space="preserve"> </w:t>
      </w:r>
      <w:r w:rsidR="005D75A0" w:rsidRPr="005D75A0">
        <w:rPr>
          <w:rFonts w:ascii="Arial" w:hAnsi="Arial" w:cs="Arial"/>
          <w:sz w:val="24"/>
          <w:szCs w:val="24"/>
          <w:lang w:val="en-US"/>
        </w:rPr>
        <w:t>https://doi.org/10.1176/ajp.156.9.1312</w:t>
      </w:r>
      <w:r w:rsidR="005D75A0">
        <w:rPr>
          <w:rFonts w:ascii="Arial" w:hAnsi="Arial" w:cs="Arial"/>
          <w:sz w:val="24"/>
          <w:szCs w:val="24"/>
          <w:lang w:val="en-US"/>
        </w:rPr>
        <w:t>.</w:t>
      </w:r>
    </w:p>
    <w:p w14:paraId="700125E7" w14:textId="37EC53C7" w:rsidR="00F74430" w:rsidRPr="00F74430" w:rsidRDefault="00F74430" w:rsidP="00F74430">
      <w:pPr>
        <w:pStyle w:val="ListParagraph"/>
        <w:numPr>
          <w:ilvl w:val="0"/>
          <w:numId w:val="2"/>
        </w:numPr>
        <w:spacing w:after="0" w:line="360" w:lineRule="auto"/>
        <w:jc w:val="both"/>
        <w:rPr>
          <w:rFonts w:ascii="Arial" w:hAnsi="Arial" w:cs="Arial"/>
          <w:sz w:val="24"/>
          <w:szCs w:val="24"/>
          <w:lang w:val="en-US"/>
        </w:rPr>
      </w:pPr>
      <w:r w:rsidRPr="00F74430">
        <w:rPr>
          <w:rFonts w:ascii="Arial" w:hAnsi="Arial" w:cs="Arial"/>
          <w:sz w:val="24"/>
          <w:szCs w:val="24"/>
          <w:lang w:val="en-US"/>
        </w:rPr>
        <w:t xml:space="preserve">Robins, L. N., Tipp, J., &amp; </w:t>
      </w:r>
      <w:proofErr w:type="spellStart"/>
      <w:r w:rsidRPr="00F74430">
        <w:rPr>
          <w:rFonts w:ascii="Arial" w:hAnsi="Arial" w:cs="Arial"/>
          <w:sz w:val="24"/>
          <w:szCs w:val="24"/>
          <w:lang w:val="en-US"/>
        </w:rPr>
        <w:t>Pryzbeck</w:t>
      </w:r>
      <w:proofErr w:type="spellEnd"/>
      <w:r w:rsidRPr="00F74430">
        <w:rPr>
          <w:rFonts w:ascii="Arial" w:hAnsi="Arial" w:cs="Arial"/>
          <w:sz w:val="24"/>
          <w:szCs w:val="24"/>
          <w:lang w:val="en-US"/>
        </w:rPr>
        <w:t xml:space="preserve">, T.  Antisocial personality. In: Robins LN, </w:t>
      </w:r>
      <w:proofErr w:type="spellStart"/>
      <w:r w:rsidRPr="00F74430">
        <w:rPr>
          <w:rFonts w:ascii="Arial" w:hAnsi="Arial" w:cs="Arial"/>
          <w:sz w:val="24"/>
          <w:szCs w:val="24"/>
          <w:lang w:val="en-US"/>
        </w:rPr>
        <w:t>Regier</w:t>
      </w:r>
      <w:proofErr w:type="spellEnd"/>
      <w:r w:rsidRPr="00F74430">
        <w:rPr>
          <w:rFonts w:ascii="Arial" w:hAnsi="Arial" w:cs="Arial"/>
          <w:sz w:val="24"/>
          <w:szCs w:val="24"/>
          <w:lang w:val="en-US"/>
        </w:rPr>
        <w:t xml:space="preserve"> Da editor(s). </w:t>
      </w:r>
      <w:r w:rsidRPr="009A2479">
        <w:rPr>
          <w:rFonts w:ascii="Arial" w:hAnsi="Arial" w:cs="Arial"/>
          <w:i/>
          <w:sz w:val="24"/>
          <w:szCs w:val="24"/>
          <w:lang w:val="en-US"/>
        </w:rPr>
        <w:t>Psychiatric disorders in America</w:t>
      </w:r>
      <w:r w:rsidRPr="00F74430">
        <w:rPr>
          <w:rFonts w:ascii="Arial" w:hAnsi="Arial" w:cs="Arial"/>
          <w:sz w:val="24"/>
          <w:szCs w:val="24"/>
          <w:lang w:val="en-US"/>
        </w:rPr>
        <w:t>. New York: Free Press, 1991.</w:t>
      </w:r>
    </w:p>
    <w:p w14:paraId="12C0C9A4" w14:textId="40CF4033" w:rsidR="003B3529" w:rsidRPr="003B3529" w:rsidRDefault="003B3529" w:rsidP="003B3529">
      <w:pPr>
        <w:pStyle w:val="ListParagraph"/>
        <w:numPr>
          <w:ilvl w:val="0"/>
          <w:numId w:val="2"/>
        </w:numPr>
        <w:spacing w:after="0" w:line="360" w:lineRule="auto"/>
        <w:jc w:val="both"/>
        <w:rPr>
          <w:rFonts w:ascii="Arial" w:hAnsi="Arial" w:cs="Arial"/>
          <w:sz w:val="24"/>
          <w:szCs w:val="24"/>
          <w:lang w:val="en-US"/>
        </w:rPr>
      </w:pPr>
      <w:r w:rsidRPr="003B3529">
        <w:rPr>
          <w:rFonts w:ascii="Arial" w:hAnsi="Arial" w:cs="Arial"/>
          <w:sz w:val="24"/>
          <w:szCs w:val="24"/>
        </w:rPr>
        <w:t xml:space="preserve">Salekin, R.T., Worley, C. and Grimes, R.D. (2010) Treatment of psychopathy: A review and brief introduction to the mental model approach for psychopathy. </w:t>
      </w:r>
      <w:proofErr w:type="spellStart"/>
      <w:r w:rsidR="005D75A0">
        <w:rPr>
          <w:rFonts w:ascii="Arial" w:hAnsi="Arial" w:cs="Arial"/>
          <w:i/>
          <w:sz w:val="24"/>
          <w:szCs w:val="24"/>
        </w:rPr>
        <w:t>Behavio</w:t>
      </w:r>
      <w:r w:rsidR="005D75A0" w:rsidRPr="005D75A0">
        <w:rPr>
          <w:rFonts w:ascii="Arial" w:hAnsi="Arial" w:cs="Arial"/>
          <w:i/>
          <w:sz w:val="24"/>
          <w:szCs w:val="24"/>
        </w:rPr>
        <w:t>ral</w:t>
      </w:r>
      <w:proofErr w:type="spellEnd"/>
      <w:r w:rsidRPr="005D75A0">
        <w:rPr>
          <w:rFonts w:ascii="Arial" w:hAnsi="Arial" w:cs="Arial"/>
          <w:i/>
          <w:sz w:val="24"/>
          <w:szCs w:val="24"/>
        </w:rPr>
        <w:t xml:space="preserve"> Sciences and the Law</w:t>
      </w:r>
      <w:r w:rsidRPr="003B3529">
        <w:rPr>
          <w:rFonts w:ascii="Arial" w:hAnsi="Arial" w:cs="Arial"/>
          <w:sz w:val="24"/>
          <w:szCs w:val="24"/>
        </w:rPr>
        <w:t>, 28, 235-266. http://dx.doi.org/10.1002/bsl.928</w:t>
      </w:r>
    </w:p>
    <w:p w14:paraId="3F0195DA" w14:textId="2B790364" w:rsidR="001E2DA2" w:rsidRPr="001E2DA2" w:rsidRDefault="001E2DA2" w:rsidP="001E2DA2">
      <w:pPr>
        <w:numPr>
          <w:ilvl w:val="0"/>
          <w:numId w:val="2"/>
        </w:numPr>
        <w:spacing w:after="0" w:line="360" w:lineRule="auto"/>
        <w:jc w:val="both"/>
        <w:rPr>
          <w:rFonts w:ascii="Arial" w:hAnsi="Arial" w:cs="Arial"/>
          <w:sz w:val="24"/>
          <w:szCs w:val="24"/>
          <w:lang w:val="en-US"/>
        </w:rPr>
      </w:pPr>
      <w:r w:rsidRPr="00167B47">
        <w:rPr>
          <w:rFonts w:ascii="Arial" w:hAnsi="Arial" w:cs="Arial"/>
          <w:sz w:val="24"/>
          <w:szCs w:val="24"/>
          <w:lang w:val="de-DE"/>
        </w:rPr>
        <w:lastRenderedPageBreak/>
        <w:t xml:space="preserve">Sanderson, W. C., </w:t>
      </w:r>
      <w:proofErr w:type="spellStart"/>
      <w:r w:rsidRPr="00167B47">
        <w:rPr>
          <w:rFonts w:ascii="Arial" w:hAnsi="Arial" w:cs="Arial"/>
          <w:sz w:val="24"/>
          <w:szCs w:val="24"/>
          <w:lang w:val="de-DE"/>
        </w:rPr>
        <w:t>Wetzler</w:t>
      </w:r>
      <w:proofErr w:type="spellEnd"/>
      <w:r w:rsidRPr="00167B47">
        <w:rPr>
          <w:rFonts w:ascii="Arial" w:hAnsi="Arial" w:cs="Arial"/>
          <w:sz w:val="24"/>
          <w:szCs w:val="24"/>
          <w:lang w:val="de-DE"/>
        </w:rPr>
        <w:t xml:space="preserve">, S., Beck, A. T., &amp; Betz, F. (1994). </w:t>
      </w:r>
      <w:r w:rsidRPr="001E2DA2">
        <w:rPr>
          <w:rFonts w:ascii="Arial" w:hAnsi="Arial" w:cs="Arial"/>
          <w:sz w:val="24"/>
          <w:szCs w:val="24"/>
          <w:lang w:val="en-US"/>
        </w:rPr>
        <w:t>Prevalence of personality disorders among patients with anxiety disorders. Psychiatry Research, 51(2), 167-174.</w:t>
      </w:r>
    </w:p>
    <w:p w14:paraId="536FF14B" w14:textId="0B839043" w:rsidR="00E94AD6" w:rsidRPr="00E94AD6" w:rsidRDefault="00E94AD6" w:rsidP="005D75A0">
      <w:pPr>
        <w:pStyle w:val="ListParagraph"/>
        <w:numPr>
          <w:ilvl w:val="0"/>
          <w:numId w:val="2"/>
        </w:numPr>
        <w:spacing w:after="0" w:line="360" w:lineRule="auto"/>
        <w:jc w:val="both"/>
        <w:rPr>
          <w:rFonts w:ascii="Arial" w:hAnsi="Arial" w:cs="Arial"/>
          <w:sz w:val="24"/>
          <w:szCs w:val="24"/>
          <w:lang w:val="en-US"/>
        </w:rPr>
      </w:pPr>
      <w:r w:rsidRPr="00E94AD6">
        <w:rPr>
          <w:rFonts w:ascii="Arial" w:hAnsi="Arial" w:cs="Arial"/>
          <w:sz w:val="24"/>
          <w:szCs w:val="24"/>
          <w:lang w:val="en-US"/>
        </w:rPr>
        <w:t>Sheldon, K., Howells, K., &amp; Patel, G. (2010). An empirical evaluation of reasons for non</w:t>
      </w:r>
      <w:r w:rsidRPr="00E94AD6">
        <w:rPr>
          <w:rFonts w:ascii="Cambria Math" w:hAnsi="Cambria Math" w:cs="Cambria Math"/>
          <w:sz w:val="24"/>
          <w:szCs w:val="24"/>
          <w:lang w:val="en-US"/>
        </w:rPr>
        <w:t>‐</w:t>
      </w:r>
      <w:r w:rsidRPr="00E94AD6">
        <w:rPr>
          <w:rFonts w:ascii="Arial" w:hAnsi="Arial" w:cs="Arial"/>
          <w:sz w:val="24"/>
          <w:szCs w:val="24"/>
          <w:lang w:val="en-US"/>
        </w:rPr>
        <w:t xml:space="preserve">completion of treatment in a dangerous and severe personality disorder unit. Criminal </w:t>
      </w:r>
      <w:proofErr w:type="spellStart"/>
      <w:r w:rsidRPr="00E94AD6">
        <w:rPr>
          <w:rFonts w:ascii="Arial" w:hAnsi="Arial" w:cs="Arial"/>
          <w:sz w:val="24"/>
          <w:szCs w:val="24"/>
          <w:lang w:val="en-US"/>
        </w:rPr>
        <w:t>Behaviour</w:t>
      </w:r>
      <w:proofErr w:type="spellEnd"/>
      <w:r w:rsidRPr="00E94AD6">
        <w:rPr>
          <w:rFonts w:ascii="Arial" w:hAnsi="Arial" w:cs="Arial"/>
          <w:sz w:val="24"/>
          <w:szCs w:val="24"/>
          <w:lang w:val="en-US"/>
        </w:rPr>
        <w:t xml:space="preserve"> and Mental health, 20(2), 129-143.</w:t>
      </w:r>
      <w:r w:rsidR="005D75A0">
        <w:rPr>
          <w:rFonts w:ascii="Arial" w:hAnsi="Arial" w:cs="Arial"/>
          <w:sz w:val="24"/>
          <w:szCs w:val="24"/>
          <w:lang w:val="en-US"/>
        </w:rPr>
        <w:t xml:space="preserve"> </w:t>
      </w:r>
      <w:r w:rsidR="005D75A0" w:rsidRPr="005D75A0">
        <w:rPr>
          <w:rFonts w:ascii="Arial" w:hAnsi="Arial" w:cs="Arial"/>
          <w:sz w:val="24"/>
          <w:szCs w:val="24"/>
          <w:lang w:val="en-US"/>
        </w:rPr>
        <w:t>https://doi.org/10.1002/cbm.760</w:t>
      </w:r>
      <w:r w:rsidR="005D75A0">
        <w:rPr>
          <w:rFonts w:ascii="Arial" w:hAnsi="Arial" w:cs="Arial"/>
          <w:sz w:val="24"/>
          <w:szCs w:val="24"/>
          <w:lang w:val="en-US"/>
        </w:rPr>
        <w:t>.</w:t>
      </w:r>
    </w:p>
    <w:p w14:paraId="1902CC31" w14:textId="3121B02E" w:rsidR="001E7908" w:rsidRDefault="001E7908" w:rsidP="001E7908">
      <w:pPr>
        <w:pStyle w:val="ListParagraph"/>
        <w:numPr>
          <w:ilvl w:val="0"/>
          <w:numId w:val="2"/>
        </w:numPr>
        <w:spacing w:after="0" w:line="360" w:lineRule="auto"/>
        <w:jc w:val="both"/>
        <w:rPr>
          <w:rFonts w:ascii="Arial" w:hAnsi="Arial" w:cs="Arial"/>
          <w:sz w:val="24"/>
          <w:szCs w:val="24"/>
          <w:lang w:val="en-US"/>
        </w:rPr>
      </w:pPr>
      <w:r w:rsidRPr="001E7908">
        <w:rPr>
          <w:rFonts w:ascii="Arial" w:hAnsi="Arial" w:cs="Arial"/>
          <w:sz w:val="24"/>
          <w:szCs w:val="24"/>
          <w:lang w:val="en-US"/>
        </w:rPr>
        <w:t xml:space="preserve">Singleton, N., Gatward, R., &amp; Meltzer, H. (1998). </w:t>
      </w:r>
      <w:r w:rsidRPr="00530DB9">
        <w:rPr>
          <w:rFonts w:ascii="Arial" w:hAnsi="Arial" w:cs="Arial"/>
          <w:i/>
          <w:sz w:val="24"/>
          <w:szCs w:val="24"/>
          <w:lang w:val="en-US"/>
        </w:rPr>
        <w:t xml:space="preserve">Psychiatric morbidity among prisoners </w:t>
      </w:r>
      <w:r w:rsidRPr="00530DB9">
        <w:rPr>
          <w:rFonts w:ascii="Arial" w:hAnsi="Arial" w:cs="Arial"/>
          <w:i/>
          <w:sz w:val="24"/>
          <w:szCs w:val="24"/>
          <w:lang w:val="en-US"/>
        </w:rPr>
        <w:tab/>
        <w:t>in England and Wales</w:t>
      </w:r>
      <w:r w:rsidRPr="001E7908">
        <w:rPr>
          <w:rFonts w:ascii="Arial" w:hAnsi="Arial" w:cs="Arial"/>
          <w:sz w:val="24"/>
          <w:szCs w:val="24"/>
          <w:lang w:val="en-US"/>
        </w:rPr>
        <w:t>. London: Stationery Office.</w:t>
      </w:r>
    </w:p>
    <w:p w14:paraId="035A134E" w14:textId="004AA855" w:rsidR="001A416E" w:rsidRPr="00167B47" w:rsidRDefault="001A416E" w:rsidP="005D75A0">
      <w:pPr>
        <w:numPr>
          <w:ilvl w:val="0"/>
          <w:numId w:val="2"/>
        </w:numPr>
        <w:spacing w:after="0" w:line="360" w:lineRule="auto"/>
        <w:contextualSpacing/>
        <w:jc w:val="both"/>
        <w:rPr>
          <w:rFonts w:ascii="Arial" w:hAnsi="Arial" w:cs="Arial"/>
          <w:sz w:val="24"/>
          <w:szCs w:val="24"/>
          <w:lang w:val="it-IT"/>
        </w:rPr>
      </w:pPr>
      <w:proofErr w:type="spellStart"/>
      <w:r w:rsidRPr="00167B47">
        <w:rPr>
          <w:rFonts w:ascii="Arial" w:hAnsi="Arial" w:cs="Arial"/>
          <w:sz w:val="24"/>
          <w:szCs w:val="24"/>
          <w:lang w:val="nl-NL"/>
        </w:rPr>
        <w:t>Skre</w:t>
      </w:r>
      <w:proofErr w:type="spellEnd"/>
      <w:r w:rsidRPr="00167B47">
        <w:rPr>
          <w:rFonts w:ascii="Arial" w:hAnsi="Arial" w:cs="Arial"/>
          <w:sz w:val="24"/>
          <w:szCs w:val="24"/>
          <w:lang w:val="nl-NL"/>
        </w:rPr>
        <w:t xml:space="preserve">, I., </w:t>
      </w:r>
      <w:proofErr w:type="spellStart"/>
      <w:r w:rsidRPr="00167B47">
        <w:rPr>
          <w:rFonts w:ascii="Arial" w:hAnsi="Arial" w:cs="Arial"/>
          <w:sz w:val="24"/>
          <w:szCs w:val="24"/>
          <w:lang w:val="nl-NL"/>
        </w:rPr>
        <w:t>Onstad</w:t>
      </w:r>
      <w:proofErr w:type="spellEnd"/>
      <w:r w:rsidRPr="00167B47">
        <w:rPr>
          <w:rFonts w:ascii="Arial" w:hAnsi="Arial" w:cs="Arial"/>
          <w:sz w:val="24"/>
          <w:szCs w:val="24"/>
          <w:lang w:val="nl-NL"/>
        </w:rPr>
        <w:t xml:space="preserve">, S., </w:t>
      </w:r>
      <w:proofErr w:type="spellStart"/>
      <w:r w:rsidRPr="00167B47">
        <w:rPr>
          <w:rFonts w:ascii="Arial" w:hAnsi="Arial" w:cs="Arial"/>
          <w:sz w:val="24"/>
          <w:szCs w:val="24"/>
          <w:lang w:val="nl-NL"/>
        </w:rPr>
        <w:t>Torgersen</w:t>
      </w:r>
      <w:proofErr w:type="spellEnd"/>
      <w:r w:rsidRPr="00167B47">
        <w:rPr>
          <w:rFonts w:ascii="Arial" w:hAnsi="Arial" w:cs="Arial"/>
          <w:sz w:val="24"/>
          <w:szCs w:val="24"/>
          <w:lang w:val="nl-NL"/>
        </w:rPr>
        <w:t xml:space="preserve">, S., &amp; </w:t>
      </w:r>
      <w:proofErr w:type="spellStart"/>
      <w:r w:rsidRPr="00167B47">
        <w:rPr>
          <w:rFonts w:ascii="Arial" w:hAnsi="Arial" w:cs="Arial"/>
          <w:sz w:val="24"/>
          <w:szCs w:val="24"/>
          <w:lang w:val="nl-NL"/>
        </w:rPr>
        <w:t>Kringlen</w:t>
      </w:r>
      <w:proofErr w:type="spellEnd"/>
      <w:r w:rsidRPr="00167B47">
        <w:rPr>
          <w:rFonts w:ascii="Arial" w:hAnsi="Arial" w:cs="Arial"/>
          <w:sz w:val="24"/>
          <w:szCs w:val="24"/>
          <w:lang w:val="nl-NL"/>
        </w:rPr>
        <w:t xml:space="preserve">, E. (2007). </w:t>
      </w:r>
      <w:r w:rsidRPr="00331ACA">
        <w:rPr>
          <w:rFonts w:ascii="Arial" w:hAnsi="Arial" w:cs="Arial"/>
          <w:sz w:val="24"/>
          <w:szCs w:val="24"/>
          <w:lang w:val="en-US"/>
        </w:rPr>
        <w:t xml:space="preserve">High interrater reliability for the Structured Clinical Interview for DSM-III-R Axis I (SCID-I). </w:t>
      </w:r>
      <w:r w:rsidRPr="00167B47">
        <w:rPr>
          <w:rFonts w:ascii="Arial" w:hAnsi="Arial" w:cs="Arial"/>
          <w:i/>
          <w:sz w:val="24"/>
          <w:szCs w:val="24"/>
          <w:lang w:val="it-IT"/>
        </w:rPr>
        <w:t xml:space="preserve">Acta </w:t>
      </w:r>
      <w:proofErr w:type="spellStart"/>
      <w:r w:rsidRPr="00167B47">
        <w:rPr>
          <w:rFonts w:ascii="Arial" w:hAnsi="Arial" w:cs="Arial"/>
          <w:i/>
          <w:sz w:val="24"/>
          <w:szCs w:val="24"/>
          <w:lang w:val="it-IT"/>
        </w:rPr>
        <w:t>Psychiatrica</w:t>
      </w:r>
      <w:proofErr w:type="spellEnd"/>
      <w:r w:rsidRPr="00167B47">
        <w:rPr>
          <w:rFonts w:ascii="Arial" w:hAnsi="Arial" w:cs="Arial"/>
          <w:i/>
          <w:sz w:val="24"/>
          <w:szCs w:val="24"/>
          <w:lang w:val="it-IT"/>
        </w:rPr>
        <w:t xml:space="preserve"> </w:t>
      </w:r>
      <w:proofErr w:type="spellStart"/>
      <w:r w:rsidRPr="00167B47">
        <w:rPr>
          <w:rFonts w:ascii="Arial" w:hAnsi="Arial" w:cs="Arial"/>
          <w:i/>
          <w:sz w:val="24"/>
          <w:szCs w:val="24"/>
          <w:lang w:val="it-IT"/>
        </w:rPr>
        <w:t>Scandinavica</w:t>
      </w:r>
      <w:proofErr w:type="spellEnd"/>
      <w:r w:rsidRPr="00167B47">
        <w:rPr>
          <w:rFonts w:ascii="Arial" w:hAnsi="Arial" w:cs="Arial"/>
          <w:sz w:val="24"/>
          <w:szCs w:val="24"/>
          <w:lang w:val="it-IT"/>
        </w:rPr>
        <w:t xml:space="preserve">, 84, 167-173. </w:t>
      </w:r>
      <w:r w:rsidR="005D75A0" w:rsidRPr="00167B47">
        <w:rPr>
          <w:rFonts w:ascii="Arial" w:hAnsi="Arial" w:cs="Arial"/>
          <w:sz w:val="24"/>
          <w:szCs w:val="24"/>
          <w:lang w:val="it-IT"/>
        </w:rPr>
        <w:t>http://dx.doi.org/10.1111/j.1600-0447.1991.tb03123.x.</w:t>
      </w:r>
    </w:p>
    <w:p w14:paraId="633E9AD8" w14:textId="77777777" w:rsidR="007B7574" w:rsidRDefault="007B7574" w:rsidP="00E94AD6">
      <w:pPr>
        <w:pStyle w:val="ListParagraph"/>
        <w:numPr>
          <w:ilvl w:val="0"/>
          <w:numId w:val="2"/>
        </w:numPr>
        <w:spacing w:after="0" w:line="360" w:lineRule="auto"/>
        <w:jc w:val="both"/>
        <w:rPr>
          <w:rFonts w:ascii="Arial" w:hAnsi="Arial" w:cs="Arial"/>
          <w:sz w:val="24"/>
          <w:szCs w:val="24"/>
          <w:lang w:val="en-US"/>
        </w:rPr>
      </w:pPr>
      <w:proofErr w:type="spellStart"/>
      <w:r w:rsidRPr="00167B47">
        <w:rPr>
          <w:rFonts w:ascii="Arial" w:hAnsi="Arial" w:cs="Arial"/>
          <w:sz w:val="24"/>
          <w:szCs w:val="24"/>
          <w:lang w:val="it-IT"/>
        </w:rPr>
        <w:t>Thornberry</w:t>
      </w:r>
      <w:proofErr w:type="spellEnd"/>
      <w:r w:rsidRPr="00167B47">
        <w:rPr>
          <w:rFonts w:ascii="Arial" w:hAnsi="Arial" w:cs="Arial"/>
          <w:sz w:val="24"/>
          <w:szCs w:val="24"/>
          <w:lang w:val="it-IT"/>
        </w:rPr>
        <w:t xml:space="preserve">, T.P., &amp; Krohn, M.D. (2000). </w:t>
      </w:r>
      <w:r>
        <w:rPr>
          <w:rFonts w:ascii="Arial" w:hAnsi="Arial" w:cs="Arial"/>
          <w:sz w:val="24"/>
          <w:szCs w:val="24"/>
          <w:lang w:val="en-US"/>
        </w:rPr>
        <w:t xml:space="preserve">The self-report method for measuring delinquency and crime. </w:t>
      </w:r>
      <w:r w:rsidRPr="007B7574">
        <w:rPr>
          <w:rFonts w:ascii="Arial" w:hAnsi="Arial" w:cs="Arial"/>
          <w:i/>
          <w:sz w:val="24"/>
          <w:szCs w:val="24"/>
          <w:lang w:val="en-US"/>
        </w:rPr>
        <w:t>Criminal Justice</w:t>
      </w:r>
      <w:r>
        <w:rPr>
          <w:rFonts w:ascii="Arial" w:hAnsi="Arial" w:cs="Arial"/>
          <w:sz w:val="24"/>
          <w:szCs w:val="24"/>
          <w:lang w:val="en-US"/>
        </w:rPr>
        <w:t xml:space="preserve">, 4, 43-83. </w:t>
      </w:r>
    </w:p>
    <w:p w14:paraId="51E46E9F" w14:textId="18A1E336" w:rsidR="00E94AD6" w:rsidRPr="00E94AD6" w:rsidRDefault="00E94AD6" w:rsidP="005D75A0">
      <w:pPr>
        <w:pStyle w:val="ListParagraph"/>
        <w:numPr>
          <w:ilvl w:val="0"/>
          <w:numId w:val="2"/>
        </w:numPr>
        <w:spacing w:after="0" w:line="360" w:lineRule="auto"/>
        <w:jc w:val="both"/>
        <w:rPr>
          <w:rFonts w:ascii="Arial" w:hAnsi="Arial" w:cs="Arial"/>
          <w:sz w:val="24"/>
          <w:szCs w:val="24"/>
          <w:lang w:val="en-US"/>
        </w:rPr>
      </w:pPr>
      <w:proofErr w:type="spellStart"/>
      <w:r w:rsidRPr="00E94AD6">
        <w:rPr>
          <w:rFonts w:ascii="Arial" w:hAnsi="Arial" w:cs="Arial"/>
          <w:sz w:val="24"/>
          <w:szCs w:val="24"/>
          <w:lang w:val="en-US"/>
        </w:rPr>
        <w:t>Tyrer</w:t>
      </w:r>
      <w:proofErr w:type="spellEnd"/>
      <w:r w:rsidRPr="00E94AD6">
        <w:rPr>
          <w:rFonts w:ascii="Arial" w:hAnsi="Arial" w:cs="Arial"/>
          <w:sz w:val="24"/>
          <w:szCs w:val="24"/>
          <w:lang w:val="en-US"/>
        </w:rPr>
        <w:t xml:space="preserve">, P., </w:t>
      </w:r>
      <w:proofErr w:type="spellStart"/>
      <w:r w:rsidRPr="00E94AD6">
        <w:rPr>
          <w:rFonts w:ascii="Arial" w:hAnsi="Arial" w:cs="Arial"/>
          <w:sz w:val="24"/>
          <w:szCs w:val="24"/>
          <w:lang w:val="en-US"/>
        </w:rPr>
        <w:t>Mitchard</w:t>
      </w:r>
      <w:proofErr w:type="spellEnd"/>
      <w:r w:rsidRPr="00E94AD6">
        <w:rPr>
          <w:rFonts w:ascii="Arial" w:hAnsi="Arial" w:cs="Arial"/>
          <w:sz w:val="24"/>
          <w:szCs w:val="24"/>
          <w:lang w:val="en-US"/>
        </w:rPr>
        <w:t xml:space="preserve">, S., Methuen, C., &amp; Ranger, M. (2003). Treatment rejecting and treatment seeking personality disorders: Type R and Type S. </w:t>
      </w:r>
      <w:r w:rsidRPr="007B7574">
        <w:rPr>
          <w:rFonts w:ascii="Arial" w:hAnsi="Arial" w:cs="Arial"/>
          <w:i/>
          <w:sz w:val="24"/>
          <w:szCs w:val="24"/>
          <w:lang w:val="en-US"/>
        </w:rPr>
        <w:t>Journal of Personality Disorders</w:t>
      </w:r>
      <w:r w:rsidRPr="00E94AD6">
        <w:rPr>
          <w:rFonts w:ascii="Arial" w:hAnsi="Arial" w:cs="Arial"/>
          <w:sz w:val="24"/>
          <w:szCs w:val="24"/>
          <w:lang w:val="en-US"/>
        </w:rPr>
        <w:t>, 17(3), 263-268.</w:t>
      </w:r>
      <w:r w:rsidR="005D75A0">
        <w:rPr>
          <w:rFonts w:ascii="Arial" w:hAnsi="Arial" w:cs="Arial"/>
          <w:sz w:val="24"/>
          <w:szCs w:val="24"/>
          <w:lang w:val="en-US"/>
        </w:rPr>
        <w:t xml:space="preserve"> </w:t>
      </w:r>
      <w:r w:rsidR="005D75A0" w:rsidRPr="005D75A0">
        <w:rPr>
          <w:rFonts w:ascii="Arial" w:hAnsi="Arial" w:cs="Arial"/>
          <w:sz w:val="24"/>
          <w:szCs w:val="24"/>
          <w:lang w:val="en-US"/>
        </w:rPr>
        <w:t>https://doi.org/10.1521/pedi.17.3.263.22152</w:t>
      </w:r>
      <w:r w:rsidR="005D75A0">
        <w:rPr>
          <w:rFonts w:ascii="Arial" w:hAnsi="Arial" w:cs="Arial"/>
          <w:sz w:val="24"/>
          <w:szCs w:val="24"/>
          <w:lang w:val="en-US"/>
        </w:rPr>
        <w:t>.</w:t>
      </w:r>
    </w:p>
    <w:p w14:paraId="2D240D2A" w14:textId="632DE74F" w:rsidR="005C3B33" w:rsidRPr="007B7574" w:rsidRDefault="005C3B33" w:rsidP="005D75A0">
      <w:pPr>
        <w:pStyle w:val="ListParagraph"/>
        <w:numPr>
          <w:ilvl w:val="0"/>
          <w:numId w:val="2"/>
        </w:numPr>
        <w:spacing w:after="0" w:line="360" w:lineRule="auto"/>
        <w:jc w:val="both"/>
        <w:rPr>
          <w:rFonts w:ascii="Arial" w:hAnsi="Arial" w:cs="Arial"/>
          <w:sz w:val="24"/>
          <w:szCs w:val="24"/>
          <w:lang w:val="en-US"/>
        </w:rPr>
      </w:pPr>
      <w:r w:rsidRPr="00530DB9">
        <w:rPr>
          <w:rFonts w:ascii="Arial" w:hAnsi="Arial" w:cs="Arial"/>
          <w:sz w:val="24"/>
          <w:szCs w:val="24"/>
          <w:lang w:val="en-US"/>
        </w:rPr>
        <w:t xml:space="preserve">Walters, S.J., </w:t>
      </w:r>
      <w:proofErr w:type="spellStart"/>
      <w:r w:rsidR="00530DB9" w:rsidRPr="00530DB9">
        <w:rPr>
          <w:rFonts w:ascii="Arial" w:hAnsi="Arial" w:cs="Arial"/>
          <w:sz w:val="24"/>
          <w:szCs w:val="24"/>
        </w:rPr>
        <w:t>Bonacho</w:t>
      </w:r>
      <w:proofErr w:type="spellEnd"/>
      <w:r w:rsidR="00530DB9" w:rsidRPr="00530DB9">
        <w:rPr>
          <w:rFonts w:ascii="Arial" w:hAnsi="Arial" w:cs="Arial"/>
          <w:sz w:val="24"/>
          <w:szCs w:val="24"/>
        </w:rPr>
        <w:t xml:space="preserve"> dos Anjos </w:t>
      </w:r>
      <w:r w:rsidR="00530DB9" w:rsidRPr="00530DB9">
        <w:rPr>
          <w:rFonts w:ascii="Arial" w:hAnsi="Arial" w:cs="Arial"/>
          <w:sz w:val="24"/>
          <w:szCs w:val="24"/>
          <w:lang w:val="en-US"/>
        </w:rPr>
        <w:t xml:space="preserve"> </w:t>
      </w:r>
      <w:r w:rsidRPr="00530DB9">
        <w:rPr>
          <w:rFonts w:ascii="Arial" w:hAnsi="Arial" w:cs="Arial"/>
          <w:sz w:val="24"/>
          <w:szCs w:val="24"/>
          <w:lang w:val="en-US"/>
        </w:rPr>
        <w:t>Henriques-</w:t>
      </w:r>
      <w:proofErr w:type="spellStart"/>
      <w:r w:rsidRPr="00530DB9">
        <w:rPr>
          <w:rFonts w:ascii="Arial" w:hAnsi="Arial" w:cs="Arial"/>
          <w:sz w:val="24"/>
          <w:szCs w:val="24"/>
          <w:lang w:val="en-US"/>
        </w:rPr>
        <w:t>Cadby</w:t>
      </w:r>
      <w:proofErr w:type="spellEnd"/>
      <w:r w:rsidRPr="00530DB9">
        <w:rPr>
          <w:rFonts w:ascii="Arial" w:hAnsi="Arial" w:cs="Arial"/>
          <w:sz w:val="24"/>
          <w:szCs w:val="24"/>
          <w:lang w:val="en-US"/>
        </w:rPr>
        <w:t>,</w:t>
      </w:r>
      <w:r w:rsidR="00530DB9" w:rsidRPr="00530DB9">
        <w:rPr>
          <w:rFonts w:ascii="Arial" w:hAnsi="Arial" w:cs="Arial"/>
          <w:sz w:val="24"/>
          <w:szCs w:val="24"/>
          <w:lang w:val="en-US"/>
        </w:rPr>
        <w:t xml:space="preserve"> I.</w:t>
      </w:r>
      <w:r w:rsidRPr="00530DB9">
        <w:rPr>
          <w:rFonts w:ascii="Arial" w:hAnsi="Arial" w:cs="Arial"/>
          <w:sz w:val="24"/>
          <w:szCs w:val="24"/>
          <w:lang w:val="en-US"/>
        </w:rPr>
        <w:t xml:space="preserve">, </w:t>
      </w:r>
      <w:proofErr w:type="spellStart"/>
      <w:r w:rsidRPr="00530DB9">
        <w:rPr>
          <w:rFonts w:ascii="Arial" w:hAnsi="Arial" w:cs="Arial"/>
          <w:sz w:val="24"/>
          <w:szCs w:val="24"/>
          <w:lang w:val="en-US"/>
        </w:rPr>
        <w:t>Bortolami</w:t>
      </w:r>
      <w:proofErr w:type="spellEnd"/>
      <w:r w:rsidRPr="00530DB9">
        <w:rPr>
          <w:rFonts w:ascii="Arial" w:hAnsi="Arial" w:cs="Arial"/>
          <w:sz w:val="24"/>
          <w:szCs w:val="24"/>
          <w:lang w:val="en-US"/>
        </w:rPr>
        <w:t xml:space="preserve">, O., Flight, L., Hind, D.,  Jacques, R.M., Knox, C., </w:t>
      </w:r>
      <w:proofErr w:type="spellStart"/>
      <w:r w:rsidRPr="00530DB9">
        <w:rPr>
          <w:rFonts w:ascii="Arial" w:hAnsi="Arial" w:cs="Arial"/>
          <w:sz w:val="24"/>
          <w:szCs w:val="24"/>
          <w:lang w:val="en-US"/>
        </w:rPr>
        <w:t>Nadin</w:t>
      </w:r>
      <w:proofErr w:type="spellEnd"/>
      <w:r w:rsidRPr="00530DB9">
        <w:rPr>
          <w:rFonts w:ascii="Arial" w:hAnsi="Arial" w:cs="Arial"/>
          <w:sz w:val="24"/>
          <w:szCs w:val="24"/>
          <w:lang w:val="en-US"/>
        </w:rPr>
        <w:t xml:space="preserve">, B., Rothwell, J., Surtees, M. &amp; </w:t>
      </w:r>
      <w:proofErr w:type="spellStart"/>
      <w:r w:rsidRPr="00530DB9">
        <w:rPr>
          <w:rFonts w:ascii="Arial" w:hAnsi="Arial" w:cs="Arial"/>
          <w:sz w:val="24"/>
          <w:szCs w:val="24"/>
          <w:lang w:val="en-US"/>
        </w:rPr>
        <w:t>Julious</w:t>
      </w:r>
      <w:proofErr w:type="spellEnd"/>
      <w:r w:rsidRPr="00530DB9">
        <w:rPr>
          <w:rFonts w:ascii="Arial" w:hAnsi="Arial" w:cs="Arial"/>
          <w:sz w:val="24"/>
          <w:szCs w:val="24"/>
          <w:lang w:val="en-US"/>
        </w:rPr>
        <w:t xml:space="preserve">, S.A. </w:t>
      </w:r>
      <w:r w:rsidR="00530DB9">
        <w:rPr>
          <w:rFonts w:ascii="Arial" w:hAnsi="Arial" w:cs="Arial"/>
          <w:sz w:val="24"/>
          <w:szCs w:val="24"/>
          <w:lang w:val="en-US"/>
        </w:rPr>
        <w:t>(</w:t>
      </w:r>
      <w:r w:rsidR="00530DB9" w:rsidRPr="00530DB9">
        <w:rPr>
          <w:rFonts w:ascii="Arial" w:hAnsi="Arial" w:cs="Arial"/>
          <w:sz w:val="24"/>
          <w:szCs w:val="24"/>
        </w:rPr>
        <w:t>2017</w:t>
      </w:r>
      <w:r w:rsidR="00530DB9">
        <w:rPr>
          <w:rFonts w:ascii="Arial" w:hAnsi="Arial" w:cs="Arial"/>
          <w:sz w:val="24"/>
          <w:szCs w:val="24"/>
        </w:rPr>
        <w:t xml:space="preserve">). </w:t>
      </w:r>
      <w:r w:rsidR="00530DB9" w:rsidRPr="00530DB9">
        <w:rPr>
          <w:rFonts w:ascii="Arial" w:hAnsi="Arial" w:cs="Arial"/>
          <w:sz w:val="24"/>
          <w:szCs w:val="24"/>
          <w:lang w:val="en-US"/>
        </w:rPr>
        <w:t xml:space="preserve">Recruitment and retention of participants in </w:t>
      </w:r>
      <w:proofErr w:type="spellStart"/>
      <w:r w:rsidR="00530DB9" w:rsidRPr="00530DB9">
        <w:rPr>
          <w:rFonts w:ascii="Arial" w:hAnsi="Arial" w:cs="Arial"/>
          <w:sz w:val="24"/>
          <w:szCs w:val="24"/>
          <w:lang w:val="en-US"/>
        </w:rPr>
        <w:t>randomised</w:t>
      </w:r>
      <w:proofErr w:type="spellEnd"/>
      <w:r w:rsidR="00530DB9" w:rsidRPr="00530DB9">
        <w:rPr>
          <w:rFonts w:ascii="Arial" w:hAnsi="Arial" w:cs="Arial"/>
          <w:sz w:val="24"/>
          <w:szCs w:val="24"/>
          <w:lang w:val="en-US"/>
        </w:rPr>
        <w:t xml:space="preserve"> controlled trials: a review of trials funded and published by the United Kingdom Health Technology Assessment </w:t>
      </w:r>
      <w:proofErr w:type="spellStart"/>
      <w:r w:rsidR="00530DB9" w:rsidRPr="00530DB9">
        <w:rPr>
          <w:rFonts w:ascii="Arial" w:hAnsi="Arial" w:cs="Arial"/>
          <w:sz w:val="24"/>
          <w:szCs w:val="24"/>
          <w:lang w:val="en-US"/>
        </w:rPr>
        <w:t>Programme</w:t>
      </w:r>
      <w:proofErr w:type="spellEnd"/>
      <w:r w:rsidR="00530DB9" w:rsidRPr="00530DB9">
        <w:rPr>
          <w:rFonts w:ascii="Arial" w:hAnsi="Arial" w:cs="Arial"/>
          <w:sz w:val="24"/>
          <w:szCs w:val="24"/>
          <w:lang w:val="en-US"/>
        </w:rPr>
        <w:t xml:space="preserve">. </w:t>
      </w:r>
      <w:r w:rsidR="00530DB9" w:rsidRPr="00530DB9">
        <w:rPr>
          <w:rFonts w:ascii="Arial" w:hAnsi="Arial" w:cs="Arial"/>
          <w:i/>
          <w:sz w:val="24"/>
          <w:szCs w:val="24"/>
          <w:lang w:val="en-US"/>
        </w:rPr>
        <w:t>B</w:t>
      </w:r>
      <w:r w:rsidR="00530DB9" w:rsidRPr="00530DB9">
        <w:rPr>
          <w:rFonts w:ascii="Arial" w:hAnsi="Arial" w:cs="Arial"/>
          <w:i/>
          <w:iCs/>
          <w:sz w:val="24"/>
          <w:szCs w:val="24"/>
        </w:rPr>
        <w:t>MJ Open</w:t>
      </w:r>
      <w:r w:rsidR="00530DB9">
        <w:rPr>
          <w:rFonts w:ascii="Arial" w:hAnsi="Arial" w:cs="Arial"/>
          <w:iCs/>
          <w:sz w:val="24"/>
          <w:szCs w:val="24"/>
        </w:rPr>
        <w:t>,</w:t>
      </w:r>
      <w:r w:rsidR="00530DB9">
        <w:rPr>
          <w:rFonts w:ascii="Arial" w:hAnsi="Arial" w:cs="Arial"/>
          <w:bCs/>
          <w:sz w:val="24"/>
          <w:szCs w:val="24"/>
        </w:rPr>
        <w:t xml:space="preserve"> 7.</w:t>
      </w:r>
      <w:r w:rsidR="005D75A0" w:rsidRPr="005D75A0">
        <w:t xml:space="preserve"> </w:t>
      </w:r>
      <w:r w:rsidR="005D75A0" w:rsidRPr="005D75A0">
        <w:rPr>
          <w:rFonts w:ascii="Arial" w:hAnsi="Arial" w:cs="Arial"/>
          <w:bCs/>
          <w:sz w:val="24"/>
          <w:szCs w:val="24"/>
        </w:rPr>
        <w:t>http://dx.doi.org/10.1136/bmjopen-2016-015276</w:t>
      </w:r>
      <w:r w:rsidR="005D75A0">
        <w:rPr>
          <w:rFonts w:ascii="Arial" w:hAnsi="Arial" w:cs="Arial"/>
          <w:bCs/>
          <w:sz w:val="24"/>
          <w:szCs w:val="24"/>
        </w:rPr>
        <w:t>.</w:t>
      </w:r>
    </w:p>
    <w:p w14:paraId="0E112579" w14:textId="79D62EA5" w:rsidR="007B7574" w:rsidRPr="00B4754F" w:rsidRDefault="007B7574" w:rsidP="005D75A0">
      <w:pPr>
        <w:pStyle w:val="ListParagraph"/>
        <w:numPr>
          <w:ilvl w:val="0"/>
          <w:numId w:val="2"/>
        </w:numPr>
        <w:spacing w:after="0" w:line="360" w:lineRule="auto"/>
        <w:jc w:val="both"/>
        <w:rPr>
          <w:rFonts w:ascii="Arial" w:hAnsi="Arial" w:cs="Arial"/>
          <w:sz w:val="24"/>
          <w:szCs w:val="24"/>
          <w:lang w:val="en-US"/>
        </w:rPr>
      </w:pPr>
      <w:r w:rsidRPr="007B7574">
        <w:rPr>
          <w:rFonts w:ascii="Arial" w:eastAsia="Calibri" w:hAnsi="Arial" w:cs="Arial"/>
          <w:sz w:val="24"/>
          <w:szCs w:val="24"/>
          <w:lang w:val="en-US"/>
        </w:rPr>
        <w:t xml:space="preserve">Wilson, J.H., Taylor, P.J., &amp; Robertson, G. (1985). The validity of the SCL-90 in a sample of British men remanded to prison for psychiatric reports. </w:t>
      </w:r>
      <w:r w:rsidRPr="007B7574">
        <w:rPr>
          <w:rFonts w:ascii="Arial" w:eastAsia="Calibri" w:hAnsi="Arial" w:cs="Arial"/>
          <w:i/>
          <w:sz w:val="24"/>
          <w:szCs w:val="24"/>
          <w:lang w:val="en-US"/>
        </w:rPr>
        <w:t>British Journal of Psychiatry</w:t>
      </w:r>
      <w:r w:rsidRPr="007B7574">
        <w:rPr>
          <w:rFonts w:ascii="Arial" w:eastAsia="Calibri" w:hAnsi="Arial" w:cs="Arial"/>
          <w:sz w:val="24"/>
          <w:szCs w:val="24"/>
          <w:lang w:val="en-US"/>
        </w:rPr>
        <w:t>, 147, 400-403.</w:t>
      </w:r>
      <w:r w:rsidR="005D75A0">
        <w:rPr>
          <w:rFonts w:ascii="Arial" w:eastAsia="Calibri" w:hAnsi="Arial" w:cs="Arial"/>
          <w:sz w:val="24"/>
          <w:szCs w:val="24"/>
          <w:lang w:val="en-US"/>
        </w:rPr>
        <w:t xml:space="preserve"> </w:t>
      </w:r>
      <w:r w:rsidR="005D75A0" w:rsidRPr="005D75A0">
        <w:rPr>
          <w:rFonts w:ascii="Arial" w:eastAsia="Calibri" w:hAnsi="Arial" w:cs="Arial"/>
          <w:sz w:val="24"/>
          <w:szCs w:val="24"/>
          <w:lang w:val="en-US"/>
        </w:rPr>
        <w:t>https://doi.org/10.1192/bjp.147.4.400</w:t>
      </w:r>
      <w:r w:rsidR="005D75A0">
        <w:rPr>
          <w:rFonts w:ascii="Arial" w:eastAsia="Calibri" w:hAnsi="Arial" w:cs="Arial"/>
          <w:sz w:val="24"/>
          <w:szCs w:val="24"/>
          <w:lang w:val="en-US"/>
        </w:rPr>
        <w:t>.</w:t>
      </w:r>
    </w:p>
    <w:p w14:paraId="07EB3759" w14:textId="3DEEFB74" w:rsidR="00B4754F" w:rsidRPr="00501809" w:rsidRDefault="00501809" w:rsidP="005D75A0">
      <w:pPr>
        <w:pStyle w:val="ListParagraph"/>
        <w:numPr>
          <w:ilvl w:val="0"/>
          <w:numId w:val="2"/>
        </w:numPr>
        <w:spacing w:after="0" w:line="360" w:lineRule="auto"/>
        <w:jc w:val="both"/>
        <w:rPr>
          <w:rFonts w:ascii="Arial" w:hAnsi="Arial" w:cs="Arial"/>
          <w:sz w:val="24"/>
          <w:szCs w:val="24"/>
          <w:lang w:val="en-US"/>
        </w:rPr>
      </w:pPr>
      <w:r>
        <w:rPr>
          <w:rFonts w:ascii="Arial" w:hAnsi="Arial" w:cs="Arial"/>
          <w:sz w:val="24"/>
          <w:szCs w:val="24"/>
          <w:lang w:val="en-US"/>
        </w:rPr>
        <w:t xml:space="preserve">Winship, G. &amp; Hardy, S. </w:t>
      </w:r>
      <w:r w:rsidRPr="00501809">
        <w:rPr>
          <w:rFonts w:ascii="Arial" w:hAnsi="Arial" w:cs="Arial"/>
          <w:sz w:val="24"/>
          <w:szCs w:val="24"/>
          <w:lang w:val="en-US"/>
        </w:rPr>
        <w:t>(</w:t>
      </w:r>
      <w:r w:rsidR="00B4754F" w:rsidRPr="00501809">
        <w:rPr>
          <w:rFonts w:ascii="Arial" w:hAnsi="Arial" w:cs="Arial"/>
          <w:sz w:val="24"/>
          <w:szCs w:val="24"/>
          <w:lang w:val="en-US"/>
        </w:rPr>
        <w:t>2007</w:t>
      </w:r>
      <w:r w:rsidRPr="00501809">
        <w:rPr>
          <w:rFonts w:ascii="Arial" w:hAnsi="Arial" w:cs="Arial"/>
          <w:sz w:val="24"/>
          <w:szCs w:val="24"/>
          <w:lang w:val="en-US"/>
        </w:rPr>
        <w:t xml:space="preserve">). </w:t>
      </w:r>
      <w:r w:rsidRPr="00501809">
        <w:rPr>
          <w:rFonts w:ascii="Arial" w:hAnsi="Arial" w:cs="Arial"/>
          <w:sz w:val="24"/>
          <w:szCs w:val="24"/>
        </w:rPr>
        <w:t>Perspectives on the prevalence and treatment of personality disorder</w:t>
      </w:r>
      <w:r>
        <w:rPr>
          <w:rFonts w:ascii="Arial" w:hAnsi="Arial" w:cs="Arial"/>
          <w:sz w:val="24"/>
          <w:szCs w:val="24"/>
        </w:rPr>
        <w:t xml:space="preserve">. </w:t>
      </w:r>
      <w:r w:rsidRPr="00501809">
        <w:rPr>
          <w:rFonts w:ascii="Arial" w:hAnsi="Arial" w:cs="Arial"/>
          <w:i/>
          <w:sz w:val="24"/>
          <w:szCs w:val="24"/>
        </w:rPr>
        <w:t>Journal of Psychiatric and Mental Health Nursing</w:t>
      </w:r>
      <w:r>
        <w:rPr>
          <w:rFonts w:ascii="Arial" w:hAnsi="Arial" w:cs="Arial"/>
          <w:sz w:val="24"/>
          <w:szCs w:val="24"/>
        </w:rPr>
        <w:t xml:space="preserve">, </w:t>
      </w:r>
      <w:r>
        <w:rPr>
          <w:rFonts w:ascii="Arial" w:hAnsi="Arial" w:cs="Arial"/>
          <w:sz w:val="24"/>
          <w:szCs w:val="24"/>
          <w:lang w:val="en-US"/>
        </w:rPr>
        <w:t>1</w:t>
      </w:r>
      <w:r w:rsidR="00B4754F" w:rsidRPr="00501809">
        <w:rPr>
          <w:rFonts w:ascii="Arial" w:hAnsi="Arial" w:cs="Arial"/>
          <w:sz w:val="24"/>
          <w:szCs w:val="24"/>
          <w:lang w:val="en-US"/>
        </w:rPr>
        <w:t>4(2),  148-154</w:t>
      </w:r>
      <w:r>
        <w:rPr>
          <w:rFonts w:ascii="Arial" w:hAnsi="Arial" w:cs="Arial"/>
          <w:sz w:val="24"/>
          <w:szCs w:val="24"/>
          <w:lang w:val="en-US"/>
        </w:rPr>
        <w:t xml:space="preserve">. </w:t>
      </w:r>
      <w:r w:rsidR="005D75A0" w:rsidRPr="005D75A0">
        <w:rPr>
          <w:rFonts w:ascii="Arial" w:hAnsi="Arial" w:cs="Arial"/>
          <w:sz w:val="24"/>
          <w:szCs w:val="24"/>
          <w:lang w:val="en-US"/>
        </w:rPr>
        <w:t>https://doi.org/10.1111/j.1365-2850.2007.01057.x</w:t>
      </w:r>
      <w:r w:rsidR="005D75A0">
        <w:rPr>
          <w:rFonts w:ascii="Arial" w:hAnsi="Arial" w:cs="Arial"/>
          <w:sz w:val="24"/>
          <w:szCs w:val="24"/>
          <w:lang w:val="en-US"/>
        </w:rPr>
        <w:t>.</w:t>
      </w:r>
    </w:p>
    <w:p w14:paraId="153EF1EA" w14:textId="391B6DC7" w:rsidR="0054786A" w:rsidRPr="00A632D1" w:rsidRDefault="006E6A65" w:rsidP="005D75A0">
      <w:pPr>
        <w:pStyle w:val="ListParagraph"/>
        <w:numPr>
          <w:ilvl w:val="0"/>
          <w:numId w:val="2"/>
        </w:numPr>
        <w:spacing w:after="0" w:line="360" w:lineRule="auto"/>
        <w:jc w:val="both"/>
        <w:rPr>
          <w:rFonts w:ascii="Arial" w:hAnsi="Arial" w:cs="Arial"/>
          <w:sz w:val="24"/>
          <w:szCs w:val="24"/>
          <w:lang w:val="en-US"/>
        </w:rPr>
      </w:pPr>
      <w:r w:rsidRPr="0054786A">
        <w:rPr>
          <w:rFonts w:ascii="Arial" w:hAnsi="Arial" w:cs="Arial"/>
          <w:sz w:val="24"/>
          <w:szCs w:val="24"/>
        </w:rPr>
        <w:t>Yelland</w:t>
      </w:r>
      <w:r w:rsidR="004E6E18">
        <w:rPr>
          <w:rFonts w:ascii="Arial" w:hAnsi="Arial" w:cs="Arial"/>
          <w:sz w:val="24"/>
          <w:szCs w:val="24"/>
        </w:rPr>
        <w:t>,</w:t>
      </w:r>
      <w:r>
        <w:rPr>
          <w:rFonts w:ascii="Arial" w:hAnsi="Arial" w:cs="Arial"/>
          <w:sz w:val="24"/>
          <w:szCs w:val="24"/>
        </w:rPr>
        <w:t xml:space="preserve"> L</w:t>
      </w:r>
      <w:r w:rsidR="004E6E18">
        <w:rPr>
          <w:rFonts w:ascii="Arial" w:hAnsi="Arial" w:cs="Arial"/>
          <w:sz w:val="24"/>
          <w:szCs w:val="24"/>
        </w:rPr>
        <w:t>.</w:t>
      </w:r>
      <w:r w:rsidRPr="0054786A">
        <w:rPr>
          <w:rFonts w:ascii="Arial" w:hAnsi="Arial" w:cs="Arial"/>
          <w:sz w:val="24"/>
          <w:szCs w:val="24"/>
        </w:rPr>
        <w:t>N</w:t>
      </w:r>
      <w:r w:rsidR="004E6E18">
        <w:rPr>
          <w:rFonts w:ascii="Arial" w:hAnsi="Arial" w:cs="Arial"/>
          <w:sz w:val="24"/>
          <w:szCs w:val="24"/>
        </w:rPr>
        <w:t>.</w:t>
      </w:r>
      <w:r w:rsidRPr="0054786A">
        <w:rPr>
          <w:rFonts w:ascii="Arial" w:hAnsi="Arial" w:cs="Arial"/>
          <w:sz w:val="24"/>
          <w:szCs w:val="24"/>
        </w:rPr>
        <w:t xml:space="preserve">, </w:t>
      </w:r>
      <w:r>
        <w:rPr>
          <w:rFonts w:ascii="Arial" w:hAnsi="Arial" w:cs="Arial"/>
          <w:sz w:val="24"/>
          <w:szCs w:val="24"/>
        </w:rPr>
        <w:t>Sullivan</w:t>
      </w:r>
      <w:r w:rsidR="004E6E18">
        <w:rPr>
          <w:rFonts w:ascii="Arial" w:hAnsi="Arial" w:cs="Arial"/>
          <w:sz w:val="24"/>
          <w:szCs w:val="24"/>
        </w:rPr>
        <w:t>,</w:t>
      </w:r>
      <w:r w:rsidRPr="0054786A">
        <w:rPr>
          <w:rFonts w:ascii="Arial" w:hAnsi="Arial" w:cs="Arial"/>
          <w:sz w:val="24"/>
          <w:szCs w:val="24"/>
        </w:rPr>
        <w:t xml:space="preserve"> </w:t>
      </w:r>
      <w:r>
        <w:rPr>
          <w:rFonts w:ascii="Arial" w:hAnsi="Arial" w:cs="Arial"/>
          <w:sz w:val="24"/>
          <w:szCs w:val="24"/>
        </w:rPr>
        <w:t>T</w:t>
      </w:r>
      <w:r w:rsidR="004E6E18">
        <w:rPr>
          <w:rFonts w:ascii="Arial" w:hAnsi="Arial" w:cs="Arial"/>
          <w:sz w:val="24"/>
          <w:szCs w:val="24"/>
        </w:rPr>
        <w:t>.</w:t>
      </w:r>
      <w:r>
        <w:rPr>
          <w:rFonts w:ascii="Arial" w:hAnsi="Arial" w:cs="Arial"/>
          <w:sz w:val="24"/>
          <w:szCs w:val="24"/>
        </w:rPr>
        <w:t>R</w:t>
      </w:r>
      <w:r w:rsidR="004E6E18">
        <w:rPr>
          <w:rFonts w:ascii="Arial" w:hAnsi="Arial" w:cs="Arial"/>
          <w:sz w:val="24"/>
          <w:szCs w:val="24"/>
        </w:rPr>
        <w:t>.</w:t>
      </w:r>
      <w:r w:rsidRPr="0054786A">
        <w:rPr>
          <w:rFonts w:ascii="Arial" w:hAnsi="Arial" w:cs="Arial"/>
          <w:sz w:val="24"/>
          <w:szCs w:val="24"/>
        </w:rPr>
        <w:t xml:space="preserve">, </w:t>
      </w:r>
      <w:proofErr w:type="spellStart"/>
      <w:r w:rsidRPr="0054786A">
        <w:rPr>
          <w:rFonts w:ascii="Arial" w:hAnsi="Arial" w:cs="Arial"/>
          <w:sz w:val="24"/>
          <w:szCs w:val="24"/>
        </w:rPr>
        <w:t>Voysey</w:t>
      </w:r>
      <w:proofErr w:type="spellEnd"/>
      <w:r w:rsidR="004E6E18">
        <w:rPr>
          <w:rFonts w:ascii="Arial" w:hAnsi="Arial" w:cs="Arial"/>
          <w:sz w:val="24"/>
          <w:szCs w:val="24"/>
        </w:rPr>
        <w:t>,</w:t>
      </w:r>
      <w:r>
        <w:rPr>
          <w:rFonts w:ascii="Arial" w:hAnsi="Arial" w:cs="Arial"/>
          <w:sz w:val="24"/>
          <w:szCs w:val="24"/>
        </w:rPr>
        <w:t xml:space="preserve"> M</w:t>
      </w:r>
      <w:r w:rsidR="004E6E18">
        <w:rPr>
          <w:rFonts w:ascii="Arial" w:hAnsi="Arial" w:cs="Arial"/>
          <w:sz w:val="24"/>
          <w:szCs w:val="24"/>
        </w:rPr>
        <w:t>.</w:t>
      </w:r>
      <w:r w:rsidRPr="0054786A">
        <w:rPr>
          <w:rFonts w:ascii="Arial" w:hAnsi="Arial" w:cs="Arial"/>
          <w:sz w:val="24"/>
          <w:szCs w:val="24"/>
        </w:rPr>
        <w:t>, Lee</w:t>
      </w:r>
      <w:r w:rsidR="004E6E18">
        <w:rPr>
          <w:rFonts w:ascii="Arial" w:hAnsi="Arial" w:cs="Arial"/>
          <w:sz w:val="24"/>
          <w:szCs w:val="24"/>
        </w:rPr>
        <w:t>,</w:t>
      </w:r>
      <w:r>
        <w:rPr>
          <w:rFonts w:ascii="Arial" w:hAnsi="Arial" w:cs="Arial"/>
          <w:sz w:val="24"/>
          <w:szCs w:val="24"/>
        </w:rPr>
        <w:t xml:space="preserve"> K</w:t>
      </w:r>
      <w:r w:rsidR="004E6E18">
        <w:rPr>
          <w:rFonts w:ascii="Arial" w:hAnsi="Arial" w:cs="Arial"/>
          <w:sz w:val="24"/>
          <w:szCs w:val="24"/>
        </w:rPr>
        <w:t>.</w:t>
      </w:r>
      <w:r>
        <w:rPr>
          <w:rFonts w:ascii="Arial" w:hAnsi="Arial" w:cs="Arial"/>
          <w:sz w:val="24"/>
          <w:szCs w:val="24"/>
        </w:rPr>
        <w:t>J</w:t>
      </w:r>
      <w:r w:rsidR="004E6E18">
        <w:rPr>
          <w:rFonts w:ascii="Arial" w:hAnsi="Arial" w:cs="Arial"/>
          <w:sz w:val="24"/>
          <w:szCs w:val="24"/>
        </w:rPr>
        <w:t>.</w:t>
      </w:r>
      <w:r>
        <w:rPr>
          <w:rFonts w:ascii="Arial" w:hAnsi="Arial" w:cs="Arial"/>
          <w:sz w:val="24"/>
          <w:szCs w:val="24"/>
        </w:rPr>
        <w:t>,</w:t>
      </w:r>
      <w:r w:rsidRPr="0054786A">
        <w:rPr>
          <w:rFonts w:ascii="Arial" w:hAnsi="Arial" w:cs="Arial"/>
          <w:sz w:val="24"/>
          <w:szCs w:val="24"/>
        </w:rPr>
        <w:t xml:space="preserve"> Cook</w:t>
      </w:r>
      <w:r w:rsidR="004E6E18">
        <w:rPr>
          <w:rFonts w:ascii="Arial" w:hAnsi="Arial" w:cs="Arial"/>
          <w:sz w:val="24"/>
          <w:szCs w:val="24"/>
        </w:rPr>
        <w:t>,</w:t>
      </w:r>
      <w:r>
        <w:rPr>
          <w:rFonts w:ascii="Arial" w:hAnsi="Arial" w:cs="Arial"/>
          <w:sz w:val="24"/>
          <w:szCs w:val="24"/>
        </w:rPr>
        <w:t xml:space="preserve"> J</w:t>
      </w:r>
      <w:r w:rsidR="004E6E18">
        <w:rPr>
          <w:rFonts w:ascii="Arial" w:hAnsi="Arial" w:cs="Arial"/>
          <w:sz w:val="24"/>
          <w:szCs w:val="24"/>
        </w:rPr>
        <w:t>.</w:t>
      </w:r>
      <w:r>
        <w:rPr>
          <w:rFonts w:ascii="Arial" w:hAnsi="Arial" w:cs="Arial"/>
          <w:sz w:val="24"/>
          <w:szCs w:val="24"/>
        </w:rPr>
        <w:t>A</w:t>
      </w:r>
      <w:r w:rsidR="004E6E18">
        <w:rPr>
          <w:rFonts w:ascii="Arial" w:hAnsi="Arial" w:cs="Arial"/>
          <w:sz w:val="24"/>
          <w:szCs w:val="24"/>
        </w:rPr>
        <w:t>.</w:t>
      </w:r>
      <w:r w:rsidRPr="0054786A">
        <w:rPr>
          <w:rFonts w:ascii="Arial" w:hAnsi="Arial" w:cs="Arial"/>
          <w:sz w:val="24"/>
          <w:szCs w:val="24"/>
        </w:rPr>
        <w:t xml:space="preserve"> </w:t>
      </w:r>
      <w:r w:rsidR="004E6E18">
        <w:rPr>
          <w:rFonts w:ascii="Arial" w:hAnsi="Arial" w:cs="Arial"/>
          <w:sz w:val="24"/>
          <w:szCs w:val="24"/>
        </w:rPr>
        <w:t>&amp;</w:t>
      </w:r>
      <w:r w:rsidRPr="0054786A">
        <w:rPr>
          <w:rFonts w:ascii="Arial" w:hAnsi="Arial" w:cs="Arial"/>
          <w:sz w:val="24"/>
          <w:szCs w:val="24"/>
        </w:rPr>
        <w:t xml:space="preserve"> Forbes</w:t>
      </w:r>
      <w:r w:rsidR="004E6E18">
        <w:rPr>
          <w:rFonts w:ascii="Arial" w:hAnsi="Arial" w:cs="Arial"/>
          <w:sz w:val="24"/>
          <w:szCs w:val="24"/>
        </w:rPr>
        <w:t>,</w:t>
      </w:r>
      <w:r>
        <w:rPr>
          <w:rFonts w:ascii="Arial" w:hAnsi="Arial" w:cs="Arial"/>
          <w:sz w:val="24"/>
          <w:szCs w:val="24"/>
        </w:rPr>
        <w:t xml:space="preserve"> A</w:t>
      </w:r>
      <w:r w:rsidR="004E6E18">
        <w:rPr>
          <w:rFonts w:ascii="Arial" w:hAnsi="Arial" w:cs="Arial"/>
          <w:sz w:val="24"/>
          <w:szCs w:val="24"/>
        </w:rPr>
        <w:t>.</w:t>
      </w:r>
      <w:r>
        <w:rPr>
          <w:rFonts w:ascii="Arial" w:hAnsi="Arial" w:cs="Arial"/>
          <w:sz w:val="24"/>
          <w:szCs w:val="24"/>
        </w:rPr>
        <w:t>B</w:t>
      </w:r>
      <w:r w:rsidR="004E6E18">
        <w:rPr>
          <w:rFonts w:ascii="Arial" w:hAnsi="Arial" w:cs="Arial"/>
          <w:sz w:val="24"/>
          <w:szCs w:val="24"/>
        </w:rPr>
        <w:t>.</w:t>
      </w:r>
      <w:r>
        <w:rPr>
          <w:rFonts w:ascii="Arial" w:hAnsi="Arial" w:cs="Arial"/>
          <w:sz w:val="24"/>
          <w:szCs w:val="24"/>
        </w:rPr>
        <w:t xml:space="preserve"> (</w:t>
      </w:r>
      <w:r w:rsidRPr="006E6A65">
        <w:rPr>
          <w:rFonts w:ascii="Arial" w:hAnsi="Arial" w:cs="Arial"/>
          <w:sz w:val="24"/>
          <w:szCs w:val="24"/>
        </w:rPr>
        <w:t>2015</w:t>
      </w:r>
      <w:r>
        <w:rPr>
          <w:rFonts w:ascii="Arial" w:hAnsi="Arial" w:cs="Arial"/>
          <w:sz w:val="24"/>
          <w:szCs w:val="24"/>
        </w:rPr>
        <w:t>)</w:t>
      </w:r>
      <w:r w:rsidR="004E6E18">
        <w:rPr>
          <w:rFonts w:ascii="Arial" w:hAnsi="Arial" w:cs="Arial"/>
          <w:sz w:val="24"/>
          <w:szCs w:val="24"/>
        </w:rPr>
        <w:t>.</w:t>
      </w:r>
      <w:r>
        <w:rPr>
          <w:rFonts w:ascii="Arial" w:hAnsi="Arial" w:cs="Arial"/>
          <w:sz w:val="24"/>
          <w:szCs w:val="24"/>
        </w:rPr>
        <w:t xml:space="preserve"> </w:t>
      </w:r>
      <w:r w:rsidR="0054786A" w:rsidRPr="0054786A">
        <w:rPr>
          <w:rFonts w:ascii="Arial" w:hAnsi="Arial" w:cs="Arial"/>
          <w:sz w:val="24"/>
          <w:szCs w:val="24"/>
        </w:rPr>
        <w:t xml:space="preserve">Applying the intention-to-treat principle in practice: Guidance on handling </w:t>
      </w:r>
      <w:r w:rsidR="0054786A" w:rsidRPr="0054786A">
        <w:rPr>
          <w:rFonts w:ascii="Arial" w:hAnsi="Arial" w:cs="Arial"/>
          <w:sz w:val="24"/>
          <w:szCs w:val="24"/>
        </w:rPr>
        <w:lastRenderedPageBreak/>
        <w:t>randomisation errors</w:t>
      </w:r>
      <w:r>
        <w:rPr>
          <w:rFonts w:ascii="Arial" w:hAnsi="Arial" w:cs="Arial"/>
          <w:sz w:val="24"/>
          <w:szCs w:val="24"/>
        </w:rPr>
        <w:t>.</w:t>
      </w:r>
      <w:r w:rsidR="0054786A" w:rsidRPr="0054786A">
        <w:rPr>
          <w:rFonts w:ascii="Arial" w:hAnsi="Arial" w:cs="Arial"/>
          <w:sz w:val="24"/>
          <w:szCs w:val="24"/>
        </w:rPr>
        <w:t xml:space="preserve"> </w:t>
      </w:r>
      <w:r w:rsidRPr="00530DB9">
        <w:rPr>
          <w:rFonts w:ascii="Arial" w:hAnsi="Arial" w:cs="Arial"/>
          <w:i/>
          <w:sz w:val="24"/>
          <w:szCs w:val="24"/>
        </w:rPr>
        <w:t>Clinical Trials, 12</w:t>
      </w:r>
      <w:r w:rsidR="004E6E18">
        <w:rPr>
          <w:rFonts w:ascii="Arial" w:hAnsi="Arial" w:cs="Arial"/>
          <w:sz w:val="24"/>
          <w:szCs w:val="24"/>
        </w:rPr>
        <w:t>(4),</w:t>
      </w:r>
      <w:r>
        <w:rPr>
          <w:rFonts w:ascii="Arial" w:hAnsi="Arial" w:cs="Arial"/>
          <w:sz w:val="24"/>
          <w:szCs w:val="24"/>
        </w:rPr>
        <w:t xml:space="preserve"> </w:t>
      </w:r>
      <w:r w:rsidRPr="006E6A65">
        <w:rPr>
          <w:rFonts w:ascii="Arial" w:hAnsi="Arial" w:cs="Arial"/>
          <w:sz w:val="24"/>
          <w:szCs w:val="24"/>
        </w:rPr>
        <w:t>418–423</w:t>
      </w:r>
      <w:r w:rsidR="004E6E18">
        <w:rPr>
          <w:rFonts w:ascii="Arial" w:hAnsi="Arial" w:cs="Arial"/>
          <w:sz w:val="24"/>
          <w:szCs w:val="24"/>
        </w:rPr>
        <w:t>.</w:t>
      </w:r>
      <w:r w:rsidR="005D75A0">
        <w:rPr>
          <w:rFonts w:ascii="Arial" w:hAnsi="Arial" w:cs="Arial"/>
          <w:sz w:val="24"/>
          <w:szCs w:val="24"/>
        </w:rPr>
        <w:t xml:space="preserve"> </w:t>
      </w:r>
      <w:r w:rsidR="005D75A0" w:rsidRPr="005D75A0">
        <w:rPr>
          <w:rFonts w:ascii="Arial" w:hAnsi="Arial" w:cs="Arial"/>
          <w:sz w:val="24"/>
          <w:szCs w:val="24"/>
        </w:rPr>
        <w:t>http://doi.org/10.1177/1740774515588097</w:t>
      </w:r>
      <w:r w:rsidR="005D75A0">
        <w:rPr>
          <w:rFonts w:ascii="Arial" w:hAnsi="Arial" w:cs="Arial"/>
          <w:sz w:val="24"/>
          <w:szCs w:val="24"/>
        </w:rPr>
        <w:t>.</w:t>
      </w:r>
    </w:p>
    <w:p w14:paraId="795C6B3C" w14:textId="53425952" w:rsidR="00357E93" w:rsidRPr="00A9703F" w:rsidRDefault="00A632D1" w:rsidP="005D75A0">
      <w:pPr>
        <w:pStyle w:val="ListParagraph"/>
        <w:numPr>
          <w:ilvl w:val="0"/>
          <w:numId w:val="2"/>
        </w:numPr>
        <w:spacing w:after="0" w:line="360" w:lineRule="auto"/>
        <w:jc w:val="both"/>
        <w:rPr>
          <w:rFonts w:ascii="Arial" w:hAnsi="Arial" w:cs="Arial"/>
          <w:sz w:val="24"/>
          <w:szCs w:val="24"/>
          <w:lang w:val="en-US"/>
        </w:rPr>
      </w:pPr>
      <w:r w:rsidRPr="00530DB9">
        <w:rPr>
          <w:rFonts w:ascii="Arial" w:hAnsi="Arial" w:cs="Arial"/>
          <w:sz w:val="24"/>
          <w:szCs w:val="24"/>
          <w:lang w:val="en-US"/>
        </w:rPr>
        <w:t>Zimmerman</w:t>
      </w:r>
      <w:r w:rsidR="004E6E18" w:rsidRPr="00530DB9">
        <w:rPr>
          <w:rFonts w:ascii="Arial" w:hAnsi="Arial" w:cs="Arial"/>
          <w:sz w:val="24"/>
          <w:szCs w:val="24"/>
          <w:lang w:val="en-US"/>
        </w:rPr>
        <w:t>,</w:t>
      </w:r>
      <w:r w:rsidRPr="00530DB9">
        <w:rPr>
          <w:rFonts w:ascii="Arial" w:hAnsi="Arial" w:cs="Arial"/>
          <w:sz w:val="24"/>
          <w:szCs w:val="24"/>
          <w:lang w:val="en-US"/>
        </w:rPr>
        <w:t xml:space="preserve"> M</w:t>
      </w:r>
      <w:r w:rsidR="004E6E18" w:rsidRPr="00530DB9">
        <w:rPr>
          <w:rFonts w:ascii="Arial" w:hAnsi="Arial" w:cs="Arial"/>
          <w:sz w:val="24"/>
          <w:szCs w:val="24"/>
          <w:lang w:val="en-US"/>
        </w:rPr>
        <w:t>.</w:t>
      </w:r>
      <w:r w:rsidRPr="00530DB9">
        <w:rPr>
          <w:rFonts w:ascii="Arial" w:hAnsi="Arial" w:cs="Arial"/>
          <w:sz w:val="24"/>
          <w:szCs w:val="24"/>
          <w:lang w:val="en-US"/>
        </w:rPr>
        <w:t>, Rothschild</w:t>
      </w:r>
      <w:r w:rsidR="004E6E18" w:rsidRPr="00530DB9">
        <w:rPr>
          <w:rFonts w:ascii="Arial" w:hAnsi="Arial" w:cs="Arial"/>
          <w:sz w:val="24"/>
          <w:szCs w:val="24"/>
          <w:lang w:val="en-US"/>
        </w:rPr>
        <w:t>,</w:t>
      </w:r>
      <w:r w:rsidRPr="00530DB9">
        <w:rPr>
          <w:rFonts w:ascii="Arial" w:hAnsi="Arial" w:cs="Arial"/>
          <w:sz w:val="24"/>
          <w:szCs w:val="24"/>
          <w:lang w:val="en-US"/>
        </w:rPr>
        <w:t xml:space="preserve"> L</w:t>
      </w:r>
      <w:r w:rsidR="004E6E18" w:rsidRPr="00530DB9">
        <w:rPr>
          <w:rFonts w:ascii="Arial" w:hAnsi="Arial" w:cs="Arial"/>
          <w:sz w:val="24"/>
          <w:szCs w:val="24"/>
          <w:lang w:val="en-US"/>
        </w:rPr>
        <w:t>.</w:t>
      </w:r>
      <w:r w:rsidRPr="00530DB9">
        <w:rPr>
          <w:rFonts w:ascii="Arial" w:hAnsi="Arial" w:cs="Arial"/>
          <w:sz w:val="24"/>
          <w:szCs w:val="24"/>
          <w:lang w:val="en-US"/>
        </w:rPr>
        <w:t xml:space="preserve">, </w:t>
      </w:r>
      <w:r w:rsidR="004E6E18" w:rsidRPr="00530DB9">
        <w:rPr>
          <w:rFonts w:ascii="Arial" w:hAnsi="Arial" w:cs="Arial"/>
          <w:sz w:val="24"/>
          <w:szCs w:val="24"/>
          <w:lang w:val="en-US"/>
        </w:rPr>
        <w:t>&amp;</w:t>
      </w:r>
      <w:r w:rsidRPr="00530DB9">
        <w:rPr>
          <w:rFonts w:ascii="Arial" w:hAnsi="Arial" w:cs="Arial"/>
          <w:sz w:val="24"/>
          <w:szCs w:val="24"/>
          <w:lang w:val="en-US"/>
        </w:rPr>
        <w:t xml:space="preserve"> </w:t>
      </w:r>
      <w:proofErr w:type="spellStart"/>
      <w:r w:rsidRPr="00530DB9">
        <w:rPr>
          <w:rFonts w:ascii="Arial" w:hAnsi="Arial" w:cs="Arial"/>
          <w:sz w:val="24"/>
          <w:szCs w:val="24"/>
          <w:lang w:val="en-US"/>
        </w:rPr>
        <w:t>Chelminski</w:t>
      </w:r>
      <w:proofErr w:type="spellEnd"/>
      <w:r w:rsidR="004E6E18" w:rsidRPr="00530DB9">
        <w:rPr>
          <w:rFonts w:ascii="Arial" w:hAnsi="Arial" w:cs="Arial"/>
          <w:sz w:val="24"/>
          <w:szCs w:val="24"/>
          <w:lang w:val="en-US"/>
        </w:rPr>
        <w:t>,</w:t>
      </w:r>
      <w:r w:rsidRPr="00530DB9">
        <w:rPr>
          <w:rFonts w:ascii="Arial" w:hAnsi="Arial" w:cs="Arial"/>
          <w:sz w:val="24"/>
          <w:szCs w:val="24"/>
          <w:lang w:val="en-US"/>
        </w:rPr>
        <w:t xml:space="preserve"> I</w:t>
      </w:r>
      <w:r w:rsidR="004E6E18" w:rsidRPr="00530DB9">
        <w:rPr>
          <w:rFonts w:ascii="Arial" w:hAnsi="Arial" w:cs="Arial"/>
          <w:sz w:val="24"/>
          <w:szCs w:val="24"/>
          <w:lang w:val="en-US"/>
        </w:rPr>
        <w:t>.</w:t>
      </w:r>
      <w:r w:rsidRPr="00530DB9">
        <w:rPr>
          <w:rFonts w:ascii="Arial" w:hAnsi="Arial" w:cs="Arial"/>
          <w:sz w:val="24"/>
          <w:szCs w:val="24"/>
          <w:lang w:val="en-US"/>
        </w:rPr>
        <w:t xml:space="preserve"> (2005)</w:t>
      </w:r>
      <w:r w:rsidR="004E6E18" w:rsidRPr="00530DB9">
        <w:rPr>
          <w:rFonts w:ascii="Arial" w:hAnsi="Arial" w:cs="Arial"/>
          <w:sz w:val="24"/>
          <w:szCs w:val="24"/>
          <w:lang w:val="en-US"/>
        </w:rPr>
        <w:t>.</w:t>
      </w:r>
      <w:r w:rsidRPr="00530DB9">
        <w:rPr>
          <w:rFonts w:ascii="Arial" w:hAnsi="Arial" w:cs="Arial"/>
          <w:sz w:val="24"/>
          <w:szCs w:val="24"/>
          <w:lang w:val="en-US"/>
        </w:rPr>
        <w:t xml:space="preserve"> The Prevalence of DSM-IV Personality Disorders in Psychiatric Outpatients</w:t>
      </w:r>
      <w:r w:rsidRPr="00530DB9">
        <w:rPr>
          <w:rFonts w:ascii="Arial" w:hAnsi="Arial" w:cs="Arial"/>
          <w:sz w:val="24"/>
          <w:szCs w:val="24"/>
        </w:rPr>
        <w:t xml:space="preserve">. </w:t>
      </w:r>
      <w:r w:rsidRPr="00530DB9">
        <w:rPr>
          <w:rFonts w:ascii="Arial" w:hAnsi="Arial" w:cs="Arial"/>
          <w:i/>
          <w:sz w:val="24"/>
          <w:szCs w:val="24"/>
        </w:rPr>
        <w:t xml:space="preserve">American Journal of Psychiatry, </w:t>
      </w:r>
      <w:r w:rsidR="004E6E18" w:rsidRPr="00530DB9">
        <w:rPr>
          <w:rFonts w:ascii="Arial" w:hAnsi="Arial" w:cs="Arial"/>
          <w:i/>
          <w:sz w:val="24"/>
          <w:szCs w:val="24"/>
          <w:lang w:val="en-US"/>
        </w:rPr>
        <w:t>162</w:t>
      </w:r>
      <w:r w:rsidR="004E6E18" w:rsidRPr="00530DB9">
        <w:rPr>
          <w:rFonts w:ascii="Arial" w:hAnsi="Arial" w:cs="Arial"/>
          <w:sz w:val="24"/>
          <w:szCs w:val="24"/>
          <w:lang w:val="en-US"/>
        </w:rPr>
        <w:t>(</w:t>
      </w:r>
      <w:r w:rsidRPr="00530DB9">
        <w:rPr>
          <w:rFonts w:ascii="Arial" w:hAnsi="Arial" w:cs="Arial"/>
          <w:sz w:val="24"/>
          <w:szCs w:val="24"/>
          <w:lang w:val="en-US"/>
        </w:rPr>
        <w:t>10</w:t>
      </w:r>
      <w:r w:rsidR="004E6E18" w:rsidRPr="00530DB9">
        <w:rPr>
          <w:rFonts w:ascii="Arial" w:hAnsi="Arial" w:cs="Arial"/>
          <w:sz w:val="24"/>
          <w:szCs w:val="24"/>
          <w:lang w:val="en-US"/>
        </w:rPr>
        <w:t xml:space="preserve">), </w:t>
      </w:r>
      <w:r w:rsidRPr="00530DB9">
        <w:rPr>
          <w:rFonts w:ascii="Arial" w:hAnsi="Arial" w:cs="Arial"/>
          <w:sz w:val="24"/>
          <w:szCs w:val="24"/>
          <w:lang w:val="en-US"/>
        </w:rPr>
        <w:t>1911-1918</w:t>
      </w:r>
      <w:r w:rsidR="005D75A0">
        <w:rPr>
          <w:rFonts w:ascii="Arial" w:hAnsi="Arial" w:cs="Arial"/>
          <w:sz w:val="24"/>
          <w:szCs w:val="24"/>
          <w:lang w:val="en-US"/>
        </w:rPr>
        <w:t xml:space="preserve">. </w:t>
      </w:r>
      <w:r w:rsidR="005D75A0" w:rsidRPr="005D75A0">
        <w:rPr>
          <w:rFonts w:ascii="Arial" w:hAnsi="Arial" w:cs="Arial"/>
          <w:sz w:val="24"/>
          <w:szCs w:val="24"/>
          <w:lang w:val="en-US"/>
        </w:rPr>
        <w:t>https://doi.org/10.1176/appi.ajp.162.10.1911</w:t>
      </w:r>
      <w:r w:rsidR="005D75A0">
        <w:rPr>
          <w:rFonts w:ascii="Arial" w:hAnsi="Arial" w:cs="Arial"/>
          <w:sz w:val="24"/>
          <w:szCs w:val="24"/>
          <w:lang w:val="en-US"/>
        </w:rPr>
        <w:t>.</w:t>
      </w:r>
    </w:p>
    <w:p w14:paraId="7D17A606" w14:textId="45AE421E" w:rsidR="00A632D1" w:rsidRPr="00A632D1" w:rsidRDefault="00A632D1" w:rsidP="00A632D1">
      <w:pPr>
        <w:pStyle w:val="ListParagraph"/>
        <w:spacing w:after="0" w:line="360" w:lineRule="auto"/>
        <w:ind w:left="360"/>
        <w:jc w:val="both"/>
        <w:rPr>
          <w:rFonts w:ascii="Arial" w:hAnsi="Arial" w:cs="Arial"/>
          <w:sz w:val="24"/>
          <w:szCs w:val="24"/>
          <w:lang w:val="en-US"/>
        </w:rPr>
      </w:pPr>
    </w:p>
    <w:p w14:paraId="3A9D1D6B" w14:textId="77777777" w:rsidR="00602368" w:rsidRDefault="00602368" w:rsidP="00576202">
      <w:pPr>
        <w:spacing w:after="0" w:line="240" w:lineRule="auto"/>
        <w:jc w:val="both"/>
        <w:rPr>
          <w:rFonts w:ascii="Arial" w:hAnsi="Arial" w:cs="Arial"/>
          <w:sz w:val="24"/>
          <w:szCs w:val="24"/>
        </w:rPr>
      </w:pPr>
    </w:p>
    <w:p w14:paraId="387E5B14" w14:textId="77777777" w:rsidR="003E19B4" w:rsidRDefault="003E19B4" w:rsidP="00576202">
      <w:pPr>
        <w:spacing w:after="0" w:line="240" w:lineRule="auto"/>
        <w:jc w:val="both"/>
        <w:rPr>
          <w:rFonts w:ascii="Arial" w:hAnsi="Arial" w:cs="Arial"/>
          <w:sz w:val="24"/>
          <w:szCs w:val="24"/>
        </w:rPr>
      </w:pPr>
    </w:p>
    <w:p w14:paraId="6278D37F" w14:textId="77777777" w:rsidR="00446CB1" w:rsidRPr="00576202" w:rsidRDefault="00446CB1" w:rsidP="00576202">
      <w:pPr>
        <w:spacing w:after="0" w:line="240" w:lineRule="auto"/>
        <w:rPr>
          <w:rFonts w:ascii="Arial" w:hAnsi="Arial" w:cs="Arial"/>
          <w:sz w:val="24"/>
          <w:szCs w:val="24"/>
        </w:rPr>
      </w:pPr>
    </w:p>
    <w:p w14:paraId="5056A90B" w14:textId="77777777" w:rsidR="00446CB1" w:rsidRPr="00576202" w:rsidRDefault="00446CB1" w:rsidP="00576202">
      <w:pPr>
        <w:spacing w:after="0" w:line="240" w:lineRule="auto"/>
        <w:rPr>
          <w:rFonts w:ascii="Arial" w:hAnsi="Arial" w:cs="Arial"/>
          <w:sz w:val="24"/>
          <w:szCs w:val="24"/>
        </w:rPr>
      </w:pPr>
    </w:p>
    <w:p w14:paraId="279FF924" w14:textId="77777777" w:rsidR="00446CB1" w:rsidRPr="00576202" w:rsidRDefault="00446CB1" w:rsidP="00576202">
      <w:pPr>
        <w:spacing w:after="0" w:line="240" w:lineRule="auto"/>
        <w:rPr>
          <w:rFonts w:ascii="Arial" w:hAnsi="Arial" w:cs="Arial"/>
          <w:sz w:val="24"/>
          <w:szCs w:val="24"/>
        </w:rPr>
      </w:pPr>
    </w:p>
    <w:p w14:paraId="3F25B45E" w14:textId="77777777" w:rsidR="00446CB1" w:rsidRPr="00576202" w:rsidRDefault="00446CB1" w:rsidP="00576202">
      <w:pPr>
        <w:spacing w:after="0" w:line="240" w:lineRule="auto"/>
        <w:rPr>
          <w:rFonts w:ascii="Arial" w:hAnsi="Arial" w:cs="Arial"/>
          <w:sz w:val="24"/>
          <w:szCs w:val="24"/>
        </w:rPr>
      </w:pPr>
    </w:p>
    <w:p w14:paraId="24854F45" w14:textId="77777777" w:rsidR="00446CB1" w:rsidRPr="00576202" w:rsidRDefault="00446CB1" w:rsidP="00576202">
      <w:pPr>
        <w:spacing w:after="0" w:line="240" w:lineRule="auto"/>
        <w:rPr>
          <w:rFonts w:ascii="Arial" w:hAnsi="Arial" w:cs="Arial"/>
          <w:sz w:val="24"/>
          <w:szCs w:val="24"/>
        </w:rPr>
      </w:pPr>
    </w:p>
    <w:p w14:paraId="2A83AB01" w14:textId="77777777" w:rsidR="00446CB1" w:rsidRPr="00576202" w:rsidRDefault="00446CB1" w:rsidP="00576202">
      <w:pPr>
        <w:spacing w:after="0" w:line="240" w:lineRule="auto"/>
        <w:rPr>
          <w:rFonts w:ascii="Arial" w:hAnsi="Arial" w:cs="Arial"/>
          <w:sz w:val="24"/>
          <w:szCs w:val="24"/>
        </w:rPr>
      </w:pPr>
    </w:p>
    <w:sectPr w:rsidR="00446CB1" w:rsidRPr="00576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51F2" w14:textId="77777777" w:rsidR="00790F09" w:rsidRDefault="00790F09" w:rsidP="00AD6443">
      <w:pPr>
        <w:spacing w:after="0" w:line="240" w:lineRule="auto"/>
      </w:pPr>
      <w:r>
        <w:separator/>
      </w:r>
    </w:p>
  </w:endnote>
  <w:endnote w:type="continuationSeparator" w:id="0">
    <w:p w14:paraId="183E2421" w14:textId="77777777" w:rsidR="00790F09" w:rsidRDefault="00790F09" w:rsidP="00AD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EED7" w14:textId="77777777" w:rsidR="00790F09" w:rsidRDefault="00790F09" w:rsidP="00AD6443">
      <w:pPr>
        <w:spacing w:after="0" w:line="240" w:lineRule="auto"/>
      </w:pPr>
      <w:r>
        <w:separator/>
      </w:r>
    </w:p>
  </w:footnote>
  <w:footnote w:type="continuationSeparator" w:id="0">
    <w:p w14:paraId="7F1B1D4F" w14:textId="77777777" w:rsidR="00790F09" w:rsidRDefault="00790F09" w:rsidP="00AD6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0DA"/>
    <w:multiLevelType w:val="hybridMultilevel"/>
    <w:tmpl w:val="1B4441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D1A4D"/>
    <w:multiLevelType w:val="hybridMultilevel"/>
    <w:tmpl w:val="37B80F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C6F5A"/>
    <w:multiLevelType w:val="multilevel"/>
    <w:tmpl w:val="89D4046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A0B5C5A"/>
    <w:multiLevelType w:val="multilevel"/>
    <w:tmpl w:val="817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C6AF3"/>
    <w:multiLevelType w:val="multilevel"/>
    <w:tmpl w:val="5A38AB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B5184A"/>
    <w:multiLevelType w:val="hybridMultilevel"/>
    <w:tmpl w:val="FD4E3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D93"/>
    <w:rsid w:val="00002BBE"/>
    <w:rsid w:val="00005BFF"/>
    <w:rsid w:val="00040539"/>
    <w:rsid w:val="00052656"/>
    <w:rsid w:val="00052973"/>
    <w:rsid w:val="000648FC"/>
    <w:rsid w:val="00075727"/>
    <w:rsid w:val="000761CE"/>
    <w:rsid w:val="000801AB"/>
    <w:rsid w:val="00093A79"/>
    <w:rsid w:val="00093AF6"/>
    <w:rsid w:val="000A0972"/>
    <w:rsid w:val="000A37B5"/>
    <w:rsid w:val="000B3447"/>
    <w:rsid w:val="000D1D93"/>
    <w:rsid w:val="000D7B62"/>
    <w:rsid w:val="000E3607"/>
    <w:rsid w:val="00115F4D"/>
    <w:rsid w:val="00127D46"/>
    <w:rsid w:val="00131877"/>
    <w:rsid w:val="00133227"/>
    <w:rsid w:val="001339FF"/>
    <w:rsid w:val="0013648D"/>
    <w:rsid w:val="00140E5C"/>
    <w:rsid w:val="00157C2E"/>
    <w:rsid w:val="00163D4C"/>
    <w:rsid w:val="00164D08"/>
    <w:rsid w:val="00167B47"/>
    <w:rsid w:val="0017052B"/>
    <w:rsid w:val="001873EF"/>
    <w:rsid w:val="001975A8"/>
    <w:rsid w:val="001A40B6"/>
    <w:rsid w:val="001A416E"/>
    <w:rsid w:val="001B3DD0"/>
    <w:rsid w:val="001B5F87"/>
    <w:rsid w:val="001D4B52"/>
    <w:rsid w:val="001E2DA2"/>
    <w:rsid w:val="001E5FE8"/>
    <w:rsid w:val="001E7908"/>
    <w:rsid w:val="001F6D0C"/>
    <w:rsid w:val="002047A0"/>
    <w:rsid w:val="002058A6"/>
    <w:rsid w:val="00210BC7"/>
    <w:rsid w:val="00214C38"/>
    <w:rsid w:val="00221D99"/>
    <w:rsid w:val="00221DA4"/>
    <w:rsid w:val="00225015"/>
    <w:rsid w:val="00237642"/>
    <w:rsid w:val="00244E26"/>
    <w:rsid w:val="00246396"/>
    <w:rsid w:val="0025066F"/>
    <w:rsid w:val="00251339"/>
    <w:rsid w:val="002528F8"/>
    <w:rsid w:val="00260E09"/>
    <w:rsid w:val="002638BE"/>
    <w:rsid w:val="0026457F"/>
    <w:rsid w:val="00267EF2"/>
    <w:rsid w:val="00284D34"/>
    <w:rsid w:val="00285389"/>
    <w:rsid w:val="0028718E"/>
    <w:rsid w:val="00292D82"/>
    <w:rsid w:val="002A1B4A"/>
    <w:rsid w:val="002C7BF3"/>
    <w:rsid w:val="002F7BA5"/>
    <w:rsid w:val="00316FA8"/>
    <w:rsid w:val="00335FFD"/>
    <w:rsid w:val="00343780"/>
    <w:rsid w:val="0034498A"/>
    <w:rsid w:val="003501A5"/>
    <w:rsid w:val="00354C2E"/>
    <w:rsid w:val="00357E93"/>
    <w:rsid w:val="003622D7"/>
    <w:rsid w:val="0038145D"/>
    <w:rsid w:val="003A11B9"/>
    <w:rsid w:val="003A5FD1"/>
    <w:rsid w:val="003B25C8"/>
    <w:rsid w:val="003B3529"/>
    <w:rsid w:val="003B5843"/>
    <w:rsid w:val="003C0BC8"/>
    <w:rsid w:val="003C5FAA"/>
    <w:rsid w:val="003D1060"/>
    <w:rsid w:val="003D1975"/>
    <w:rsid w:val="003D41B0"/>
    <w:rsid w:val="003D7FFC"/>
    <w:rsid w:val="003E19B4"/>
    <w:rsid w:val="003E7D48"/>
    <w:rsid w:val="0040792A"/>
    <w:rsid w:val="00422F2C"/>
    <w:rsid w:val="00441AE7"/>
    <w:rsid w:val="0044625C"/>
    <w:rsid w:val="00446CB1"/>
    <w:rsid w:val="004532CE"/>
    <w:rsid w:val="004663FF"/>
    <w:rsid w:val="004674AE"/>
    <w:rsid w:val="00472001"/>
    <w:rsid w:val="00472A30"/>
    <w:rsid w:val="0047622C"/>
    <w:rsid w:val="0047641D"/>
    <w:rsid w:val="00481E42"/>
    <w:rsid w:val="00494243"/>
    <w:rsid w:val="00495B5A"/>
    <w:rsid w:val="00495E67"/>
    <w:rsid w:val="00496F81"/>
    <w:rsid w:val="004974D1"/>
    <w:rsid w:val="004A0FB8"/>
    <w:rsid w:val="004B16E3"/>
    <w:rsid w:val="004B3660"/>
    <w:rsid w:val="004B4AA5"/>
    <w:rsid w:val="004B73A8"/>
    <w:rsid w:val="004C1ED6"/>
    <w:rsid w:val="004E6E18"/>
    <w:rsid w:val="004F2D44"/>
    <w:rsid w:val="004F4F2B"/>
    <w:rsid w:val="0050011A"/>
    <w:rsid w:val="00501809"/>
    <w:rsid w:val="005027B6"/>
    <w:rsid w:val="005055DB"/>
    <w:rsid w:val="00505BBB"/>
    <w:rsid w:val="00515A85"/>
    <w:rsid w:val="005167E5"/>
    <w:rsid w:val="00523E28"/>
    <w:rsid w:val="00530DB9"/>
    <w:rsid w:val="0053474D"/>
    <w:rsid w:val="00543519"/>
    <w:rsid w:val="005453BF"/>
    <w:rsid w:val="0054786A"/>
    <w:rsid w:val="00551E27"/>
    <w:rsid w:val="00560BD4"/>
    <w:rsid w:val="0057073D"/>
    <w:rsid w:val="00576202"/>
    <w:rsid w:val="00581EB9"/>
    <w:rsid w:val="0058767B"/>
    <w:rsid w:val="0059336D"/>
    <w:rsid w:val="00594376"/>
    <w:rsid w:val="0059548A"/>
    <w:rsid w:val="005A4DB8"/>
    <w:rsid w:val="005B181F"/>
    <w:rsid w:val="005B21E3"/>
    <w:rsid w:val="005C1D92"/>
    <w:rsid w:val="005C3757"/>
    <w:rsid w:val="005C3B33"/>
    <w:rsid w:val="005C4FB0"/>
    <w:rsid w:val="005D75A0"/>
    <w:rsid w:val="005D7793"/>
    <w:rsid w:val="005E7029"/>
    <w:rsid w:val="00602368"/>
    <w:rsid w:val="006067E6"/>
    <w:rsid w:val="00613088"/>
    <w:rsid w:val="0061489C"/>
    <w:rsid w:val="006168E7"/>
    <w:rsid w:val="00625C79"/>
    <w:rsid w:val="00625F8E"/>
    <w:rsid w:val="0062614B"/>
    <w:rsid w:val="0063106C"/>
    <w:rsid w:val="006313EE"/>
    <w:rsid w:val="0063335B"/>
    <w:rsid w:val="00641439"/>
    <w:rsid w:val="00642F4B"/>
    <w:rsid w:val="0064796A"/>
    <w:rsid w:val="00656F50"/>
    <w:rsid w:val="00675C96"/>
    <w:rsid w:val="006761EA"/>
    <w:rsid w:val="00681373"/>
    <w:rsid w:val="00686F67"/>
    <w:rsid w:val="00687197"/>
    <w:rsid w:val="006923C5"/>
    <w:rsid w:val="00695209"/>
    <w:rsid w:val="006A26BC"/>
    <w:rsid w:val="006D0A25"/>
    <w:rsid w:val="006D2CB0"/>
    <w:rsid w:val="006D61BE"/>
    <w:rsid w:val="006E57A2"/>
    <w:rsid w:val="006E60B6"/>
    <w:rsid w:val="006E6A65"/>
    <w:rsid w:val="006F12C2"/>
    <w:rsid w:val="00714E28"/>
    <w:rsid w:val="00715287"/>
    <w:rsid w:val="00716267"/>
    <w:rsid w:val="00727117"/>
    <w:rsid w:val="00731F14"/>
    <w:rsid w:val="00737694"/>
    <w:rsid w:val="0074187B"/>
    <w:rsid w:val="00763D37"/>
    <w:rsid w:val="00774D73"/>
    <w:rsid w:val="00783EB0"/>
    <w:rsid w:val="00785873"/>
    <w:rsid w:val="00790F09"/>
    <w:rsid w:val="007927CB"/>
    <w:rsid w:val="007953A8"/>
    <w:rsid w:val="007966DB"/>
    <w:rsid w:val="007A106A"/>
    <w:rsid w:val="007A38CA"/>
    <w:rsid w:val="007B60FB"/>
    <w:rsid w:val="007B7574"/>
    <w:rsid w:val="007C2C55"/>
    <w:rsid w:val="007C4636"/>
    <w:rsid w:val="007D0595"/>
    <w:rsid w:val="007E1A4A"/>
    <w:rsid w:val="007F79F3"/>
    <w:rsid w:val="0080303D"/>
    <w:rsid w:val="008076AD"/>
    <w:rsid w:val="00823113"/>
    <w:rsid w:val="00847DBB"/>
    <w:rsid w:val="0085290C"/>
    <w:rsid w:val="008560E3"/>
    <w:rsid w:val="00861A84"/>
    <w:rsid w:val="00864FD1"/>
    <w:rsid w:val="008752AC"/>
    <w:rsid w:val="008818A1"/>
    <w:rsid w:val="00895DBB"/>
    <w:rsid w:val="00897738"/>
    <w:rsid w:val="00897D22"/>
    <w:rsid w:val="008A2510"/>
    <w:rsid w:val="008C7B7B"/>
    <w:rsid w:val="008D1388"/>
    <w:rsid w:val="008D2220"/>
    <w:rsid w:val="008E3ADB"/>
    <w:rsid w:val="008F0BD9"/>
    <w:rsid w:val="008F7CD4"/>
    <w:rsid w:val="009033A5"/>
    <w:rsid w:val="009039F8"/>
    <w:rsid w:val="009145ED"/>
    <w:rsid w:val="0091532F"/>
    <w:rsid w:val="00922501"/>
    <w:rsid w:val="0093069A"/>
    <w:rsid w:val="00932698"/>
    <w:rsid w:val="0097052B"/>
    <w:rsid w:val="00973F9F"/>
    <w:rsid w:val="00980C54"/>
    <w:rsid w:val="00990F7A"/>
    <w:rsid w:val="00996CB5"/>
    <w:rsid w:val="009A2479"/>
    <w:rsid w:val="009B5FCC"/>
    <w:rsid w:val="009C2E8F"/>
    <w:rsid w:val="009D2CD2"/>
    <w:rsid w:val="009E0E30"/>
    <w:rsid w:val="00A048D3"/>
    <w:rsid w:val="00A06A6B"/>
    <w:rsid w:val="00A239A1"/>
    <w:rsid w:val="00A23D7A"/>
    <w:rsid w:val="00A2522F"/>
    <w:rsid w:val="00A36037"/>
    <w:rsid w:val="00A41C2A"/>
    <w:rsid w:val="00A4543E"/>
    <w:rsid w:val="00A4555A"/>
    <w:rsid w:val="00A50F9F"/>
    <w:rsid w:val="00A61A92"/>
    <w:rsid w:val="00A632D1"/>
    <w:rsid w:val="00A70745"/>
    <w:rsid w:val="00A72CC9"/>
    <w:rsid w:val="00A80002"/>
    <w:rsid w:val="00A9007E"/>
    <w:rsid w:val="00A9703F"/>
    <w:rsid w:val="00AA798F"/>
    <w:rsid w:val="00AB51C1"/>
    <w:rsid w:val="00AB5893"/>
    <w:rsid w:val="00AC1977"/>
    <w:rsid w:val="00AC2843"/>
    <w:rsid w:val="00AC46C9"/>
    <w:rsid w:val="00AD6443"/>
    <w:rsid w:val="00AE28EA"/>
    <w:rsid w:val="00AE7E70"/>
    <w:rsid w:val="00AF0918"/>
    <w:rsid w:val="00B04C06"/>
    <w:rsid w:val="00B1125C"/>
    <w:rsid w:val="00B1480D"/>
    <w:rsid w:val="00B253CC"/>
    <w:rsid w:val="00B31128"/>
    <w:rsid w:val="00B45B91"/>
    <w:rsid w:val="00B4754F"/>
    <w:rsid w:val="00B50E29"/>
    <w:rsid w:val="00B55D76"/>
    <w:rsid w:val="00B621FD"/>
    <w:rsid w:val="00B7134B"/>
    <w:rsid w:val="00B776F2"/>
    <w:rsid w:val="00B80E01"/>
    <w:rsid w:val="00B8288D"/>
    <w:rsid w:val="00BA3850"/>
    <w:rsid w:val="00BB4A43"/>
    <w:rsid w:val="00BB6ED8"/>
    <w:rsid w:val="00BC1EEF"/>
    <w:rsid w:val="00BC2C09"/>
    <w:rsid w:val="00BD2BA8"/>
    <w:rsid w:val="00BD537D"/>
    <w:rsid w:val="00C00CF4"/>
    <w:rsid w:val="00C01F53"/>
    <w:rsid w:val="00C042B6"/>
    <w:rsid w:val="00C31A2B"/>
    <w:rsid w:val="00C34029"/>
    <w:rsid w:val="00C354C7"/>
    <w:rsid w:val="00C406B0"/>
    <w:rsid w:val="00C4570F"/>
    <w:rsid w:val="00C46643"/>
    <w:rsid w:val="00C52F8D"/>
    <w:rsid w:val="00C53C88"/>
    <w:rsid w:val="00C74A92"/>
    <w:rsid w:val="00C77474"/>
    <w:rsid w:val="00C923BF"/>
    <w:rsid w:val="00C9460D"/>
    <w:rsid w:val="00CA14AF"/>
    <w:rsid w:val="00CA39EE"/>
    <w:rsid w:val="00CA6C24"/>
    <w:rsid w:val="00CA6EA4"/>
    <w:rsid w:val="00CB23D4"/>
    <w:rsid w:val="00CB5DFB"/>
    <w:rsid w:val="00CC5977"/>
    <w:rsid w:val="00CD6503"/>
    <w:rsid w:val="00CE34AA"/>
    <w:rsid w:val="00CE37DE"/>
    <w:rsid w:val="00D023D4"/>
    <w:rsid w:val="00D050F7"/>
    <w:rsid w:val="00D1096A"/>
    <w:rsid w:val="00D11749"/>
    <w:rsid w:val="00D16CA0"/>
    <w:rsid w:val="00D207A4"/>
    <w:rsid w:val="00D31C80"/>
    <w:rsid w:val="00D45D3C"/>
    <w:rsid w:val="00D73B35"/>
    <w:rsid w:val="00D82CFA"/>
    <w:rsid w:val="00DB4D2D"/>
    <w:rsid w:val="00DB6778"/>
    <w:rsid w:val="00DC5B88"/>
    <w:rsid w:val="00DD00A5"/>
    <w:rsid w:val="00DD0EDD"/>
    <w:rsid w:val="00DD7229"/>
    <w:rsid w:val="00DE4489"/>
    <w:rsid w:val="00DF42E7"/>
    <w:rsid w:val="00DF6301"/>
    <w:rsid w:val="00DF7704"/>
    <w:rsid w:val="00E0251E"/>
    <w:rsid w:val="00E040C5"/>
    <w:rsid w:val="00E04946"/>
    <w:rsid w:val="00E0588F"/>
    <w:rsid w:val="00E07BC3"/>
    <w:rsid w:val="00E2493A"/>
    <w:rsid w:val="00E25850"/>
    <w:rsid w:val="00E35297"/>
    <w:rsid w:val="00E544B8"/>
    <w:rsid w:val="00E54D99"/>
    <w:rsid w:val="00E727C5"/>
    <w:rsid w:val="00E8271C"/>
    <w:rsid w:val="00E94AD6"/>
    <w:rsid w:val="00E963B4"/>
    <w:rsid w:val="00EA3517"/>
    <w:rsid w:val="00EA3835"/>
    <w:rsid w:val="00EA3F61"/>
    <w:rsid w:val="00EA6231"/>
    <w:rsid w:val="00EC0946"/>
    <w:rsid w:val="00EC5270"/>
    <w:rsid w:val="00EC7BEB"/>
    <w:rsid w:val="00ED0F7F"/>
    <w:rsid w:val="00ED4BC5"/>
    <w:rsid w:val="00ED5476"/>
    <w:rsid w:val="00EE61E4"/>
    <w:rsid w:val="00EE7A71"/>
    <w:rsid w:val="00EF1418"/>
    <w:rsid w:val="00EF2491"/>
    <w:rsid w:val="00EF4A2D"/>
    <w:rsid w:val="00EF509E"/>
    <w:rsid w:val="00F15134"/>
    <w:rsid w:val="00F22882"/>
    <w:rsid w:val="00F23348"/>
    <w:rsid w:val="00F4237C"/>
    <w:rsid w:val="00F43930"/>
    <w:rsid w:val="00F439C4"/>
    <w:rsid w:val="00F51AB7"/>
    <w:rsid w:val="00F56A52"/>
    <w:rsid w:val="00F57908"/>
    <w:rsid w:val="00F60970"/>
    <w:rsid w:val="00F66C26"/>
    <w:rsid w:val="00F7006A"/>
    <w:rsid w:val="00F70114"/>
    <w:rsid w:val="00F74430"/>
    <w:rsid w:val="00F74649"/>
    <w:rsid w:val="00F8108E"/>
    <w:rsid w:val="00F8143C"/>
    <w:rsid w:val="00F8424B"/>
    <w:rsid w:val="00F90C57"/>
    <w:rsid w:val="00FA391B"/>
    <w:rsid w:val="00FA3E05"/>
    <w:rsid w:val="00FB3206"/>
    <w:rsid w:val="00FD1361"/>
    <w:rsid w:val="00FD3699"/>
    <w:rsid w:val="00FD6D7A"/>
    <w:rsid w:val="00FD75D3"/>
    <w:rsid w:val="00FE371A"/>
    <w:rsid w:val="00FE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EC8A"/>
  <w15:docId w15:val="{2AD0039A-C9B8-4F3D-8D69-73F0F71B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F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2882"/>
    <w:rPr>
      <w:sz w:val="16"/>
      <w:szCs w:val="16"/>
    </w:rPr>
  </w:style>
  <w:style w:type="paragraph" w:styleId="CommentText">
    <w:name w:val="annotation text"/>
    <w:basedOn w:val="Normal"/>
    <w:link w:val="CommentTextChar"/>
    <w:uiPriority w:val="99"/>
    <w:semiHidden/>
    <w:unhideWhenUsed/>
    <w:rsid w:val="00F22882"/>
    <w:pPr>
      <w:spacing w:line="240" w:lineRule="auto"/>
    </w:pPr>
    <w:rPr>
      <w:sz w:val="20"/>
      <w:szCs w:val="20"/>
    </w:rPr>
  </w:style>
  <w:style w:type="character" w:customStyle="1" w:styleId="CommentTextChar">
    <w:name w:val="Comment Text Char"/>
    <w:basedOn w:val="DefaultParagraphFont"/>
    <w:link w:val="CommentText"/>
    <w:uiPriority w:val="99"/>
    <w:semiHidden/>
    <w:rsid w:val="00F22882"/>
    <w:rPr>
      <w:sz w:val="20"/>
      <w:szCs w:val="20"/>
    </w:rPr>
  </w:style>
  <w:style w:type="paragraph" w:styleId="CommentSubject">
    <w:name w:val="annotation subject"/>
    <w:basedOn w:val="CommentText"/>
    <w:next w:val="CommentText"/>
    <w:link w:val="CommentSubjectChar"/>
    <w:uiPriority w:val="99"/>
    <w:semiHidden/>
    <w:unhideWhenUsed/>
    <w:rsid w:val="00F22882"/>
    <w:rPr>
      <w:b/>
      <w:bCs/>
    </w:rPr>
  </w:style>
  <w:style w:type="character" w:customStyle="1" w:styleId="CommentSubjectChar">
    <w:name w:val="Comment Subject Char"/>
    <w:basedOn w:val="CommentTextChar"/>
    <w:link w:val="CommentSubject"/>
    <w:uiPriority w:val="99"/>
    <w:semiHidden/>
    <w:rsid w:val="00F22882"/>
    <w:rPr>
      <w:b/>
      <w:bCs/>
      <w:sz w:val="20"/>
      <w:szCs w:val="20"/>
    </w:rPr>
  </w:style>
  <w:style w:type="paragraph" w:styleId="BalloonText">
    <w:name w:val="Balloon Text"/>
    <w:basedOn w:val="Normal"/>
    <w:link w:val="BalloonTextChar"/>
    <w:uiPriority w:val="99"/>
    <w:semiHidden/>
    <w:unhideWhenUsed/>
    <w:rsid w:val="00F22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82"/>
    <w:rPr>
      <w:rFonts w:ascii="Segoe UI" w:hAnsi="Segoe UI" w:cs="Segoe UI"/>
      <w:sz w:val="18"/>
      <w:szCs w:val="18"/>
    </w:rPr>
  </w:style>
  <w:style w:type="paragraph" w:styleId="FootnoteText">
    <w:name w:val="footnote text"/>
    <w:basedOn w:val="Normal"/>
    <w:link w:val="FootnoteTextChar"/>
    <w:uiPriority w:val="99"/>
    <w:semiHidden/>
    <w:unhideWhenUsed/>
    <w:rsid w:val="00AD6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443"/>
    <w:rPr>
      <w:sz w:val="20"/>
      <w:szCs w:val="20"/>
    </w:rPr>
  </w:style>
  <w:style w:type="character" w:styleId="FootnoteReference">
    <w:name w:val="footnote reference"/>
    <w:basedOn w:val="DefaultParagraphFont"/>
    <w:uiPriority w:val="99"/>
    <w:semiHidden/>
    <w:unhideWhenUsed/>
    <w:rsid w:val="00AD6443"/>
    <w:rPr>
      <w:vertAlign w:val="superscript"/>
    </w:rPr>
  </w:style>
  <w:style w:type="paragraph" w:styleId="ListParagraph">
    <w:name w:val="List Paragraph"/>
    <w:basedOn w:val="Normal"/>
    <w:uiPriority w:val="34"/>
    <w:qFormat/>
    <w:rsid w:val="006F12C2"/>
    <w:pPr>
      <w:ind w:left="720"/>
      <w:contextualSpacing/>
    </w:pPr>
  </w:style>
  <w:style w:type="character" w:customStyle="1" w:styleId="Heading1Char">
    <w:name w:val="Heading 1 Char"/>
    <w:basedOn w:val="DefaultParagraphFont"/>
    <w:link w:val="Heading1"/>
    <w:uiPriority w:val="9"/>
    <w:rsid w:val="004A0FB8"/>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C35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0623">
      <w:bodyDiv w:val="1"/>
      <w:marLeft w:val="0"/>
      <w:marRight w:val="0"/>
      <w:marTop w:val="0"/>
      <w:marBottom w:val="0"/>
      <w:divBdr>
        <w:top w:val="none" w:sz="0" w:space="0" w:color="auto"/>
        <w:left w:val="none" w:sz="0" w:space="0" w:color="auto"/>
        <w:bottom w:val="none" w:sz="0" w:space="0" w:color="auto"/>
        <w:right w:val="none" w:sz="0" w:space="0" w:color="auto"/>
      </w:divBdr>
    </w:div>
    <w:div w:id="95836140">
      <w:bodyDiv w:val="1"/>
      <w:marLeft w:val="0"/>
      <w:marRight w:val="0"/>
      <w:marTop w:val="0"/>
      <w:marBottom w:val="0"/>
      <w:divBdr>
        <w:top w:val="none" w:sz="0" w:space="0" w:color="auto"/>
        <w:left w:val="none" w:sz="0" w:space="0" w:color="auto"/>
        <w:bottom w:val="none" w:sz="0" w:space="0" w:color="auto"/>
        <w:right w:val="none" w:sz="0" w:space="0" w:color="auto"/>
      </w:divBdr>
    </w:div>
    <w:div w:id="292291989">
      <w:bodyDiv w:val="1"/>
      <w:marLeft w:val="0"/>
      <w:marRight w:val="0"/>
      <w:marTop w:val="0"/>
      <w:marBottom w:val="0"/>
      <w:divBdr>
        <w:top w:val="none" w:sz="0" w:space="0" w:color="auto"/>
        <w:left w:val="none" w:sz="0" w:space="0" w:color="auto"/>
        <w:bottom w:val="none" w:sz="0" w:space="0" w:color="auto"/>
        <w:right w:val="none" w:sz="0" w:space="0" w:color="auto"/>
      </w:divBdr>
    </w:div>
    <w:div w:id="341469456">
      <w:bodyDiv w:val="1"/>
      <w:marLeft w:val="0"/>
      <w:marRight w:val="0"/>
      <w:marTop w:val="0"/>
      <w:marBottom w:val="0"/>
      <w:divBdr>
        <w:top w:val="none" w:sz="0" w:space="0" w:color="auto"/>
        <w:left w:val="none" w:sz="0" w:space="0" w:color="auto"/>
        <w:bottom w:val="none" w:sz="0" w:space="0" w:color="auto"/>
        <w:right w:val="none" w:sz="0" w:space="0" w:color="auto"/>
      </w:divBdr>
    </w:div>
    <w:div w:id="740518265">
      <w:bodyDiv w:val="1"/>
      <w:marLeft w:val="0"/>
      <w:marRight w:val="0"/>
      <w:marTop w:val="0"/>
      <w:marBottom w:val="0"/>
      <w:divBdr>
        <w:top w:val="none" w:sz="0" w:space="0" w:color="auto"/>
        <w:left w:val="none" w:sz="0" w:space="0" w:color="auto"/>
        <w:bottom w:val="none" w:sz="0" w:space="0" w:color="auto"/>
        <w:right w:val="none" w:sz="0" w:space="0" w:color="auto"/>
      </w:divBdr>
    </w:div>
    <w:div w:id="1691180918">
      <w:bodyDiv w:val="1"/>
      <w:marLeft w:val="0"/>
      <w:marRight w:val="0"/>
      <w:marTop w:val="0"/>
      <w:marBottom w:val="0"/>
      <w:divBdr>
        <w:top w:val="none" w:sz="0" w:space="0" w:color="auto"/>
        <w:left w:val="none" w:sz="0" w:space="0" w:color="auto"/>
        <w:bottom w:val="none" w:sz="0" w:space="0" w:color="auto"/>
        <w:right w:val="none" w:sz="0" w:space="0" w:color="auto"/>
      </w:divBdr>
    </w:div>
    <w:div w:id="1774130756">
      <w:bodyDiv w:val="1"/>
      <w:marLeft w:val="0"/>
      <w:marRight w:val="0"/>
      <w:marTop w:val="0"/>
      <w:marBottom w:val="0"/>
      <w:divBdr>
        <w:top w:val="none" w:sz="0" w:space="0" w:color="auto"/>
        <w:left w:val="none" w:sz="0" w:space="0" w:color="auto"/>
        <w:bottom w:val="none" w:sz="0" w:space="0" w:color="auto"/>
        <w:right w:val="none" w:sz="0" w:space="0" w:color="auto"/>
      </w:divBdr>
      <w:divsChild>
        <w:div w:id="1730491460">
          <w:marLeft w:val="300"/>
          <w:marRight w:val="0"/>
          <w:marTop w:val="0"/>
          <w:marBottom w:val="0"/>
          <w:divBdr>
            <w:top w:val="none" w:sz="0" w:space="0" w:color="auto"/>
            <w:left w:val="none" w:sz="0" w:space="0" w:color="auto"/>
            <w:bottom w:val="none" w:sz="0" w:space="0" w:color="auto"/>
            <w:right w:val="none" w:sz="0" w:space="0" w:color="auto"/>
          </w:divBdr>
        </w:div>
        <w:div w:id="371880040">
          <w:marLeft w:val="0"/>
          <w:marRight w:val="0"/>
          <w:marTop w:val="0"/>
          <w:marBottom w:val="0"/>
          <w:divBdr>
            <w:top w:val="none" w:sz="0" w:space="0" w:color="auto"/>
            <w:left w:val="none" w:sz="0" w:space="0" w:color="auto"/>
            <w:bottom w:val="none" w:sz="0" w:space="0" w:color="auto"/>
            <w:right w:val="none" w:sz="0" w:space="0" w:color="auto"/>
          </w:divBdr>
          <w:divsChild>
            <w:div w:id="801309880">
              <w:marLeft w:val="0"/>
              <w:marRight w:val="0"/>
              <w:marTop w:val="0"/>
              <w:marBottom w:val="0"/>
              <w:divBdr>
                <w:top w:val="none" w:sz="0" w:space="0" w:color="auto"/>
                <w:left w:val="none" w:sz="0" w:space="0" w:color="auto"/>
                <w:bottom w:val="none" w:sz="0" w:space="0" w:color="auto"/>
                <w:right w:val="none" w:sz="0" w:space="0" w:color="auto"/>
              </w:divBdr>
              <w:divsChild>
                <w:div w:id="9909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7531">
      <w:bodyDiv w:val="1"/>
      <w:marLeft w:val="0"/>
      <w:marRight w:val="0"/>
      <w:marTop w:val="0"/>
      <w:marBottom w:val="0"/>
      <w:divBdr>
        <w:top w:val="none" w:sz="0" w:space="0" w:color="auto"/>
        <w:left w:val="none" w:sz="0" w:space="0" w:color="auto"/>
        <w:bottom w:val="none" w:sz="0" w:space="0" w:color="auto"/>
        <w:right w:val="none" w:sz="0" w:space="0" w:color="auto"/>
      </w:divBdr>
    </w:div>
    <w:div w:id="20724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0165-0327(95)000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68316X.2013.7589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nice.org.uk/guidance/cg77/resources/antisocial-personality-disorder-prevention-and-management-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x.doi.org/10.4103%2F2229-3485.83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ED2E-BA5A-4ABA-9DE6-C65A9C9E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8006</Words>
  <Characters>45639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Cheshire and Wirral Partnership NHS Foundation Trust</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bigjunk@btinternet.com</dc:creator>
  <cp:lastModifiedBy>Centifanti, Luna</cp:lastModifiedBy>
  <cp:revision>25</cp:revision>
  <cp:lastPrinted>2019-01-22T17:39:00Z</cp:lastPrinted>
  <dcterms:created xsi:type="dcterms:W3CDTF">2019-05-30T12:33:00Z</dcterms:created>
  <dcterms:modified xsi:type="dcterms:W3CDTF">2019-09-02T19:29:00Z</dcterms:modified>
</cp:coreProperties>
</file>