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418B7" w14:textId="0CAD57E0" w:rsidR="009F51EC" w:rsidRPr="0089051B" w:rsidRDefault="00B81FD5" w:rsidP="0061452E">
      <w:pPr>
        <w:jc w:val="both"/>
        <w:rPr>
          <w:rFonts w:ascii="Times New Roman" w:hAnsi="Times New Roman" w:cs="Times New Roman"/>
          <w:b/>
        </w:rPr>
      </w:pPr>
      <w:r w:rsidRPr="0089051B">
        <w:rPr>
          <w:rFonts w:ascii="Times New Roman" w:hAnsi="Times New Roman" w:cs="Times New Roman"/>
          <w:b/>
        </w:rPr>
        <w:t>PRIMACY</w:t>
      </w:r>
      <w:r w:rsidR="00EA4910" w:rsidRPr="0089051B">
        <w:rPr>
          <w:rFonts w:ascii="Times New Roman" w:hAnsi="Times New Roman" w:cs="Times New Roman"/>
          <w:b/>
        </w:rPr>
        <w:t xml:space="preserve"> AND </w:t>
      </w:r>
      <w:r w:rsidR="009F51EC" w:rsidRPr="0089051B">
        <w:rPr>
          <w:rFonts w:ascii="Times New Roman" w:hAnsi="Times New Roman" w:cs="Times New Roman"/>
          <w:b/>
        </w:rPr>
        <w:t xml:space="preserve">THE REMEDY OF DISAPPLICATION </w:t>
      </w:r>
    </w:p>
    <w:p w14:paraId="2704DB8E" w14:textId="77777777" w:rsidR="009F51EC" w:rsidRPr="0089051B" w:rsidRDefault="009F51EC" w:rsidP="0061452E">
      <w:pPr>
        <w:jc w:val="both"/>
        <w:rPr>
          <w:rFonts w:ascii="Times New Roman" w:hAnsi="Times New Roman" w:cs="Times New Roman"/>
          <w:b/>
        </w:rPr>
      </w:pPr>
    </w:p>
    <w:p w14:paraId="2F01AAB8" w14:textId="0FF25BAE" w:rsidR="000C6C2C" w:rsidRPr="0089051B" w:rsidRDefault="000C6C2C" w:rsidP="0061452E">
      <w:pPr>
        <w:jc w:val="both"/>
        <w:rPr>
          <w:rFonts w:ascii="Times New Roman" w:hAnsi="Times New Roman" w:cs="Times New Roman"/>
        </w:rPr>
      </w:pPr>
      <w:r w:rsidRPr="0089051B">
        <w:rPr>
          <w:rFonts w:ascii="Times New Roman" w:hAnsi="Times New Roman" w:cs="Times New Roman"/>
          <w:i/>
        </w:rPr>
        <w:t>Michael Dougan</w:t>
      </w:r>
      <w:r w:rsidRPr="0089051B">
        <w:rPr>
          <w:rFonts w:ascii="Times New Roman" w:hAnsi="Times New Roman" w:cs="Times New Roman"/>
        </w:rPr>
        <w:t>*</w:t>
      </w:r>
    </w:p>
    <w:p w14:paraId="6DFF302E" w14:textId="77777777" w:rsidR="000C6C2C" w:rsidRPr="0089051B" w:rsidRDefault="000C6C2C" w:rsidP="0061452E">
      <w:pPr>
        <w:jc w:val="both"/>
        <w:rPr>
          <w:rFonts w:ascii="Times New Roman" w:hAnsi="Times New Roman" w:cs="Times New Roman"/>
          <w:b/>
        </w:rPr>
      </w:pPr>
    </w:p>
    <w:p w14:paraId="00679D79" w14:textId="77777777" w:rsidR="009F51EC" w:rsidRPr="0089051B" w:rsidRDefault="009F51EC" w:rsidP="0061452E">
      <w:pPr>
        <w:jc w:val="both"/>
        <w:rPr>
          <w:rFonts w:ascii="Times New Roman" w:hAnsi="Times New Roman" w:cs="Times New Roman"/>
          <w:b/>
        </w:rPr>
      </w:pPr>
    </w:p>
    <w:p w14:paraId="69A9D629" w14:textId="471D883F" w:rsidR="00B925CD" w:rsidRPr="0089051B" w:rsidRDefault="00727EDA" w:rsidP="0061452E">
      <w:pPr>
        <w:jc w:val="both"/>
        <w:rPr>
          <w:rFonts w:ascii="Times New Roman" w:hAnsi="Times New Roman" w:cs="Times New Roman"/>
          <w:b/>
        </w:rPr>
      </w:pPr>
      <w:r w:rsidRPr="0089051B">
        <w:rPr>
          <w:rFonts w:ascii="Times New Roman" w:hAnsi="Times New Roman" w:cs="Times New Roman"/>
          <w:b/>
        </w:rPr>
        <w:t>1.</w:t>
      </w:r>
      <w:r w:rsidRPr="0089051B">
        <w:rPr>
          <w:rFonts w:ascii="Times New Roman" w:hAnsi="Times New Roman" w:cs="Times New Roman"/>
          <w:b/>
        </w:rPr>
        <w:tab/>
      </w:r>
      <w:r w:rsidR="00B925CD" w:rsidRPr="0089051B">
        <w:rPr>
          <w:rFonts w:ascii="Times New Roman" w:hAnsi="Times New Roman" w:cs="Times New Roman"/>
          <w:b/>
        </w:rPr>
        <w:t>Introduction</w:t>
      </w:r>
    </w:p>
    <w:p w14:paraId="3389C1AE" w14:textId="77777777" w:rsidR="00B925CD" w:rsidRPr="0089051B" w:rsidRDefault="00B925CD" w:rsidP="0061452E">
      <w:pPr>
        <w:jc w:val="both"/>
        <w:rPr>
          <w:rFonts w:ascii="Times New Roman" w:hAnsi="Times New Roman" w:cs="Times New Roman"/>
          <w:b/>
        </w:rPr>
      </w:pPr>
    </w:p>
    <w:p w14:paraId="67BBD544" w14:textId="5FAB3606" w:rsidR="00B925CD" w:rsidRPr="0089051B" w:rsidRDefault="00B925CD" w:rsidP="0061452E">
      <w:pPr>
        <w:jc w:val="both"/>
        <w:rPr>
          <w:rFonts w:ascii="Times New Roman" w:hAnsi="Times New Roman" w:cs="Times New Roman"/>
        </w:rPr>
      </w:pPr>
      <w:r w:rsidRPr="0089051B">
        <w:rPr>
          <w:rFonts w:ascii="Times New Roman" w:hAnsi="Times New Roman" w:cs="Times New Roman"/>
        </w:rPr>
        <w:t xml:space="preserve">This article </w:t>
      </w:r>
      <w:r w:rsidR="00727EDA" w:rsidRPr="0089051B">
        <w:rPr>
          <w:rFonts w:ascii="Times New Roman" w:hAnsi="Times New Roman" w:cs="Times New Roman"/>
        </w:rPr>
        <w:t xml:space="preserve">explores the legal nature of the principle of </w:t>
      </w:r>
      <w:r w:rsidR="00B81FD5" w:rsidRPr="0089051B">
        <w:rPr>
          <w:rFonts w:ascii="Times New Roman" w:hAnsi="Times New Roman" w:cs="Times New Roman"/>
        </w:rPr>
        <w:t>primacy</w:t>
      </w:r>
      <w:r w:rsidR="00DA283E" w:rsidRPr="0089051B">
        <w:rPr>
          <w:rFonts w:ascii="Times New Roman" w:hAnsi="Times New Roman" w:cs="Times New Roman"/>
        </w:rPr>
        <w:t xml:space="preserve"> and</w:t>
      </w:r>
      <w:r w:rsidR="00727EDA" w:rsidRPr="0089051B">
        <w:rPr>
          <w:rFonts w:ascii="Times New Roman" w:hAnsi="Times New Roman" w:cs="Times New Roman"/>
        </w:rPr>
        <w:t xml:space="preserve">, in particular, the requirement that national rules which are </w:t>
      </w:r>
      <w:r w:rsidR="00177EF0" w:rsidRPr="0089051B">
        <w:rPr>
          <w:rFonts w:ascii="Times New Roman" w:hAnsi="Times New Roman" w:cs="Times New Roman"/>
        </w:rPr>
        <w:t xml:space="preserve">found to be </w:t>
      </w:r>
      <w:r w:rsidR="00727EDA" w:rsidRPr="0089051B">
        <w:rPr>
          <w:rFonts w:ascii="Times New Roman" w:hAnsi="Times New Roman" w:cs="Times New Roman"/>
        </w:rPr>
        <w:t xml:space="preserve">incompatible with legally binding and enforceable provisions of Union law should be </w:t>
      </w:r>
      <w:proofErr w:type="spellStart"/>
      <w:r w:rsidR="00727EDA" w:rsidRPr="0089051B">
        <w:rPr>
          <w:rFonts w:ascii="Times New Roman" w:hAnsi="Times New Roman" w:cs="Times New Roman"/>
        </w:rPr>
        <w:t>disapplied</w:t>
      </w:r>
      <w:proofErr w:type="spellEnd"/>
      <w:r w:rsidR="00727EDA" w:rsidRPr="0089051B">
        <w:rPr>
          <w:rFonts w:ascii="Times New Roman" w:hAnsi="Times New Roman" w:cs="Times New Roman"/>
        </w:rPr>
        <w:t xml:space="preserve"> by the domestic courts.  Section 2 </w:t>
      </w:r>
      <w:r w:rsidR="00DA283E" w:rsidRPr="0089051B">
        <w:rPr>
          <w:rFonts w:ascii="Times New Roman" w:hAnsi="Times New Roman" w:cs="Times New Roman"/>
        </w:rPr>
        <w:t xml:space="preserve">explains </w:t>
      </w:r>
      <w:r w:rsidR="00727EDA" w:rsidRPr="0089051B">
        <w:rPr>
          <w:rFonts w:ascii="Times New Roman" w:hAnsi="Times New Roman" w:cs="Times New Roman"/>
        </w:rPr>
        <w:t>the inseparable relationship between primacy and the remedy of disapplication.  Section 3 then argues that many of the most iconic “</w:t>
      </w:r>
      <w:r w:rsidR="00B81FD5" w:rsidRPr="0089051B">
        <w:rPr>
          <w:rFonts w:ascii="Times New Roman" w:hAnsi="Times New Roman" w:cs="Times New Roman"/>
        </w:rPr>
        <w:t>primacy</w:t>
      </w:r>
      <w:r w:rsidR="00727EDA" w:rsidRPr="0089051B">
        <w:rPr>
          <w:rFonts w:ascii="Times New Roman" w:hAnsi="Times New Roman" w:cs="Times New Roman"/>
        </w:rPr>
        <w:t xml:space="preserve"> disputes” which have arisen between the Court of Justice and certain domestic judiciaries actually involved the principle of </w:t>
      </w:r>
      <w:r w:rsidR="00B81FD5" w:rsidRPr="0089051B">
        <w:rPr>
          <w:rFonts w:ascii="Times New Roman" w:hAnsi="Times New Roman" w:cs="Times New Roman"/>
        </w:rPr>
        <w:t>primacy</w:t>
      </w:r>
      <w:r w:rsidR="00727EDA" w:rsidRPr="0089051B">
        <w:rPr>
          <w:rFonts w:ascii="Times New Roman" w:hAnsi="Times New Roman" w:cs="Times New Roman"/>
        </w:rPr>
        <w:t xml:space="preserve"> only incidentally</w:t>
      </w:r>
      <w:r w:rsidR="00DA283E" w:rsidRPr="0089051B">
        <w:rPr>
          <w:rFonts w:ascii="Times New Roman" w:hAnsi="Times New Roman" w:cs="Times New Roman"/>
        </w:rPr>
        <w:t xml:space="preserve"> and as a second-order issue</w:t>
      </w:r>
      <w:r w:rsidR="00727EDA" w:rsidRPr="0089051B">
        <w:rPr>
          <w:rFonts w:ascii="Times New Roman" w:hAnsi="Times New Roman" w:cs="Times New Roman"/>
        </w:rPr>
        <w:t xml:space="preserve">.  The </w:t>
      </w:r>
      <w:r w:rsidR="00DA283E" w:rsidRPr="0089051B">
        <w:rPr>
          <w:rFonts w:ascii="Times New Roman" w:hAnsi="Times New Roman" w:cs="Times New Roman"/>
        </w:rPr>
        <w:t xml:space="preserve">main </w:t>
      </w:r>
      <w:proofErr w:type="gramStart"/>
      <w:r w:rsidR="00DA283E" w:rsidRPr="0089051B">
        <w:rPr>
          <w:rFonts w:ascii="Times New Roman" w:hAnsi="Times New Roman" w:cs="Times New Roman"/>
        </w:rPr>
        <w:t>problems which</w:t>
      </w:r>
      <w:proofErr w:type="gramEnd"/>
      <w:r w:rsidR="00DA283E" w:rsidRPr="0089051B">
        <w:rPr>
          <w:rFonts w:ascii="Times New Roman" w:hAnsi="Times New Roman" w:cs="Times New Roman"/>
        </w:rPr>
        <w:t xml:space="preserve"> have arisen, specifically as regards the remedy of disapplication, have instead involved concerns about </w:t>
      </w:r>
      <w:r w:rsidR="00177EF0" w:rsidRPr="0089051B">
        <w:rPr>
          <w:rFonts w:ascii="Times New Roman" w:hAnsi="Times New Roman" w:cs="Times New Roman"/>
        </w:rPr>
        <w:t>its</w:t>
      </w:r>
      <w:r w:rsidR="00DA283E" w:rsidRPr="0089051B">
        <w:rPr>
          <w:rFonts w:ascii="Times New Roman" w:hAnsi="Times New Roman" w:cs="Times New Roman"/>
        </w:rPr>
        <w:t xml:space="preserve"> impact upon legal certainty as regards </w:t>
      </w:r>
      <w:r w:rsidR="00177EF0" w:rsidRPr="0089051B">
        <w:rPr>
          <w:rFonts w:ascii="Times New Roman" w:hAnsi="Times New Roman" w:cs="Times New Roman"/>
        </w:rPr>
        <w:t>existing</w:t>
      </w:r>
      <w:r w:rsidR="00DA283E" w:rsidRPr="0089051B">
        <w:rPr>
          <w:rFonts w:ascii="Times New Roman" w:hAnsi="Times New Roman" w:cs="Times New Roman"/>
        </w:rPr>
        <w:t xml:space="preserve"> acts, decisions or relationships.  As Section 4 demonstrates, the Court deals with such problems through two discrete channels: some disputes </w:t>
      </w:r>
      <w:r w:rsidR="002B4CC5">
        <w:rPr>
          <w:rFonts w:ascii="Times New Roman" w:hAnsi="Times New Roman" w:cs="Times New Roman"/>
        </w:rPr>
        <w:t xml:space="preserve">(such as the non-publication of Union acts) </w:t>
      </w:r>
      <w:r w:rsidR="00DA283E" w:rsidRPr="0089051B">
        <w:rPr>
          <w:rFonts w:ascii="Times New Roman" w:hAnsi="Times New Roman" w:cs="Times New Roman"/>
        </w:rPr>
        <w:t xml:space="preserve">are settled through the </w:t>
      </w:r>
      <w:r w:rsidR="009D116A">
        <w:rPr>
          <w:rFonts w:ascii="Times New Roman" w:hAnsi="Times New Roman" w:cs="Times New Roman"/>
        </w:rPr>
        <w:t>adoption</w:t>
      </w:r>
      <w:r w:rsidR="00DA283E" w:rsidRPr="0089051B">
        <w:rPr>
          <w:rFonts w:ascii="Times New Roman" w:hAnsi="Times New Roman" w:cs="Times New Roman"/>
        </w:rPr>
        <w:t xml:space="preserve"> of a centralised </w:t>
      </w:r>
      <w:r w:rsidR="009D116A">
        <w:rPr>
          <w:rFonts w:ascii="Times New Roman" w:hAnsi="Times New Roman" w:cs="Times New Roman"/>
        </w:rPr>
        <w:t xml:space="preserve">solution determined </w:t>
      </w:r>
      <w:r w:rsidR="00DA283E" w:rsidRPr="0089051B">
        <w:rPr>
          <w:rFonts w:ascii="Times New Roman" w:hAnsi="Times New Roman" w:cs="Times New Roman"/>
        </w:rPr>
        <w:t xml:space="preserve">directly </w:t>
      </w:r>
      <w:r w:rsidR="009D116A">
        <w:rPr>
          <w:rFonts w:ascii="Times New Roman" w:hAnsi="Times New Roman" w:cs="Times New Roman"/>
        </w:rPr>
        <w:t xml:space="preserve">by </w:t>
      </w:r>
      <w:r w:rsidR="00DA283E" w:rsidRPr="0089051B">
        <w:rPr>
          <w:rFonts w:ascii="Times New Roman" w:hAnsi="Times New Roman" w:cs="Times New Roman"/>
        </w:rPr>
        <w:t xml:space="preserve">the Court; the rest </w:t>
      </w:r>
      <w:r w:rsidR="002B4CC5">
        <w:rPr>
          <w:rFonts w:ascii="Times New Roman" w:hAnsi="Times New Roman" w:cs="Times New Roman"/>
        </w:rPr>
        <w:t xml:space="preserve">(such as limitation periods or </w:t>
      </w:r>
      <w:r w:rsidR="002B4CC5" w:rsidRPr="002B4CC5">
        <w:rPr>
          <w:rFonts w:ascii="Times New Roman" w:hAnsi="Times New Roman" w:cs="Times New Roman"/>
          <w:i/>
        </w:rPr>
        <w:t>res judicata</w:t>
      </w:r>
      <w:r w:rsidR="002B4CC5">
        <w:rPr>
          <w:rFonts w:ascii="Times New Roman" w:hAnsi="Times New Roman" w:cs="Times New Roman"/>
        </w:rPr>
        <w:t xml:space="preserve">) </w:t>
      </w:r>
      <w:r w:rsidR="00DA283E" w:rsidRPr="0089051B">
        <w:rPr>
          <w:rFonts w:ascii="Times New Roman" w:hAnsi="Times New Roman" w:cs="Times New Roman"/>
        </w:rPr>
        <w:t xml:space="preserve">are dealt with </w:t>
      </w:r>
      <w:r w:rsidR="00177EF0" w:rsidRPr="0089051B">
        <w:rPr>
          <w:rFonts w:ascii="Times New Roman" w:hAnsi="Times New Roman" w:cs="Times New Roman"/>
        </w:rPr>
        <w:t xml:space="preserve">by default </w:t>
      </w:r>
      <w:r w:rsidR="00DA283E" w:rsidRPr="0089051B">
        <w:rPr>
          <w:rFonts w:ascii="Times New Roman" w:hAnsi="Times New Roman" w:cs="Times New Roman"/>
        </w:rPr>
        <w:t xml:space="preserve">under national law </w:t>
      </w:r>
      <w:r w:rsidR="00177EF0" w:rsidRPr="0089051B">
        <w:rPr>
          <w:rFonts w:ascii="Times New Roman" w:hAnsi="Times New Roman" w:cs="Times New Roman"/>
        </w:rPr>
        <w:t xml:space="preserve">though </w:t>
      </w:r>
      <w:r w:rsidR="00DA283E" w:rsidRPr="0089051B">
        <w:rPr>
          <w:rFonts w:ascii="Times New Roman" w:hAnsi="Times New Roman" w:cs="Times New Roman"/>
        </w:rPr>
        <w:t xml:space="preserve">subject to the </w:t>
      </w:r>
      <w:r w:rsidR="009D116A">
        <w:rPr>
          <w:rFonts w:ascii="Times New Roman" w:hAnsi="Times New Roman" w:cs="Times New Roman"/>
        </w:rPr>
        <w:t xml:space="preserve">Union </w:t>
      </w:r>
      <w:r w:rsidR="00DA283E" w:rsidRPr="0089051B">
        <w:rPr>
          <w:rFonts w:ascii="Times New Roman" w:hAnsi="Times New Roman" w:cs="Times New Roman"/>
        </w:rPr>
        <w:t>principles of equivalence and effectiveness.  Section 5 then discusses how a</w:t>
      </w:r>
      <w:r w:rsidR="009D116A">
        <w:rPr>
          <w:rFonts w:ascii="Times New Roman" w:hAnsi="Times New Roman" w:cs="Times New Roman"/>
        </w:rPr>
        <w:t>nother</w:t>
      </w:r>
      <w:r w:rsidR="00DA283E" w:rsidRPr="0089051B">
        <w:rPr>
          <w:rFonts w:ascii="Times New Roman" w:hAnsi="Times New Roman" w:cs="Times New Roman"/>
        </w:rPr>
        <w:t xml:space="preserve"> category of “</w:t>
      </w:r>
      <w:r w:rsidR="00B81FD5" w:rsidRPr="0089051B">
        <w:rPr>
          <w:rFonts w:ascii="Times New Roman" w:hAnsi="Times New Roman" w:cs="Times New Roman"/>
        </w:rPr>
        <w:t>primacy</w:t>
      </w:r>
      <w:r w:rsidR="00DA283E" w:rsidRPr="0089051B">
        <w:rPr>
          <w:rFonts w:ascii="Times New Roman" w:hAnsi="Times New Roman" w:cs="Times New Roman"/>
        </w:rPr>
        <w:t xml:space="preserve"> dispute” has acquired greater prominence in recent years: reservations about the potential for the prospective disapplication of incompatible national rules to create a legal vacuum, capable of endangering legitimate public interests, pending the adoption of fully compliant alternative </w:t>
      </w:r>
      <w:r w:rsidR="00177EF0" w:rsidRPr="0089051B">
        <w:rPr>
          <w:rFonts w:ascii="Times New Roman" w:hAnsi="Times New Roman" w:cs="Times New Roman"/>
        </w:rPr>
        <w:t>measures</w:t>
      </w:r>
      <w:r w:rsidR="00DA283E" w:rsidRPr="0089051B">
        <w:rPr>
          <w:rFonts w:ascii="Times New Roman" w:hAnsi="Times New Roman" w:cs="Times New Roman"/>
        </w:rPr>
        <w:t xml:space="preserve"> by the Member State.  In Section 6, we explore the Court’s response to </w:t>
      </w:r>
      <w:r w:rsidR="0083747D">
        <w:rPr>
          <w:rFonts w:ascii="Times New Roman" w:hAnsi="Times New Roman" w:cs="Times New Roman"/>
        </w:rPr>
        <w:t>that</w:t>
      </w:r>
      <w:r w:rsidR="00DA283E" w:rsidRPr="0089051B">
        <w:rPr>
          <w:rFonts w:ascii="Times New Roman" w:hAnsi="Times New Roman" w:cs="Times New Roman"/>
        </w:rPr>
        <w:t xml:space="preserve"> problem of legal vacuums</w:t>
      </w:r>
      <w:r w:rsidR="002B4CC5">
        <w:rPr>
          <w:rFonts w:ascii="Times New Roman" w:hAnsi="Times New Roman" w:cs="Times New Roman"/>
        </w:rPr>
        <w:t xml:space="preserve">.  The </w:t>
      </w:r>
      <w:r w:rsidR="00177EF0" w:rsidRPr="0089051B">
        <w:rPr>
          <w:rFonts w:ascii="Times New Roman" w:hAnsi="Times New Roman" w:cs="Times New Roman"/>
        </w:rPr>
        <w:t xml:space="preserve">available </w:t>
      </w:r>
      <w:proofErr w:type="spellStart"/>
      <w:r w:rsidR="00177EF0" w:rsidRPr="0089051B">
        <w:rPr>
          <w:rFonts w:ascii="Times New Roman" w:hAnsi="Times New Roman" w:cs="Times New Roman"/>
        </w:rPr>
        <w:t>caselaw</w:t>
      </w:r>
      <w:proofErr w:type="spellEnd"/>
      <w:r w:rsidR="00177EF0" w:rsidRPr="0089051B">
        <w:rPr>
          <w:rFonts w:ascii="Times New Roman" w:hAnsi="Times New Roman" w:cs="Times New Roman"/>
        </w:rPr>
        <w:t xml:space="preserve"> </w:t>
      </w:r>
      <w:r w:rsidR="007547E6">
        <w:rPr>
          <w:rFonts w:ascii="Times New Roman" w:hAnsi="Times New Roman" w:cs="Times New Roman"/>
        </w:rPr>
        <w:t xml:space="preserve">is limited, but it </w:t>
      </w:r>
      <w:r w:rsidR="00177EF0" w:rsidRPr="0089051B">
        <w:rPr>
          <w:rFonts w:ascii="Times New Roman" w:hAnsi="Times New Roman" w:cs="Times New Roman"/>
        </w:rPr>
        <w:t xml:space="preserve">again suggests the </w:t>
      </w:r>
      <w:r w:rsidR="007547E6">
        <w:rPr>
          <w:rFonts w:ascii="Times New Roman" w:hAnsi="Times New Roman" w:cs="Times New Roman"/>
        </w:rPr>
        <w:t xml:space="preserve">Court’s preference for </w:t>
      </w:r>
      <w:r w:rsidR="00177EF0" w:rsidRPr="0089051B">
        <w:rPr>
          <w:rFonts w:ascii="Times New Roman" w:hAnsi="Times New Roman" w:cs="Times New Roman"/>
        </w:rPr>
        <w:t xml:space="preserve">a </w:t>
      </w:r>
      <w:r w:rsidR="00DA283E" w:rsidRPr="0089051B">
        <w:rPr>
          <w:rFonts w:ascii="Times New Roman" w:hAnsi="Times New Roman" w:cs="Times New Roman"/>
        </w:rPr>
        <w:t xml:space="preserve">dual </w:t>
      </w:r>
      <w:r w:rsidR="007547E6">
        <w:rPr>
          <w:rFonts w:ascii="Times New Roman" w:hAnsi="Times New Roman" w:cs="Times New Roman"/>
        </w:rPr>
        <w:t xml:space="preserve">jurisdictional </w:t>
      </w:r>
      <w:r w:rsidR="00DA283E" w:rsidRPr="0089051B">
        <w:rPr>
          <w:rFonts w:ascii="Times New Roman" w:hAnsi="Times New Roman" w:cs="Times New Roman"/>
        </w:rPr>
        <w:t xml:space="preserve">system </w:t>
      </w:r>
      <w:r w:rsidR="00177EF0" w:rsidRPr="0089051B">
        <w:rPr>
          <w:rFonts w:ascii="Times New Roman" w:hAnsi="Times New Roman" w:cs="Times New Roman"/>
        </w:rPr>
        <w:t xml:space="preserve">combining </w:t>
      </w:r>
      <w:r w:rsidR="00DA283E" w:rsidRPr="0089051B">
        <w:rPr>
          <w:rFonts w:ascii="Times New Roman" w:hAnsi="Times New Roman" w:cs="Times New Roman"/>
        </w:rPr>
        <w:t>centralised and decentralised competence</w:t>
      </w:r>
      <w:r w:rsidR="001F6529">
        <w:rPr>
          <w:rFonts w:ascii="Times New Roman" w:hAnsi="Times New Roman" w:cs="Times New Roman"/>
        </w:rPr>
        <w:t xml:space="preserve"> to qualify the full implications of the primacy of Union law</w:t>
      </w:r>
      <w:r w:rsidR="007547E6">
        <w:rPr>
          <w:rFonts w:ascii="Times New Roman" w:hAnsi="Times New Roman" w:cs="Times New Roman"/>
        </w:rPr>
        <w:t xml:space="preserve">.  </w:t>
      </w:r>
      <w:r w:rsidR="001F6529">
        <w:rPr>
          <w:rFonts w:ascii="Times New Roman" w:hAnsi="Times New Roman" w:cs="Times New Roman"/>
        </w:rPr>
        <w:t xml:space="preserve">However, </w:t>
      </w:r>
      <w:r w:rsidR="002B4CC5">
        <w:rPr>
          <w:rFonts w:ascii="Times New Roman" w:hAnsi="Times New Roman" w:cs="Times New Roman"/>
        </w:rPr>
        <w:t>for now at least</w:t>
      </w:r>
      <w:r w:rsidR="001F6529">
        <w:rPr>
          <w:rFonts w:ascii="Times New Roman" w:hAnsi="Times New Roman" w:cs="Times New Roman"/>
        </w:rPr>
        <w:t xml:space="preserve">: </w:t>
      </w:r>
      <w:r w:rsidR="00177EF0" w:rsidRPr="0089051B">
        <w:rPr>
          <w:rFonts w:ascii="Times New Roman" w:hAnsi="Times New Roman" w:cs="Times New Roman"/>
        </w:rPr>
        <w:t xml:space="preserve">the </w:t>
      </w:r>
      <w:r w:rsidR="002B4CC5">
        <w:rPr>
          <w:rFonts w:ascii="Times New Roman" w:hAnsi="Times New Roman" w:cs="Times New Roman"/>
        </w:rPr>
        <w:t xml:space="preserve">precise division of labour between the </w:t>
      </w:r>
      <w:r w:rsidR="0083747D">
        <w:rPr>
          <w:rFonts w:ascii="Times New Roman" w:hAnsi="Times New Roman" w:cs="Times New Roman"/>
        </w:rPr>
        <w:t xml:space="preserve">respective </w:t>
      </w:r>
      <w:r w:rsidR="001F6529">
        <w:rPr>
          <w:rFonts w:ascii="Times New Roman" w:hAnsi="Times New Roman" w:cs="Times New Roman"/>
        </w:rPr>
        <w:t xml:space="preserve">roles of the </w:t>
      </w:r>
      <w:r w:rsidR="002B4CC5">
        <w:rPr>
          <w:rFonts w:ascii="Times New Roman" w:hAnsi="Times New Roman" w:cs="Times New Roman"/>
        </w:rPr>
        <w:t xml:space="preserve">Court and </w:t>
      </w:r>
      <w:r w:rsidR="001F6529">
        <w:rPr>
          <w:rFonts w:ascii="Times New Roman" w:hAnsi="Times New Roman" w:cs="Times New Roman"/>
        </w:rPr>
        <w:t xml:space="preserve">of </w:t>
      </w:r>
      <w:r w:rsidR="002B4CC5">
        <w:rPr>
          <w:rFonts w:ascii="Times New Roman" w:hAnsi="Times New Roman" w:cs="Times New Roman"/>
        </w:rPr>
        <w:t xml:space="preserve">the domestic judges remains unclear; while the </w:t>
      </w:r>
      <w:r w:rsidR="00DA283E" w:rsidRPr="0089051B">
        <w:rPr>
          <w:rFonts w:ascii="Times New Roman" w:hAnsi="Times New Roman" w:cs="Times New Roman"/>
        </w:rPr>
        <w:t>conditions</w:t>
      </w:r>
      <w:r w:rsidR="002B4CC5">
        <w:rPr>
          <w:rFonts w:ascii="Times New Roman" w:hAnsi="Times New Roman" w:cs="Times New Roman"/>
        </w:rPr>
        <w:t xml:space="preserve"> governing the exercise of each jurisdiction appear ambiguous and arguably </w:t>
      </w:r>
      <w:r w:rsidR="007547E6">
        <w:rPr>
          <w:rFonts w:ascii="Times New Roman" w:hAnsi="Times New Roman" w:cs="Times New Roman"/>
        </w:rPr>
        <w:t xml:space="preserve">insufficiently flexible to offer adequate legal protection against the </w:t>
      </w:r>
      <w:r w:rsidR="001F6529">
        <w:rPr>
          <w:rFonts w:ascii="Times New Roman" w:hAnsi="Times New Roman" w:cs="Times New Roman"/>
        </w:rPr>
        <w:t xml:space="preserve">full </w:t>
      </w:r>
      <w:r w:rsidR="007547E6">
        <w:rPr>
          <w:rFonts w:ascii="Times New Roman" w:hAnsi="Times New Roman" w:cs="Times New Roman"/>
        </w:rPr>
        <w:t>risk</w:t>
      </w:r>
      <w:r w:rsidR="001F6529">
        <w:rPr>
          <w:rFonts w:ascii="Times New Roman" w:hAnsi="Times New Roman" w:cs="Times New Roman"/>
        </w:rPr>
        <w:t>s</w:t>
      </w:r>
      <w:r w:rsidR="007547E6">
        <w:rPr>
          <w:rFonts w:ascii="Times New Roman" w:hAnsi="Times New Roman" w:cs="Times New Roman"/>
        </w:rPr>
        <w:t xml:space="preserve"> that </w:t>
      </w:r>
      <w:r w:rsidR="0083747D">
        <w:rPr>
          <w:rFonts w:ascii="Times New Roman" w:hAnsi="Times New Roman" w:cs="Times New Roman"/>
        </w:rPr>
        <w:t xml:space="preserve">the </w:t>
      </w:r>
      <w:r w:rsidR="007547E6">
        <w:rPr>
          <w:rFonts w:ascii="Times New Roman" w:hAnsi="Times New Roman" w:cs="Times New Roman"/>
        </w:rPr>
        <w:t xml:space="preserve">disapplication of incompatible national legislation </w:t>
      </w:r>
      <w:r w:rsidR="001F6529">
        <w:rPr>
          <w:rFonts w:ascii="Times New Roman" w:hAnsi="Times New Roman" w:cs="Times New Roman"/>
        </w:rPr>
        <w:t xml:space="preserve">could </w:t>
      </w:r>
      <w:r w:rsidR="007547E6">
        <w:rPr>
          <w:rFonts w:ascii="Times New Roman" w:hAnsi="Times New Roman" w:cs="Times New Roman"/>
        </w:rPr>
        <w:t>create a potentially damaging legal vacuum</w:t>
      </w:r>
      <w:r w:rsidR="00DA283E" w:rsidRPr="0089051B">
        <w:rPr>
          <w:rFonts w:ascii="Times New Roman" w:hAnsi="Times New Roman" w:cs="Times New Roman"/>
        </w:rPr>
        <w:t xml:space="preserve">. </w:t>
      </w:r>
      <w:r w:rsidR="00785A26" w:rsidRPr="0089051B">
        <w:rPr>
          <w:rFonts w:ascii="Times New Roman" w:hAnsi="Times New Roman" w:cs="Times New Roman"/>
        </w:rPr>
        <w:t xml:space="preserve"> Section 7 offers some brief conclusions.  </w:t>
      </w:r>
    </w:p>
    <w:p w14:paraId="2BF178A8" w14:textId="77777777" w:rsidR="00B925CD" w:rsidRPr="0089051B" w:rsidRDefault="00B925CD" w:rsidP="0061452E">
      <w:pPr>
        <w:jc w:val="both"/>
        <w:rPr>
          <w:rFonts w:ascii="Times New Roman" w:hAnsi="Times New Roman" w:cs="Times New Roman"/>
          <w:b/>
        </w:rPr>
      </w:pPr>
    </w:p>
    <w:p w14:paraId="05B0F1C0" w14:textId="3249CF89" w:rsidR="00B63579" w:rsidRPr="0089051B" w:rsidRDefault="00727EDA" w:rsidP="0061452E">
      <w:pPr>
        <w:jc w:val="both"/>
        <w:rPr>
          <w:rFonts w:ascii="Times New Roman" w:hAnsi="Times New Roman" w:cs="Times New Roman"/>
          <w:b/>
        </w:rPr>
      </w:pPr>
      <w:r w:rsidRPr="0089051B">
        <w:rPr>
          <w:rFonts w:ascii="Times New Roman" w:hAnsi="Times New Roman" w:cs="Times New Roman"/>
          <w:b/>
        </w:rPr>
        <w:t>2.</w:t>
      </w:r>
      <w:r w:rsidRPr="0089051B">
        <w:rPr>
          <w:rFonts w:ascii="Times New Roman" w:hAnsi="Times New Roman" w:cs="Times New Roman"/>
          <w:b/>
        </w:rPr>
        <w:tab/>
      </w:r>
      <w:r w:rsidR="00F87C25">
        <w:rPr>
          <w:rFonts w:ascii="Times New Roman" w:hAnsi="Times New Roman" w:cs="Times New Roman"/>
          <w:b/>
        </w:rPr>
        <w:t>The inseparable r</w:t>
      </w:r>
      <w:r w:rsidR="00080A9F" w:rsidRPr="0089051B">
        <w:rPr>
          <w:rFonts w:ascii="Times New Roman" w:hAnsi="Times New Roman" w:cs="Times New Roman"/>
          <w:b/>
        </w:rPr>
        <w:t xml:space="preserve">elationship between </w:t>
      </w:r>
      <w:r w:rsidR="00F87C25">
        <w:rPr>
          <w:rFonts w:ascii="Times New Roman" w:hAnsi="Times New Roman" w:cs="Times New Roman"/>
          <w:b/>
        </w:rPr>
        <w:t>p</w:t>
      </w:r>
      <w:r w:rsidR="00B81FD5" w:rsidRPr="0089051B">
        <w:rPr>
          <w:rFonts w:ascii="Times New Roman" w:hAnsi="Times New Roman" w:cs="Times New Roman"/>
          <w:b/>
        </w:rPr>
        <w:t>rimacy</w:t>
      </w:r>
      <w:r w:rsidR="008A3E2E" w:rsidRPr="0089051B">
        <w:rPr>
          <w:rFonts w:ascii="Times New Roman" w:hAnsi="Times New Roman" w:cs="Times New Roman"/>
          <w:b/>
        </w:rPr>
        <w:t xml:space="preserve"> and </w:t>
      </w:r>
      <w:r w:rsidR="00F87C25">
        <w:rPr>
          <w:rFonts w:ascii="Times New Roman" w:hAnsi="Times New Roman" w:cs="Times New Roman"/>
          <w:b/>
        </w:rPr>
        <w:t>d</w:t>
      </w:r>
      <w:r w:rsidR="00DD5FC8" w:rsidRPr="0089051B">
        <w:rPr>
          <w:rFonts w:ascii="Times New Roman" w:hAnsi="Times New Roman" w:cs="Times New Roman"/>
          <w:b/>
        </w:rPr>
        <w:t xml:space="preserve">isapplication </w:t>
      </w:r>
    </w:p>
    <w:p w14:paraId="5B8D393F" w14:textId="77777777" w:rsidR="008A3E2E" w:rsidRPr="0089051B" w:rsidRDefault="008A3E2E" w:rsidP="0061452E">
      <w:pPr>
        <w:jc w:val="both"/>
        <w:rPr>
          <w:rFonts w:ascii="Times New Roman" w:hAnsi="Times New Roman" w:cs="Times New Roman"/>
        </w:rPr>
      </w:pPr>
    </w:p>
    <w:p w14:paraId="1D33E213" w14:textId="67F1411C" w:rsidR="006E5E55" w:rsidRPr="0089051B" w:rsidRDefault="00F217C7" w:rsidP="0061452E">
      <w:pPr>
        <w:jc w:val="both"/>
        <w:rPr>
          <w:rFonts w:ascii="Times New Roman" w:hAnsi="Times New Roman" w:cs="Times New Roman"/>
        </w:rPr>
      </w:pPr>
      <w:r w:rsidRPr="0089051B">
        <w:rPr>
          <w:rFonts w:ascii="Times New Roman" w:hAnsi="Times New Roman" w:cs="Times New Roman"/>
        </w:rPr>
        <w:t xml:space="preserve">The </w:t>
      </w:r>
      <w:r w:rsidR="00A45EE7" w:rsidRPr="0089051B">
        <w:rPr>
          <w:rFonts w:ascii="Times New Roman" w:hAnsi="Times New Roman" w:cs="Times New Roman"/>
        </w:rPr>
        <w:t>primacy of Union law over the laws of the Member States is described by the Court as one of the “</w:t>
      </w:r>
      <w:r w:rsidR="00D71F9A" w:rsidRPr="0089051B">
        <w:rPr>
          <w:rFonts w:ascii="Times New Roman" w:hAnsi="Times New Roman" w:cs="Times New Roman"/>
        </w:rPr>
        <w:t>essential characteristics</w:t>
      </w:r>
      <w:r w:rsidR="00A45EE7" w:rsidRPr="0089051B">
        <w:rPr>
          <w:rFonts w:ascii="Times New Roman" w:hAnsi="Times New Roman" w:cs="Times New Roman"/>
        </w:rPr>
        <w:t>”</w:t>
      </w:r>
      <w:r w:rsidR="00D71F9A" w:rsidRPr="0089051B">
        <w:rPr>
          <w:rFonts w:ascii="Times New Roman" w:hAnsi="Times New Roman" w:cs="Times New Roman"/>
        </w:rPr>
        <w:t xml:space="preserve"> of </w:t>
      </w:r>
      <w:r w:rsidR="009C6E42" w:rsidRPr="0089051B">
        <w:rPr>
          <w:rFonts w:ascii="Times New Roman" w:hAnsi="Times New Roman" w:cs="Times New Roman"/>
        </w:rPr>
        <w:t xml:space="preserve">the </w:t>
      </w:r>
      <w:r w:rsidR="00D71F9A" w:rsidRPr="0089051B">
        <w:rPr>
          <w:rFonts w:ascii="Times New Roman" w:hAnsi="Times New Roman" w:cs="Times New Roman"/>
        </w:rPr>
        <w:t xml:space="preserve">Union </w:t>
      </w:r>
      <w:r w:rsidR="00A45EE7" w:rsidRPr="0089051B">
        <w:rPr>
          <w:rFonts w:ascii="Times New Roman" w:hAnsi="Times New Roman" w:cs="Times New Roman"/>
        </w:rPr>
        <w:t>and its “unique” constitutional framework</w:t>
      </w:r>
      <w:r w:rsidR="00637301" w:rsidRPr="0089051B">
        <w:rPr>
          <w:rFonts w:ascii="Times New Roman" w:hAnsi="Times New Roman" w:cs="Times New Roman"/>
        </w:rPr>
        <w:t>.</w:t>
      </w:r>
      <w:r w:rsidR="00130CB1" w:rsidRPr="0089051B">
        <w:rPr>
          <w:rStyle w:val="FootnoteReference"/>
          <w:rFonts w:ascii="Times New Roman" w:hAnsi="Times New Roman" w:cs="Times New Roman"/>
        </w:rPr>
        <w:footnoteReference w:id="1"/>
      </w:r>
      <w:r w:rsidR="00A45EE7" w:rsidRPr="0089051B">
        <w:rPr>
          <w:rFonts w:ascii="Times New Roman" w:hAnsi="Times New Roman" w:cs="Times New Roman"/>
        </w:rPr>
        <w:t xml:space="preserve"> </w:t>
      </w:r>
      <w:r w:rsidR="00FB617F" w:rsidRPr="0089051B">
        <w:rPr>
          <w:rFonts w:ascii="Times New Roman" w:hAnsi="Times New Roman" w:cs="Times New Roman"/>
        </w:rPr>
        <w:t xml:space="preserve"> </w:t>
      </w:r>
      <w:r w:rsidR="004B41B8" w:rsidRPr="0089051B">
        <w:rPr>
          <w:rFonts w:ascii="Times New Roman" w:hAnsi="Times New Roman" w:cs="Times New Roman"/>
        </w:rPr>
        <w:t xml:space="preserve">Few EU lawyers would disagree: the Court’s foundational </w:t>
      </w:r>
      <w:proofErr w:type="spellStart"/>
      <w:r w:rsidR="004B41B8" w:rsidRPr="0089051B">
        <w:rPr>
          <w:rFonts w:ascii="Times New Roman" w:hAnsi="Times New Roman" w:cs="Times New Roman"/>
        </w:rPr>
        <w:t>caselaw</w:t>
      </w:r>
      <w:proofErr w:type="spellEnd"/>
      <w:r w:rsidR="004B41B8" w:rsidRPr="0089051B">
        <w:rPr>
          <w:rFonts w:ascii="Times New Roman" w:hAnsi="Times New Roman" w:cs="Times New Roman"/>
        </w:rPr>
        <w:t xml:space="preserve"> on </w:t>
      </w:r>
      <w:r w:rsidR="00B81FD5" w:rsidRPr="0089051B">
        <w:rPr>
          <w:rFonts w:ascii="Times New Roman" w:hAnsi="Times New Roman" w:cs="Times New Roman"/>
        </w:rPr>
        <w:t>primacy</w:t>
      </w:r>
      <w:r w:rsidR="004B41B8" w:rsidRPr="0089051B">
        <w:rPr>
          <w:rFonts w:ascii="Times New Roman" w:hAnsi="Times New Roman" w:cs="Times New Roman"/>
        </w:rPr>
        <w:t xml:space="preserve"> remains one of the core pillars </w:t>
      </w:r>
      <w:r w:rsidR="00FB528F" w:rsidRPr="0089051B">
        <w:rPr>
          <w:rFonts w:ascii="Times New Roman" w:hAnsi="Times New Roman" w:cs="Times New Roman"/>
        </w:rPr>
        <w:t>of</w:t>
      </w:r>
      <w:r w:rsidR="00177EF0" w:rsidRPr="0089051B">
        <w:rPr>
          <w:rFonts w:ascii="Times New Roman" w:hAnsi="Times New Roman" w:cs="Times New Roman"/>
        </w:rPr>
        <w:t>,</w:t>
      </w:r>
      <w:r w:rsidR="00FB528F" w:rsidRPr="0089051B">
        <w:rPr>
          <w:rFonts w:ascii="Times New Roman" w:hAnsi="Times New Roman" w:cs="Times New Roman"/>
        </w:rPr>
        <w:t xml:space="preserve"> </w:t>
      </w:r>
      <w:r w:rsidR="004B41B8" w:rsidRPr="0089051B">
        <w:rPr>
          <w:rFonts w:ascii="Times New Roman" w:hAnsi="Times New Roman" w:cs="Times New Roman"/>
        </w:rPr>
        <w:t xml:space="preserve">and a common inheritance </w:t>
      </w:r>
      <w:r w:rsidR="00FB528F" w:rsidRPr="0089051B">
        <w:rPr>
          <w:rFonts w:ascii="Times New Roman" w:hAnsi="Times New Roman" w:cs="Times New Roman"/>
        </w:rPr>
        <w:t>within</w:t>
      </w:r>
      <w:r w:rsidR="00177EF0" w:rsidRPr="0089051B">
        <w:rPr>
          <w:rFonts w:ascii="Times New Roman" w:hAnsi="Times New Roman" w:cs="Times New Roman"/>
        </w:rPr>
        <w:t>,</w:t>
      </w:r>
      <w:r w:rsidR="00FB528F" w:rsidRPr="0089051B">
        <w:rPr>
          <w:rFonts w:ascii="Times New Roman" w:hAnsi="Times New Roman" w:cs="Times New Roman"/>
        </w:rPr>
        <w:t xml:space="preserve"> </w:t>
      </w:r>
      <w:r w:rsidR="004B41B8" w:rsidRPr="0089051B">
        <w:rPr>
          <w:rFonts w:ascii="Times New Roman" w:hAnsi="Times New Roman" w:cs="Times New Roman"/>
        </w:rPr>
        <w:t>an increasingly complex and disparate discipline.</w:t>
      </w:r>
      <w:r w:rsidR="004B41B8" w:rsidRPr="0089051B">
        <w:rPr>
          <w:rStyle w:val="FootnoteReference"/>
          <w:rFonts w:ascii="Times New Roman" w:hAnsi="Times New Roman" w:cs="Times New Roman"/>
        </w:rPr>
        <w:footnoteReference w:id="2"/>
      </w:r>
      <w:r w:rsidR="004B41B8" w:rsidRPr="0089051B">
        <w:rPr>
          <w:rFonts w:ascii="Times New Roman" w:hAnsi="Times New Roman" w:cs="Times New Roman"/>
        </w:rPr>
        <w:t xml:space="preserve">  Even in the troubled world beyond our scholarly haven, the </w:t>
      </w:r>
      <w:r w:rsidR="004B36D6" w:rsidRPr="0089051B">
        <w:rPr>
          <w:rFonts w:ascii="Times New Roman" w:hAnsi="Times New Roman" w:cs="Times New Roman"/>
        </w:rPr>
        <w:t xml:space="preserve">well-established </w:t>
      </w:r>
      <w:r w:rsidR="004B41B8" w:rsidRPr="0089051B">
        <w:rPr>
          <w:rFonts w:ascii="Times New Roman" w:hAnsi="Times New Roman" w:cs="Times New Roman"/>
        </w:rPr>
        <w:t xml:space="preserve">proposition that Union law should take precedence over conflicting provisions of national law has </w:t>
      </w:r>
      <w:r w:rsidR="006923B6" w:rsidRPr="0089051B">
        <w:rPr>
          <w:rFonts w:ascii="Times New Roman" w:hAnsi="Times New Roman" w:cs="Times New Roman"/>
        </w:rPr>
        <w:t xml:space="preserve">(once again) come to </w:t>
      </w:r>
      <w:r w:rsidR="006923B6" w:rsidRPr="0089051B">
        <w:rPr>
          <w:rFonts w:ascii="Times New Roman" w:hAnsi="Times New Roman" w:cs="Times New Roman"/>
        </w:rPr>
        <w:lastRenderedPageBreak/>
        <w:t>occupy a prominent place in public discourse.</w:t>
      </w:r>
      <w:r w:rsidR="00177EF0" w:rsidRPr="0089051B">
        <w:rPr>
          <w:rStyle w:val="FootnoteReference"/>
          <w:rFonts w:ascii="Times New Roman" w:hAnsi="Times New Roman" w:cs="Times New Roman"/>
        </w:rPr>
        <w:footnoteReference w:id="3"/>
      </w:r>
      <w:r w:rsidR="006923B6" w:rsidRPr="0089051B">
        <w:rPr>
          <w:rFonts w:ascii="Times New Roman" w:hAnsi="Times New Roman" w:cs="Times New Roman"/>
        </w:rPr>
        <w:t xml:space="preserve">  Primacy has </w:t>
      </w:r>
      <w:r w:rsidR="00177EF0" w:rsidRPr="0089051B">
        <w:rPr>
          <w:rFonts w:ascii="Times New Roman" w:hAnsi="Times New Roman" w:cs="Times New Roman"/>
        </w:rPr>
        <w:t>been co-opted</w:t>
      </w:r>
      <w:r w:rsidR="004B41B8" w:rsidRPr="0089051B">
        <w:rPr>
          <w:rFonts w:ascii="Times New Roman" w:hAnsi="Times New Roman" w:cs="Times New Roman"/>
        </w:rPr>
        <w:t xml:space="preserve"> </w:t>
      </w:r>
      <w:r w:rsidR="00177EF0" w:rsidRPr="0089051B">
        <w:rPr>
          <w:rFonts w:ascii="Times New Roman" w:hAnsi="Times New Roman" w:cs="Times New Roman"/>
        </w:rPr>
        <w:t xml:space="preserve">as an </w:t>
      </w:r>
      <w:r w:rsidR="004B41B8" w:rsidRPr="0089051B">
        <w:rPr>
          <w:rFonts w:ascii="Times New Roman" w:hAnsi="Times New Roman" w:cs="Times New Roman"/>
        </w:rPr>
        <w:t xml:space="preserve">effective proxy </w:t>
      </w:r>
      <w:r w:rsidR="00D151C1" w:rsidRPr="0089051B">
        <w:rPr>
          <w:rFonts w:ascii="Times New Roman" w:hAnsi="Times New Roman" w:cs="Times New Roman"/>
        </w:rPr>
        <w:t xml:space="preserve">– indeed, virtually a symbolic rallying point – for competing political visions of our European future: defenders of the liberal social market democracy upon which the Union is founded regard primacy as a logical and necessary consequence of the voluntary sovereign act of Union membership based on the collaborative pursuit of common values and policies; radical reformers, on both the left and the right, might prefer to </w:t>
      </w:r>
      <w:r w:rsidR="006923B6" w:rsidRPr="0089051B">
        <w:rPr>
          <w:rFonts w:ascii="Times New Roman" w:hAnsi="Times New Roman" w:cs="Times New Roman"/>
        </w:rPr>
        <w:t>redefine or even invert the existing relationship between Union and national law as part of a broader overhaul of the Union’s vocation, institutions and competences; while the charlatan propagators of post-truth populism cite “</w:t>
      </w:r>
      <w:r w:rsidR="00B81FD5" w:rsidRPr="0089051B">
        <w:rPr>
          <w:rFonts w:ascii="Times New Roman" w:hAnsi="Times New Roman" w:cs="Times New Roman"/>
        </w:rPr>
        <w:t>primacy</w:t>
      </w:r>
      <w:r w:rsidR="006923B6" w:rsidRPr="0089051B">
        <w:rPr>
          <w:rFonts w:ascii="Times New Roman" w:hAnsi="Times New Roman" w:cs="Times New Roman"/>
        </w:rPr>
        <w:t>” as concrete evidence of just how far the global</w:t>
      </w:r>
      <w:r w:rsidR="009E4C20" w:rsidRPr="0089051B">
        <w:rPr>
          <w:rFonts w:ascii="Times New Roman" w:hAnsi="Times New Roman" w:cs="Times New Roman"/>
        </w:rPr>
        <w:t>ist</w:t>
      </w:r>
      <w:r w:rsidR="006923B6" w:rsidRPr="0089051B">
        <w:rPr>
          <w:rFonts w:ascii="Times New Roman" w:hAnsi="Times New Roman" w:cs="Times New Roman"/>
        </w:rPr>
        <w:t xml:space="preserve"> elite </w:t>
      </w:r>
      <w:r w:rsidR="009E4C20" w:rsidRPr="0089051B">
        <w:rPr>
          <w:rFonts w:ascii="Times New Roman" w:hAnsi="Times New Roman" w:cs="Times New Roman"/>
        </w:rPr>
        <w:t xml:space="preserve">has </w:t>
      </w:r>
      <w:r w:rsidR="006923B6" w:rsidRPr="0089051B">
        <w:rPr>
          <w:rFonts w:ascii="Times New Roman" w:hAnsi="Times New Roman" w:cs="Times New Roman"/>
        </w:rPr>
        <w:t xml:space="preserve">succeeded in </w:t>
      </w:r>
      <w:r w:rsidR="009E4C20" w:rsidRPr="0089051B">
        <w:rPr>
          <w:rFonts w:ascii="Times New Roman" w:hAnsi="Times New Roman" w:cs="Times New Roman"/>
        </w:rPr>
        <w:t xml:space="preserve">its </w:t>
      </w:r>
      <w:r w:rsidR="006923B6" w:rsidRPr="0089051B">
        <w:rPr>
          <w:rFonts w:ascii="Times New Roman" w:hAnsi="Times New Roman" w:cs="Times New Roman"/>
        </w:rPr>
        <w:t>planned destruction of national sovereignty.</w:t>
      </w:r>
      <w:r w:rsidR="00177EF0" w:rsidRPr="0089051B">
        <w:rPr>
          <w:rStyle w:val="FootnoteReference"/>
          <w:rFonts w:ascii="Times New Roman" w:hAnsi="Times New Roman" w:cs="Times New Roman"/>
        </w:rPr>
        <w:footnoteReference w:id="4"/>
      </w:r>
      <w:r w:rsidR="0004610B" w:rsidRPr="0089051B">
        <w:rPr>
          <w:rFonts w:ascii="Times New Roman" w:hAnsi="Times New Roman" w:cs="Times New Roman"/>
        </w:rPr>
        <w:t xml:space="preserve">  </w:t>
      </w:r>
    </w:p>
    <w:p w14:paraId="11043A81" w14:textId="172C9BED" w:rsidR="006E5E55" w:rsidRPr="0089051B" w:rsidRDefault="0004610B" w:rsidP="006E5E55">
      <w:pPr>
        <w:ind w:firstLine="720"/>
        <w:jc w:val="both"/>
        <w:rPr>
          <w:rFonts w:ascii="Times New Roman" w:hAnsi="Times New Roman" w:cs="Times New Roman"/>
        </w:rPr>
      </w:pPr>
      <w:r w:rsidRPr="0089051B">
        <w:rPr>
          <w:rFonts w:ascii="Times New Roman" w:hAnsi="Times New Roman" w:cs="Times New Roman"/>
        </w:rPr>
        <w:t xml:space="preserve">Of course, EU lawyers are entitled to regard that entire discourse with bemusement and </w:t>
      </w:r>
      <w:r w:rsidR="00FB528F" w:rsidRPr="0089051B">
        <w:rPr>
          <w:rFonts w:ascii="Times New Roman" w:hAnsi="Times New Roman" w:cs="Times New Roman"/>
        </w:rPr>
        <w:t xml:space="preserve">/ or </w:t>
      </w:r>
      <w:r w:rsidRPr="0089051B">
        <w:rPr>
          <w:rFonts w:ascii="Times New Roman" w:hAnsi="Times New Roman" w:cs="Times New Roman"/>
        </w:rPr>
        <w:t xml:space="preserve">exasperation: the primacy of Union over national law may well be an “essential characteristic” of the Union’s </w:t>
      </w:r>
      <w:r w:rsidR="00772A9C" w:rsidRPr="0089051B">
        <w:rPr>
          <w:rFonts w:ascii="Times New Roman" w:hAnsi="Times New Roman" w:cs="Times New Roman"/>
        </w:rPr>
        <w:t>unique constitutional framework;</w:t>
      </w:r>
      <w:r w:rsidRPr="0089051B">
        <w:rPr>
          <w:rFonts w:ascii="Times New Roman" w:hAnsi="Times New Roman" w:cs="Times New Roman"/>
        </w:rPr>
        <w:t xml:space="preserve"> but it is also a much more qualified and nuanced legal proposition than </w:t>
      </w:r>
      <w:r w:rsidR="00764B27" w:rsidRPr="0089051B">
        <w:rPr>
          <w:rFonts w:ascii="Times New Roman" w:hAnsi="Times New Roman" w:cs="Times New Roman"/>
        </w:rPr>
        <w:t>any</w:t>
      </w:r>
      <w:r w:rsidRPr="0089051B">
        <w:rPr>
          <w:rFonts w:ascii="Times New Roman" w:hAnsi="Times New Roman" w:cs="Times New Roman"/>
        </w:rPr>
        <w:t xml:space="preserve"> </w:t>
      </w:r>
      <w:r w:rsidR="00764B27" w:rsidRPr="0089051B">
        <w:rPr>
          <w:rFonts w:ascii="Times New Roman" w:hAnsi="Times New Roman" w:cs="Times New Roman"/>
        </w:rPr>
        <w:t xml:space="preserve">political </w:t>
      </w:r>
      <w:r w:rsidR="007C5A9B" w:rsidRPr="0089051B">
        <w:rPr>
          <w:rFonts w:ascii="Times New Roman" w:hAnsi="Times New Roman" w:cs="Times New Roman"/>
        </w:rPr>
        <w:t xml:space="preserve">rhetoric </w:t>
      </w:r>
      <w:r w:rsidRPr="0089051B">
        <w:rPr>
          <w:rFonts w:ascii="Times New Roman" w:hAnsi="Times New Roman" w:cs="Times New Roman"/>
        </w:rPr>
        <w:t xml:space="preserve">ever manages to capture and convey.  </w:t>
      </w:r>
      <w:r w:rsidR="007C5A9B" w:rsidRPr="0089051B">
        <w:rPr>
          <w:rFonts w:ascii="Times New Roman" w:hAnsi="Times New Roman" w:cs="Times New Roman"/>
        </w:rPr>
        <w:t xml:space="preserve">In particular, the Court has long drawn a clear distinction between the abstract question of whether Union law is to be considered compatible with or to preclude any given provision of national law </w:t>
      </w:r>
      <w:r w:rsidR="007C5A9B" w:rsidRPr="0089051B">
        <w:rPr>
          <w:rFonts w:ascii="Times New Roman" w:hAnsi="Times New Roman" w:cs="Times New Roman"/>
          <w:i/>
        </w:rPr>
        <w:t>versus</w:t>
      </w:r>
      <w:r w:rsidR="007C5A9B" w:rsidRPr="0089051B">
        <w:rPr>
          <w:rFonts w:ascii="Times New Roman" w:hAnsi="Times New Roman" w:cs="Times New Roman"/>
        </w:rPr>
        <w:t xml:space="preserve"> the practical </w:t>
      </w:r>
      <w:proofErr w:type="gramStart"/>
      <w:r w:rsidR="007C5A9B" w:rsidRPr="0089051B">
        <w:rPr>
          <w:rFonts w:ascii="Times New Roman" w:hAnsi="Times New Roman" w:cs="Times New Roman"/>
        </w:rPr>
        <w:t>consequences which</w:t>
      </w:r>
      <w:proofErr w:type="gramEnd"/>
      <w:r w:rsidR="007C5A9B" w:rsidRPr="0089051B">
        <w:rPr>
          <w:rFonts w:ascii="Times New Roman" w:hAnsi="Times New Roman" w:cs="Times New Roman"/>
        </w:rPr>
        <w:t xml:space="preserve"> are to be drawn from </w:t>
      </w:r>
      <w:r w:rsidR="00FB528F" w:rsidRPr="0089051B">
        <w:rPr>
          <w:rFonts w:ascii="Times New Roman" w:hAnsi="Times New Roman" w:cs="Times New Roman"/>
        </w:rPr>
        <w:t xml:space="preserve">any </w:t>
      </w:r>
      <w:r w:rsidR="007C5A9B" w:rsidRPr="0089051B">
        <w:rPr>
          <w:rFonts w:ascii="Times New Roman" w:hAnsi="Times New Roman" w:cs="Times New Roman"/>
        </w:rPr>
        <w:t>such a</w:t>
      </w:r>
      <w:r w:rsidR="00E07018" w:rsidRPr="0089051B">
        <w:rPr>
          <w:rFonts w:ascii="Times New Roman" w:hAnsi="Times New Roman" w:cs="Times New Roman"/>
        </w:rPr>
        <w:t>bstract</w:t>
      </w:r>
      <w:r w:rsidR="007C5A9B" w:rsidRPr="0089051B">
        <w:rPr>
          <w:rFonts w:ascii="Times New Roman" w:hAnsi="Times New Roman" w:cs="Times New Roman"/>
        </w:rPr>
        <w:t xml:space="preserve"> state of incompatibility or assessment of preclusion.</w:t>
      </w:r>
      <w:r w:rsidR="007C5A9B" w:rsidRPr="0089051B">
        <w:rPr>
          <w:rStyle w:val="FootnoteReference"/>
          <w:rFonts w:ascii="Times New Roman" w:hAnsi="Times New Roman" w:cs="Times New Roman"/>
        </w:rPr>
        <w:footnoteReference w:id="5"/>
      </w:r>
      <w:r w:rsidR="007C5A9B" w:rsidRPr="0089051B">
        <w:rPr>
          <w:rFonts w:ascii="Times New Roman" w:hAnsi="Times New Roman" w:cs="Times New Roman"/>
        </w:rPr>
        <w:t xml:space="preserve">  Notwithstanding certain suggestions to the contrary in several judgments dating from the formative years of the </w:t>
      </w:r>
      <w:proofErr w:type="spellStart"/>
      <w:r w:rsidR="007C5A9B" w:rsidRPr="0089051B">
        <w:rPr>
          <w:rFonts w:ascii="Times New Roman" w:hAnsi="Times New Roman" w:cs="Times New Roman"/>
        </w:rPr>
        <w:t>caselaw</w:t>
      </w:r>
      <w:proofErr w:type="spellEnd"/>
      <w:r w:rsidR="007C5A9B" w:rsidRPr="0089051B">
        <w:rPr>
          <w:rFonts w:ascii="Times New Roman" w:hAnsi="Times New Roman" w:cs="Times New Roman"/>
        </w:rPr>
        <w:t xml:space="preserve"> on relations between the Union and national legal systems,</w:t>
      </w:r>
      <w:r w:rsidR="007C5A9B" w:rsidRPr="0089051B">
        <w:rPr>
          <w:rStyle w:val="FootnoteReference"/>
          <w:rFonts w:ascii="Times New Roman" w:hAnsi="Times New Roman" w:cs="Times New Roman"/>
        </w:rPr>
        <w:footnoteReference w:id="6"/>
      </w:r>
      <w:r w:rsidR="007C5A9B" w:rsidRPr="0089051B">
        <w:rPr>
          <w:rFonts w:ascii="Times New Roman" w:hAnsi="Times New Roman" w:cs="Times New Roman"/>
        </w:rPr>
        <w:t xml:space="preserve"> the Court has since been clear and consistent in its understanding that the principle of </w:t>
      </w:r>
      <w:r w:rsidR="00B81FD5" w:rsidRPr="0089051B">
        <w:rPr>
          <w:rFonts w:ascii="Times New Roman" w:hAnsi="Times New Roman" w:cs="Times New Roman"/>
        </w:rPr>
        <w:t>primacy</w:t>
      </w:r>
      <w:r w:rsidR="007C5A9B" w:rsidRPr="0089051B">
        <w:rPr>
          <w:rFonts w:ascii="Times New Roman" w:hAnsi="Times New Roman" w:cs="Times New Roman"/>
        </w:rPr>
        <w:t xml:space="preserve"> for Union law cannot and does not have the effect (for example) of suppressing the very existence or exercise of national competence, even to adopt rules which would be precluded by Union law.</w:t>
      </w:r>
      <w:r w:rsidR="007C5A9B" w:rsidRPr="0089051B">
        <w:rPr>
          <w:rStyle w:val="FootnoteReference"/>
          <w:rFonts w:ascii="Times New Roman" w:hAnsi="Times New Roman" w:cs="Times New Roman"/>
        </w:rPr>
        <w:footnoteReference w:id="7"/>
      </w:r>
      <w:r w:rsidR="007C5A9B" w:rsidRPr="0089051B">
        <w:rPr>
          <w:rFonts w:ascii="Times New Roman" w:hAnsi="Times New Roman" w:cs="Times New Roman"/>
        </w:rPr>
        <w:t xml:space="preserve">  </w:t>
      </w:r>
      <w:r w:rsidR="00FB528F" w:rsidRPr="0089051B">
        <w:rPr>
          <w:rFonts w:ascii="Times New Roman" w:hAnsi="Times New Roman" w:cs="Times New Roman"/>
        </w:rPr>
        <w:t>But also</w:t>
      </w:r>
      <w:r w:rsidR="007C5A9B" w:rsidRPr="0089051B">
        <w:rPr>
          <w:rFonts w:ascii="Times New Roman" w:hAnsi="Times New Roman" w:cs="Times New Roman"/>
        </w:rPr>
        <w:t xml:space="preserve"> when it comes to drawing the practical consequences of any abstract finding of incompatibility, </w:t>
      </w:r>
      <w:r w:rsidR="00764B27" w:rsidRPr="0089051B">
        <w:rPr>
          <w:rFonts w:ascii="Times New Roman" w:hAnsi="Times New Roman" w:cs="Times New Roman"/>
        </w:rPr>
        <w:t xml:space="preserve">the reality of </w:t>
      </w:r>
      <w:r w:rsidR="00B81FD5" w:rsidRPr="0089051B">
        <w:rPr>
          <w:rFonts w:ascii="Times New Roman" w:hAnsi="Times New Roman" w:cs="Times New Roman"/>
        </w:rPr>
        <w:t>primacy</w:t>
      </w:r>
      <w:r w:rsidR="00764B27" w:rsidRPr="0089051B">
        <w:rPr>
          <w:rFonts w:ascii="Times New Roman" w:hAnsi="Times New Roman" w:cs="Times New Roman"/>
        </w:rPr>
        <w:t xml:space="preserve"> is much more prosaic</w:t>
      </w:r>
      <w:r w:rsidR="007C5A9B" w:rsidRPr="0089051B">
        <w:rPr>
          <w:rFonts w:ascii="Times New Roman" w:hAnsi="Times New Roman" w:cs="Times New Roman"/>
        </w:rPr>
        <w:t xml:space="preserve"> than many lay commentators might assume or expect</w:t>
      </w:r>
      <w:r w:rsidR="00764B27" w:rsidRPr="0089051B">
        <w:rPr>
          <w:rFonts w:ascii="Times New Roman" w:hAnsi="Times New Roman" w:cs="Times New Roman"/>
        </w:rPr>
        <w:t xml:space="preserve">: in the context of an individual decision or dispute, where the competent national authorities are faced with a direct conflict between legally cognisable provisions of Union law (on the one hand) and measures of purely domestic law (on the other hand), the latter should be </w:t>
      </w:r>
      <w:proofErr w:type="spellStart"/>
      <w:r w:rsidR="00764B27" w:rsidRPr="0089051B">
        <w:rPr>
          <w:rFonts w:ascii="Times New Roman" w:hAnsi="Times New Roman" w:cs="Times New Roman"/>
        </w:rPr>
        <w:t>disapplied</w:t>
      </w:r>
      <w:proofErr w:type="spellEnd"/>
      <w:r w:rsidR="00764B27" w:rsidRPr="0089051B">
        <w:rPr>
          <w:rFonts w:ascii="Times New Roman" w:hAnsi="Times New Roman" w:cs="Times New Roman"/>
        </w:rPr>
        <w:t xml:space="preserve"> in practice, </w:t>
      </w:r>
      <w:r w:rsidR="00A66180" w:rsidRPr="0089051B">
        <w:rPr>
          <w:rFonts w:ascii="Times New Roman" w:hAnsi="Times New Roman" w:cs="Times New Roman"/>
        </w:rPr>
        <w:t xml:space="preserve">as a first (though not always </w:t>
      </w:r>
      <w:r w:rsidR="00177EF0" w:rsidRPr="0089051B">
        <w:rPr>
          <w:rFonts w:ascii="Times New Roman" w:hAnsi="Times New Roman" w:cs="Times New Roman"/>
        </w:rPr>
        <w:t xml:space="preserve">sufficient or indeed even necessarily </w:t>
      </w:r>
      <w:r w:rsidR="00A66180" w:rsidRPr="0089051B">
        <w:rPr>
          <w:rFonts w:ascii="Times New Roman" w:hAnsi="Times New Roman" w:cs="Times New Roman"/>
        </w:rPr>
        <w:t xml:space="preserve">appropriate) step towards securing the effective </w:t>
      </w:r>
      <w:r w:rsidR="00764B27" w:rsidRPr="0089051B">
        <w:rPr>
          <w:rFonts w:ascii="Times New Roman" w:hAnsi="Times New Roman" w:cs="Times New Roman"/>
        </w:rPr>
        <w:t xml:space="preserve">application and enforcement of the </w:t>
      </w:r>
      <w:r w:rsidR="00A66180" w:rsidRPr="0089051B">
        <w:rPr>
          <w:rFonts w:ascii="Times New Roman" w:hAnsi="Times New Roman" w:cs="Times New Roman"/>
        </w:rPr>
        <w:t>Member State’s obligations under the Treaties</w:t>
      </w:r>
      <w:r w:rsidR="00764B27" w:rsidRPr="0089051B">
        <w:rPr>
          <w:rFonts w:ascii="Times New Roman" w:hAnsi="Times New Roman" w:cs="Times New Roman"/>
        </w:rPr>
        <w:t>.</w:t>
      </w:r>
    </w:p>
    <w:p w14:paraId="364A2966" w14:textId="69AFE249" w:rsidR="006E5E55" w:rsidRPr="0089051B" w:rsidRDefault="00A66180" w:rsidP="006E5E55">
      <w:pPr>
        <w:ind w:firstLine="720"/>
        <w:jc w:val="both"/>
        <w:rPr>
          <w:rFonts w:ascii="Times New Roman" w:hAnsi="Times New Roman" w:cs="Times New Roman"/>
        </w:rPr>
      </w:pPr>
      <w:r w:rsidRPr="0089051B">
        <w:rPr>
          <w:rFonts w:ascii="Times New Roman" w:hAnsi="Times New Roman" w:cs="Times New Roman"/>
        </w:rPr>
        <w:t xml:space="preserve">It is worth </w:t>
      </w:r>
      <w:r w:rsidR="007C5A9B" w:rsidRPr="0089051B">
        <w:rPr>
          <w:rFonts w:ascii="Times New Roman" w:hAnsi="Times New Roman" w:cs="Times New Roman"/>
        </w:rPr>
        <w:t xml:space="preserve">exploring in greater detail </w:t>
      </w:r>
      <w:r w:rsidRPr="0089051B">
        <w:rPr>
          <w:rFonts w:ascii="Times New Roman" w:hAnsi="Times New Roman" w:cs="Times New Roman"/>
        </w:rPr>
        <w:t xml:space="preserve">each </w:t>
      </w:r>
      <w:r w:rsidR="007C5A9B" w:rsidRPr="0089051B">
        <w:rPr>
          <w:rFonts w:ascii="Times New Roman" w:hAnsi="Times New Roman" w:cs="Times New Roman"/>
        </w:rPr>
        <w:t xml:space="preserve">of the </w:t>
      </w:r>
      <w:proofErr w:type="gramStart"/>
      <w:r w:rsidRPr="0089051B">
        <w:rPr>
          <w:rFonts w:ascii="Times New Roman" w:hAnsi="Times New Roman" w:cs="Times New Roman"/>
        </w:rPr>
        <w:t>element</w:t>
      </w:r>
      <w:r w:rsidR="007C5A9B" w:rsidRPr="0089051B">
        <w:rPr>
          <w:rFonts w:ascii="Times New Roman" w:hAnsi="Times New Roman" w:cs="Times New Roman"/>
        </w:rPr>
        <w:t>s</w:t>
      </w:r>
      <w:r w:rsidRPr="0089051B">
        <w:rPr>
          <w:rFonts w:ascii="Times New Roman" w:hAnsi="Times New Roman" w:cs="Times New Roman"/>
        </w:rPr>
        <w:t xml:space="preserve"> </w:t>
      </w:r>
      <w:r w:rsidR="00177EF0" w:rsidRPr="0089051B">
        <w:rPr>
          <w:rFonts w:ascii="Times New Roman" w:hAnsi="Times New Roman" w:cs="Times New Roman"/>
        </w:rPr>
        <w:t>which</w:t>
      </w:r>
      <w:proofErr w:type="gramEnd"/>
      <w:r w:rsidR="007C5A9B" w:rsidRPr="0089051B">
        <w:rPr>
          <w:rFonts w:ascii="Times New Roman" w:hAnsi="Times New Roman" w:cs="Times New Roman"/>
        </w:rPr>
        <w:t xml:space="preserve"> contribute towards </w:t>
      </w:r>
      <w:r w:rsidR="00177EF0" w:rsidRPr="0089051B">
        <w:rPr>
          <w:rFonts w:ascii="Times New Roman" w:hAnsi="Times New Roman" w:cs="Times New Roman"/>
        </w:rPr>
        <w:t xml:space="preserve">that </w:t>
      </w:r>
      <w:r w:rsidRPr="0089051B">
        <w:rPr>
          <w:rFonts w:ascii="Times New Roman" w:hAnsi="Times New Roman" w:cs="Times New Roman"/>
        </w:rPr>
        <w:t xml:space="preserve">prosaic reality </w:t>
      </w:r>
      <w:r w:rsidR="007C5A9B" w:rsidRPr="0089051B">
        <w:rPr>
          <w:rFonts w:ascii="Times New Roman" w:hAnsi="Times New Roman" w:cs="Times New Roman"/>
        </w:rPr>
        <w:t>of the principle of primacy</w:t>
      </w:r>
      <w:r w:rsidRPr="0089051B">
        <w:rPr>
          <w:rFonts w:ascii="Times New Roman" w:hAnsi="Times New Roman" w:cs="Times New Roman"/>
        </w:rPr>
        <w:t xml:space="preserve">.  </w:t>
      </w:r>
      <w:r w:rsidR="0004610B" w:rsidRPr="0089051B">
        <w:rPr>
          <w:rFonts w:ascii="Times New Roman" w:hAnsi="Times New Roman" w:cs="Times New Roman"/>
        </w:rPr>
        <w:t xml:space="preserve">In the first place, the Court insists that </w:t>
      </w:r>
      <w:r w:rsidR="00B81FD5" w:rsidRPr="0089051B">
        <w:rPr>
          <w:rFonts w:ascii="Times New Roman" w:hAnsi="Times New Roman" w:cs="Times New Roman"/>
        </w:rPr>
        <w:t>primacy</w:t>
      </w:r>
      <w:r w:rsidR="0004610B" w:rsidRPr="0089051B">
        <w:rPr>
          <w:rFonts w:ascii="Times New Roman" w:hAnsi="Times New Roman" w:cs="Times New Roman"/>
        </w:rPr>
        <w:t xml:space="preserve"> </w:t>
      </w:r>
      <w:r w:rsidR="001D7812" w:rsidRPr="0089051B">
        <w:rPr>
          <w:rFonts w:ascii="Times New Roman" w:hAnsi="Times New Roman" w:cs="Times New Roman"/>
        </w:rPr>
        <w:t xml:space="preserve">and disapplication </w:t>
      </w:r>
      <w:r w:rsidR="0004610B" w:rsidRPr="0089051B">
        <w:rPr>
          <w:rFonts w:ascii="Times New Roman" w:hAnsi="Times New Roman" w:cs="Times New Roman"/>
        </w:rPr>
        <w:t xml:space="preserve">should be treated only as a </w:t>
      </w:r>
      <w:r w:rsidR="00870D6E" w:rsidRPr="0089051B">
        <w:rPr>
          <w:rFonts w:ascii="Times New Roman" w:hAnsi="Times New Roman" w:cs="Times New Roman"/>
        </w:rPr>
        <w:t xml:space="preserve">legal tool </w:t>
      </w:r>
      <w:r w:rsidR="0004610B" w:rsidRPr="0089051B">
        <w:rPr>
          <w:rFonts w:ascii="Times New Roman" w:hAnsi="Times New Roman" w:cs="Times New Roman"/>
        </w:rPr>
        <w:t>of last resort.</w:t>
      </w:r>
      <w:r w:rsidR="00773EB6" w:rsidRPr="0089051B">
        <w:rPr>
          <w:rStyle w:val="FootnoteReference"/>
          <w:rFonts w:ascii="Times New Roman" w:hAnsi="Times New Roman" w:cs="Times New Roman"/>
        </w:rPr>
        <w:footnoteReference w:id="8"/>
      </w:r>
      <w:r w:rsidR="0004610B" w:rsidRPr="0089051B">
        <w:rPr>
          <w:rFonts w:ascii="Times New Roman" w:hAnsi="Times New Roman" w:cs="Times New Roman"/>
        </w:rPr>
        <w:t xml:space="preserve">  Where there is an apparent conflict between provisions of Union and national </w:t>
      </w:r>
      <w:r w:rsidR="0004610B" w:rsidRPr="0089051B">
        <w:rPr>
          <w:rFonts w:ascii="Times New Roman" w:hAnsi="Times New Roman" w:cs="Times New Roman"/>
        </w:rPr>
        <w:lastRenderedPageBreak/>
        <w:t xml:space="preserve">law, the </w:t>
      </w:r>
      <w:r w:rsidR="00870D6E" w:rsidRPr="0089051B">
        <w:rPr>
          <w:rFonts w:ascii="Times New Roman" w:hAnsi="Times New Roman" w:cs="Times New Roman"/>
        </w:rPr>
        <w:t>preferred</w:t>
      </w:r>
      <w:r w:rsidR="0004610B" w:rsidRPr="0089051B">
        <w:rPr>
          <w:rFonts w:ascii="Times New Roman" w:hAnsi="Times New Roman" w:cs="Times New Roman"/>
        </w:rPr>
        <w:t xml:space="preserve"> means of resolving that tension is through the duty of consistent interpretation: national law must, as far as possible, be construed so as to comply with the Member State’s obligations under the Treaties.</w:t>
      </w:r>
      <w:r w:rsidR="00177EF0" w:rsidRPr="0089051B">
        <w:rPr>
          <w:rStyle w:val="FootnoteReference"/>
          <w:rFonts w:ascii="Times New Roman" w:hAnsi="Times New Roman" w:cs="Times New Roman"/>
        </w:rPr>
        <w:footnoteReference w:id="9"/>
      </w:r>
      <w:r w:rsidR="0004610B" w:rsidRPr="0089051B">
        <w:rPr>
          <w:rFonts w:ascii="Times New Roman" w:hAnsi="Times New Roman" w:cs="Times New Roman"/>
        </w:rPr>
        <w:t xml:space="preserve">  Only if such consistent interpretation proves impossible (for example, when faced with a simple </w:t>
      </w:r>
      <w:r w:rsidR="0004610B" w:rsidRPr="0089051B">
        <w:rPr>
          <w:rFonts w:ascii="Times New Roman" w:hAnsi="Times New Roman" w:cs="Times New Roman"/>
          <w:i/>
        </w:rPr>
        <w:t xml:space="preserve">contra </w:t>
      </w:r>
      <w:proofErr w:type="spellStart"/>
      <w:r w:rsidR="0004610B" w:rsidRPr="0089051B">
        <w:rPr>
          <w:rFonts w:ascii="Times New Roman" w:hAnsi="Times New Roman" w:cs="Times New Roman"/>
          <w:i/>
        </w:rPr>
        <w:t>legem</w:t>
      </w:r>
      <w:proofErr w:type="spellEnd"/>
      <w:r w:rsidR="0004610B" w:rsidRPr="0089051B">
        <w:rPr>
          <w:rFonts w:ascii="Times New Roman" w:hAnsi="Times New Roman" w:cs="Times New Roman"/>
          <w:i/>
        </w:rPr>
        <w:t xml:space="preserve"> </w:t>
      </w:r>
      <w:r w:rsidR="0004610B" w:rsidRPr="0089051B">
        <w:rPr>
          <w:rFonts w:ascii="Times New Roman" w:hAnsi="Times New Roman" w:cs="Times New Roman"/>
        </w:rPr>
        <w:t xml:space="preserve">incompatibility between Union and national legislation) does the </w:t>
      </w:r>
      <w:r w:rsidR="00772A9C" w:rsidRPr="0089051B">
        <w:rPr>
          <w:rFonts w:ascii="Times New Roman" w:hAnsi="Times New Roman" w:cs="Times New Roman"/>
        </w:rPr>
        <w:t>domestic</w:t>
      </w:r>
      <w:r w:rsidR="0004610B" w:rsidRPr="0089051B">
        <w:rPr>
          <w:rFonts w:ascii="Times New Roman" w:hAnsi="Times New Roman" w:cs="Times New Roman"/>
        </w:rPr>
        <w:t xml:space="preserve"> court need to re</w:t>
      </w:r>
      <w:r w:rsidR="00772A9C" w:rsidRPr="0089051B">
        <w:rPr>
          <w:rFonts w:ascii="Times New Roman" w:hAnsi="Times New Roman" w:cs="Times New Roman"/>
        </w:rPr>
        <w:t xml:space="preserve">construct and address the relationship between Union and national law in potentially more </w:t>
      </w:r>
      <w:r w:rsidR="0004610B" w:rsidRPr="0089051B">
        <w:rPr>
          <w:rFonts w:ascii="Times New Roman" w:hAnsi="Times New Roman" w:cs="Times New Roman"/>
        </w:rPr>
        <w:t xml:space="preserve">abrasive </w:t>
      </w:r>
      <w:r w:rsidR="00772A9C" w:rsidRPr="0089051B">
        <w:rPr>
          <w:rFonts w:ascii="Times New Roman" w:hAnsi="Times New Roman" w:cs="Times New Roman"/>
        </w:rPr>
        <w:t>terms</w:t>
      </w:r>
      <w:r w:rsidR="0004610B" w:rsidRPr="0089051B">
        <w:rPr>
          <w:rFonts w:ascii="Times New Roman" w:hAnsi="Times New Roman" w:cs="Times New Roman"/>
        </w:rPr>
        <w:t>.</w:t>
      </w:r>
      <w:r w:rsidR="0004610B" w:rsidRPr="0089051B">
        <w:rPr>
          <w:rStyle w:val="FootnoteReference"/>
          <w:rFonts w:ascii="Times New Roman" w:hAnsi="Times New Roman" w:cs="Times New Roman"/>
        </w:rPr>
        <w:footnoteReference w:id="10"/>
      </w:r>
      <w:r w:rsidR="0004610B" w:rsidRPr="0089051B">
        <w:rPr>
          <w:rFonts w:ascii="Times New Roman" w:hAnsi="Times New Roman" w:cs="Times New Roman"/>
        </w:rPr>
        <w:t xml:space="preserve">   </w:t>
      </w:r>
    </w:p>
    <w:p w14:paraId="40B8659D" w14:textId="48928F15" w:rsidR="006E5E55" w:rsidRPr="0089051B" w:rsidRDefault="0004610B" w:rsidP="006E5E55">
      <w:pPr>
        <w:ind w:firstLine="720"/>
        <w:jc w:val="both"/>
        <w:rPr>
          <w:rFonts w:ascii="Times New Roman" w:hAnsi="Times New Roman" w:cs="Times New Roman"/>
        </w:rPr>
      </w:pPr>
      <w:r w:rsidRPr="0089051B">
        <w:rPr>
          <w:rFonts w:ascii="Times New Roman" w:hAnsi="Times New Roman" w:cs="Times New Roman"/>
        </w:rPr>
        <w:t>In the second place,</w:t>
      </w:r>
      <w:r w:rsidR="00772A9C" w:rsidRPr="0089051B">
        <w:rPr>
          <w:rFonts w:ascii="Times New Roman" w:hAnsi="Times New Roman" w:cs="Times New Roman"/>
        </w:rPr>
        <w:t xml:space="preserve"> even in those situations where the duty of consistent interpretation is unable to offer a solution, it does not necessarily or inevitably follow that the national court </w:t>
      </w:r>
      <w:r w:rsidR="00FB528F" w:rsidRPr="0089051B">
        <w:rPr>
          <w:rFonts w:ascii="Times New Roman" w:hAnsi="Times New Roman" w:cs="Times New Roman"/>
        </w:rPr>
        <w:t>will face</w:t>
      </w:r>
      <w:r w:rsidR="00772A9C" w:rsidRPr="0089051B">
        <w:rPr>
          <w:rFonts w:ascii="Times New Roman" w:hAnsi="Times New Roman" w:cs="Times New Roman"/>
        </w:rPr>
        <w:t xml:space="preserve"> a live conflict between Union and national law which requires active resolution through recourse to </w:t>
      </w:r>
      <w:r w:rsidR="00B81FD5" w:rsidRPr="0089051B">
        <w:rPr>
          <w:rFonts w:ascii="Times New Roman" w:hAnsi="Times New Roman" w:cs="Times New Roman"/>
        </w:rPr>
        <w:t>primacy</w:t>
      </w:r>
      <w:r w:rsidR="001D7812" w:rsidRPr="0089051B">
        <w:rPr>
          <w:rFonts w:ascii="Times New Roman" w:hAnsi="Times New Roman" w:cs="Times New Roman"/>
        </w:rPr>
        <w:t xml:space="preserve"> and disapplication</w:t>
      </w:r>
      <w:r w:rsidR="00772A9C" w:rsidRPr="0089051B">
        <w:rPr>
          <w:rFonts w:ascii="Times New Roman" w:hAnsi="Times New Roman" w:cs="Times New Roman"/>
        </w:rPr>
        <w:t xml:space="preserve">.  As the Court has repeatedly confirmed in its </w:t>
      </w:r>
      <w:proofErr w:type="spellStart"/>
      <w:r w:rsidR="00772A9C" w:rsidRPr="0089051B">
        <w:rPr>
          <w:rFonts w:ascii="Times New Roman" w:hAnsi="Times New Roman" w:cs="Times New Roman"/>
        </w:rPr>
        <w:t>caselaw</w:t>
      </w:r>
      <w:proofErr w:type="spellEnd"/>
      <w:r w:rsidR="00772A9C" w:rsidRPr="0089051B">
        <w:rPr>
          <w:rFonts w:ascii="Times New Roman" w:hAnsi="Times New Roman" w:cs="Times New Roman"/>
        </w:rPr>
        <w:t xml:space="preserve">: the capacity of Union law to enjoy and express its </w:t>
      </w:r>
      <w:r w:rsidR="00B81FD5" w:rsidRPr="0089051B">
        <w:rPr>
          <w:rFonts w:ascii="Times New Roman" w:hAnsi="Times New Roman" w:cs="Times New Roman"/>
        </w:rPr>
        <w:t>primacy</w:t>
      </w:r>
      <w:r w:rsidR="00772A9C" w:rsidRPr="0089051B">
        <w:rPr>
          <w:rFonts w:ascii="Times New Roman" w:hAnsi="Times New Roman" w:cs="Times New Roman"/>
        </w:rPr>
        <w:t xml:space="preserve"> over conflicting national law depends upon the relevant Union provisions first being recognised as a valid source of law within the domestic legal system.  </w:t>
      </w:r>
      <w:r w:rsidR="0045168A" w:rsidRPr="0089051B">
        <w:rPr>
          <w:rFonts w:ascii="Times New Roman" w:hAnsi="Times New Roman" w:cs="Times New Roman"/>
        </w:rPr>
        <w:t xml:space="preserve">To be </w:t>
      </w:r>
      <w:r w:rsidR="009D116A">
        <w:rPr>
          <w:rFonts w:ascii="Times New Roman" w:hAnsi="Times New Roman" w:cs="Times New Roman"/>
        </w:rPr>
        <w:t xml:space="preserve">more </w:t>
      </w:r>
      <w:r w:rsidR="0045168A" w:rsidRPr="0089051B">
        <w:rPr>
          <w:rFonts w:ascii="Times New Roman" w:hAnsi="Times New Roman" w:cs="Times New Roman"/>
        </w:rPr>
        <w:t>precise</w:t>
      </w:r>
      <w:r w:rsidR="00772A9C" w:rsidRPr="0089051B">
        <w:rPr>
          <w:rFonts w:ascii="Times New Roman" w:hAnsi="Times New Roman" w:cs="Times New Roman"/>
        </w:rPr>
        <w:t xml:space="preserve">, the relevant Union provisions must fulfil the </w:t>
      </w:r>
      <w:r w:rsidR="0045168A" w:rsidRPr="0089051B">
        <w:rPr>
          <w:rFonts w:ascii="Times New Roman" w:hAnsi="Times New Roman" w:cs="Times New Roman"/>
        </w:rPr>
        <w:t xml:space="preserve">cumulative </w:t>
      </w:r>
      <w:r w:rsidR="00772A9C" w:rsidRPr="0089051B">
        <w:rPr>
          <w:rFonts w:ascii="Times New Roman" w:hAnsi="Times New Roman" w:cs="Times New Roman"/>
        </w:rPr>
        <w:t xml:space="preserve">conditions for producing direct effect: </w:t>
      </w:r>
      <w:r w:rsidR="0045168A" w:rsidRPr="0089051B">
        <w:rPr>
          <w:rFonts w:ascii="Times New Roman" w:hAnsi="Times New Roman" w:cs="Times New Roman"/>
        </w:rPr>
        <w:t xml:space="preserve">those provisions </w:t>
      </w:r>
      <w:r w:rsidR="00772A9C" w:rsidRPr="0089051B">
        <w:rPr>
          <w:rFonts w:ascii="Times New Roman" w:hAnsi="Times New Roman" w:cs="Times New Roman"/>
        </w:rPr>
        <w:t>must be sufficiently clear, precise and unconditional; there must be no outstanding deadline for implementation or transposition; and (where relevant) they must belong to a class of Union act capable (in and of itself) of creating and imposing obligations for and upon private individuals.</w:t>
      </w:r>
      <w:r w:rsidR="00772A9C" w:rsidRPr="0089051B">
        <w:rPr>
          <w:rStyle w:val="FootnoteReference"/>
          <w:rFonts w:ascii="Times New Roman" w:hAnsi="Times New Roman" w:cs="Times New Roman"/>
        </w:rPr>
        <w:footnoteReference w:id="11"/>
      </w:r>
      <w:r w:rsidR="00772A9C" w:rsidRPr="0089051B">
        <w:rPr>
          <w:rFonts w:ascii="Times New Roman" w:hAnsi="Times New Roman" w:cs="Times New Roman"/>
        </w:rPr>
        <w:t xml:space="preserve">  Only if that </w:t>
      </w:r>
      <w:r w:rsidR="009D116A">
        <w:rPr>
          <w:rFonts w:ascii="Times New Roman" w:hAnsi="Times New Roman" w:cs="Times New Roman"/>
        </w:rPr>
        <w:t xml:space="preserve">cumulative </w:t>
      </w:r>
      <w:r w:rsidR="00772A9C" w:rsidRPr="0089051B">
        <w:rPr>
          <w:rFonts w:ascii="Times New Roman" w:hAnsi="Times New Roman" w:cs="Times New Roman"/>
        </w:rPr>
        <w:t xml:space="preserve">threshold is crossed can the relevant Union measure legitimately be considered a direct source of rights and obligations within the national legal system: at that point, the national court is indeed faced with a live conflict between two legally cognisable sources of law which should be resolved through </w:t>
      </w:r>
      <w:r w:rsidR="00B81FD5" w:rsidRPr="0089051B">
        <w:rPr>
          <w:rFonts w:ascii="Times New Roman" w:hAnsi="Times New Roman" w:cs="Times New Roman"/>
        </w:rPr>
        <w:t>primacy</w:t>
      </w:r>
      <w:r w:rsidR="00854712" w:rsidRPr="0089051B">
        <w:rPr>
          <w:rFonts w:ascii="Times New Roman" w:hAnsi="Times New Roman" w:cs="Times New Roman"/>
        </w:rPr>
        <w:t xml:space="preserve"> and disapplication</w:t>
      </w:r>
      <w:r w:rsidR="00772A9C" w:rsidRPr="0089051B">
        <w:rPr>
          <w:rFonts w:ascii="Times New Roman" w:hAnsi="Times New Roman" w:cs="Times New Roman"/>
        </w:rPr>
        <w:t>.</w:t>
      </w:r>
      <w:r w:rsidR="0073754F" w:rsidRPr="0089051B">
        <w:rPr>
          <w:rStyle w:val="FootnoteReference"/>
          <w:rFonts w:ascii="Times New Roman" w:hAnsi="Times New Roman" w:cs="Times New Roman"/>
        </w:rPr>
        <w:footnoteReference w:id="12"/>
      </w:r>
      <w:r w:rsidR="00772A9C" w:rsidRPr="0089051B">
        <w:rPr>
          <w:rFonts w:ascii="Times New Roman" w:hAnsi="Times New Roman" w:cs="Times New Roman"/>
        </w:rPr>
        <w:t xml:space="preserve">  But </w:t>
      </w:r>
      <w:r w:rsidR="00BC270A" w:rsidRPr="0089051B">
        <w:rPr>
          <w:rFonts w:ascii="Times New Roman" w:hAnsi="Times New Roman" w:cs="Times New Roman"/>
        </w:rPr>
        <w:t xml:space="preserve">as the Court </w:t>
      </w:r>
      <w:r w:rsidR="00E92F8A" w:rsidRPr="0089051B">
        <w:rPr>
          <w:rFonts w:ascii="Times New Roman" w:hAnsi="Times New Roman" w:cs="Times New Roman"/>
        </w:rPr>
        <w:t xml:space="preserve">recently </w:t>
      </w:r>
      <w:r w:rsidR="00BC270A" w:rsidRPr="0089051B">
        <w:rPr>
          <w:rFonts w:ascii="Times New Roman" w:hAnsi="Times New Roman" w:cs="Times New Roman"/>
        </w:rPr>
        <w:t xml:space="preserve">stressed in </w:t>
      </w:r>
      <w:proofErr w:type="spellStart"/>
      <w:r w:rsidR="00BC270A" w:rsidRPr="0089051B">
        <w:rPr>
          <w:rFonts w:ascii="Times New Roman" w:hAnsi="Times New Roman" w:cs="Times New Roman"/>
          <w:i/>
        </w:rPr>
        <w:t>Popławski</w:t>
      </w:r>
      <w:proofErr w:type="spellEnd"/>
      <w:r w:rsidR="00BC270A" w:rsidRPr="0089051B">
        <w:rPr>
          <w:rFonts w:ascii="Times New Roman" w:hAnsi="Times New Roman" w:cs="Times New Roman"/>
        </w:rPr>
        <w:t xml:space="preserve">: </w:t>
      </w:r>
      <w:r w:rsidR="00B81FD5" w:rsidRPr="0089051B">
        <w:rPr>
          <w:rFonts w:ascii="Times New Roman" w:hAnsi="Times New Roman" w:cs="Times New Roman"/>
        </w:rPr>
        <w:t>primacy</w:t>
      </w:r>
      <w:r w:rsidR="00BC270A" w:rsidRPr="0089051B">
        <w:rPr>
          <w:rFonts w:ascii="Times New Roman" w:hAnsi="Times New Roman" w:cs="Times New Roman"/>
        </w:rPr>
        <w:t xml:space="preserve"> cannot have the effect of undermining the essential distinction between provisions of Union law which have direct effect and those which do not, and consequently of creating a single set of rules for the application of all provisions of Union law by the national courts.</w:t>
      </w:r>
      <w:r w:rsidR="00BC270A" w:rsidRPr="0089051B">
        <w:rPr>
          <w:rStyle w:val="FootnoteReference"/>
          <w:rFonts w:ascii="Times New Roman" w:hAnsi="Times New Roman" w:cs="Times New Roman"/>
        </w:rPr>
        <w:footnoteReference w:id="13"/>
      </w:r>
      <w:r w:rsidR="00BC270A" w:rsidRPr="0089051B">
        <w:rPr>
          <w:rFonts w:ascii="Times New Roman" w:hAnsi="Times New Roman" w:cs="Times New Roman"/>
        </w:rPr>
        <w:t xml:space="preserve">  So </w:t>
      </w:r>
      <w:r w:rsidR="00772A9C" w:rsidRPr="0089051B">
        <w:rPr>
          <w:rFonts w:ascii="Times New Roman" w:hAnsi="Times New Roman" w:cs="Times New Roman"/>
        </w:rPr>
        <w:t xml:space="preserve">if the relevant provisions of Union law fail to cross the threshold of </w:t>
      </w:r>
      <w:proofErr w:type="spellStart"/>
      <w:r w:rsidR="00772A9C" w:rsidRPr="0089051B">
        <w:rPr>
          <w:rFonts w:ascii="Times New Roman" w:hAnsi="Times New Roman" w:cs="Times New Roman"/>
        </w:rPr>
        <w:t>cognisability</w:t>
      </w:r>
      <w:proofErr w:type="spellEnd"/>
      <w:r w:rsidR="0045168A" w:rsidRPr="0089051B">
        <w:rPr>
          <w:rFonts w:ascii="Times New Roman" w:hAnsi="Times New Roman" w:cs="Times New Roman"/>
        </w:rPr>
        <w:t xml:space="preserve"> required for direct effect</w:t>
      </w:r>
      <w:r w:rsidR="00772A9C" w:rsidRPr="0089051B">
        <w:rPr>
          <w:rFonts w:ascii="Times New Roman" w:hAnsi="Times New Roman" w:cs="Times New Roman"/>
        </w:rPr>
        <w:t xml:space="preserve">, national law will retain its domestic priority (regardless of any </w:t>
      </w:r>
      <w:r w:rsidR="00FB528F" w:rsidRPr="0089051B">
        <w:rPr>
          <w:rFonts w:ascii="Times New Roman" w:hAnsi="Times New Roman" w:cs="Times New Roman"/>
        </w:rPr>
        <w:t xml:space="preserve">abstract </w:t>
      </w:r>
      <w:r w:rsidR="00177EF0" w:rsidRPr="0089051B">
        <w:rPr>
          <w:rFonts w:ascii="Times New Roman" w:hAnsi="Times New Roman" w:cs="Times New Roman"/>
        </w:rPr>
        <w:t xml:space="preserve">state of </w:t>
      </w:r>
      <w:r w:rsidR="00772A9C" w:rsidRPr="0089051B">
        <w:rPr>
          <w:rFonts w:ascii="Times New Roman" w:hAnsi="Times New Roman" w:cs="Times New Roman"/>
        </w:rPr>
        <w:t>incompatibility with Union law)</w:t>
      </w:r>
      <w:r w:rsidR="0073754F" w:rsidRPr="0089051B">
        <w:rPr>
          <w:rFonts w:ascii="Times New Roman" w:hAnsi="Times New Roman" w:cs="Times New Roman"/>
        </w:rPr>
        <w:t>.</w:t>
      </w:r>
      <w:r w:rsidR="00177EF0" w:rsidRPr="0089051B">
        <w:rPr>
          <w:rStyle w:val="FootnoteReference"/>
          <w:rFonts w:ascii="Times New Roman" w:hAnsi="Times New Roman" w:cs="Times New Roman"/>
        </w:rPr>
        <w:footnoteReference w:id="14"/>
      </w:r>
      <w:r w:rsidR="00772A9C" w:rsidRPr="0089051B">
        <w:rPr>
          <w:rFonts w:ascii="Times New Roman" w:hAnsi="Times New Roman" w:cs="Times New Roman"/>
        </w:rPr>
        <w:t xml:space="preserve"> </w:t>
      </w:r>
      <w:r w:rsidR="0073754F" w:rsidRPr="0089051B">
        <w:rPr>
          <w:rFonts w:ascii="Times New Roman" w:hAnsi="Times New Roman" w:cs="Times New Roman"/>
        </w:rPr>
        <w:t xml:space="preserve"> T</w:t>
      </w:r>
      <w:r w:rsidR="00772A9C" w:rsidRPr="0089051B">
        <w:rPr>
          <w:rFonts w:ascii="Times New Roman" w:hAnsi="Times New Roman" w:cs="Times New Roman"/>
        </w:rPr>
        <w:t xml:space="preserve">he only remaining avenue of </w:t>
      </w:r>
      <w:r w:rsidR="00854712" w:rsidRPr="0089051B">
        <w:rPr>
          <w:rFonts w:ascii="Times New Roman" w:hAnsi="Times New Roman" w:cs="Times New Roman"/>
        </w:rPr>
        <w:t xml:space="preserve">legal </w:t>
      </w:r>
      <w:r w:rsidR="00772A9C" w:rsidRPr="0089051B">
        <w:rPr>
          <w:rFonts w:ascii="Times New Roman" w:hAnsi="Times New Roman" w:cs="Times New Roman"/>
        </w:rPr>
        <w:t xml:space="preserve">redress for disappointed intended beneficiaries of the relevant Union provisions is to seek reparation from the Member State pursuant to the </w:t>
      </w:r>
      <w:proofErr w:type="spellStart"/>
      <w:r w:rsidR="00772A9C" w:rsidRPr="0089051B">
        <w:rPr>
          <w:rFonts w:ascii="Times New Roman" w:hAnsi="Times New Roman" w:cs="Times New Roman"/>
          <w:i/>
        </w:rPr>
        <w:t>Francovich</w:t>
      </w:r>
      <w:proofErr w:type="spellEnd"/>
      <w:r w:rsidR="00772A9C" w:rsidRPr="0089051B">
        <w:rPr>
          <w:rFonts w:ascii="Times New Roman" w:hAnsi="Times New Roman" w:cs="Times New Roman"/>
        </w:rPr>
        <w:t xml:space="preserve"> </w:t>
      </w:r>
      <w:proofErr w:type="spellStart"/>
      <w:r w:rsidR="00772A9C" w:rsidRPr="0089051B">
        <w:rPr>
          <w:rFonts w:ascii="Times New Roman" w:hAnsi="Times New Roman" w:cs="Times New Roman"/>
        </w:rPr>
        <w:t>caselaw</w:t>
      </w:r>
      <w:proofErr w:type="spellEnd"/>
      <w:r w:rsidR="00772A9C" w:rsidRPr="0089051B">
        <w:rPr>
          <w:rFonts w:ascii="Times New Roman" w:hAnsi="Times New Roman" w:cs="Times New Roman"/>
        </w:rPr>
        <w:t>.</w:t>
      </w:r>
      <w:r w:rsidR="00772A9C" w:rsidRPr="0089051B">
        <w:rPr>
          <w:rStyle w:val="FootnoteReference"/>
          <w:rFonts w:ascii="Times New Roman" w:hAnsi="Times New Roman" w:cs="Times New Roman"/>
        </w:rPr>
        <w:footnoteReference w:id="15"/>
      </w:r>
    </w:p>
    <w:p w14:paraId="436BC177" w14:textId="2FE418A6" w:rsidR="006E5E55" w:rsidRPr="0089051B" w:rsidRDefault="0004610B" w:rsidP="006E5E55">
      <w:pPr>
        <w:ind w:firstLine="720"/>
        <w:jc w:val="both"/>
        <w:rPr>
          <w:rFonts w:ascii="Times New Roman" w:hAnsi="Times New Roman" w:cs="Times New Roman"/>
        </w:rPr>
      </w:pPr>
      <w:r w:rsidRPr="0089051B">
        <w:rPr>
          <w:rFonts w:ascii="Times New Roman" w:hAnsi="Times New Roman" w:cs="Times New Roman"/>
        </w:rPr>
        <w:lastRenderedPageBreak/>
        <w:t>In the third place,</w:t>
      </w:r>
      <w:r w:rsidR="00A66180" w:rsidRPr="0089051B">
        <w:rPr>
          <w:rFonts w:ascii="Times New Roman" w:hAnsi="Times New Roman" w:cs="Times New Roman"/>
        </w:rPr>
        <w:t xml:space="preserve"> the basic mechanism by which </w:t>
      </w:r>
      <w:r w:rsidR="00B81FD5" w:rsidRPr="0089051B">
        <w:rPr>
          <w:rFonts w:ascii="Times New Roman" w:hAnsi="Times New Roman" w:cs="Times New Roman"/>
        </w:rPr>
        <w:t>primacy</w:t>
      </w:r>
      <w:r w:rsidR="00A66180" w:rsidRPr="0089051B">
        <w:rPr>
          <w:rFonts w:ascii="Times New Roman" w:hAnsi="Times New Roman" w:cs="Times New Roman"/>
        </w:rPr>
        <w:t xml:space="preserve"> resolves any direct and actionable conflict of norms is </w:t>
      </w:r>
      <w:r w:rsidR="00854712" w:rsidRPr="0089051B">
        <w:rPr>
          <w:rFonts w:ascii="Times New Roman" w:hAnsi="Times New Roman" w:cs="Times New Roman"/>
        </w:rPr>
        <w:t xml:space="preserve">indeed </w:t>
      </w:r>
      <w:r w:rsidR="00A66180" w:rsidRPr="0089051B">
        <w:rPr>
          <w:rFonts w:ascii="Times New Roman" w:hAnsi="Times New Roman" w:cs="Times New Roman"/>
        </w:rPr>
        <w:t xml:space="preserve">through the </w:t>
      </w:r>
      <w:r w:rsidR="007C5A9B" w:rsidRPr="0089051B">
        <w:rPr>
          <w:rFonts w:ascii="Times New Roman" w:hAnsi="Times New Roman" w:cs="Times New Roman"/>
        </w:rPr>
        <w:t xml:space="preserve">practical </w:t>
      </w:r>
      <w:r w:rsidR="00A66180" w:rsidRPr="0089051B">
        <w:rPr>
          <w:rFonts w:ascii="Times New Roman" w:hAnsi="Times New Roman" w:cs="Times New Roman"/>
        </w:rPr>
        <w:t>disapplication of the relevant national measures.</w:t>
      </w:r>
      <w:r w:rsidR="00A66180" w:rsidRPr="0089051B">
        <w:rPr>
          <w:rStyle w:val="FootnoteReference"/>
          <w:rFonts w:ascii="Times New Roman" w:hAnsi="Times New Roman" w:cs="Times New Roman"/>
        </w:rPr>
        <w:footnoteReference w:id="16"/>
      </w:r>
      <w:r w:rsidR="00A66180" w:rsidRPr="0089051B">
        <w:rPr>
          <w:rFonts w:ascii="Times New Roman" w:hAnsi="Times New Roman" w:cs="Times New Roman"/>
        </w:rPr>
        <w:t xml:space="preserve"> </w:t>
      </w:r>
      <w:r w:rsidR="00870D6E" w:rsidRPr="0089051B">
        <w:rPr>
          <w:rFonts w:ascii="Times New Roman" w:hAnsi="Times New Roman" w:cs="Times New Roman"/>
        </w:rPr>
        <w:t xml:space="preserve"> In particular, the principle of </w:t>
      </w:r>
      <w:r w:rsidR="00B81FD5" w:rsidRPr="0089051B">
        <w:rPr>
          <w:rFonts w:ascii="Times New Roman" w:hAnsi="Times New Roman" w:cs="Times New Roman"/>
        </w:rPr>
        <w:t>primacy</w:t>
      </w:r>
      <w:r w:rsidR="00870D6E" w:rsidRPr="0089051B">
        <w:rPr>
          <w:rFonts w:ascii="Times New Roman" w:hAnsi="Times New Roman" w:cs="Times New Roman"/>
        </w:rPr>
        <w:t xml:space="preserve"> does not have the effect of </w:t>
      </w:r>
      <w:r w:rsidR="007C5A9B" w:rsidRPr="0089051B">
        <w:rPr>
          <w:rFonts w:ascii="Times New Roman" w:hAnsi="Times New Roman" w:cs="Times New Roman"/>
        </w:rPr>
        <w:t>rendering incompatible national measures void or otherwise requiring such acts to be treated as invalid as a matter of either Union or domestic law.</w:t>
      </w:r>
      <w:r w:rsidR="007C5A9B" w:rsidRPr="0089051B">
        <w:rPr>
          <w:rStyle w:val="FootnoteReference"/>
          <w:rFonts w:ascii="Times New Roman" w:hAnsi="Times New Roman" w:cs="Times New Roman"/>
        </w:rPr>
        <w:footnoteReference w:id="17"/>
      </w:r>
      <w:r w:rsidR="007C5A9B" w:rsidRPr="0089051B">
        <w:rPr>
          <w:rFonts w:ascii="Times New Roman" w:hAnsi="Times New Roman" w:cs="Times New Roman"/>
        </w:rPr>
        <w:t xml:space="preserve">  </w:t>
      </w:r>
      <w:r w:rsidR="00870D6E" w:rsidRPr="0089051B">
        <w:rPr>
          <w:rFonts w:ascii="Times New Roman" w:hAnsi="Times New Roman" w:cs="Times New Roman"/>
        </w:rPr>
        <w:t>T</w:t>
      </w:r>
      <w:r w:rsidR="007C5A9B" w:rsidRPr="0089051B">
        <w:rPr>
          <w:rFonts w:ascii="Times New Roman" w:hAnsi="Times New Roman" w:cs="Times New Roman"/>
        </w:rPr>
        <w:t xml:space="preserve">he </w:t>
      </w:r>
      <w:r w:rsidR="00870D6E" w:rsidRPr="0089051B">
        <w:rPr>
          <w:rFonts w:ascii="Times New Roman" w:hAnsi="Times New Roman" w:cs="Times New Roman"/>
        </w:rPr>
        <w:t xml:space="preserve">primacy </w:t>
      </w:r>
      <w:r w:rsidR="007C5A9B" w:rsidRPr="0089051B">
        <w:rPr>
          <w:rFonts w:ascii="Times New Roman" w:hAnsi="Times New Roman" w:cs="Times New Roman"/>
        </w:rPr>
        <w:t xml:space="preserve">of Union law entails merely the setting aside of conflicting national rules within the context of an individual decision or dispute.  </w:t>
      </w:r>
      <w:r w:rsidR="00870D6E" w:rsidRPr="0089051B">
        <w:rPr>
          <w:rFonts w:ascii="Times New Roman" w:hAnsi="Times New Roman" w:cs="Times New Roman"/>
        </w:rPr>
        <w:t>Moreover, such d</w:t>
      </w:r>
      <w:r w:rsidR="007C5A9B" w:rsidRPr="0089051B">
        <w:rPr>
          <w:rFonts w:ascii="Times New Roman" w:hAnsi="Times New Roman" w:cs="Times New Roman"/>
        </w:rPr>
        <w:t>isapplication is expected only to the extent that the relevant situation or dispute falls within the scope of the Treaties: one and the same national measure may still continue to be fully operational for purposes falling outside the realm of Union law.</w:t>
      </w:r>
      <w:r w:rsidR="007C5A9B" w:rsidRPr="0089051B">
        <w:rPr>
          <w:rStyle w:val="FootnoteReference"/>
          <w:rFonts w:ascii="Times New Roman" w:hAnsi="Times New Roman" w:cs="Times New Roman"/>
        </w:rPr>
        <w:footnoteReference w:id="18"/>
      </w:r>
      <w:r w:rsidR="007C5A9B" w:rsidRPr="0089051B">
        <w:rPr>
          <w:rFonts w:ascii="Times New Roman" w:hAnsi="Times New Roman" w:cs="Times New Roman"/>
        </w:rPr>
        <w:t xml:space="preserve">  Similarly, disapplication is required only to the extent of national law’s actual incompatibility with the Member State’s obligations under Union law: </w:t>
      </w:r>
      <w:r w:rsidR="00B81FD5" w:rsidRPr="0089051B">
        <w:rPr>
          <w:rFonts w:ascii="Times New Roman" w:hAnsi="Times New Roman" w:cs="Times New Roman"/>
        </w:rPr>
        <w:t>primacy</w:t>
      </w:r>
      <w:r w:rsidR="007C5A9B" w:rsidRPr="0089051B">
        <w:rPr>
          <w:rFonts w:ascii="Times New Roman" w:hAnsi="Times New Roman" w:cs="Times New Roman"/>
        </w:rPr>
        <w:t xml:space="preserve"> does not </w:t>
      </w:r>
      <w:r w:rsidR="00E85882" w:rsidRPr="0089051B">
        <w:rPr>
          <w:rFonts w:ascii="Times New Roman" w:hAnsi="Times New Roman" w:cs="Times New Roman"/>
        </w:rPr>
        <w:t>apply</w:t>
      </w:r>
      <w:r w:rsidR="007C5A9B" w:rsidRPr="0089051B">
        <w:rPr>
          <w:rFonts w:ascii="Times New Roman" w:hAnsi="Times New Roman" w:cs="Times New Roman"/>
        </w:rPr>
        <w:t xml:space="preserve"> </w:t>
      </w:r>
      <w:r w:rsidR="00E85882" w:rsidRPr="0089051B">
        <w:rPr>
          <w:rFonts w:ascii="Times New Roman" w:hAnsi="Times New Roman" w:cs="Times New Roman"/>
        </w:rPr>
        <w:t xml:space="preserve">in </w:t>
      </w:r>
      <w:r w:rsidR="007C5A9B" w:rsidRPr="0089051B">
        <w:rPr>
          <w:rFonts w:ascii="Times New Roman" w:hAnsi="Times New Roman" w:cs="Times New Roman"/>
        </w:rPr>
        <w:t>situations where the domestic rule is not in fact precluded by Union law.</w:t>
      </w:r>
      <w:r w:rsidR="007C5A9B" w:rsidRPr="0089051B">
        <w:rPr>
          <w:rStyle w:val="FootnoteReference"/>
          <w:rFonts w:ascii="Times New Roman" w:hAnsi="Times New Roman" w:cs="Times New Roman"/>
        </w:rPr>
        <w:footnoteReference w:id="19"/>
      </w:r>
      <w:r w:rsidR="007C5A9B" w:rsidRPr="0089051B">
        <w:rPr>
          <w:rFonts w:ascii="Times New Roman" w:hAnsi="Times New Roman" w:cs="Times New Roman"/>
        </w:rPr>
        <w:t xml:space="preserve">  Of course, each Member State can decide for itself that provisions of national law which are found to be incompatible with its Treaty obligations should be rendered or capable of being declared invalid for the purposes of the domestic legal system; or to provide for itself that the remedy of disapplication (or </w:t>
      </w:r>
      <w:r w:rsidR="00177EF0" w:rsidRPr="0089051B">
        <w:rPr>
          <w:rFonts w:ascii="Times New Roman" w:hAnsi="Times New Roman" w:cs="Times New Roman"/>
        </w:rPr>
        <w:t xml:space="preserve">optional </w:t>
      </w:r>
      <w:r w:rsidR="007C5A9B" w:rsidRPr="0089051B">
        <w:rPr>
          <w:rFonts w:ascii="Times New Roman" w:hAnsi="Times New Roman" w:cs="Times New Roman"/>
        </w:rPr>
        <w:t>finding of invalidity) should extend to situations which strictly speaking fall either outwith the scope of Union law or beyond the extent of national law’s actual incompatibility with the Treaties.</w:t>
      </w:r>
      <w:r w:rsidR="007C5A9B" w:rsidRPr="0089051B">
        <w:rPr>
          <w:rStyle w:val="FootnoteReference"/>
          <w:rFonts w:ascii="Times New Roman" w:hAnsi="Times New Roman" w:cs="Times New Roman"/>
        </w:rPr>
        <w:footnoteReference w:id="20"/>
      </w:r>
      <w:r w:rsidR="007C5A9B" w:rsidRPr="0089051B">
        <w:rPr>
          <w:rFonts w:ascii="Times New Roman" w:hAnsi="Times New Roman" w:cs="Times New Roman"/>
        </w:rPr>
        <w:t xml:space="preserve">  </w:t>
      </w:r>
      <w:r w:rsidR="00870D6E" w:rsidRPr="0089051B">
        <w:rPr>
          <w:rFonts w:ascii="Times New Roman" w:hAnsi="Times New Roman" w:cs="Times New Roman"/>
        </w:rPr>
        <w:t>But those are essentially national choices.  And in</w:t>
      </w:r>
      <w:r w:rsidR="007C5A9B" w:rsidRPr="0089051B">
        <w:rPr>
          <w:rFonts w:ascii="Times New Roman" w:hAnsi="Times New Roman" w:cs="Times New Roman"/>
        </w:rPr>
        <w:t xml:space="preserve"> any case</w:t>
      </w:r>
      <w:r w:rsidR="00870D6E" w:rsidRPr="0089051B">
        <w:rPr>
          <w:rFonts w:ascii="Times New Roman" w:hAnsi="Times New Roman" w:cs="Times New Roman"/>
        </w:rPr>
        <w:t>,</w:t>
      </w:r>
      <w:r w:rsidR="007C5A9B" w:rsidRPr="0089051B">
        <w:rPr>
          <w:rFonts w:ascii="Times New Roman" w:hAnsi="Times New Roman" w:cs="Times New Roman"/>
        </w:rPr>
        <w:t xml:space="preserve"> the availability of the remedy of disapplication within the national l</w:t>
      </w:r>
      <w:r w:rsidR="00D85CF9" w:rsidRPr="0089051B">
        <w:rPr>
          <w:rFonts w:ascii="Times New Roman" w:hAnsi="Times New Roman" w:cs="Times New Roman"/>
        </w:rPr>
        <w:t xml:space="preserve">egal system at the request of </w:t>
      </w:r>
      <w:r w:rsidR="007C5A9B" w:rsidRPr="0089051B">
        <w:rPr>
          <w:rFonts w:ascii="Times New Roman" w:hAnsi="Times New Roman" w:cs="Times New Roman"/>
        </w:rPr>
        <w:t>natural or legal persons, does not affect the Member State’s underlying Union law obligation to bring its national legislation into full conformity with its Treaty obligations</w:t>
      </w:r>
      <w:r w:rsidR="00177EF0" w:rsidRPr="0089051B">
        <w:rPr>
          <w:rFonts w:ascii="Times New Roman" w:hAnsi="Times New Roman" w:cs="Times New Roman"/>
        </w:rPr>
        <w:t>,</w:t>
      </w:r>
      <w:r w:rsidR="007C5A9B" w:rsidRPr="0089051B">
        <w:rPr>
          <w:rFonts w:ascii="Times New Roman" w:hAnsi="Times New Roman" w:cs="Times New Roman"/>
        </w:rPr>
        <w:t xml:space="preserve"> or the Member State’s amenability to enforcement proceedings for having permitted such a state of (even if only formal) non-compliance to arise or persist.</w:t>
      </w:r>
      <w:r w:rsidR="007C5A9B" w:rsidRPr="0089051B">
        <w:rPr>
          <w:rStyle w:val="FootnoteReference"/>
          <w:rFonts w:ascii="Times New Roman" w:hAnsi="Times New Roman" w:cs="Times New Roman"/>
        </w:rPr>
        <w:footnoteReference w:id="21"/>
      </w:r>
    </w:p>
    <w:p w14:paraId="4FCE65FC" w14:textId="393459B3" w:rsidR="006E5E55" w:rsidRPr="0089051B" w:rsidRDefault="0004610B" w:rsidP="006E5E55">
      <w:pPr>
        <w:ind w:firstLine="720"/>
        <w:jc w:val="both"/>
        <w:rPr>
          <w:rFonts w:ascii="Times New Roman" w:hAnsi="Times New Roman" w:cs="Times New Roman"/>
        </w:rPr>
      </w:pPr>
      <w:r w:rsidRPr="0089051B">
        <w:rPr>
          <w:rFonts w:ascii="Times New Roman" w:hAnsi="Times New Roman" w:cs="Times New Roman"/>
        </w:rPr>
        <w:t>In the fourth place,</w:t>
      </w:r>
      <w:r w:rsidR="00870D6E" w:rsidRPr="0089051B">
        <w:rPr>
          <w:rFonts w:ascii="Times New Roman" w:hAnsi="Times New Roman" w:cs="Times New Roman"/>
        </w:rPr>
        <w:t xml:space="preserve"> there are disputes where the remedy of disapplication may prove insufficient to safeguard adequately </w:t>
      </w:r>
      <w:r w:rsidR="00177EF0" w:rsidRPr="0089051B">
        <w:rPr>
          <w:rFonts w:ascii="Times New Roman" w:hAnsi="Times New Roman" w:cs="Times New Roman"/>
        </w:rPr>
        <w:t xml:space="preserve">those </w:t>
      </w:r>
      <w:r w:rsidR="00870D6E" w:rsidRPr="0089051B">
        <w:rPr>
          <w:rFonts w:ascii="Times New Roman" w:hAnsi="Times New Roman" w:cs="Times New Roman"/>
        </w:rPr>
        <w:t>interest</w:t>
      </w:r>
      <w:r w:rsidR="00177EF0" w:rsidRPr="0089051B">
        <w:rPr>
          <w:rFonts w:ascii="Times New Roman" w:hAnsi="Times New Roman" w:cs="Times New Roman"/>
        </w:rPr>
        <w:t>s</w:t>
      </w:r>
      <w:r w:rsidR="00870D6E" w:rsidRPr="0089051B">
        <w:rPr>
          <w:rFonts w:ascii="Times New Roman" w:hAnsi="Times New Roman" w:cs="Times New Roman"/>
        </w:rPr>
        <w:t xml:space="preserve"> which the relevant Union act is intended to promote; including (where appropriate) to provide effective judicial protection for those natural or legal persons falling within its protective scope.  In particular, the Court has consistently asserted that the principle of </w:t>
      </w:r>
      <w:r w:rsidR="00B81FD5" w:rsidRPr="0089051B">
        <w:rPr>
          <w:rFonts w:ascii="Times New Roman" w:hAnsi="Times New Roman" w:cs="Times New Roman"/>
        </w:rPr>
        <w:t>primacy</w:t>
      </w:r>
      <w:r w:rsidR="00870D6E" w:rsidRPr="0089051B">
        <w:rPr>
          <w:rFonts w:ascii="Times New Roman" w:hAnsi="Times New Roman" w:cs="Times New Roman"/>
        </w:rPr>
        <w:t xml:space="preserve"> is without prejudice to the power or duty of national courts to ensure the effectiveness of Union </w:t>
      </w:r>
      <w:r w:rsidR="00177EF0" w:rsidRPr="0089051B">
        <w:rPr>
          <w:rFonts w:ascii="Times New Roman" w:hAnsi="Times New Roman" w:cs="Times New Roman"/>
        </w:rPr>
        <w:t xml:space="preserve">law </w:t>
      </w:r>
      <w:r w:rsidR="00870D6E" w:rsidRPr="0089051B">
        <w:rPr>
          <w:rFonts w:ascii="Times New Roman" w:hAnsi="Times New Roman" w:cs="Times New Roman"/>
        </w:rPr>
        <w:t xml:space="preserve">and / or </w:t>
      </w:r>
      <w:r w:rsidR="00177EF0" w:rsidRPr="0089051B">
        <w:rPr>
          <w:rFonts w:ascii="Times New Roman" w:hAnsi="Times New Roman" w:cs="Times New Roman"/>
        </w:rPr>
        <w:t xml:space="preserve">to </w:t>
      </w:r>
      <w:r w:rsidR="00870D6E" w:rsidRPr="0089051B">
        <w:rPr>
          <w:rFonts w:ascii="Times New Roman" w:hAnsi="Times New Roman" w:cs="Times New Roman"/>
        </w:rPr>
        <w:t>protect individual rights under the Treaties (if necessary) through action and / or redress over and above the remedy of disapplication per se.</w:t>
      </w:r>
      <w:r w:rsidR="00870D6E" w:rsidRPr="0089051B">
        <w:rPr>
          <w:rStyle w:val="FootnoteReference"/>
          <w:rFonts w:ascii="Times New Roman" w:hAnsi="Times New Roman" w:cs="Times New Roman"/>
        </w:rPr>
        <w:footnoteReference w:id="22"/>
      </w:r>
      <w:r w:rsidR="00870D6E" w:rsidRPr="0089051B">
        <w:rPr>
          <w:rFonts w:ascii="Times New Roman" w:hAnsi="Times New Roman" w:cs="Times New Roman"/>
        </w:rPr>
        <w:t xml:space="preserve">  That </w:t>
      </w:r>
      <w:r w:rsidR="00870D6E" w:rsidRPr="0089051B">
        <w:rPr>
          <w:rFonts w:ascii="Times New Roman" w:hAnsi="Times New Roman" w:cs="Times New Roman"/>
        </w:rPr>
        <w:lastRenderedPageBreak/>
        <w:t>includes the availability of specific remedies which are mandated directly under Union law: for example, the right to recovery of unlawfully levied charges, which should be treated as a direct consequence of the incompatibility and disapplication of national law;</w:t>
      </w:r>
      <w:r w:rsidR="00870D6E" w:rsidRPr="0089051B">
        <w:rPr>
          <w:rStyle w:val="FootnoteReference"/>
          <w:rFonts w:ascii="Times New Roman" w:hAnsi="Times New Roman" w:cs="Times New Roman"/>
        </w:rPr>
        <w:footnoteReference w:id="23"/>
      </w:r>
      <w:r w:rsidR="00870D6E" w:rsidRPr="0089051B">
        <w:rPr>
          <w:rFonts w:ascii="Times New Roman" w:hAnsi="Times New Roman" w:cs="Times New Roman"/>
        </w:rPr>
        <w:t xml:space="preserve"> or the possibility of seeking financial reparation from the defaulting Member State – an action which is available </w:t>
      </w:r>
      <w:r w:rsidR="00177EF0" w:rsidRPr="0089051B">
        <w:rPr>
          <w:rFonts w:ascii="Times New Roman" w:hAnsi="Times New Roman" w:cs="Times New Roman"/>
        </w:rPr>
        <w:t xml:space="preserve">equally </w:t>
      </w:r>
      <w:r w:rsidR="00870D6E" w:rsidRPr="0089051B">
        <w:rPr>
          <w:rFonts w:ascii="Times New Roman" w:hAnsi="Times New Roman" w:cs="Times New Roman"/>
        </w:rPr>
        <w:t xml:space="preserve">in the case of disputes involving directly effective Union provisions capable of generating their own </w:t>
      </w:r>
      <w:r w:rsidR="00B81FD5" w:rsidRPr="0089051B">
        <w:rPr>
          <w:rFonts w:ascii="Times New Roman" w:hAnsi="Times New Roman" w:cs="Times New Roman"/>
        </w:rPr>
        <w:t>primacy</w:t>
      </w:r>
      <w:r w:rsidR="00870D6E" w:rsidRPr="0089051B">
        <w:rPr>
          <w:rFonts w:ascii="Times New Roman" w:hAnsi="Times New Roman" w:cs="Times New Roman"/>
        </w:rPr>
        <w:t>.</w:t>
      </w:r>
      <w:r w:rsidR="00870D6E" w:rsidRPr="0089051B">
        <w:rPr>
          <w:rStyle w:val="FootnoteReference"/>
          <w:rFonts w:ascii="Times New Roman" w:hAnsi="Times New Roman" w:cs="Times New Roman"/>
        </w:rPr>
        <w:footnoteReference w:id="24"/>
      </w:r>
      <w:r w:rsidR="00870D6E" w:rsidRPr="0089051B">
        <w:rPr>
          <w:rFonts w:ascii="Times New Roman" w:hAnsi="Times New Roman" w:cs="Times New Roman"/>
        </w:rPr>
        <w:t xml:space="preserve">  Indeed, there may well be disputes where the direct effect and </w:t>
      </w:r>
      <w:r w:rsidR="00B81FD5" w:rsidRPr="0089051B">
        <w:rPr>
          <w:rFonts w:ascii="Times New Roman" w:hAnsi="Times New Roman" w:cs="Times New Roman"/>
        </w:rPr>
        <w:t>primacy</w:t>
      </w:r>
      <w:r w:rsidR="00870D6E" w:rsidRPr="0089051B">
        <w:rPr>
          <w:rFonts w:ascii="Times New Roman" w:hAnsi="Times New Roman" w:cs="Times New Roman"/>
        </w:rPr>
        <w:t xml:space="preserve"> of Union law imply that the remedy of disapplication should be theoretically available – but such disapplication would in fact serve little useful purpose, because the relationship between Union and national law is not one of incompatibility between two positive legal acts, of the sort that can properly be resolved by setting aside one in favour of the other; instead, the Member State’s default consists of a failure to adopt a specific measure or pursue a particular course of action, of the sort which can only be remedied by ordering the competent authorities to engage in concrete action in </w:t>
      </w:r>
      <w:r w:rsidR="00D85CF9" w:rsidRPr="0089051B">
        <w:rPr>
          <w:rFonts w:ascii="Times New Roman" w:hAnsi="Times New Roman" w:cs="Times New Roman"/>
        </w:rPr>
        <w:t xml:space="preserve">proactive </w:t>
      </w:r>
      <w:r w:rsidR="00870D6E" w:rsidRPr="0089051B">
        <w:rPr>
          <w:rFonts w:ascii="Times New Roman" w:hAnsi="Times New Roman" w:cs="Times New Roman"/>
        </w:rPr>
        <w:t>fulfilment of their Treaty obligations.</w:t>
      </w:r>
      <w:r w:rsidR="00870D6E" w:rsidRPr="0089051B">
        <w:rPr>
          <w:rStyle w:val="FootnoteReference"/>
          <w:rFonts w:ascii="Times New Roman" w:hAnsi="Times New Roman" w:cs="Times New Roman"/>
        </w:rPr>
        <w:footnoteReference w:id="25"/>
      </w:r>
    </w:p>
    <w:p w14:paraId="3A2D4B7D" w14:textId="4F901A1E" w:rsidR="006E5E55" w:rsidRPr="0089051B" w:rsidRDefault="00870D6E" w:rsidP="006E5E55">
      <w:pPr>
        <w:ind w:firstLine="720"/>
        <w:jc w:val="both"/>
        <w:rPr>
          <w:rFonts w:ascii="Times New Roman" w:hAnsi="Times New Roman" w:cs="Times New Roman"/>
        </w:rPr>
      </w:pPr>
      <w:r w:rsidRPr="0089051B">
        <w:rPr>
          <w:rFonts w:ascii="Times New Roman" w:hAnsi="Times New Roman" w:cs="Times New Roman"/>
        </w:rPr>
        <w:t xml:space="preserve">Of course, within the constraints of that basic legal framework, the principle of </w:t>
      </w:r>
      <w:r w:rsidR="00B81FD5" w:rsidRPr="0089051B">
        <w:rPr>
          <w:rFonts w:ascii="Times New Roman" w:hAnsi="Times New Roman" w:cs="Times New Roman"/>
        </w:rPr>
        <w:t>primacy</w:t>
      </w:r>
      <w:r w:rsidRPr="0089051B">
        <w:rPr>
          <w:rFonts w:ascii="Times New Roman" w:hAnsi="Times New Roman" w:cs="Times New Roman"/>
        </w:rPr>
        <w:t xml:space="preserve"> </w:t>
      </w:r>
      <w:r w:rsidR="002E10C1" w:rsidRPr="0089051B">
        <w:rPr>
          <w:rFonts w:ascii="Times New Roman" w:hAnsi="Times New Roman" w:cs="Times New Roman"/>
        </w:rPr>
        <w:t xml:space="preserve">is undoubtedly </w:t>
      </w:r>
      <w:r w:rsidRPr="0089051B">
        <w:rPr>
          <w:rFonts w:ascii="Times New Roman" w:hAnsi="Times New Roman" w:cs="Times New Roman"/>
        </w:rPr>
        <w:t xml:space="preserve">both </w:t>
      </w:r>
      <w:r w:rsidR="00F157B0" w:rsidRPr="0089051B">
        <w:rPr>
          <w:rFonts w:ascii="Times New Roman" w:hAnsi="Times New Roman" w:cs="Times New Roman"/>
        </w:rPr>
        <w:t xml:space="preserve">expansive </w:t>
      </w:r>
      <w:r w:rsidR="002E10C1" w:rsidRPr="0089051B">
        <w:rPr>
          <w:rFonts w:ascii="Times New Roman" w:hAnsi="Times New Roman" w:cs="Times New Roman"/>
        </w:rPr>
        <w:t xml:space="preserve">in its potential scope and </w:t>
      </w:r>
      <w:r w:rsidRPr="0089051B">
        <w:rPr>
          <w:rFonts w:ascii="Times New Roman" w:hAnsi="Times New Roman" w:cs="Times New Roman"/>
        </w:rPr>
        <w:t>potent in its potential effects</w:t>
      </w:r>
      <w:r w:rsidR="002E10C1" w:rsidRPr="0089051B">
        <w:rPr>
          <w:rFonts w:ascii="Times New Roman" w:hAnsi="Times New Roman" w:cs="Times New Roman"/>
        </w:rPr>
        <w:t xml:space="preserve">.  </w:t>
      </w:r>
      <w:r w:rsidR="00D85CF9" w:rsidRPr="0089051B">
        <w:rPr>
          <w:rFonts w:ascii="Times New Roman" w:hAnsi="Times New Roman" w:cs="Times New Roman"/>
        </w:rPr>
        <w:t xml:space="preserve">Thus, </w:t>
      </w:r>
      <w:r w:rsidR="002E10C1" w:rsidRPr="0089051B">
        <w:rPr>
          <w:rFonts w:ascii="Times New Roman" w:hAnsi="Times New Roman" w:cs="Times New Roman"/>
        </w:rPr>
        <w:t xml:space="preserve">incompatible provisions of national law are </w:t>
      </w:r>
      <w:r w:rsidR="00D85CF9" w:rsidRPr="0089051B">
        <w:rPr>
          <w:rFonts w:ascii="Times New Roman" w:hAnsi="Times New Roman" w:cs="Times New Roman"/>
        </w:rPr>
        <w:t xml:space="preserve">in principle </w:t>
      </w:r>
      <w:r w:rsidR="002E10C1" w:rsidRPr="0089051B">
        <w:rPr>
          <w:rFonts w:ascii="Times New Roman" w:hAnsi="Times New Roman" w:cs="Times New Roman"/>
        </w:rPr>
        <w:t xml:space="preserve">capable of being set aside in favour of legally binding and enforceable provisions of Union law regardless of the latter’s nature or status within the Union’s own classification and hierarchy of norms: </w:t>
      </w:r>
      <w:r w:rsidR="003972B2" w:rsidRPr="0089051B">
        <w:rPr>
          <w:rFonts w:ascii="Times New Roman" w:hAnsi="Times New Roman" w:cs="Times New Roman"/>
        </w:rPr>
        <w:t>Treaty provisions,</w:t>
      </w:r>
      <w:r w:rsidR="008B34A3" w:rsidRPr="0089051B">
        <w:rPr>
          <w:rStyle w:val="FootnoteReference"/>
          <w:rFonts w:ascii="Times New Roman" w:hAnsi="Times New Roman" w:cs="Times New Roman"/>
        </w:rPr>
        <w:footnoteReference w:id="26"/>
      </w:r>
      <w:r w:rsidR="003972B2" w:rsidRPr="0089051B">
        <w:rPr>
          <w:rFonts w:ascii="Times New Roman" w:hAnsi="Times New Roman" w:cs="Times New Roman"/>
        </w:rPr>
        <w:t xml:space="preserve"> legislative </w:t>
      </w:r>
      <w:r w:rsidR="002E10C1" w:rsidRPr="0089051B">
        <w:rPr>
          <w:rFonts w:ascii="Times New Roman" w:hAnsi="Times New Roman" w:cs="Times New Roman"/>
        </w:rPr>
        <w:t>acts</w:t>
      </w:r>
      <w:r w:rsidR="003972B2" w:rsidRPr="0089051B">
        <w:rPr>
          <w:rFonts w:ascii="Times New Roman" w:hAnsi="Times New Roman" w:cs="Times New Roman"/>
        </w:rPr>
        <w:t>,</w:t>
      </w:r>
      <w:r w:rsidR="008B34A3" w:rsidRPr="0089051B">
        <w:rPr>
          <w:rStyle w:val="FootnoteReference"/>
          <w:rFonts w:ascii="Times New Roman" w:hAnsi="Times New Roman" w:cs="Times New Roman"/>
        </w:rPr>
        <w:footnoteReference w:id="27"/>
      </w:r>
      <w:r w:rsidR="003972B2" w:rsidRPr="0089051B">
        <w:rPr>
          <w:rFonts w:ascii="Times New Roman" w:hAnsi="Times New Roman" w:cs="Times New Roman"/>
        </w:rPr>
        <w:t xml:space="preserve"> administrative </w:t>
      </w:r>
      <w:r w:rsidR="002E10C1" w:rsidRPr="0089051B">
        <w:rPr>
          <w:rFonts w:ascii="Times New Roman" w:hAnsi="Times New Roman" w:cs="Times New Roman"/>
        </w:rPr>
        <w:t>measures</w:t>
      </w:r>
      <w:r w:rsidR="003972B2" w:rsidRPr="0089051B">
        <w:rPr>
          <w:rFonts w:ascii="Times New Roman" w:hAnsi="Times New Roman" w:cs="Times New Roman"/>
        </w:rPr>
        <w:t>,</w:t>
      </w:r>
      <w:r w:rsidR="008B34A3" w:rsidRPr="0089051B">
        <w:rPr>
          <w:rStyle w:val="FootnoteReference"/>
          <w:rFonts w:ascii="Times New Roman" w:hAnsi="Times New Roman" w:cs="Times New Roman"/>
        </w:rPr>
        <w:footnoteReference w:id="28"/>
      </w:r>
      <w:r w:rsidR="003972B2" w:rsidRPr="0089051B">
        <w:rPr>
          <w:rFonts w:ascii="Times New Roman" w:hAnsi="Times New Roman" w:cs="Times New Roman"/>
        </w:rPr>
        <w:t xml:space="preserve"> </w:t>
      </w:r>
      <w:r w:rsidR="002E10C1" w:rsidRPr="0089051B">
        <w:rPr>
          <w:rFonts w:ascii="Times New Roman" w:hAnsi="Times New Roman" w:cs="Times New Roman"/>
        </w:rPr>
        <w:t xml:space="preserve">the </w:t>
      </w:r>
      <w:r w:rsidR="003972B2" w:rsidRPr="0089051B">
        <w:rPr>
          <w:rFonts w:ascii="Times New Roman" w:hAnsi="Times New Roman" w:cs="Times New Roman"/>
        </w:rPr>
        <w:t>Charter</w:t>
      </w:r>
      <w:r w:rsidR="005F5557" w:rsidRPr="0089051B">
        <w:rPr>
          <w:rFonts w:ascii="Times New Roman" w:hAnsi="Times New Roman" w:cs="Times New Roman"/>
        </w:rPr>
        <w:t xml:space="preserve"> of Fundamental R</w:t>
      </w:r>
      <w:r w:rsidR="002E10C1" w:rsidRPr="0089051B">
        <w:rPr>
          <w:rFonts w:ascii="Times New Roman" w:hAnsi="Times New Roman" w:cs="Times New Roman"/>
        </w:rPr>
        <w:t>ights</w:t>
      </w:r>
      <w:r w:rsidR="003972B2" w:rsidRPr="0089051B">
        <w:rPr>
          <w:rFonts w:ascii="Times New Roman" w:hAnsi="Times New Roman" w:cs="Times New Roman"/>
        </w:rPr>
        <w:t>,</w:t>
      </w:r>
      <w:r w:rsidR="008B34A3" w:rsidRPr="0089051B">
        <w:rPr>
          <w:rStyle w:val="FootnoteReference"/>
          <w:rFonts w:ascii="Times New Roman" w:hAnsi="Times New Roman" w:cs="Times New Roman"/>
        </w:rPr>
        <w:footnoteReference w:id="29"/>
      </w:r>
      <w:r w:rsidR="003972B2" w:rsidRPr="0089051B">
        <w:rPr>
          <w:rFonts w:ascii="Times New Roman" w:hAnsi="Times New Roman" w:cs="Times New Roman"/>
        </w:rPr>
        <w:t xml:space="preserve"> </w:t>
      </w:r>
      <w:r w:rsidR="002E10C1" w:rsidRPr="0089051B">
        <w:rPr>
          <w:rFonts w:ascii="Times New Roman" w:hAnsi="Times New Roman" w:cs="Times New Roman"/>
        </w:rPr>
        <w:t xml:space="preserve">the </w:t>
      </w:r>
      <w:r w:rsidR="003972B2" w:rsidRPr="0089051B">
        <w:rPr>
          <w:rFonts w:ascii="Times New Roman" w:hAnsi="Times New Roman" w:cs="Times New Roman"/>
        </w:rPr>
        <w:t>general principles</w:t>
      </w:r>
      <w:r w:rsidR="002E10C1" w:rsidRPr="0089051B">
        <w:rPr>
          <w:rFonts w:ascii="Times New Roman" w:hAnsi="Times New Roman" w:cs="Times New Roman"/>
        </w:rPr>
        <w:t xml:space="preserve"> of Union law</w:t>
      </w:r>
      <w:r w:rsidR="00A0786C" w:rsidRPr="0089051B">
        <w:rPr>
          <w:rFonts w:ascii="Times New Roman" w:hAnsi="Times New Roman" w:cs="Times New Roman"/>
        </w:rPr>
        <w:t>,</w:t>
      </w:r>
      <w:r w:rsidR="008B34A3" w:rsidRPr="0089051B">
        <w:rPr>
          <w:rStyle w:val="FootnoteReference"/>
          <w:rFonts w:ascii="Times New Roman" w:hAnsi="Times New Roman" w:cs="Times New Roman"/>
        </w:rPr>
        <w:footnoteReference w:id="30"/>
      </w:r>
      <w:r w:rsidR="002E10C1" w:rsidRPr="0089051B">
        <w:rPr>
          <w:rFonts w:ascii="Times New Roman" w:hAnsi="Times New Roman" w:cs="Times New Roman"/>
        </w:rPr>
        <w:t xml:space="preserve"> </w:t>
      </w:r>
      <w:r w:rsidR="00A0786C" w:rsidRPr="0089051B">
        <w:rPr>
          <w:rFonts w:ascii="Times New Roman" w:hAnsi="Times New Roman" w:cs="Times New Roman"/>
        </w:rPr>
        <w:t xml:space="preserve">and </w:t>
      </w:r>
      <w:r w:rsidR="00833353" w:rsidRPr="0089051B">
        <w:rPr>
          <w:rFonts w:ascii="Times New Roman" w:hAnsi="Times New Roman" w:cs="Times New Roman"/>
        </w:rPr>
        <w:t>Union international agreements.</w:t>
      </w:r>
      <w:r w:rsidR="00833353" w:rsidRPr="0089051B">
        <w:rPr>
          <w:rStyle w:val="FootnoteReference"/>
          <w:rFonts w:ascii="Times New Roman" w:hAnsi="Times New Roman" w:cs="Times New Roman"/>
        </w:rPr>
        <w:footnoteReference w:id="31"/>
      </w:r>
      <w:r w:rsidR="002E10C1" w:rsidRPr="0089051B">
        <w:rPr>
          <w:rFonts w:ascii="Times New Roman" w:hAnsi="Times New Roman" w:cs="Times New Roman"/>
        </w:rPr>
        <w:t xml:space="preserve"> </w:t>
      </w:r>
      <w:r w:rsidR="00833353" w:rsidRPr="0089051B">
        <w:rPr>
          <w:rFonts w:ascii="Times New Roman" w:hAnsi="Times New Roman" w:cs="Times New Roman"/>
        </w:rPr>
        <w:t xml:space="preserve"> </w:t>
      </w:r>
      <w:r w:rsidR="002E10C1" w:rsidRPr="0089051B">
        <w:rPr>
          <w:rFonts w:ascii="Times New Roman" w:hAnsi="Times New Roman" w:cs="Times New Roman"/>
        </w:rPr>
        <w:t xml:space="preserve">Similarly, Union law is capable of prevailing over conflicting provisions of national law regardless of the latter’s nature or status within the Member State’s particular classification and hierarchy of domestic norms: </w:t>
      </w:r>
      <w:r w:rsidR="003972B2" w:rsidRPr="0089051B">
        <w:rPr>
          <w:rFonts w:ascii="Times New Roman" w:hAnsi="Times New Roman" w:cs="Times New Roman"/>
        </w:rPr>
        <w:t xml:space="preserve">from </w:t>
      </w:r>
      <w:r w:rsidR="002E10C1" w:rsidRPr="0089051B">
        <w:rPr>
          <w:rFonts w:ascii="Times New Roman" w:hAnsi="Times New Roman" w:cs="Times New Roman"/>
        </w:rPr>
        <w:t xml:space="preserve">fundamental </w:t>
      </w:r>
      <w:r w:rsidR="003972B2" w:rsidRPr="0089051B">
        <w:rPr>
          <w:rFonts w:ascii="Times New Roman" w:hAnsi="Times New Roman" w:cs="Times New Roman"/>
        </w:rPr>
        <w:t xml:space="preserve">constitutional provisions right down to </w:t>
      </w:r>
      <w:r w:rsidR="002E10C1" w:rsidRPr="0089051B">
        <w:rPr>
          <w:rFonts w:ascii="Times New Roman" w:hAnsi="Times New Roman" w:cs="Times New Roman"/>
        </w:rPr>
        <w:t xml:space="preserve">local </w:t>
      </w:r>
      <w:r w:rsidR="003972B2" w:rsidRPr="0089051B">
        <w:rPr>
          <w:rFonts w:ascii="Times New Roman" w:hAnsi="Times New Roman" w:cs="Times New Roman"/>
        </w:rPr>
        <w:t xml:space="preserve">administrative decisions </w:t>
      </w:r>
      <w:r w:rsidR="002E10C1" w:rsidRPr="0089051B">
        <w:rPr>
          <w:rFonts w:ascii="Times New Roman" w:hAnsi="Times New Roman" w:cs="Times New Roman"/>
        </w:rPr>
        <w:t xml:space="preserve">or </w:t>
      </w:r>
      <w:r w:rsidR="003972B2" w:rsidRPr="0089051B">
        <w:rPr>
          <w:rFonts w:ascii="Times New Roman" w:hAnsi="Times New Roman" w:cs="Times New Roman"/>
        </w:rPr>
        <w:t>practices</w:t>
      </w:r>
      <w:r w:rsidR="002E10C1" w:rsidRPr="0089051B">
        <w:rPr>
          <w:rFonts w:ascii="Times New Roman" w:hAnsi="Times New Roman" w:cs="Times New Roman"/>
        </w:rPr>
        <w:t>.</w:t>
      </w:r>
      <w:r w:rsidR="008B34A3" w:rsidRPr="0089051B">
        <w:rPr>
          <w:rStyle w:val="FootnoteReference"/>
          <w:rFonts w:ascii="Times New Roman" w:hAnsi="Times New Roman" w:cs="Times New Roman"/>
        </w:rPr>
        <w:footnoteReference w:id="32"/>
      </w:r>
      <w:r w:rsidR="002E10C1" w:rsidRPr="0089051B">
        <w:rPr>
          <w:rFonts w:ascii="Times New Roman" w:hAnsi="Times New Roman" w:cs="Times New Roman"/>
        </w:rPr>
        <w:t xml:space="preserve">  </w:t>
      </w:r>
    </w:p>
    <w:p w14:paraId="52CE5184" w14:textId="6F2F31AF" w:rsidR="006E5E55" w:rsidRPr="0089051B" w:rsidRDefault="008B34A3" w:rsidP="006E5E55">
      <w:pPr>
        <w:ind w:firstLine="720"/>
        <w:jc w:val="both"/>
        <w:rPr>
          <w:rFonts w:ascii="Times New Roman" w:hAnsi="Times New Roman" w:cs="Times New Roman"/>
        </w:rPr>
      </w:pPr>
      <w:r w:rsidRPr="0089051B">
        <w:rPr>
          <w:rFonts w:ascii="Times New Roman" w:hAnsi="Times New Roman" w:cs="Times New Roman"/>
        </w:rPr>
        <w:t xml:space="preserve">Moreover, the </w:t>
      </w:r>
      <w:r w:rsidR="002E10C1" w:rsidRPr="0089051B">
        <w:rPr>
          <w:rFonts w:ascii="Times New Roman" w:hAnsi="Times New Roman" w:cs="Times New Roman"/>
        </w:rPr>
        <w:t>o</w:t>
      </w:r>
      <w:r w:rsidR="003972B2" w:rsidRPr="0089051B">
        <w:rPr>
          <w:rFonts w:ascii="Times New Roman" w:hAnsi="Times New Roman" w:cs="Times New Roman"/>
        </w:rPr>
        <w:t xml:space="preserve">bligations flowing from </w:t>
      </w:r>
      <w:r w:rsidR="00B81FD5" w:rsidRPr="0089051B">
        <w:rPr>
          <w:rFonts w:ascii="Times New Roman" w:hAnsi="Times New Roman" w:cs="Times New Roman"/>
        </w:rPr>
        <w:t>primacy</w:t>
      </w:r>
      <w:r w:rsidR="003972B2" w:rsidRPr="0089051B">
        <w:rPr>
          <w:rFonts w:ascii="Times New Roman" w:hAnsi="Times New Roman" w:cs="Times New Roman"/>
        </w:rPr>
        <w:t xml:space="preserve"> </w:t>
      </w:r>
      <w:r w:rsidR="003753B6" w:rsidRPr="0089051B">
        <w:rPr>
          <w:rFonts w:ascii="Times New Roman" w:hAnsi="Times New Roman" w:cs="Times New Roman"/>
        </w:rPr>
        <w:t xml:space="preserve">are binding upon </w:t>
      </w:r>
      <w:r w:rsidR="00DD5FC8" w:rsidRPr="0089051B">
        <w:rPr>
          <w:rFonts w:ascii="Times New Roman" w:hAnsi="Times New Roman" w:cs="Times New Roman"/>
        </w:rPr>
        <w:t>all national courts</w:t>
      </w:r>
      <w:r w:rsidR="003753B6" w:rsidRPr="0089051B">
        <w:rPr>
          <w:rFonts w:ascii="Times New Roman" w:hAnsi="Times New Roman" w:cs="Times New Roman"/>
        </w:rPr>
        <w:t xml:space="preserve"> </w:t>
      </w:r>
      <w:r w:rsidR="00F157B0" w:rsidRPr="0089051B">
        <w:rPr>
          <w:rFonts w:ascii="Times New Roman" w:hAnsi="Times New Roman" w:cs="Times New Roman"/>
        </w:rPr>
        <w:t xml:space="preserve">– </w:t>
      </w:r>
      <w:r w:rsidR="003753B6" w:rsidRPr="0089051B">
        <w:rPr>
          <w:rFonts w:ascii="Times New Roman" w:hAnsi="Times New Roman" w:cs="Times New Roman"/>
        </w:rPr>
        <w:t xml:space="preserve">the Court having delivered an </w:t>
      </w:r>
      <w:r w:rsidR="00DD5FC8" w:rsidRPr="0089051B">
        <w:rPr>
          <w:rFonts w:ascii="Times New Roman" w:hAnsi="Times New Roman" w:cs="Times New Roman"/>
        </w:rPr>
        <w:t xml:space="preserve">extensive </w:t>
      </w:r>
      <w:proofErr w:type="spellStart"/>
      <w:r w:rsidR="00DD5FC8" w:rsidRPr="0089051B">
        <w:rPr>
          <w:rFonts w:ascii="Times New Roman" w:hAnsi="Times New Roman" w:cs="Times New Roman"/>
        </w:rPr>
        <w:t>caselaw</w:t>
      </w:r>
      <w:proofErr w:type="spellEnd"/>
      <w:r w:rsidR="00DD5FC8" w:rsidRPr="0089051B">
        <w:rPr>
          <w:rFonts w:ascii="Times New Roman" w:hAnsi="Times New Roman" w:cs="Times New Roman"/>
        </w:rPr>
        <w:t xml:space="preserve"> </w:t>
      </w:r>
      <w:r w:rsidR="003753B6" w:rsidRPr="0089051B">
        <w:rPr>
          <w:rFonts w:ascii="Times New Roman" w:hAnsi="Times New Roman" w:cs="Times New Roman"/>
        </w:rPr>
        <w:t xml:space="preserve">concerning </w:t>
      </w:r>
      <w:r w:rsidR="00DD5FC8" w:rsidRPr="0089051B">
        <w:rPr>
          <w:rFonts w:ascii="Times New Roman" w:hAnsi="Times New Roman" w:cs="Times New Roman"/>
        </w:rPr>
        <w:t>purported restrictions</w:t>
      </w:r>
      <w:r w:rsidR="00F157B0" w:rsidRPr="0089051B">
        <w:rPr>
          <w:rFonts w:ascii="Times New Roman" w:hAnsi="Times New Roman" w:cs="Times New Roman"/>
        </w:rPr>
        <w:t xml:space="preserve"> </w:t>
      </w:r>
      <w:r w:rsidR="003753B6" w:rsidRPr="0089051B">
        <w:rPr>
          <w:rFonts w:ascii="Times New Roman" w:hAnsi="Times New Roman" w:cs="Times New Roman"/>
        </w:rPr>
        <w:t>up</w:t>
      </w:r>
      <w:r w:rsidR="00F157B0" w:rsidRPr="0089051B">
        <w:rPr>
          <w:rFonts w:ascii="Times New Roman" w:hAnsi="Times New Roman" w:cs="Times New Roman"/>
        </w:rPr>
        <w:t xml:space="preserve">on </w:t>
      </w:r>
      <w:r w:rsidR="003753B6" w:rsidRPr="0089051B">
        <w:rPr>
          <w:rFonts w:ascii="Times New Roman" w:hAnsi="Times New Roman" w:cs="Times New Roman"/>
        </w:rPr>
        <w:t xml:space="preserve">the </w:t>
      </w:r>
      <w:r w:rsidR="000B1040" w:rsidRPr="0089051B">
        <w:rPr>
          <w:rFonts w:ascii="Times New Roman" w:hAnsi="Times New Roman" w:cs="Times New Roman"/>
        </w:rPr>
        <w:t xml:space="preserve">ability </w:t>
      </w:r>
      <w:r w:rsidR="003753B6" w:rsidRPr="0089051B">
        <w:rPr>
          <w:rFonts w:ascii="Times New Roman" w:hAnsi="Times New Roman" w:cs="Times New Roman"/>
        </w:rPr>
        <w:t xml:space="preserve">of every competent domestic tribunal either </w:t>
      </w:r>
      <w:r w:rsidR="000B1040" w:rsidRPr="0089051B">
        <w:rPr>
          <w:rFonts w:ascii="Times New Roman" w:hAnsi="Times New Roman" w:cs="Times New Roman"/>
        </w:rPr>
        <w:t xml:space="preserve">to assess </w:t>
      </w:r>
      <w:r w:rsidR="003753B6" w:rsidRPr="0089051B">
        <w:rPr>
          <w:rFonts w:ascii="Times New Roman" w:hAnsi="Times New Roman" w:cs="Times New Roman"/>
        </w:rPr>
        <w:t xml:space="preserve">the initial </w:t>
      </w:r>
      <w:r w:rsidR="000B1040" w:rsidRPr="0089051B">
        <w:rPr>
          <w:rFonts w:ascii="Times New Roman" w:hAnsi="Times New Roman" w:cs="Times New Roman"/>
        </w:rPr>
        <w:t xml:space="preserve">question of </w:t>
      </w:r>
      <w:r w:rsidR="003753B6" w:rsidRPr="0089051B">
        <w:rPr>
          <w:rFonts w:ascii="Times New Roman" w:hAnsi="Times New Roman" w:cs="Times New Roman"/>
        </w:rPr>
        <w:t xml:space="preserve">whether national rules are incompatible with Union obligations; or </w:t>
      </w:r>
      <w:r w:rsidR="000B1040" w:rsidRPr="0089051B">
        <w:rPr>
          <w:rFonts w:ascii="Times New Roman" w:hAnsi="Times New Roman" w:cs="Times New Roman"/>
        </w:rPr>
        <w:t xml:space="preserve">to </w:t>
      </w:r>
      <w:r w:rsidR="003753B6" w:rsidRPr="0089051B">
        <w:rPr>
          <w:rFonts w:ascii="Times New Roman" w:hAnsi="Times New Roman" w:cs="Times New Roman"/>
        </w:rPr>
        <w:t>request a preliminary reference from the Court</w:t>
      </w:r>
      <w:r w:rsidR="003972B2" w:rsidRPr="0089051B">
        <w:rPr>
          <w:rFonts w:ascii="Times New Roman" w:hAnsi="Times New Roman" w:cs="Times New Roman"/>
        </w:rPr>
        <w:t xml:space="preserve"> about </w:t>
      </w:r>
      <w:r w:rsidR="003753B6" w:rsidRPr="0089051B">
        <w:rPr>
          <w:rFonts w:ascii="Times New Roman" w:hAnsi="Times New Roman" w:cs="Times New Roman"/>
        </w:rPr>
        <w:t xml:space="preserve">the </w:t>
      </w:r>
      <w:r w:rsidR="003972B2" w:rsidRPr="0089051B">
        <w:rPr>
          <w:rFonts w:ascii="Times New Roman" w:hAnsi="Times New Roman" w:cs="Times New Roman"/>
        </w:rPr>
        <w:t xml:space="preserve">proper interpretation </w:t>
      </w:r>
      <w:r w:rsidR="003753B6" w:rsidRPr="0089051B">
        <w:rPr>
          <w:rFonts w:ascii="Times New Roman" w:hAnsi="Times New Roman" w:cs="Times New Roman"/>
        </w:rPr>
        <w:t xml:space="preserve">or </w:t>
      </w:r>
      <w:r w:rsidR="003972B2" w:rsidRPr="0089051B">
        <w:rPr>
          <w:rFonts w:ascii="Times New Roman" w:hAnsi="Times New Roman" w:cs="Times New Roman"/>
        </w:rPr>
        <w:t>application of Union law</w:t>
      </w:r>
      <w:r w:rsidR="003753B6" w:rsidRPr="0089051B">
        <w:rPr>
          <w:rFonts w:ascii="Times New Roman" w:hAnsi="Times New Roman" w:cs="Times New Roman"/>
        </w:rPr>
        <w:t xml:space="preserve">; or </w:t>
      </w:r>
      <w:r w:rsidR="000B1040" w:rsidRPr="0089051B">
        <w:rPr>
          <w:rFonts w:ascii="Times New Roman" w:hAnsi="Times New Roman" w:cs="Times New Roman"/>
        </w:rPr>
        <w:t xml:space="preserve">to </w:t>
      </w:r>
      <w:r w:rsidR="003972B2" w:rsidRPr="0089051B">
        <w:rPr>
          <w:rFonts w:ascii="Times New Roman" w:hAnsi="Times New Roman" w:cs="Times New Roman"/>
        </w:rPr>
        <w:t xml:space="preserve">select and </w:t>
      </w:r>
      <w:r w:rsidRPr="0089051B">
        <w:rPr>
          <w:rFonts w:ascii="Times New Roman" w:hAnsi="Times New Roman" w:cs="Times New Roman"/>
        </w:rPr>
        <w:t xml:space="preserve">enforce </w:t>
      </w:r>
      <w:r w:rsidR="003753B6" w:rsidRPr="0089051B">
        <w:rPr>
          <w:rFonts w:ascii="Times New Roman" w:hAnsi="Times New Roman" w:cs="Times New Roman"/>
        </w:rPr>
        <w:t xml:space="preserve">the </w:t>
      </w:r>
      <w:r w:rsidR="000B1040" w:rsidRPr="0089051B">
        <w:rPr>
          <w:rFonts w:ascii="Times New Roman" w:hAnsi="Times New Roman" w:cs="Times New Roman"/>
        </w:rPr>
        <w:t xml:space="preserve">remedy of </w:t>
      </w:r>
      <w:r w:rsidR="00F157B0" w:rsidRPr="0089051B">
        <w:rPr>
          <w:rFonts w:ascii="Times New Roman" w:hAnsi="Times New Roman" w:cs="Times New Roman"/>
        </w:rPr>
        <w:t>disapplication</w:t>
      </w:r>
      <w:r w:rsidRPr="0089051B">
        <w:rPr>
          <w:rFonts w:ascii="Times New Roman" w:hAnsi="Times New Roman" w:cs="Times New Roman"/>
        </w:rPr>
        <w:t xml:space="preserve">, as and when required </w:t>
      </w:r>
      <w:r w:rsidR="00177EF0" w:rsidRPr="0089051B">
        <w:rPr>
          <w:rFonts w:ascii="Times New Roman" w:hAnsi="Times New Roman" w:cs="Times New Roman"/>
        </w:rPr>
        <w:t>by</w:t>
      </w:r>
      <w:r w:rsidRPr="0089051B">
        <w:rPr>
          <w:rFonts w:ascii="Times New Roman" w:hAnsi="Times New Roman" w:cs="Times New Roman"/>
        </w:rPr>
        <w:t xml:space="preserve"> the principle of </w:t>
      </w:r>
      <w:r w:rsidR="00B81FD5" w:rsidRPr="0089051B">
        <w:rPr>
          <w:rFonts w:ascii="Times New Roman" w:hAnsi="Times New Roman" w:cs="Times New Roman"/>
        </w:rPr>
        <w:t>primacy</w:t>
      </w:r>
      <w:r w:rsidRPr="0089051B">
        <w:rPr>
          <w:rFonts w:ascii="Times New Roman" w:hAnsi="Times New Roman" w:cs="Times New Roman"/>
        </w:rPr>
        <w:t>,</w:t>
      </w:r>
      <w:r w:rsidR="00F157B0" w:rsidRPr="0089051B">
        <w:rPr>
          <w:rFonts w:ascii="Times New Roman" w:hAnsi="Times New Roman" w:cs="Times New Roman"/>
        </w:rPr>
        <w:t xml:space="preserve"> </w:t>
      </w:r>
      <w:r w:rsidRPr="0089051B">
        <w:rPr>
          <w:rFonts w:ascii="Times New Roman" w:hAnsi="Times New Roman" w:cs="Times New Roman"/>
        </w:rPr>
        <w:t>so as to resolve</w:t>
      </w:r>
      <w:r w:rsidR="003753B6" w:rsidRPr="0089051B">
        <w:rPr>
          <w:rFonts w:ascii="Times New Roman" w:hAnsi="Times New Roman" w:cs="Times New Roman"/>
        </w:rPr>
        <w:t xml:space="preserve"> the individual dispute at hand.</w:t>
      </w:r>
      <w:r w:rsidRPr="0089051B">
        <w:rPr>
          <w:rStyle w:val="FootnoteReference"/>
          <w:rFonts w:ascii="Times New Roman" w:hAnsi="Times New Roman" w:cs="Times New Roman"/>
        </w:rPr>
        <w:footnoteReference w:id="33"/>
      </w:r>
      <w:r w:rsidRPr="0089051B">
        <w:rPr>
          <w:rFonts w:ascii="Times New Roman" w:hAnsi="Times New Roman" w:cs="Times New Roman"/>
        </w:rPr>
        <w:t xml:space="preserve">  The Court has also long held that the principle of </w:t>
      </w:r>
      <w:r w:rsidR="00B81FD5" w:rsidRPr="0089051B">
        <w:rPr>
          <w:rFonts w:ascii="Times New Roman" w:hAnsi="Times New Roman" w:cs="Times New Roman"/>
        </w:rPr>
        <w:t>primacy</w:t>
      </w:r>
      <w:r w:rsidR="003972B2" w:rsidRPr="0089051B">
        <w:rPr>
          <w:rFonts w:ascii="Times New Roman" w:hAnsi="Times New Roman" w:cs="Times New Roman"/>
        </w:rPr>
        <w:t xml:space="preserve"> </w:t>
      </w:r>
      <w:r w:rsidRPr="0089051B">
        <w:rPr>
          <w:rFonts w:ascii="Times New Roman" w:hAnsi="Times New Roman" w:cs="Times New Roman"/>
        </w:rPr>
        <w:t xml:space="preserve">applies not only </w:t>
      </w:r>
      <w:r w:rsidR="003972B2" w:rsidRPr="0089051B">
        <w:rPr>
          <w:rFonts w:ascii="Times New Roman" w:hAnsi="Times New Roman" w:cs="Times New Roman"/>
        </w:rPr>
        <w:t xml:space="preserve">to </w:t>
      </w:r>
      <w:r w:rsidRPr="0089051B">
        <w:rPr>
          <w:rFonts w:ascii="Times New Roman" w:hAnsi="Times New Roman" w:cs="Times New Roman"/>
        </w:rPr>
        <w:lastRenderedPageBreak/>
        <w:t xml:space="preserve">the national courts but also the domestic administrative </w:t>
      </w:r>
      <w:r w:rsidR="00DD5FC8" w:rsidRPr="0089051B">
        <w:rPr>
          <w:rFonts w:ascii="Times New Roman" w:hAnsi="Times New Roman" w:cs="Times New Roman"/>
        </w:rPr>
        <w:t>authorities</w:t>
      </w:r>
      <w:r w:rsidRPr="0089051B">
        <w:rPr>
          <w:rFonts w:ascii="Times New Roman" w:hAnsi="Times New Roman" w:cs="Times New Roman"/>
        </w:rPr>
        <w:t xml:space="preserve">: executive bodies and agencies of the Member State are directly obliged to </w:t>
      </w:r>
      <w:proofErr w:type="spellStart"/>
      <w:r w:rsidRPr="0089051B">
        <w:rPr>
          <w:rFonts w:ascii="Times New Roman" w:hAnsi="Times New Roman" w:cs="Times New Roman"/>
        </w:rPr>
        <w:t>disapply</w:t>
      </w:r>
      <w:proofErr w:type="spellEnd"/>
      <w:r w:rsidRPr="0089051B">
        <w:rPr>
          <w:rFonts w:ascii="Times New Roman" w:hAnsi="Times New Roman" w:cs="Times New Roman"/>
        </w:rPr>
        <w:t xml:space="preserve"> national provisions which are incompatible with legally binding and enforceable Union obligations and to do so </w:t>
      </w:r>
      <w:r w:rsidR="000B1040" w:rsidRPr="0089051B">
        <w:rPr>
          <w:rFonts w:ascii="Times New Roman" w:hAnsi="Times New Roman" w:cs="Times New Roman"/>
        </w:rPr>
        <w:t xml:space="preserve">even without </w:t>
      </w:r>
      <w:r w:rsidRPr="0089051B">
        <w:rPr>
          <w:rFonts w:ascii="Times New Roman" w:hAnsi="Times New Roman" w:cs="Times New Roman"/>
        </w:rPr>
        <w:t xml:space="preserve">any </w:t>
      </w:r>
      <w:r w:rsidR="000B1040" w:rsidRPr="0089051B">
        <w:rPr>
          <w:rFonts w:ascii="Times New Roman" w:hAnsi="Times New Roman" w:cs="Times New Roman"/>
        </w:rPr>
        <w:t>prior intervention</w:t>
      </w:r>
      <w:r w:rsidR="00DD5FC8" w:rsidRPr="0089051B">
        <w:rPr>
          <w:rFonts w:ascii="Times New Roman" w:hAnsi="Times New Roman" w:cs="Times New Roman"/>
        </w:rPr>
        <w:t xml:space="preserve"> </w:t>
      </w:r>
      <w:r w:rsidRPr="0089051B">
        <w:rPr>
          <w:rFonts w:ascii="Times New Roman" w:hAnsi="Times New Roman" w:cs="Times New Roman"/>
        </w:rPr>
        <w:t>by the relevant judicial authorities.</w:t>
      </w:r>
      <w:r w:rsidRPr="0089051B">
        <w:rPr>
          <w:rStyle w:val="FootnoteReference"/>
          <w:rFonts w:ascii="Times New Roman" w:hAnsi="Times New Roman" w:cs="Times New Roman"/>
        </w:rPr>
        <w:footnoteReference w:id="34"/>
      </w:r>
    </w:p>
    <w:p w14:paraId="6D1A1745" w14:textId="0B552D0A" w:rsidR="00870D6E" w:rsidRPr="0089051B" w:rsidRDefault="00870D6E" w:rsidP="006E5E55">
      <w:pPr>
        <w:ind w:firstLine="720"/>
        <w:jc w:val="both"/>
        <w:rPr>
          <w:rFonts w:ascii="Times New Roman" w:hAnsi="Times New Roman" w:cs="Times New Roman"/>
        </w:rPr>
      </w:pPr>
      <w:r w:rsidRPr="0089051B">
        <w:rPr>
          <w:rFonts w:ascii="Times New Roman" w:hAnsi="Times New Roman" w:cs="Times New Roman"/>
        </w:rPr>
        <w:t xml:space="preserve">Yet the prosaic reality remains: the principle of </w:t>
      </w:r>
      <w:r w:rsidR="00B81FD5" w:rsidRPr="0089051B">
        <w:rPr>
          <w:rFonts w:ascii="Times New Roman" w:hAnsi="Times New Roman" w:cs="Times New Roman"/>
        </w:rPr>
        <w:t>primacy</w:t>
      </w:r>
      <w:r w:rsidRPr="0089051B">
        <w:rPr>
          <w:rFonts w:ascii="Times New Roman" w:hAnsi="Times New Roman" w:cs="Times New Roman"/>
        </w:rPr>
        <w:t xml:space="preserve"> is virtually inseparable</w:t>
      </w:r>
      <w:r w:rsidR="00BC270A" w:rsidRPr="0089051B">
        <w:rPr>
          <w:rFonts w:ascii="Times New Roman" w:hAnsi="Times New Roman" w:cs="Times New Roman"/>
        </w:rPr>
        <w:t>, if not altogether indistinguishable,</w:t>
      </w:r>
      <w:r w:rsidRPr="0089051B">
        <w:rPr>
          <w:rFonts w:ascii="Times New Roman" w:hAnsi="Times New Roman" w:cs="Times New Roman"/>
        </w:rPr>
        <w:t xml:space="preserve"> from </w:t>
      </w:r>
      <w:r w:rsidR="00566387" w:rsidRPr="0089051B">
        <w:rPr>
          <w:rFonts w:ascii="Times New Roman" w:hAnsi="Times New Roman" w:cs="Times New Roman"/>
        </w:rPr>
        <w:t xml:space="preserve">its remedy of disapplication.  That is not to deny the rightful place of primacy among the “essential characteristics” of Union law or its centrality to </w:t>
      </w:r>
      <w:r w:rsidR="004B36D6" w:rsidRPr="0089051B">
        <w:rPr>
          <w:rFonts w:ascii="Times New Roman" w:hAnsi="Times New Roman" w:cs="Times New Roman"/>
        </w:rPr>
        <w:t xml:space="preserve">broader </w:t>
      </w:r>
      <w:r w:rsidR="0037341C" w:rsidRPr="0089051B">
        <w:rPr>
          <w:rFonts w:ascii="Times New Roman" w:hAnsi="Times New Roman" w:cs="Times New Roman"/>
        </w:rPr>
        <w:t xml:space="preserve">conceptual </w:t>
      </w:r>
      <w:r w:rsidR="00566387" w:rsidRPr="0089051B">
        <w:rPr>
          <w:rFonts w:ascii="Times New Roman" w:hAnsi="Times New Roman" w:cs="Times New Roman"/>
        </w:rPr>
        <w:t xml:space="preserve">debate and </w:t>
      </w:r>
      <w:r w:rsidR="0037341C" w:rsidRPr="0089051B">
        <w:rPr>
          <w:rFonts w:ascii="Times New Roman" w:hAnsi="Times New Roman" w:cs="Times New Roman"/>
        </w:rPr>
        <w:t xml:space="preserve">scholarly </w:t>
      </w:r>
      <w:r w:rsidR="00566387" w:rsidRPr="0089051B">
        <w:rPr>
          <w:rFonts w:ascii="Times New Roman" w:hAnsi="Times New Roman" w:cs="Times New Roman"/>
        </w:rPr>
        <w:t>controversy about the “uniqueness” of the Union’s constitutional framework</w:t>
      </w:r>
      <w:r w:rsidR="00E70624" w:rsidRPr="0089051B">
        <w:rPr>
          <w:rFonts w:ascii="Times New Roman" w:hAnsi="Times New Roman" w:cs="Times New Roman"/>
        </w:rPr>
        <w:t xml:space="preserve">: of course </w:t>
      </w:r>
      <w:r w:rsidR="00566387" w:rsidRPr="0089051B">
        <w:rPr>
          <w:rFonts w:ascii="Times New Roman" w:hAnsi="Times New Roman" w:cs="Times New Roman"/>
        </w:rPr>
        <w:t xml:space="preserve">the very existence of </w:t>
      </w:r>
      <w:r w:rsidR="00B81FD5" w:rsidRPr="0089051B">
        <w:rPr>
          <w:rFonts w:ascii="Times New Roman" w:hAnsi="Times New Roman" w:cs="Times New Roman"/>
        </w:rPr>
        <w:t>primacy</w:t>
      </w:r>
      <w:r w:rsidRPr="0089051B">
        <w:rPr>
          <w:rFonts w:ascii="Times New Roman" w:hAnsi="Times New Roman" w:cs="Times New Roman"/>
        </w:rPr>
        <w:t xml:space="preserve"> represents a fundamental statement by the Court about the nature and implications of Union membership and an equally significant acceptance by the Member States of a profound reordering of their internal legal system and its place within the wider European order.  </w:t>
      </w:r>
      <w:r w:rsidR="00854712" w:rsidRPr="0089051B">
        <w:rPr>
          <w:rFonts w:ascii="Times New Roman" w:hAnsi="Times New Roman" w:cs="Times New Roman"/>
        </w:rPr>
        <w:t xml:space="preserve">Nor is it to </w:t>
      </w:r>
      <w:r w:rsidR="00BC270A" w:rsidRPr="0089051B">
        <w:rPr>
          <w:rFonts w:ascii="Times New Roman" w:hAnsi="Times New Roman" w:cs="Times New Roman"/>
        </w:rPr>
        <w:t xml:space="preserve">deprive </w:t>
      </w:r>
      <w:r w:rsidR="00243276" w:rsidRPr="0089051B">
        <w:rPr>
          <w:rFonts w:ascii="Times New Roman" w:hAnsi="Times New Roman" w:cs="Times New Roman"/>
        </w:rPr>
        <w:t xml:space="preserve">anyone of the chance to </w:t>
      </w:r>
      <w:r w:rsidR="00BC270A" w:rsidRPr="0089051B">
        <w:rPr>
          <w:rFonts w:ascii="Times New Roman" w:hAnsi="Times New Roman" w:cs="Times New Roman"/>
        </w:rPr>
        <w:t xml:space="preserve">muse over </w:t>
      </w:r>
      <w:r w:rsidR="00854712" w:rsidRPr="0089051B">
        <w:rPr>
          <w:rFonts w:ascii="Times New Roman" w:hAnsi="Times New Roman" w:cs="Times New Roman"/>
        </w:rPr>
        <w:t xml:space="preserve">whether </w:t>
      </w:r>
      <w:r w:rsidR="00E70624" w:rsidRPr="0089051B">
        <w:rPr>
          <w:rFonts w:ascii="Times New Roman" w:hAnsi="Times New Roman" w:cs="Times New Roman"/>
        </w:rPr>
        <w:t xml:space="preserve">established doctrines such as </w:t>
      </w:r>
      <w:r w:rsidR="001439F2" w:rsidRPr="0089051B">
        <w:rPr>
          <w:rFonts w:ascii="Times New Roman" w:hAnsi="Times New Roman" w:cs="Times New Roman"/>
        </w:rPr>
        <w:t xml:space="preserve">the duty of consistent interpretation or the principle of Member State liability are better regarded, either as specific facets </w:t>
      </w:r>
      <w:r w:rsidR="00FC66EA" w:rsidRPr="0089051B">
        <w:rPr>
          <w:rFonts w:ascii="Times New Roman" w:hAnsi="Times New Roman" w:cs="Times New Roman"/>
        </w:rPr>
        <w:t>or</w:t>
      </w:r>
      <w:r w:rsidR="00BC270A" w:rsidRPr="0089051B">
        <w:rPr>
          <w:rFonts w:ascii="Times New Roman" w:hAnsi="Times New Roman" w:cs="Times New Roman"/>
        </w:rPr>
        <w:t xml:space="preserve"> expressions </w:t>
      </w:r>
      <w:r w:rsidR="001439F2" w:rsidRPr="0089051B">
        <w:rPr>
          <w:rFonts w:ascii="Times New Roman" w:hAnsi="Times New Roman" w:cs="Times New Roman"/>
        </w:rPr>
        <w:t>(alongside disapplication) of the principle of primacy,</w:t>
      </w:r>
      <w:r w:rsidR="001439F2" w:rsidRPr="0089051B">
        <w:rPr>
          <w:rStyle w:val="FootnoteReference"/>
          <w:rFonts w:ascii="Times New Roman" w:hAnsi="Times New Roman" w:cs="Times New Roman"/>
        </w:rPr>
        <w:footnoteReference w:id="35"/>
      </w:r>
      <w:r w:rsidR="001439F2" w:rsidRPr="0089051B">
        <w:rPr>
          <w:rFonts w:ascii="Times New Roman" w:hAnsi="Times New Roman" w:cs="Times New Roman"/>
        </w:rPr>
        <w:t xml:space="preserve"> or instead as </w:t>
      </w:r>
      <w:r w:rsidR="00BC270A" w:rsidRPr="0089051B">
        <w:rPr>
          <w:rFonts w:ascii="Times New Roman" w:hAnsi="Times New Roman" w:cs="Times New Roman"/>
        </w:rPr>
        <w:t xml:space="preserve">constitutionally </w:t>
      </w:r>
      <w:r w:rsidR="001439F2" w:rsidRPr="0089051B">
        <w:rPr>
          <w:rFonts w:ascii="Times New Roman" w:hAnsi="Times New Roman" w:cs="Times New Roman"/>
        </w:rPr>
        <w:t xml:space="preserve">distinct elements </w:t>
      </w:r>
      <w:r w:rsidR="00BC270A" w:rsidRPr="0089051B">
        <w:rPr>
          <w:rFonts w:ascii="Times New Roman" w:hAnsi="Times New Roman" w:cs="Times New Roman"/>
        </w:rPr>
        <w:t xml:space="preserve">of their own which contribute (alongside </w:t>
      </w:r>
      <w:r w:rsidR="00B81FD5" w:rsidRPr="0089051B">
        <w:rPr>
          <w:rFonts w:ascii="Times New Roman" w:hAnsi="Times New Roman" w:cs="Times New Roman"/>
        </w:rPr>
        <w:t>primacy</w:t>
      </w:r>
      <w:r w:rsidR="00BC270A" w:rsidRPr="0089051B">
        <w:rPr>
          <w:rFonts w:ascii="Times New Roman" w:hAnsi="Times New Roman" w:cs="Times New Roman"/>
        </w:rPr>
        <w:t xml:space="preserve">) to </w:t>
      </w:r>
      <w:r w:rsidR="001439F2" w:rsidRPr="0089051B">
        <w:rPr>
          <w:rFonts w:ascii="Times New Roman" w:hAnsi="Times New Roman" w:cs="Times New Roman"/>
        </w:rPr>
        <w:t>the overall relationship between Union and national law</w:t>
      </w:r>
      <w:r w:rsidR="00BC270A" w:rsidRPr="0089051B">
        <w:rPr>
          <w:rFonts w:ascii="Times New Roman" w:hAnsi="Times New Roman" w:cs="Times New Roman"/>
        </w:rPr>
        <w:t>.</w:t>
      </w:r>
      <w:r w:rsidR="001439F2" w:rsidRPr="0089051B">
        <w:rPr>
          <w:rStyle w:val="FootnoteReference"/>
          <w:rFonts w:ascii="Times New Roman" w:hAnsi="Times New Roman" w:cs="Times New Roman"/>
        </w:rPr>
        <w:footnoteReference w:id="36"/>
      </w:r>
      <w:r w:rsidR="001439F2" w:rsidRPr="0089051B">
        <w:rPr>
          <w:rFonts w:ascii="Times New Roman" w:hAnsi="Times New Roman" w:cs="Times New Roman"/>
        </w:rPr>
        <w:t xml:space="preserve"> </w:t>
      </w:r>
      <w:r w:rsidR="00BC270A" w:rsidRPr="0089051B">
        <w:rPr>
          <w:rFonts w:ascii="Times New Roman" w:hAnsi="Times New Roman" w:cs="Times New Roman"/>
        </w:rPr>
        <w:t xml:space="preserve"> </w:t>
      </w:r>
      <w:r w:rsidR="00243276" w:rsidRPr="0089051B">
        <w:rPr>
          <w:rFonts w:ascii="Times New Roman" w:hAnsi="Times New Roman" w:cs="Times New Roman"/>
        </w:rPr>
        <w:t xml:space="preserve">But ultimately, the operational core of </w:t>
      </w:r>
      <w:r w:rsidR="00B81FD5" w:rsidRPr="0089051B">
        <w:rPr>
          <w:rFonts w:ascii="Times New Roman" w:hAnsi="Times New Roman" w:cs="Times New Roman"/>
        </w:rPr>
        <w:t>primacy</w:t>
      </w:r>
      <w:r w:rsidR="00243276" w:rsidRPr="0089051B">
        <w:rPr>
          <w:rFonts w:ascii="Times New Roman" w:hAnsi="Times New Roman" w:cs="Times New Roman"/>
        </w:rPr>
        <w:t xml:space="preserve"> lies in disapplication, with all its various limitations and nuances, and there is scant </w:t>
      </w:r>
      <w:r w:rsidR="00566387" w:rsidRPr="0089051B">
        <w:rPr>
          <w:rFonts w:ascii="Times New Roman" w:hAnsi="Times New Roman" w:cs="Times New Roman"/>
        </w:rPr>
        <w:t xml:space="preserve">evidence in the </w:t>
      </w:r>
      <w:proofErr w:type="spellStart"/>
      <w:r w:rsidR="00566387" w:rsidRPr="0089051B">
        <w:rPr>
          <w:rFonts w:ascii="Times New Roman" w:hAnsi="Times New Roman" w:cs="Times New Roman"/>
        </w:rPr>
        <w:t>caselaw</w:t>
      </w:r>
      <w:proofErr w:type="spellEnd"/>
      <w:r w:rsidR="00566387" w:rsidRPr="0089051B">
        <w:rPr>
          <w:rFonts w:ascii="Times New Roman" w:hAnsi="Times New Roman" w:cs="Times New Roman"/>
        </w:rPr>
        <w:t xml:space="preserve"> </w:t>
      </w:r>
      <w:r w:rsidR="0037341C" w:rsidRPr="0089051B">
        <w:rPr>
          <w:rFonts w:ascii="Times New Roman" w:hAnsi="Times New Roman" w:cs="Times New Roman"/>
        </w:rPr>
        <w:t>to suggest</w:t>
      </w:r>
      <w:r w:rsidR="00566387" w:rsidRPr="0089051B">
        <w:rPr>
          <w:rFonts w:ascii="Times New Roman" w:hAnsi="Times New Roman" w:cs="Times New Roman"/>
        </w:rPr>
        <w:t xml:space="preserve"> </w:t>
      </w:r>
      <w:r w:rsidR="00243276" w:rsidRPr="0089051B">
        <w:rPr>
          <w:rFonts w:ascii="Times New Roman" w:hAnsi="Times New Roman" w:cs="Times New Roman"/>
        </w:rPr>
        <w:t xml:space="preserve">that </w:t>
      </w:r>
      <w:r w:rsidR="00B81FD5" w:rsidRPr="0089051B">
        <w:rPr>
          <w:rFonts w:ascii="Times New Roman" w:hAnsi="Times New Roman" w:cs="Times New Roman"/>
        </w:rPr>
        <w:t>primacy</w:t>
      </w:r>
      <w:r w:rsidR="00243276" w:rsidRPr="0089051B">
        <w:rPr>
          <w:rFonts w:ascii="Times New Roman" w:hAnsi="Times New Roman" w:cs="Times New Roman"/>
        </w:rPr>
        <w:t xml:space="preserve"> entails some more profound </w:t>
      </w:r>
      <w:r w:rsidRPr="0089051B">
        <w:rPr>
          <w:rFonts w:ascii="Times New Roman" w:hAnsi="Times New Roman" w:cs="Times New Roman"/>
        </w:rPr>
        <w:t xml:space="preserve">structural hierarchy </w:t>
      </w:r>
      <w:r w:rsidR="00243276" w:rsidRPr="0089051B">
        <w:rPr>
          <w:rFonts w:ascii="Times New Roman" w:hAnsi="Times New Roman" w:cs="Times New Roman"/>
        </w:rPr>
        <w:t>allowing</w:t>
      </w:r>
      <w:r w:rsidRPr="0089051B">
        <w:rPr>
          <w:rFonts w:ascii="Times New Roman" w:hAnsi="Times New Roman" w:cs="Times New Roman"/>
        </w:rPr>
        <w:t xml:space="preserve"> Union law, per se and by its very existence, to produce a </w:t>
      </w:r>
      <w:r w:rsidR="00243276" w:rsidRPr="0089051B">
        <w:rPr>
          <w:rFonts w:ascii="Times New Roman" w:hAnsi="Times New Roman" w:cs="Times New Roman"/>
        </w:rPr>
        <w:t>more far</w:t>
      </w:r>
      <w:r w:rsidR="00FC66EA" w:rsidRPr="0089051B">
        <w:rPr>
          <w:rFonts w:ascii="Times New Roman" w:hAnsi="Times New Roman" w:cs="Times New Roman"/>
        </w:rPr>
        <w:t>-</w:t>
      </w:r>
      <w:r w:rsidR="00243276" w:rsidRPr="0089051B">
        <w:rPr>
          <w:rFonts w:ascii="Times New Roman" w:hAnsi="Times New Roman" w:cs="Times New Roman"/>
        </w:rPr>
        <w:t xml:space="preserve">reaching array </w:t>
      </w:r>
      <w:r w:rsidRPr="0089051B">
        <w:rPr>
          <w:rFonts w:ascii="Times New Roman" w:hAnsi="Times New Roman" w:cs="Times New Roman"/>
        </w:rPr>
        <w:t xml:space="preserve">of </w:t>
      </w:r>
      <w:r w:rsidR="0037341C" w:rsidRPr="0089051B">
        <w:rPr>
          <w:rFonts w:ascii="Times New Roman" w:hAnsi="Times New Roman" w:cs="Times New Roman"/>
        </w:rPr>
        <w:t>tangible</w:t>
      </w:r>
      <w:r w:rsidRPr="0089051B">
        <w:rPr>
          <w:rFonts w:ascii="Times New Roman" w:hAnsi="Times New Roman" w:cs="Times New Roman"/>
        </w:rPr>
        <w:t xml:space="preserve"> effects </w:t>
      </w:r>
      <w:r w:rsidR="0037341C" w:rsidRPr="0089051B">
        <w:rPr>
          <w:rFonts w:ascii="Times New Roman" w:hAnsi="Times New Roman" w:cs="Times New Roman"/>
        </w:rPr>
        <w:t xml:space="preserve">directly </w:t>
      </w:r>
      <w:r w:rsidRPr="0089051B">
        <w:rPr>
          <w:rFonts w:ascii="Times New Roman" w:hAnsi="Times New Roman" w:cs="Times New Roman"/>
        </w:rPr>
        <w:t>upon national law</w:t>
      </w:r>
      <w:r w:rsidR="00566387" w:rsidRPr="0089051B">
        <w:rPr>
          <w:rFonts w:ascii="Times New Roman" w:hAnsi="Times New Roman" w:cs="Times New Roman"/>
        </w:rPr>
        <w:t>.</w:t>
      </w:r>
      <w:r w:rsidR="00566387" w:rsidRPr="0089051B">
        <w:rPr>
          <w:rStyle w:val="FootnoteReference"/>
          <w:rFonts w:ascii="Times New Roman" w:hAnsi="Times New Roman" w:cs="Times New Roman"/>
        </w:rPr>
        <w:footnoteReference w:id="37"/>
      </w:r>
      <w:r w:rsidR="00566387" w:rsidRPr="0089051B">
        <w:rPr>
          <w:rFonts w:ascii="Times New Roman" w:hAnsi="Times New Roman" w:cs="Times New Roman"/>
        </w:rPr>
        <w:t xml:space="preserve"> </w:t>
      </w:r>
    </w:p>
    <w:p w14:paraId="04C9F432" w14:textId="77777777" w:rsidR="00DD5FC8" w:rsidRPr="0089051B" w:rsidRDefault="00DD5FC8" w:rsidP="0061452E">
      <w:pPr>
        <w:jc w:val="both"/>
        <w:rPr>
          <w:rFonts w:ascii="Times New Roman" w:hAnsi="Times New Roman" w:cs="Times New Roman"/>
        </w:rPr>
      </w:pPr>
    </w:p>
    <w:p w14:paraId="52A9E586" w14:textId="64C84CA5" w:rsidR="00DD5FC8" w:rsidRPr="0089051B" w:rsidRDefault="00727EDA" w:rsidP="0061452E">
      <w:pPr>
        <w:jc w:val="both"/>
        <w:rPr>
          <w:rFonts w:ascii="Times New Roman" w:hAnsi="Times New Roman" w:cs="Times New Roman"/>
          <w:b/>
        </w:rPr>
      </w:pPr>
      <w:r w:rsidRPr="0089051B">
        <w:rPr>
          <w:rFonts w:ascii="Times New Roman" w:hAnsi="Times New Roman" w:cs="Times New Roman"/>
          <w:b/>
        </w:rPr>
        <w:t>3.</w:t>
      </w:r>
      <w:r w:rsidRPr="0089051B">
        <w:rPr>
          <w:rFonts w:ascii="Times New Roman" w:hAnsi="Times New Roman" w:cs="Times New Roman"/>
          <w:b/>
        </w:rPr>
        <w:tab/>
      </w:r>
      <w:r w:rsidR="008A3E2E" w:rsidRPr="0089051B">
        <w:rPr>
          <w:rFonts w:ascii="Times New Roman" w:hAnsi="Times New Roman" w:cs="Times New Roman"/>
          <w:b/>
        </w:rPr>
        <w:t xml:space="preserve">Challenges to the </w:t>
      </w:r>
      <w:r w:rsidR="00B81FD5" w:rsidRPr="0089051B">
        <w:rPr>
          <w:rFonts w:ascii="Times New Roman" w:hAnsi="Times New Roman" w:cs="Times New Roman"/>
          <w:b/>
        </w:rPr>
        <w:t>primacy</w:t>
      </w:r>
      <w:r w:rsidR="008A3E2E" w:rsidRPr="0089051B">
        <w:rPr>
          <w:rFonts w:ascii="Times New Roman" w:hAnsi="Times New Roman" w:cs="Times New Roman"/>
          <w:b/>
        </w:rPr>
        <w:t xml:space="preserve"> of Union law: addressing national concerns about the content of Union law and about the consequences of </w:t>
      </w:r>
      <w:r w:rsidR="00DD5FC8" w:rsidRPr="0089051B">
        <w:rPr>
          <w:rFonts w:ascii="Times New Roman" w:hAnsi="Times New Roman" w:cs="Times New Roman"/>
          <w:b/>
        </w:rPr>
        <w:t xml:space="preserve">disapplication </w:t>
      </w:r>
    </w:p>
    <w:p w14:paraId="5AD72AD5" w14:textId="77777777" w:rsidR="00DD5FC8" w:rsidRPr="0089051B" w:rsidRDefault="00DD5FC8" w:rsidP="0061452E">
      <w:pPr>
        <w:jc w:val="both"/>
        <w:rPr>
          <w:rFonts w:ascii="Times New Roman" w:hAnsi="Times New Roman" w:cs="Times New Roman"/>
        </w:rPr>
      </w:pPr>
    </w:p>
    <w:p w14:paraId="12E713B1" w14:textId="4497D413" w:rsidR="006E5E55" w:rsidRPr="0089051B" w:rsidRDefault="00B950B0" w:rsidP="0061452E">
      <w:pPr>
        <w:jc w:val="both"/>
        <w:rPr>
          <w:rFonts w:ascii="Times New Roman" w:hAnsi="Times New Roman" w:cs="Times New Roman"/>
        </w:rPr>
      </w:pPr>
      <w:r w:rsidRPr="0089051B">
        <w:rPr>
          <w:rFonts w:ascii="Times New Roman" w:hAnsi="Times New Roman" w:cs="Times New Roman"/>
        </w:rPr>
        <w:t xml:space="preserve">Understanding primacy essentially </w:t>
      </w:r>
      <w:r w:rsidR="0037341C" w:rsidRPr="0089051B">
        <w:rPr>
          <w:rFonts w:ascii="Times New Roman" w:hAnsi="Times New Roman" w:cs="Times New Roman"/>
        </w:rPr>
        <w:t xml:space="preserve">in terms of the </w:t>
      </w:r>
      <w:r w:rsidR="000B1040" w:rsidRPr="0089051B">
        <w:rPr>
          <w:rFonts w:ascii="Times New Roman" w:hAnsi="Times New Roman" w:cs="Times New Roman"/>
        </w:rPr>
        <w:t xml:space="preserve">remedy of disapplication </w:t>
      </w:r>
      <w:r w:rsidRPr="0089051B">
        <w:rPr>
          <w:rFonts w:ascii="Times New Roman" w:hAnsi="Times New Roman" w:cs="Times New Roman"/>
        </w:rPr>
        <w:t>has the potential to enhance our understanding of other constraints upon the full legal effects of Union law within the national legal systems.  In particular, we all know that senior domestic courts across the Member States have expressed various concerns about and objections to the authority of Union law; and that the Court has sought to respond to those challenges through a range of constitutional innovations and methodologies.</w:t>
      </w:r>
      <w:r w:rsidR="00FC66EA" w:rsidRPr="0089051B">
        <w:rPr>
          <w:rStyle w:val="FootnoteReference"/>
          <w:rFonts w:ascii="Times New Roman" w:hAnsi="Times New Roman" w:cs="Times New Roman"/>
        </w:rPr>
        <w:footnoteReference w:id="38"/>
      </w:r>
      <w:r w:rsidRPr="0089051B">
        <w:rPr>
          <w:rFonts w:ascii="Times New Roman" w:hAnsi="Times New Roman" w:cs="Times New Roman"/>
        </w:rPr>
        <w:t xml:space="preserve">  Such “</w:t>
      </w:r>
      <w:r w:rsidR="00B81FD5" w:rsidRPr="0089051B">
        <w:rPr>
          <w:rFonts w:ascii="Times New Roman" w:hAnsi="Times New Roman" w:cs="Times New Roman"/>
        </w:rPr>
        <w:t>primacy</w:t>
      </w:r>
      <w:r w:rsidRPr="0089051B">
        <w:rPr>
          <w:rFonts w:ascii="Times New Roman" w:hAnsi="Times New Roman" w:cs="Times New Roman"/>
        </w:rPr>
        <w:t xml:space="preserve"> disputes” can usefully be divided into two main categories.   </w:t>
      </w:r>
    </w:p>
    <w:p w14:paraId="5B1CD22A" w14:textId="6D65EE3C" w:rsidR="006E5E55" w:rsidRPr="0089051B" w:rsidRDefault="00F56784" w:rsidP="006E5E55">
      <w:pPr>
        <w:ind w:firstLine="720"/>
        <w:jc w:val="both"/>
        <w:rPr>
          <w:rFonts w:ascii="Times New Roman" w:hAnsi="Times New Roman" w:cs="Times New Roman"/>
        </w:rPr>
      </w:pPr>
      <w:r w:rsidRPr="0089051B">
        <w:rPr>
          <w:rFonts w:ascii="Times New Roman" w:hAnsi="Times New Roman" w:cs="Times New Roman"/>
        </w:rPr>
        <w:t xml:space="preserve">The first category involves </w:t>
      </w:r>
      <w:r w:rsidR="0091427D" w:rsidRPr="0089051B">
        <w:rPr>
          <w:rFonts w:ascii="Times New Roman" w:hAnsi="Times New Roman" w:cs="Times New Roman"/>
        </w:rPr>
        <w:t xml:space="preserve">national </w:t>
      </w:r>
      <w:r w:rsidRPr="0089051B">
        <w:rPr>
          <w:rFonts w:ascii="Times New Roman" w:hAnsi="Times New Roman" w:cs="Times New Roman"/>
        </w:rPr>
        <w:t>judicial objections</w:t>
      </w:r>
      <w:r w:rsidR="0091427D" w:rsidRPr="0089051B">
        <w:rPr>
          <w:rFonts w:ascii="Times New Roman" w:hAnsi="Times New Roman" w:cs="Times New Roman"/>
        </w:rPr>
        <w:t xml:space="preserve"> to </w:t>
      </w:r>
      <w:r w:rsidR="008512BA" w:rsidRPr="0089051B">
        <w:rPr>
          <w:rFonts w:ascii="Times New Roman" w:hAnsi="Times New Roman" w:cs="Times New Roman"/>
        </w:rPr>
        <w:t xml:space="preserve">a particular </w:t>
      </w:r>
      <w:r w:rsidR="0026751E" w:rsidRPr="0089051B">
        <w:rPr>
          <w:rFonts w:ascii="Times New Roman" w:hAnsi="Times New Roman" w:cs="Times New Roman"/>
        </w:rPr>
        <w:t>obligation</w:t>
      </w:r>
      <w:r w:rsidR="008512BA" w:rsidRPr="0089051B">
        <w:rPr>
          <w:rFonts w:ascii="Times New Roman" w:hAnsi="Times New Roman" w:cs="Times New Roman"/>
        </w:rPr>
        <w:t xml:space="preserve"> created or arising under </w:t>
      </w:r>
      <w:r w:rsidR="00B950B0" w:rsidRPr="0089051B">
        <w:rPr>
          <w:rFonts w:ascii="Times New Roman" w:hAnsi="Times New Roman" w:cs="Times New Roman"/>
        </w:rPr>
        <w:t xml:space="preserve">the Treaties </w:t>
      </w:r>
      <w:r w:rsidR="008512BA" w:rsidRPr="0089051B">
        <w:rPr>
          <w:rFonts w:ascii="Times New Roman" w:hAnsi="Times New Roman" w:cs="Times New Roman"/>
        </w:rPr>
        <w:t xml:space="preserve">on the basis that the disputed Union </w:t>
      </w:r>
      <w:r w:rsidR="008512BA" w:rsidRPr="0089051B">
        <w:rPr>
          <w:rFonts w:ascii="Times New Roman" w:hAnsi="Times New Roman" w:cs="Times New Roman"/>
        </w:rPr>
        <w:lastRenderedPageBreak/>
        <w:t xml:space="preserve">act is alleged </w:t>
      </w:r>
      <w:r w:rsidR="00B950B0" w:rsidRPr="0089051B">
        <w:rPr>
          <w:rFonts w:ascii="Times New Roman" w:hAnsi="Times New Roman" w:cs="Times New Roman"/>
        </w:rPr>
        <w:t xml:space="preserve">(for example) </w:t>
      </w:r>
      <w:r w:rsidR="008512BA" w:rsidRPr="0089051B">
        <w:rPr>
          <w:rFonts w:ascii="Times New Roman" w:hAnsi="Times New Roman" w:cs="Times New Roman"/>
        </w:rPr>
        <w:t xml:space="preserve">to exceed the competences legitimately conferred upon the Union </w:t>
      </w:r>
      <w:r w:rsidR="007253B4" w:rsidRPr="0089051B">
        <w:rPr>
          <w:rFonts w:ascii="Times New Roman" w:hAnsi="Times New Roman" w:cs="Times New Roman"/>
        </w:rPr>
        <w:t xml:space="preserve">institutions </w:t>
      </w:r>
      <w:r w:rsidR="008512BA" w:rsidRPr="0089051B">
        <w:rPr>
          <w:rFonts w:ascii="Times New Roman" w:hAnsi="Times New Roman" w:cs="Times New Roman"/>
        </w:rPr>
        <w:t xml:space="preserve">by the Member State; or to impinge upon fundamental rights in a manner which would not be tolerated under purely </w:t>
      </w:r>
      <w:r w:rsidR="003B570F" w:rsidRPr="0089051B">
        <w:rPr>
          <w:rFonts w:ascii="Times New Roman" w:hAnsi="Times New Roman" w:cs="Times New Roman"/>
        </w:rPr>
        <w:t>domestic</w:t>
      </w:r>
      <w:r w:rsidR="008512BA" w:rsidRPr="0089051B">
        <w:rPr>
          <w:rFonts w:ascii="Times New Roman" w:hAnsi="Times New Roman" w:cs="Times New Roman"/>
        </w:rPr>
        <w:t xml:space="preserve"> law</w:t>
      </w:r>
      <w:r w:rsidR="000A247D" w:rsidRPr="0089051B">
        <w:rPr>
          <w:rFonts w:ascii="Times New Roman" w:hAnsi="Times New Roman" w:cs="Times New Roman"/>
        </w:rPr>
        <w:t xml:space="preserve">; or </w:t>
      </w:r>
      <w:r w:rsidR="00B950B0" w:rsidRPr="0089051B">
        <w:rPr>
          <w:rFonts w:ascii="Times New Roman" w:hAnsi="Times New Roman" w:cs="Times New Roman"/>
        </w:rPr>
        <w:t xml:space="preserve">to impact </w:t>
      </w:r>
      <w:r w:rsidR="000A247D" w:rsidRPr="0089051B">
        <w:rPr>
          <w:rFonts w:ascii="Times New Roman" w:hAnsi="Times New Roman" w:cs="Times New Roman"/>
        </w:rPr>
        <w:t>unduly upon national choices in particularly sensitive policy fields</w:t>
      </w:r>
      <w:r w:rsidR="0091427D" w:rsidRPr="0089051B">
        <w:rPr>
          <w:rFonts w:ascii="Times New Roman" w:hAnsi="Times New Roman" w:cs="Times New Roman"/>
        </w:rPr>
        <w:t>.</w:t>
      </w:r>
      <w:r w:rsidR="000A247D" w:rsidRPr="0089051B">
        <w:rPr>
          <w:rFonts w:ascii="Times New Roman" w:hAnsi="Times New Roman" w:cs="Times New Roman"/>
        </w:rPr>
        <w:t xml:space="preserve">  Evidently, that description applies to many of the most familiar debates and examples involving national judicial challenges to the authority of Union law – including the tripartite grounds for reviewing the legal effects of Union acts (ultra vires, fundamental rights and national identity) which have been developed within Germany by the Federal Constitutional Court but also widely adopted / adapted across various other Member States.</w:t>
      </w:r>
      <w:r w:rsidR="000A247D" w:rsidRPr="0089051B">
        <w:rPr>
          <w:rStyle w:val="FootnoteReference"/>
          <w:rFonts w:ascii="Times New Roman" w:hAnsi="Times New Roman" w:cs="Times New Roman"/>
        </w:rPr>
        <w:footnoteReference w:id="39"/>
      </w:r>
      <w:r w:rsidR="000A247D" w:rsidRPr="0089051B">
        <w:rPr>
          <w:rFonts w:ascii="Times New Roman" w:hAnsi="Times New Roman" w:cs="Times New Roman"/>
        </w:rPr>
        <w:t xml:space="preserve">  </w:t>
      </w:r>
    </w:p>
    <w:p w14:paraId="486E20B7" w14:textId="1DA5C085" w:rsidR="006E5E55" w:rsidRPr="0089051B" w:rsidRDefault="006E5E55" w:rsidP="006E5E55">
      <w:pPr>
        <w:ind w:firstLine="720"/>
        <w:jc w:val="both"/>
        <w:rPr>
          <w:rFonts w:ascii="Times New Roman" w:hAnsi="Times New Roman" w:cs="Times New Roman"/>
        </w:rPr>
      </w:pPr>
      <w:r w:rsidRPr="0089051B">
        <w:rPr>
          <w:rFonts w:ascii="Times New Roman" w:hAnsi="Times New Roman" w:cs="Times New Roman"/>
        </w:rPr>
        <w:t>T</w:t>
      </w:r>
      <w:r w:rsidR="000A247D" w:rsidRPr="0089051B">
        <w:rPr>
          <w:rFonts w:ascii="Times New Roman" w:hAnsi="Times New Roman" w:cs="Times New Roman"/>
        </w:rPr>
        <w:t xml:space="preserve">hose debates and examples may well routinely be conceived, understood and expressed in terms of the fundamental constitutional relationship between the Union and its Member States and of the (more or less contingent) status of the principle of </w:t>
      </w:r>
      <w:r w:rsidR="00B950B0" w:rsidRPr="0089051B">
        <w:rPr>
          <w:rFonts w:ascii="Times New Roman" w:hAnsi="Times New Roman" w:cs="Times New Roman"/>
        </w:rPr>
        <w:t xml:space="preserve">primacy </w:t>
      </w:r>
      <w:r w:rsidR="000A247D" w:rsidRPr="0089051B">
        <w:rPr>
          <w:rFonts w:ascii="Times New Roman" w:hAnsi="Times New Roman" w:cs="Times New Roman"/>
        </w:rPr>
        <w:t>within the national legal system.</w:t>
      </w:r>
      <w:r w:rsidR="004E66A0" w:rsidRPr="0089051B">
        <w:rPr>
          <w:rStyle w:val="FootnoteReference"/>
          <w:rFonts w:ascii="Times New Roman" w:hAnsi="Times New Roman" w:cs="Times New Roman"/>
        </w:rPr>
        <w:footnoteReference w:id="40"/>
      </w:r>
      <w:r w:rsidR="000A247D" w:rsidRPr="0089051B">
        <w:rPr>
          <w:rFonts w:ascii="Times New Roman" w:hAnsi="Times New Roman" w:cs="Times New Roman"/>
        </w:rPr>
        <w:t xml:space="preserve">  </w:t>
      </w:r>
      <w:r w:rsidR="00B950B0" w:rsidRPr="0089051B">
        <w:rPr>
          <w:rFonts w:ascii="Times New Roman" w:hAnsi="Times New Roman" w:cs="Times New Roman"/>
        </w:rPr>
        <w:t xml:space="preserve">But </w:t>
      </w:r>
      <w:r w:rsidR="00936D6B" w:rsidRPr="0089051B">
        <w:rPr>
          <w:rFonts w:ascii="Times New Roman" w:hAnsi="Times New Roman" w:cs="Times New Roman"/>
        </w:rPr>
        <w:t>this category of “</w:t>
      </w:r>
      <w:r w:rsidR="00B81FD5" w:rsidRPr="0089051B">
        <w:rPr>
          <w:rFonts w:ascii="Times New Roman" w:hAnsi="Times New Roman" w:cs="Times New Roman"/>
        </w:rPr>
        <w:t>primacy</w:t>
      </w:r>
      <w:r w:rsidR="00936D6B" w:rsidRPr="0089051B">
        <w:rPr>
          <w:rFonts w:ascii="Times New Roman" w:hAnsi="Times New Roman" w:cs="Times New Roman"/>
        </w:rPr>
        <w:t xml:space="preserve"> dispute” derives essentially from substantive objections to the nature and / or content of particular Union acts or obligations: their vires, scope, impact, severity or sensitivity.  If such substantive Union obligations were accepted at face value, that would provoke a situation of incompatibility with domestic law.  If such incompatibility were then translated from abstract terms into practical consequences, it could lead to disapplication of the relevant national measures.  To avoid that ultimate outcome, the national court must refuse to recognise</w:t>
      </w:r>
      <w:r w:rsidR="00FC66EA" w:rsidRPr="0089051B">
        <w:rPr>
          <w:rFonts w:ascii="Times New Roman" w:hAnsi="Times New Roman" w:cs="Times New Roman"/>
        </w:rPr>
        <w:t>:</w:t>
      </w:r>
      <w:r w:rsidR="00936D6B" w:rsidRPr="0089051B">
        <w:rPr>
          <w:rFonts w:ascii="Times New Roman" w:hAnsi="Times New Roman" w:cs="Times New Roman"/>
        </w:rPr>
        <w:t xml:space="preserve"> either that the relevant Union act is a cognisable source of rights and obligations within the domestic legal system (on the grounds that it is not a valid exercise of the Union’s own competences or at least not a valid exercise of Union competence in relation to that Member State); or that the relevant Union act is entitled to benefit from a conflict resolution principle that would allow </w:t>
      </w:r>
      <w:r w:rsidR="006C7B43" w:rsidRPr="0089051B">
        <w:rPr>
          <w:rFonts w:ascii="Times New Roman" w:hAnsi="Times New Roman" w:cs="Times New Roman"/>
        </w:rPr>
        <w:t xml:space="preserve">it </w:t>
      </w:r>
      <w:r w:rsidR="00936D6B" w:rsidRPr="0089051B">
        <w:rPr>
          <w:rFonts w:ascii="Times New Roman" w:hAnsi="Times New Roman" w:cs="Times New Roman"/>
        </w:rPr>
        <w:t xml:space="preserve">to take priority over incompatible provisions of purely national provenance.  </w:t>
      </w:r>
      <w:r w:rsidR="006C7B43" w:rsidRPr="0089051B">
        <w:rPr>
          <w:rFonts w:ascii="Times New Roman" w:hAnsi="Times New Roman" w:cs="Times New Roman"/>
        </w:rPr>
        <w:t xml:space="preserve">However any given national court choses to formulate its precise resolution of the problem within the framework of its domestic constitutional system, the analysis nevertheless remains the same: </w:t>
      </w:r>
      <w:r w:rsidR="00936D6B" w:rsidRPr="0089051B">
        <w:rPr>
          <w:rFonts w:ascii="Times New Roman" w:hAnsi="Times New Roman" w:cs="Times New Roman"/>
        </w:rPr>
        <w:t xml:space="preserve">the underlying objection </w:t>
      </w:r>
      <w:r w:rsidR="006C7B43" w:rsidRPr="0089051B">
        <w:rPr>
          <w:rFonts w:ascii="Times New Roman" w:hAnsi="Times New Roman" w:cs="Times New Roman"/>
        </w:rPr>
        <w:t>is</w:t>
      </w:r>
      <w:r w:rsidR="00936D6B" w:rsidRPr="0089051B">
        <w:rPr>
          <w:rFonts w:ascii="Times New Roman" w:hAnsi="Times New Roman" w:cs="Times New Roman"/>
        </w:rPr>
        <w:t xml:space="preserve"> of a substantive nature</w:t>
      </w:r>
      <w:r w:rsidR="006C7B43" w:rsidRPr="0089051B">
        <w:rPr>
          <w:rFonts w:ascii="Times New Roman" w:hAnsi="Times New Roman" w:cs="Times New Roman"/>
        </w:rPr>
        <w:t xml:space="preserve">; the domestic judges are searching, from among the tools at their disposal, for the most suitable legal means to give concrete expression to </w:t>
      </w:r>
      <w:r w:rsidR="00FF1A24" w:rsidRPr="0089051B">
        <w:rPr>
          <w:rFonts w:ascii="Times New Roman" w:hAnsi="Times New Roman" w:cs="Times New Roman"/>
        </w:rPr>
        <w:t>that</w:t>
      </w:r>
      <w:r w:rsidR="006C7B43" w:rsidRPr="0089051B">
        <w:rPr>
          <w:rFonts w:ascii="Times New Roman" w:hAnsi="Times New Roman" w:cs="Times New Roman"/>
        </w:rPr>
        <w:t xml:space="preserve"> logically prior disagreement about the nature / content of Union law relative to national law; </w:t>
      </w:r>
      <w:r w:rsidR="00936D6B" w:rsidRPr="0089051B">
        <w:rPr>
          <w:rFonts w:ascii="Times New Roman" w:hAnsi="Times New Roman" w:cs="Times New Roman"/>
        </w:rPr>
        <w:t xml:space="preserve">only as a consequence of and as a </w:t>
      </w:r>
      <w:r w:rsidR="00FF1A24" w:rsidRPr="0089051B">
        <w:rPr>
          <w:rFonts w:ascii="Times New Roman" w:hAnsi="Times New Roman" w:cs="Times New Roman"/>
        </w:rPr>
        <w:t>vehicle</w:t>
      </w:r>
      <w:r w:rsidR="006C7B43" w:rsidRPr="0089051B">
        <w:rPr>
          <w:rFonts w:ascii="Times New Roman" w:hAnsi="Times New Roman" w:cs="Times New Roman"/>
        </w:rPr>
        <w:t xml:space="preserve"> </w:t>
      </w:r>
      <w:r w:rsidR="00936D6B" w:rsidRPr="0089051B">
        <w:rPr>
          <w:rFonts w:ascii="Times New Roman" w:hAnsi="Times New Roman" w:cs="Times New Roman"/>
        </w:rPr>
        <w:t xml:space="preserve">for </w:t>
      </w:r>
      <w:proofErr w:type="spellStart"/>
      <w:r w:rsidR="00FF1A24" w:rsidRPr="0089051B">
        <w:rPr>
          <w:rFonts w:ascii="Times New Roman" w:hAnsi="Times New Roman" w:cs="Times New Roman"/>
        </w:rPr>
        <w:t>operationalising</w:t>
      </w:r>
      <w:proofErr w:type="spellEnd"/>
      <w:r w:rsidR="00FF1A24" w:rsidRPr="0089051B">
        <w:rPr>
          <w:rFonts w:ascii="Times New Roman" w:hAnsi="Times New Roman" w:cs="Times New Roman"/>
        </w:rPr>
        <w:t xml:space="preserve"> their </w:t>
      </w:r>
      <w:r w:rsidR="00936D6B" w:rsidRPr="0089051B">
        <w:rPr>
          <w:rFonts w:ascii="Times New Roman" w:hAnsi="Times New Roman" w:cs="Times New Roman"/>
        </w:rPr>
        <w:t xml:space="preserve">concerns, might </w:t>
      </w:r>
      <w:r w:rsidR="00FF1A24" w:rsidRPr="0089051B">
        <w:rPr>
          <w:rFonts w:ascii="Times New Roman" w:hAnsi="Times New Roman" w:cs="Times New Roman"/>
        </w:rPr>
        <w:t>a</w:t>
      </w:r>
      <w:r w:rsidR="00936D6B" w:rsidRPr="0089051B">
        <w:rPr>
          <w:rFonts w:ascii="Times New Roman" w:hAnsi="Times New Roman" w:cs="Times New Roman"/>
        </w:rPr>
        <w:t xml:space="preserve"> national court </w:t>
      </w:r>
      <w:r w:rsidR="00936D6B" w:rsidRPr="0089051B">
        <w:rPr>
          <w:rFonts w:ascii="Times New Roman" w:hAnsi="Times New Roman" w:cs="Times New Roman"/>
        </w:rPr>
        <w:lastRenderedPageBreak/>
        <w:t xml:space="preserve">eventually resist the purported </w:t>
      </w:r>
      <w:r w:rsidR="00B81FD5" w:rsidRPr="0089051B">
        <w:rPr>
          <w:rFonts w:ascii="Times New Roman" w:hAnsi="Times New Roman" w:cs="Times New Roman"/>
        </w:rPr>
        <w:t>primacy</w:t>
      </w:r>
      <w:r w:rsidR="00936D6B" w:rsidRPr="0089051B">
        <w:rPr>
          <w:rFonts w:ascii="Times New Roman" w:hAnsi="Times New Roman" w:cs="Times New Roman"/>
        </w:rPr>
        <w:t xml:space="preserve"> of the disputed Union act and propose to restrict availability of the remedy of disapplication.</w:t>
      </w:r>
      <w:r w:rsidR="006C7B43" w:rsidRPr="0089051B">
        <w:rPr>
          <w:rFonts w:ascii="Times New Roman" w:hAnsi="Times New Roman" w:cs="Times New Roman"/>
        </w:rPr>
        <w:t xml:space="preserve">  </w:t>
      </w:r>
    </w:p>
    <w:p w14:paraId="2CBC3430" w14:textId="523B5D68" w:rsidR="006E5E55" w:rsidRPr="0089051B" w:rsidRDefault="006C7B43" w:rsidP="006E5E55">
      <w:pPr>
        <w:ind w:firstLine="720"/>
        <w:jc w:val="both"/>
        <w:rPr>
          <w:rFonts w:ascii="Times New Roman" w:hAnsi="Times New Roman" w:cs="Times New Roman"/>
        </w:rPr>
      </w:pPr>
      <w:r w:rsidRPr="0089051B">
        <w:rPr>
          <w:rFonts w:ascii="Times New Roman" w:hAnsi="Times New Roman" w:cs="Times New Roman"/>
        </w:rPr>
        <w:t>So these are “</w:t>
      </w:r>
      <w:r w:rsidR="00B81FD5" w:rsidRPr="0089051B">
        <w:rPr>
          <w:rFonts w:ascii="Times New Roman" w:hAnsi="Times New Roman" w:cs="Times New Roman"/>
        </w:rPr>
        <w:t>primacy</w:t>
      </w:r>
      <w:r w:rsidRPr="0089051B">
        <w:rPr>
          <w:rFonts w:ascii="Times New Roman" w:hAnsi="Times New Roman" w:cs="Times New Roman"/>
        </w:rPr>
        <w:t xml:space="preserve"> disputes” only incidentally and by necessity</w:t>
      </w:r>
      <w:r w:rsidR="0045168A" w:rsidRPr="0089051B">
        <w:rPr>
          <w:rFonts w:ascii="Times New Roman" w:hAnsi="Times New Roman" w:cs="Times New Roman"/>
        </w:rPr>
        <w:t>:</w:t>
      </w:r>
      <w:r w:rsidR="001144B9" w:rsidRPr="0089051B">
        <w:rPr>
          <w:rFonts w:ascii="Times New Roman" w:hAnsi="Times New Roman" w:cs="Times New Roman"/>
        </w:rPr>
        <w:t xml:space="preserve"> the core </w:t>
      </w:r>
      <w:r w:rsidR="00FF1A24" w:rsidRPr="0089051B">
        <w:rPr>
          <w:rFonts w:ascii="Times New Roman" w:hAnsi="Times New Roman" w:cs="Times New Roman"/>
        </w:rPr>
        <w:t>problem</w:t>
      </w:r>
      <w:r w:rsidR="001144B9" w:rsidRPr="0089051B">
        <w:rPr>
          <w:rFonts w:ascii="Times New Roman" w:hAnsi="Times New Roman" w:cs="Times New Roman"/>
        </w:rPr>
        <w:t>s</w:t>
      </w:r>
      <w:r w:rsidRPr="0089051B">
        <w:rPr>
          <w:rFonts w:ascii="Times New Roman" w:hAnsi="Times New Roman" w:cs="Times New Roman"/>
        </w:rPr>
        <w:t xml:space="preserve"> </w:t>
      </w:r>
      <w:r w:rsidR="0045168A" w:rsidRPr="0089051B">
        <w:rPr>
          <w:rFonts w:ascii="Times New Roman" w:hAnsi="Times New Roman" w:cs="Times New Roman"/>
        </w:rPr>
        <w:t xml:space="preserve">are </w:t>
      </w:r>
      <w:r w:rsidR="001144B9" w:rsidRPr="0089051B">
        <w:rPr>
          <w:rFonts w:ascii="Times New Roman" w:hAnsi="Times New Roman" w:cs="Times New Roman"/>
        </w:rPr>
        <w:t xml:space="preserve">neither </w:t>
      </w:r>
      <w:r w:rsidRPr="0089051B">
        <w:rPr>
          <w:rFonts w:ascii="Times New Roman" w:hAnsi="Times New Roman" w:cs="Times New Roman"/>
        </w:rPr>
        <w:t xml:space="preserve">caused by the </w:t>
      </w:r>
      <w:r w:rsidR="00FF1A24" w:rsidRPr="0089051B">
        <w:rPr>
          <w:rFonts w:ascii="Times New Roman" w:hAnsi="Times New Roman" w:cs="Times New Roman"/>
        </w:rPr>
        <w:t>principle of primacy per se</w:t>
      </w:r>
      <w:r w:rsidR="00F87C25">
        <w:rPr>
          <w:rFonts w:ascii="Times New Roman" w:hAnsi="Times New Roman" w:cs="Times New Roman"/>
        </w:rPr>
        <w:t>;</w:t>
      </w:r>
      <w:r w:rsidR="00FF1A24" w:rsidRPr="0089051B">
        <w:rPr>
          <w:rFonts w:ascii="Times New Roman" w:hAnsi="Times New Roman" w:cs="Times New Roman"/>
        </w:rPr>
        <w:t xml:space="preserve"> </w:t>
      </w:r>
      <w:r w:rsidR="001144B9" w:rsidRPr="0089051B">
        <w:rPr>
          <w:rFonts w:ascii="Times New Roman" w:hAnsi="Times New Roman" w:cs="Times New Roman"/>
        </w:rPr>
        <w:t>n</w:t>
      </w:r>
      <w:r w:rsidR="00FF1A24" w:rsidRPr="0089051B">
        <w:rPr>
          <w:rFonts w:ascii="Times New Roman" w:hAnsi="Times New Roman" w:cs="Times New Roman"/>
        </w:rPr>
        <w:t xml:space="preserve">or </w:t>
      </w:r>
      <w:r w:rsidR="001144B9" w:rsidRPr="0089051B">
        <w:rPr>
          <w:rFonts w:ascii="Times New Roman" w:hAnsi="Times New Roman" w:cs="Times New Roman"/>
        </w:rPr>
        <w:t xml:space="preserve">attributable to the </w:t>
      </w:r>
      <w:r w:rsidR="00A0494C" w:rsidRPr="0089051B">
        <w:rPr>
          <w:rFonts w:ascii="Times New Roman" w:hAnsi="Times New Roman" w:cs="Times New Roman"/>
        </w:rPr>
        <w:t xml:space="preserve">specific </w:t>
      </w:r>
      <w:r w:rsidR="001144B9" w:rsidRPr="0089051B">
        <w:rPr>
          <w:rFonts w:ascii="Times New Roman" w:hAnsi="Times New Roman" w:cs="Times New Roman"/>
        </w:rPr>
        <w:t xml:space="preserve">workings of its </w:t>
      </w:r>
      <w:r w:rsidR="00FF1A24" w:rsidRPr="0089051B">
        <w:rPr>
          <w:rFonts w:ascii="Times New Roman" w:hAnsi="Times New Roman" w:cs="Times New Roman"/>
        </w:rPr>
        <w:t>remedy of disapplication</w:t>
      </w:r>
      <w:r w:rsidR="0045168A" w:rsidRPr="0089051B">
        <w:rPr>
          <w:rFonts w:ascii="Times New Roman" w:hAnsi="Times New Roman" w:cs="Times New Roman"/>
        </w:rPr>
        <w:t xml:space="preserve">; </w:t>
      </w:r>
      <w:r w:rsidR="00F87C25">
        <w:rPr>
          <w:rFonts w:ascii="Times New Roman" w:hAnsi="Times New Roman" w:cs="Times New Roman"/>
        </w:rPr>
        <w:t xml:space="preserve">and </w:t>
      </w:r>
      <w:r w:rsidR="0045168A" w:rsidRPr="0089051B">
        <w:rPr>
          <w:rFonts w:ascii="Times New Roman" w:hAnsi="Times New Roman" w:cs="Times New Roman"/>
        </w:rPr>
        <w:t>the controversy over primacy is effectively a proxy for debating the fullness of Union membership</w:t>
      </w:r>
      <w:r w:rsidR="00FF1A24" w:rsidRPr="0089051B">
        <w:rPr>
          <w:rFonts w:ascii="Times New Roman" w:hAnsi="Times New Roman" w:cs="Times New Roman"/>
        </w:rPr>
        <w:t xml:space="preserve">.  And it is worth </w:t>
      </w:r>
      <w:r w:rsidR="00A0494C" w:rsidRPr="0089051B">
        <w:rPr>
          <w:rFonts w:ascii="Times New Roman" w:hAnsi="Times New Roman" w:cs="Times New Roman"/>
        </w:rPr>
        <w:t>stressing</w:t>
      </w:r>
      <w:r w:rsidR="00FF1A24" w:rsidRPr="0089051B">
        <w:rPr>
          <w:rFonts w:ascii="Times New Roman" w:hAnsi="Times New Roman" w:cs="Times New Roman"/>
        </w:rPr>
        <w:t xml:space="preserve"> that such </w:t>
      </w:r>
      <w:r w:rsidR="00936D6B" w:rsidRPr="0089051B">
        <w:rPr>
          <w:rFonts w:ascii="Times New Roman" w:hAnsi="Times New Roman" w:cs="Times New Roman"/>
        </w:rPr>
        <w:t>national challenges to the authority of Union law are so significant precisely because they are so infrequent.</w:t>
      </w:r>
      <w:r w:rsidR="00FF1A24" w:rsidRPr="0089051B">
        <w:rPr>
          <w:rFonts w:ascii="Times New Roman" w:hAnsi="Times New Roman" w:cs="Times New Roman"/>
        </w:rPr>
        <w:t xml:space="preserve">  That is partly due to the restraint of the domestic courts themselves: the latter </w:t>
      </w:r>
      <w:r w:rsidR="00B375CC" w:rsidRPr="0089051B">
        <w:rPr>
          <w:rFonts w:ascii="Times New Roman" w:hAnsi="Times New Roman" w:cs="Times New Roman"/>
        </w:rPr>
        <w:t xml:space="preserve">never </w:t>
      </w:r>
      <w:r w:rsidR="00FF1A24" w:rsidRPr="0089051B">
        <w:rPr>
          <w:rFonts w:ascii="Times New Roman" w:hAnsi="Times New Roman" w:cs="Times New Roman"/>
        </w:rPr>
        <w:t xml:space="preserve">purport </w:t>
      </w:r>
      <w:r w:rsidR="00B375CC" w:rsidRPr="0089051B">
        <w:rPr>
          <w:rFonts w:ascii="Times New Roman" w:hAnsi="Times New Roman" w:cs="Times New Roman"/>
        </w:rPr>
        <w:t>systematic</w:t>
      </w:r>
      <w:r w:rsidR="00FF1A24" w:rsidRPr="0089051B">
        <w:rPr>
          <w:rFonts w:ascii="Times New Roman" w:hAnsi="Times New Roman" w:cs="Times New Roman"/>
        </w:rPr>
        <w:t>ally to reject</w:t>
      </w:r>
      <w:r w:rsidR="00B375CC" w:rsidRPr="0089051B">
        <w:rPr>
          <w:rFonts w:ascii="Times New Roman" w:hAnsi="Times New Roman" w:cs="Times New Roman"/>
        </w:rPr>
        <w:t xml:space="preserve"> either the overall obligations deriving from Union membership or the general proposition that those obligations should </w:t>
      </w:r>
      <w:r w:rsidR="00CC1F6F" w:rsidRPr="0089051B">
        <w:rPr>
          <w:rFonts w:ascii="Times New Roman" w:hAnsi="Times New Roman" w:cs="Times New Roman"/>
        </w:rPr>
        <w:t>ordinarily</w:t>
      </w:r>
      <w:r w:rsidR="00B375CC" w:rsidRPr="0089051B">
        <w:rPr>
          <w:rFonts w:ascii="Times New Roman" w:hAnsi="Times New Roman" w:cs="Times New Roman"/>
        </w:rPr>
        <w:t xml:space="preserve"> take priority in the event of incompatibility with purely national law.</w:t>
      </w:r>
      <w:r w:rsidR="00B81FD5" w:rsidRPr="0089051B">
        <w:rPr>
          <w:rStyle w:val="FootnoteReference"/>
          <w:rFonts w:ascii="Times New Roman" w:hAnsi="Times New Roman" w:cs="Times New Roman"/>
        </w:rPr>
        <w:footnoteReference w:id="41"/>
      </w:r>
      <w:r w:rsidR="00186C86" w:rsidRPr="0089051B">
        <w:rPr>
          <w:rFonts w:ascii="Times New Roman" w:hAnsi="Times New Roman" w:cs="Times New Roman"/>
        </w:rPr>
        <w:t xml:space="preserve">  </w:t>
      </w:r>
      <w:r w:rsidR="00FF1A24" w:rsidRPr="0089051B">
        <w:rPr>
          <w:rFonts w:ascii="Times New Roman" w:hAnsi="Times New Roman" w:cs="Times New Roman"/>
        </w:rPr>
        <w:t>But the only-intermittent nature of these “</w:t>
      </w:r>
      <w:r w:rsidR="00B81FD5" w:rsidRPr="0089051B">
        <w:rPr>
          <w:rFonts w:ascii="Times New Roman" w:hAnsi="Times New Roman" w:cs="Times New Roman"/>
        </w:rPr>
        <w:t>primacy</w:t>
      </w:r>
      <w:r w:rsidR="00FF1A24" w:rsidRPr="0089051B">
        <w:rPr>
          <w:rFonts w:ascii="Times New Roman" w:hAnsi="Times New Roman" w:cs="Times New Roman"/>
        </w:rPr>
        <w:t xml:space="preserve"> disputes” </w:t>
      </w:r>
      <w:r w:rsidR="001144B9" w:rsidRPr="0089051B">
        <w:rPr>
          <w:rFonts w:ascii="Times New Roman" w:hAnsi="Times New Roman" w:cs="Times New Roman"/>
        </w:rPr>
        <w:t xml:space="preserve">can </w:t>
      </w:r>
      <w:r w:rsidR="00FF1A24" w:rsidRPr="0089051B">
        <w:rPr>
          <w:rFonts w:ascii="Times New Roman" w:hAnsi="Times New Roman" w:cs="Times New Roman"/>
        </w:rPr>
        <w:t xml:space="preserve">also </w:t>
      </w:r>
      <w:r w:rsidR="001144B9" w:rsidRPr="0089051B">
        <w:rPr>
          <w:rFonts w:ascii="Times New Roman" w:hAnsi="Times New Roman" w:cs="Times New Roman"/>
        </w:rPr>
        <w:t xml:space="preserve">be credited to </w:t>
      </w:r>
      <w:r w:rsidR="00FF1A24" w:rsidRPr="0089051B">
        <w:rPr>
          <w:rFonts w:ascii="Times New Roman" w:hAnsi="Times New Roman" w:cs="Times New Roman"/>
        </w:rPr>
        <w:t xml:space="preserve">the </w:t>
      </w:r>
      <w:r w:rsidR="001144B9" w:rsidRPr="0089051B">
        <w:rPr>
          <w:rFonts w:ascii="Times New Roman" w:hAnsi="Times New Roman" w:cs="Times New Roman"/>
        </w:rPr>
        <w:t>Court’s own methodology for responding to them.  In particular, the Court</w:t>
      </w:r>
      <w:r w:rsidR="0091427D" w:rsidRPr="0089051B">
        <w:rPr>
          <w:rFonts w:ascii="Times New Roman" w:hAnsi="Times New Roman" w:cs="Times New Roman"/>
        </w:rPr>
        <w:t xml:space="preserve"> </w:t>
      </w:r>
      <w:r w:rsidR="00A0494C" w:rsidRPr="0089051B">
        <w:rPr>
          <w:rFonts w:ascii="Times New Roman" w:hAnsi="Times New Roman" w:cs="Times New Roman"/>
        </w:rPr>
        <w:t>seeks to “internalise</w:t>
      </w:r>
      <w:r w:rsidR="0091427D" w:rsidRPr="0089051B">
        <w:rPr>
          <w:rFonts w:ascii="Times New Roman" w:hAnsi="Times New Roman" w:cs="Times New Roman"/>
        </w:rPr>
        <w:t xml:space="preserve">” </w:t>
      </w:r>
      <w:r w:rsidR="00A0494C" w:rsidRPr="0089051B">
        <w:rPr>
          <w:rFonts w:ascii="Times New Roman" w:hAnsi="Times New Roman" w:cs="Times New Roman"/>
        </w:rPr>
        <w:t xml:space="preserve">many of </w:t>
      </w:r>
      <w:r w:rsidR="006F7CA1" w:rsidRPr="0089051B">
        <w:rPr>
          <w:rFonts w:ascii="Times New Roman" w:hAnsi="Times New Roman" w:cs="Times New Roman"/>
        </w:rPr>
        <w:t xml:space="preserve">the substantive </w:t>
      </w:r>
      <w:r w:rsidR="0091427D" w:rsidRPr="0089051B">
        <w:rPr>
          <w:rFonts w:ascii="Times New Roman" w:hAnsi="Times New Roman" w:cs="Times New Roman"/>
        </w:rPr>
        <w:t xml:space="preserve">concerns </w:t>
      </w:r>
      <w:r w:rsidR="006F7CA1" w:rsidRPr="0089051B">
        <w:rPr>
          <w:rFonts w:ascii="Times New Roman" w:hAnsi="Times New Roman" w:cs="Times New Roman"/>
        </w:rPr>
        <w:t xml:space="preserve">raised by the national courts </w:t>
      </w:r>
      <w:r w:rsidR="0091427D" w:rsidRPr="0089051B">
        <w:rPr>
          <w:rFonts w:ascii="Times New Roman" w:hAnsi="Times New Roman" w:cs="Times New Roman"/>
        </w:rPr>
        <w:t xml:space="preserve">into </w:t>
      </w:r>
      <w:r w:rsidR="006F7CA1" w:rsidRPr="0089051B">
        <w:rPr>
          <w:rFonts w:ascii="Times New Roman" w:hAnsi="Times New Roman" w:cs="Times New Roman"/>
        </w:rPr>
        <w:t xml:space="preserve">the very </w:t>
      </w:r>
      <w:r w:rsidR="00A0494C" w:rsidRPr="0089051B">
        <w:rPr>
          <w:rFonts w:ascii="Times New Roman" w:hAnsi="Times New Roman" w:cs="Times New Roman"/>
        </w:rPr>
        <w:t xml:space="preserve">values, </w:t>
      </w:r>
      <w:r w:rsidR="0091427D" w:rsidRPr="0089051B">
        <w:rPr>
          <w:rFonts w:ascii="Times New Roman" w:hAnsi="Times New Roman" w:cs="Times New Roman"/>
        </w:rPr>
        <w:t xml:space="preserve">structures </w:t>
      </w:r>
      <w:r w:rsidR="006F7CA1" w:rsidRPr="0089051B">
        <w:rPr>
          <w:rFonts w:ascii="Times New Roman" w:hAnsi="Times New Roman" w:cs="Times New Roman"/>
        </w:rPr>
        <w:t xml:space="preserve">and </w:t>
      </w:r>
      <w:r w:rsidR="00A0494C" w:rsidRPr="0089051B">
        <w:rPr>
          <w:rFonts w:ascii="Times New Roman" w:hAnsi="Times New Roman" w:cs="Times New Roman"/>
        </w:rPr>
        <w:t xml:space="preserve">processes </w:t>
      </w:r>
      <w:r w:rsidR="0091427D" w:rsidRPr="0089051B">
        <w:rPr>
          <w:rFonts w:ascii="Times New Roman" w:hAnsi="Times New Roman" w:cs="Times New Roman"/>
        </w:rPr>
        <w:t>of Union law itself</w:t>
      </w:r>
      <w:r w:rsidR="006F7CA1" w:rsidRPr="0089051B">
        <w:rPr>
          <w:rFonts w:ascii="Times New Roman" w:hAnsi="Times New Roman" w:cs="Times New Roman"/>
        </w:rPr>
        <w:t xml:space="preserve">.  </w:t>
      </w:r>
      <w:r w:rsidR="00A0494C" w:rsidRPr="0089051B">
        <w:rPr>
          <w:rFonts w:ascii="Times New Roman" w:hAnsi="Times New Roman" w:cs="Times New Roman"/>
        </w:rPr>
        <w:t xml:space="preserve">The goal of </w:t>
      </w:r>
      <w:r w:rsidR="006F7CA1" w:rsidRPr="0089051B">
        <w:rPr>
          <w:rFonts w:ascii="Times New Roman" w:hAnsi="Times New Roman" w:cs="Times New Roman"/>
        </w:rPr>
        <w:t xml:space="preserve">internalisation </w:t>
      </w:r>
      <w:r w:rsidR="00A0494C" w:rsidRPr="0089051B">
        <w:rPr>
          <w:rFonts w:ascii="Times New Roman" w:hAnsi="Times New Roman" w:cs="Times New Roman"/>
        </w:rPr>
        <w:t xml:space="preserve">is to </w:t>
      </w:r>
      <w:r w:rsidR="0091427D" w:rsidRPr="0089051B">
        <w:rPr>
          <w:rFonts w:ascii="Times New Roman" w:hAnsi="Times New Roman" w:cs="Times New Roman"/>
        </w:rPr>
        <w:t xml:space="preserve">neutralise </w:t>
      </w:r>
      <w:r w:rsidR="00A0494C" w:rsidRPr="0089051B">
        <w:rPr>
          <w:rFonts w:ascii="Times New Roman" w:hAnsi="Times New Roman" w:cs="Times New Roman"/>
        </w:rPr>
        <w:t xml:space="preserve">domestic </w:t>
      </w:r>
      <w:r w:rsidR="0091427D" w:rsidRPr="0089051B">
        <w:rPr>
          <w:rFonts w:ascii="Times New Roman" w:hAnsi="Times New Roman" w:cs="Times New Roman"/>
        </w:rPr>
        <w:t>objections to particular Union obligations</w:t>
      </w:r>
      <w:r w:rsidR="006F7CA1" w:rsidRPr="0089051B">
        <w:rPr>
          <w:rFonts w:ascii="Times New Roman" w:hAnsi="Times New Roman" w:cs="Times New Roman"/>
        </w:rPr>
        <w:t xml:space="preserve">, by reassuring the domestic judges that their </w:t>
      </w:r>
      <w:r w:rsidR="00472432" w:rsidRPr="0089051B">
        <w:rPr>
          <w:rFonts w:ascii="Times New Roman" w:hAnsi="Times New Roman" w:cs="Times New Roman"/>
        </w:rPr>
        <w:t xml:space="preserve">reservations </w:t>
      </w:r>
      <w:r w:rsidR="006F7CA1" w:rsidRPr="0089051B">
        <w:rPr>
          <w:rFonts w:ascii="Times New Roman" w:hAnsi="Times New Roman" w:cs="Times New Roman"/>
        </w:rPr>
        <w:t>are shared and adequately respected by the Court</w:t>
      </w:r>
      <w:r w:rsidR="00472432" w:rsidRPr="0089051B">
        <w:rPr>
          <w:rFonts w:ascii="Times New Roman" w:hAnsi="Times New Roman" w:cs="Times New Roman"/>
        </w:rPr>
        <w:t xml:space="preserve"> in </w:t>
      </w:r>
      <w:r w:rsidR="009A56F5" w:rsidRPr="0089051B">
        <w:rPr>
          <w:rFonts w:ascii="Times New Roman" w:hAnsi="Times New Roman" w:cs="Times New Roman"/>
        </w:rPr>
        <w:t>its</w:t>
      </w:r>
      <w:r w:rsidR="00472432" w:rsidRPr="0089051B">
        <w:rPr>
          <w:rFonts w:ascii="Times New Roman" w:hAnsi="Times New Roman" w:cs="Times New Roman"/>
        </w:rPr>
        <w:t xml:space="preserve"> interpretation of </w:t>
      </w:r>
      <w:r w:rsidR="00A0494C" w:rsidRPr="0089051B">
        <w:rPr>
          <w:rFonts w:ascii="Times New Roman" w:hAnsi="Times New Roman" w:cs="Times New Roman"/>
        </w:rPr>
        <w:t xml:space="preserve">the Treaties: in many cases, a </w:t>
      </w:r>
      <w:r w:rsidR="00186C86" w:rsidRPr="0089051B">
        <w:rPr>
          <w:rFonts w:ascii="Times New Roman" w:hAnsi="Times New Roman" w:cs="Times New Roman"/>
        </w:rPr>
        <w:t xml:space="preserve">provocative </w:t>
      </w:r>
      <w:r w:rsidR="00A0494C" w:rsidRPr="0089051B">
        <w:rPr>
          <w:rFonts w:ascii="Times New Roman" w:hAnsi="Times New Roman" w:cs="Times New Roman"/>
        </w:rPr>
        <w:t xml:space="preserve">state of incompatibility between Union and national law can be entirely avoided; in other </w:t>
      </w:r>
      <w:r w:rsidR="00186C86" w:rsidRPr="0089051B">
        <w:rPr>
          <w:rFonts w:ascii="Times New Roman" w:hAnsi="Times New Roman" w:cs="Times New Roman"/>
        </w:rPr>
        <w:t xml:space="preserve">situations, the domestic judges can at least be invited to trust that the Court will manage relations and potential tensions responsibly and authoritatively.  </w:t>
      </w:r>
    </w:p>
    <w:p w14:paraId="0DC8C84B" w14:textId="77777777" w:rsidR="006E5E55" w:rsidRPr="0089051B" w:rsidRDefault="00186C86" w:rsidP="006E5E55">
      <w:pPr>
        <w:ind w:firstLine="720"/>
        <w:jc w:val="both"/>
        <w:rPr>
          <w:rFonts w:ascii="Times New Roman" w:hAnsi="Times New Roman" w:cs="Times New Roman"/>
        </w:rPr>
      </w:pPr>
      <w:r w:rsidRPr="0089051B">
        <w:rPr>
          <w:rFonts w:ascii="Times New Roman" w:hAnsi="Times New Roman" w:cs="Times New Roman"/>
        </w:rPr>
        <w:t>T</w:t>
      </w:r>
      <w:r w:rsidR="00472432" w:rsidRPr="0089051B">
        <w:rPr>
          <w:rFonts w:ascii="Times New Roman" w:hAnsi="Times New Roman" w:cs="Times New Roman"/>
        </w:rPr>
        <w:t>he Court’s technique of refining Union law in the light of legitimate national concerns</w:t>
      </w:r>
      <w:r w:rsidRPr="0089051B">
        <w:rPr>
          <w:rFonts w:ascii="Times New Roman" w:hAnsi="Times New Roman" w:cs="Times New Roman"/>
        </w:rPr>
        <w:t xml:space="preserve"> </w:t>
      </w:r>
      <w:r w:rsidR="00472432" w:rsidRPr="0089051B">
        <w:rPr>
          <w:rFonts w:ascii="Times New Roman" w:hAnsi="Times New Roman" w:cs="Times New Roman"/>
        </w:rPr>
        <w:t xml:space="preserve">is now effectively woven into the </w:t>
      </w:r>
      <w:r w:rsidR="004E66A0" w:rsidRPr="0089051B">
        <w:rPr>
          <w:rFonts w:ascii="Times New Roman" w:hAnsi="Times New Roman" w:cs="Times New Roman"/>
        </w:rPr>
        <w:t xml:space="preserve">very </w:t>
      </w:r>
      <w:r w:rsidR="00472432" w:rsidRPr="0089051B">
        <w:rPr>
          <w:rFonts w:ascii="Times New Roman" w:hAnsi="Times New Roman" w:cs="Times New Roman"/>
        </w:rPr>
        <w:t xml:space="preserve">fabric of </w:t>
      </w:r>
      <w:r w:rsidR="004E66A0" w:rsidRPr="0089051B">
        <w:rPr>
          <w:rFonts w:ascii="Times New Roman" w:hAnsi="Times New Roman" w:cs="Times New Roman"/>
        </w:rPr>
        <w:t xml:space="preserve">the Treaties </w:t>
      </w:r>
      <w:r w:rsidR="00472432" w:rsidRPr="0089051B">
        <w:rPr>
          <w:rFonts w:ascii="Times New Roman" w:hAnsi="Times New Roman" w:cs="Times New Roman"/>
        </w:rPr>
        <w:t xml:space="preserve">across </w:t>
      </w:r>
      <w:r w:rsidR="004B36D6" w:rsidRPr="0089051B">
        <w:rPr>
          <w:rFonts w:ascii="Times New Roman" w:hAnsi="Times New Roman" w:cs="Times New Roman"/>
        </w:rPr>
        <w:t>multiple</w:t>
      </w:r>
      <w:r w:rsidR="00472432" w:rsidRPr="0089051B">
        <w:rPr>
          <w:rFonts w:ascii="Times New Roman" w:hAnsi="Times New Roman" w:cs="Times New Roman"/>
        </w:rPr>
        <w:t xml:space="preserve"> field</w:t>
      </w:r>
      <w:r w:rsidR="004B36D6" w:rsidRPr="0089051B">
        <w:rPr>
          <w:rFonts w:ascii="Times New Roman" w:hAnsi="Times New Roman" w:cs="Times New Roman"/>
        </w:rPr>
        <w:t>s</w:t>
      </w:r>
      <w:r w:rsidR="00472432" w:rsidRPr="0089051B">
        <w:rPr>
          <w:rFonts w:ascii="Times New Roman" w:hAnsi="Times New Roman" w:cs="Times New Roman"/>
        </w:rPr>
        <w:t xml:space="preserve"> of </w:t>
      </w:r>
      <w:r w:rsidR="004B36D6" w:rsidRPr="0089051B">
        <w:rPr>
          <w:rFonts w:ascii="Times New Roman" w:hAnsi="Times New Roman" w:cs="Times New Roman"/>
        </w:rPr>
        <w:t>activity</w:t>
      </w:r>
      <w:r w:rsidR="00472432" w:rsidRPr="0089051B">
        <w:rPr>
          <w:rFonts w:ascii="Times New Roman" w:hAnsi="Times New Roman" w:cs="Times New Roman"/>
        </w:rPr>
        <w:t xml:space="preserve">: </w:t>
      </w:r>
      <w:r w:rsidR="004E66A0" w:rsidRPr="0089051B">
        <w:rPr>
          <w:rFonts w:ascii="Times New Roman" w:hAnsi="Times New Roman" w:cs="Times New Roman"/>
        </w:rPr>
        <w:t xml:space="preserve">from promising effectively to scrutinise the </w:t>
      </w:r>
      <w:r w:rsidR="0091427D" w:rsidRPr="0089051B">
        <w:rPr>
          <w:rFonts w:ascii="Times New Roman" w:hAnsi="Times New Roman" w:cs="Times New Roman"/>
        </w:rPr>
        <w:t>validity of Union measure</w:t>
      </w:r>
      <w:r w:rsidR="004E66A0" w:rsidRPr="0089051B">
        <w:rPr>
          <w:rFonts w:ascii="Times New Roman" w:hAnsi="Times New Roman" w:cs="Times New Roman"/>
        </w:rPr>
        <w:t>s</w:t>
      </w:r>
      <w:r w:rsidR="0091427D" w:rsidRPr="0089051B">
        <w:rPr>
          <w:rFonts w:ascii="Times New Roman" w:hAnsi="Times New Roman" w:cs="Times New Roman"/>
        </w:rPr>
        <w:t xml:space="preserve"> </w:t>
      </w:r>
      <w:r w:rsidR="004E66A0" w:rsidRPr="0089051B">
        <w:rPr>
          <w:rFonts w:ascii="Times New Roman" w:hAnsi="Times New Roman" w:cs="Times New Roman"/>
        </w:rPr>
        <w:t xml:space="preserve">against the </w:t>
      </w:r>
      <w:r w:rsidR="0091427D" w:rsidRPr="0089051B">
        <w:rPr>
          <w:rFonts w:ascii="Times New Roman" w:hAnsi="Times New Roman" w:cs="Times New Roman"/>
        </w:rPr>
        <w:t>Union</w:t>
      </w:r>
      <w:r w:rsidR="004E66A0" w:rsidRPr="0089051B">
        <w:rPr>
          <w:rFonts w:ascii="Times New Roman" w:hAnsi="Times New Roman" w:cs="Times New Roman"/>
        </w:rPr>
        <w:t>’s own</w:t>
      </w:r>
      <w:r w:rsidR="0091427D" w:rsidRPr="0089051B">
        <w:rPr>
          <w:rFonts w:ascii="Times New Roman" w:hAnsi="Times New Roman" w:cs="Times New Roman"/>
        </w:rPr>
        <w:t xml:space="preserve"> constitutional requirements </w:t>
      </w:r>
      <w:r w:rsidR="009A56F5" w:rsidRPr="0089051B">
        <w:rPr>
          <w:rFonts w:ascii="Times New Roman" w:hAnsi="Times New Roman" w:cs="Times New Roman"/>
        </w:rPr>
        <w:t xml:space="preserve">(say) concerning </w:t>
      </w:r>
      <w:r w:rsidR="004E66A0" w:rsidRPr="0089051B">
        <w:rPr>
          <w:rFonts w:ascii="Times New Roman" w:hAnsi="Times New Roman" w:cs="Times New Roman"/>
        </w:rPr>
        <w:t xml:space="preserve">proper competence and </w:t>
      </w:r>
      <w:r w:rsidR="0091427D" w:rsidRPr="0089051B">
        <w:rPr>
          <w:rFonts w:ascii="Times New Roman" w:hAnsi="Times New Roman" w:cs="Times New Roman"/>
        </w:rPr>
        <w:t>fundamental rights</w:t>
      </w:r>
      <w:r w:rsidR="004E66A0" w:rsidRPr="0089051B">
        <w:rPr>
          <w:rFonts w:ascii="Times New Roman" w:hAnsi="Times New Roman" w:cs="Times New Roman"/>
        </w:rPr>
        <w:t>;</w:t>
      </w:r>
      <w:r w:rsidR="00742862" w:rsidRPr="0089051B">
        <w:rPr>
          <w:rStyle w:val="FootnoteReference"/>
          <w:rFonts w:ascii="Times New Roman" w:hAnsi="Times New Roman" w:cs="Times New Roman"/>
        </w:rPr>
        <w:footnoteReference w:id="42"/>
      </w:r>
      <w:r w:rsidR="00742862" w:rsidRPr="0089051B">
        <w:rPr>
          <w:rFonts w:ascii="Times New Roman" w:hAnsi="Times New Roman" w:cs="Times New Roman"/>
        </w:rPr>
        <w:t xml:space="preserve"> and creating a limited space for the application of higher national fundamental rights standards in cases involving Member State action falling within the scope of the Treaties;</w:t>
      </w:r>
      <w:r w:rsidR="004E66A0" w:rsidRPr="0089051B">
        <w:rPr>
          <w:rStyle w:val="FootnoteReference"/>
          <w:rFonts w:ascii="Times New Roman" w:hAnsi="Times New Roman" w:cs="Times New Roman"/>
        </w:rPr>
        <w:footnoteReference w:id="43"/>
      </w:r>
      <w:r w:rsidR="004E66A0" w:rsidRPr="0089051B">
        <w:rPr>
          <w:rFonts w:ascii="Times New Roman" w:hAnsi="Times New Roman" w:cs="Times New Roman"/>
        </w:rPr>
        <w:t xml:space="preserve"> through balancing the expansive interpretation of primary Treaty provisions in fields such as free movement law with greater scope for the justification of potentially problematic national measures through the system of mandatory / imperative </w:t>
      </w:r>
      <w:r w:rsidR="0091427D" w:rsidRPr="0089051B">
        <w:rPr>
          <w:rFonts w:ascii="Times New Roman" w:hAnsi="Times New Roman" w:cs="Times New Roman"/>
        </w:rPr>
        <w:t>requirements</w:t>
      </w:r>
      <w:r w:rsidR="004E66A0" w:rsidRPr="0089051B">
        <w:rPr>
          <w:rFonts w:ascii="Times New Roman" w:hAnsi="Times New Roman" w:cs="Times New Roman"/>
        </w:rPr>
        <w:t>;</w:t>
      </w:r>
      <w:r w:rsidR="004E66A0" w:rsidRPr="0089051B">
        <w:rPr>
          <w:rStyle w:val="FootnoteReference"/>
          <w:rFonts w:ascii="Times New Roman" w:hAnsi="Times New Roman" w:cs="Times New Roman"/>
        </w:rPr>
        <w:footnoteReference w:id="44"/>
      </w:r>
      <w:r w:rsidR="004E66A0" w:rsidRPr="0089051B">
        <w:rPr>
          <w:rFonts w:ascii="Times New Roman" w:hAnsi="Times New Roman" w:cs="Times New Roman"/>
        </w:rPr>
        <w:t xml:space="preserve"> to recognising the importance of allowing Member States greater scope to interrogate the principle of mutual trust, and with it the obligation of mutual recognition, under Union legislation governing the Area of Freedom, Security and Justice.</w:t>
      </w:r>
      <w:r w:rsidR="004E66A0" w:rsidRPr="0089051B">
        <w:rPr>
          <w:rStyle w:val="FootnoteReference"/>
          <w:rFonts w:ascii="Times New Roman" w:hAnsi="Times New Roman" w:cs="Times New Roman"/>
        </w:rPr>
        <w:footnoteReference w:id="45"/>
      </w:r>
      <w:r w:rsidR="004E66A0" w:rsidRPr="0089051B">
        <w:rPr>
          <w:rFonts w:ascii="Times New Roman" w:hAnsi="Times New Roman" w:cs="Times New Roman"/>
        </w:rPr>
        <w:t xml:space="preserve"> </w:t>
      </w:r>
      <w:r w:rsidR="00785A26" w:rsidRPr="0089051B">
        <w:rPr>
          <w:rFonts w:ascii="Times New Roman" w:hAnsi="Times New Roman" w:cs="Times New Roman"/>
        </w:rPr>
        <w:t xml:space="preserve"> </w:t>
      </w:r>
      <w:r w:rsidRPr="0089051B">
        <w:rPr>
          <w:rFonts w:ascii="Times New Roman" w:hAnsi="Times New Roman" w:cs="Times New Roman"/>
        </w:rPr>
        <w:t xml:space="preserve">Where successful, the Court’s strategy of internalisation has the ultimate – but again, effectively incidental – consequence of eliminating the risk that domestic judges might eventually refuse to recognise the relevant Union provisions as a cognisable </w:t>
      </w:r>
      <w:r w:rsidRPr="0089051B">
        <w:rPr>
          <w:rFonts w:ascii="Times New Roman" w:hAnsi="Times New Roman" w:cs="Times New Roman"/>
        </w:rPr>
        <w:lastRenderedPageBreak/>
        <w:t>source of legal rights and obligations, capable of benefitting from the principle of primacy and its remedy of disapplication.</w:t>
      </w:r>
      <w:r w:rsidR="00785A26" w:rsidRPr="0089051B">
        <w:rPr>
          <w:rStyle w:val="FootnoteReference"/>
          <w:rFonts w:ascii="Times New Roman" w:hAnsi="Times New Roman" w:cs="Times New Roman"/>
        </w:rPr>
        <w:footnoteReference w:id="46"/>
      </w:r>
    </w:p>
    <w:p w14:paraId="4B583060" w14:textId="729FCFCC" w:rsidR="006E5E55" w:rsidRPr="0089051B" w:rsidRDefault="004E66A0" w:rsidP="006E5E55">
      <w:pPr>
        <w:ind w:firstLine="720"/>
        <w:jc w:val="both"/>
        <w:rPr>
          <w:rFonts w:ascii="Times New Roman" w:hAnsi="Times New Roman" w:cs="Times New Roman"/>
        </w:rPr>
      </w:pPr>
      <w:r w:rsidRPr="0089051B">
        <w:rPr>
          <w:rFonts w:ascii="Times New Roman" w:hAnsi="Times New Roman" w:cs="Times New Roman"/>
        </w:rPr>
        <w:t xml:space="preserve">The second main category of national judicial challenges to the authority of Union law is distinct from our previous examples, insofar as the domestic judges are here expressing </w:t>
      </w:r>
      <w:r w:rsidR="0026751E" w:rsidRPr="0089051B">
        <w:rPr>
          <w:rFonts w:ascii="Times New Roman" w:hAnsi="Times New Roman" w:cs="Times New Roman"/>
        </w:rPr>
        <w:t xml:space="preserve">no </w:t>
      </w:r>
      <w:r w:rsidRPr="0089051B">
        <w:rPr>
          <w:rFonts w:ascii="Times New Roman" w:hAnsi="Times New Roman" w:cs="Times New Roman"/>
        </w:rPr>
        <w:t xml:space="preserve">particular </w:t>
      </w:r>
      <w:r w:rsidR="0026751E" w:rsidRPr="0089051B">
        <w:rPr>
          <w:rFonts w:ascii="Times New Roman" w:hAnsi="Times New Roman" w:cs="Times New Roman"/>
        </w:rPr>
        <w:t xml:space="preserve">objection to </w:t>
      </w:r>
      <w:r w:rsidRPr="0089051B">
        <w:rPr>
          <w:rFonts w:ascii="Times New Roman" w:hAnsi="Times New Roman" w:cs="Times New Roman"/>
        </w:rPr>
        <w:t xml:space="preserve">the substantive </w:t>
      </w:r>
      <w:r w:rsidR="0091427D" w:rsidRPr="0089051B">
        <w:rPr>
          <w:rFonts w:ascii="Times New Roman" w:hAnsi="Times New Roman" w:cs="Times New Roman"/>
        </w:rPr>
        <w:t xml:space="preserve">nature </w:t>
      </w:r>
      <w:r w:rsidRPr="0089051B">
        <w:rPr>
          <w:rFonts w:ascii="Times New Roman" w:hAnsi="Times New Roman" w:cs="Times New Roman"/>
        </w:rPr>
        <w:t xml:space="preserve">or </w:t>
      </w:r>
      <w:r w:rsidR="0091427D" w:rsidRPr="0089051B">
        <w:rPr>
          <w:rFonts w:ascii="Times New Roman" w:hAnsi="Times New Roman" w:cs="Times New Roman"/>
        </w:rPr>
        <w:t xml:space="preserve">content of </w:t>
      </w:r>
      <w:r w:rsidRPr="0089051B">
        <w:rPr>
          <w:rFonts w:ascii="Times New Roman" w:hAnsi="Times New Roman" w:cs="Times New Roman"/>
        </w:rPr>
        <w:t xml:space="preserve">the </w:t>
      </w:r>
      <w:r w:rsidR="00C2033D" w:rsidRPr="0089051B">
        <w:rPr>
          <w:rFonts w:ascii="Times New Roman" w:hAnsi="Times New Roman" w:cs="Times New Roman"/>
        </w:rPr>
        <w:t>relevant</w:t>
      </w:r>
      <w:r w:rsidRPr="0089051B">
        <w:rPr>
          <w:rFonts w:ascii="Times New Roman" w:hAnsi="Times New Roman" w:cs="Times New Roman"/>
        </w:rPr>
        <w:t xml:space="preserve"> </w:t>
      </w:r>
      <w:r w:rsidR="0091427D" w:rsidRPr="0089051B">
        <w:rPr>
          <w:rFonts w:ascii="Times New Roman" w:hAnsi="Times New Roman" w:cs="Times New Roman"/>
        </w:rPr>
        <w:t xml:space="preserve">Union </w:t>
      </w:r>
      <w:r w:rsidRPr="0089051B">
        <w:rPr>
          <w:rFonts w:ascii="Times New Roman" w:hAnsi="Times New Roman" w:cs="Times New Roman"/>
        </w:rPr>
        <w:t xml:space="preserve">act or </w:t>
      </w:r>
      <w:r w:rsidR="0091427D" w:rsidRPr="0089051B">
        <w:rPr>
          <w:rFonts w:ascii="Times New Roman" w:hAnsi="Times New Roman" w:cs="Times New Roman"/>
        </w:rPr>
        <w:t>obligation</w:t>
      </w:r>
      <w:r w:rsidRPr="0089051B">
        <w:rPr>
          <w:rFonts w:ascii="Times New Roman" w:hAnsi="Times New Roman" w:cs="Times New Roman"/>
        </w:rPr>
        <w:t xml:space="preserve">.  </w:t>
      </w:r>
      <w:r w:rsidR="00C2033D" w:rsidRPr="0089051B">
        <w:rPr>
          <w:rFonts w:ascii="Times New Roman" w:hAnsi="Times New Roman" w:cs="Times New Roman"/>
        </w:rPr>
        <w:t xml:space="preserve">The abstract finding of incompatibility or preclusion is established and nothing in the relevant Union obligation (its legitimate exercise of competence, its fundamental rights credentials, its impact on </w:t>
      </w:r>
      <w:r w:rsidR="004B36D6" w:rsidRPr="0089051B">
        <w:rPr>
          <w:rFonts w:ascii="Times New Roman" w:hAnsi="Times New Roman" w:cs="Times New Roman"/>
        </w:rPr>
        <w:t>core</w:t>
      </w:r>
      <w:r w:rsidR="00C2033D" w:rsidRPr="0089051B">
        <w:rPr>
          <w:rFonts w:ascii="Times New Roman" w:hAnsi="Times New Roman" w:cs="Times New Roman"/>
        </w:rPr>
        <w:t xml:space="preserve"> national sensitivities) might persuade the national court to reach a different assessment on the merits of the dispute.  And so the time has come to translate the abstract question of incompatibility or preclusion into </w:t>
      </w:r>
      <w:r w:rsidR="009A56F5" w:rsidRPr="0089051B">
        <w:rPr>
          <w:rFonts w:ascii="Times New Roman" w:hAnsi="Times New Roman" w:cs="Times New Roman"/>
        </w:rPr>
        <w:t xml:space="preserve">its </w:t>
      </w:r>
      <w:r w:rsidR="00C2033D" w:rsidRPr="0089051B">
        <w:rPr>
          <w:rFonts w:ascii="Times New Roman" w:hAnsi="Times New Roman" w:cs="Times New Roman"/>
        </w:rPr>
        <w:t xml:space="preserve">more practical consequences.  But even if the </w:t>
      </w:r>
      <w:r w:rsidR="00870753" w:rsidRPr="0089051B">
        <w:rPr>
          <w:rFonts w:ascii="Times New Roman" w:hAnsi="Times New Roman" w:cs="Times New Roman"/>
        </w:rPr>
        <w:t xml:space="preserve">national court accepts the relevant Union provision as a legally cognisable source of rights and obligations, the judges may well harbour direct and specific reservations about the appropriateness of resolving the conflict between Union and national law by reference to the principle of </w:t>
      </w:r>
      <w:r w:rsidR="00B81FD5" w:rsidRPr="0089051B">
        <w:rPr>
          <w:rFonts w:ascii="Times New Roman" w:hAnsi="Times New Roman" w:cs="Times New Roman"/>
        </w:rPr>
        <w:t>primacy</w:t>
      </w:r>
      <w:r w:rsidR="0026751E" w:rsidRPr="0089051B">
        <w:rPr>
          <w:rFonts w:ascii="Times New Roman" w:hAnsi="Times New Roman" w:cs="Times New Roman"/>
        </w:rPr>
        <w:t xml:space="preserve"> </w:t>
      </w:r>
      <w:r w:rsidR="00870753" w:rsidRPr="0089051B">
        <w:rPr>
          <w:rFonts w:ascii="Times New Roman" w:hAnsi="Times New Roman" w:cs="Times New Roman"/>
        </w:rPr>
        <w:t>and through the remedy of disapplication.</w:t>
      </w:r>
      <w:r w:rsidR="004B36D6" w:rsidRPr="0089051B">
        <w:rPr>
          <w:rFonts w:ascii="Times New Roman" w:hAnsi="Times New Roman" w:cs="Times New Roman"/>
        </w:rPr>
        <w:t xml:space="preserve">  Such reticence is almost invariably motivated by considerations of legal certainty: enforcing the principle of </w:t>
      </w:r>
      <w:r w:rsidR="00B81FD5" w:rsidRPr="0089051B">
        <w:rPr>
          <w:rFonts w:ascii="Times New Roman" w:hAnsi="Times New Roman" w:cs="Times New Roman"/>
        </w:rPr>
        <w:t>primacy</w:t>
      </w:r>
      <w:r w:rsidR="004B36D6" w:rsidRPr="0089051B">
        <w:rPr>
          <w:rFonts w:ascii="Times New Roman" w:hAnsi="Times New Roman" w:cs="Times New Roman"/>
        </w:rPr>
        <w:t xml:space="preserve"> through the remedy of disapplication </w:t>
      </w:r>
      <w:r w:rsidR="00F87C25">
        <w:rPr>
          <w:rFonts w:ascii="Times New Roman" w:hAnsi="Times New Roman" w:cs="Times New Roman"/>
        </w:rPr>
        <w:t>might</w:t>
      </w:r>
      <w:r w:rsidR="004B36D6" w:rsidRPr="0089051B">
        <w:rPr>
          <w:rFonts w:ascii="Times New Roman" w:hAnsi="Times New Roman" w:cs="Times New Roman"/>
        </w:rPr>
        <w:t xml:space="preserve"> allow the relevant Union provisions </w:t>
      </w:r>
      <w:r w:rsidR="00AC2A6A" w:rsidRPr="0089051B">
        <w:rPr>
          <w:rFonts w:ascii="Times New Roman" w:hAnsi="Times New Roman" w:cs="Times New Roman"/>
        </w:rPr>
        <w:t xml:space="preserve">(for example) </w:t>
      </w:r>
      <w:r w:rsidR="004B36D6" w:rsidRPr="0089051B">
        <w:rPr>
          <w:rFonts w:ascii="Times New Roman" w:hAnsi="Times New Roman" w:cs="Times New Roman"/>
        </w:rPr>
        <w:t xml:space="preserve">to produce </w:t>
      </w:r>
      <w:r w:rsidR="00551F82" w:rsidRPr="0089051B">
        <w:rPr>
          <w:rFonts w:ascii="Times New Roman" w:hAnsi="Times New Roman" w:cs="Times New Roman"/>
        </w:rPr>
        <w:t xml:space="preserve">retrospective </w:t>
      </w:r>
      <w:r w:rsidR="004B36D6" w:rsidRPr="0089051B">
        <w:rPr>
          <w:rFonts w:ascii="Times New Roman" w:hAnsi="Times New Roman" w:cs="Times New Roman"/>
        </w:rPr>
        <w:t xml:space="preserve">regulatory </w:t>
      </w:r>
      <w:r w:rsidR="00551F82" w:rsidRPr="0089051B">
        <w:rPr>
          <w:rFonts w:ascii="Times New Roman" w:hAnsi="Times New Roman" w:cs="Times New Roman"/>
        </w:rPr>
        <w:t>effects</w:t>
      </w:r>
      <w:r w:rsidR="00E85882" w:rsidRPr="0089051B">
        <w:rPr>
          <w:rFonts w:ascii="Times New Roman" w:hAnsi="Times New Roman" w:cs="Times New Roman"/>
        </w:rPr>
        <w:t xml:space="preserve"> that confound our legitimate understanding of what the law really required at the </w:t>
      </w:r>
      <w:r w:rsidR="00F26047" w:rsidRPr="0089051B">
        <w:rPr>
          <w:rFonts w:ascii="Times New Roman" w:hAnsi="Times New Roman" w:cs="Times New Roman"/>
        </w:rPr>
        <w:t xml:space="preserve">relevant </w:t>
      </w:r>
      <w:r w:rsidR="00E85882" w:rsidRPr="0089051B">
        <w:rPr>
          <w:rFonts w:ascii="Times New Roman" w:hAnsi="Times New Roman" w:cs="Times New Roman"/>
        </w:rPr>
        <w:t xml:space="preserve">time; or to </w:t>
      </w:r>
      <w:r w:rsidR="00F26047" w:rsidRPr="0089051B">
        <w:rPr>
          <w:rFonts w:ascii="Times New Roman" w:hAnsi="Times New Roman" w:cs="Times New Roman"/>
        </w:rPr>
        <w:t xml:space="preserve">call into question the validity of previous </w:t>
      </w:r>
      <w:r w:rsidR="00E85882" w:rsidRPr="0089051B">
        <w:rPr>
          <w:rFonts w:ascii="Times New Roman" w:hAnsi="Times New Roman" w:cs="Times New Roman"/>
        </w:rPr>
        <w:t xml:space="preserve">administrative or judicial </w:t>
      </w:r>
      <w:r w:rsidR="00551F82" w:rsidRPr="0089051B">
        <w:rPr>
          <w:rFonts w:ascii="Times New Roman" w:hAnsi="Times New Roman" w:cs="Times New Roman"/>
        </w:rPr>
        <w:t>decisions</w:t>
      </w:r>
      <w:r w:rsidR="00F26047" w:rsidRPr="0089051B">
        <w:rPr>
          <w:rFonts w:ascii="Times New Roman" w:hAnsi="Times New Roman" w:cs="Times New Roman"/>
        </w:rPr>
        <w:t xml:space="preserve"> which have already acquired definitive force under the law</w:t>
      </w:r>
      <w:r w:rsidR="00E85882" w:rsidRPr="0089051B">
        <w:rPr>
          <w:rFonts w:ascii="Times New Roman" w:hAnsi="Times New Roman" w:cs="Times New Roman"/>
        </w:rPr>
        <w:t xml:space="preserve">; or to </w:t>
      </w:r>
      <w:r w:rsidR="00F26047" w:rsidRPr="0089051B">
        <w:rPr>
          <w:rFonts w:ascii="Times New Roman" w:hAnsi="Times New Roman" w:cs="Times New Roman"/>
        </w:rPr>
        <w:t xml:space="preserve">upset settled </w:t>
      </w:r>
      <w:r w:rsidR="004B36D6" w:rsidRPr="0089051B">
        <w:rPr>
          <w:rFonts w:ascii="Times New Roman" w:hAnsi="Times New Roman" w:cs="Times New Roman"/>
        </w:rPr>
        <w:t xml:space="preserve">legal </w:t>
      </w:r>
      <w:r w:rsidR="001F4BA1" w:rsidRPr="0089051B">
        <w:rPr>
          <w:rFonts w:ascii="Times New Roman" w:hAnsi="Times New Roman" w:cs="Times New Roman"/>
        </w:rPr>
        <w:t>relationships</w:t>
      </w:r>
      <w:r w:rsidR="00F26047" w:rsidRPr="0089051B">
        <w:rPr>
          <w:rFonts w:ascii="Times New Roman" w:hAnsi="Times New Roman" w:cs="Times New Roman"/>
        </w:rPr>
        <w:t xml:space="preserve"> which should rightly be protected against the threat of indefinite litigation</w:t>
      </w:r>
      <w:r w:rsidR="004B36D6" w:rsidRPr="0089051B">
        <w:rPr>
          <w:rFonts w:ascii="Times New Roman" w:hAnsi="Times New Roman" w:cs="Times New Roman"/>
        </w:rPr>
        <w:t>.</w:t>
      </w:r>
      <w:r w:rsidR="00CC1F6F" w:rsidRPr="0089051B">
        <w:rPr>
          <w:rStyle w:val="FootnoteReference"/>
          <w:rFonts w:ascii="Times New Roman" w:hAnsi="Times New Roman" w:cs="Times New Roman"/>
        </w:rPr>
        <w:footnoteReference w:id="47"/>
      </w:r>
      <w:r w:rsidR="004B36D6" w:rsidRPr="0089051B">
        <w:rPr>
          <w:rFonts w:ascii="Times New Roman" w:hAnsi="Times New Roman" w:cs="Times New Roman"/>
        </w:rPr>
        <w:t xml:space="preserve"> </w:t>
      </w:r>
    </w:p>
    <w:p w14:paraId="179E68F1" w14:textId="77F3A83D" w:rsidR="003036CD" w:rsidRPr="0089051B" w:rsidRDefault="004B36D6" w:rsidP="006E5E55">
      <w:pPr>
        <w:ind w:firstLine="720"/>
        <w:jc w:val="both"/>
        <w:rPr>
          <w:rFonts w:ascii="Times New Roman" w:hAnsi="Times New Roman" w:cs="Times New Roman"/>
        </w:rPr>
      </w:pPr>
      <w:r w:rsidRPr="0089051B">
        <w:rPr>
          <w:rFonts w:ascii="Times New Roman" w:hAnsi="Times New Roman" w:cs="Times New Roman"/>
        </w:rPr>
        <w:t xml:space="preserve">The </w:t>
      </w:r>
      <w:r w:rsidR="00551F82" w:rsidRPr="0089051B">
        <w:rPr>
          <w:rFonts w:ascii="Times New Roman" w:hAnsi="Times New Roman" w:cs="Times New Roman"/>
        </w:rPr>
        <w:t xml:space="preserve">Court’s primary </w:t>
      </w:r>
      <w:r w:rsidR="0028240C" w:rsidRPr="0089051B">
        <w:rPr>
          <w:rFonts w:ascii="Times New Roman" w:hAnsi="Times New Roman" w:cs="Times New Roman"/>
        </w:rPr>
        <w:t>means</w:t>
      </w:r>
      <w:r w:rsidR="00551F82" w:rsidRPr="0089051B">
        <w:rPr>
          <w:rFonts w:ascii="Times New Roman" w:hAnsi="Times New Roman" w:cs="Times New Roman"/>
        </w:rPr>
        <w:t xml:space="preserve"> </w:t>
      </w:r>
      <w:r w:rsidRPr="0089051B">
        <w:rPr>
          <w:rFonts w:ascii="Times New Roman" w:hAnsi="Times New Roman" w:cs="Times New Roman"/>
        </w:rPr>
        <w:t xml:space="preserve">of </w:t>
      </w:r>
      <w:r w:rsidR="00551F82" w:rsidRPr="0089051B">
        <w:rPr>
          <w:rFonts w:ascii="Times New Roman" w:hAnsi="Times New Roman" w:cs="Times New Roman"/>
        </w:rPr>
        <w:t xml:space="preserve">addressing such challenges is to </w:t>
      </w:r>
      <w:r w:rsidRPr="0089051B">
        <w:rPr>
          <w:rFonts w:ascii="Times New Roman" w:hAnsi="Times New Roman" w:cs="Times New Roman"/>
        </w:rPr>
        <w:t xml:space="preserve">impose or recognise certain limitations </w:t>
      </w:r>
      <w:r w:rsidR="003036CD" w:rsidRPr="0089051B">
        <w:rPr>
          <w:rFonts w:ascii="Times New Roman" w:hAnsi="Times New Roman" w:cs="Times New Roman"/>
        </w:rPr>
        <w:t xml:space="preserve">on the potential disapplication of national law: one accepts the existence of some state of incompatibility / preclusion between Union and national law; that the dispute cannot be avoided by means of consistent interpretation alone; </w:t>
      </w:r>
      <w:r w:rsidR="00CC1F6F" w:rsidRPr="0089051B">
        <w:rPr>
          <w:rFonts w:ascii="Times New Roman" w:hAnsi="Times New Roman" w:cs="Times New Roman"/>
        </w:rPr>
        <w:t>and</w:t>
      </w:r>
      <w:r w:rsidR="003036CD" w:rsidRPr="0089051B">
        <w:rPr>
          <w:rFonts w:ascii="Times New Roman" w:hAnsi="Times New Roman" w:cs="Times New Roman"/>
        </w:rPr>
        <w:t xml:space="preserve"> that the relevant Union provisions are capable in principle of acting as a </w:t>
      </w:r>
      <w:proofErr w:type="gramStart"/>
      <w:r w:rsidR="003036CD" w:rsidRPr="0089051B">
        <w:rPr>
          <w:rFonts w:ascii="Times New Roman" w:hAnsi="Times New Roman" w:cs="Times New Roman"/>
        </w:rPr>
        <w:t>directly</w:t>
      </w:r>
      <w:proofErr w:type="gramEnd"/>
      <w:r w:rsidR="003036CD" w:rsidRPr="0089051B">
        <w:rPr>
          <w:rFonts w:ascii="Times New Roman" w:hAnsi="Times New Roman" w:cs="Times New Roman"/>
        </w:rPr>
        <w:t xml:space="preserve"> effective source of legally cognisable rights and obligations within the domestic legal system; but one falls short of then insisting that the principle of </w:t>
      </w:r>
      <w:r w:rsidR="00B81FD5" w:rsidRPr="0089051B">
        <w:rPr>
          <w:rFonts w:ascii="Times New Roman" w:hAnsi="Times New Roman" w:cs="Times New Roman"/>
        </w:rPr>
        <w:t>primacy</w:t>
      </w:r>
      <w:r w:rsidR="003036CD" w:rsidRPr="0089051B">
        <w:rPr>
          <w:rFonts w:ascii="Times New Roman" w:hAnsi="Times New Roman" w:cs="Times New Roman"/>
        </w:rPr>
        <w:t xml:space="preserve"> must lead </w:t>
      </w:r>
      <w:r w:rsidRPr="0089051B">
        <w:rPr>
          <w:rFonts w:ascii="Times New Roman" w:hAnsi="Times New Roman" w:cs="Times New Roman"/>
        </w:rPr>
        <w:t xml:space="preserve">inexorably to the </w:t>
      </w:r>
      <w:r w:rsidR="00551F82" w:rsidRPr="0089051B">
        <w:rPr>
          <w:rFonts w:ascii="Times New Roman" w:hAnsi="Times New Roman" w:cs="Times New Roman"/>
        </w:rPr>
        <w:t xml:space="preserve">setting aside of national law </w:t>
      </w:r>
      <w:r w:rsidR="003036CD" w:rsidRPr="0089051B">
        <w:rPr>
          <w:rFonts w:ascii="Times New Roman" w:hAnsi="Times New Roman" w:cs="Times New Roman"/>
        </w:rPr>
        <w:t xml:space="preserve">or </w:t>
      </w:r>
      <w:r w:rsidR="00551F82" w:rsidRPr="0089051B">
        <w:rPr>
          <w:rFonts w:ascii="Times New Roman" w:hAnsi="Times New Roman" w:cs="Times New Roman"/>
        </w:rPr>
        <w:t xml:space="preserve">suppression of </w:t>
      </w:r>
      <w:r w:rsidR="003036CD" w:rsidRPr="0089051B">
        <w:rPr>
          <w:rFonts w:ascii="Times New Roman" w:hAnsi="Times New Roman" w:cs="Times New Roman"/>
        </w:rPr>
        <w:t xml:space="preserve">the </w:t>
      </w:r>
      <w:r w:rsidR="00551F82" w:rsidRPr="0089051B">
        <w:rPr>
          <w:rFonts w:ascii="Times New Roman" w:hAnsi="Times New Roman" w:cs="Times New Roman"/>
        </w:rPr>
        <w:t>latter’s full legal effects</w:t>
      </w:r>
      <w:r w:rsidR="003036CD" w:rsidRPr="0089051B">
        <w:rPr>
          <w:rFonts w:ascii="Times New Roman" w:hAnsi="Times New Roman" w:cs="Times New Roman"/>
        </w:rPr>
        <w:t>.  In that sense, this group of legal certainty disputes</w:t>
      </w:r>
      <w:r w:rsidR="009A56F5" w:rsidRPr="0089051B">
        <w:rPr>
          <w:rFonts w:ascii="Times New Roman" w:hAnsi="Times New Roman" w:cs="Times New Roman"/>
        </w:rPr>
        <w:t xml:space="preserve"> </w:t>
      </w:r>
      <w:r w:rsidR="003036CD" w:rsidRPr="0089051B">
        <w:rPr>
          <w:rFonts w:ascii="Times New Roman" w:hAnsi="Times New Roman" w:cs="Times New Roman"/>
        </w:rPr>
        <w:t xml:space="preserve">constitute the “real” challenge to the principle of </w:t>
      </w:r>
      <w:r w:rsidR="00B81FD5" w:rsidRPr="0089051B">
        <w:rPr>
          <w:rFonts w:ascii="Times New Roman" w:hAnsi="Times New Roman" w:cs="Times New Roman"/>
        </w:rPr>
        <w:t>primacy</w:t>
      </w:r>
      <w:r w:rsidR="003036CD" w:rsidRPr="0089051B">
        <w:rPr>
          <w:rFonts w:ascii="Times New Roman" w:hAnsi="Times New Roman" w:cs="Times New Roman"/>
        </w:rPr>
        <w:t xml:space="preserve">: resistance to the remedy of disapplication is not merely </w:t>
      </w:r>
      <w:r w:rsidR="005F2D75" w:rsidRPr="0089051B">
        <w:rPr>
          <w:rFonts w:ascii="Times New Roman" w:hAnsi="Times New Roman" w:cs="Times New Roman"/>
        </w:rPr>
        <w:t>the ultimate consequence</w:t>
      </w:r>
      <w:r w:rsidR="003036CD" w:rsidRPr="0089051B">
        <w:rPr>
          <w:rFonts w:ascii="Times New Roman" w:hAnsi="Times New Roman" w:cs="Times New Roman"/>
        </w:rPr>
        <w:t xml:space="preserve"> </w:t>
      </w:r>
      <w:r w:rsidR="005F2D75" w:rsidRPr="0089051B">
        <w:rPr>
          <w:rFonts w:ascii="Times New Roman" w:hAnsi="Times New Roman" w:cs="Times New Roman"/>
        </w:rPr>
        <w:t xml:space="preserve">of some logically prior objection to the very nature / content of the relevant Union act; the desire to temper or even defy the logic of </w:t>
      </w:r>
      <w:r w:rsidR="00B81FD5" w:rsidRPr="0089051B">
        <w:rPr>
          <w:rFonts w:ascii="Times New Roman" w:hAnsi="Times New Roman" w:cs="Times New Roman"/>
        </w:rPr>
        <w:t>primacy</w:t>
      </w:r>
      <w:r w:rsidR="005F2D75" w:rsidRPr="0089051B">
        <w:rPr>
          <w:rFonts w:ascii="Times New Roman" w:hAnsi="Times New Roman" w:cs="Times New Roman"/>
        </w:rPr>
        <w:t xml:space="preserve">, arising only and right at the </w:t>
      </w:r>
      <w:r w:rsidR="00F87C25">
        <w:rPr>
          <w:rFonts w:ascii="Times New Roman" w:hAnsi="Times New Roman" w:cs="Times New Roman"/>
        </w:rPr>
        <w:t xml:space="preserve">very </w:t>
      </w:r>
      <w:r w:rsidR="005F2D75" w:rsidRPr="0089051B">
        <w:rPr>
          <w:rFonts w:ascii="Times New Roman" w:hAnsi="Times New Roman" w:cs="Times New Roman"/>
        </w:rPr>
        <w:t xml:space="preserve">moment when that principle should be poised to fulfil its specific vocation under Union law, provides the entire focus of the national court’s concerns. </w:t>
      </w:r>
    </w:p>
    <w:p w14:paraId="23D77E70" w14:textId="77777777" w:rsidR="00551F82" w:rsidRPr="0089051B" w:rsidRDefault="00551F82" w:rsidP="0061452E">
      <w:pPr>
        <w:jc w:val="both"/>
        <w:rPr>
          <w:rFonts w:ascii="Times New Roman" w:hAnsi="Times New Roman" w:cs="Times New Roman"/>
        </w:rPr>
      </w:pPr>
    </w:p>
    <w:p w14:paraId="775722DF" w14:textId="4E9C1B9B" w:rsidR="00AA0FDE" w:rsidRPr="0089051B" w:rsidRDefault="00727EDA" w:rsidP="0061452E">
      <w:pPr>
        <w:jc w:val="both"/>
        <w:rPr>
          <w:rFonts w:ascii="Times New Roman" w:hAnsi="Times New Roman" w:cs="Times New Roman"/>
          <w:b/>
        </w:rPr>
      </w:pPr>
      <w:r w:rsidRPr="0089051B">
        <w:rPr>
          <w:rFonts w:ascii="Times New Roman" w:hAnsi="Times New Roman" w:cs="Times New Roman"/>
          <w:b/>
        </w:rPr>
        <w:t>4.</w:t>
      </w:r>
      <w:r w:rsidRPr="0089051B">
        <w:rPr>
          <w:rFonts w:ascii="Times New Roman" w:hAnsi="Times New Roman" w:cs="Times New Roman"/>
          <w:b/>
        </w:rPr>
        <w:tab/>
      </w:r>
      <w:r w:rsidR="00AA0FDE" w:rsidRPr="0089051B">
        <w:rPr>
          <w:rFonts w:ascii="Times New Roman" w:hAnsi="Times New Roman" w:cs="Times New Roman"/>
          <w:b/>
        </w:rPr>
        <w:t xml:space="preserve">Managing </w:t>
      </w:r>
      <w:r w:rsidR="006512D8" w:rsidRPr="0089051B">
        <w:rPr>
          <w:rFonts w:ascii="Times New Roman" w:hAnsi="Times New Roman" w:cs="Times New Roman"/>
          <w:b/>
        </w:rPr>
        <w:t xml:space="preserve">legal certainty and the </w:t>
      </w:r>
      <w:r w:rsidR="00AA0FDE" w:rsidRPr="0089051B">
        <w:rPr>
          <w:rFonts w:ascii="Times New Roman" w:hAnsi="Times New Roman" w:cs="Times New Roman"/>
          <w:b/>
        </w:rPr>
        <w:t xml:space="preserve">retrospective impacts of disapplication: centralised and decentralised jurisdictions </w:t>
      </w:r>
    </w:p>
    <w:p w14:paraId="64E1CAAF" w14:textId="77777777" w:rsidR="00AA0FDE" w:rsidRPr="0089051B" w:rsidRDefault="00AA0FDE" w:rsidP="0061452E">
      <w:pPr>
        <w:jc w:val="both"/>
        <w:rPr>
          <w:rFonts w:ascii="Times New Roman" w:hAnsi="Times New Roman" w:cs="Times New Roman"/>
        </w:rPr>
      </w:pPr>
    </w:p>
    <w:p w14:paraId="1D1A52CD" w14:textId="36D1FCCD" w:rsidR="00551F82" w:rsidRPr="0089051B" w:rsidRDefault="005F2D75" w:rsidP="0061452E">
      <w:pPr>
        <w:jc w:val="both"/>
        <w:rPr>
          <w:rFonts w:ascii="Times New Roman" w:hAnsi="Times New Roman" w:cs="Times New Roman"/>
        </w:rPr>
      </w:pPr>
      <w:r w:rsidRPr="0089051B">
        <w:rPr>
          <w:rFonts w:ascii="Times New Roman" w:hAnsi="Times New Roman" w:cs="Times New Roman"/>
        </w:rPr>
        <w:lastRenderedPageBreak/>
        <w:t xml:space="preserve">When it comes to limiting the specific effects of </w:t>
      </w:r>
      <w:r w:rsidR="00B81FD5" w:rsidRPr="0089051B">
        <w:rPr>
          <w:rFonts w:ascii="Times New Roman" w:hAnsi="Times New Roman" w:cs="Times New Roman"/>
        </w:rPr>
        <w:t>primacy</w:t>
      </w:r>
      <w:r w:rsidRPr="0089051B">
        <w:rPr>
          <w:rFonts w:ascii="Times New Roman" w:hAnsi="Times New Roman" w:cs="Times New Roman"/>
        </w:rPr>
        <w:t xml:space="preserve">, for the sake of concerns about legal certainty and </w:t>
      </w:r>
      <w:r w:rsidR="00C10E8F" w:rsidRPr="0089051B">
        <w:rPr>
          <w:rFonts w:ascii="Times New Roman" w:hAnsi="Times New Roman" w:cs="Times New Roman"/>
        </w:rPr>
        <w:t xml:space="preserve">allegedly </w:t>
      </w:r>
      <w:r w:rsidRPr="0089051B">
        <w:rPr>
          <w:rFonts w:ascii="Times New Roman" w:hAnsi="Times New Roman" w:cs="Times New Roman"/>
        </w:rPr>
        <w:t xml:space="preserve">improper retrospective effects, the </w:t>
      </w:r>
      <w:r w:rsidR="0028240C" w:rsidRPr="0089051B">
        <w:rPr>
          <w:rFonts w:ascii="Times New Roman" w:hAnsi="Times New Roman" w:cs="Times New Roman"/>
        </w:rPr>
        <w:t>Court recognises two main type</w:t>
      </w:r>
      <w:r w:rsidRPr="0089051B">
        <w:rPr>
          <w:rFonts w:ascii="Times New Roman" w:hAnsi="Times New Roman" w:cs="Times New Roman"/>
        </w:rPr>
        <w:t xml:space="preserve">s of jurisdiction: centralised, whereby the </w:t>
      </w:r>
      <w:r w:rsidR="0028240C" w:rsidRPr="0089051B">
        <w:rPr>
          <w:rFonts w:ascii="Times New Roman" w:hAnsi="Times New Roman" w:cs="Times New Roman"/>
        </w:rPr>
        <w:t xml:space="preserve">Court itself </w:t>
      </w:r>
      <w:r w:rsidRPr="0089051B">
        <w:rPr>
          <w:rFonts w:ascii="Times New Roman" w:hAnsi="Times New Roman" w:cs="Times New Roman"/>
        </w:rPr>
        <w:t xml:space="preserve">introduces </w:t>
      </w:r>
      <w:r w:rsidR="00AC74CB">
        <w:rPr>
          <w:rFonts w:ascii="Times New Roman" w:hAnsi="Times New Roman" w:cs="Times New Roman"/>
        </w:rPr>
        <w:t xml:space="preserve">and / or defines </w:t>
      </w:r>
      <w:r w:rsidRPr="0089051B">
        <w:rPr>
          <w:rFonts w:ascii="Times New Roman" w:hAnsi="Times New Roman" w:cs="Times New Roman"/>
        </w:rPr>
        <w:t xml:space="preserve">various </w:t>
      </w:r>
      <w:r w:rsidR="002017CD" w:rsidRPr="0089051B">
        <w:rPr>
          <w:rFonts w:ascii="Times New Roman" w:hAnsi="Times New Roman" w:cs="Times New Roman"/>
        </w:rPr>
        <w:t xml:space="preserve">mandatory </w:t>
      </w:r>
      <w:r w:rsidR="0028240C" w:rsidRPr="0089051B">
        <w:rPr>
          <w:rFonts w:ascii="Times New Roman" w:hAnsi="Times New Roman" w:cs="Times New Roman"/>
        </w:rPr>
        <w:t xml:space="preserve">limits on </w:t>
      </w:r>
      <w:r w:rsidRPr="0089051B">
        <w:rPr>
          <w:rFonts w:ascii="Times New Roman" w:hAnsi="Times New Roman" w:cs="Times New Roman"/>
        </w:rPr>
        <w:t xml:space="preserve">the remedy of </w:t>
      </w:r>
      <w:r w:rsidR="0028240C" w:rsidRPr="0089051B">
        <w:rPr>
          <w:rFonts w:ascii="Times New Roman" w:hAnsi="Times New Roman" w:cs="Times New Roman"/>
        </w:rPr>
        <w:t>disapplication</w:t>
      </w:r>
      <w:r w:rsidRPr="0089051B">
        <w:rPr>
          <w:rFonts w:ascii="Times New Roman" w:hAnsi="Times New Roman" w:cs="Times New Roman"/>
        </w:rPr>
        <w:t xml:space="preserve">, directly as a matter of and under conditions prescribed by Union law; and </w:t>
      </w:r>
      <w:r w:rsidR="0028240C" w:rsidRPr="0089051B">
        <w:rPr>
          <w:rFonts w:ascii="Times New Roman" w:hAnsi="Times New Roman" w:cs="Times New Roman"/>
        </w:rPr>
        <w:t>decentralised</w:t>
      </w:r>
      <w:r w:rsidRPr="0089051B">
        <w:rPr>
          <w:rFonts w:ascii="Times New Roman" w:hAnsi="Times New Roman" w:cs="Times New Roman"/>
        </w:rPr>
        <w:t xml:space="preserve">, whereby the </w:t>
      </w:r>
      <w:r w:rsidR="0028240C" w:rsidRPr="0089051B">
        <w:rPr>
          <w:rFonts w:ascii="Times New Roman" w:hAnsi="Times New Roman" w:cs="Times New Roman"/>
        </w:rPr>
        <w:t xml:space="preserve">national courts may </w:t>
      </w:r>
      <w:r w:rsidRPr="0089051B">
        <w:rPr>
          <w:rFonts w:ascii="Times New Roman" w:hAnsi="Times New Roman" w:cs="Times New Roman"/>
        </w:rPr>
        <w:t xml:space="preserve">impose </w:t>
      </w:r>
      <w:r w:rsidR="0028240C" w:rsidRPr="0089051B">
        <w:rPr>
          <w:rFonts w:ascii="Times New Roman" w:hAnsi="Times New Roman" w:cs="Times New Roman"/>
        </w:rPr>
        <w:t xml:space="preserve">certain limits on </w:t>
      </w:r>
      <w:r w:rsidRPr="0089051B">
        <w:rPr>
          <w:rFonts w:ascii="Times New Roman" w:hAnsi="Times New Roman" w:cs="Times New Roman"/>
        </w:rPr>
        <w:t xml:space="preserve">the remedy of </w:t>
      </w:r>
      <w:r w:rsidR="0028240C" w:rsidRPr="0089051B">
        <w:rPr>
          <w:rFonts w:ascii="Times New Roman" w:hAnsi="Times New Roman" w:cs="Times New Roman"/>
        </w:rPr>
        <w:t>disapplication</w:t>
      </w:r>
      <w:r w:rsidRPr="0089051B">
        <w:rPr>
          <w:rFonts w:ascii="Times New Roman" w:hAnsi="Times New Roman" w:cs="Times New Roman"/>
        </w:rPr>
        <w:t>,</w:t>
      </w:r>
      <w:r w:rsidR="0028240C" w:rsidRPr="0089051B">
        <w:rPr>
          <w:rFonts w:ascii="Times New Roman" w:hAnsi="Times New Roman" w:cs="Times New Roman"/>
        </w:rPr>
        <w:t xml:space="preserve"> </w:t>
      </w:r>
      <w:r w:rsidRPr="0089051B">
        <w:rPr>
          <w:rFonts w:ascii="Times New Roman" w:hAnsi="Times New Roman" w:cs="Times New Roman"/>
        </w:rPr>
        <w:t xml:space="preserve">as and when </w:t>
      </w:r>
      <w:r w:rsidR="0028240C" w:rsidRPr="0089051B">
        <w:rPr>
          <w:rFonts w:ascii="Times New Roman" w:hAnsi="Times New Roman" w:cs="Times New Roman"/>
        </w:rPr>
        <w:t xml:space="preserve">authorised </w:t>
      </w:r>
      <w:r w:rsidRPr="0089051B">
        <w:rPr>
          <w:rFonts w:ascii="Times New Roman" w:hAnsi="Times New Roman" w:cs="Times New Roman"/>
        </w:rPr>
        <w:t xml:space="preserve">to do so </w:t>
      </w:r>
      <w:r w:rsidR="0028240C" w:rsidRPr="0089051B">
        <w:rPr>
          <w:rFonts w:ascii="Times New Roman" w:hAnsi="Times New Roman" w:cs="Times New Roman"/>
        </w:rPr>
        <w:t xml:space="preserve">under </w:t>
      </w:r>
      <w:r w:rsidRPr="0089051B">
        <w:rPr>
          <w:rFonts w:ascii="Times New Roman" w:hAnsi="Times New Roman" w:cs="Times New Roman"/>
        </w:rPr>
        <w:t xml:space="preserve">their own </w:t>
      </w:r>
      <w:r w:rsidR="0028240C" w:rsidRPr="0089051B">
        <w:rPr>
          <w:rFonts w:ascii="Times New Roman" w:hAnsi="Times New Roman" w:cs="Times New Roman"/>
        </w:rPr>
        <w:t>domestic law – but only by default</w:t>
      </w:r>
      <w:r w:rsidR="00AC084D" w:rsidRPr="0089051B">
        <w:rPr>
          <w:rFonts w:ascii="Times New Roman" w:hAnsi="Times New Roman" w:cs="Times New Roman"/>
        </w:rPr>
        <w:t>,</w:t>
      </w:r>
      <w:r w:rsidR="0028240C" w:rsidRPr="0089051B">
        <w:rPr>
          <w:rFonts w:ascii="Times New Roman" w:hAnsi="Times New Roman" w:cs="Times New Roman"/>
        </w:rPr>
        <w:t xml:space="preserve"> </w:t>
      </w:r>
      <w:r w:rsidRPr="0089051B">
        <w:rPr>
          <w:rFonts w:ascii="Times New Roman" w:hAnsi="Times New Roman" w:cs="Times New Roman"/>
        </w:rPr>
        <w:t xml:space="preserve">in the absence of </w:t>
      </w:r>
      <w:r w:rsidR="00AC74CB">
        <w:rPr>
          <w:rFonts w:ascii="Times New Roman" w:hAnsi="Times New Roman" w:cs="Times New Roman"/>
        </w:rPr>
        <w:t xml:space="preserve">a </w:t>
      </w:r>
      <w:r w:rsidRPr="0089051B">
        <w:rPr>
          <w:rFonts w:ascii="Times New Roman" w:hAnsi="Times New Roman" w:cs="Times New Roman"/>
        </w:rPr>
        <w:t xml:space="preserve">centralised </w:t>
      </w:r>
      <w:r w:rsidR="00AC74CB">
        <w:rPr>
          <w:rFonts w:ascii="Times New Roman" w:hAnsi="Times New Roman" w:cs="Times New Roman"/>
        </w:rPr>
        <w:t>solution from the Court</w:t>
      </w:r>
      <w:r w:rsidR="00AC084D" w:rsidRPr="0089051B">
        <w:rPr>
          <w:rFonts w:ascii="Times New Roman" w:hAnsi="Times New Roman" w:cs="Times New Roman"/>
        </w:rPr>
        <w:t xml:space="preserve">; and only </w:t>
      </w:r>
      <w:r w:rsidR="0028240C" w:rsidRPr="0089051B">
        <w:rPr>
          <w:rFonts w:ascii="Times New Roman" w:hAnsi="Times New Roman" w:cs="Times New Roman"/>
        </w:rPr>
        <w:t xml:space="preserve">subject to </w:t>
      </w:r>
      <w:r w:rsidR="00AC084D" w:rsidRPr="0089051B">
        <w:rPr>
          <w:rFonts w:ascii="Times New Roman" w:hAnsi="Times New Roman" w:cs="Times New Roman"/>
        </w:rPr>
        <w:t xml:space="preserve">scrutiny under </w:t>
      </w:r>
      <w:r w:rsidR="0028240C" w:rsidRPr="0089051B">
        <w:rPr>
          <w:rFonts w:ascii="Times New Roman" w:hAnsi="Times New Roman" w:cs="Times New Roman"/>
        </w:rPr>
        <w:t xml:space="preserve">Union </w:t>
      </w:r>
      <w:r w:rsidR="00AC084D" w:rsidRPr="0089051B">
        <w:rPr>
          <w:rFonts w:ascii="Times New Roman" w:hAnsi="Times New Roman" w:cs="Times New Roman"/>
        </w:rPr>
        <w:t xml:space="preserve">law, particularly </w:t>
      </w:r>
      <w:r w:rsidR="0028240C" w:rsidRPr="0089051B">
        <w:rPr>
          <w:rFonts w:ascii="Times New Roman" w:hAnsi="Times New Roman" w:cs="Times New Roman"/>
        </w:rPr>
        <w:t xml:space="preserve">through </w:t>
      </w:r>
      <w:r w:rsidR="00AC084D" w:rsidRPr="0089051B">
        <w:rPr>
          <w:rFonts w:ascii="Times New Roman" w:hAnsi="Times New Roman" w:cs="Times New Roman"/>
        </w:rPr>
        <w:t xml:space="preserve">the </w:t>
      </w:r>
      <w:r w:rsidR="0028240C" w:rsidRPr="0089051B">
        <w:rPr>
          <w:rFonts w:ascii="Times New Roman" w:hAnsi="Times New Roman" w:cs="Times New Roman"/>
        </w:rPr>
        <w:t>principles of equivalence and effectiveness.</w:t>
      </w:r>
      <w:r w:rsidR="004B1C06" w:rsidRPr="0089051B">
        <w:rPr>
          <w:rStyle w:val="FootnoteReference"/>
          <w:rFonts w:ascii="Times New Roman" w:hAnsi="Times New Roman" w:cs="Times New Roman"/>
        </w:rPr>
        <w:footnoteReference w:id="48"/>
      </w:r>
      <w:r w:rsidR="0028240C" w:rsidRPr="0089051B">
        <w:rPr>
          <w:rFonts w:ascii="Times New Roman" w:hAnsi="Times New Roman" w:cs="Times New Roman"/>
        </w:rPr>
        <w:t xml:space="preserve">  </w:t>
      </w:r>
    </w:p>
    <w:p w14:paraId="691F45A0" w14:textId="77777777" w:rsidR="00551F82" w:rsidRPr="0089051B" w:rsidRDefault="00551F82" w:rsidP="0061452E">
      <w:pPr>
        <w:jc w:val="both"/>
        <w:rPr>
          <w:rFonts w:ascii="Times New Roman" w:hAnsi="Times New Roman" w:cs="Times New Roman"/>
        </w:rPr>
      </w:pPr>
    </w:p>
    <w:p w14:paraId="20CE2971" w14:textId="7004D635" w:rsidR="00AA0FDE" w:rsidRPr="0089051B" w:rsidRDefault="00727EDA" w:rsidP="0061452E">
      <w:pPr>
        <w:jc w:val="both"/>
        <w:rPr>
          <w:rFonts w:ascii="Times New Roman" w:hAnsi="Times New Roman" w:cs="Times New Roman"/>
          <w:i/>
        </w:rPr>
      </w:pPr>
      <w:r w:rsidRPr="0089051B">
        <w:rPr>
          <w:rFonts w:ascii="Times New Roman" w:hAnsi="Times New Roman" w:cs="Times New Roman"/>
          <w:i/>
        </w:rPr>
        <w:t>4.1.</w:t>
      </w:r>
      <w:r w:rsidRPr="0089051B">
        <w:rPr>
          <w:rFonts w:ascii="Times New Roman" w:hAnsi="Times New Roman" w:cs="Times New Roman"/>
          <w:i/>
        </w:rPr>
        <w:tab/>
      </w:r>
      <w:r w:rsidR="00AA0FDE" w:rsidRPr="0089051B">
        <w:rPr>
          <w:rFonts w:ascii="Times New Roman" w:hAnsi="Times New Roman" w:cs="Times New Roman"/>
          <w:i/>
        </w:rPr>
        <w:t>Centralised jurisdiction</w:t>
      </w:r>
    </w:p>
    <w:p w14:paraId="20188C53" w14:textId="77777777" w:rsidR="00AA0FDE" w:rsidRPr="0089051B" w:rsidRDefault="00AA0FDE" w:rsidP="0061452E">
      <w:pPr>
        <w:jc w:val="both"/>
        <w:rPr>
          <w:rFonts w:ascii="Times New Roman" w:hAnsi="Times New Roman" w:cs="Times New Roman"/>
        </w:rPr>
      </w:pPr>
    </w:p>
    <w:p w14:paraId="6DFAA8C3" w14:textId="30DC11E0" w:rsidR="006E5E55" w:rsidRPr="0089051B" w:rsidRDefault="002017CD" w:rsidP="0061452E">
      <w:pPr>
        <w:jc w:val="both"/>
        <w:rPr>
          <w:rFonts w:ascii="Times New Roman" w:hAnsi="Times New Roman" w:cs="Times New Roman"/>
        </w:rPr>
      </w:pPr>
      <w:r w:rsidRPr="0089051B">
        <w:rPr>
          <w:rFonts w:ascii="Times New Roman" w:hAnsi="Times New Roman" w:cs="Times New Roman"/>
        </w:rPr>
        <w:t xml:space="preserve">The Court is willing to impose certain mandatory qualifications to the remedy of </w:t>
      </w:r>
      <w:r w:rsidR="00DD5FC8" w:rsidRPr="0089051B">
        <w:rPr>
          <w:rFonts w:ascii="Times New Roman" w:hAnsi="Times New Roman" w:cs="Times New Roman"/>
        </w:rPr>
        <w:t xml:space="preserve">disapplication directly and as </w:t>
      </w:r>
      <w:r w:rsidR="00AC74CB">
        <w:rPr>
          <w:rFonts w:ascii="Times New Roman" w:hAnsi="Times New Roman" w:cs="Times New Roman"/>
        </w:rPr>
        <w:t xml:space="preserve">a </w:t>
      </w:r>
      <w:r w:rsidR="00DD5FC8" w:rsidRPr="0089051B">
        <w:rPr>
          <w:rFonts w:ascii="Times New Roman" w:hAnsi="Times New Roman" w:cs="Times New Roman"/>
        </w:rPr>
        <w:t>matter of Union law</w:t>
      </w:r>
      <w:r w:rsidRPr="0089051B">
        <w:rPr>
          <w:rFonts w:ascii="Times New Roman" w:hAnsi="Times New Roman" w:cs="Times New Roman"/>
        </w:rPr>
        <w:t xml:space="preserve">: particularly </w:t>
      </w:r>
      <w:r w:rsidR="001F4BA1" w:rsidRPr="0089051B">
        <w:rPr>
          <w:rFonts w:ascii="Times New Roman" w:hAnsi="Times New Roman" w:cs="Times New Roman"/>
        </w:rPr>
        <w:t xml:space="preserve">where </w:t>
      </w:r>
      <w:r w:rsidRPr="0089051B">
        <w:rPr>
          <w:rFonts w:ascii="Times New Roman" w:hAnsi="Times New Roman" w:cs="Times New Roman"/>
        </w:rPr>
        <w:t xml:space="preserve">the </w:t>
      </w:r>
      <w:r w:rsidR="001F4BA1" w:rsidRPr="0089051B">
        <w:rPr>
          <w:rFonts w:ascii="Times New Roman" w:hAnsi="Times New Roman" w:cs="Times New Roman"/>
        </w:rPr>
        <w:t xml:space="preserve">Union </w:t>
      </w:r>
      <w:r w:rsidRPr="0089051B">
        <w:rPr>
          <w:rFonts w:ascii="Times New Roman" w:hAnsi="Times New Roman" w:cs="Times New Roman"/>
        </w:rPr>
        <w:t xml:space="preserve">is itself somehow responsible for the problems of </w:t>
      </w:r>
      <w:r w:rsidR="001F4BA1" w:rsidRPr="0089051B">
        <w:rPr>
          <w:rFonts w:ascii="Times New Roman" w:hAnsi="Times New Roman" w:cs="Times New Roman"/>
        </w:rPr>
        <w:t xml:space="preserve">legal certainty </w:t>
      </w:r>
      <w:r w:rsidRPr="0089051B">
        <w:rPr>
          <w:rFonts w:ascii="Times New Roman" w:hAnsi="Times New Roman" w:cs="Times New Roman"/>
        </w:rPr>
        <w:t xml:space="preserve">which would allegedly arise from the full enforcement of the relevant Union acts; but more importantly, </w:t>
      </w:r>
      <w:r w:rsidR="001F4BA1" w:rsidRPr="0089051B">
        <w:rPr>
          <w:rFonts w:ascii="Times New Roman" w:hAnsi="Times New Roman" w:cs="Times New Roman"/>
        </w:rPr>
        <w:t>where Union law</w:t>
      </w:r>
      <w:r w:rsidRPr="0089051B">
        <w:rPr>
          <w:rFonts w:ascii="Times New Roman" w:hAnsi="Times New Roman" w:cs="Times New Roman"/>
        </w:rPr>
        <w:t xml:space="preserve"> (</w:t>
      </w:r>
      <w:r w:rsidR="001F4BA1" w:rsidRPr="0089051B">
        <w:rPr>
          <w:rFonts w:ascii="Times New Roman" w:hAnsi="Times New Roman" w:cs="Times New Roman"/>
        </w:rPr>
        <w:t>as interpreted by the Court</w:t>
      </w:r>
      <w:r w:rsidRPr="0089051B">
        <w:rPr>
          <w:rFonts w:ascii="Times New Roman" w:hAnsi="Times New Roman" w:cs="Times New Roman"/>
        </w:rPr>
        <w:t>)</w:t>
      </w:r>
      <w:r w:rsidR="001F4BA1" w:rsidRPr="0089051B">
        <w:rPr>
          <w:rFonts w:ascii="Times New Roman" w:hAnsi="Times New Roman" w:cs="Times New Roman"/>
        </w:rPr>
        <w:t xml:space="preserve"> </w:t>
      </w:r>
      <w:r w:rsidRPr="0089051B">
        <w:rPr>
          <w:rFonts w:ascii="Times New Roman" w:hAnsi="Times New Roman" w:cs="Times New Roman"/>
        </w:rPr>
        <w:t xml:space="preserve">appears </w:t>
      </w:r>
      <w:r w:rsidR="001F4BA1" w:rsidRPr="0089051B">
        <w:rPr>
          <w:rFonts w:ascii="Times New Roman" w:hAnsi="Times New Roman" w:cs="Times New Roman"/>
        </w:rPr>
        <w:t xml:space="preserve">capable of offering a </w:t>
      </w:r>
      <w:r w:rsidRPr="0089051B">
        <w:rPr>
          <w:rFonts w:ascii="Times New Roman" w:hAnsi="Times New Roman" w:cs="Times New Roman"/>
        </w:rPr>
        <w:t xml:space="preserve">single, workable solution to the legal certainty challenges arising before the national courts.  Needless to say, such centralised solutions facilitate the </w:t>
      </w:r>
      <w:r w:rsidR="001F4BA1" w:rsidRPr="0089051B">
        <w:rPr>
          <w:rFonts w:ascii="Times New Roman" w:hAnsi="Times New Roman" w:cs="Times New Roman"/>
        </w:rPr>
        <w:t xml:space="preserve">uniform and effective application of </w:t>
      </w:r>
      <w:r w:rsidRPr="0089051B">
        <w:rPr>
          <w:rFonts w:ascii="Times New Roman" w:hAnsi="Times New Roman" w:cs="Times New Roman"/>
        </w:rPr>
        <w:t>the Treaties across and within the Member States based on the articulation of Union-</w:t>
      </w:r>
      <w:r w:rsidR="001F4BA1" w:rsidRPr="0089051B">
        <w:rPr>
          <w:rFonts w:ascii="Times New Roman" w:hAnsi="Times New Roman" w:cs="Times New Roman"/>
        </w:rPr>
        <w:t>wide standards of administrative and judicial enforcement</w:t>
      </w:r>
      <w:r w:rsidRPr="0089051B">
        <w:rPr>
          <w:rFonts w:ascii="Times New Roman" w:hAnsi="Times New Roman" w:cs="Times New Roman"/>
        </w:rPr>
        <w:t>.</w:t>
      </w:r>
      <w:r w:rsidR="002843CD" w:rsidRPr="0089051B">
        <w:rPr>
          <w:rStyle w:val="FootnoteReference"/>
          <w:rFonts w:ascii="Times New Roman" w:hAnsi="Times New Roman" w:cs="Times New Roman"/>
        </w:rPr>
        <w:footnoteReference w:id="49"/>
      </w:r>
      <w:r w:rsidRPr="0089051B">
        <w:rPr>
          <w:rFonts w:ascii="Times New Roman" w:hAnsi="Times New Roman" w:cs="Times New Roman"/>
        </w:rPr>
        <w:t xml:space="preserve">  </w:t>
      </w:r>
    </w:p>
    <w:p w14:paraId="3AE7B259" w14:textId="6110BFD6" w:rsidR="006E5E55" w:rsidRPr="0089051B" w:rsidRDefault="00F87C25" w:rsidP="006E5E55">
      <w:pPr>
        <w:ind w:firstLine="720"/>
        <w:jc w:val="both"/>
        <w:rPr>
          <w:rFonts w:ascii="Times New Roman" w:hAnsi="Times New Roman" w:cs="Times New Roman"/>
        </w:rPr>
      </w:pPr>
      <w:r>
        <w:rPr>
          <w:rFonts w:ascii="Times New Roman" w:hAnsi="Times New Roman" w:cs="Times New Roman"/>
        </w:rPr>
        <w:t>For present purposes, the</w:t>
      </w:r>
      <w:r w:rsidR="002017CD" w:rsidRPr="0089051B">
        <w:rPr>
          <w:rFonts w:ascii="Times New Roman" w:hAnsi="Times New Roman" w:cs="Times New Roman"/>
        </w:rPr>
        <w:t xml:space="preserve"> pertinent </w:t>
      </w:r>
      <w:proofErr w:type="spellStart"/>
      <w:r w:rsidR="002017CD" w:rsidRPr="0089051B">
        <w:rPr>
          <w:rFonts w:ascii="Times New Roman" w:hAnsi="Times New Roman" w:cs="Times New Roman"/>
        </w:rPr>
        <w:t>caselaw</w:t>
      </w:r>
      <w:proofErr w:type="spellEnd"/>
      <w:r w:rsidR="002017CD" w:rsidRPr="0089051B">
        <w:rPr>
          <w:rFonts w:ascii="Times New Roman" w:hAnsi="Times New Roman" w:cs="Times New Roman"/>
        </w:rPr>
        <w:t xml:space="preserve"> </w:t>
      </w:r>
      <w:r>
        <w:rPr>
          <w:rFonts w:ascii="Times New Roman" w:hAnsi="Times New Roman" w:cs="Times New Roman"/>
        </w:rPr>
        <w:t xml:space="preserve">can be organised </w:t>
      </w:r>
      <w:r w:rsidR="002017CD" w:rsidRPr="0089051B">
        <w:rPr>
          <w:rFonts w:ascii="Times New Roman" w:hAnsi="Times New Roman" w:cs="Times New Roman"/>
        </w:rPr>
        <w:t xml:space="preserve">into several </w:t>
      </w:r>
      <w:r w:rsidR="002D78B4" w:rsidRPr="0089051B">
        <w:rPr>
          <w:rFonts w:ascii="Times New Roman" w:hAnsi="Times New Roman" w:cs="Times New Roman"/>
        </w:rPr>
        <w:t>standard</w:t>
      </w:r>
      <w:r w:rsidR="002017CD" w:rsidRPr="0089051B">
        <w:rPr>
          <w:rFonts w:ascii="Times New Roman" w:hAnsi="Times New Roman" w:cs="Times New Roman"/>
        </w:rPr>
        <w:t>ised</w:t>
      </w:r>
      <w:r w:rsidR="002D78B4" w:rsidRPr="0089051B">
        <w:rPr>
          <w:rFonts w:ascii="Times New Roman" w:hAnsi="Times New Roman" w:cs="Times New Roman"/>
        </w:rPr>
        <w:t xml:space="preserve"> categories.  </w:t>
      </w:r>
      <w:r w:rsidR="002017CD" w:rsidRPr="0089051B">
        <w:rPr>
          <w:rFonts w:ascii="Times New Roman" w:hAnsi="Times New Roman" w:cs="Times New Roman"/>
        </w:rPr>
        <w:t xml:space="preserve">In the first place, </w:t>
      </w:r>
      <w:r w:rsidR="00157FA0" w:rsidRPr="0089051B">
        <w:rPr>
          <w:rFonts w:ascii="Times New Roman" w:hAnsi="Times New Roman" w:cs="Times New Roman"/>
        </w:rPr>
        <w:t xml:space="preserve">the Court </w:t>
      </w:r>
      <w:r w:rsidR="00B90427" w:rsidRPr="0089051B">
        <w:rPr>
          <w:rFonts w:ascii="Times New Roman" w:hAnsi="Times New Roman" w:cs="Times New Roman"/>
        </w:rPr>
        <w:t xml:space="preserve">enjoys </w:t>
      </w:r>
      <w:r w:rsidR="00AC74CB">
        <w:rPr>
          <w:rFonts w:ascii="Times New Roman" w:hAnsi="Times New Roman" w:cs="Times New Roman"/>
        </w:rPr>
        <w:t xml:space="preserve">central and indeed </w:t>
      </w:r>
      <w:r>
        <w:rPr>
          <w:rFonts w:ascii="Times New Roman" w:hAnsi="Times New Roman" w:cs="Times New Roman"/>
        </w:rPr>
        <w:t>sole</w:t>
      </w:r>
      <w:r w:rsidR="00B90427" w:rsidRPr="0089051B">
        <w:rPr>
          <w:rFonts w:ascii="Times New Roman" w:hAnsi="Times New Roman" w:cs="Times New Roman"/>
        </w:rPr>
        <w:t xml:space="preserve"> </w:t>
      </w:r>
      <w:r w:rsidR="00157FA0" w:rsidRPr="0089051B">
        <w:rPr>
          <w:rFonts w:ascii="Times New Roman" w:hAnsi="Times New Roman" w:cs="Times New Roman"/>
        </w:rPr>
        <w:t xml:space="preserve">jurisdiction to impose a </w:t>
      </w:r>
      <w:r w:rsidR="005F2211" w:rsidRPr="0089051B">
        <w:rPr>
          <w:rFonts w:ascii="Times New Roman" w:hAnsi="Times New Roman" w:cs="Times New Roman"/>
        </w:rPr>
        <w:t xml:space="preserve">general </w:t>
      </w:r>
      <w:r w:rsidR="00157FA0" w:rsidRPr="0089051B">
        <w:rPr>
          <w:rFonts w:ascii="Times New Roman" w:hAnsi="Times New Roman" w:cs="Times New Roman"/>
        </w:rPr>
        <w:t xml:space="preserve">temporal </w:t>
      </w:r>
      <w:r w:rsidR="00DD5FC8" w:rsidRPr="0089051B">
        <w:rPr>
          <w:rFonts w:ascii="Times New Roman" w:hAnsi="Times New Roman" w:cs="Times New Roman"/>
        </w:rPr>
        <w:t xml:space="preserve">limitation on </w:t>
      </w:r>
      <w:r w:rsidR="00157FA0" w:rsidRPr="0089051B">
        <w:rPr>
          <w:rFonts w:ascii="Times New Roman" w:hAnsi="Times New Roman" w:cs="Times New Roman"/>
        </w:rPr>
        <w:t xml:space="preserve">the retrospective </w:t>
      </w:r>
      <w:r w:rsidR="00DD5FC8" w:rsidRPr="0089051B">
        <w:rPr>
          <w:rFonts w:ascii="Times New Roman" w:hAnsi="Times New Roman" w:cs="Times New Roman"/>
        </w:rPr>
        <w:t xml:space="preserve">effects of </w:t>
      </w:r>
      <w:r w:rsidR="00157FA0" w:rsidRPr="0089051B">
        <w:rPr>
          <w:rFonts w:ascii="Times New Roman" w:hAnsi="Times New Roman" w:cs="Times New Roman"/>
        </w:rPr>
        <w:t xml:space="preserve">its own </w:t>
      </w:r>
      <w:r w:rsidR="00DD5FC8" w:rsidRPr="0089051B">
        <w:rPr>
          <w:rFonts w:ascii="Times New Roman" w:hAnsi="Times New Roman" w:cs="Times New Roman"/>
        </w:rPr>
        <w:t xml:space="preserve">interpretation </w:t>
      </w:r>
      <w:r w:rsidR="005F2211" w:rsidRPr="0089051B">
        <w:rPr>
          <w:rFonts w:ascii="Times New Roman" w:hAnsi="Times New Roman" w:cs="Times New Roman"/>
        </w:rPr>
        <w:t xml:space="preserve">of Union law </w:t>
      </w:r>
      <w:r w:rsidR="00157FA0" w:rsidRPr="0089051B">
        <w:rPr>
          <w:rFonts w:ascii="Times New Roman" w:hAnsi="Times New Roman" w:cs="Times New Roman"/>
        </w:rPr>
        <w:t xml:space="preserve">as delivered in the context of a </w:t>
      </w:r>
      <w:r w:rsidR="00DD5FC8" w:rsidRPr="0089051B">
        <w:rPr>
          <w:rFonts w:ascii="Times New Roman" w:hAnsi="Times New Roman" w:cs="Times New Roman"/>
        </w:rPr>
        <w:t xml:space="preserve">preliminary </w:t>
      </w:r>
      <w:r w:rsidR="00157FA0" w:rsidRPr="0089051B">
        <w:rPr>
          <w:rFonts w:ascii="Times New Roman" w:hAnsi="Times New Roman" w:cs="Times New Roman"/>
        </w:rPr>
        <w:t>ruling</w:t>
      </w:r>
      <w:r w:rsidR="00EF249F" w:rsidRPr="0089051B">
        <w:rPr>
          <w:rFonts w:ascii="Times New Roman" w:hAnsi="Times New Roman" w:cs="Times New Roman"/>
        </w:rPr>
        <w:t xml:space="preserve"> – thereby creating an exception to the general principle that </w:t>
      </w:r>
      <w:r w:rsidR="00EF249F" w:rsidRPr="0089051B">
        <w:rPr>
          <w:rFonts w:ascii="Times New Roman" w:eastAsia="Times New Roman" w:hAnsi="Times New Roman" w:cs="Times New Roman"/>
          <w:shd w:val="clear" w:color="auto" w:fill="FFFFFF"/>
        </w:rPr>
        <w:t>an interpretation via Article 267 TFEU clarifies and defines the meaning and scope of Union law as it must be, or ought to have been, understood and applied from the time of its coming into force and as it should therefore be applied by the national courts even to legal relationships created before the Court’s judgment</w:t>
      </w:r>
      <w:r w:rsidR="00157FA0" w:rsidRPr="0089051B">
        <w:rPr>
          <w:rFonts w:ascii="Times New Roman" w:hAnsi="Times New Roman" w:cs="Times New Roman"/>
        </w:rPr>
        <w:t>.</w:t>
      </w:r>
      <w:r w:rsidR="00EF249F" w:rsidRPr="0089051B">
        <w:rPr>
          <w:rStyle w:val="FootnoteReference"/>
          <w:rFonts w:ascii="Times New Roman" w:hAnsi="Times New Roman" w:cs="Times New Roman"/>
        </w:rPr>
        <w:footnoteReference w:id="50"/>
      </w:r>
      <w:r w:rsidR="00157FA0" w:rsidRPr="0089051B">
        <w:rPr>
          <w:rFonts w:ascii="Times New Roman" w:hAnsi="Times New Roman" w:cs="Times New Roman"/>
        </w:rPr>
        <w:t xml:space="preserve">  Similar powers </w:t>
      </w:r>
      <w:r w:rsidR="00EF249F" w:rsidRPr="0089051B">
        <w:rPr>
          <w:rFonts w:ascii="Times New Roman" w:hAnsi="Times New Roman" w:cs="Times New Roman"/>
        </w:rPr>
        <w:t xml:space="preserve">had </w:t>
      </w:r>
      <w:r w:rsidR="007034FE" w:rsidRPr="0089051B">
        <w:rPr>
          <w:rFonts w:ascii="Times New Roman" w:hAnsi="Times New Roman" w:cs="Times New Roman"/>
        </w:rPr>
        <w:t xml:space="preserve">long </w:t>
      </w:r>
      <w:r w:rsidR="00EF249F" w:rsidRPr="0089051B">
        <w:rPr>
          <w:rFonts w:ascii="Times New Roman" w:hAnsi="Times New Roman" w:cs="Times New Roman"/>
        </w:rPr>
        <w:t>been</w:t>
      </w:r>
      <w:r w:rsidR="00157FA0" w:rsidRPr="0089051B">
        <w:rPr>
          <w:rFonts w:ascii="Times New Roman" w:hAnsi="Times New Roman" w:cs="Times New Roman"/>
        </w:rPr>
        <w:t xml:space="preserve"> expressly provided for under the Treaties in respect of the Court’s jurisdiction to annul Union regulations</w:t>
      </w:r>
      <w:r w:rsidR="007034FE" w:rsidRPr="0089051B">
        <w:rPr>
          <w:rFonts w:ascii="Times New Roman" w:hAnsi="Times New Roman" w:cs="Times New Roman"/>
        </w:rPr>
        <w:t>,</w:t>
      </w:r>
      <w:r w:rsidR="00EF249F" w:rsidRPr="0089051B">
        <w:rPr>
          <w:rStyle w:val="FootnoteReference"/>
          <w:rFonts w:ascii="Times New Roman" w:hAnsi="Times New Roman" w:cs="Times New Roman"/>
        </w:rPr>
        <w:footnoteReference w:id="51"/>
      </w:r>
      <w:r w:rsidR="00157FA0" w:rsidRPr="0089051B">
        <w:rPr>
          <w:rFonts w:ascii="Times New Roman" w:hAnsi="Times New Roman" w:cs="Times New Roman"/>
        </w:rPr>
        <w:t xml:space="preserve"> </w:t>
      </w:r>
      <w:r w:rsidR="007034FE" w:rsidRPr="0089051B">
        <w:rPr>
          <w:rFonts w:ascii="Times New Roman" w:hAnsi="Times New Roman" w:cs="Times New Roman"/>
        </w:rPr>
        <w:t>with the Court subsequently extending</w:t>
      </w:r>
      <w:r w:rsidR="00157FA0" w:rsidRPr="0089051B">
        <w:rPr>
          <w:rFonts w:ascii="Times New Roman" w:hAnsi="Times New Roman" w:cs="Times New Roman"/>
        </w:rPr>
        <w:t xml:space="preserve"> those powers to cover the annulment of </w:t>
      </w:r>
      <w:r w:rsidR="007034FE" w:rsidRPr="0089051B">
        <w:rPr>
          <w:rFonts w:ascii="Times New Roman" w:hAnsi="Times New Roman" w:cs="Times New Roman"/>
        </w:rPr>
        <w:t xml:space="preserve">other </w:t>
      </w:r>
      <w:r w:rsidR="00157FA0" w:rsidRPr="0089051B">
        <w:rPr>
          <w:rFonts w:ascii="Times New Roman" w:hAnsi="Times New Roman" w:cs="Times New Roman"/>
        </w:rPr>
        <w:t>Union acts</w:t>
      </w:r>
      <w:r w:rsidR="007034FE" w:rsidRPr="0089051B">
        <w:rPr>
          <w:rFonts w:ascii="Times New Roman" w:hAnsi="Times New Roman" w:cs="Times New Roman"/>
        </w:rPr>
        <w:t>,</w:t>
      </w:r>
      <w:r w:rsidR="00EF249F" w:rsidRPr="0089051B">
        <w:rPr>
          <w:rStyle w:val="FootnoteReference"/>
          <w:rFonts w:ascii="Times New Roman" w:hAnsi="Times New Roman" w:cs="Times New Roman"/>
        </w:rPr>
        <w:footnoteReference w:id="52"/>
      </w:r>
      <w:r w:rsidR="00157FA0" w:rsidRPr="0089051B">
        <w:rPr>
          <w:rFonts w:ascii="Times New Roman" w:hAnsi="Times New Roman" w:cs="Times New Roman"/>
        </w:rPr>
        <w:t xml:space="preserve"> and </w:t>
      </w:r>
      <w:r w:rsidR="007034FE" w:rsidRPr="0089051B">
        <w:rPr>
          <w:rFonts w:ascii="Times New Roman" w:hAnsi="Times New Roman" w:cs="Times New Roman"/>
        </w:rPr>
        <w:t>indeed</w:t>
      </w:r>
      <w:r w:rsidR="00157FA0" w:rsidRPr="0089051B">
        <w:rPr>
          <w:rFonts w:ascii="Times New Roman" w:hAnsi="Times New Roman" w:cs="Times New Roman"/>
        </w:rPr>
        <w:t xml:space="preserve"> ruling</w:t>
      </w:r>
      <w:r w:rsidR="00B90427" w:rsidRPr="0089051B">
        <w:rPr>
          <w:rFonts w:ascii="Times New Roman" w:hAnsi="Times New Roman" w:cs="Times New Roman"/>
        </w:rPr>
        <w:t>s</w:t>
      </w:r>
      <w:r w:rsidR="00157FA0" w:rsidRPr="0089051B">
        <w:rPr>
          <w:rFonts w:ascii="Times New Roman" w:hAnsi="Times New Roman" w:cs="Times New Roman"/>
        </w:rPr>
        <w:t xml:space="preserve"> on the invalidity of Union measures </w:t>
      </w:r>
      <w:r w:rsidR="00B90427" w:rsidRPr="0089051B">
        <w:rPr>
          <w:rFonts w:ascii="Times New Roman" w:hAnsi="Times New Roman" w:cs="Times New Roman"/>
        </w:rPr>
        <w:t xml:space="preserve">delivered </w:t>
      </w:r>
      <w:r w:rsidR="00157FA0" w:rsidRPr="0089051B">
        <w:rPr>
          <w:rFonts w:ascii="Times New Roman" w:hAnsi="Times New Roman" w:cs="Times New Roman"/>
        </w:rPr>
        <w:t>in the course of preliminary reference proceedings.</w:t>
      </w:r>
      <w:r w:rsidR="00EF249F" w:rsidRPr="0089051B">
        <w:rPr>
          <w:rStyle w:val="FootnoteReference"/>
          <w:rFonts w:ascii="Times New Roman" w:hAnsi="Times New Roman" w:cs="Times New Roman"/>
        </w:rPr>
        <w:footnoteReference w:id="53"/>
      </w:r>
      <w:r w:rsidR="00157FA0" w:rsidRPr="0089051B">
        <w:rPr>
          <w:rFonts w:ascii="Times New Roman" w:hAnsi="Times New Roman" w:cs="Times New Roman"/>
        </w:rPr>
        <w:t xml:space="preserve">  In </w:t>
      </w:r>
      <w:proofErr w:type="spellStart"/>
      <w:r w:rsidR="00157FA0" w:rsidRPr="0089051B">
        <w:rPr>
          <w:rFonts w:ascii="Times New Roman" w:hAnsi="Times New Roman" w:cs="Times New Roman"/>
          <w:i/>
        </w:rPr>
        <w:t>Defrenne</w:t>
      </w:r>
      <w:proofErr w:type="spellEnd"/>
      <w:r w:rsidR="00157FA0" w:rsidRPr="0089051B">
        <w:rPr>
          <w:rFonts w:ascii="Times New Roman" w:hAnsi="Times New Roman" w:cs="Times New Roman"/>
        </w:rPr>
        <w:t>, the Court established definitively that</w:t>
      </w:r>
      <w:r w:rsidR="00B90427" w:rsidRPr="0089051B">
        <w:rPr>
          <w:rFonts w:ascii="Times New Roman" w:hAnsi="Times New Roman" w:cs="Times New Roman"/>
        </w:rPr>
        <w:t xml:space="preserve"> </w:t>
      </w:r>
      <w:r w:rsidR="00157FA0" w:rsidRPr="0089051B">
        <w:rPr>
          <w:rFonts w:ascii="Times New Roman" w:hAnsi="Times New Roman" w:cs="Times New Roman"/>
        </w:rPr>
        <w:t xml:space="preserve">it </w:t>
      </w:r>
      <w:r w:rsidR="00AC74CB">
        <w:rPr>
          <w:rFonts w:ascii="Times New Roman" w:hAnsi="Times New Roman" w:cs="Times New Roman"/>
        </w:rPr>
        <w:t xml:space="preserve">(alone) </w:t>
      </w:r>
      <w:r w:rsidR="00157FA0" w:rsidRPr="0089051B">
        <w:rPr>
          <w:rFonts w:ascii="Times New Roman" w:hAnsi="Times New Roman" w:cs="Times New Roman"/>
        </w:rPr>
        <w:t xml:space="preserve">could also impose </w:t>
      </w:r>
      <w:r w:rsidR="00B90427" w:rsidRPr="0089051B">
        <w:rPr>
          <w:rFonts w:ascii="Times New Roman" w:hAnsi="Times New Roman" w:cs="Times New Roman"/>
        </w:rPr>
        <w:t>a general limit</w:t>
      </w:r>
      <w:r w:rsidR="00157FA0" w:rsidRPr="0089051B">
        <w:rPr>
          <w:rFonts w:ascii="Times New Roman" w:hAnsi="Times New Roman" w:cs="Times New Roman"/>
        </w:rPr>
        <w:t xml:space="preserve"> on </w:t>
      </w:r>
      <w:r w:rsidR="00B90427" w:rsidRPr="0089051B">
        <w:rPr>
          <w:rFonts w:ascii="Times New Roman" w:hAnsi="Times New Roman" w:cs="Times New Roman"/>
        </w:rPr>
        <w:t xml:space="preserve">natural and legal persons relying on </w:t>
      </w:r>
      <w:r w:rsidR="00157FA0" w:rsidRPr="0089051B">
        <w:rPr>
          <w:rFonts w:ascii="Times New Roman" w:hAnsi="Times New Roman" w:cs="Times New Roman"/>
        </w:rPr>
        <w:t xml:space="preserve">the legal effects of </w:t>
      </w:r>
      <w:r w:rsidR="00B90427" w:rsidRPr="0089051B">
        <w:rPr>
          <w:rFonts w:ascii="Times New Roman" w:hAnsi="Times New Roman" w:cs="Times New Roman"/>
        </w:rPr>
        <w:t xml:space="preserve">a </w:t>
      </w:r>
      <w:r w:rsidR="00D8433A" w:rsidRPr="0089051B">
        <w:rPr>
          <w:rFonts w:ascii="Times New Roman" w:hAnsi="Times New Roman" w:cs="Times New Roman"/>
        </w:rPr>
        <w:t xml:space="preserve">preliminary </w:t>
      </w:r>
      <w:r w:rsidR="00B90427" w:rsidRPr="0089051B">
        <w:rPr>
          <w:rFonts w:ascii="Times New Roman" w:hAnsi="Times New Roman" w:cs="Times New Roman"/>
        </w:rPr>
        <w:t>ruling,</w:t>
      </w:r>
      <w:r w:rsidR="00157FA0" w:rsidRPr="0089051B">
        <w:rPr>
          <w:rFonts w:ascii="Times New Roman" w:hAnsi="Times New Roman" w:cs="Times New Roman"/>
        </w:rPr>
        <w:t xml:space="preserve"> concerning the </w:t>
      </w:r>
      <w:r w:rsidR="00D8433A" w:rsidRPr="0089051B">
        <w:rPr>
          <w:rFonts w:ascii="Times New Roman" w:hAnsi="Times New Roman" w:cs="Times New Roman"/>
        </w:rPr>
        <w:t xml:space="preserve">interpretation </w:t>
      </w:r>
      <w:r w:rsidR="00157FA0" w:rsidRPr="0089051B">
        <w:rPr>
          <w:rFonts w:ascii="Times New Roman" w:hAnsi="Times New Roman" w:cs="Times New Roman"/>
        </w:rPr>
        <w:t>and application of Union law</w:t>
      </w:r>
      <w:r w:rsidR="00B90427" w:rsidRPr="0089051B">
        <w:rPr>
          <w:rFonts w:ascii="Times New Roman" w:hAnsi="Times New Roman" w:cs="Times New Roman"/>
        </w:rPr>
        <w:t xml:space="preserve">, as regards facts pre-dating </w:t>
      </w:r>
      <w:r w:rsidR="00B90427" w:rsidRPr="0089051B">
        <w:rPr>
          <w:rFonts w:ascii="Times New Roman" w:hAnsi="Times New Roman" w:cs="Times New Roman"/>
        </w:rPr>
        <w:lastRenderedPageBreak/>
        <w:t>the relevant judgment</w:t>
      </w:r>
      <w:r w:rsidR="00157FA0" w:rsidRPr="0089051B">
        <w:rPr>
          <w:rFonts w:ascii="Times New Roman" w:hAnsi="Times New Roman" w:cs="Times New Roman"/>
        </w:rPr>
        <w:t>.</w:t>
      </w:r>
      <w:r w:rsidR="00EF249F" w:rsidRPr="0089051B">
        <w:rPr>
          <w:rStyle w:val="FootnoteReference"/>
          <w:rFonts w:ascii="Times New Roman" w:hAnsi="Times New Roman" w:cs="Times New Roman"/>
        </w:rPr>
        <w:footnoteReference w:id="54"/>
      </w:r>
      <w:r w:rsidR="00157FA0" w:rsidRPr="0089051B">
        <w:rPr>
          <w:rFonts w:ascii="Times New Roman" w:hAnsi="Times New Roman" w:cs="Times New Roman"/>
        </w:rPr>
        <w:t xml:space="preserve">  The basic criteria for exercise of this centralised </w:t>
      </w:r>
      <w:r>
        <w:rPr>
          <w:rFonts w:ascii="Times New Roman" w:hAnsi="Times New Roman" w:cs="Times New Roman"/>
        </w:rPr>
        <w:t xml:space="preserve">and sole </w:t>
      </w:r>
      <w:r w:rsidR="00157FA0" w:rsidRPr="0089051B">
        <w:rPr>
          <w:rFonts w:ascii="Times New Roman" w:hAnsi="Times New Roman" w:cs="Times New Roman"/>
        </w:rPr>
        <w:t xml:space="preserve">jurisdiction are </w:t>
      </w:r>
      <w:r w:rsidR="00B90427" w:rsidRPr="0089051B">
        <w:rPr>
          <w:rFonts w:ascii="Times New Roman" w:hAnsi="Times New Roman" w:cs="Times New Roman"/>
        </w:rPr>
        <w:t xml:space="preserve">now </w:t>
      </w:r>
      <w:r w:rsidR="00157FA0" w:rsidRPr="0089051B">
        <w:rPr>
          <w:rFonts w:ascii="Times New Roman" w:hAnsi="Times New Roman" w:cs="Times New Roman"/>
        </w:rPr>
        <w:t xml:space="preserve">well-established: there must be </w:t>
      </w:r>
      <w:r w:rsidR="005F2211" w:rsidRPr="0089051B">
        <w:rPr>
          <w:rFonts w:ascii="Times New Roman" w:hAnsi="Times New Roman" w:cs="Times New Roman"/>
        </w:rPr>
        <w:t xml:space="preserve">uncertainty as to </w:t>
      </w:r>
      <w:r w:rsidR="00157FA0" w:rsidRPr="0089051B">
        <w:rPr>
          <w:rFonts w:ascii="Times New Roman" w:hAnsi="Times New Roman" w:cs="Times New Roman"/>
        </w:rPr>
        <w:t>the correct meaning of the relevant Union obligations;</w:t>
      </w:r>
      <w:r w:rsidR="005F2211" w:rsidRPr="0089051B">
        <w:rPr>
          <w:rFonts w:ascii="Times New Roman" w:hAnsi="Times New Roman" w:cs="Times New Roman"/>
        </w:rPr>
        <w:t xml:space="preserve"> </w:t>
      </w:r>
      <w:r w:rsidR="00157FA0" w:rsidRPr="0089051B">
        <w:rPr>
          <w:rFonts w:ascii="Times New Roman" w:hAnsi="Times New Roman" w:cs="Times New Roman"/>
        </w:rPr>
        <w:t xml:space="preserve">any request to qualify the retroactive effects of a preliminary ruling must be justified by overriding concerns of </w:t>
      </w:r>
      <w:r w:rsidR="005F2211" w:rsidRPr="0089051B">
        <w:rPr>
          <w:rFonts w:ascii="Times New Roman" w:hAnsi="Times New Roman" w:cs="Times New Roman"/>
        </w:rPr>
        <w:t>legal certainty</w:t>
      </w:r>
      <w:r w:rsidR="008E0353" w:rsidRPr="0089051B">
        <w:rPr>
          <w:rFonts w:ascii="Times New Roman" w:hAnsi="Times New Roman" w:cs="Times New Roman"/>
        </w:rPr>
        <w:t xml:space="preserve"> affecting all the interests involved (public and private)</w:t>
      </w:r>
      <w:r w:rsidR="00157FA0" w:rsidRPr="0089051B">
        <w:rPr>
          <w:rFonts w:ascii="Times New Roman" w:hAnsi="Times New Roman" w:cs="Times New Roman"/>
        </w:rPr>
        <w:t xml:space="preserve">; any temporal limitation </w:t>
      </w:r>
      <w:r w:rsidR="00B90427" w:rsidRPr="0089051B">
        <w:rPr>
          <w:rFonts w:ascii="Times New Roman" w:hAnsi="Times New Roman" w:cs="Times New Roman"/>
        </w:rPr>
        <w:t xml:space="preserve">must be </w:t>
      </w:r>
      <w:r w:rsidR="00157FA0" w:rsidRPr="0089051B">
        <w:rPr>
          <w:rFonts w:ascii="Times New Roman" w:hAnsi="Times New Roman" w:cs="Times New Roman"/>
        </w:rPr>
        <w:t xml:space="preserve">imposed in the relevant preliminary ruling </w:t>
      </w:r>
      <w:r w:rsidR="00B90427" w:rsidRPr="0089051B">
        <w:rPr>
          <w:rFonts w:ascii="Times New Roman" w:hAnsi="Times New Roman" w:cs="Times New Roman"/>
        </w:rPr>
        <w:t xml:space="preserve">(not during the course of subsequent judicial proceedings); and the Court will generally acknowledge an exception in favour of the </w:t>
      </w:r>
      <w:r w:rsidR="00D8433A" w:rsidRPr="0089051B">
        <w:rPr>
          <w:rFonts w:ascii="Times New Roman" w:hAnsi="Times New Roman" w:cs="Times New Roman"/>
        </w:rPr>
        <w:t xml:space="preserve">claimant and other </w:t>
      </w:r>
      <w:r w:rsidR="00B90427" w:rsidRPr="0089051B">
        <w:rPr>
          <w:rFonts w:ascii="Times New Roman" w:hAnsi="Times New Roman" w:cs="Times New Roman"/>
        </w:rPr>
        <w:t>natural or legal persons who have already initiated their own litigation by the relevant date.</w:t>
      </w:r>
      <w:r w:rsidR="00EF249F" w:rsidRPr="0089051B">
        <w:rPr>
          <w:rStyle w:val="FootnoteReference"/>
          <w:rFonts w:ascii="Times New Roman" w:hAnsi="Times New Roman" w:cs="Times New Roman"/>
        </w:rPr>
        <w:footnoteReference w:id="55"/>
      </w:r>
      <w:r w:rsidR="00B90427" w:rsidRPr="0089051B">
        <w:rPr>
          <w:rFonts w:ascii="Times New Roman" w:hAnsi="Times New Roman" w:cs="Times New Roman"/>
        </w:rPr>
        <w:t xml:space="preserve"> </w:t>
      </w:r>
    </w:p>
    <w:p w14:paraId="19AAA93B" w14:textId="44FEC613" w:rsidR="006E5E55" w:rsidRPr="0089051B" w:rsidRDefault="002017CD" w:rsidP="006E5E55">
      <w:pPr>
        <w:ind w:firstLine="720"/>
        <w:jc w:val="both"/>
        <w:rPr>
          <w:rFonts w:ascii="Times New Roman" w:hAnsi="Times New Roman" w:cs="Times New Roman"/>
        </w:rPr>
      </w:pPr>
      <w:r w:rsidRPr="0089051B">
        <w:rPr>
          <w:rFonts w:ascii="Times New Roman" w:hAnsi="Times New Roman" w:cs="Times New Roman"/>
        </w:rPr>
        <w:t xml:space="preserve">In the second place, </w:t>
      </w:r>
      <w:r w:rsidR="00B90427" w:rsidRPr="0089051B">
        <w:rPr>
          <w:rFonts w:ascii="Times New Roman" w:hAnsi="Times New Roman" w:cs="Times New Roman"/>
        </w:rPr>
        <w:t xml:space="preserve">the Court also exercises a general power to limit the </w:t>
      </w:r>
      <w:r w:rsidR="00DD5FC8" w:rsidRPr="0089051B">
        <w:rPr>
          <w:rFonts w:ascii="Times New Roman" w:hAnsi="Times New Roman" w:cs="Times New Roman"/>
        </w:rPr>
        <w:t xml:space="preserve">enforceability of Union acts as </w:t>
      </w:r>
      <w:r w:rsidR="00AC2A6A" w:rsidRPr="0089051B">
        <w:rPr>
          <w:rFonts w:ascii="Times New Roman" w:hAnsi="Times New Roman" w:cs="Times New Roman"/>
        </w:rPr>
        <w:t xml:space="preserve">a </w:t>
      </w:r>
      <w:r w:rsidR="00DD5FC8" w:rsidRPr="0089051B">
        <w:rPr>
          <w:rFonts w:ascii="Times New Roman" w:hAnsi="Times New Roman" w:cs="Times New Roman"/>
        </w:rPr>
        <w:t xml:space="preserve">result of non- </w:t>
      </w:r>
      <w:r w:rsidR="00B90427" w:rsidRPr="0089051B">
        <w:rPr>
          <w:rFonts w:ascii="Times New Roman" w:hAnsi="Times New Roman" w:cs="Times New Roman"/>
        </w:rPr>
        <w:t xml:space="preserve">or </w:t>
      </w:r>
      <w:r w:rsidR="00DD5FC8" w:rsidRPr="0089051B">
        <w:rPr>
          <w:rFonts w:ascii="Times New Roman" w:hAnsi="Times New Roman" w:cs="Times New Roman"/>
        </w:rPr>
        <w:t>inadequate publication</w:t>
      </w:r>
      <w:r w:rsidR="005F2211" w:rsidRPr="0089051B">
        <w:rPr>
          <w:rFonts w:ascii="Times New Roman" w:hAnsi="Times New Roman" w:cs="Times New Roman"/>
        </w:rPr>
        <w:t xml:space="preserve"> </w:t>
      </w:r>
      <w:r w:rsidR="00AC2A6A" w:rsidRPr="0089051B">
        <w:rPr>
          <w:rFonts w:ascii="Times New Roman" w:hAnsi="Times New Roman" w:cs="Times New Roman"/>
        </w:rPr>
        <w:t xml:space="preserve">in the Official Journal – covering situations where the relevant defect either affects the </w:t>
      </w:r>
      <w:r w:rsidR="005F2211" w:rsidRPr="0089051B">
        <w:rPr>
          <w:rFonts w:ascii="Times New Roman" w:hAnsi="Times New Roman" w:cs="Times New Roman"/>
        </w:rPr>
        <w:t xml:space="preserve">entire Union </w:t>
      </w:r>
      <w:r w:rsidR="00AC2A6A" w:rsidRPr="0089051B">
        <w:rPr>
          <w:rFonts w:ascii="Times New Roman" w:hAnsi="Times New Roman" w:cs="Times New Roman"/>
        </w:rPr>
        <w:t>(</w:t>
      </w:r>
      <w:r w:rsidR="005F2211" w:rsidRPr="0089051B">
        <w:rPr>
          <w:rFonts w:ascii="Times New Roman" w:hAnsi="Times New Roman" w:cs="Times New Roman"/>
        </w:rPr>
        <w:t xml:space="preserve">in </w:t>
      </w:r>
      <w:r w:rsidR="00AC2A6A" w:rsidRPr="0089051B">
        <w:rPr>
          <w:rFonts w:ascii="Times New Roman" w:hAnsi="Times New Roman" w:cs="Times New Roman"/>
        </w:rPr>
        <w:t>the case of general</w:t>
      </w:r>
      <w:r w:rsidR="005F2211" w:rsidRPr="0089051B">
        <w:rPr>
          <w:rFonts w:ascii="Times New Roman" w:hAnsi="Times New Roman" w:cs="Times New Roman"/>
        </w:rPr>
        <w:t xml:space="preserve"> </w:t>
      </w:r>
      <w:r w:rsidR="00AC2A6A" w:rsidRPr="0089051B">
        <w:rPr>
          <w:rFonts w:ascii="Times New Roman" w:hAnsi="Times New Roman" w:cs="Times New Roman"/>
        </w:rPr>
        <w:t>non-</w:t>
      </w:r>
      <w:r w:rsidR="005F2211" w:rsidRPr="0089051B">
        <w:rPr>
          <w:rFonts w:ascii="Times New Roman" w:hAnsi="Times New Roman" w:cs="Times New Roman"/>
        </w:rPr>
        <w:t>publication</w:t>
      </w:r>
      <w:r w:rsidR="00AC2A6A" w:rsidRPr="0089051B">
        <w:rPr>
          <w:rFonts w:ascii="Times New Roman" w:hAnsi="Times New Roman" w:cs="Times New Roman"/>
        </w:rPr>
        <w:t>);</w:t>
      </w:r>
      <w:r w:rsidR="00AC2A6A" w:rsidRPr="0089051B">
        <w:rPr>
          <w:rStyle w:val="FootnoteReference"/>
          <w:rFonts w:ascii="Times New Roman" w:hAnsi="Times New Roman" w:cs="Times New Roman"/>
        </w:rPr>
        <w:footnoteReference w:id="56"/>
      </w:r>
      <w:r w:rsidR="00AC2A6A" w:rsidRPr="0089051B">
        <w:rPr>
          <w:rFonts w:ascii="Times New Roman" w:hAnsi="Times New Roman" w:cs="Times New Roman"/>
        </w:rPr>
        <w:t xml:space="preserve"> or impacts only upon </w:t>
      </w:r>
      <w:r w:rsidR="005F2211" w:rsidRPr="0089051B">
        <w:rPr>
          <w:rFonts w:ascii="Times New Roman" w:hAnsi="Times New Roman" w:cs="Times New Roman"/>
        </w:rPr>
        <w:t xml:space="preserve">certain Member States </w:t>
      </w:r>
      <w:r w:rsidR="00AC2A6A" w:rsidRPr="0089051B">
        <w:rPr>
          <w:rFonts w:ascii="Times New Roman" w:hAnsi="Times New Roman" w:cs="Times New Roman"/>
        </w:rPr>
        <w:t>(</w:t>
      </w:r>
      <w:r w:rsidR="005F2211" w:rsidRPr="0089051B">
        <w:rPr>
          <w:rFonts w:ascii="Times New Roman" w:hAnsi="Times New Roman" w:cs="Times New Roman"/>
        </w:rPr>
        <w:t xml:space="preserve">in </w:t>
      </w:r>
      <w:r w:rsidR="00AC2A6A" w:rsidRPr="0089051B">
        <w:rPr>
          <w:rFonts w:ascii="Times New Roman" w:hAnsi="Times New Roman" w:cs="Times New Roman"/>
        </w:rPr>
        <w:t xml:space="preserve">the </w:t>
      </w:r>
      <w:r w:rsidR="005F2211" w:rsidRPr="0089051B">
        <w:rPr>
          <w:rFonts w:ascii="Times New Roman" w:hAnsi="Times New Roman" w:cs="Times New Roman"/>
        </w:rPr>
        <w:t xml:space="preserve">case of </w:t>
      </w:r>
      <w:r w:rsidR="00AC2A6A" w:rsidRPr="0089051B">
        <w:rPr>
          <w:rFonts w:ascii="Times New Roman" w:hAnsi="Times New Roman" w:cs="Times New Roman"/>
        </w:rPr>
        <w:t xml:space="preserve">non-publication in </w:t>
      </w:r>
      <w:r w:rsidR="002D78B4" w:rsidRPr="0089051B">
        <w:rPr>
          <w:rFonts w:ascii="Times New Roman" w:hAnsi="Times New Roman" w:cs="Times New Roman"/>
        </w:rPr>
        <w:t xml:space="preserve">specific </w:t>
      </w:r>
      <w:r w:rsidR="00AC2A6A" w:rsidRPr="0089051B">
        <w:rPr>
          <w:rFonts w:ascii="Times New Roman" w:hAnsi="Times New Roman" w:cs="Times New Roman"/>
        </w:rPr>
        <w:t xml:space="preserve">official </w:t>
      </w:r>
      <w:r w:rsidR="005F2211" w:rsidRPr="0089051B">
        <w:rPr>
          <w:rFonts w:ascii="Times New Roman" w:hAnsi="Times New Roman" w:cs="Times New Roman"/>
        </w:rPr>
        <w:t>language</w:t>
      </w:r>
      <w:r w:rsidR="00AC2A6A" w:rsidRPr="0089051B">
        <w:rPr>
          <w:rFonts w:ascii="Times New Roman" w:hAnsi="Times New Roman" w:cs="Times New Roman"/>
        </w:rPr>
        <w:t>s</w:t>
      </w:r>
      <w:r w:rsidR="005F2211" w:rsidRPr="0089051B">
        <w:rPr>
          <w:rFonts w:ascii="Times New Roman" w:hAnsi="Times New Roman" w:cs="Times New Roman"/>
        </w:rPr>
        <w:t>)</w:t>
      </w:r>
      <w:r w:rsidR="00AC2A6A" w:rsidRPr="0089051B">
        <w:rPr>
          <w:rFonts w:ascii="Times New Roman" w:hAnsi="Times New Roman" w:cs="Times New Roman"/>
        </w:rPr>
        <w:t>.</w:t>
      </w:r>
      <w:r w:rsidR="00AC2A6A" w:rsidRPr="0089051B">
        <w:rPr>
          <w:rStyle w:val="FootnoteReference"/>
          <w:rFonts w:ascii="Times New Roman" w:hAnsi="Times New Roman" w:cs="Times New Roman"/>
        </w:rPr>
        <w:footnoteReference w:id="57"/>
      </w:r>
      <w:r w:rsidR="00AC2A6A" w:rsidRPr="0089051B">
        <w:rPr>
          <w:rFonts w:ascii="Times New Roman" w:hAnsi="Times New Roman" w:cs="Times New Roman"/>
        </w:rPr>
        <w:t xml:space="preserve">  In such cases, overriding considerations of legal certainty, directly linked to the rule of law, require that the principle of </w:t>
      </w:r>
      <w:r w:rsidR="00B81FD5" w:rsidRPr="0089051B">
        <w:rPr>
          <w:rFonts w:ascii="Times New Roman" w:hAnsi="Times New Roman" w:cs="Times New Roman"/>
        </w:rPr>
        <w:t>primacy</w:t>
      </w:r>
      <w:r w:rsidR="00AC2A6A" w:rsidRPr="0089051B">
        <w:rPr>
          <w:rFonts w:ascii="Times New Roman" w:hAnsi="Times New Roman" w:cs="Times New Roman"/>
        </w:rPr>
        <w:t xml:space="preserve"> – i.e. availability of the remedy of disapplication – must effectively be suspended until full and proper publication of the disputed Union act.</w:t>
      </w:r>
      <w:r w:rsidR="006065FB" w:rsidRPr="0089051B">
        <w:rPr>
          <w:rStyle w:val="FootnoteReference"/>
          <w:rFonts w:ascii="Times New Roman" w:hAnsi="Times New Roman" w:cs="Times New Roman"/>
        </w:rPr>
        <w:footnoteReference w:id="58"/>
      </w:r>
      <w:r w:rsidR="00AC2A6A" w:rsidRPr="0089051B">
        <w:rPr>
          <w:rFonts w:ascii="Times New Roman" w:hAnsi="Times New Roman" w:cs="Times New Roman"/>
        </w:rPr>
        <w:t xml:space="preserve">  </w:t>
      </w:r>
      <w:r w:rsidR="00A60E4E" w:rsidRPr="0089051B">
        <w:rPr>
          <w:rFonts w:ascii="Times New Roman" w:hAnsi="Times New Roman" w:cs="Times New Roman"/>
        </w:rPr>
        <w:t>In these circumstances, m</w:t>
      </w:r>
      <w:r w:rsidR="00AC2A6A" w:rsidRPr="0089051B">
        <w:rPr>
          <w:rFonts w:ascii="Times New Roman" w:hAnsi="Times New Roman" w:cs="Times New Roman"/>
        </w:rPr>
        <w:t>oreover, the Court is not prepared to exercise its aforementioned jurisdiction to impose general temporal limitations on the retrospective effects of preliminary rulings</w:t>
      </w:r>
      <w:r w:rsidR="00A60E4E" w:rsidRPr="0089051B">
        <w:rPr>
          <w:rFonts w:ascii="Times New Roman" w:hAnsi="Times New Roman" w:cs="Times New Roman"/>
        </w:rPr>
        <w:t xml:space="preserve">: that would have the effect of neutralising the finding of defective publication, by </w:t>
      </w:r>
      <w:r w:rsidR="00AC2A6A" w:rsidRPr="0089051B">
        <w:rPr>
          <w:rFonts w:ascii="Times New Roman" w:hAnsi="Times New Roman" w:cs="Times New Roman"/>
        </w:rPr>
        <w:t>restrict</w:t>
      </w:r>
      <w:r w:rsidR="00A60E4E" w:rsidRPr="0089051B">
        <w:rPr>
          <w:rFonts w:ascii="Times New Roman" w:hAnsi="Times New Roman" w:cs="Times New Roman"/>
        </w:rPr>
        <w:t>ing</w:t>
      </w:r>
      <w:r w:rsidR="00AC2A6A" w:rsidRPr="0089051B">
        <w:rPr>
          <w:rFonts w:ascii="Times New Roman" w:hAnsi="Times New Roman" w:cs="Times New Roman"/>
        </w:rPr>
        <w:t xml:space="preserve"> the ability of individuals to resist the full </w:t>
      </w:r>
      <w:r w:rsidR="00A60E4E" w:rsidRPr="0089051B">
        <w:rPr>
          <w:rFonts w:ascii="Times New Roman" w:hAnsi="Times New Roman" w:cs="Times New Roman"/>
        </w:rPr>
        <w:t xml:space="preserve">domestic enforcement of the disputed Union measures.  Instead, the Court is only prepared to afford </w:t>
      </w:r>
      <w:r w:rsidR="005F2211" w:rsidRPr="0089051B">
        <w:rPr>
          <w:rFonts w:ascii="Times New Roman" w:hAnsi="Times New Roman" w:cs="Times New Roman"/>
        </w:rPr>
        <w:t xml:space="preserve">Member States </w:t>
      </w:r>
      <w:r w:rsidR="00A60E4E" w:rsidRPr="0089051B">
        <w:rPr>
          <w:rFonts w:ascii="Times New Roman" w:hAnsi="Times New Roman" w:cs="Times New Roman"/>
        </w:rPr>
        <w:t xml:space="preserve">the possibility of </w:t>
      </w:r>
      <w:r w:rsidR="005F2211" w:rsidRPr="0089051B">
        <w:rPr>
          <w:rFonts w:ascii="Times New Roman" w:hAnsi="Times New Roman" w:cs="Times New Roman"/>
        </w:rPr>
        <w:t>uphold</w:t>
      </w:r>
      <w:r w:rsidR="00A60E4E" w:rsidRPr="0089051B">
        <w:rPr>
          <w:rFonts w:ascii="Times New Roman" w:hAnsi="Times New Roman" w:cs="Times New Roman"/>
        </w:rPr>
        <w:t>ing</w:t>
      </w:r>
      <w:r w:rsidR="005F2211" w:rsidRPr="0089051B">
        <w:rPr>
          <w:rFonts w:ascii="Times New Roman" w:hAnsi="Times New Roman" w:cs="Times New Roman"/>
        </w:rPr>
        <w:t xml:space="preserve"> </w:t>
      </w:r>
      <w:r w:rsidR="00A60E4E" w:rsidRPr="0089051B">
        <w:rPr>
          <w:rFonts w:ascii="Times New Roman" w:hAnsi="Times New Roman" w:cs="Times New Roman"/>
        </w:rPr>
        <w:t xml:space="preserve">the </w:t>
      </w:r>
      <w:r w:rsidR="006207B0" w:rsidRPr="0089051B">
        <w:rPr>
          <w:rFonts w:ascii="Times New Roman" w:hAnsi="Times New Roman" w:cs="Times New Roman"/>
        </w:rPr>
        <w:t xml:space="preserve">finality of specific </w:t>
      </w:r>
      <w:r w:rsidR="00A60E4E" w:rsidRPr="0089051B">
        <w:rPr>
          <w:rFonts w:ascii="Times New Roman" w:hAnsi="Times New Roman" w:cs="Times New Roman"/>
        </w:rPr>
        <w:t xml:space="preserve">administrative or judicial </w:t>
      </w:r>
      <w:r w:rsidR="006207B0" w:rsidRPr="0089051B">
        <w:rPr>
          <w:rFonts w:ascii="Times New Roman" w:hAnsi="Times New Roman" w:cs="Times New Roman"/>
        </w:rPr>
        <w:t xml:space="preserve">decisions already </w:t>
      </w:r>
      <w:r w:rsidR="00A60E4E" w:rsidRPr="0089051B">
        <w:rPr>
          <w:rFonts w:ascii="Times New Roman" w:hAnsi="Times New Roman" w:cs="Times New Roman"/>
        </w:rPr>
        <w:t xml:space="preserve">adopted </w:t>
      </w:r>
      <w:r w:rsidR="005F2211" w:rsidRPr="0089051B">
        <w:rPr>
          <w:rFonts w:ascii="Times New Roman" w:hAnsi="Times New Roman" w:cs="Times New Roman"/>
        </w:rPr>
        <w:t xml:space="preserve">on </w:t>
      </w:r>
      <w:r w:rsidR="00A60E4E" w:rsidRPr="0089051B">
        <w:rPr>
          <w:rFonts w:ascii="Times New Roman" w:hAnsi="Times New Roman" w:cs="Times New Roman"/>
        </w:rPr>
        <w:t xml:space="preserve">the </w:t>
      </w:r>
      <w:r w:rsidR="005F2211" w:rsidRPr="0089051B">
        <w:rPr>
          <w:rFonts w:ascii="Times New Roman" w:hAnsi="Times New Roman" w:cs="Times New Roman"/>
        </w:rPr>
        <w:t xml:space="preserve">basis of </w:t>
      </w:r>
      <w:r w:rsidR="00A60E4E" w:rsidRPr="0089051B">
        <w:rPr>
          <w:rFonts w:ascii="Times New Roman" w:hAnsi="Times New Roman" w:cs="Times New Roman"/>
        </w:rPr>
        <w:t xml:space="preserve">the relevant Union measure – unless </w:t>
      </w:r>
      <w:r w:rsidR="006207B0" w:rsidRPr="0089051B">
        <w:rPr>
          <w:rFonts w:ascii="Times New Roman" w:hAnsi="Times New Roman" w:cs="Times New Roman"/>
        </w:rPr>
        <w:t xml:space="preserve">this would </w:t>
      </w:r>
      <w:r w:rsidR="00A60E4E" w:rsidRPr="0089051B">
        <w:rPr>
          <w:rFonts w:ascii="Times New Roman" w:hAnsi="Times New Roman" w:cs="Times New Roman"/>
        </w:rPr>
        <w:t xml:space="preserve">in itself </w:t>
      </w:r>
      <w:r w:rsidR="006207B0" w:rsidRPr="0089051B">
        <w:rPr>
          <w:rFonts w:ascii="Times New Roman" w:hAnsi="Times New Roman" w:cs="Times New Roman"/>
        </w:rPr>
        <w:t xml:space="preserve">lead to </w:t>
      </w:r>
      <w:r w:rsidR="00A60E4E" w:rsidRPr="0089051B">
        <w:rPr>
          <w:rFonts w:ascii="Times New Roman" w:hAnsi="Times New Roman" w:cs="Times New Roman"/>
        </w:rPr>
        <w:t xml:space="preserve">a </w:t>
      </w:r>
      <w:r w:rsidR="006207B0" w:rsidRPr="0089051B">
        <w:rPr>
          <w:rFonts w:ascii="Times New Roman" w:hAnsi="Times New Roman" w:cs="Times New Roman"/>
        </w:rPr>
        <w:t>breach of fundamental rights</w:t>
      </w:r>
      <w:r w:rsidR="00A60E4E" w:rsidRPr="0089051B">
        <w:rPr>
          <w:rFonts w:ascii="Times New Roman" w:hAnsi="Times New Roman" w:cs="Times New Roman"/>
        </w:rPr>
        <w:t xml:space="preserve"> protected under the Treaties.</w:t>
      </w:r>
      <w:r w:rsidR="00EF249F" w:rsidRPr="0089051B">
        <w:rPr>
          <w:rStyle w:val="FootnoteReference"/>
          <w:rFonts w:ascii="Times New Roman" w:hAnsi="Times New Roman" w:cs="Times New Roman"/>
        </w:rPr>
        <w:footnoteReference w:id="59"/>
      </w:r>
      <w:r w:rsidR="00A60E4E" w:rsidRPr="0089051B">
        <w:rPr>
          <w:rFonts w:ascii="Times New Roman" w:hAnsi="Times New Roman" w:cs="Times New Roman"/>
        </w:rPr>
        <w:t xml:space="preserve">  </w:t>
      </w:r>
    </w:p>
    <w:p w14:paraId="78456FBB" w14:textId="40EAE376" w:rsidR="006E5E55" w:rsidRPr="0089051B" w:rsidRDefault="002017CD" w:rsidP="006E5E55">
      <w:pPr>
        <w:ind w:firstLine="720"/>
        <w:jc w:val="both"/>
        <w:rPr>
          <w:rFonts w:ascii="Times New Roman" w:hAnsi="Times New Roman" w:cs="Times New Roman"/>
        </w:rPr>
      </w:pPr>
      <w:r w:rsidRPr="0089051B">
        <w:rPr>
          <w:rFonts w:ascii="Times New Roman" w:hAnsi="Times New Roman" w:cs="Times New Roman"/>
        </w:rPr>
        <w:t xml:space="preserve">In the third place, </w:t>
      </w:r>
      <w:r w:rsidR="00A60E4E" w:rsidRPr="0089051B">
        <w:rPr>
          <w:rFonts w:ascii="Times New Roman" w:hAnsi="Times New Roman" w:cs="Times New Roman"/>
        </w:rPr>
        <w:t xml:space="preserve">the Court has laid down the general rule that </w:t>
      </w:r>
      <w:r w:rsidR="00244F26" w:rsidRPr="0089051B">
        <w:rPr>
          <w:rFonts w:ascii="Times New Roman" w:hAnsi="Times New Roman" w:cs="Times New Roman"/>
        </w:rPr>
        <w:t xml:space="preserve">Union law </w:t>
      </w:r>
      <w:r w:rsidR="00A60E4E" w:rsidRPr="0089051B">
        <w:rPr>
          <w:rFonts w:ascii="Times New Roman" w:hAnsi="Times New Roman" w:cs="Times New Roman"/>
        </w:rPr>
        <w:t>cannot of itself provide</w:t>
      </w:r>
      <w:r w:rsidR="00244F26" w:rsidRPr="0089051B">
        <w:rPr>
          <w:rFonts w:ascii="Times New Roman" w:hAnsi="Times New Roman" w:cs="Times New Roman"/>
        </w:rPr>
        <w:t xml:space="preserve"> </w:t>
      </w:r>
      <w:r w:rsidR="00A60E4E" w:rsidRPr="0089051B">
        <w:rPr>
          <w:rFonts w:ascii="Times New Roman" w:hAnsi="Times New Roman" w:cs="Times New Roman"/>
        </w:rPr>
        <w:t xml:space="preserve">a </w:t>
      </w:r>
      <w:r w:rsidR="00244F26" w:rsidRPr="0089051B">
        <w:rPr>
          <w:rFonts w:ascii="Times New Roman" w:hAnsi="Times New Roman" w:cs="Times New Roman"/>
        </w:rPr>
        <w:t xml:space="preserve">basis for </w:t>
      </w:r>
      <w:r w:rsidR="00A60E4E" w:rsidRPr="0089051B">
        <w:rPr>
          <w:rFonts w:ascii="Times New Roman" w:hAnsi="Times New Roman" w:cs="Times New Roman"/>
        </w:rPr>
        <w:t xml:space="preserve">the </w:t>
      </w:r>
      <w:r w:rsidR="00244F26" w:rsidRPr="0089051B">
        <w:rPr>
          <w:rFonts w:ascii="Times New Roman" w:hAnsi="Times New Roman" w:cs="Times New Roman"/>
        </w:rPr>
        <w:t xml:space="preserve">retrospective aggravation of </w:t>
      </w:r>
      <w:r w:rsidR="00A60E4E" w:rsidRPr="0089051B">
        <w:rPr>
          <w:rFonts w:ascii="Times New Roman" w:hAnsi="Times New Roman" w:cs="Times New Roman"/>
        </w:rPr>
        <w:t xml:space="preserve">an individual’s </w:t>
      </w:r>
      <w:r w:rsidR="007A7D11" w:rsidRPr="0089051B">
        <w:rPr>
          <w:rFonts w:ascii="Times New Roman" w:hAnsi="Times New Roman" w:cs="Times New Roman"/>
        </w:rPr>
        <w:t>criminal liability</w:t>
      </w:r>
      <w:r w:rsidR="00A60E4E" w:rsidRPr="0089051B">
        <w:rPr>
          <w:rFonts w:ascii="Times New Roman" w:hAnsi="Times New Roman" w:cs="Times New Roman"/>
        </w:rPr>
        <w:t xml:space="preserve"> under national law.  That general rule has been articulated primarily in the context of the duty of consistent interpretation insofar as it applies to criminal litigation involving a potential conflict between Union and national law;</w:t>
      </w:r>
      <w:r w:rsidR="00A60E4E" w:rsidRPr="0089051B">
        <w:rPr>
          <w:rStyle w:val="FootnoteReference"/>
          <w:rFonts w:ascii="Times New Roman" w:hAnsi="Times New Roman" w:cs="Times New Roman"/>
        </w:rPr>
        <w:footnoteReference w:id="60"/>
      </w:r>
      <w:r w:rsidR="00A60E4E" w:rsidRPr="0089051B">
        <w:rPr>
          <w:rFonts w:ascii="Times New Roman" w:hAnsi="Times New Roman" w:cs="Times New Roman"/>
        </w:rPr>
        <w:t xml:space="preserve"> </w:t>
      </w:r>
      <w:r w:rsidR="007A7D11" w:rsidRPr="0089051B">
        <w:rPr>
          <w:rFonts w:ascii="Times New Roman" w:hAnsi="Times New Roman" w:cs="Times New Roman"/>
        </w:rPr>
        <w:t xml:space="preserve">but </w:t>
      </w:r>
      <w:r w:rsidR="00A60E4E" w:rsidRPr="0089051B">
        <w:rPr>
          <w:rFonts w:ascii="Times New Roman" w:hAnsi="Times New Roman" w:cs="Times New Roman"/>
        </w:rPr>
        <w:t xml:space="preserve">the </w:t>
      </w:r>
      <w:r w:rsidR="00A60E4E" w:rsidRPr="0089051B">
        <w:rPr>
          <w:rFonts w:ascii="Times New Roman" w:hAnsi="Times New Roman" w:cs="Times New Roman"/>
        </w:rPr>
        <w:lastRenderedPageBreak/>
        <w:t xml:space="preserve">same approach is required also in situations where aggravated criminal liability would be the result of the simple disapplication of incompatible national law based on the direct effect and </w:t>
      </w:r>
      <w:r w:rsidR="00B81FD5" w:rsidRPr="0089051B">
        <w:rPr>
          <w:rFonts w:ascii="Times New Roman" w:hAnsi="Times New Roman" w:cs="Times New Roman"/>
        </w:rPr>
        <w:t>primacy</w:t>
      </w:r>
      <w:r w:rsidR="00A60E4E" w:rsidRPr="0089051B">
        <w:rPr>
          <w:rFonts w:ascii="Times New Roman" w:hAnsi="Times New Roman" w:cs="Times New Roman"/>
        </w:rPr>
        <w:t xml:space="preserve"> of any given Union measure.</w:t>
      </w:r>
      <w:r w:rsidR="00A60E4E" w:rsidRPr="0089051B">
        <w:rPr>
          <w:rStyle w:val="FootnoteReference"/>
          <w:rFonts w:ascii="Times New Roman" w:hAnsi="Times New Roman" w:cs="Times New Roman"/>
        </w:rPr>
        <w:footnoteReference w:id="61"/>
      </w:r>
      <w:r w:rsidR="00475360" w:rsidRPr="0089051B">
        <w:rPr>
          <w:rFonts w:ascii="Times New Roman" w:hAnsi="Times New Roman" w:cs="Times New Roman"/>
        </w:rPr>
        <w:t xml:space="preserve">  </w:t>
      </w:r>
      <w:r w:rsidR="00F3552C" w:rsidRPr="0089051B">
        <w:rPr>
          <w:rFonts w:ascii="Times New Roman" w:hAnsi="Times New Roman" w:cs="Times New Roman"/>
        </w:rPr>
        <w:t xml:space="preserve">As before, the </w:t>
      </w:r>
      <w:r w:rsidR="008E6D51" w:rsidRPr="0089051B">
        <w:rPr>
          <w:rFonts w:ascii="Times New Roman" w:hAnsi="Times New Roman" w:cs="Times New Roman"/>
        </w:rPr>
        <w:t xml:space="preserve">Court has been called upon to explore and explain </w:t>
      </w:r>
      <w:r w:rsidR="00F3552C" w:rsidRPr="0089051B">
        <w:rPr>
          <w:rFonts w:ascii="Times New Roman" w:hAnsi="Times New Roman" w:cs="Times New Roman"/>
        </w:rPr>
        <w:t xml:space="preserve">the more detailed implications of this </w:t>
      </w:r>
      <w:r w:rsidR="008E6D51" w:rsidRPr="0089051B">
        <w:rPr>
          <w:rFonts w:ascii="Times New Roman" w:hAnsi="Times New Roman" w:cs="Times New Roman"/>
        </w:rPr>
        <w:t xml:space="preserve">centrally imposed exception to the standard techniques for enforcing Union law within the domestic legal system: for example, by drawing a (much criticised) distinction between substantive and procedural criminal law provisions, with the latter apparently still amenable to the full implications of both the duty of consistent interpretation and (assuming </w:t>
      </w:r>
      <w:proofErr w:type="spellStart"/>
      <w:r w:rsidR="008E6D51" w:rsidRPr="0089051B">
        <w:rPr>
          <w:rFonts w:ascii="Times New Roman" w:hAnsi="Times New Roman" w:cs="Times New Roman"/>
        </w:rPr>
        <w:t>cognisability</w:t>
      </w:r>
      <w:proofErr w:type="spellEnd"/>
      <w:r w:rsidR="008E6D51" w:rsidRPr="0089051B">
        <w:rPr>
          <w:rFonts w:ascii="Times New Roman" w:hAnsi="Times New Roman" w:cs="Times New Roman"/>
        </w:rPr>
        <w:t xml:space="preserve"> of the relevant Union measure through its direct effect) the principle of primacy.</w:t>
      </w:r>
      <w:r w:rsidR="008E6D51" w:rsidRPr="0089051B">
        <w:rPr>
          <w:rStyle w:val="FootnoteReference"/>
          <w:rFonts w:ascii="Times New Roman" w:hAnsi="Times New Roman" w:cs="Times New Roman"/>
        </w:rPr>
        <w:footnoteReference w:id="62"/>
      </w:r>
      <w:r w:rsidR="008E6D51" w:rsidRPr="0089051B">
        <w:rPr>
          <w:rFonts w:ascii="Times New Roman" w:hAnsi="Times New Roman" w:cs="Times New Roman"/>
        </w:rPr>
        <w:t xml:space="preserve"> </w:t>
      </w:r>
    </w:p>
    <w:p w14:paraId="3365F301" w14:textId="39EF96C2" w:rsidR="007A7D11" w:rsidRPr="0089051B" w:rsidRDefault="002017CD" w:rsidP="006E5E55">
      <w:pPr>
        <w:ind w:firstLine="720"/>
        <w:jc w:val="both"/>
        <w:rPr>
          <w:rFonts w:ascii="Times New Roman" w:hAnsi="Times New Roman" w:cs="Times New Roman"/>
        </w:rPr>
      </w:pPr>
      <w:r w:rsidRPr="0089051B">
        <w:rPr>
          <w:rFonts w:ascii="Times New Roman" w:hAnsi="Times New Roman" w:cs="Times New Roman"/>
        </w:rPr>
        <w:t xml:space="preserve">In the fourth place, </w:t>
      </w:r>
      <w:r w:rsidR="008E6D51" w:rsidRPr="0089051B">
        <w:rPr>
          <w:rFonts w:ascii="Times New Roman" w:hAnsi="Times New Roman" w:cs="Times New Roman"/>
        </w:rPr>
        <w:t xml:space="preserve">there are disputes where the national authorities are duly involved in the implementation of Union law within the Member State, but engage in </w:t>
      </w:r>
      <w:r w:rsidR="002E1971" w:rsidRPr="0089051B">
        <w:rPr>
          <w:rFonts w:ascii="Times New Roman" w:hAnsi="Times New Roman" w:cs="Times New Roman"/>
        </w:rPr>
        <w:t xml:space="preserve">specific </w:t>
      </w:r>
      <w:r w:rsidR="008E6D51" w:rsidRPr="0089051B">
        <w:rPr>
          <w:rFonts w:ascii="Times New Roman" w:hAnsi="Times New Roman" w:cs="Times New Roman"/>
        </w:rPr>
        <w:t xml:space="preserve">conduct which is alleged to </w:t>
      </w:r>
      <w:r w:rsidR="002E1971" w:rsidRPr="0089051B">
        <w:rPr>
          <w:rFonts w:ascii="Times New Roman" w:hAnsi="Times New Roman" w:cs="Times New Roman"/>
        </w:rPr>
        <w:t>breach the legitimate expectations of (or otherwise generate an intolerable state of legal uncertainty for) natural or legal persons</w:t>
      </w:r>
      <w:r w:rsidR="00F26047" w:rsidRPr="0089051B">
        <w:rPr>
          <w:rFonts w:ascii="Times New Roman" w:hAnsi="Times New Roman" w:cs="Times New Roman"/>
        </w:rPr>
        <w:t xml:space="preserve">: for example, by making specific promises about how the relevant authorities intend to exercise their discretionary powers under Union law, on the basis of which the claimant </w:t>
      </w:r>
      <w:r w:rsidR="00AC74CB">
        <w:rPr>
          <w:rFonts w:ascii="Times New Roman" w:hAnsi="Times New Roman" w:cs="Times New Roman"/>
        </w:rPr>
        <w:t xml:space="preserve">then </w:t>
      </w:r>
      <w:r w:rsidR="00F26047" w:rsidRPr="0089051B">
        <w:rPr>
          <w:rFonts w:ascii="Times New Roman" w:hAnsi="Times New Roman" w:cs="Times New Roman"/>
        </w:rPr>
        <w:t>determined their conduct, only to find that the Member State now seeks to renege upon its previous assurances</w:t>
      </w:r>
      <w:r w:rsidR="002E1971" w:rsidRPr="0089051B">
        <w:rPr>
          <w:rFonts w:ascii="Times New Roman" w:hAnsi="Times New Roman" w:cs="Times New Roman"/>
        </w:rPr>
        <w:t xml:space="preserve">.  Since the national authorities are acting within the scope of the Treaties, they are directly bound by the provisions of the Charter as well as the general principles of Union law – including the full array of </w:t>
      </w:r>
      <w:r w:rsidR="00551F82" w:rsidRPr="0089051B">
        <w:rPr>
          <w:rFonts w:ascii="Times New Roman" w:hAnsi="Times New Roman" w:cs="Times New Roman"/>
        </w:rPr>
        <w:t>Union-wide administrative law principles</w:t>
      </w:r>
      <w:r w:rsidR="002E1971" w:rsidRPr="0089051B">
        <w:rPr>
          <w:rFonts w:ascii="Times New Roman" w:hAnsi="Times New Roman" w:cs="Times New Roman"/>
        </w:rPr>
        <w:t xml:space="preserve"> which have been developed by the Court </w:t>
      </w:r>
      <w:r w:rsidR="00AC74CB">
        <w:rPr>
          <w:rFonts w:ascii="Times New Roman" w:hAnsi="Times New Roman" w:cs="Times New Roman"/>
        </w:rPr>
        <w:t xml:space="preserve">and should be applied by the national judges </w:t>
      </w:r>
      <w:r w:rsidR="002E1971" w:rsidRPr="0089051B">
        <w:rPr>
          <w:rFonts w:ascii="Times New Roman" w:hAnsi="Times New Roman" w:cs="Times New Roman"/>
        </w:rPr>
        <w:t xml:space="preserve">so as to protect against </w:t>
      </w:r>
      <w:r w:rsidR="00F26047" w:rsidRPr="0089051B">
        <w:rPr>
          <w:rFonts w:ascii="Times New Roman" w:hAnsi="Times New Roman" w:cs="Times New Roman"/>
        </w:rPr>
        <w:t>the abuse of</w:t>
      </w:r>
      <w:r w:rsidR="002E1971" w:rsidRPr="0089051B">
        <w:rPr>
          <w:rFonts w:ascii="Times New Roman" w:hAnsi="Times New Roman" w:cs="Times New Roman"/>
        </w:rPr>
        <w:t xml:space="preserve"> executive power and </w:t>
      </w:r>
      <w:r w:rsidR="00F26047" w:rsidRPr="0089051B">
        <w:rPr>
          <w:rFonts w:ascii="Times New Roman" w:hAnsi="Times New Roman" w:cs="Times New Roman"/>
        </w:rPr>
        <w:t xml:space="preserve">to </w:t>
      </w:r>
      <w:r w:rsidR="002E1971" w:rsidRPr="0089051B">
        <w:rPr>
          <w:rFonts w:ascii="Times New Roman" w:hAnsi="Times New Roman" w:cs="Times New Roman"/>
        </w:rPr>
        <w:t>improve standards of good governance.</w:t>
      </w:r>
      <w:r w:rsidR="002E1971" w:rsidRPr="0089051B">
        <w:rPr>
          <w:rStyle w:val="FootnoteReference"/>
          <w:rFonts w:ascii="Times New Roman" w:hAnsi="Times New Roman" w:cs="Times New Roman"/>
        </w:rPr>
        <w:footnoteReference w:id="63"/>
      </w:r>
      <w:r w:rsidR="002E1971" w:rsidRPr="0089051B">
        <w:rPr>
          <w:rFonts w:ascii="Times New Roman" w:hAnsi="Times New Roman" w:cs="Times New Roman"/>
        </w:rPr>
        <w:t xml:space="preserve"> </w:t>
      </w:r>
    </w:p>
    <w:p w14:paraId="4971CA61" w14:textId="77777777" w:rsidR="0078621E" w:rsidRPr="0089051B" w:rsidRDefault="0078621E" w:rsidP="0061452E">
      <w:pPr>
        <w:jc w:val="both"/>
        <w:rPr>
          <w:rFonts w:ascii="Times New Roman" w:hAnsi="Times New Roman" w:cs="Times New Roman"/>
        </w:rPr>
      </w:pPr>
    </w:p>
    <w:p w14:paraId="777919DF" w14:textId="049A9A1B" w:rsidR="00AA0FDE" w:rsidRPr="0089051B" w:rsidRDefault="00727EDA" w:rsidP="0061452E">
      <w:pPr>
        <w:jc w:val="both"/>
        <w:rPr>
          <w:rFonts w:ascii="Times New Roman" w:hAnsi="Times New Roman" w:cs="Times New Roman"/>
          <w:i/>
        </w:rPr>
      </w:pPr>
      <w:r w:rsidRPr="0089051B">
        <w:rPr>
          <w:rFonts w:ascii="Times New Roman" w:hAnsi="Times New Roman" w:cs="Times New Roman"/>
          <w:i/>
        </w:rPr>
        <w:t>4.2.</w:t>
      </w:r>
      <w:r w:rsidRPr="0089051B">
        <w:rPr>
          <w:rFonts w:ascii="Times New Roman" w:hAnsi="Times New Roman" w:cs="Times New Roman"/>
          <w:i/>
        </w:rPr>
        <w:tab/>
      </w:r>
      <w:r w:rsidR="00AA0FDE" w:rsidRPr="0089051B">
        <w:rPr>
          <w:rFonts w:ascii="Times New Roman" w:hAnsi="Times New Roman" w:cs="Times New Roman"/>
          <w:i/>
        </w:rPr>
        <w:t>Decentralised jurisdiction</w:t>
      </w:r>
    </w:p>
    <w:p w14:paraId="7BE26636" w14:textId="77777777" w:rsidR="00AA0FDE" w:rsidRPr="0089051B" w:rsidRDefault="00AA0FDE" w:rsidP="0061452E">
      <w:pPr>
        <w:jc w:val="both"/>
        <w:rPr>
          <w:rFonts w:ascii="Times New Roman" w:hAnsi="Times New Roman" w:cs="Times New Roman"/>
        </w:rPr>
      </w:pPr>
    </w:p>
    <w:p w14:paraId="21812A95" w14:textId="37776299" w:rsidR="006E5E55" w:rsidRPr="0089051B" w:rsidRDefault="002E1971" w:rsidP="0061452E">
      <w:pPr>
        <w:jc w:val="both"/>
        <w:rPr>
          <w:rFonts w:ascii="Times New Roman" w:hAnsi="Times New Roman" w:cs="Times New Roman"/>
        </w:rPr>
      </w:pPr>
      <w:r w:rsidRPr="0089051B">
        <w:rPr>
          <w:rFonts w:ascii="Times New Roman" w:hAnsi="Times New Roman" w:cs="Times New Roman"/>
        </w:rPr>
        <w:t xml:space="preserve">Beyond those standardised categories of centralised jurisdiction, purported restrictions on the </w:t>
      </w:r>
      <w:r w:rsidR="0078621E" w:rsidRPr="0089051B">
        <w:rPr>
          <w:rFonts w:ascii="Times New Roman" w:hAnsi="Times New Roman" w:cs="Times New Roman"/>
        </w:rPr>
        <w:t>remedy of disapplication</w:t>
      </w:r>
      <w:r w:rsidR="006512D8" w:rsidRPr="0089051B">
        <w:rPr>
          <w:rFonts w:ascii="Times New Roman" w:hAnsi="Times New Roman" w:cs="Times New Roman"/>
        </w:rPr>
        <w:t>, on the basis of concerns over legal certainty and undue retrospective effects,</w:t>
      </w:r>
      <w:r w:rsidR="0078621E" w:rsidRPr="0089051B">
        <w:rPr>
          <w:rFonts w:ascii="Times New Roman" w:hAnsi="Times New Roman" w:cs="Times New Roman"/>
        </w:rPr>
        <w:t xml:space="preserve"> </w:t>
      </w:r>
      <w:r w:rsidR="00244F26" w:rsidRPr="0089051B">
        <w:rPr>
          <w:rFonts w:ascii="Times New Roman" w:hAnsi="Times New Roman" w:cs="Times New Roman"/>
        </w:rPr>
        <w:t xml:space="preserve">are instead </w:t>
      </w:r>
      <w:r w:rsidR="006512D8" w:rsidRPr="0089051B">
        <w:rPr>
          <w:rFonts w:ascii="Times New Roman" w:hAnsi="Times New Roman" w:cs="Times New Roman"/>
        </w:rPr>
        <w:t xml:space="preserve">to be </w:t>
      </w:r>
      <w:r w:rsidR="0078621E" w:rsidRPr="0089051B">
        <w:rPr>
          <w:rFonts w:ascii="Times New Roman" w:hAnsi="Times New Roman" w:cs="Times New Roman"/>
        </w:rPr>
        <w:t xml:space="preserve">determined </w:t>
      </w:r>
      <w:r w:rsidR="006512D8" w:rsidRPr="0089051B">
        <w:rPr>
          <w:rFonts w:ascii="Times New Roman" w:hAnsi="Times New Roman" w:cs="Times New Roman"/>
        </w:rPr>
        <w:t xml:space="preserve">in accordance with </w:t>
      </w:r>
      <w:r w:rsidR="0078621E" w:rsidRPr="0089051B">
        <w:rPr>
          <w:rFonts w:ascii="Times New Roman" w:hAnsi="Times New Roman" w:cs="Times New Roman"/>
        </w:rPr>
        <w:t>national rules</w:t>
      </w:r>
      <w:r w:rsidR="00EF575F" w:rsidRPr="0089051B">
        <w:rPr>
          <w:rFonts w:ascii="Times New Roman" w:hAnsi="Times New Roman" w:cs="Times New Roman"/>
        </w:rPr>
        <w:t xml:space="preserve"> </w:t>
      </w:r>
      <w:r w:rsidR="006512D8" w:rsidRPr="0089051B">
        <w:rPr>
          <w:rFonts w:ascii="Times New Roman" w:hAnsi="Times New Roman" w:cs="Times New Roman"/>
        </w:rPr>
        <w:t xml:space="preserve">adopted in </w:t>
      </w:r>
      <w:r w:rsidR="00EF575F" w:rsidRPr="0089051B">
        <w:rPr>
          <w:rFonts w:ascii="Times New Roman" w:hAnsi="Times New Roman" w:cs="Times New Roman"/>
        </w:rPr>
        <w:t xml:space="preserve">exercise of </w:t>
      </w:r>
      <w:r w:rsidR="006512D8" w:rsidRPr="0089051B">
        <w:rPr>
          <w:rFonts w:ascii="Times New Roman" w:hAnsi="Times New Roman" w:cs="Times New Roman"/>
        </w:rPr>
        <w:t xml:space="preserve">the Member State’s </w:t>
      </w:r>
      <w:r w:rsidR="00AC74CB">
        <w:rPr>
          <w:rFonts w:ascii="Times New Roman" w:hAnsi="Times New Roman" w:cs="Times New Roman"/>
        </w:rPr>
        <w:t xml:space="preserve">own </w:t>
      </w:r>
      <w:r w:rsidR="00EF575F" w:rsidRPr="0089051B">
        <w:rPr>
          <w:rFonts w:ascii="Times New Roman" w:hAnsi="Times New Roman" w:cs="Times New Roman"/>
        </w:rPr>
        <w:t>procedural autonomy</w:t>
      </w:r>
      <w:r w:rsidR="006512D8" w:rsidRPr="0089051B">
        <w:rPr>
          <w:rFonts w:ascii="Times New Roman" w:hAnsi="Times New Roman" w:cs="Times New Roman"/>
        </w:rPr>
        <w:t xml:space="preserve"> – but </w:t>
      </w:r>
      <w:r w:rsidR="0078621E" w:rsidRPr="0089051B">
        <w:rPr>
          <w:rFonts w:ascii="Times New Roman" w:hAnsi="Times New Roman" w:cs="Times New Roman"/>
        </w:rPr>
        <w:t xml:space="preserve">subject to oversight </w:t>
      </w:r>
      <w:r w:rsidR="006512D8" w:rsidRPr="0089051B">
        <w:rPr>
          <w:rFonts w:ascii="Times New Roman" w:hAnsi="Times New Roman" w:cs="Times New Roman"/>
        </w:rPr>
        <w:t xml:space="preserve">and </w:t>
      </w:r>
      <w:r w:rsidR="0078621E" w:rsidRPr="0089051B">
        <w:rPr>
          <w:rFonts w:ascii="Times New Roman" w:hAnsi="Times New Roman" w:cs="Times New Roman"/>
        </w:rPr>
        <w:t xml:space="preserve">scrutiny </w:t>
      </w:r>
      <w:r w:rsidR="006512D8" w:rsidRPr="0089051B">
        <w:rPr>
          <w:rFonts w:ascii="Times New Roman" w:hAnsi="Times New Roman" w:cs="Times New Roman"/>
        </w:rPr>
        <w:t xml:space="preserve">under </w:t>
      </w:r>
      <w:r w:rsidR="0078621E" w:rsidRPr="0089051B">
        <w:rPr>
          <w:rFonts w:ascii="Times New Roman" w:hAnsi="Times New Roman" w:cs="Times New Roman"/>
        </w:rPr>
        <w:t>Union law</w:t>
      </w:r>
      <w:r w:rsidR="00244F26" w:rsidRPr="0089051B">
        <w:rPr>
          <w:rFonts w:ascii="Times New Roman" w:hAnsi="Times New Roman" w:cs="Times New Roman"/>
        </w:rPr>
        <w:t xml:space="preserve"> on </w:t>
      </w:r>
      <w:r w:rsidR="006512D8" w:rsidRPr="0089051B">
        <w:rPr>
          <w:rFonts w:ascii="Times New Roman" w:hAnsi="Times New Roman" w:cs="Times New Roman"/>
        </w:rPr>
        <w:t xml:space="preserve">the </w:t>
      </w:r>
      <w:r w:rsidR="00244F26" w:rsidRPr="0089051B">
        <w:rPr>
          <w:rFonts w:ascii="Times New Roman" w:hAnsi="Times New Roman" w:cs="Times New Roman"/>
        </w:rPr>
        <w:t xml:space="preserve">basis of </w:t>
      </w:r>
      <w:r w:rsidR="006512D8" w:rsidRPr="0089051B">
        <w:rPr>
          <w:rFonts w:ascii="Times New Roman" w:hAnsi="Times New Roman" w:cs="Times New Roman"/>
        </w:rPr>
        <w:t xml:space="preserve">the familiar </w:t>
      </w:r>
      <w:r w:rsidR="00244F26" w:rsidRPr="0089051B">
        <w:rPr>
          <w:rFonts w:ascii="Times New Roman" w:hAnsi="Times New Roman" w:cs="Times New Roman"/>
        </w:rPr>
        <w:t xml:space="preserve">principles </w:t>
      </w:r>
      <w:r w:rsidR="006512D8" w:rsidRPr="0089051B">
        <w:rPr>
          <w:rFonts w:ascii="Times New Roman" w:hAnsi="Times New Roman" w:cs="Times New Roman"/>
        </w:rPr>
        <w:t xml:space="preserve">of </w:t>
      </w:r>
      <w:r w:rsidR="00244F26" w:rsidRPr="0089051B">
        <w:rPr>
          <w:rFonts w:ascii="Times New Roman" w:hAnsi="Times New Roman" w:cs="Times New Roman"/>
        </w:rPr>
        <w:t>equivalence and effectiveness</w:t>
      </w:r>
      <w:r w:rsidR="0078621E" w:rsidRPr="0089051B">
        <w:rPr>
          <w:rFonts w:ascii="Times New Roman" w:hAnsi="Times New Roman" w:cs="Times New Roman"/>
        </w:rPr>
        <w:t xml:space="preserve">.  </w:t>
      </w:r>
      <w:r w:rsidR="00AD4C54" w:rsidRPr="0089051B">
        <w:rPr>
          <w:rFonts w:ascii="Times New Roman" w:hAnsi="Times New Roman" w:cs="Times New Roman"/>
        </w:rPr>
        <w:t>D</w:t>
      </w:r>
      <w:r w:rsidR="001F4BA1" w:rsidRPr="0089051B">
        <w:rPr>
          <w:rFonts w:ascii="Times New Roman" w:hAnsi="Times New Roman" w:cs="Times New Roman"/>
        </w:rPr>
        <w:t xml:space="preserve">ecentralised jurisdiction to limit </w:t>
      </w:r>
      <w:r w:rsidR="006512D8" w:rsidRPr="0089051B">
        <w:rPr>
          <w:rFonts w:ascii="Times New Roman" w:hAnsi="Times New Roman" w:cs="Times New Roman"/>
        </w:rPr>
        <w:t xml:space="preserve">the temporal </w:t>
      </w:r>
      <w:r w:rsidR="001F4BA1" w:rsidRPr="0089051B">
        <w:rPr>
          <w:rFonts w:ascii="Times New Roman" w:hAnsi="Times New Roman" w:cs="Times New Roman"/>
        </w:rPr>
        <w:t xml:space="preserve">scope of </w:t>
      </w:r>
      <w:r w:rsidR="006512D8" w:rsidRPr="0089051B">
        <w:rPr>
          <w:rFonts w:ascii="Times New Roman" w:hAnsi="Times New Roman" w:cs="Times New Roman"/>
        </w:rPr>
        <w:t xml:space="preserve">the </w:t>
      </w:r>
      <w:r w:rsidR="00AD4C54" w:rsidRPr="0089051B">
        <w:rPr>
          <w:rFonts w:ascii="Times New Roman" w:hAnsi="Times New Roman" w:cs="Times New Roman"/>
        </w:rPr>
        <w:t xml:space="preserve">principle of </w:t>
      </w:r>
      <w:r w:rsidR="00B81FD5" w:rsidRPr="0089051B">
        <w:rPr>
          <w:rFonts w:ascii="Times New Roman" w:hAnsi="Times New Roman" w:cs="Times New Roman"/>
        </w:rPr>
        <w:t>primacy</w:t>
      </w:r>
      <w:r w:rsidR="006512D8" w:rsidRPr="0089051B">
        <w:rPr>
          <w:rFonts w:ascii="Times New Roman" w:hAnsi="Times New Roman" w:cs="Times New Roman"/>
        </w:rPr>
        <w:t xml:space="preserve"> is only to be exercised (to begin with) in the </w:t>
      </w:r>
      <w:r w:rsidR="001F4BA1" w:rsidRPr="0089051B">
        <w:rPr>
          <w:rFonts w:ascii="Times New Roman" w:hAnsi="Times New Roman" w:cs="Times New Roman"/>
        </w:rPr>
        <w:t xml:space="preserve">absence of Union-wide standards </w:t>
      </w:r>
      <w:r w:rsidR="006512D8" w:rsidRPr="0089051B">
        <w:rPr>
          <w:rFonts w:ascii="Times New Roman" w:hAnsi="Times New Roman" w:cs="Times New Roman"/>
        </w:rPr>
        <w:t xml:space="preserve">of protection </w:t>
      </w:r>
      <w:r w:rsidR="001F4BA1" w:rsidRPr="0089051B">
        <w:rPr>
          <w:rFonts w:ascii="Times New Roman" w:hAnsi="Times New Roman" w:cs="Times New Roman"/>
        </w:rPr>
        <w:t xml:space="preserve">as interpreted </w:t>
      </w:r>
      <w:r w:rsidR="006512D8" w:rsidRPr="0089051B">
        <w:rPr>
          <w:rFonts w:ascii="Times New Roman" w:hAnsi="Times New Roman" w:cs="Times New Roman"/>
        </w:rPr>
        <w:t xml:space="preserve">and sanctioned </w:t>
      </w:r>
      <w:r w:rsidR="001F4BA1" w:rsidRPr="0089051B">
        <w:rPr>
          <w:rFonts w:ascii="Times New Roman" w:hAnsi="Times New Roman" w:cs="Times New Roman"/>
        </w:rPr>
        <w:t>by the Court</w:t>
      </w:r>
      <w:r w:rsidR="006512D8" w:rsidRPr="0089051B">
        <w:rPr>
          <w:rFonts w:ascii="Times New Roman" w:hAnsi="Times New Roman" w:cs="Times New Roman"/>
        </w:rPr>
        <w:t xml:space="preserve"> and (in any event) insofar as the </w:t>
      </w:r>
      <w:r w:rsidR="003F2DCA" w:rsidRPr="0089051B">
        <w:rPr>
          <w:rFonts w:ascii="Times New Roman" w:hAnsi="Times New Roman" w:cs="Times New Roman"/>
        </w:rPr>
        <w:t xml:space="preserve">national </w:t>
      </w:r>
      <w:r w:rsidR="006512D8" w:rsidRPr="0089051B">
        <w:rPr>
          <w:rFonts w:ascii="Times New Roman" w:hAnsi="Times New Roman" w:cs="Times New Roman"/>
        </w:rPr>
        <w:t xml:space="preserve">courts are offered the necessary </w:t>
      </w:r>
      <w:r w:rsidR="00AD4C54" w:rsidRPr="0089051B">
        <w:rPr>
          <w:rFonts w:ascii="Times New Roman" w:hAnsi="Times New Roman" w:cs="Times New Roman"/>
        </w:rPr>
        <w:t xml:space="preserve">competence </w:t>
      </w:r>
      <w:r w:rsidR="006512D8" w:rsidRPr="0089051B">
        <w:rPr>
          <w:rFonts w:ascii="Times New Roman" w:hAnsi="Times New Roman" w:cs="Times New Roman"/>
        </w:rPr>
        <w:t xml:space="preserve">under their </w:t>
      </w:r>
      <w:r w:rsidR="00AD4C54" w:rsidRPr="0089051B">
        <w:rPr>
          <w:rFonts w:ascii="Times New Roman" w:hAnsi="Times New Roman" w:cs="Times New Roman"/>
        </w:rPr>
        <w:t xml:space="preserve">own </w:t>
      </w:r>
      <w:r w:rsidR="005F0A34" w:rsidRPr="0089051B">
        <w:rPr>
          <w:rFonts w:ascii="Times New Roman" w:hAnsi="Times New Roman" w:cs="Times New Roman"/>
        </w:rPr>
        <w:t xml:space="preserve">domestic legal system.  </w:t>
      </w:r>
      <w:r w:rsidR="00AD4C54" w:rsidRPr="0089051B">
        <w:rPr>
          <w:rFonts w:ascii="Times New Roman" w:hAnsi="Times New Roman" w:cs="Times New Roman"/>
        </w:rPr>
        <w:t>This “mixed model” for managing the challenges posed by the remedy of disapplication to the principle of legal certainty</w:t>
      </w:r>
      <w:r w:rsidR="004B1C06" w:rsidRPr="0089051B">
        <w:rPr>
          <w:rFonts w:ascii="Times New Roman" w:hAnsi="Times New Roman" w:cs="Times New Roman"/>
        </w:rPr>
        <w:t xml:space="preserve"> </w:t>
      </w:r>
      <w:r w:rsidR="00AD4C54" w:rsidRPr="0089051B">
        <w:rPr>
          <w:rFonts w:ascii="Times New Roman" w:hAnsi="Times New Roman" w:cs="Times New Roman"/>
        </w:rPr>
        <w:t xml:space="preserve">reflects the Union’s </w:t>
      </w:r>
      <w:r w:rsidR="004B1C06" w:rsidRPr="0089051B">
        <w:rPr>
          <w:rFonts w:ascii="Times New Roman" w:hAnsi="Times New Roman" w:cs="Times New Roman"/>
        </w:rPr>
        <w:t xml:space="preserve">inescapable </w:t>
      </w:r>
      <w:r w:rsidR="00AD4C54" w:rsidRPr="0089051B">
        <w:rPr>
          <w:rFonts w:ascii="Times New Roman" w:hAnsi="Times New Roman" w:cs="Times New Roman"/>
        </w:rPr>
        <w:t xml:space="preserve">dependence upon the </w:t>
      </w:r>
      <w:r w:rsidR="003F2DCA" w:rsidRPr="0089051B">
        <w:rPr>
          <w:rFonts w:ascii="Times New Roman" w:hAnsi="Times New Roman" w:cs="Times New Roman"/>
        </w:rPr>
        <w:t>national systems</w:t>
      </w:r>
      <w:r w:rsidR="00AD4C54" w:rsidRPr="0089051B">
        <w:rPr>
          <w:rFonts w:ascii="Times New Roman" w:hAnsi="Times New Roman" w:cs="Times New Roman"/>
        </w:rPr>
        <w:t xml:space="preserve"> – particularly in situations where the Court could not realistically hope to provide a centralised solution of its own.  At the same time, </w:t>
      </w:r>
      <w:r w:rsidR="003F2DCA" w:rsidRPr="0089051B">
        <w:rPr>
          <w:rFonts w:ascii="Times New Roman" w:hAnsi="Times New Roman" w:cs="Times New Roman"/>
        </w:rPr>
        <w:t xml:space="preserve">Union scrutiny </w:t>
      </w:r>
      <w:r w:rsidR="00AD4C54" w:rsidRPr="0089051B">
        <w:rPr>
          <w:rFonts w:ascii="Times New Roman" w:hAnsi="Times New Roman" w:cs="Times New Roman"/>
        </w:rPr>
        <w:t xml:space="preserve">over the </w:t>
      </w:r>
      <w:r w:rsidR="003F2DCA" w:rsidRPr="0089051B">
        <w:rPr>
          <w:rFonts w:ascii="Times New Roman" w:hAnsi="Times New Roman" w:cs="Times New Roman"/>
        </w:rPr>
        <w:t xml:space="preserve">detailed conditions for </w:t>
      </w:r>
      <w:r w:rsidR="00AD4C54" w:rsidRPr="0089051B">
        <w:rPr>
          <w:rFonts w:ascii="Times New Roman" w:hAnsi="Times New Roman" w:cs="Times New Roman"/>
        </w:rPr>
        <w:t xml:space="preserve">national law to withhold the remedy of </w:t>
      </w:r>
      <w:r w:rsidR="003F2DCA" w:rsidRPr="0089051B">
        <w:rPr>
          <w:rFonts w:ascii="Times New Roman" w:hAnsi="Times New Roman" w:cs="Times New Roman"/>
        </w:rPr>
        <w:t xml:space="preserve">disapplication at least provides </w:t>
      </w:r>
      <w:r w:rsidR="00AD4C54" w:rsidRPr="0089051B">
        <w:rPr>
          <w:rFonts w:ascii="Times New Roman" w:hAnsi="Times New Roman" w:cs="Times New Roman"/>
        </w:rPr>
        <w:lastRenderedPageBreak/>
        <w:t xml:space="preserve">a </w:t>
      </w:r>
      <w:r w:rsidR="003F2DCA" w:rsidRPr="0089051B">
        <w:rPr>
          <w:rFonts w:ascii="Times New Roman" w:hAnsi="Times New Roman" w:cs="Times New Roman"/>
        </w:rPr>
        <w:t xml:space="preserve">minimum </w:t>
      </w:r>
      <w:r w:rsidR="00AD4C54" w:rsidRPr="0089051B">
        <w:rPr>
          <w:rFonts w:ascii="Times New Roman" w:hAnsi="Times New Roman" w:cs="Times New Roman"/>
        </w:rPr>
        <w:t xml:space="preserve">level of </w:t>
      </w:r>
      <w:r w:rsidR="003F2DCA" w:rsidRPr="0089051B">
        <w:rPr>
          <w:rFonts w:ascii="Times New Roman" w:hAnsi="Times New Roman" w:cs="Times New Roman"/>
        </w:rPr>
        <w:t xml:space="preserve">protection for </w:t>
      </w:r>
      <w:r w:rsidR="00AD4C54" w:rsidRPr="0089051B">
        <w:rPr>
          <w:rFonts w:ascii="Times New Roman" w:hAnsi="Times New Roman" w:cs="Times New Roman"/>
        </w:rPr>
        <w:t xml:space="preserve">the </w:t>
      </w:r>
      <w:r w:rsidR="001F4BA1" w:rsidRPr="0089051B">
        <w:rPr>
          <w:rFonts w:ascii="Times New Roman" w:hAnsi="Times New Roman" w:cs="Times New Roman"/>
        </w:rPr>
        <w:t xml:space="preserve">uniform and effective application of Union law </w:t>
      </w:r>
      <w:r w:rsidR="00AD4C54" w:rsidRPr="0089051B">
        <w:rPr>
          <w:rFonts w:ascii="Times New Roman" w:hAnsi="Times New Roman" w:cs="Times New Roman"/>
        </w:rPr>
        <w:t>across and within the Member States.</w:t>
      </w:r>
    </w:p>
    <w:p w14:paraId="7A7B25FA" w14:textId="66328AA6" w:rsidR="006E5E55" w:rsidRPr="0089051B" w:rsidRDefault="002D78B4" w:rsidP="006E5E55">
      <w:pPr>
        <w:ind w:firstLine="720"/>
        <w:jc w:val="both"/>
        <w:rPr>
          <w:rFonts w:ascii="Times New Roman" w:hAnsi="Times New Roman" w:cs="Times New Roman"/>
        </w:rPr>
      </w:pPr>
      <w:r w:rsidRPr="0089051B">
        <w:rPr>
          <w:rFonts w:ascii="Times New Roman" w:hAnsi="Times New Roman" w:cs="Times New Roman"/>
        </w:rPr>
        <w:t xml:space="preserve">Again, </w:t>
      </w:r>
      <w:r w:rsidR="006512D8" w:rsidRPr="0089051B">
        <w:rPr>
          <w:rFonts w:ascii="Times New Roman" w:hAnsi="Times New Roman" w:cs="Times New Roman"/>
        </w:rPr>
        <w:t xml:space="preserve">it is possible to organise the relevant </w:t>
      </w:r>
      <w:proofErr w:type="spellStart"/>
      <w:r w:rsidR="006512D8" w:rsidRPr="0089051B">
        <w:rPr>
          <w:rFonts w:ascii="Times New Roman" w:hAnsi="Times New Roman" w:cs="Times New Roman"/>
        </w:rPr>
        <w:t>caselaw</w:t>
      </w:r>
      <w:proofErr w:type="spellEnd"/>
      <w:r w:rsidR="006512D8" w:rsidRPr="0089051B">
        <w:rPr>
          <w:rFonts w:ascii="Times New Roman" w:hAnsi="Times New Roman" w:cs="Times New Roman"/>
        </w:rPr>
        <w:t xml:space="preserve"> into </w:t>
      </w:r>
      <w:r w:rsidR="00AC74CB">
        <w:rPr>
          <w:rFonts w:ascii="Times New Roman" w:hAnsi="Times New Roman" w:cs="Times New Roman"/>
        </w:rPr>
        <w:t>recurrent categories</w:t>
      </w:r>
      <w:r w:rsidRPr="0089051B">
        <w:rPr>
          <w:rFonts w:ascii="Times New Roman" w:hAnsi="Times New Roman" w:cs="Times New Roman"/>
        </w:rPr>
        <w:t>.</w:t>
      </w:r>
      <w:r w:rsidR="006512D8" w:rsidRPr="0089051B">
        <w:rPr>
          <w:rFonts w:ascii="Times New Roman" w:hAnsi="Times New Roman" w:cs="Times New Roman"/>
        </w:rPr>
        <w:t xml:space="preserve">  </w:t>
      </w:r>
      <w:r w:rsidR="00AC74CB">
        <w:rPr>
          <w:rFonts w:ascii="Times New Roman" w:hAnsi="Times New Roman" w:cs="Times New Roman"/>
        </w:rPr>
        <w:t xml:space="preserve">For example: </w:t>
      </w:r>
      <w:r w:rsidR="00AD4C54" w:rsidRPr="0089051B">
        <w:rPr>
          <w:rFonts w:ascii="Times New Roman" w:hAnsi="Times New Roman" w:cs="Times New Roman"/>
        </w:rPr>
        <w:t xml:space="preserve">the Court has delivered a vast jurisprudence concerning the </w:t>
      </w:r>
      <w:r w:rsidR="0078621E" w:rsidRPr="0089051B">
        <w:rPr>
          <w:rFonts w:ascii="Times New Roman" w:hAnsi="Times New Roman" w:cs="Times New Roman"/>
        </w:rPr>
        <w:t xml:space="preserve">imposition of </w:t>
      </w:r>
      <w:r w:rsidR="00AD4C54" w:rsidRPr="0089051B">
        <w:rPr>
          <w:rFonts w:ascii="Times New Roman" w:hAnsi="Times New Roman" w:cs="Times New Roman"/>
        </w:rPr>
        <w:t xml:space="preserve">national </w:t>
      </w:r>
      <w:r w:rsidR="0078621E" w:rsidRPr="0089051B">
        <w:rPr>
          <w:rFonts w:ascii="Times New Roman" w:hAnsi="Times New Roman" w:cs="Times New Roman"/>
        </w:rPr>
        <w:t xml:space="preserve">limitation periods for </w:t>
      </w:r>
      <w:r w:rsidR="00AD4C54" w:rsidRPr="0089051B">
        <w:rPr>
          <w:rFonts w:ascii="Times New Roman" w:hAnsi="Times New Roman" w:cs="Times New Roman"/>
        </w:rPr>
        <w:t xml:space="preserve">the </w:t>
      </w:r>
      <w:r w:rsidR="0078621E" w:rsidRPr="0089051B">
        <w:rPr>
          <w:rFonts w:ascii="Times New Roman" w:hAnsi="Times New Roman" w:cs="Times New Roman"/>
        </w:rPr>
        <w:t xml:space="preserve">commencement of proceedings </w:t>
      </w:r>
      <w:r w:rsidR="00AD4C54" w:rsidRPr="0089051B">
        <w:rPr>
          <w:rFonts w:ascii="Times New Roman" w:hAnsi="Times New Roman" w:cs="Times New Roman"/>
        </w:rPr>
        <w:t>based on Union law;</w:t>
      </w:r>
      <w:r w:rsidR="00511EDF" w:rsidRPr="0089051B">
        <w:rPr>
          <w:rStyle w:val="FootnoteReference"/>
          <w:rFonts w:ascii="Times New Roman" w:hAnsi="Times New Roman" w:cs="Times New Roman"/>
        </w:rPr>
        <w:footnoteReference w:id="64"/>
      </w:r>
      <w:r w:rsidR="00AD4C54" w:rsidRPr="0089051B">
        <w:rPr>
          <w:rFonts w:ascii="Times New Roman" w:hAnsi="Times New Roman" w:cs="Times New Roman"/>
        </w:rPr>
        <w:t xml:space="preserve"> including an extensive body of </w:t>
      </w:r>
      <w:r w:rsidR="00511EDF" w:rsidRPr="0089051B">
        <w:rPr>
          <w:rFonts w:ascii="Times New Roman" w:hAnsi="Times New Roman" w:cs="Times New Roman"/>
        </w:rPr>
        <w:t xml:space="preserve">rulings exploring </w:t>
      </w:r>
      <w:r w:rsidR="00AD4C54" w:rsidRPr="0089051B">
        <w:rPr>
          <w:rFonts w:ascii="Times New Roman" w:hAnsi="Times New Roman" w:cs="Times New Roman"/>
        </w:rPr>
        <w:t xml:space="preserve">how </w:t>
      </w:r>
      <w:r w:rsidR="00511EDF" w:rsidRPr="0089051B">
        <w:rPr>
          <w:rFonts w:ascii="Times New Roman" w:hAnsi="Times New Roman" w:cs="Times New Roman"/>
        </w:rPr>
        <w:t xml:space="preserve">particular </w:t>
      </w:r>
      <w:r w:rsidR="00AD4C54" w:rsidRPr="0089051B">
        <w:rPr>
          <w:rFonts w:ascii="Times New Roman" w:hAnsi="Times New Roman" w:cs="Times New Roman"/>
        </w:rPr>
        <w:t>rules</w:t>
      </w:r>
      <w:r w:rsidR="00511EDF" w:rsidRPr="0089051B">
        <w:rPr>
          <w:rFonts w:ascii="Times New Roman" w:hAnsi="Times New Roman" w:cs="Times New Roman"/>
        </w:rPr>
        <w:t xml:space="preserve"> (</w:t>
      </w:r>
      <w:r w:rsidR="00AC74CB">
        <w:rPr>
          <w:rFonts w:ascii="Times New Roman" w:hAnsi="Times New Roman" w:cs="Times New Roman"/>
        </w:rPr>
        <w:t>say</w:t>
      </w:r>
      <w:r w:rsidR="00511EDF" w:rsidRPr="0089051B">
        <w:rPr>
          <w:rFonts w:ascii="Times New Roman" w:hAnsi="Times New Roman" w:cs="Times New Roman"/>
        </w:rPr>
        <w:t xml:space="preserve">) concerning the duration, commencement, interruption or suspension of domestic time limits are to be evaluated in accordance with the </w:t>
      </w:r>
      <w:r w:rsidR="0078621E" w:rsidRPr="0089051B">
        <w:rPr>
          <w:rFonts w:ascii="Times New Roman" w:hAnsi="Times New Roman" w:cs="Times New Roman"/>
        </w:rPr>
        <w:t>principles of equivalence and effectiveness</w:t>
      </w:r>
      <w:r w:rsidR="00511EDF" w:rsidRPr="0089051B">
        <w:rPr>
          <w:rFonts w:ascii="Times New Roman" w:hAnsi="Times New Roman" w:cs="Times New Roman"/>
        </w:rPr>
        <w:t>.</w:t>
      </w:r>
      <w:r w:rsidR="00511EDF" w:rsidRPr="0089051B">
        <w:rPr>
          <w:rStyle w:val="FootnoteReference"/>
          <w:rFonts w:ascii="Times New Roman" w:hAnsi="Times New Roman" w:cs="Times New Roman"/>
        </w:rPr>
        <w:footnoteReference w:id="65"/>
      </w:r>
      <w:r w:rsidR="00511EDF" w:rsidRPr="0089051B">
        <w:rPr>
          <w:rFonts w:ascii="Times New Roman" w:hAnsi="Times New Roman" w:cs="Times New Roman"/>
        </w:rPr>
        <w:t xml:space="preserve">  Underpinning that </w:t>
      </w:r>
      <w:proofErr w:type="spellStart"/>
      <w:r w:rsidR="00511EDF" w:rsidRPr="0089051B">
        <w:rPr>
          <w:rFonts w:ascii="Times New Roman" w:hAnsi="Times New Roman" w:cs="Times New Roman"/>
        </w:rPr>
        <w:t>caselaw</w:t>
      </w:r>
      <w:proofErr w:type="spellEnd"/>
      <w:r w:rsidR="00511EDF" w:rsidRPr="0089051B">
        <w:rPr>
          <w:rFonts w:ascii="Times New Roman" w:hAnsi="Times New Roman" w:cs="Times New Roman"/>
        </w:rPr>
        <w:t xml:space="preserve">, however, is the Court’s basic acceptance that limitation periods serve a legitimate public interest in promoting legal certainty and protecting against indefinite liability; that, in the absence of centrally harmonised rules, the Union must defer to national procedural autonomy as regards judicial time limits; and that, for those purposes, non-discriminatory limitation periods of reasonable duration should (in principle) be regarded as compatible with Union law – even if their application leads to the enforcement of national rules which are clearly incompatible with directly effective Union acts and allows the domestic judges to withhold the remedy of disapplication which would otherwise be expected thanks to the principle of </w:t>
      </w:r>
      <w:r w:rsidR="00B81FD5" w:rsidRPr="0089051B">
        <w:rPr>
          <w:rFonts w:ascii="Times New Roman" w:hAnsi="Times New Roman" w:cs="Times New Roman"/>
        </w:rPr>
        <w:t>primacy</w:t>
      </w:r>
      <w:r w:rsidR="00511EDF" w:rsidRPr="0089051B">
        <w:rPr>
          <w:rFonts w:ascii="Times New Roman" w:hAnsi="Times New Roman" w:cs="Times New Roman"/>
        </w:rPr>
        <w:t>.</w:t>
      </w:r>
      <w:r w:rsidR="00511EDF" w:rsidRPr="0089051B">
        <w:rPr>
          <w:rStyle w:val="FootnoteReference"/>
          <w:rFonts w:ascii="Times New Roman" w:hAnsi="Times New Roman" w:cs="Times New Roman"/>
        </w:rPr>
        <w:footnoteReference w:id="66"/>
      </w:r>
      <w:r w:rsidR="00511EDF" w:rsidRPr="0089051B">
        <w:rPr>
          <w:rFonts w:ascii="Times New Roman" w:hAnsi="Times New Roman" w:cs="Times New Roman"/>
        </w:rPr>
        <w:t xml:space="preserve">  </w:t>
      </w:r>
    </w:p>
    <w:p w14:paraId="2743A750" w14:textId="2BF150D1" w:rsidR="006E5E55" w:rsidRPr="0089051B" w:rsidRDefault="00FD1A6D" w:rsidP="006E5E55">
      <w:pPr>
        <w:ind w:firstLine="720"/>
        <w:jc w:val="both"/>
        <w:rPr>
          <w:rFonts w:ascii="Times New Roman" w:hAnsi="Times New Roman" w:cs="Times New Roman"/>
        </w:rPr>
      </w:pPr>
      <w:r>
        <w:rPr>
          <w:rFonts w:ascii="Times New Roman" w:hAnsi="Times New Roman" w:cs="Times New Roman"/>
        </w:rPr>
        <w:t>Or again:</w:t>
      </w:r>
      <w:r w:rsidR="006512D8" w:rsidRPr="0089051B">
        <w:rPr>
          <w:rFonts w:ascii="Times New Roman" w:hAnsi="Times New Roman" w:cs="Times New Roman"/>
        </w:rPr>
        <w:t xml:space="preserve"> </w:t>
      </w:r>
      <w:r w:rsidR="00511EDF" w:rsidRPr="0089051B">
        <w:rPr>
          <w:rFonts w:ascii="Times New Roman" w:hAnsi="Times New Roman" w:cs="Times New Roman"/>
        </w:rPr>
        <w:t xml:space="preserve">the Court has been called upon to evaluate the compatibility with Union law of domestic </w:t>
      </w:r>
      <w:r w:rsidR="0078621E" w:rsidRPr="0089051B">
        <w:rPr>
          <w:rFonts w:ascii="Times New Roman" w:hAnsi="Times New Roman" w:cs="Times New Roman"/>
        </w:rPr>
        <w:t xml:space="preserve">rules </w:t>
      </w:r>
      <w:r w:rsidR="00511EDF" w:rsidRPr="0089051B">
        <w:rPr>
          <w:rFonts w:ascii="Times New Roman" w:hAnsi="Times New Roman" w:cs="Times New Roman"/>
        </w:rPr>
        <w:t xml:space="preserve">governing the </w:t>
      </w:r>
      <w:r w:rsidR="00EF575F" w:rsidRPr="0089051B">
        <w:rPr>
          <w:rFonts w:ascii="Times New Roman" w:hAnsi="Times New Roman" w:cs="Times New Roman"/>
        </w:rPr>
        <w:t xml:space="preserve">finality of </w:t>
      </w:r>
      <w:r w:rsidR="002D78B4" w:rsidRPr="0089051B">
        <w:rPr>
          <w:rFonts w:ascii="Times New Roman" w:hAnsi="Times New Roman" w:cs="Times New Roman"/>
        </w:rPr>
        <w:t xml:space="preserve">administrative </w:t>
      </w:r>
      <w:r w:rsidR="00086BC3" w:rsidRPr="0089051B">
        <w:rPr>
          <w:rFonts w:ascii="Times New Roman" w:hAnsi="Times New Roman" w:cs="Times New Roman"/>
        </w:rPr>
        <w:t xml:space="preserve">acts; as well as application of the principle of </w:t>
      </w:r>
      <w:r w:rsidR="002D78B4" w:rsidRPr="00CF3378">
        <w:rPr>
          <w:rFonts w:ascii="Times New Roman" w:hAnsi="Times New Roman" w:cs="Times New Roman"/>
          <w:i/>
        </w:rPr>
        <w:t>res judicata</w:t>
      </w:r>
      <w:r w:rsidR="002D78B4" w:rsidRPr="0089051B">
        <w:rPr>
          <w:rFonts w:ascii="Times New Roman" w:hAnsi="Times New Roman" w:cs="Times New Roman"/>
        </w:rPr>
        <w:t xml:space="preserve"> in respect of </w:t>
      </w:r>
      <w:r w:rsidR="006207B0" w:rsidRPr="0089051B">
        <w:rPr>
          <w:rFonts w:ascii="Times New Roman" w:hAnsi="Times New Roman" w:cs="Times New Roman"/>
        </w:rPr>
        <w:t>judicial</w:t>
      </w:r>
      <w:r w:rsidR="002D78B4" w:rsidRPr="0089051B">
        <w:rPr>
          <w:rFonts w:ascii="Times New Roman" w:hAnsi="Times New Roman" w:cs="Times New Roman"/>
        </w:rPr>
        <w:t xml:space="preserve"> decisions</w:t>
      </w:r>
      <w:r w:rsidR="00086BC3" w:rsidRPr="0089051B">
        <w:rPr>
          <w:rFonts w:ascii="Times New Roman" w:hAnsi="Times New Roman" w:cs="Times New Roman"/>
        </w:rPr>
        <w:t>.  The Court’s initial approach raised questions about whether such domestic rules might be treated as subject to a special regime of scrutiny under Union law;</w:t>
      </w:r>
      <w:r w:rsidR="00086BC3" w:rsidRPr="0089051B">
        <w:rPr>
          <w:rStyle w:val="FootnoteReference"/>
          <w:rFonts w:ascii="Times New Roman" w:hAnsi="Times New Roman" w:cs="Times New Roman"/>
        </w:rPr>
        <w:footnoteReference w:id="67"/>
      </w:r>
      <w:r w:rsidR="00086BC3" w:rsidRPr="0089051B">
        <w:rPr>
          <w:rFonts w:ascii="Times New Roman" w:hAnsi="Times New Roman" w:cs="Times New Roman"/>
        </w:rPr>
        <w:t xml:space="preserve"> but subsequent </w:t>
      </w:r>
      <w:proofErr w:type="spellStart"/>
      <w:r w:rsidR="00086BC3" w:rsidRPr="0089051B">
        <w:rPr>
          <w:rFonts w:ascii="Times New Roman" w:hAnsi="Times New Roman" w:cs="Times New Roman"/>
        </w:rPr>
        <w:t>caselaw</w:t>
      </w:r>
      <w:proofErr w:type="spellEnd"/>
      <w:r w:rsidR="00086BC3" w:rsidRPr="0089051B">
        <w:rPr>
          <w:rFonts w:ascii="Times New Roman" w:hAnsi="Times New Roman" w:cs="Times New Roman"/>
        </w:rPr>
        <w:t xml:space="preserve"> has confirmed that restrictions on the enforcement of Union rights and obligations based </w:t>
      </w:r>
      <w:r w:rsidR="00DB4AD8" w:rsidRPr="0089051B">
        <w:rPr>
          <w:rFonts w:ascii="Times New Roman" w:hAnsi="Times New Roman" w:cs="Times New Roman"/>
        </w:rPr>
        <w:t xml:space="preserve">either </w:t>
      </w:r>
      <w:r w:rsidR="004B1C06" w:rsidRPr="0089051B">
        <w:rPr>
          <w:rFonts w:ascii="Times New Roman" w:hAnsi="Times New Roman" w:cs="Times New Roman"/>
        </w:rPr>
        <w:t xml:space="preserve">on </w:t>
      </w:r>
      <w:r w:rsidR="00086BC3" w:rsidRPr="0089051B">
        <w:rPr>
          <w:rFonts w:ascii="Times New Roman" w:hAnsi="Times New Roman" w:cs="Times New Roman"/>
        </w:rPr>
        <w:t xml:space="preserve">the principle of </w:t>
      </w:r>
      <w:r w:rsidR="00DB4AD8" w:rsidRPr="0089051B">
        <w:rPr>
          <w:rFonts w:ascii="Times New Roman" w:hAnsi="Times New Roman" w:cs="Times New Roman"/>
        </w:rPr>
        <w:t xml:space="preserve">administrative </w:t>
      </w:r>
      <w:r w:rsidR="00086BC3" w:rsidRPr="0089051B">
        <w:rPr>
          <w:rFonts w:ascii="Times New Roman" w:hAnsi="Times New Roman" w:cs="Times New Roman"/>
        </w:rPr>
        <w:t xml:space="preserve">finality </w:t>
      </w:r>
      <w:r w:rsidR="00DB4AD8" w:rsidRPr="0089051B">
        <w:rPr>
          <w:rFonts w:ascii="Times New Roman" w:hAnsi="Times New Roman" w:cs="Times New Roman"/>
        </w:rPr>
        <w:t xml:space="preserve">or respect for </w:t>
      </w:r>
      <w:r w:rsidR="00086BC3" w:rsidRPr="00CF3378">
        <w:rPr>
          <w:rFonts w:ascii="Times New Roman" w:hAnsi="Times New Roman" w:cs="Times New Roman"/>
          <w:i/>
        </w:rPr>
        <w:t>res judicata</w:t>
      </w:r>
      <w:r w:rsidR="00086BC3" w:rsidRPr="0089051B">
        <w:rPr>
          <w:rFonts w:ascii="Times New Roman" w:hAnsi="Times New Roman" w:cs="Times New Roman"/>
        </w:rPr>
        <w:t xml:space="preserve"> will indeed be governed by the standard requirements </w:t>
      </w:r>
      <w:r w:rsidR="0078621E" w:rsidRPr="0089051B">
        <w:rPr>
          <w:rFonts w:ascii="Times New Roman" w:hAnsi="Times New Roman" w:cs="Times New Roman"/>
        </w:rPr>
        <w:t>of equivalence and effectiveness</w:t>
      </w:r>
      <w:r w:rsidR="00086BC3" w:rsidRPr="0089051B">
        <w:rPr>
          <w:rFonts w:ascii="Times New Roman" w:hAnsi="Times New Roman" w:cs="Times New Roman"/>
        </w:rPr>
        <w:t>.</w:t>
      </w:r>
      <w:r w:rsidR="00086BC3" w:rsidRPr="0089051B">
        <w:rPr>
          <w:rStyle w:val="FootnoteReference"/>
          <w:rFonts w:ascii="Times New Roman" w:hAnsi="Times New Roman" w:cs="Times New Roman"/>
        </w:rPr>
        <w:footnoteReference w:id="68"/>
      </w:r>
      <w:r w:rsidR="00086BC3" w:rsidRPr="0089051B">
        <w:rPr>
          <w:rFonts w:ascii="Times New Roman" w:hAnsi="Times New Roman" w:cs="Times New Roman"/>
        </w:rPr>
        <w:t xml:space="preserve">  Again, the assumption underpinning the Court’s approach is that rules on finality / </w:t>
      </w:r>
      <w:r w:rsidR="00086BC3" w:rsidRPr="00CF3378">
        <w:rPr>
          <w:rFonts w:ascii="Times New Roman" w:hAnsi="Times New Roman" w:cs="Times New Roman"/>
          <w:i/>
        </w:rPr>
        <w:t>res judicata</w:t>
      </w:r>
      <w:r w:rsidR="00086BC3" w:rsidRPr="0089051B">
        <w:rPr>
          <w:rFonts w:ascii="Times New Roman" w:hAnsi="Times New Roman" w:cs="Times New Roman"/>
        </w:rPr>
        <w:t xml:space="preserve"> reflect a legitimate general interest in promoting legal certainty for both public and private actors; </w:t>
      </w:r>
      <w:r w:rsidR="00956316" w:rsidRPr="0089051B">
        <w:rPr>
          <w:rFonts w:ascii="Times New Roman" w:hAnsi="Times New Roman" w:cs="Times New Roman"/>
        </w:rPr>
        <w:t xml:space="preserve">lacking any centralised regime of its own, </w:t>
      </w:r>
      <w:r w:rsidR="00086BC3" w:rsidRPr="0089051B">
        <w:rPr>
          <w:rFonts w:ascii="Times New Roman" w:hAnsi="Times New Roman" w:cs="Times New Roman"/>
        </w:rPr>
        <w:t xml:space="preserve">Union law must proceed on the basis of scrutinising the choices made by each Member State in the exercise of its own procedural autonomy – even if that leads to </w:t>
      </w:r>
      <w:r w:rsidR="00086BC3" w:rsidRPr="0089051B">
        <w:rPr>
          <w:rFonts w:ascii="Times New Roman" w:hAnsi="Times New Roman" w:cs="Times New Roman"/>
        </w:rPr>
        <w:lastRenderedPageBreak/>
        <w:t>the legal protection of decisions or judgments adopted in breach of directly effective and theoretically supreme provisions of Union law.</w:t>
      </w:r>
      <w:r w:rsidR="00086BC3" w:rsidRPr="0089051B">
        <w:rPr>
          <w:rStyle w:val="FootnoteReference"/>
          <w:rFonts w:ascii="Times New Roman" w:hAnsi="Times New Roman" w:cs="Times New Roman"/>
        </w:rPr>
        <w:footnoteReference w:id="69"/>
      </w:r>
      <w:r w:rsidR="00086BC3" w:rsidRPr="0089051B">
        <w:rPr>
          <w:rFonts w:ascii="Times New Roman" w:hAnsi="Times New Roman" w:cs="Times New Roman"/>
        </w:rPr>
        <w:t xml:space="preserve">  </w:t>
      </w:r>
    </w:p>
    <w:p w14:paraId="5EE13926" w14:textId="77777777" w:rsidR="006E5E55" w:rsidRPr="0089051B" w:rsidRDefault="009972AD" w:rsidP="006E5E55">
      <w:pPr>
        <w:ind w:firstLine="720"/>
        <w:jc w:val="both"/>
        <w:rPr>
          <w:rFonts w:ascii="Times New Roman" w:hAnsi="Times New Roman" w:cs="Times New Roman"/>
        </w:rPr>
      </w:pPr>
      <w:r w:rsidRPr="0089051B">
        <w:rPr>
          <w:rFonts w:ascii="Times New Roman" w:hAnsi="Times New Roman" w:cs="Times New Roman"/>
        </w:rPr>
        <w:t xml:space="preserve">Beyond those two principal categories of decentralised jurisdiction to limit availability of the remedy of disapplication on grounds of legal certainty, the </w:t>
      </w:r>
      <w:r w:rsidR="0078621E" w:rsidRPr="0089051B">
        <w:rPr>
          <w:rFonts w:ascii="Times New Roman" w:hAnsi="Times New Roman" w:cs="Times New Roman"/>
        </w:rPr>
        <w:t xml:space="preserve">Court </w:t>
      </w:r>
      <w:r w:rsidRPr="0089051B">
        <w:rPr>
          <w:rFonts w:ascii="Times New Roman" w:hAnsi="Times New Roman" w:cs="Times New Roman"/>
        </w:rPr>
        <w:t xml:space="preserve">appears </w:t>
      </w:r>
      <w:r w:rsidR="003943E3" w:rsidRPr="0089051B">
        <w:rPr>
          <w:rFonts w:ascii="Times New Roman" w:hAnsi="Times New Roman" w:cs="Times New Roman"/>
        </w:rPr>
        <w:t xml:space="preserve">suspicious or even </w:t>
      </w:r>
      <w:r w:rsidR="0078621E" w:rsidRPr="0089051B">
        <w:rPr>
          <w:rFonts w:ascii="Times New Roman" w:hAnsi="Times New Roman" w:cs="Times New Roman"/>
        </w:rPr>
        <w:t xml:space="preserve">hostile towards </w:t>
      </w:r>
      <w:r w:rsidRPr="0089051B">
        <w:rPr>
          <w:rFonts w:ascii="Times New Roman" w:hAnsi="Times New Roman" w:cs="Times New Roman"/>
        </w:rPr>
        <w:t xml:space="preserve">Member State </w:t>
      </w:r>
      <w:r w:rsidR="0078621E" w:rsidRPr="0089051B">
        <w:rPr>
          <w:rFonts w:ascii="Times New Roman" w:hAnsi="Times New Roman" w:cs="Times New Roman"/>
        </w:rPr>
        <w:t xml:space="preserve">attempts to impose </w:t>
      </w:r>
      <w:r w:rsidR="00EF575F" w:rsidRPr="0089051B">
        <w:rPr>
          <w:rFonts w:ascii="Times New Roman" w:hAnsi="Times New Roman" w:cs="Times New Roman"/>
        </w:rPr>
        <w:t xml:space="preserve">generalised </w:t>
      </w:r>
      <w:r w:rsidRPr="0089051B">
        <w:rPr>
          <w:rFonts w:ascii="Times New Roman" w:hAnsi="Times New Roman" w:cs="Times New Roman"/>
        </w:rPr>
        <w:t xml:space="preserve">restrictions on availability of the remedy of </w:t>
      </w:r>
      <w:r w:rsidR="0078621E" w:rsidRPr="0089051B">
        <w:rPr>
          <w:rFonts w:ascii="Times New Roman" w:hAnsi="Times New Roman" w:cs="Times New Roman"/>
        </w:rPr>
        <w:t>disapplicati</w:t>
      </w:r>
      <w:r w:rsidR="00A31CFC" w:rsidRPr="0089051B">
        <w:rPr>
          <w:rFonts w:ascii="Times New Roman" w:hAnsi="Times New Roman" w:cs="Times New Roman"/>
        </w:rPr>
        <w:t>on</w:t>
      </w:r>
      <w:r w:rsidRPr="0089051B">
        <w:rPr>
          <w:rFonts w:ascii="Times New Roman" w:hAnsi="Times New Roman" w:cs="Times New Roman"/>
        </w:rPr>
        <w:t xml:space="preserve"> – supposedly justified on the grounds of protecting legal and natural persons against the undue retrospective effects of Union law – </w:t>
      </w:r>
      <w:r w:rsidR="003F2DCA" w:rsidRPr="0089051B">
        <w:rPr>
          <w:rFonts w:ascii="Times New Roman" w:hAnsi="Times New Roman" w:cs="Times New Roman"/>
        </w:rPr>
        <w:t xml:space="preserve">particularly where </w:t>
      </w:r>
      <w:r w:rsidRPr="0089051B">
        <w:rPr>
          <w:rFonts w:ascii="Times New Roman" w:hAnsi="Times New Roman" w:cs="Times New Roman"/>
        </w:rPr>
        <w:t xml:space="preserve">such national rules </w:t>
      </w:r>
      <w:r w:rsidR="003F2DCA" w:rsidRPr="0089051B">
        <w:rPr>
          <w:rFonts w:ascii="Times New Roman" w:hAnsi="Times New Roman" w:cs="Times New Roman"/>
        </w:rPr>
        <w:t xml:space="preserve">appear to contradict </w:t>
      </w:r>
      <w:r w:rsidRPr="0089051B">
        <w:rPr>
          <w:rFonts w:ascii="Times New Roman" w:hAnsi="Times New Roman" w:cs="Times New Roman"/>
        </w:rPr>
        <w:t xml:space="preserve">or even </w:t>
      </w:r>
      <w:r w:rsidR="003F2DCA" w:rsidRPr="0089051B">
        <w:rPr>
          <w:rFonts w:ascii="Times New Roman" w:hAnsi="Times New Roman" w:cs="Times New Roman"/>
        </w:rPr>
        <w:t xml:space="preserve">undermine the levels of </w:t>
      </w:r>
      <w:r w:rsidRPr="0089051B">
        <w:rPr>
          <w:rFonts w:ascii="Times New Roman" w:hAnsi="Times New Roman" w:cs="Times New Roman"/>
        </w:rPr>
        <w:t xml:space="preserve">judicial </w:t>
      </w:r>
      <w:r w:rsidR="003F2DCA" w:rsidRPr="0089051B">
        <w:rPr>
          <w:rFonts w:ascii="Times New Roman" w:hAnsi="Times New Roman" w:cs="Times New Roman"/>
        </w:rPr>
        <w:t xml:space="preserve">protection already established </w:t>
      </w:r>
      <w:r w:rsidRPr="0089051B">
        <w:rPr>
          <w:rFonts w:ascii="Times New Roman" w:hAnsi="Times New Roman" w:cs="Times New Roman"/>
        </w:rPr>
        <w:t xml:space="preserve">by </w:t>
      </w:r>
      <w:r w:rsidR="00103B25" w:rsidRPr="0089051B">
        <w:rPr>
          <w:rFonts w:ascii="Times New Roman" w:hAnsi="Times New Roman" w:cs="Times New Roman"/>
        </w:rPr>
        <w:t xml:space="preserve">or reserved to </w:t>
      </w:r>
      <w:r w:rsidRPr="0089051B">
        <w:rPr>
          <w:rFonts w:ascii="Times New Roman" w:hAnsi="Times New Roman" w:cs="Times New Roman"/>
        </w:rPr>
        <w:t xml:space="preserve">the Court itself in the exercise of its centralised jurisdiction.  For example, </w:t>
      </w:r>
      <w:r w:rsidR="00A01CE2" w:rsidRPr="0089051B">
        <w:rPr>
          <w:rFonts w:ascii="Times New Roman" w:hAnsi="Times New Roman" w:cs="Times New Roman"/>
          <w:i/>
        </w:rPr>
        <w:t xml:space="preserve">Gutiérrez </w:t>
      </w:r>
      <w:proofErr w:type="spellStart"/>
      <w:r w:rsidR="0078621E" w:rsidRPr="0089051B">
        <w:rPr>
          <w:rFonts w:ascii="Times New Roman" w:hAnsi="Times New Roman" w:cs="Times New Roman"/>
          <w:i/>
        </w:rPr>
        <w:t>Naranjo</w:t>
      </w:r>
      <w:proofErr w:type="spellEnd"/>
      <w:r w:rsidR="00A01CE2" w:rsidRPr="0089051B">
        <w:rPr>
          <w:rFonts w:ascii="Times New Roman" w:hAnsi="Times New Roman" w:cs="Times New Roman"/>
        </w:rPr>
        <w:t xml:space="preserve"> concerned certain </w:t>
      </w:r>
      <w:r w:rsidR="00DF2FA1" w:rsidRPr="0089051B">
        <w:rPr>
          <w:rFonts w:ascii="Times New Roman" w:hAnsi="Times New Roman" w:cs="Times New Roman"/>
        </w:rPr>
        <w:t xml:space="preserve">contractual </w:t>
      </w:r>
      <w:r w:rsidR="00A01CE2" w:rsidRPr="0089051B">
        <w:rPr>
          <w:rFonts w:ascii="Times New Roman" w:hAnsi="Times New Roman" w:cs="Times New Roman"/>
        </w:rPr>
        <w:t>terms found to be unfair and</w:t>
      </w:r>
      <w:r w:rsidR="00DF2FA1" w:rsidRPr="0089051B">
        <w:rPr>
          <w:rFonts w:ascii="Times New Roman" w:hAnsi="Times New Roman" w:cs="Times New Roman"/>
        </w:rPr>
        <w:t xml:space="preserve"> </w:t>
      </w:r>
      <w:r w:rsidR="00103B25" w:rsidRPr="0089051B">
        <w:rPr>
          <w:rFonts w:ascii="Times New Roman" w:hAnsi="Times New Roman" w:cs="Times New Roman"/>
        </w:rPr>
        <w:t xml:space="preserve">which </w:t>
      </w:r>
      <w:r w:rsidR="00DF2FA1" w:rsidRPr="0089051B">
        <w:rPr>
          <w:rFonts w:ascii="Times New Roman" w:hAnsi="Times New Roman" w:cs="Times New Roman"/>
        </w:rPr>
        <w:t>should</w:t>
      </w:r>
      <w:r w:rsidR="00A01CE2" w:rsidRPr="0089051B">
        <w:rPr>
          <w:rFonts w:ascii="Times New Roman" w:hAnsi="Times New Roman" w:cs="Times New Roman"/>
        </w:rPr>
        <w:t xml:space="preserve"> thus </w:t>
      </w:r>
      <w:r w:rsidR="00DF2FA1" w:rsidRPr="0089051B">
        <w:rPr>
          <w:rFonts w:ascii="Times New Roman" w:hAnsi="Times New Roman" w:cs="Times New Roman"/>
        </w:rPr>
        <w:t>be considered not binding on the consumer</w:t>
      </w:r>
      <w:r w:rsidR="00A01CE2" w:rsidRPr="0089051B">
        <w:rPr>
          <w:rFonts w:ascii="Times New Roman" w:hAnsi="Times New Roman" w:cs="Times New Roman"/>
        </w:rPr>
        <w:t xml:space="preserve"> in accordance with the regime established under Directive 93/13</w:t>
      </w:r>
      <w:r w:rsidR="00DF2FA1" w:rsidRPr="0089051B">
        <w:rPr>
          <w:rFonts w:ascii="Times New Roman" w:hAnsi="Times New Roman" w:cs="Times New Roman"/>
        </w:rPr>
        <w:t>.</w:t>
      </w:r>
      <w:r w:rsidR="00DF2FA1" w:rsidRPr="0089051B">
        <w:rPr>
          <w:rStyle w:val="FootnoteReference"/>
          <w:rFonts w:ascii="Times New Roman" w:hAnsi="Times New Roman" w:cs="Times New Roman"/>
        </w:rPr>
        <w:footnoteReference w:id="70"/>
      </w:r>
      <w:r w:rsidR="00DF2FA1" w:rsidRPr="0089051B">
        <w:rPr>
          <w:rFonts w:ascii="Times New Roman" w:hAnsi="Times New Roman" w:cs="Times New Roman"/>
        </w:rPr>
        <w:t xml:space="preserve">  However, the Spanish Supreme Court ruled that, for reasons of legal certainty, </w:t>
      </w:r>
      <w:r w:rsidR="00A01CE2" w:rsidRPr="0089051B">
        <w:rPr>
          <w:rFonts w:ascii="Times New Roman" w:hAnsi="Times New Roman" w:cs="Times New Roman"/>
        </w:rPr>
        <w:t xml:space="preserve">that finding should </w:t>
      </w:r>
      <w:r w:rsidR="00A01CE2" w:rsidRPr="0089051B">
        <w:rPr>
          <w:rFonts w:ascii="Times New Roman" w:eastAsia="Times New Roman" w:hAnsi="Times New Roman" w:cs="Times New Roman"/>
          <w:color w:val="333333"/>
          <w:shd w:val="clear" w:color="auto" w:fill="FFFFFF"/>
        </w:rPr>
        <w:t>affect neither situations in respect of which a judgment with the force of </w:t>
      </w:r>
      <w:r w:rsidR="00A01CE2" w:rsidRPr="00CF3378">
        <w:rPr>
          <w:rFonts w:ascii="Times New Roman" w:eastAsia="Times New Roman" w:hAnsi="Times New Roman" w:cs="Times New Roman"/>
          <w:i/>
          <w:iCs/>
          <w:color w:val="333333"/>
        </w:rPr>
        <w:t>res judicata</w:t>
      </w:r>
      <w:r w:rsidR="00A01CE2" w:rsidRPr="00CF3378">
        <w:rPr>
          <w:rFonts w:ascii="Times New Roman" w:eastAsia="Times New Roman" w:hAnsi="Times New Roman" w:cs="Times New Roman"/>
          <w:i/>
          <w:color w:val="333333"/>
          <w:shd w:val="clear" w:color="auto" w:fill="FFFFFF"/>
        </w:rPr>
        <w:t> </w:t>
      </w:r>
      <w:r w:rsidR="00A01CE2" w:rsidRPr="0089051B">
        <w:rPr>
          <w:rFonts w:ascii="Times New Roman" w:eastAsia="Times New Roman" w:hAnsi="Times New Roman" w:cs="Times New Roman"/>
          <w:color w:val="333333"/>
          <w:shd w:val="clear" w:color="auto" w:fill="FFFFFF"/>
        </w:rPr>
        <w:t>had already been delivered nor contractual payments which had already been made before the date of the relevant national judgment</w:t>
      </w:r>
      <w:r w:rsidR="00DF2FA1" w:rsidRPr="0089051B">
        <w:rPr>
          <w:rFonts w:ascii="Times New Roman" w:eastAsia="Times New Roman" w:hAnsi="Times New Roman" w:cs="Times New Roman"/>
          <w:color w:val="333333"/>
          <w:shd w:val="clear" w:color="auto" w:fill="FFFFFF"/>
        </w:rPr>
        <w:t xml:space="preserve">.  The Court was prepared to accept the compatibility with Union law of national restrictions on the full legal effects of Directive 93/13 based on respect for the principle of </w:t>
      </w:r>
      <w:r w:rsidR="00DF2FA1" w:rsidRPr="00CF3378">
        <w:rPr>
          <w:rFonts w:ascii="Times New Roman" w:eastAsia="Times New Roman" w:hAnsi="Times New Roman" w:cs="Times New Roman"/>
          <w:i/>
          <w:color w:val="333333"/>
          <w:shd w:val="clear" w:color="auto" w:fill="FFFFFF"/>
        </w:rPr>
        <w:t>res judicata</w:t>
      </w:r>
      <w:r w:rsidR="00DF2FA1" w:rsidRPr="0089051B">
        <w:rPr>
          <w:rFonts w:ascii="Times New Roman" w:eastAsia="Times New Roman" w:hAnsi="Times New Roman" w:cs="Times New Roman"/>
          <w:color w:val="333333"/>
          <w:shd w:val="clear" w:color="auto" w:fill="FFFFFF"/>
        </w:rPr>
        <w:t xml:space="preserve"> or indeed the imposition of reasonable limitation periods.  But such domestic restrictions were to be distinguished from the imposition of a general temporal limitation on the legal effects of an interpretation of Union law: such competence was vested in the Court alone</w:t>
      </w:r>
      <w:r w:rsidR="00103B25" w:rsidRPr="0089051B">
        <w:rPr>
          <w:rFonts w:ascii="Times New Roman" w:eastAsia="Times New Roman" w:hAnsi="Times New Roman" w:cs="Times New Roman"/>
          <w:color w:val="333333"/>
          <w:shd w:val="clear" w:color="auto" w:fill="FFFFFF"/>
        </w:rPr>
        <w:t xml:space="preserve">; the Spanish Supreme Court’s ruling offered only incomplete and insufficient judicial protection of the rights conferred by Directive 93/13 and should itself be </w:t>
      </w:r>
      <w:proofErr w:type="spellStart"/>
      <w:r w:rsidR="00103B25" w:rsidRPr="0089051B">
        <w:rPr>
          <w:rFonts w:ascii="Times New Roman" w:eastAsia="Times New Roman" w:hAnsi="Times New Roman" w:cs="Times New Roman"/>
          <w:color w:val="333333"/>
          <w:shd w:val="clear" w:color="auto" w:fill="FFFFFF"/>
        </w:rPr>
        <w:t>disapplied</w:t>
      </w:r>
      <w:proofErr w:type="spellEnd"/>
      <w:r w:rsidR="00103B25" w:rsidRPr="0089051B">
        <w:rPr>
          <w:rFonts w:ascii="Times New Roman" w:eastAsia="Times New Roman" w:hAnsi="Times New Roman" w:cs="Times New Roman"/>
          <w:color w:val="333333"/>
          <w:shd w:val="clear" w:color="auto" w:fill="FFFFFF"/>
        </w:rPr>
        <w:t xml:space="preserve"> by the competent domestic courts</w:t>
      </w:r>
      <w:r w:rsidR="00DF2FA1" w:rsidRPr="0089051B">
        <w:rPr>
          <w:rFonts w:ascii="Times New Roman" w:eastAsia="Times New Roman" w:hAnsi="Times New Roman" w:cs="Times New Roman"/>
          <w:color w:val="333333"/>
          <w:shd w:val="clear" w:color="auto" w:fill="FFFFFF"/>
        </w:rPr>
        <w:t>.</w:t>
      </w:r>
      <w:r w:rsidR="00103B25" w:rsidRPr="0089051B">
        <w:rPr>
          <w:rStyle w:val="FootnoteReference"/>
          <w:rFonts w:ascii="Times New Roman" w:eastAsia="Times New Roman" w:hAnsi="Times New Roman" w:cs="Times New Roman"/>
          <w:color w:val="333333"/>
          <w:shd w:val="clear" w:color="auto" w:fill="FFFFFF"/>
        </w:rPr>
        <w:footnoteReference w:id="71"/>
      </w:r>
      <w:r w:rsidR="00DF2FA1" w:rsidRPr="0089051B">
        <w:rPr>
          <w:rFonts w:ascii="Times New Roman" w:eastAsia="Times New Roman" w:hAnsi="Times New Roman" w:cs="Times New Roman"/>
          <w:color w:val="333333"/>
          <w:shd w:val="clear" w:color="auto" w:fill="FFFFFF"/>
        </w:rPr>
        <w:t xml:space="preserve">  </w:t>
      </w:r>
    </w:p>
    <w:p w14:paraId="50EAF139" w14:textId="77777777" w:rsidR="006E5E55" w:rsidRPr="0089051B" w:rsidRDefault="00103B25" w:rsidP="006E5E55">
      <w:pPr>
        <w:ind w:firstLine="720"/>
        <w:jc w:val="both"/>
        <w:rPr>
          <w:rFonts w:ascii="Times New Roman" w:hAnsi="Times New Roman" w:cs="Times New Roman"/>
        </w:rPr>
      </w:pPr>
      <w:r w:rsidRPr="0089051B">
        <w:rPr>
          <w:rFonts w:ascii="Times New Roman" w:hAnsi="Times New Roman" w:cs="Times New Roman"/>
        </w:rPr>
        <w:t xml:space="preserve">In some instances, the Court’s determination to protect the principle of primacy and the remedy of disapplication against </w:t>
      </w:r>
      <w:proofErr w:type="gramStart"/>
      <w:r w:rsidRPr="0089051B">
        <w:rPr>
          <w:rFonts w:ascii="Times New Roman" w:hAnsi="Times New Roman" w:cs="Times New Roman"/>
        </w:rPr>
        <w:t>undue</w:t>
      </w:r>
      <w:proofErr w:type="gramEnd"/>
      <w:r w:rsidRPr="0089051B">
        <w:rPr>
          <w:rFonts w:ascii="Times New Roman" w:hAnsi="Times New Roman" w:cs="Times New Roman"/>
        </w:rPr>
        <w:t xml:space="preserve"> or unjustified d</w:t>
      </w:r>
      <w:r w:rsidR="0048514C" w:rsidRPr="0089051B">
        <w:rPr>
          <w:rFonts w:ascii="Times New Roman" w:hAnsi="Times New Roman" w:cs="Times New Roman"/>
        </w:rPr>
        <w:t>omestic procedural restrictions</w:t>
      </w:r>
      <w:r w:rsidRPr="0089051B">
        <w:rPr>
          <w:rFonts w:ascii="Times New Roman" w:hAnsi="Times New Roman" w:cs="Times New Roman"/>
        </w:rPr>
        <w:t xml:space="preserve"> </w:t>
      </w:r>
      <w:r w:rsidR="0048514C" w:rsidRPr="0089051B">
        <w:rPr>
          <w:rFonts w:ascii="Times New Roman" w:hAnsi="Times New Roman" w:cs="Times New Roman"/>
        </w:rPr>
        <w:t>risks provoking</w:t>
      </w:r>
      <w:r w:rsidRPr="0089051B">
        <w:rPr>
          <w:rFonts w:ascii="Times New Roman" w:hAnsi="Times New Roman" w:cs="Times New Roman"/>
        </w:rPr>
        <w:t xml:space="preserve"> a more serious confrontation with the domestic courts</w:t>
      </w:r>
      <w:r w:rsidR="0048514C" w:rsidRPr="0089051B">
        <w:rPr>
          <w:rFonts w:ascii="Times New Roman" w:hAnsi="Times New Roman" w:cs="Times New Roman"/>
        </w:rPr>
        <w:t xml:space="preserve">.  The </w:t>
      </w:r>
      <w:proofErr w:type="spellStart"/>
      <w:r w:rsidR="008613BF" w:rsidRPr="0089051B">
        <w:rPr>
          <w:rFonts w:ascii="Times New Roman" w:hAnsi="Times New Roman" w:cs="Times New Roman"/>
          <w:i/>
        </w:rPr>
        <w:t>Tar</w:t>
      </w:r>
      <w:r w:rsidR="00A211D0" w:rsidRPr="0089051B">
        <w:rPr>
          <w:rFonts w:ascii="Times New Roman" w:hAnsi="Times New Roman" w:cs="Times New Roman"/>
          <w:i/>
        </w:rPr>
        <w:t>i</w:t>
      </w:r>
      <w:r w:rsidR="008613BF" w:rsidRPr="0089051B">
        <w:rPr>
          <w:rFonts w:ascii="Times New Roman" w:hAnsi="Times New Roman" w:cs="Times New Roman"/>
          <w:i/>
        </w:rPr>
        <w:t>c</w:t>
      </w:r>
      <w:r w:rsidR="00A211D0" w:rsidRPr="0089051B">
        <w:rPr>
          <w:rFonts w:ascii="Times New Roman" w:hAnsi="Times New Roman" w:cs="Times New Roman"/>
          <w:i/>
        </w:rPr>
        <w:t>co</w:t>
      </w:r>
      <w:proofErr w:type="spellEnd"/>
      <w:r w:rsidR="00A211D0" w:rsidRPr="0089051B">
        <w:rPr>
          <w:rFonts w:ascii="Times New Roman" w:hAnsi="Times New Roman" w:cs="Times New Roman"/>
          <w:i/>
        </w:rPr>
        <w:t xml:space="preserve"> </w:t>
      </w:r>
      <w:r w:rsidR="00A211D0" w:rsidRPr="0089051B">
        <w:rPr>
          <w:rFonts w:ascii="Times New Roman" w:hAnsi="Times New Roman" w:cs="Times New Roman"/>
        </w:rPr>
        <w:t>litigation</w:t>
      </w:r>
      <w:r w:rsidR="0048514C" w:rsidRPr="0089051B">
        <w:rPr>
          <w:rFonts w:ascii="Times New Roman" w:hAnsi="Times New Roman" w:cs="Times New Roman"/>
        </w:rPr>
        <w:t xml:space="preserve"> illustrates how avoiding such confrontation can make demands on the logic and consistency of the </w:t>
      </w:r>
      <w:proofErr w:type="spellStart"/>
      <w:r w:rsidR="0048514C" w:rsidRPr="0089051B">
        <w:rPr>
          <w:rFonts w:ascii="Times New Roman" w:hAnsi="Times New Roman" w:cs="Times New Roman"/>
        </w:rPr>
        <w:t>caselaw</w:t>
      </w:r>
      <w:proofErr w:type="spellEnd"/>
      <w:r w:rsidR="00A211D0" w:rsidRPr="0089051B">
        <w:rPr>
          <w:rFonts w:ascii="Times New Roman" w:hAnsi="Times New Roman" w:cs="Times New Roman"/>
        </w:rPr>
        <w:t xml:space="preserve">.  </w:t>
      </w:r>
      <w:r w:rsidR="0048514C" w:rsidRPr="0089051B">
        <w:rPr>
          <w:rFonts w:ascii="Times New Roman" w:hAnsi="Times New Roman" w:cs="Times New Roman"/>
        </w:rPr>
        <w:t xml:space="preserve">In </w:t>
      </w:r>
      <w:proofErr w:type="spellStart"/>
      <w:r w:rsidR="008613BF" w:rsidRPr="0089051B">
        <w:rPr>
          <w:rFonts w:ascii="Times New Roman" w:hAnsi="Times New Roman" w:cs="Times New Roman"/>
          <w:i/>
        </w:rPr>
        <w:t>Ta</w:t>
      </w:r>
      <w:r w:rsidR="0048514C" w:rsidRPr="0089051B">
        <w:rPr>
          <w:rFonts w:ascii="Times New Roman" w:hAnsi="Times New Roman" w:cs="Times New Roman"/>
          <w:i/>
        </w:rPr>
        <w:t>ri</w:t>
      </w:r>
      <w:r w:rsidR="008613BF" w:rsidRPr="0089051B">
        <w:rPr>
          <w:rFonts w:ascii="Times New Roman" w:hAnsi="Times New Roman" w:cs="Times New Roman"/>
          <w:i/>
        </w:rPr>
        <w:t>c</w:t>
      </w:r>
      <w:r w:rsidR="0048514C" w:rsidRPr="0089051B">
        <w:rPr>
          <w:rFonts w:ascii="Times New Roman" w:hAnsi="Times New Roman" w:cs="Times New Roman"/>
          <w:i/>
        </w:rPr>
        <w:t>co</w:t>
      </w:r>
      <w:proofErr w:type="spellEnd"/>
      <w:r w:rsidR="0048514C" w:rsidRPr="0089051B">
        <w:rPr>
          <w:rFonts w:ascii="Times New Roman" w:hAnsi="Times New Roman" w:cs="Times New Roman"/>
        </w:rPr>
        <w:t xml:space="preserve"> itself, the </w:t>
      </w:r>
      <w:r w:rsidR="00A211D0" w:rsidRPr="0089051B">
        <w:rPr>
          <w:rFonts w:ascii="Times New Roman" w:hAnsi="Times New Roman" w:cs="Times New Roman"/>
        </w:rPr>
        <w:t xml:space="preserve">Court found that certain </w:t>
      </w:r>
      <w:r w:rsidR="00900424" w:rsidRPr="0089051B">
        <w:rPr>
          <w:rFonts w:ascii="Times New Roman" w:hAnsi="Times New Roman" w:cs="Times New Roman"/>
        </w:rPr>
        <w:t>Italian</w:t>
      </w:r>
      <w:r w:rsidR="00A211D0" w:rsidRPr="0089051B">
        <w:rPr>
          <w:rFonts w:ascii="Times New Roman" w:hAnsi="Times New Roman" w:cs="Times New Roman"/>
        </w:rPr>
        <w:t xml:space="preserve"> rules governing the limitation periods applicable to criminal offences failed to comply with the Member State’s duty to provide effective and dissuasive penalties for the enforcement of Union law (in </w:t>
      </w:r>
      <w:proofErr w:type="spellStart"/>
      <w:r w:rsidR="00A211D0" w:rsidRPr="0089051B">
        <w:rPr>
          <w:rFonts w:ascii="Times New Roman" w:hAnsi="Times New Roman" w:cs="Times New Roman"/>
        </w:rPr>
        <w:t>casu</w:t>
      </w:r>
      <w:proofErr w:type="spellEnd"/>
      <w:r w:rsidR="00A211D0" w:rsidRPr="0089051B">
        <w:rPr>
          <w:rFonts w:ascii="Times New Roman" w:hAnsi="Times New Roman" w:cs="Times New Roman"/>
        </w:rPr>
        <w:t xml:space="preserve">, for protection of the Union’s financial interests); such national rules should therefore be </w:t>
      </w:r>
      <w:proofErr w:type="spellStart"/>
      <w:r w:rsidR="00A211D0" w:rsidRPr="0089051B">
        <w:rPr>
          <w:rFonts w:ascii="Times New Roman" w:hAnsi="Times New Roman" w:cs="Times New Roman"/>
        </w:rPr>
        <w:t>disapplied</w:t>
      </w:r>
      <w:proofErr w:type="spellEnd"/>
      <w:r w:rsidR="00A211D0" w:rsidRPr="0089051B">
        <w:rPr>
          <w:rFonts w:ascii="Times New Roman" w:hAnsi="Times New Roman" w:cs="Times New Roman"/>
        </w:rPr>
        <w:t xml:space="preserve"> – a result which w</w:t>
      </w:r>
      <w:r w:rsidR="00030C57" w:rsidRPr="0089051B">
        <w:rPr>
          <w:rFonts w:ascii="Times New Roman" w:hAnsi="Times New Roman" w:cs="Times New Roman"/>
        </w:rPr>
        <w:t>ould not infringe the principle</w:t>
      </w:r>
      <w:r w:rsidR="00A211D0" w:rsidRPr="0089051B">
        <w:rPr>
          <w:rFonts w:ascii="Times New Roman" w:hAnsi="Times New Roman" w:cs="Times New Roman"/>
        </w:rPr>
        <w:t xml:space="preserve"> </w:t>
      </w:r>
      <w:r w:rsidR="00030C57" w:rsidRPr="0089051B">
        <w:rPr>
          <w:rFonts w:ascii="Times New Roman" w:hAnsi="Times New Roman" w:cs="Times New Roman"/>
        </w:rPr>
        <w:t xml:space="preserve">of </w:t>
      </w:r>
      <w:r w:rsidR="00A211D0" w:rsidRPr="0089051B">
        <w:rPr>
          <w:rFonts w:ascii="Times New Roman" w:hAnsi="Times New Roman" w:cs="Times New Roman"/>
        </w:rPr>
        <w:t>legality</w:t>
      </w:r>
      <w:r w:rsidR="00030C57" w:rsidRPr="0089051B">
        <w:rPr>
          <w:rFonts w:ascii="Times New Roman" w:hAnsi="Times New Roman" w:cs="Times New Roman"/>
        </w:rPr>
        <w:t xml:space="preserve"> under Union law</w:t>
      </w:r>
      <w:r w:rsidR="00A211D0" w:rsidRPr="0089051B">
        <w:rPr>
          <w:rFonts w:ascii="Times New Roman" w:hAnsi="Times New Roman" w:cs="Times New Roman"/>
        </w:rPr>
        <w:t>, since when it came to the retroactive aggravation of criminal liability, the setting aside of mere procedural rules was fundamentally different from that of substantive penal law.</w:t>
      </w:r>
      <w:r w:rsidR="00A211D0" w:rsidRPr="0089051B">
        <w:rPr>
          <w:rStyle w:val="FootnoteReference"/>
          <w:rFonts w:ascii="Times New Roman" w:hAnsi="Times New Roman" w:cs="Times New Roman"/>
        </w:rPr>
        <w:footnoteReference w:id="72"/>
      </w:r>
      <w:r w:rsidR="00030C57" w:rsidRPr="0089051B">
        <w:rPr>
          <w:rFonts w:ascii="Times New Roman" w:hAnsi="Times New Roman" w:cs="Times New Roman"/>
        </w:rPr>
        <w:t xml:space="preserve">  However, faced with </w:t>
      </w:r>
      <w:r w:rsidR="00900424" w:rsidRPr="0089051B">
        <w:rPr>
          <w:rFonts w:ascii="Times New Roman" w:hAnsi="Times New Roman" w:cs="Times New Roman"/>
        </w:rPr>
        <w:t xml:space="preserve">strong </w:t>
      </w:r>
      <w:r w:rsidR="00030C57" w:rsidRPr="0089051B">
        <w:rPr>
          <w:rFonts w:ascii="Times New Roman" w:hAnsi="Times New Roman" w:cs="Times New Roman"/>
        </w:rPr>
        <w:t xml:space="preserve">objections and potentially outright resistance from the </w:t>
      </w:r>
      <w:r w:rsidR="00900424" w:rsidRPr="0089051B">
        <w:rPr>
          <w:rFonts w:ascii="Times New Roman" w:hAnsi="Times New Roman" w:cs="Times New Roman"/>
        </w:rPr>
        <w:t>senior Italian</w:t>
      </w:r>
      <w:r w:rsidR="00030C57" w:rsidRPr="0089051B">
        <w:rPr>
          <w:rFonts w:ascii="Times New Roman" w:hAnsi="Times New Roman" w:cs="Times New Roman"/>
        </w:rPr>
        <w:t xml:space="preserve"> </w:t>
      </w:r>
      <w:r w:rsidR="00900424" w:rsidRPr="0089051B">
        <w:rPr>
          <w:rFonts w:ascii="Times New Roman" w:hAnsi="Times New Roman" w:cs="Times New Roman"/>
        </w:rPr>
        <w:t>judiciary</w:t>
      </w:r>
      <w:r w:rsidR="00030C57" w:rsidRPr="0089051B">
        <w:rPr>
          <w:rFonts w:ascii="Times New Roman" w:hAnsi="Times New Roman" w:cs="Times New Roman"/>
        </w:rPr>
        <w:t xml:space="preserve">, the Court </w:t>
      </w:r>
      <w:r w:rsidR="004B1C06" w:rsidRPr="0089051B">
        <w:rPr>
          <w:rFonts w:ascii="Times New Roman" w:hAnsi="Times New Roman" w:cs="Times New Roman"/>
        </w:rPr>
        <w:t xml:space="preserve">in </w:t>
      </w:r>
      <w:r w:rsidR="004B1C06" w:rsidRPr="0089051B">
        <w:rPr>
          <w:rFonts w:ascii="Times New Roman" w:hAnsi="Times New Roman" w:cs="Times New Roman"/>
          <w:i/>
        </w:rPr>
        <w:t>M</w:t>
      </w:r>
      <w:r w:rsidR="005F5557" w:rsidRPr="0089051B">
        <w:rPr>
          <w:rFonts w:ascii="Times New Roman" w:hAnsi="Times New Roman" w:cs="Times New Roman"/>
          <w:i/>
        </w:rPr>
        <w:t>.A.</w:t>
      </w:r>
      <w:r w:rsidR="004B1C06" w:rsidRPr="0089051B">
        <w:rPr>
          <w:rFonts w:ascii="Times New Roman" w:hAnsi="Times New Roman" w:cs="Times New Roman"/>
          <w:i/>
        </w:rPr>
        <w:t>S</w:t>
      </w:r>
      <w:r w:rsidR="005F5557" w:rsidRPr="0089051B">
        <w:rPr>
          <w:rFonts w:ascii="Times New Roman" w:hAnsi="Times New Roman" w:cs="Times New Roman"/>
          <w:i/>
        </w:rPr>
        <w:t>.</w:t>
      </w:r>
      <w:r w:rsidR="004B1C06" w:rsidRPr="0089051B">
        <w:rPr>
          <w:rFonts w:ascii="Times New Roman" w:hAnsi="Times New Roman" w:cs="Times New Roman"/>
        </w:rPr>
        <w:t xml:space="preserve"> </w:t>
      </w:r>
      <w:r w:rsidR="00900424" w:rsidRPr="0089051B">
        <w:rPr>
          <w:rFonts w:ascii="Times New Roman" w:hAnsi="Times New Roman" w:cs="Times New Roman"/>
        </w:rPr>
        <w:t xml:space="preserve">subsequently </w:t>
      </w:r>
      <w:r w:rsidR="00030C57" w:rsidRPr="0089051B">
        <w:rPr>
          <w:rFonts w:ascii="Times New Roman" w:hAnsi="Times New Roman" w:cs="Times New Roman"/>
        </w:rPr>
        <w:t xml:space="preserve">revised its interpretation: </w:t>
      </w:r>
      <w:r w:rsidR="0048514C" w:rsidRPr="0089051B">
        <w:rPr>
          <w:rFonts w:ascii="Times New Roman" w:hAnsi="Times New Roman" w:cs="Times New Roman"/>
        </w:rPr>
        <w:t xml:space="preserve">it now emerged that </w:t>
      </w:r>
      <w:r w:rsidR="00900424" w:rsidRPr="0089051B">
        <w:rPr>
          <w:rFonts w:ascii="Times New Roman" w:hAnsi="Times New Roman" w:cs="Times New Roman"/>
        </w:rPr>
        <w:t>the relevant limitation periods were classified, under Italian rules</w:t>
      </w:r>
      <w:r w:rsidR="000047FD" w:rsidRPr="0089051B">
        <w:rPr>
          <w:rFonts w:ascii="Times New Roman" w:hAnsi="Times New Roman" w:cs="Times New Roman"/>
        </w:rPr>
        <w:t xml:space="preserve"> </w:t>
      </w:r>
      <w:r w:rsidR="000047FD" w:rsidRPr="0089051B">
        <w:rPr>
          <w:rFonts w:ascii="Times New Roman" w:hAnsi="Times New Roman" w:cs="Times New Roman"/>
        </w:rPr>
        <w:lastRenderedPageBreak/>
        <w:t>adopted in the legitimate exe</w:t>
      </w:r>
      <w:r w:rsidR="0016087E" w:rsidRPr="0089051B">
        <w:rPr>
          <w:rFonts w:ascii="Times New Roman" w:hAnsi="Times New Roman" w:cs="Times New Roman"/>
        </w:rPr>
        <w:t>rcise of that</w:t>
      </w:r>
      <w:r w:rsidR="000047FD" w:rsidRPr="0089051B">
        <w:rPr>
          <w:rFonts w:ascii="Times New Roman" w:hAnsi="Times New Roman" w:cs="Times New Roman"/>
        </w:rPr>
        <w:t xml:space="preserve"> Member State’s competence</w:t>
      </w:r>
      <w:r w:rsidR="00900424" w:rsidRPr="0089051B">
        <w:rPr>
          <w:rFonts w:ascii="Times New Roman" w:hAnsi="Times New Roman" w:cs="Times New Roman"/>
        </w:rPr>
        <w:t>, as pertaining to substantive (not merely procedural) criminal law</w:t>
      </w:r>
      <w:r w:rsidR="000047FD" w:rsidRPr="0089051B">
        <w:rPr>
          <w:rFonts w:ascii="Times New Roman" w:hAnsi="Times New Roman" w:cs="Times New Roman"/>
        </w:rPr>
        <w:t xml:space="preserve"> and </w:t>
      </w:r>
      <w:r w:rsidR="0016087E" w:rsidRPr="0089051B">
        <w:rPr>
          <w:rFonts w:ascii="Times New Roman" w:hAnsi="Times New Roman" w:cs="Times New Roman"/>
        </w:rPr>
        <w:t xml:space="preserve">were </w:t>
      </w:r>
      <w:r w:rsidR="000047FD" w:rsidRPr="0089051B">
        <w:rPr>
          <w:rFonts w:ascii="Times New Roman" w:hAnsi="Times New Roman" w:cs="Times New Roman"/>
        </w:rPr>
        <w:t xml:space="preserve">thus </w:t>
      </w:r>
      <w:r w:rsidR="0016087E" w:rsidRPr="0089051B">
        <w:rPr>
          <w:rFonts w:ascii="Times New Roman" w:hAnsi="Times New Roman" w:cs="Times New Roman"/>
        </w:rPr>
        <w:t xml:space="preserve">also </w:t>
      </w:r>
      <w:r w:rsidR="000047FD" w:rsidRPr="0089051B">
        <w:rPr>
          <w:rFonts w:ascii="Times New Roman" w:hAnsi="Times New Roman" w:cs="Times New Roman"/>
        </w:rPr>
        <w:t>subject to the fundamental principle that offences and penalties should be defined by law</w:t>
      </w:r>
      <w:r w:rsidR="00900424" w:rsidRPr="0089051B">
        <w:rPr>
          <w:rFonts w:ascii="Times New Roman" w:hAnsi="Times New Roman" w:cs="Times New Roman"/>
        </w:rPr>
        <w:t xml:space="preserve">; if </w:t>
      </w:r>
      <w:r w:rsidR="00900424" w:rsidRPr="0089051B">
        <w:rPr>
          <w:rFonts w:ascii="Times New Roman" w:eastAsia="Times New Roman" w:hAnsi="Times New Roman" w:cs="Times New Roman"/>
          <w:shd w:val="clear" w:color="auto" w:fill="FFFFFF"/>
        </w:rPr>
        <w:t xml:space="preserve">disapplication of the offending </w:t>
      </w:r>
      <w:r w:rsidR="0016087E" w:rsidRPr="0089051B">
        <w:rPr>
          <w:rFonts w:ascii="Times New Roman" w:eastAsia="Times New Roman" w:hAnsi="Times New Roman" w:cs="Times New Roman"/>
          <w:shd w:val="clear" w:color="auto" w:fill="FFFFFF"/>
        </w:rPr>
        <w:t xml:space="preserve">Italian </w:t>
      </w:r>
      <w:r w:rsidR="00900424" w:rsidRPr="0089051B">
        <w:rPr>
          <w:rFonts w:ascii="Times New Roman" w:eastAsia="Times New Roman" w:hAnsi="Times New Roman" w:cs="Times New Roman"/>
          <w:shd w:val="clear" w:color="auto" w:fill="FFFFFF"/>
        </w:rPr>
        <w:t xml:space="preserve">limitation periods would conflict with </w:t>
      </w:r>
      <w:r w:rsidR="000047FD" w:rsidRPr="0089051B">
        <w:rPr>
          <w:rFonts w:ascii="Times New Roman" w:eastAsia="Times New Roman" w:hAnsi="Times New Roman" w:cs="Times New Roman"/>
          <w:shd w:val="clear" w:color="auto" w:fill="FFFFFF"/>
        </w:rPr>
        <w:t xml:space="preserve">that </w:t>
      </w:r>
      <w:r w:rsidR="00900424" w:rsidRPr="0089051B">
        <w:rPr>
          <w:rFonts w:ascii="Times New Roman" w:eastAsia="Times New Roman" w:hAnsi="Times New Roman" w:cs="Times New Roman"/>
          <w:shd w:val="clear" w:color="auto" w:fill="FFFFFF"/>
        </w:rPr>
        <w:t>fundamental principle</w:t>
      </w:r>
      <w:r w:rsidR="0016087E" w:rsidRPr="0089051B">
        <w:rPr>
          <w:rFonts w:ascii="Times New Roman" w:eastAsia="Times New Roman" w:hAnsi="Times New Roman" w:cs="Times New Roman"/>
          <w:shd w:val="clear" w:color="auto" w:fill="FFFFFF"/>
        </w:rPr>
        <w:t xml:space="preserve"> (in particular)</w:t>
      </w:r>
      <w:r w:rsidR="000047FD" w:rsidRPr="0089051B">
        <w:rPr>
          <w:rFonts w:ascii="Times New Roman" w:eastAsia="Times New Roman" w:hAnsi="Times New Roman" w:cs="Times New Roman"/>
          <w:shd w:val="clear" w:color="auto" w:fill="FFFFFF"/>
        </w:rPr>
        <w:t xml:space="preserve"> by breaching </w:t>
      </w:r>
      <w:r w:rsidR="0016087E" w:rsidRPr="0089051B">
        <w:rPr>
          <w:rFonts w:ascii="Times New Roman" w:eastAsia="Times New Roman" w:hAnsi="Times New Roman" w:cs="Times New Roman"/>
          <w:shd w:val="clear" w:color="auto" w:fill="FFFFFF"/>
        </w:rPr>
        <w:t xml:space="preserve">the </w:t>
      </w:r>
      <w:r w:rsidR="000047FD" w:rsidRPr="0089051B">
        <w:rPr>
          <w:rFonts w:ascii="Times New Roman" w:eastAsia="Times New Roman" w:hAnsi="Times New Roman" w:cs="Times New Roman"/>
          <w:shd w:val="clear" w:color="auto" w:fill="FFFFFF"/>
        </w:rPr>
        <w:t xml:space="preserve">requirements </w:t>
      </w:r>
      <w:r w:rsidR="0016087E" w:rsidRPr="0089051B">
        <w:rPr>
          <w:rFonts w:ascii="Times New Roman" w:eastAsia="Times New Roman" w:hAnsi="Times New Roman" w:cs="Times New Roman"/>
          <w:shd w:val="clear" w:color="auto" w:fill="FFFFFF"/>
        </w:rPr>
        <w:t xml:space="preserve">of </w:t>
      </w:r>
      <w:r w:rsidR="000047FD" w:rsidRPr="0089051B">
        <w:rPr>
          <w:rFonts w:ascii="Times New Roman" w:eastAsia="Times New Roman" w:hAnsi="Times New Roman" w:cs="Times New Roman"/>
          <w:shd w:val="clear" w:color="auto" w:fill="FFFFFF"/>
        </w:rPr>
        <w:t>foreseeability, precision and non-retroactivity</w:t>
      </w:r>
      <w:r w:rsidR="00900424" w:rsidRPr="0089051B">
        <w:rPr>
          <w:rFonts w:ascii="Times New Roman" w:eastAsia="Times New Roman" w:hAnsi="Times New Roman" w:cs="Times New Roman"/>
          <w:shd w:val="clear" w:color="auto" w:fill="FFFFFF"/>
        </w:rPr>
        <w:t xml:space="preserve">, </w:t>
      </w:r>
      <w:r w:rsidR="000047FD" w:rsidRPr="0089051B">
        <w:rPr>
          <w:rFonts w:ascii="Times New Roman" w:eastAsia="Times New Roman" w:hAnsi="Times New Roman" w:cs="Times New Roman"/>
          <w:shd w:val="clear" w:color="auto" w:fill="FFFFFF"/>
        </w:rPr>
        <w:t xml:space="preserve">then </w:t>
      </w:r>
      <w:r w:rsidR="00900424" w:rsidRPr="0089051B">
        <w:rPr>
          <w:rFonts w:ascii="Times New Roman" w:eastAsia="Times New Roman" w:hAnsi="Times New Roman" w:cs="Times New Roman"/>
          <w:shd w:val="clear" w:color="auto" w:fill="FFFFFF"/>
        </w:rPr>
        <w:t xml:space="preserve">the domestic judges would not be obliged to </w:t>
      </w:r>
      <w:r w:rsidR="0016087E" w:rsidRPr="0089051B">
        <w:rPr>
          <w:rFonts w:ascii="Times New Roman" w:eastAsia="Times New Roman" w:hAnsi="Times New Roman" w:cs="Times New Roman"/>
          <w:shd w:val="clear" w:color="auto" w:fill="FFFFFF"/>
        </w:rPr>
        <w:t xml:space="preserve">order such disapplication </w:t>
      </w:r>
      <w:r w:rsidR="000047FD" w:rsidRPr="0089051B">
        <w:rPr>
          <w:rFonts w:ascii="Times New Roman" w:eastAsia="Times New Roman" w:hAnsi="Times New Roman" w:cs="Times New Roman"/>
          <w:shd w:val="clear" w:color="auto" w:fill="FFFFFF"/>
        </w:rPr>
        <w:t xml:space="preserve">– even if </w:t>
      </w:r>
      <w:r w:rsidR="0016087E" w:rsidRPr="0089051B">
        <w:rPr>
          <w:rFonts w:ascii="Times New Roman" w:eastAsia="Times New Roman" w:hAnsi="Times New Roman" w:cs="Times New Roman"/>
          <w:shd w:val="clear" w:color="auto" w:fill="FFFFFF"/>
        </w:rPr>
        <w:t xml:space="preserve">the latter course of action </w:t>
      </w:r>
      <w:r w:rsidR="000047FD" w:rsidRPr="0089051B">
        <w:rPr>
          <w:rFonts w:ascii="Times New Roman" w:eastAsia="Times New Roman" w:hAnsi="Times New Roman" w:cs="Times New Roman"/>
          <w:shd w:val="clear" w:color="auto" w:fill="FFFFFF"/>
        </w:rPr>
        <w:t xml:space="preserve">would </w:t>
      </w:r>
      <w:r w:rsidR="0048514C" w:rsidRPr="0089051B">
        <w:rPr>
          <w:rFonts w:ascii="Times New Roman" w:eastAsia="Times New Roman" w:hAnsi="Times New Roman" w:cs="Times New Roman"/>
          <w:shd w:val="clear" w:color="auto" w:fill="FFFFFF"/>
        </w:rPr>
        <w:t xml:space="preserve">have </w:t>
      </w:r>
      <w:r w:rsidR="00900424" w:rsidRPr="0089051B">
        <w:rPr>
          <w:rFonts w:ascii="Times New Roman" w:eastAsia="Times New Roman" w:hAnsi="Times New Roman" w:cs="Times New Roman"/>
          <w:shd w:val="clear" w:color="auto" w:fill="FFFFFF"/>
        </w:rPr>
        <w:t>allow</w:t>
      </w:r>
      <w:r w:rsidR="0048514C" w:rsidRPr="0089051B">
        <w:rPr>
          <w:rFonts w:ascii="Times New Roman" w:eastAsia="Times New Roman" w:hAnsi="Times New Roman" w:cs="Times New Roman"/>
          <w:shd w:val="clear" w:color="auto" w:fill="FFFFFF"/>
        </w:rPr>
        <w:t>ed</w:t>
      </w:r>
      <w:r w:rsidR="00900424" w:rsidRPr="0089051B">
        <w:rPr>
          <w:rFonts w:ascii="Times New Roman" w:eastAsia="Times New Roman" w:hAnsi="Times New Roman" w:cs="Times New Roman"/>
          <w:shd w:val="clear" w:color="auto" w:fill="FFFFFF"/>
        </w:rPr>
        <w:t xml:space="preserve"> </w:t>
      </w:r>
      <w:r w:rsidR="000047FD" w:rsidRPr="0089051B">
        <w:rPr>
          <w:rFonts w:ascii="Times New Roman" w:eastAsia="Times New Roman" w:hAnsi="Times New Roman" w:cs="Times New Roman"/>
          <w:shd w:val="clear" w:color="auto" w:fill="FFFFFF"/>
        </w:rPr>
        <w:t xml:space="preserve">the </w:t>
      </w:r>
      <w:r w:rsidR="0016087E" w:rsidRPr="0089051B">
        <w:rPr>
          <w:rFonts w:ascii="Times New Roman" w:eastAsia="Times New Roman" w:hAnsi="Times New Roman" w:cs="Times New Roman"/>
          <w:shd w:val="clear" w:color="auto" w:fill="FFFFFF"/>
        </w:rPr>
        <w:t xml:space="preserve">Italian </w:t>
      </w:r>
      <w:r w:rsidR="000047FD" w:rsidRPr="0089051B">
        <w:rPr>
          <w:rFonts w:ascii="Times New Roman" w:eastAsia="Times New Roman" w:hAnsi="Times New Roman" w:cs="Times New Roman"/>
          <w:shd w:val="clear" w:color="auto" w:fill="FFFFFF"/>
        </w:rPr>
        <w:t xml:space="preserve">courts to remedy </w:t>
      </w:r>
      <w:r w:rsidR="00900424" w:rsidRPr="0089051B">
        <w:rPr>
          <w:rFonts w:ascii="Times New Roman" w:eastAsia="Times New Roman" w:hAnsi="Times New Roman" w:cs="Times New Roman"/>
          <w:shd w:val="clear" w:color="auto" w:fill="FFFFFF"/>
        </w:rPr>
        <w:t>a situation incompatibl</w:t>
      </w:r>
      <w:r w:rsidR="000047FD" w:rsidRPr="0089051B">
        <w:rPr>
          <w:rFonts w:ascii="Times New Roman" w:eastAsia="Times New Roman" w:hAnsi="Times New Roman" w:cs="Times New Roman"/>
          <w:shd w:val="clear" w:color="auto" w:fill="FFFFFF"/>
        </w:rPr>
        <w:t>e with Union law, without waiting for action by the Italian legislature</w:t>
      </w:r>
      <w:r w:rsidR="00900424" w:rsidRPr="0089051B">
        <w:rPr>
          <w:rFonts w:ascii="Times New Roman" w:eastAsia="Times New Roman" w:hAnsi="Times New Roman" w:cs="Times New Roman"/>
          <w:shd w:val="clear" w:color="auto" w:fill="FFFFFF"/>
        </w:rPr>
        <w:t>.</w:t>
      </w:r>
      <w:r w:rsidR="00900424" w:rsidRPr="0089051B">
        <w:rPr>
          <w:rStyle w:val="FootnoteReference"/>
          <w:rFonts w:ascii="Times New Roman" w:eastAsia="Times New Roman" w:hAnsi="Times New Roman" w:cs="Times New Roman"/>
          <w:shd w:val="clear" w:color="auto" w:fill="FFFFFF"/>
        </w:rPr>
        <w:footnoteReference w:id="73"/>
      </w:r>
    </w:p>
    <w:p w14:paraId="203EC5A8" w14:textId="55BEE95D" w:rsidR="00550B13" w:rsidRPr="0089051B" w:rsidRDefault="0048514C" w:rsidP="006E5E55">
      <w:pPr>
        <w:ind w:firstLine="720"/>
        <w:jc w:val="both"/>
        <w:rPr>
          <w:rFonts w:ascii="Times New Roman" w:hAnsi="Times New Roman" w:cs="Times New Roman"/>
        </w:rPr>
      </w:pPr>
      <w:r w:rsidRPr="0089051B">
        <w:rPr>
          <w:rFonts w:ascii="Times New Roman" w:hAnsi="Times New Roman" w:cs="Times New Roman"/>
        </w:rPr>
        <w:t xml:space="preserve">But in other situations, judicial friction does indeed prove unavoidable – thereby effectively transforming a “second category” dispute concerning the practical consequences of a finding of incompatibility between Union and national law, focused on finding an appropriate balance between the demands of </w:t>
      </w:r>
      <w:r w:rsidR="00B81FD5" w:rsidRPr="0089051B">
        <w:rPr>
          <w:rFonts w:ascii="Times New Roman" w:hAnsi="Times New Roman" w:cs="Times New Roman"/>
        </w:rPr>
        <w:t>primacy</w:t>
      </w:r>
      <w:r w:rsidRPr="0089051B">
        <w:rPr>
          <w:rFonts w:ascii="Times New Roman" w:hAnsi="Times New Roman" w:cs="Times New Roman"/>
        </w:rPr>
        <w:t xml:space="preserve"> and the needs of legal certainty; instead into a “first category” conflict about the very authority of Union law within the national legal system, having regard to domestic “red lines” over the limits of Union competence, the protection of fundamental rights or respect for core tenets of Member State identity.  That was effectively the story of </w:t>
      </w:r>
      <w:r w:rsidRPr="0089051B">
        <w:rPr>
          <w:rFonts w:ascii="Times New Roman" w:hAnsi="Times New Roman" w:cs="Times New Roman"/>
          <w:i/>
        </w:rPr>
        <w:t xml:space="preserve">Dansk </w:t>
      </w:r>
      <w:proofErr w:type="spellStart"/>
      <w:r w:rsidRPr="0089051B">
        <w:rPr>
          <w:rFonts w:ascii="Times New Roman" w:hAnsi="Times New Roman" w:cs="Times New Roman"/>
          <w:i/>
        </w:rPr>
        <w:t>Industri</w:t>
      </w:r>
      <w:proofErr w:type="spellEnd"/>
      <w:r w:rsidRPr="0089051B">
        <w:rPr>
          <w:rFonts w:ascii="Times New Roman" w:hAnsi="Times New Roman" w:cs="Times New Roman"/>
          <w:i/>
        </w:rPr>
        <w:t xml:space="preserve"> / </w:t>
      </w:r>
      <w:proofErr w:type="spellStart"/>
      <w:r w:rsidRPr="0089051B">
        <w:rPr>
          <w:rFonts w:ascii="Times New Roman" w:hAnsi="Times New Roman" w:cs="Times New Roman"/>
          <w:i/>
        </w:rPr>
        <w:t>Ajos</w:t>
      </w:r>
      <w:proofErr w:type="spellEnd"/>
      <w:r w:rsidRPr="0089051B">
        <w:rPr>
          <w:rFonts w:ascii="Times New Roman" w:hAnsi="Times New Roman" w:cs="Times New Roman"/>
        </w:rPr>
        <w:t xml:space="preserve">.  Having affirmed its existing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to the effect that the general principle of non-discrimination on grounds of age can be relied upon in litigation between private parties so as to </w:t>
      </w:r>
      <w:proofErr w:type="spellStart"/>
      <w:r w:rsidR="006314F4" w:rsidRPr="0089051B">
        <w:rPr>
          <w:rFonts w:ascii="Times New Roman" w:hAnsi="Times New Roman" w:cs="Times New Roman"/>
        </w:rPr>
        <w:t>disapply</w:t>
      </w:r>
      <w:proofErr w:type="spellEnd"/>
      <w:r w:rsidR="006314F4" w:rsidRPr="0089051B">
        <w:rPr>
          <w:rFonts w:ascii="Times New Roman" w:hAnsi="Times New Roman" w:cs="Times New Roman"/>
        </w:rPr>
        <w:t xml:space="preserve"> </w:t>
      </w:r>
      <w:r w:rsidRPr="0089051B">
        <w:rPr>
          <w:rFonts w:ascii="Times New Roman" w:hAnsi="Times New Roman" w:cs="Times New Roman"/>
        </w:rPr>
        <w:t xml:space="preserve">national legislation </w:t>
      </w:r>
      <w:r w:rsidR="006314F4" w:rsidRPr="0089051B">
        <w:rPr>
          <w:rFonts w:ascii="Times New Roman" w:hAnsi="Times New Roman" w:cs="Times New Roman"/>
        </w:rPr>
        <w:t>which cannot be interpreted consistently with Union law</w:t>
      </w:r>
      <w:r w:rsidRPr="0089051B">
        <w:rPr>
          <w:rFonts w:ascii="Times New Roman" w:hAnsi="Times New Roman" w:cs="Times New Roman"/>
        </w:rPr>
        <w:t xml:space="preserve">, the Court </w:t>
      </w:r>
      <w:r w:rsidR="006314F4" w:rsidRPr="0089051B">
        <w:rPr>
          <w:rFonts w:ascii="Times New Roman" w:hAnsi="Times New Roman" w:cs="Times New Roman"/>
        </w:rPr>
        <w:t xml:space="preserve">robustly rejected the Danish </w:t>
      </w:r>
      <w:r w:rsidR="00EF249F" w:rsidRPr="0089051B">
        <w:rPr>
          <w:rFonts w:ascii="Times New Roman" w:hAnsi="Times New Roman" w:cs="Times New Roman"/>
        </w:rPr>
        <w:t>Supreme Court’s</w:t>
      </w:r>
      <w:r w:rsidR="006314F4" w:rsidRPr="0089051B">
        <w:rPr>
          <w:rFonts w:ascii="Times New Roman" w:hAnsi="Times New Roman" w:cs="Times New Roman"/>
        </w:rPr>
        <w:t xml:space="preserve"> suggestion that the principle of legal certainty or legitimate expectations should nevertheless protect private employers who had acted in accordance with that national legislation: as in </w:t>
      </w:r>
      <w:r w:rsidR="00EF249F" w:rsidRPr="0089051B">
        <w:rPr>
          <w:rFonts w:ascii="Times New Roman" w:hAnsi="Times New Roman" w:cs="Times New Roman"/>
          <w:i/>
        </w:rPr>
        <w:t xml:space="preserve">Gutiérrez </w:t>
      </w:r>
      <w:proofErr w:type="spellStart"/>
      <w:r w:rsidR="00EF249F" w:rsidRPr="0089051B">
        <w:rPr>
          <w:rFonts w:ascii="Times New Roman" w:hAnsi="Times New Roman" w:cs="Times New Roman"/>
          <w:i/>
        </w:rPr>
        <w:t>Naranjo</w:t>
      </w:r>
      <w:proofErr w:type="spellEnd"/>
      <w:r w:rsidR="006314F4" w:rsidRPr="0089051B">
        <w:rPr>
          <w:rFonts w:ascii="Times New Roman" w:hAnsi="Times New Roman" w:cs="Times New Roman"/>
        </w:rPr>
        <w:t xml:space="preserve">, such an approach would amount to the improper imposition of a general temporal limitation on the effects of a preliminary ruling, when the Court itself had not exercised its (centralised, monopoly) jurisdiction to do so </w:t>
      </w:r>
      <w:r w:rsidR="00727228" w:rsidRPr="0089051B">
        <w:rPr>
          <w:rFonts w:ascii="Times New Roman" w:hAnsi="Times New Roman" w:cs="Times New Roman"/>
        </w:rPr>
        <w:t>at the point of</w:t>
      </w:r>
      <w:r w:rsidR="006314F4" w:rsidRPr="0089051B">
        <w:rPr>
          <w:rFonts w:ascii="Times New Roman" w:hAnsi="Times New Roman" w:cs="Times New Roman"/>
        </w:rPr>
        <w:t xml:space="preserve"> interpret</w:t>
      </w:r>
      <w:r w:rsidR="00EF249F" w:rsidRPr="0089051B">
        <w:rPr>
          <w:rFonts w:ascii="Times New Roman" w:hAnsi="Times New Roman" w:cs="Times New Roman"/>
        </w:rPr>
        <w:t>ing</w:t>
      </w:r>
      <w:r w:rsidR="006314F4" w:rsidRPr="0089051B">
        <w:rPr>
          <w:rFonts w:ascii="Times New Roman" w:hAnsi="Times New Roman" w:cs="Times New Roman"/>
        </w:rPr>
        <w:t xml:space="preserve"> the relevant provisions of Union law.</w:t>
      </w:r>
      <w:r w:rsidR="006314F4" w:rsidRPr="0089051B">
        <w:rPr>
          <w:rStyle w:val="FootnoteReference"/>
          <w:rFonts w:ascii="Times New Roman" w:hAnsi="Times New Roman" w:cs="Times New Roman"/>
        </w:rPr>
        <w:footnoteReference w:id="74"/>
      </w:r>
      <w:r w:rsidR="00EF249F" w:rsidRPr="0089051B">
        <w:rPr>
          <w:rFonts w:ascii="Times New Roman" w:hAnsi="Times New Roman" w:cs="Times New Roman"/>
        </w:rPr>
        <w:t xml:space="preserve">  </w:t>
      </w:r>
      <w:r w:rsidR="006C50DC" w:rsidRPr="0089051B">
        <w:rPr>
          <w:rFonts w:ascii="Times New Roman" w:hAnsi="Times New Roman" w:cs="Times New Roman"/>
        </w:rPr>
        <w:t>However, that</w:t>
      </w:r>
      <w:r w:rsidR="00EF249F" w:rsidRPr="0089051B">
        <w:rPr>
          <w:rFonts w:ascii="Times New Roman" w:hAnsi="Times New Roman" w:cs="Times New Roman"/>
        </w:rPr>
        <w:t xml:space="preserve"> reply did not satisfy the Danish Supreme Court</w:t>
      </w:r>
      <w:r w:rsidR="002A04FF" w:rsidRPr="0089051B">
        <w:rPr>
          <w:rFonts w:ascii="Times New Roman" w:hAnsi="Times New Roman" w:cs="Times New Roman"/>
        </w:rPr>
        <w:t>:</w:t>
      </w:r>
      <w:r w:rsidR="00771865" w:rsidRPr="0089051B">
        <w:rPr>
          <w:rStyle w:val="FootnoteReference"/>
          <w:rFonts w:ascii="Times New Roman" w:hAnsi="Times New Roman" w:cs="Times New Roman"/>
        </w:rPr>
        <w:footnoteReference w:id="75"/>
      </w:r>
      <w:r w:rsidR="002A04FF" w:rsidRPr="0089051B">
        <w:rPr>
          <w:rFonts w:ascii="Times New Roman" w:hAnsi="Times New Roman" w:cs="Times New Roman"/>
        </w:rPr>
        <w:t xml:space="preserve"> by insisting that the general principles of Union law could lead to the disapplication of national legislation even in litigation between two private parties, the </w:t>
      </w:r>
      <w:r w:rsidR="00EF249F" w:rsidRPr="0089051B">
        <w:rPr>
          <w:rFonts w:ascii="Times New Roman" w:hAnsi="Times New Roman" w:cs="Times New Roman"/>
        </w:rPr>
        <w:t xml:space="preserve">Court </w:t>
      </w:r>
      <w:r w:rsidR="002A04FF" w:rsidRPr="0089051B">
        <w:rPr>
          <w:rFonts w:ascii="Times New Roman" w:hAnsi="Times New Roman" w:cs="Times New Roman"/>
        </w:rPr>
        <w:t xml:space="preserve">was effectively exceeding the scope of the powers conferred upon the Union as a matter of Danish constitutional law, since the latter did not provide any authorisation for </w:t>
      </w:r>
      <w:r w:rsidR="006C50DC" w:rsidRPr="0089051B">
        <w:rPr>
          <w:rFonts w:ascii="Times New Roman" w:hAnsi="Times New Roman" w:cs="Times New Roman"/>
        </w:rPr>
        <w:t xml:space="preserve">those </w:t>
      </w:r>
      <w:r w:rsidR="002A04FF" w:rsidRPr="0089051B">
        <w:rPr>
          <w:rFonts w:ascii="Times New Roman" w:hAnsi="Times New Roman" w:cs="Times New Roman"/>
        </w:rPr>
        <w:t xml:space="preserve">unwritten principles to produce such </w:t>
      </w:r>
      <w:r w:rsidR="006C50DC" w:rsidRPr="0089051B">
        <w:rPr>
          <w:rFonts w:ascii="Times New Roman" w:hAnsi="Times New Roman" w:cs="Times New Roman"/>
        </w:rPr>
        <w:t xml:space="preserve">binding </w:t>
      </w:r>
      <w:r w:rsidR="002A04FF" w:rsidRPr="0089051B">
        <w:rPr>
          <w:rFonts w:ascii="Times New Roman" w:hAnsi="Times New Roman" w:cs="Times New Roman"/>
        </w:rPr>
        <w:t>effect</w:t>
      </w:r>
      <w:r w:rsidR="006C50DC" w:rsidRPr="0089051B">
        <w:rPr>
          <w:rFonts w:ascii="Times New Roman" w:hAnsi="Times New Roman" w:cs="Times New Roman"/>
        </w:rPr>
        <w:t>s</w:t>
      </w:r>
      <w:r w:rsidR="002A04FF" w:rsidRPr="0089051B">
        <w:rPr>
          <w:rFonts w:ascii="Times New Roman" w:hAnsi="Times New Roman" w:cs="Times New Roman"/>
        </w:rPr>
        <w:t xml:space="preserve"> within the national legal </w:t>
      </w:r>
      <w:r w:rsidR="006C50DC" w:rsidRPr="0089051B">
        <w:rPr>
          <w:rFonts w:ascii="Times New Roman" w:hAnsi="Times New Roman" w:cs="Times New Roman"/>
        </w:rPr>
        <w:t>order</w:t>
      </w:r>
      <w:r w:rsidR="00771865" w:rsidRPr="0089051B">
        <w:rPr>
          <w:rFonts w:ascii="Times New Roman" w:hAnsi="Times New Roman" w:cs="Times New Roman"/>
        </w:rPr>
        <w:t xml:space="preserve"> (a finding which effectively invited the Danish government and parliament to rectify the situation by revising the domestic Accession Act)</w:t>
      </w:r>
      <w:r w:rsidR="002A04FF" w:rsidRPr="0089051B">
        <w:rPr>
          <w:rFonts w:ascii="Times New Roman" w:hAnsi="Times New Roman" w:cs="Times New Roman"/>
        </w:rPr>
        <w:t>.</w:t>
      </w:r>
      <w:r w:rsidR="006C50DC" w:rsidRPr="0089051B">
        <w:rPr>
          <w:rStyle w:val="FootnoteReference"/>
          <w:rFonts w:ascii="Times New Roman" w:hAnsi="Times New Roman" w:cs="Times New Roman"/>
        </w:rPr>
        <w:footnoteReference w:id="76"/>
      </w:r>
      <w:r w:rsidR="006314F4" w:rsidRPr="0089051B">
        <w:rPr>
          <w:rFonts w:ascii="Times New Roman" w:hAnsi="Times New Roman" w:cs="Times New Roman"/>
        </w:rPr>
        <w:t xml:space="preserve"> </w:t>
      </w:r>
      <w:r w:rsidR="006C50DC" w:rsidRPr="0089051B">
        <w:rPr>
          <w:rFonts w:ascii="Times New Roman" w:hAnsi="Times New Roman" w:cs="Times New Roman"/>
        </w:rPr>
        <w:t xml:space="preserve"> </w:t>
      </w:r>
      <w:r w:rsidR="004B1C06" w:rsidRPr="0089051B">
        <w:rPr>
          <w:rFonts w:ascii="Times New Roman" w:hAnsi="Times New Roman" w:cs="Times New Roman"/>
        </w:rPr>
        <w:t>If most</w:t>
      </w:r>
      <w:r w:rsidR="006C50DC" w:rsidRPr="0089051B">
        <w:rPr>
          <w:rFonts w:ascii="Times New Roman" w:hAnsi="Times New Roman" w:cs="Times New Roman"/>
        </w:rPr>
        <w:t xml:space="preserve"> “</w:t>
      </w:r>
      <w:r w:rsidR="00B81FD5" w:rsidRPr="0089051B">
        <w:rPr>
          <w:rFonts w:ascii="Times New Roman" w:hAnsi="Times New Roman" w:cs="Times New Roman"/>
        </w:rPr>
        <w:t>primacy</w:t>
      </w:r>
      <w:r w:rsidR="006C50DC" w:rsidRPr="0089051B">
        <w:rPr>
          <w:rFonts w:ascii="Times New Roman" w:hAnsi="Times New Roman" w:cs="Times New Roman"/>
        </w:rPr>
        <w:t xml:space="preserve"> disputes” are only incidentally about the principle of </w:t>
      </w:r>
      <w:r w:rsidR="00B81FD5" w:rsidRPr="0089051B">
        <w:rPr>
          <w:rFonts w:ascii="Times New Roman" w:hAnsi="Times New Roman" w:cs="Times New Roman"/>
        </w:rPr>
        <w:t>primacy</w:t>
      </w:r>
      <w:r w:rsidR="006C50DC" w:rsidRPr="0089051B">
        <w:rPr>
          <w:rFonts w:ascii="Times New Roman" w:hAnsi="Times New Roman" w:cs="Times New Roman"/>
        </w:rPr>
        <w:t xml:space="preserve"> per se, even a dispute about the principle of </w:t>
      </w:r>
      <w:r w:rsidR="00B81FD5" w:rsidRPr="0089051B">
        <w:rPr>
          <w:rFonts w:ascii="Times New Roman" w:hAnsi="Times New Roman" w:cs="Times New Roman"/>
        </w:rPr>
        <w:t>primacy</w:t>
      </w:r>
      <w:r w:rsidR="006C50DC" w:rsidRPr="0089051B">
        <w:rPr>
          <w:rFonts w:ascii="Times New Roman" w:hAnsi="Times New Roman" w:cs="Times New Roman"/>
        </w:rPr>
        <w:t xml:space="preserve"> </w:t>
      </w:r>
      <w:proofErr w:type="spellStart"/>
      <w:r w:rsidR="006C50DC" w:rsidRPr="0089051B">
        <w:rPr>
          <w:rFonts w:ascii="Times New Roman" w:hAnsi="Times New Roman" w:cs="Times New Roman"/>
          <w:i/>
        </w:rPr>
        <w:t>stricto</w:t>
      </w:r>
      <w:proofErr w:type="spellEnd"/>
      <w:r w:rsidR="006C50DC" w:rsidRPr="0089051B">
        <w:rPr>
          <w:rFonts w:ascii="Times New Roman" w:hAnsi="Times New Roman" w:cs="Times New Roman"/>
          <w:i/>
        </w:rPr>
        <w:t xml:space="preserve"> </w:t>
      </w:r>
      <w:proofErr w:type="spellStart"/>
      <w:r w:rsidR="006C50DC" w:rsidRPr="0089051B">
        <w:rPr>
          <w:rFonts w:ascii="Times New Roman" w:hAnsi="Times New Roman" w:cs="Times New Roman"/>
          <w:i/>
        </w:rPr>
        <w:t>sensu</w:t>
      </w:r>
      <w:proofErr w:type="spellEnd"/>
      <w:r w:rsidR="006C50DC" w:rsidRPr="0089051B">
        <w:rPr>
          <w:rFonts w:ascii="Times New Roman" w:hAnsi="Times New Roman" w:cs="Times New Roman"/>
        </w:rPr>
        <w:t xml:space="preserve"> can quickly escalate into a more familiar challenge to the substantive vires, legitimacy and authority of Union law.</w:t>
      </w:r>
      <w:r w:rsidR="00771865" w:rsidRPr="0089051B">
        <w:rPr>
          <w:rFonts w:ascii="Times New Roman" w:hAnsi="Times New Roman" w:cs="Times New Roman"/>
        </w:rPr>
        <w:t xml:space="preserve"> </w:t>
      </w:r>
    </w:p>
    <w:p w14:paraId="23317CF9" w14:textId="77777777" w:rsidR="00550B13" w:rsidRPr="0089051B" w:rsidRDefault="00550B13" w:rsidP="0061452E">
      <w:pPr>
        <w:jc w:val="both"/>
        <w:rPr>
          <w:rFonts w:ascii="Times New Roman" w:hAnsi="Times New Roman" w:cs="Times New Roman"/>
        </w:rPr>
      </w:pPr>
    </w:p>
    <w:p w14:paraId="719F8703" w14:textId="3B19A830" w:rsidR="0078621E" w:rsidRPr="0089051B" w:rsidRDefault="00727EDA" w:rsidP="0061452E">
      <w:pPr>
        <w:jc w:val="both"/>
        <w:rPr>
          <w:rFonts w:ascii="Times New Roman" w:hAnsi="Times New Roman" w:cs="Times New Roman"/>
          <w:b/>
        </w:rPr>
      </w:pPr>
      <w:r w:rsidRPr="0089051B">
        <w:rPr>
          <w:rFonts w:ascii="Times New Roman" w:hAnsi="Times New Roman" w:cs="Times New Roman"/>
          <w:b/>
        </w:rPr>
        <w:t xml:space="preserve">5. </w:t>
      </w:r>
      <w:r w:rsidRPr="0089051B">
        <w:rPr>
          <w:rFonts w:ascii="Times New Roman" w:hAnsi="Times New Roman" w:cs="Times New Roman"/>
          <w:b/>
        </w:rPr>
        <w:tab/>
      </w:r>
      <w:r w:rsidR="00AA0FDE" w:rsidRPr="0089051B">
        <w:rPr>
          <w:rFonts w:ascii="Times New Roman" w:hAnsi="Times New Roman" w:cs="Times New Roman"/>
          <w:b/>
        </w:rPr>
        <w:t xml:space="preserve">A new challenge to </w:t>
      </w:r>
      <w:r w:rsidR="00B81FD5" w:rsidRPr="0089051B">
        <w:rPr>
          <w:rFonts w:ascii="Times New Roman" w:hAnsi="Times New Roman" w:cs="Times New Roman"/>
          <w:b/>
        </w:rPr>
        <w:t>primacy</w:t>
      </w:r>
      <w:r w:rsidR="00AA0FDE" w:rsidRPr="0089051B">
        <w:rPr>
          <w:rFonts w:ascii="Times New Roman" w:hAnsi="Times New Roman" w:cs="Times New Roman"/>
          <w:b/>
        </w:rPr>
        <w:t xml:space="preserve">?  Concerns about the </w:t>
      </w:r>
      <w:r w:rsidR="0078621E" w:rsidRPr="0089051B">
        <w:rPr>
          <w:rFonts w:ascii="Times New Roman" w:hAnsi="Times New Roman" w:cs="Times New Roman"/>
          <w:b/>
        </w:rPr>
        <w:t>prospective effects of disapplication</w:t>
      </w:r>
      <w:r w:rsidR="00AA0FDE" w:rsidRPr="0089051B">
        <w:rPr>
          <w:rFonts w:ascii="Times New Roman" w:hAnsi="Times New Roman" w:cs="Times New Roman"/>
          <w:b/>
        </w:rPr>
        <w:t xml:space="preserve"> and the creation of “</w:t>
      </w:r>
      <w:r w:rsidR="0078621E" w:rsidRPr="0089051B">
        <w:rPr>
          <w:rFonts w:ascii="Times New Roman" w:hAnsi="Times New Roman" w:cs="Times New Roman"/>
          <w:b/>
        </w:rPr>
        <w:t>legal vacuum</w:t>
      </w:r>
      <w:r w:rsidR="00AA0FDE" w:rsidRPr="0089051B">
        <w:rPr>
          <w:rFonts w:ascii="Times New Roman" w:hAnsi="Times New Roman" w:cs="Times New Roman"/>
          <w:b/>
        </w:rPr>
        <w:t>s”</w:t>
      </w:r>
    </w:p>
    <w:p w14:paraId="100B760E" w14:textId="77777777" w:rsidR="0078621E" w:rsidRPr="0089051B" w:rsidRDefault="0078621E" w:rsidP="0061452E">
      <w:pPr>
        <w:jc w:val="both"/>
        <w:rPr>
          <w:rFonts w:ascii="Times New Roman" w:hAnsi="Times New Roman" w:cs="Times New Roman"/>
        </w:rPr>
      </w:pPr>
    </w:p>
    <w:p w14:paraId="63C714D1" w14:textId="1A663648" w:rsidR="006E5E55" w:rsidRPr="0089051B" w:rsidRDefault="00D535C0" w:rsidP="0061452E">
      <w:pPr>
        <w:jc w:val="both"/>
        <w:rPr>
          <w:rFonts w:ascii="Times New Roman" w:hAnsi="Times New Roman" w:cs="Times New Roman"/>
        </w:rPr>
      </w:pPr>
      <w:r w:rsidRPr="0089051B">
        <w:rPr>
          <w:rFonts w:ascii="Times New Roman" w:hAnsi="Times New Roman" w:cs="Times New Roman"/>
        </w:rPr>
        <w:t xml:space="preserve">In short: direct </w:t>
      </w:r>
      <w:r w:rsidR="00DC0D71" w:rsidRPr="0089051B">
        <w:rPr>
          <w:rFonts w:ascii="Times New Roman" w:hAnsi="Times New Roman" w:cs="Times New Roman"/>
        </w:rPr>
        <w:t xml:space="preserve">challenges to the </w:t>
      </w:r>
      <w:r w:rsidRPr="0089051B">
        <w:rPr>
          <w:rFonts w:ascii="Times New Roman" w:hAnsi="Times New Roman" w:cs="Times New Roman"/>
        </w:rPr>
        <w:t xml:space="preserve">very </w:t>
      </w:r>
      <w:r w:rsidR="00DC0D71" w:rsidRPr="0089051B">
        <w:rPr>
          <w:rFonts w:ascii="Times New Roman" w:hAnsi="Times New Roman" w:cs="Times New Roman"/>
        </w:rPr>
        <w:t xml:space="preserve">principle of </w:t>
      </w:r>
      <w:r w:rsidR="00B81FD5" w:rsidRPr="0089051B">
        <w:rPr>
          <w:rFonts w:ascii="Times New Roman" w:hAnsi="Times New Roman" w:cs="Times New Roman"/>
        </w:rPr>
        <w:t>primacy</w:t>
      </w:r>
      <w:r w:rsidR="00550B13" w:rsidRPr="0089051B">
        <w:rPr>
          <w:rFonts w:ascii="Times New Roman" w:hAnsi="Times New Roman" w:cs="Times New Roman"/>
        </w:rPr>
        <w:t xml:space="preserve"> </w:t>
      </w:r>
      <w:r w:rsidRPr="0089051B">
        <w:rPr>
          <w:rFonts w:ascii="Times New Roman" w:hAnsi="Times New Roman" w:cs="Times New Roman"/>
        </w:rPr>
        <w:t xml:space="preserve">have been inspired almost entirely by concerns about </w:t>
      </w:r>
      <w:r w:rsidR="00550B13" w:rsidRPr="0089051B">
        <w:rPr>
          <w:rFonts w:ascii="Times New Roman" w:hAnsi="Times New Roman" w:cs="Times New Roman"/>
        </w:rPr>
        <w:t xml:space="preserve">legal certainty </w:t>
      </w:r>
      <w:r w:rsidRPr="0089051B">
        <w:rPr>
          <w:rFonts w:ascii="Times New Roman" w:hAnsi="Times New Roman" w:cs="Times New Roman"/>
        </w:rPr>
        <w:t xml:space="preserve">and particularly </w:t>
      </w:r>
      <w:r w:rsidR="00550B13" w:rsidRPr="0089051B">
        <w:rPr>
          <w:rFonts w:ascii="Times New Roman" w:hAnsi="Times New Roman" w:cs="Times New Roman"/>
        </w:rPr>
        <w:t xml:space="preserve">as regards </w:t>
      </w:r>
      <w:r w:rsidRPr="0089051B">
        <w:rPr>
          <w:rFonts w:ascii="Times New Roman" w:hAnsi="Times New Roman" w:cs="Times New Roman"/>
        </w:rPr>
        <w:t xml:space="preserve">the proper </w:t>
      </w:r>
      <w:r w:rsidR="00550B13" w:rsidRPr="0089051B">
        <w:rPr>
          <w:rFonts w:ascii="Times New Roman" w:hAnsi="Times New Roman" w:cs="Times New Roman"/>
        </w:rPr>
        <w:t xml:space="preserve">retrospective effects of </w:t>
      </w:r>
      <w:r w:rsidRPr="0089051B">
        <w:rPr>
          <w:rFonts w:ascii="Times New Roman" w:hAnsi="Times New Roman" w:cs="Times New Roman"/>
        </w:rPr>
        <w:t>the disapplication of national rules found to be incompatible</w:t>
      </w:r>
      <w:r w:rsidR="00550B13" w:rsidRPr="0089051B">
        <w:rPr>
          <w:rFonts w:ascii="Times New Roman" w:hAnsi="Times New Roman" w:cs="Times New Roman"/>
        </w:rPr>
        <w:t xml:space="preserve"> with Union law</w:t>
      </w:r>
      <w:r w:rsidRPr="0089051B">
        <w:rPr>
          <w:rFonts w:ascii="Times New Roman" w:hAnsi="Times New Roman" w:cs="Times New Roman"/>
        </w:rPr>
        <w:t xml:space="preserve"> – concerns which the Court addresses</w:t>
      </w:r>
      <w:r w:rsidR="003F2DCA" w:rsidRPr="0089051B">
        <w:rPr>
          <w:rFonts w:ascii="Times New Roman" w:hAnsi="Times New Roman" w:cs="Times New Roman"/>
        </w:rPr>
        <w:t xml:space="preserve"> through </w:t>
      </w:r>
      <w:r w:rsidRPr="0089051B">
        <w:rPr>
          <w:rFonts w:ascii="Times New Roman" w:hAnsi="Times New Roman" w:cs="Times New Roman"/>
        </w:rPr>
        <w:t xml:space="preserve">a </w:t>
      </w:r>
      <w:r w:rsidR="003F2DCA" w:rsidRPr="0089051B">
        <w:rPr>
          <w:rFonts w:ascii="Times New Roman" w:hAnsi="Times New Roman" w:cs="Times New Roman"/>
        </w:rPr>
        <w:t xml:space="preserve">“mixed model” that combines </w:t>
      </w:r>
      <w:r w:rsidRPr="0089051B">
        <w:rPr>
          <w:rFonts w:ascii="Times New Roman" w:hAnsi="Times New Roman" w:cs="Times New Roman"/>
        </w:rPr>
        <w:t xml:space="preserve">both </w:t>
      </w:r>
      <w:r w:rsidR="003F2DCA" w:rsidRPr="0089051B">
        <w:rPr>
          <w:rFonts w:ascii="Times New Roman" w:hAnsi="Times New Roman" w:cs="Times New Roman"/>
        </w:rPr>
        <w:t>centralised and decentralised jurisdictions</w:t>
      </w:r>
      <w:r w:rsidRPr="0089051B">
        <w:rPr>
          <w:rFonts w:ascii="Times New Roman" w:hAnsi="Times New Roman" w:cs="Times New Roman"/>
        </w:rPr>
        <w:t>, with the latter essentially serving</w:t>
      </w:r>
      <w:r w:rsidR="003F2DCA" w:rsidRPr="0089051B">
        <w:rPr>
          <w:rFonts w:ascii="Times New Roman" w:hAnsi="Times New Roman" w:cs="Times New Roman"/>
        </w:rPr>
        <w:t xml:space="preserve"> </w:t>
      </w:r>
      <w:r w:rsidRPr="0089051B">
        <w:rPr>
          <w:rFonts w:ascii="Times New Roman" w:hAnsi="Times New Roman" w:cs="Times New Roman"/>
        </w:rPr>
        <w:t xml:space="preserve">a </w:t>
      </w:r>
      <w:r w:rsidR="003F2DCA" w:rsidRPr="0089051B">
        <w:rPr>
          <w:rFonts w:ascii="Times New Roman" w:hAnsi="Times New Roman" w:cs="Times New Roman"/>
        </w:rPr>
        <w:t>default function and subject to relatively clear limits</w:t>
      </w:r>
      <w:r w:rsidRPr="0089051B">
        <w:rPr>
          <w:rFonts w:ascii="Times New Roman" w:hAnsi="Times New Roman" w:cs="Times New Roman"/>
        </w:rPr>
        <w:t xml:space="preserve"> and scrutiny under Union law.  </w:t>
      </w:r>
      <w:r w:rsidR="00FD1A6D">
        <w:rPr>
          <w:rFonts w:ascii="Times New Roman" w:hAnsi="Times New Roman" w:cs="Times New Roman"/>
        </w:rPr>
        <w:t>Needless to say: the</w:t>
      </w:r>
      <w:r w:rsidRPr="0089051B">
        <w:rPr>
          <w:rFonts w:ascii="Times New Roman" w:hAnsi="Times New Roman" w:cs="Times New Roman"/>
        </w:rPr>
        <w:t xml:space="preserve"> variety of temporal limitations which may be imposed upon the full retrospective effects of the principle of primacy, in exercise of those centralised and decentralised jurisdictions, do not extend to future situations, decisions, relationships or disputes.</w:t>
      </w:r>
      <w:r w:rsidR="00CC7E5F" w:rsidRPr="0089051B">
        <w:rPr>
          <w:rStyle w:val="FootnoteReference"/>
          <w:rFonts w:ascii="Times New Roman" w:hAnsi="Times New Roman" w:cs="Times New Roman"/>
        </w:rPr>
        <w:footnoteReference w:id="77"/>
      </w:r>
      <w:r w:rsidRPr="0089051B">
        <w:rPr>
          <w:rFonts w:ascii="Times New Roman" w:hAnsi="Times New Roman" w:cs="Times New Roman"/>
        </w:rPr>
        <w:t xml:space="preserve">  And yet in recent years, </w:t>
      </w:r>
      <w:r w:rsidR="00550B13" w:rsidRPr="0089051B">
        <w:rPr>
          <w:rFonts w:ascii="Times New Roman" w:hAnsi="Times New Roman" w:cs="Times New Roman"/>
        </w:rPr>
        <w:t xml:space="preserve">important developments </w:t>
      </w:r>
      <w:r w:rsidRPr="0089051B">
        <w:rPr>
          <w:rFonts w:ascii="Times New Roman" w:hAnsi="Times New Roman" w:cs="Times New Roman"/>
        </w:rPr>
        <w:t xml:space="preserve">have taken place regarding the </w:t>
      </w:r>
      <w:r w:rsidR="00550B13" w:rsidRPr="0089051B">
        <w:rPr>
          <w:rFonts w:ascii="Times New Roman" w:hAnsi="Times New Roman" w:cs="Times New Roman"/>
        </w:rPr>
        <w:t xml:space="preserve">potential limits </w:t>
      </w:r>
      <w:r w:rsidRPr="0089051B">
        <w:rPr>
          <w:rFonts w:ascii="Times New Roman" w:hAnsi="Times New Roman" w:cs="Times New Roman"/>
        </w:rPr>
        <w:t xml:space="preserve">which Union and / or national law might impose upon the full legal effects of the principle of </w:t>
      </w:r>
      <w:r w:rsidR="00B81FD5" w:rsidRPr="0089051B">
        <w:rPr>
          <w:rFonts w:ascii="Times New Roman" w:hAnsi="Times New Roman" w:cs="Times New Roman"/>
        </w:rPr>
        <w:t>primacy</w:t>
      </w:r>
      <w:r w:rsidR="00550B13" w:rsidRPr="0089051B">
        <w:rPr>
          <w:rFonts w:ascii="Times New Roman" w:hAnsi="Times New Roman" w:cs="Times New Roman"/>
        </w:rPr>
        <w:t xml:space="preserve">, </w:t>
      </w:r>
      <w:r w:rsidRPr="0089051B">
        <w:rPr>
          <w:rFonts w:ascii="Times New Roman" w:hAnsi="Times New Roman" w:cs="Times New Roman"/>
        </w:rPr>
        <w:t xml:space="preserve">this time </w:t>
      </w:r>
      <w:r w:rsidR="00550B13" w:rsidRPr="0089051B">
        <w:rPr>
          <w:rFonts w:ascii="Times New Roman" w:hAnsi="Times New Roman" w:cs="Times New Roman"/>
        </w:rPr>
        <w:t xml:space="preserve">on </w:t>
      </w:r>
      <w:r w:rsidRPr="0089051B">
        <w:rPr>
          <w:rFonts w:ascii="Times New Roman" w:hAnsi="Times New Roman" w:cs="Times New Roman"/>
        </w:rPr>
        <w:t xml:space="preserve">the </w:t>
      </w:r>
      <w:r w:rsidR="00550B13" w:rsidRPr="0089051B">
        <w:rPr>
          <w:rFonts w:ascii="Times New Roman" w:hAnsi="Times New Roman" w:cs="Times New Roman"/>
        </w:rPr>
        <w:t xml:space="preserve">grounds </w:t>
      </w:r>
      <w:r w:rsidRPr="0089051B">
        <w:rPr>
          <w:rFonts w:ascii="Times New Roman" w:hAnsi="Times New Roman" w:cs="Times New Roman"/>
        </w:rPr>
        <w:t xml:space="preserve">that </w:t>
      </w:r>
      <w:r w:rsidR="00896349" w:rsidRPr="0089051B">
        <w:rPr>
          <w:rFonts w:ascii="Times New Roman" w:hAnsi="Times New Roman" w:cs="Times New Roman"/>
        </w:rPr>
        <w:t xml:space="preserve">even </w:t>
      </w:r>
      <w:r w:rsidRPr="0089051B">
        <w:rPr>
          <w:rFonts w:ascii="Times New Roman" w:hAnsi="Times New Roman" w:cs="Times New Roman"/>
        </w:rPr>
        <w:t xml:space="preserve">the </w:t>
      </w:r>
      <w:r w:rsidRPr="0089051B">
        <w:rPr>
          <w:rFonts w:ascii="Times New Roman" w:hAnsi="Times New Roman" w:cs="Times New Roman"/>
          <w:i/>
        </w:rPr>
        <w:t xml:space="preserve">prospective </w:t>
      </w:r>
      <w:r w:rsidRPr="0089051B">
        <w:rPr>
          <w:rFonts w:ascii="Times New Roman" w:hAnsi="Times New Roman" w:cs="Times New Roman"/>
        </w:rPr>
        <w:t xml:space="preserve">disapplication of national legislation found to be incompatible with Union law </w:t>
      </w:r>
      <w:r w:rsidR="00896349" w:rsidRPr="0089051B">
        <w:rPr>
          <w:rFonts w:ascii="Times New Roman" w:hAnsi="Times New Roman" w:cs="Times New Roman"/>
        </w:rPr>
        <w:t>could create a legal vacuum</w:t>
      </w:r>
      <w:r w:rsidR="00550B13" w:rsidRPr="0089051B">
        <w:rPr>
          <w:rFonts w:ascii="Times New Roman" w:hAnsi="Times New Roman" w:cs="Times New Roman"/>
        </w:rPr>
        <w:t xml:space="preserve"> </w:t>
      </w:r>
      <w:r w:rsidR="00896349" w:rsidRPr="0089051B">
        <w:rPr>
          <w:rFonts w:ascii="Times New Roman" w:hAnsi="Times New Roman" w:cs="Times New Roman"/>
        </w:rPr>
        <w:t>capable of damaging the public interest.</w:t>
      </w:r>
    </w:p>
    <w:p w14:paraId="1BF29ED9" w14:textId="77777777" w:rsidR="006E5E55" w:rsidRPr="0089051B" w:rsidRDefault="00D12CE0" w:rsidP="006E5E55">
      <w:pPr>
        <w:ind w:firstLine="720"/>
        <w:jc w:val="both"/>
        <w:rPr>
          <w:rFonts w:ascii="Times New Roman" w:hAnsi="Times New Roman" w:cs="Times New Roman"/>
        </w:rPr>
      </w:pPr>
      <w:r w:rsidRPr="0089051B">
        <w:rPr>
          <w:rFonts w:ascii="Times New Roman" w:hAnsi="Times New Roman" w:cs="Times New Roman"/>
        </w:rPr>
        <w:t xml:space="preserve">The risk of legal vacuums has long been a </w:t>
      </w:r>
      <w:r w:rsidR="00C436BA" w:rsidRPr="0089051B">
        <w:rPr>
          <w:rFonts w:ascii="Times New Roman" w:hAnsi="Times New Roman" w:cs="Times New Roman"/>
        </w:rPr>
        <w:t xml:space="preserve">familiar issue in </w:t>
      </w:r>
      <w:r w:rsidRPr="0089051B">
        <w:rPr>
          <w:rFonts w:ascii="Times New Roman" w:hAnsi="Times New Roman" w:cs="Times New Roman"/>
        </w:rPr>
        <w:t xml:space="preserve">the </w:t>
      </w:r>
      <w:r w:rsidR="00C436BA" w:rsidRPr="0089051B">
        <w:rPr>
          <w:rFonts w:ascii="Times New Roman" w:hAnsi="Times New Roman" w:cs="Times New Roman"/>
        </w:rPr>
        <w:t xml:space="preserve">context of challenges to </w:t>
      </w:r>
      <w:r w:rsidRPr="0089051B">
        <w:rPr>
          <w:rFonts w:ascii="Times New Roman" w:hAnsi="Times New Roman" w:cs="Times New Roman"/>
        </w:rPr>
        <w:t xml:space="preserve">the </w:t>
      </w:r>
      <w:r w:rsidR="00C436BA" w:rsidRPr="0089051B">
        <w:rPr>
          <w:rFonts w:ascii="Times New Roman" w:hAnsi="Times New Roman" w:cs="Times New Roman"/>
        </w:rPr>
        <w:t>validity of Union acts</w:t>
      </w:r>
      <w:r w:rsidRPr="0089051B">
        <w:rPr>
          <w:rFonts w:ascii="Times New Roman" w:hAnsi="Times New Roman" w:cs="Times New Roman"/>
        </w:rPr>
        <w:t xml:space="preserve">.  When it comes to </w:t>
      </w:r>
      <w:r w:rsidR="00C436BA" w:rsidRPr="0089051B">
        <w:rPr>
          <w:rFonts w:ascii="Times New Roman" w:hAnsi="Times New Roman" w:cs="Times New Roman"/>
        </w:rPr>
        <w:t>actions for annulment</w:t>
      </w:r>
      <w:r w:rsidRPr="0089051B">
        <w:rPr>
          <w:rFonts w:ascii="Times New Roman" w:hAnsi="Times New Roman" w:cs="Times New Roman"/>
        </w:rPr>
        <w:t xml:space="preserve"> under Article 263 TFEU, the </w:t>
      </w:r>
      <w:r w:rsidR="00C436BA" w:rsidRPr="0089051B">
        <w:rPr>
          <w:rFonts w:ascii="Times New Roman" w:hAnsi="Times New Roman" w:cs="Times New Roman"/>
        </w:rPr>
        <w:t xml:space="preserve">Court has </w:t>
      </w:r>
      <w:r w:rsidRPr="0089051B">
        <w:rPr>
          <w:rFonts w:ascii="Times New Roman" w:hAnsi="Times New Roman" w:cs="Times New Roman"/>
        </w:rPr>
        <w:t xml:space="preserve">the express </w:t>
      </w:r>
      <w:r w:rsidR="00C436BA" w:rsidRPr="0089051B">
        <w:rPr>
          <w:rFonts w:ascii="Times New Roman" w:hAnsi="Times New Roman" w:cs="Times New Roman"/>
        </w:rPr>
        <w:t xml:space="preserve">power </w:t>
      </w:r>
      <w:r w:rsidRPr="0089051B">
        <w:rPr>
          <w:rFonts w:ascii="Times New Roman" w:hAnsi="Times New Roman" w:cs="Times New Roman"/>
        </w:rPr>
        <w:t xml:space="preserve">under Article 264 TFEU to state which of the effects of a Union act which has been declared void should nevertheless be considered as definitive – thus allowing the Court to </w:t>
      </w:r>
      <w:r w:rsidR="00C436BA" w:rsidRPr="0089051B">
        <w:rPr>
          <w:rFonts w:ascii="Times New Roman" w:hAnsi="Times New Roman" w:cs="Times New Roman"/>
        </w:rPr>
        <w:t xml:space="preserve">uphold </w:t>
      </w:r>
      <w:r w:rsidRPr="0089051B">
        <w:rPr>
          <w:rFonts w:ascii="Times New Roman" w:hAnsi="Times New Roman" w:cs="Times New Roman"/>
        </w:rPr>
        <w:t xml:space="preserve">the </w:t>
      </w:r>
      <w:r w:rsidR="00C436BA" w:rsidRPr="0089051B">
        <w:rPr>
          <w:rFonts w:ascii="Times New Roman" w:hAnsi="Times New Roman" w:cs="Times New Roman"/>
        </w:rPr>
        <w:t xml:space="preserve">legal effects of </w:t>
      </w:r>
      <w:r w:rsidRPr="0089051B">
        <w:rPr>
          <w:rFonts w:ascii="Times New Roman" w:hAnsi="Times New Roman" w:cs="Times New Roman"/>
        </w:rPr>
        <w:t xml:space="preserve">defective </w:t>
      </w:r>
      <w:r w:rsidR="00C436BA" w:rsidRPr="0089051B">
        <w:rPr>
          <w:rFonts w:ascii="Times New Roman" w:hAnsi="Times New Roman" w:cs="Times New Roman"/>
        </w:rPr>
        <w:t xml:space="preserve">Union </w:t>
      </w:r>
      <w:r w:rsidRPr="0089051B">
        <w:rPr>
          <w:rFonts w:ascii="Times New Roman" w:hAnsi="Times New Roman" w:cs="Times New Roman"/>
        </w:rPr>
        <w:t xml:space="preserve">measures </w:t>
      </w:r>
      <w:r w:rsidR="00853DBD" w:rsidRPr="0089051B">
        <w:rPr>
          <w:rFonts w:ascii="Times New Roman" w:hAnsi="Times New Roman" w:cs="Times New Roman"/>
        </w:rPr>
        <w:t xml:space="preserve">not only retrospectively but also </w:t>
      </w:r>
      <w:r w:rsidR="00C436BA" w:rsidRPr="0089051B">
        <w:rPr>
          <w:rFonts w:ascii="Times New Roman" w:hAnsi="Times New Roman" w:cs="Times New Roman"/>
        </w:rPr>
        <w:t xml:space="preserve">prospectively, until </w:t>
      </w:r>
      <w:r w:rsidRPr="0089051B">
        <w:rPr>
          <w:rFonts w:ascii="Times New Roman" w:hAnsi="Times New Roman" w:cs="Times New Roman"/>
        </w:rPr>
        <w:t xml:space="preserve">the act is subsequently </w:t>
      </w:r>
      <w:r w:rsidR="00C436BA" w:rsidRPr="0089051B">
        <w:rPr>
          <w:rFonts w:ascii="Times New Roman" w:hAnsi="Times New Roman" w:cs="Times New Roman"/>
        </w:rPr>
        <w:t xml:space="preserve">replaced </w:t>
      </w:r>
      <w:r w:rsidR="00853DBD" w:rsidRPr="0089051B">
        <w:rPr>
          <w:rFonts w:ascii="Times New Roman" w:hAnsi="Times New Roman" w:cs="Times New Roman"/>
        </w:rPr>
        <w:t xml:space="preserve">by </w:t>
      </w:r>
      <w:r w:rsidRPr="0089051B">
        <w:rPr>
          <w:rFonts w:ascii="Times New Roman" w:hAnsi="Times New Roman" w:cs="Times New Roman"/>
        </w:rPr>
        <w:t>the competent Union institution/s.</w:t>
      </w:r>
      <w:r w:rsidRPr="0089051B">
        <w:rPr>
          <w:rStyle w:val="FootnoteReference"/>
          <w:rFonts w:ascii="Times New Roman" w:hAnsi="Times New Roman" w:cs="Times New Roman"/>
        </w:rPr>
        <w:footnoteReference w:id="78"/>
      </w:r>
      <w:proofErr w:type="gramStart"/>
      <w:r w:rsidR="00C436BA" w:rsidRPr="0089051B">
        <w:rPr>
          <w:rFonts w:ascii="Times New Roman" w:hAnsi="Times New Roman" w:cs="Times New Roman"/>
        </w:rPr>
        <w:t xml:space="preserve"> </w:t>
      </w:r>
      <w:r w:rsidRPr="0089051B">
        <w:rPr>
          <w:rFonts w:ascii="Times New Roman" w:hAnsi="Times New Roman" w:cs="Times New Roman"/>
        </w:rPr>
        <w:t xml:space="preserve"> The</w:t>
      </w:r>
      <w:proofErr w:type="gramEnd"/>
      <w:r w:rsidRPr="0089051B">
        <w:rPr>
          <w:rFonts w:ascii="Times New Roman" w:hAnsi="Times New Roman" w:cs="Times New Roman"/>
        </w:rPr>
        <w:t xml:space="preserve"> Court is prepared to exercise a similar power when Union acts are declared invalid within the framework of a preliminary reference under Article 267 TFEU.</w:t>
      </w:r>
      <w:r w:rsidRPr="0089051B">
        <w:rPr>
          <w:rStyle w:val="FootnoteReference"/>
          <w:rFonts w:ascii="Times New Roman" w:hAnsi="Times New Roman" w:cs="Times New Roman"/>
        </w:rPr>
        <w:footnoteReference w:id="79"/>
      </w:r>
      <w:r w:rsidRPr="0089051B">
        <w:rPr>
          <w:rFonts w:ascii="Times New Roman" w:hAnsi="Times New Roman" w:cs="Times New Roman"/>
        </w:rPr>
        <w:t xml:space="preserve">  In such situations, the </w:t>
      </w:r>
      <w:r w:rsidR="00853DBD" w:rsidRPr="0089051B">
        <w:rPr>
          <w:rFonts w:ascii="Times New Roman" w:hAnsi="Times New Roman" w:cs="Times New Roman"/>
        </w:rPr>
        <w:t xml:space="preserve">Court is concerned less </w:t>
      </w:r>
      <w:r w:rsidRPr="0089051B">
        <w:rPr>
          <w:rFonts w:ascii="Times New Roman" w:hAnsi="Times New Roman" w:cs="Times New Roman"/>
        </w:rPr>
        <w:t xml:space="preserve">with the problem of </w:t>
      </w:r>
      <w:r w:rsidR="00C436BA" w:rsidRPr="0089051B">
        <w:rPr>
          <w:rFonts w:ascii="Times New Roman" w:hAnsi="Times New Roman" w:cs="Times New Roman"/>
        </w:rPr>
        <w:t>legal certainty</w:t>
      </w:r>
      <w:r w:rsidR="00120359" w:rsidRPr="0089051B">
        <w:rPr>
          <w:rFonts w:ascii="Times New Roman" w:hAnsi="Times New Roman" w:cs="Times New Roman"/>
        </w:rPr>
        <w:t xml:space="preserve"> </w:t>
      </w:r>
      <w:r w:rsidR="00CC7E5F" w:rsidRPr="0089051B">
        <w:rPr>
          <w:rFonts w:ascii="Times New Roman" w:hAnsi="Times New Roman" w:cs="Times New Roman"/>
        </w:rPr>
        <w:t>in the sense of</w:t>
      </w:r>
      <w:r w:rsidRPr="0089051B">
        <w:rPr>
          <w:rFonts w:ascii="Times New Roman" w:hAnsi="Times New Roman" w:cs="Times New Roman"/>
        </w:rPr>
        <w:t xml:space="preserve"> the impact of </w:t>
      </w:r>
      <w:proofErr w:type="spellStart"/>
      <w:r w:rsidRPr="0089051B">
        <w:rPr>
          <w:rFonts w:ascii="Times New Roman" w:hAnsi="Times New Roman" w:cs="Times New Roman"/>
        </w:rPr>
        <w:t>voidness</w:t>
      </w:r>
      <w:proofErr w:type="spellEnd"/>
      <w:r w:rsidRPr="0089051B">
        <w:rPr>
          <w:rFonts w:ascii="Times New Roman" w:hAnsi="Times New Roman" w:cs="Times New Roman"/>
        </w:rPr>
        <w:t xml:space="preserve"> </w:t>
      </w:r>
      <w:r w:rsidR="00CC7E5F" w:rsidRPr="0089051B">
        <w:rPr>
          <w:rFonts w:ascii="Times New Roman" w:hAnsi="Times New Roman" w:cs="Times New Roman"/>
        </w:rPr>
        <w:t xml:space="preserve">/ </w:t>
      </w:r>
      <w:r w:rsidRPr="0089051B">
        <w:rPr>
          <w:rFonts w:ascii="Times New Roman" w:hAnsi="Times New Roman" w:cs="Times New Roman"/>
        </w:rPr>
        <w:t xml:space="preserve">invalidity upon existing </w:t>
      </w:r>
      <w:r w:rsidR="00120359" w:rsidRPr="0089051B">
        <w:rPr>
          <w:rFonts w:ascii="Times New Roman" w:hAnsi="Times New Roman" w:cs="Times New Roman"/>
        </w:rPr>
        <w:t xml:space="preserve">decisions </w:t>
      </w:r>
      <w:r w:rsidRPr="0089051B">
        <w:rPr>
          <w:rFonts w:ascii="Times New Roman" w:hAnsi="Times New Roman" w:cs="Times New Roman"/>
        </w:rPr>
        <w:t xml:space="preserve">or </w:t>
      </w:r>
      <w:r w:rsidR="00120359" w:rsidRPr="0089051B">
        <w:rPr>
          <w:rFonts w:ascii="Times New Roman" w:hAnsi="Times New Roman" w:cs="Times New Roman"/>
        </w:rPr>
        <w:t>relationships</w:t>
      </w:r>
      <w:r w:rsidRPr="0089051B">
        <w:rPr>
          <w:rFonts w:ascii="Times New Roman" w:hAnsi="Times New Roman" w:cs="Times New Roman"/>
        </w:rPr>
        <w:t xml:space="preserve">; </w:t>
      </w:r>
      <w:r w:rsidR="001507BC" w:rsidRPr="0089051B">
        <w:rPr>
          <w:rFonts w:ascii="Times New Roman" w:hAnsi="Times New Roman" w:cs="Times New Roman"/>
        </w:rPr>
        <w:t xml:space="preserve">and </w:t>
      </w:r>
      <w:r w:rsidR="00C436BA" w:rsidRPr="0089051B">
        <w:rPr>
          <w:rFonts w:ascii="Times New Roman" w:hAnsi="Times New Roman" w:cs="Times New Roman"/>
        </w:rPr>
        <w:t xml:space="preserve">more about </w:t>
      </w:r>
      <w:r w:rsidR="001507BC" w:rsidRPr="0089051B">
        <w:rPr>
          <w:rFonts w:ascii="Times New Roman" w:hAnsi="Times New Roman" w:cs="Times New Roman"/>
        </w:rPr>
        <w:t xml:space="preserve">the prevention of a legal vacuum, be it legislative or administrative in character, that could jeopardise </w:t>
      </w:r>
      <w:proofErr w:type="spellStart"/>
      <w:r w:rsidR="001507BC" w:rsidRPr="0089051B">
        <w:rPr>
          <w:rFonts w:ascii="Times New Roman" w:hAnsi="Times New Roman" w:cs="Times New Roman"/>
        </w:rPr>
        <w:t>ongoing</w:t>
      </w:r>
      <w:proofErr w:type="spellEnd"/>
      <w:r w:rsidR="001507BC" w:rsidRPr="0089051B">
        <w:rPr>
          <w:rFonts w:ascii="Times New Roman" w:hAnsi="Times New Roman" w:cs="Times New Roman"/>
        </w:rPr>
        <w:t xml:space="preserve"> or future </w:t>
      </w:r>
      <w:r w:rsidR="00C436BA" w:rsidRPr="0089051B">
        <w:rPr>
          <w:rFonts w:ascii="Times New Roman" w:hAnsi="Times New Roman" w:cs="Times New Roman"/>
        </w:rPr>
        <w:t>public interest</w:t>
      </w:r>
      <w:r w:rsidR="00120359" w:rsidRPr="0089051B">
        <w:rPr>
          <w:rFonts w:ascii="Times New Roman" w:hAnsi="Times New Roman" w:cs="Times New Roman"/>
        </w:rPr>
        <w:t xml:space="preserve"> </w:t>
      </w:r>
      <w:r w:rsidR="001507BC" w:rsidRPr="0089051B">
        <w:rPr>
          <w:rFonts w:ascii="Times New Roman" w:hAnsi="Times New Roman" w:cs="Times New Roman"/>
        </w:rPr>
        <w:t>objectives (for example) by depriving the authorities of valuable regulatory powers, allowing potentially harmful conduct to proceed unchecked, or interrupting the provision of significant public funding.</w:t>
      </w:r>
      <w:r w:rsidR="001507BC" w:rsidRPr="0089051B">
        <w:rPr>
          <w:rStyle w:val="FootnoteReference"/>
          <w:rFonts w:ascii="Times New Roman" w:hAnsi="Times New Roman" w:cs="Times New Roman"/>
        </w:rPr>
        <w:footnoteReference w:id="80"/>
      </w:r>
      <w:r w:rsidR="001507BC" w:rsidRPr="0089051B">
        <w:rPr>
          <w:rFonts w:ascii="Times New Roman" w:hAnsi="Times New Roman" w:cs="Times New Roman"/>
        </w:rPr>
        <w:t xml:space="preserve"> </w:t>
      </w:r>
    </w:p>
    <w:p w14:paraId="57D7C956" w14:textId="45C4A38D" w:rsidR="0057784A" w:rsidRPr="0089051B" w:rsidRDefault="00C31BFE" w:rsidP="006E5E55">
      <w:pPr>
        <w:ind w:firstLine="720"/>
        <w:jc w:val="both"/>
        <w:rPr>
          <w:rFonts w:ascii="Times New Roman" w:hAnsi="Times New Roman" w:cs="Times New Roman"/>
        </w:rPr>
      </w:pPr>
      <w:r w:rsidRPr="0089051B">
        <w:rPr>
          <w:rFonts w:ascii="Times New Roman" w:hAnsi="Times New Roman" w:cs="Times New Roman"/>
        </w:rPr>
        <w:t>H</w:t>
      </w:r>
      <w:r w:rsidR="00C436BA" w:rsidRPr="0089051B">
        <w:rPr>
          <w:rFonts w:ascii="Times New Roman" w:hAnsi="Times New Roman" w:cs="Times New Roman"/>
        </w:rPr>
        <w:t xml:space="preserve">ow far should we be concerned about </w:t>
      </w:r>
      <w:r w:rsidR="001507BC" w:rsidRPr="0089051B">
        <w:rPr>
          <w:rFonts w:ascii="Times New Roman" w:hAnsi="Times New Roman" w:cs="Times New Roman"/>
        </w:rPr>
        <w:t xml:space="preserve">the </w:t>
      </w:r>
      <w:r w:rsidR="00C436BA" w:rsidRPr="0089051B">
        <w:rPr>
          <w:rFonts w:ascii="Times New Roman" w:hAnsi="Times New Roman" w:cs="Times New Roman"/>
        </w:rPr>
        <w:t xml:space="preserve">corresponding problem in </w:t>
      </w:r>
      <w:r w:rsidR="001507BC" w:rsidRPr="0089051B">
        <w:rPr>
          <w:rFonts w:ascii="Times New Roman" w:hAnsi="Times New Roman" w:cs="Times New Roman"/>
        </w:rPr>
        <w:t xml:space="preserve">situations where </w:t>
      </w:r>
      <w:r w:rsidR="00C436BA" w:rsidRPr="0089051B">
        <w:rPr>
          <w:rFonts w:ascii="Times New Roman" w:hAnsi="Times New Roman" w:cs="Times New Roman"/>
        </w:rPr>
        <w:t>national law</w:t>
      </w:r>
      <w:r w:rsidR="001507BC" w:rsidRPr="0089051B">
        <w:rPr>
          <w:rFonts w:ascii="Times New Roman" w:hAnsi="Times New Roman" w:cs="Times New Roman"/>
        </w:rPr>
        <w:t xml:space="preserve"> is found to be incompatible with legally binding and enforceable provisions of Union law</w:t>
      </w:r>
      <w:r w:rsidR="00C436BA" w:rsidRPr="0089051B">
        <w:rPr>
          <w:rFonts w:ascii="Times New Roman" w:hAnsi="Times New Roman" w:cs="Times New Roman"/>
        </w:rPr>
        <w:t xml:space="preserve">?  </w:t>
      </w:r>
      <w:r w:rsidR="003F2DCA" w:rsidRPr="0089051B">
        <w:rPr>
          <w:rFonts w:ascii="Times New Roman" w:hAnsi="Times New Roman" w:cs="Times New Roman"/>
        </w:rPr>
        <w:t xml:space="preserve">In particular: </w:t>
      </w:r>
      <w:r w:rsidR="00C02621" w:rsidRPr="0089051B">
        <w:rPr>
          <w:rFonts w:ascii="Times New Roman" w:hAnsi="Times New Roman" w:cs="Times New Roman"/>
        </w:rPr>
        <w:t>to what degree</w:t>
      </w:r>
      <w:r w:rsidR="001507BC" w:rsidRPr="0089051B">
        <w:rPr>
          <w:rFonts w:ascii="Times New Roman" w:hAnsi="Times New Roman" w:cs="Times New Roman"/>
        </w:rPr>
        <w:t xml:space="preserve"> is the threat of </w:t>
      </w:r>
      <w:r w:rsidR="00C02621" w:rsidRPr="0089051B">
        <w:rPr>
          <w:rFonts w:ascii="Times New Roman" w:hAnsi="Times New Roman" w:cs="Times New Roman"/>
        </w:rPr>
        <w:t xml:space="preserve">creating some </w:t>
      </w:r>
      <w:r w:rsidR="001507BC" w:rsidRPr="0089051B">
        <w:rPr>
          <w:rFonts w:ascii="Times New Roman" w:hAnsi="Times New Roman" w:cs="Times New Roman"/>
        </w:rPr>
        <w:t xml:space="preserve">damaging </w:t>
      </w:r>
      <w:r w:rsidR="00C02621" w:rsidRPr="0089051B">
        <w:rPr>
          <w:rFonts w:ascii="Times New Roman" w:hAnsi="Times New Roman" w:cs="Times New Roman"/>
        </w:rPr>
        <w:t>legal vacuum</w:t>
      </w:r>
      <w:r w:rsidR="0057784A" w:rsidRPr="0089051B">
        <w:rPr>
          <w:rFonts w:ascii="Times New Roman" w:hAnsi="Times New Roman" w:cs="Times New Roman"/>
        </w:rPr>
        <w:t xml:space="preserve"> </w:t>
      </w:r>
      <w:r w:rsidR="001507BC" w:rsidRPr="0089051B">
        <w:rPr>
          <w:rFonts w:ascii="Times New Roman" w:hAnsi="Times New Roman" w:cs="Times New Roman"/>
        </w:rPr>
        <w:t xml:space="preserve">to be considered </w:t>
      </w:r>
      <w:r w:rsidR="0057784A" w:rsidRPr="0089051B">
        <w:rPr>
          <w:rFonts w:ascii="Times New Roman" w:hAnsi="Times New Roman" w:cs="Times New Roman"/>
        </w:rPr>
        <w:t xml:space="preserve">a genuine practical </w:t>
      </w:r>
      <w:r w:rsidR="001507BC" w:rsidRPr="0089051B">
        <w:rPr>
          <w:rFonts w:ascii="Times New Roman" w:hAnsi="Times New Roman" w:cs="Times New Roman"/>
        </w:rPr>
        <w:t>risk</w:t>
      </w:r>
      <w:r w:rsidR="00C02621" w:rsidRPr="0089051B">
        <w:rPr>
          <w:rFonts w:ascii="Times New Roman" w:hAnsi="Times New Roman" w:cs="Times New Roman"/>
        </w:rPr>
        <w:t xml:space="preserve"> resulting from </w:t>
      </w:r>
      <w:r w:rsidR="001507BC" w:rsidRPr="0089051B">
        <w:rPr>
          <w:rFonts w:ascii="Times New Roman" w:hAnsi="Times New Roman" w:cs="Times New Roman"/>
        </w:rPr>
        <w:t xml:space="preserve">the </w:t>
      </w:r>
      <w:r w:rsidR="00C02621" w:rsidRPr="0089051B">
        <w:rPr>
          <w:rFonts w:ascii="Times New Roman" w:hAnsi="Times New Roman" w:cs="Times New Roman"/>
        </w:rPr>
        <w:t xml:space="preserve">prospective setting aside </w:t>
      </w:r>
      <w:r w:rsidR="001507BC" w:rsidRPr="0089051B">
        <w:rPr>
          <w:rFonts w:ascii="Times New Roman" w:hAnsi="Times New Roman" w:cs="Times New Roman"/>
        </w:rPr>
        <w:t>of national law</w:t>
      </w:r>
      <w:r w:rsidR="00C02621" w:rsidRPr="0089051B">
        <w:rPr>
          <w:rFonts w:ascii="Times New Roman" w:hAnsi="Times New Roman" w:cs="Times New Roman"/>
        </w:rPr>
        <w:t xml:space="preserve"> thanks to the principle of primacy</w:t>
      </w:r>
      <w:r w:rsidR="0057784A" w:rsidRPr="0089051B">
        <w:rPr>
          <w:rFonts w:ascii="Times New Roman" w:hAnsi="Times New Roman" w:cs="Times New Roman"/>
        </w:rPr>
        <w:t>?</w:t>
      </w:r>
      <w:r w:rsidR="003F2DCA" w:rsidRPr="0089051B">
        <w:rPr>
          <w:rFonts w:ascii="Times New Roman" w:hAnsi="Times New Roman" w:cs="Times New Roman"/>
        </w:rPr>
        <w:t xml:space="preserve">  </w:t>
      </w:r>
      <w:r w:rsidR="001507BC" w:rsidRPr="0089051B">
        <w:rPr>
          <w:rFonts w:ascii="Times New Roman" w:hAnsi="Times New Roman" w:cs="Times New Roman"/>
        </w:rPr>
        <w:t xml:space="preserve">The answers to those questions will help inform </w:t>
      </w:r>
      <w:r w:rsidR="00535EF2" w:rsidRPr="0089051B">
        <w:rPr>
          <w:rFonts w:ascii="Times New Roman" w:hAnsi="Times New Roman" w:cs="Times New Roman"/>
        </w:rPr>
        <w:t xml:space="preserve">subsequent </w:t>
      </w:r>
      <w:r w:rsidR="001507BC" w:rsidRPr="0089051B">
        <w:rPr>
          <w:rFonts w:ascii="Times New Roman" w:hAnsi="Times New Roman" w:cs="Times New Roman"/>
        </w:rPr>
        <w:t xml:space="preserve">discussion </w:t>
      </w:r>
      <w:r w:rsidR="00535EF2" w:rsidRPr="0089051B">
        <w:rPr>
          <w:rFonts w:ascii="Times New Roman" w:hAnsi="Times New Roman" w:cs="Times New Roman"/>
        </w:rPr>
        <w:t xml:space="preserve">(in Section 6) </w:t>
      </w:r>
      <w:r w:rsidR="001507BC" w:rsidRPr="0089051B">
        <w:rPr>
          <w:rFonts w:ascii="Times New Roman" w:hAnsi="Times New Roman" w:cs="Times New Roman"/>
        </w:rPr>
        <w:t xml:space="preserve">about </w:t>
      </w:r>
      <w:r w:rsidR="0057784A" w:rsidRPr="0089051B">
        <w:rPr>
          <w:rFonts w:ascii="Times New Roman" w:hAnsi="Times New Roman" w:cs="Times New Roman"/>
        </w:rPr>
        <w:t xml:space="preserve">how far Union law </w:t>
      </w:r>
      <w:r w:rsidR="001507BC" w:rsidRPr="0089051B">
        <w:rPr>
          <w:rFonts w:ascii="Times New Roman" w:hAnsi="Times New Roman" w:cs="Times New Roman"/>
        </w:rPr>
        <w:t xml:space="preserve">should </w:t>
      </w:r>
      <w:r w:rsidR="0057784A" w:rsidRPr="0089051B">
        <w:rPr>
          <w:rFonts w:ascii="Times New Roman" w:hAnsi="Times New Roman" w:cs="Times New Roman"/>
        </w:rPr>
        <w:t xml:space="preserve">create </w:t>
      </w:r>
      <w:r w:rsidR="001507BC" w:rsidRPr="0089051B">
        <w:rPr>
          <w:rFonts w:ascii="Times New Roman" w:hAnsi="Times New Roman" w:cs="Times New Roman"/>
        </w:rPr>
        <w:t xml:space="preserve">or </w:t>
      </w:r>
      <w:r w:rsidR="0057784A" w:rsidRPr="0089051B">
        <w:rPr>
          <w:rFonts w:ascii="Times New Roman" w:hAnsi="Times New Roman" w:cs="Times New Roman"/>
        </w:rPr>
        <w:t xml:space="preserve">recognise </w:t>
      </w:r>
      <w:r w:rsidR="001507BC" w:rsidRPr="0089051B">
        <w:rPr>
          <w:rFonts w:ascii="Times New Roman" w:hAnsi="Times New Roman" w:cs="Times New Roman"/>
        </w:rPr>
        <w:t xml:space="preserve">a legal </w:t>
      </w:r>
      <w:r w:rsidR="0057784A" w:rsidRPr="0089051B">
        <w:rPr>
          <w:rFonts w:ascii="Times New Roman" w:hAnsi="Times New Roman" w:cs="Times New Roman"/>
        </w:rPr>
        <w:t xml:space="preserve">space for refining </w:t>
      </w:r>
      <w:r w:rsidR="001507BC" w:rsidRPr="0089051B">
        <w:rPr>
          <w:rFonts w:ascii="Times New Roman" w:hAnsi="Times New Roman" w:cs="Times New Roman"/>
        </w:rPr>
        <w:t xml:space="preserve">or </w:t>
      </w:r>
      <w:r w:rsidR="0057784A" w:rsidRPr="0089051B">
        <w:rPr>
          <w:rFonts w:ascii="Times New Roman" w:hAnsi="Times New Roman" w:cs="Times New Roman"/>
        </w:rPr>
        <w:t xml:space="preserve">limiting </w:t>
      </w:r>
      <w:r w:rsidR="001507BC" w:rsidRPr="0089051B">
        <w:rPr>
          <w:rFonts w:ascii="Times New Roman" w:hAnsi="Times New Roman" w:cs="Times New Roman"/>
        </w:rPr>
        <w:t xml:space="preserve">the </w:t>
      </w:r>
      <w:r w:rsidR="0057784A" w:rsidRPr="0089051B">
        <w:rPr>
          <w:rFonts w:ascii="Times New Roman" w:hAnsi="Times New Roman" w:cs="Times New Roman"/>
        </w:rPr>
        <w:t>remedy of disapplication</w:t>
      </w:r>
      <w:r w:rsidR="00C02621" w:rsidRPr="0089051B">
        <w:rPr>
          <w:rFonts w:ascii="Times New Roman" w:hAnsi="Times New Roman" w:cs="Times New Roman"/>
        </w:rPr>
        <w:t xml:space="preserve"> as regards future decisions or actions</w:t>
      </w:r>
      <w:r w:rsidR="001507BC" w:rsidRPr="0089051B">
        <w:rPr>
          <w:rFonts w:ascii="Times New Roman" w:hAnsi="Times New Roman" w:cs="Times New Roman"/>
        </w:rPr>
        <w:t xml:space="preserve">; whether that legal space should be constructed around the exercise of </w:t>
      </w:r>
      <w:r w:rsidR="00550B13" w:rsidRPr="0089051B">
        <w:rPr>
          <w:rFonts w:ascii="Times New Roman" w:hAnsi="Times New Roman" w:cs="Times New Roman"/>
        </w:rPr>
        <w:t xml:space="preserve">a centralised </w:t>
      </w:r>
      <w:r w:rsidR="001507BC" w:rsidRPr="0089051B">
        <w:rPr>
          <w:rFonts w:ascii="Times New Roman" w:hAnsi="Times New Roman" w:cs="Times New Roman"/>
        </w:rPr>
        <w:t xml:space="preserve">and / </w:t>
      </w:r>
      <w:r w:rsidR="00550B13" w:rsidRPr="0089051B">
        <w:rPr>
          <w:rFonts w:ascii="Times New Roman" w:hAnsi="Times New Roman" w:cs="Times New Roman"/>
        </w:rPr>
        <w:t xml:space="preserve">or </w:t>
      </w:r>
      <w:r w:rsidR="001507BC" w:rsidRPr="0089051B">
        <w:rPr>
          <w:rFonts w:ascii="Times New Roman" w:hAnsi="Times New Roman" w:cs="Times New Roman"/>
        </w:rPr>
        <w:t xml:space="preserve">a </w:t>
      </w:r>
      <w:r w:rsidR="00550B13" w:rsidRPr="0089051B">
        <w:rPr>
          <w:rFonts w:ascii="Times New Roman" w:hAnsi="Times New Roman" w:cs="Times New Roman"/>
        </w:rPr>
        <w:t xml:space="preserve">decentralised </w:t>
      </w:r>
      <w:r w:rsidR="001507BC" w:rsidRPr="0089051B">
        <w:rPr>
          <w:rFonts w:ascii="Times New Roman" w:hAnsi="Times New Roman" w:cs="Times New Roman"/>
        </w:rPr>
        <w:t xml:space="preserve">jurisdiction; and in </w:t>
      </w:r>
      <w:r w:rsidR="00727228" w:rsidRPr="0089051B">
        <w:rPr>
          <w:rFonts w:ascii="Times New Roman" w:hAnsi="Times New Roman" w:cs="Times New Roman"/>
        </w:rPr>
        <w:t>any</w:t>
      </w:r>
      <w:r w:rsidR="003F2DCA" w:rsidRPr="0089051B">
        <w:rPr>
          <w:rFonts w:ascii="Times New Roman" w:hAnsi="Times New Roman" w:cs="Times New Roman"/>
        </w:rPr>
        <w:t xml:space="preserve"> case</w:t>
      </w:r>
      <w:r w:rsidR="001507BC" w:rsidRPr="0089051B">
        <w:rPr>
          <w:rFonts w:ascii="Times New Roman" w:hAnsi="Times New Roman" w:cs="Times New Roman"/>
        </w:rPr>
        <w:t xml:space="preserve">, </w:t>
      </w:r>
      <w:r w:rsidR="003F2DCA" w:rsidRPr="0089051B">
        <w:rPr>
          <w:rFonts w:ascii="Times New Roman" w:hAnsi="Times New Roman" w:cs="Times New Roman"/>
        </w:rPr>
        <w:t>a</w:t>
      </w:r>
      <w:r w:rsidR="0057784A" w:rsidRPr="0089051B">
        <w:rPr>
          <w:rFonts w:ascii="Times New Roman" w:hAnsi="Times New Roman" w:cs="Times New Roman"/>
        </w:rPr>
        <w:t>ccording to which criteria</w:t>
      </w:r>
      <w:r w:rsidR="001507BC" w:rsidRPr="0089051B">
        <w:rPr>
          <w:rFonts w:ascii="Times New Roman" w:hAnsi="Times New Roman" w:cs="Times New Roman"/>
        </w:rPr>
        <w:t>,</w:t>
      </w:r>
      <w:r w:rsidR="00550B13" w:rsidRPr="0089051B">
        <w:rPr>
          <w:rFonts w:ascii="Times New Roman" w:hAnsi="Times New Roman" w:cs="Times New Roman"/>
        </w:rPr>
        <w:t xml:space="preserve"> </w:t>
      </w:r>
      <w:r w:rsidR="001507BC" w:rsidRPr="0089051B">
        <w:rPr>
          <w:rFonts w:ascii="Times New Roman" w:hAnsi="Times New Roman" w:cs="Times New Roman"/>
        </w:rPr>
        <w:t xml:space="preserve">and </w:t>
      </w:r>
      <w:r w:rsidR="003F2DCA" w:rsidRPr="0089051B">
        <w:rPr>
          <w:rFonts w:ascii="Times New Roman" w:hAnsi="Times New Roman" w:cs="Times New Roman"/>
        </w:rPr>
        <w:t>subject to what limits</w:t>
      </w:r>
      <w:r w:rsidR="001507BC" w:rsidRPr="0089051B">
        <w:rPr>
          <w:rFonts w:ascii="Times New Roman" w:hAnsi="Times New Roman" w:cs="Times New Roman"/>
        </w:rPr>
        <w:t>,</w:t>
      </w:r>
      <w:r w:rsidR="003F2DCA" w:rsidRPr="0089051B">
        <w:rPr>
          <w:rFonts w:ascii="Times New Roman" w:hAnsi="Times New Roman" w:cs="Times New Roman"/>
        </w:rPr>
        <w:t xml:space="preserve"> </w:t>
      </w:r>
      <w:r w:rsidR="00C02621" w:rsidRPr="0089051B">
        <w:rPr>
          <w:rFonts w:ascii="Times New Roman" w:hAnsi="Times New Roman" w:cs="Times New Roman"/>
        </w:rPr>
        <w:t xml:space="preserve">such </w:t>
      </w:r>
      <w:r w:rsidR="00550B13" w:rsidRPr="0089051B">
        <w:rPr>
          <w:rFonts w:ascii="Times New Roman" w:hAnsi="Times New Roman" w:cs="Times New Roman"/>
        </w:rPr>
        <w:t>jurisdiction</w:t>
      </w:r>
      <w:r w:rsidRPr="0089051B">
        <w:rPr>
          <w:rFonts w:ascii="Times New Roman" w:hAnsi="Times New Roman" w:cs="Times New Roman"/>
        </w:rPr>
        <w:t>(s)</w:t>
      </w:r>
      <w:r w:rsidR="00550B13" w:rsidRPr="0089051B">
        <w:rPr>
          <w:rFonts w:ascii="Times New Roman" w:hAnsi="Times New Roman" w:cs="Times New Roman"/>
        </w:rPr>
        <w:t xml:space="preserve"> </w:t>
      </w:r>
      <w:r w:rsidR="001507BC" w:rsidRPr="0089051B">
        <w:rPr>
          <w:rFonts w:ascii="Times New Roman" w:hAnsi="Times New Roman" w:cs="Times New Roman"/>
        </w:rPr>
        <w:t xml:space="preserve">should be </w:t>
      </w:r>
      <w:r w:rsidR="00550B13" w:rsidRPr="0089051B">
        <w:rPr>
          <w:rFonts w:ascii="Times New Roman" w:hAnsi="Times New Roman" w:cs="Times New Roman"/>
        </w:rPr>
        <w:t>exercised</w:t>
      </w:r>
      <w:r w:rsidR="001507BC" w:rsidRPr="0089051B">
        <w:rPr>
          <w:rFonts w:ascii="Times New Roman" w:hAnsi="Times New Roman" w:cs="Times New Roman"/>
        </w:rPr>
        <w:t xml:space="preserve"> in practice.  </w:t>
      </w:r>
    </w:p>
    <w:p w14:paraId="7655B283" w14:textId="77777777" w:rsidR="008F4FC8" w:rsidRPr="0089051B" w:rsidRDefault="008F4FC8" w:rsidP="0061452E">
      <w:pPr>
        <w:jc w:val="both"/>
        <w:rPr>
          <w:rFonts w:ascii="Times New Roman" w:hAnsi="Times New Roman" w:cs="Times New Roman"/>
        </w:rPr>
      </w:pPr>
    </w:p>
    <w:p w14:paraId="50AE4AE4" w14:textId="13BE8DA4" w:rsidR="008F4FC8" w:rsidRPr="0089051B" w:rsidRDefault="00727EDA" w:rsidP="0061452E">
      <w:pPr>
        <w:jc w:val="both"/>
        <w:rPr>
          <w:rFonts w:ascii="Times New Roman" w:hAnsi="Times New Roman" w:cs="Times New Roman"/>
          <w:i/>
        </w:rPr>
      </w:pPr>
      <w:r w:rsidRPr="0089051B">
        <w:rPr>
          <w:rFonts w:ascii="Times New Roman" w:hAnsi="Times New Roman" w:cs="Times New Roman"/>
          <w:i/>
        </w:rPr>
        <w:t xml:space="preserve">5.1. </w:t>
      </w:r>
      <w:r w:rsidRPr="0089051B">
        <w:rPr>
          <w:rFonts w:ascii="Times New Roman" w:hAnsi="Times New Roman" w:cs="Times New Roman"/>
          <w:i/>
        </w:rPr>
        <w:tab/>
      </w:r>
      <w:r w:rsidR="00D4442C" w:rsidRPr="0089051B">
        <w:rPr>
          <w:rFonts w:ascii="Times New Roman" w:hAnsi="Times New Roman" w:cs="Times New Roman"/>
          <w:i/>
        </w:rPr>
        <w:t xml:space="preserve">Delimiting the scope </w:t>
      </w:r>
      <w:r w:rsidR="0057784A" w:rsidRPr="0089051B">
        <w:rPr>
          <w:rFonts w:ascii="Times New Roman" w:hAnsi="Times New Roman" w:cs="Times New Roman"/>
          <w:i/>
        </w:rPr>
        <w:t xml:space="preserve">of </w:t>
      </w:r>
      <w:r w:rsidR="00D4442C" w:rsidRPr="0089051B">
        <w:rPr>
          <w:rFonts w:ascii="Times New Roman" w:hAnsi="Times New Roman" w:cs="Times New Roman"/>
          <w:i/>
        </w:rPr>
        <w:t xml:space="preserve">the </w:t>
      </w:r>
      <w:r w:rsidR="0057784A" w:rsidRPr="0089051B">
        <w:rPr>
          <w:rFonts w:ascii="Times New Roman" w:hAnsi="Times New Roman" w:cs="Times New Roman"/>
          <w:i/>
        </w:rPr>
        <w:t>legal vacuums problem</w:t>
      </w:r>
    </w:p>
    <w:p w14:paraId="497BFE0B" w14:textId="77777777" w:rsidR="008F4FC8" w:rsidRPr="0089051B" w:rsidRDefault="008F4FC8" w:rsidP="0061452E">
      <w:pPr>
        <w:jc w:val="both"/>
        <w:rPr>
          <w:rFonts w:ascii="Times New Roman" w:hAnsi="Times New Roman" w:cs="Times New Roman"/>
        </w:rPr>
      </w:pPr>
    </w:p>
    <w:p w14:paraId="15472040" w14:textId="77777777" w:rsidR="006E5E55" w:rsidRPr="0089051B" w:rsidRDefault="008F3B98" w:rsidP="0061452E">
      <w:pPr>
        <w:jc w:val="both"/>
        <w:rPr>
          <w:rFonts w:ascii="Times New Roman" w:hAnsi="Times New Roman" w:cs="Times New Roman"/>
        </w:rPr>
      </w:pPr>
      <w:r w:rsidRPr="0089051B">
        <w:rPr>
          <w:rFonts w:ascii="Times New Roman" w:hAnsi="Times New Roman" w:cs="Times New Roman"/>
        </w:rPr>
        <w:t>Where national law is found to be incompatible with Union law,</w:t>
      </w:r>
      <w:r w:rsidR="00120359" w:rsidRPr="0089051B">
        <w:rPr>
          <w:rFonts w:ascii="Times New Roman" w:hAnsi="Times New Roman" w:cs="Times New Roman"/>
        </w:rPr>
        <w:t xml:space="preserve"> </w:t>
      </w:r>
      <w:r w:rsidRPr="0089051B">
        <w:rPr>
          <w:rFonts w:ascii="Times New Roman" w:hAnsi="Times New Roman" w:cs="Times New Roman"/>
        </w:rPr>
        <w:t xml:space="preserve">the </w:t>
      </w:r>
      <w:r w:rsidR="00120359" w:rsidRPr="0089051B">
        <w:rPr>
          <w:rFonts w:ascii="Times New Roman" w:hAnsi="Times New Roman" w:cs="Times New Roman"/>
        </w:rPr>
        <w:t xml:space="preserve">Member State is under </w:t>
      </w:r>
      <w:r w:rsidRPr="0089051B">
        <w:rPr>
          <w:rFonts w:ascii="Times New Roman" w:hAnsi="Times New Roman" w:cs="Times New Roman"/>
        </w:rPr>
        <w:t xml:space="preserve">an </w:t>
      </w:r>
      <w:r w:rsidR="00120359" w:rsidRPr="0089051B">
        <w:rPr>
          <w:rFonts w:ascii="Times New Roman" w:hAnsi="Times New Roman" w:cs="Times New Roman"/>
        </w:rPr>
        <w:t xml:space="preserve">obligation to bring </w:t>
      </w:r>
      <w:r w:rsidRPr="0089051B">
        <w:rPr>
          <w:rFonts w:ascii="Times New Roman" w:hAnsi="Times New Roman" w:cs="Times New Roman"/>
        </w:rPr>
        <w:t xml:space="preserve">its domestic </w:t>
      </w:r>
      <w:r w:rsidR="00120359" w:rsidRPr="0089051B">
        <w:rPr>
          <w:rFonts w:ascii="Times New Roman" w:hAnsi="Times New Roman" w:cs="Times New Roman"/>
        </w:rPr>
        <w:t xml:space="preserve">law into </w:t>
      </w:r>
      <w:r w:rsidRPr="0089051B">
        <w:rPr>
          <w:rFonts w:ascii="Times New Roman" w:hAnsi="Times New Roman" w:cs="Times New Roman"/>
        </w:rPr>
        <w:t xml:space="preserve">full </w:t>
      </w:r>
      <w:r w:rsidR="00120359" w:rsidRPr="0089051B">
        <w:rPr>
          <w:rFonts w:ascii="Times New Roman" w:hAnsi="Times New Roman" w:cs="Times New Roman"/>
        </w:rPr>
        <w:t xml:space="preserve">compliance with </w:t>
      </w:r>
      <w:r w:rsidRPr="0089051B">
        <w:rPr>
          <w:rFonts w:ascii="Times New Roman" w:hAnsi="Times New Roman" w:cs="Times New Roman"/>
        </w:rPr>
        <w:t xml:space="preserve">its Treaty </w:t>
      </w:r>
      <w:r w:rsidR="00120359" w:rsidRPr="0089051B">
        <w:rPr>
          <w:rFonts w:ascii="Times New Roman" w:hAnsi="Times New Roman" w:cs="Times New Roman"/>
        </w:rPr>
        <w:t>obligations</w:t>
      </w:r>
      <w:r w:rsidRPr="0089051B">
        <w:rPr>
          <w:rFonts w:ascii="Times New Roman" w:hAnsi="Times New Roman" w:cs="Times New Roman"/>
        </w:rPr>
        <w:t>.</w:t>
      </w:r>
      <w:r w:rsidR="00535EF2" w:rsidRPr="0089051B">
        <w:rPr>
          <w:rStyle w:val="FootnoteReference"/>
          <w:rFonts w:ascii="Times New Roman" w:hAnsi="Times New Roman" w:cs="Times New Roman"/>
        </w:rPr>
        <w:footnoteReference w:id="81"/>
      </w:r>
      <w:r w:rsidRPr="0089051B">
        <w:rPr>
          <w:rFonts w:ascii="Times New Roman" w:hAnsi="Times New Roman" w:cs="Times New Roman"/>
        </w:rPr>
        <w:t xml:space="preserve">  The primary responsibility for responding to a situation of incompatibility </w:t>
      </w:r>
      <w:r w:rsidR="00CD7BE7" w:rsidRPr="0089051B">
        <w:rPr>
          <w:rFonts w:ascii="Times New Roman" w:hAnsi="Times New Roman" w:cs="Times New Roman"/>
        </w:rPr>
        <w:t>will generally fall</w:t>
      </w:r>
      <w:r w:rsidRPr="0089051B">
        <w:rPr>
          <w:rFonts w:ascii="Times New Roman" w:hAnsi="Times New Roman" w:cs="Times New Roman"/>
        </w:rPr>
        <w:t xml:space="preserve"> upon the national parliament or other competent </w:t>
      </w:r>
      <w:r w:rsidR="00473C1F" w:rsidRPr="0089051B">
        <w:rPr>
          <w:rFonts w:ascii="Times New Roman" w:hAnsi="Times New Roman" w:cs="Times New Roman"/>
        </w:rPr>
        <w:t xml:space="preserve">regulatory </w:t>
      </w:r>
      <w:r w:rsidRPr="0089051B">
        <w:rPr>
          <w:rFonts w:ascii="Times New Roman" w:hAnsi="Times New Roman" w:cs="Times New Roman"/>
        </w:rPr>
        <w:t>authority.</w:t>
      </w:r>
      <w:r w:rsidR="00535EF2" w:rsidRPr="0089051B">
        <w:rPr>
          <w:rStyle w:val="FootnoteReference"/>
          <w:rFonts w:ascii="Times New Roman" w:hAnsi="Times New Roman" w:cs="Times New Roman"/>
        </w:rPr>
        <w:footnoteReference w:id="82"/>
      </w:r>
      <w:r w:rsidRPr="0089051B">
        <w:rPr>
          <w:rFonts w:ascii="Times New Roman" w:hAnsi="Times New Roman" w:cs="Times New Roman"/>
        </w:rPr>
        <w:t xml:space="preserve">  </w:t>
      </w:r>
      <w:r w:rsidR="00120359" w:rsidRPr="0089051B">
        <w:rPr>
          <w:rFonts w:ascii="Times New Roman" w:hAnsi="Times New Roman" w:cs="Times New Roman"/>
        </w:rPr>
        <w:t xml:space="preserve">But </w:t>
      </w:r>
      <w:r w:rsidRPr="0089051B">
        <w:rPr>
          <w:rFonts w:ascii="Times New Roman" w:hAnsi="Times New Roman" w:cs="Times New Roman"/>
        </w:rPr>
        <w:t xml:space="preserve">in the meantime, during the period between a finding of incompatibility and restoration of full legal compliance, it falls upon the </w:t>
      </w:r>
      <w:r w:rsidR="00473C1F" w:rsidRPr="0089051B">
        <w:rPr>
          <w:rFonts w:ascii="Times New Roman" w:hAnsi="Times New Roman" w:cs="Times New Roman"/>
        </w:rPr>
        <w:t>executive as well as the courts to provide an interim solution not only for past decisions or acts but also as regards newly created legal relationships.  As we have seen, the remedy of disapplication plays a central role in that interim solution, by obliging the executive and judicial authorities to set aside the incompatible national rules</w:t>
      </w:r>
      <w:r w:rsidR="00BB53C4" w:rsidRPr="0089051B">
        <w:rPr>
          <w:rFonts w:ascii="Times New Roman" w:hAnsi="Times New Roman" w:cs="Times New Roman"/>
        </w:rPr>
        <w:t>.</w:t>
      </w:r>
      <w:r w:rsidR="00450C65" w:rsidRPr="0089051B">
        <w:rPr>
          <w:rStyle w:val="FootnoteReference"/>
          <w:rFonts w:ascii="Times New Roman" w:hAnsi="Times New Roman" w:cs="Times New Roman"/>
        </w:rPr>
        <w:footnoteReference w:id="83"/>
      </w:r>
      <w:r w:rsidR="00BB53C4" w:rsidRPr="0089051B">
        <w:rPr>
          <w:rFonts w:ascii="Times New Roman" w:hAnsi="Times New Roman" w:cs="Times New Roman"/>
        </w:rPr>
        <w:t xml:space="preserve">  That might sound like a recipe for </w:t>
      </w:r>
      <w:r w:rsidR="00AE68DE" w:rsidRPr="0089051B">
        <w:rPr>
          <w:rFonts w:ascii="Times New Roman" w:hAnsi="Times New Roman" w:cs="Times New Roman"/>
        </w:rPr>
        <w:t xml:space="preserve">the widespread creation of numerous legal vacuums capable of endangering the public interest – but in fact, how far a problem actually arises depends on a range of factors, including the </w:t>
      </w:r>
      <w:r w:rsidR="00A85E71" w:rsidRPr="0089051B">
        <w:rPr>
          <w:rFonts w:ascii="Times New Roman" w:hAnsi="Times New Roman" w:cs="Times New Roman"/>
        </w:rPr>
        <w:t xml:space="preserve">nature of </w:t>
      </w:r>
      <w:r w:rsidR="00AE68DE" w:rsidRPr="0089051B">
        <w:rPr>
          <w:rFonts w:ascii="Times New Roman" w:hAnsi="Times New Roman" w:cs="Times New Roman"/>
        </w:rPr>
        <w:t xml:space="preserve">the relevant </w:t>
      </w:r>
      <w:r w:rsidR="00A85E71" w:rsidRPr="0089051B">
        <w:rPr>
          <w:rFonts w:ascii="Times New Roman" w:hAnsi="Times New Roman" w:cs="Times New Roman"/>
        </w:rPr>
        <w:t>Union obligation</w:t>
      </w:r>
      <w:r w:rsidR="00AE68DE" w:rsidRPr="0089051B">
        <w:rPr>
          <w:rFonts w:ascii="Times New Roman" w:hAnsi="Times New Roman" w:cs="Times New Roman"/>
        </w:rPr>
        <w:t xml:space="preserve">, the underlying </w:t>
      </w:r>
      <w:r w:rsidR="00A85E71" w:rsidRPr="0089051B">
        <w:rPr>
          <w:rFonts w:ascii="Times New Roman" w:hAnsi="Times New Roman" w:cs="Times New Roman"/>
        </w:rPr>
        <w:t>framework of national law</w:t>
      </w:r>
      <w:r w:rsidR="00AE68DE" w:rsidRPr="0089051B">
        <w:rPr>
          <w:rFonts w:ascii="Times New Roman" w:hAnsi="Times New Roman" w:cs="Times New Roman"/>
        </w:rPr>
        <w:t>,</w:t>
      </w:r>
      <w:r w:rsidR="00A85E71" w:rsidRPr="0089051B">
        <w:rPr>
          <w:rFonts w:ascii="Times New Roman" w:hAnsi="Times New Roman" w:cs="Times New Roman"/>
        </w:rPr>
        <w:t xml:space="preserve"> </w:t>
      </w:r>
      <w:r w:rsidR="00AE68DE" w:rsidRPr="0089051B">
        <w:rPr>
          <w:rFonts w:ascii="Times New Roman" w:hAnsi="Times New Roman" w:cs="Times New Roman"/>
        </w:rPr>
        <w:t xml:space="preserve">and the precise character of the Member State’s </w:t>
      </w:r>
      <w:r w:rsidR="00A85E71" w:rsidRPr="0089051B">
        <w:rPr>
          <w:rFonts w:ascii="Times New Roman" w:hAnsi="Times New Roman" w:cs="Times New Roman"/>
        </w:rPr>
        <w:t>incompatibility</w:t>
      </w:r>
      <w:r w:rsidR="00AE68DE" w:rsidRPr="0089051B">
        <w:rPr>
          <w:rFonts w:ascii="Times New Roman" w:hAnsi="Times New Roman" w:cs="Times New Roman"/>
        </w:rPr>
        <w:t xml:space="preserve">.  </w:t>
      </w:r>
    </w:p>
    <w:p w14:paraId="4D4CD397" w14:textId="36DAA6F1" w:rsidR="006E5E55" w:rsidRPr="0089051B" w:rsidRDefault="00AE68DE" w:rsidP="006E5E55">
      <w:pPr>
        <w:ind w:firstLine="720"/>
        <w:jc w:val="both"/>
        <w:rPr>
          <w:rFonts w:ascii="Times New Roman" w:hAnsi="Times New Roman" w:cs="Times New Roman"/>
        </w:rPr>
      </w:pPr>
      <w:r w:rsidRPr="0089051B">
        <w:rPr>
          <w:rFonts w:ascii="Times New Roman" w:hAnsi="Times New Roman" w:cs="Times New Roman"/>
        </w:rPr>
        <w:t>I</w:t>
      </w:r>
      <w:r w:rsidR="00120359" w:rsidRPr="0089051B">
        <w:rPr>
          <w:rFonts w:ascii="Times New Roman" w:hAnsi="Times New Roman" w:cs="Times New Roman"/>
        </w:rPr>
        <w:t xml:space="preserve">n </w:t>
      </w:r>
      <w:r w:rsidR="008F4FC8" w:rsidRPr="0089051B">
        <w:rPr>
          <w:rFonts w:ascii="Times New Roman" w:hAnsi="Times New Roman" w:cs="Times New Roman"/>
        </w:rPr>
        <w:t xml:space="preserve">certain situations, the </w:t>
      </w:r>
      <w:r w:rsidRPr="0089051B">
        <w:rPr>
          <w:rFonts w:ascii="Times New Roman" w:hAnsi="Times New Roman" w:cs="Times New Roman"/>
        </w:rPr>
        <w:t xml:space="preserve">risk of a damaging legal vacuum will be low or even non-existent.  For example, </w:t>
      </w:r>
      <w:r w:rsidR="00771865" w:rsidRPr="0089051B">
        <w:rPr>
          <w:rFonts w:ascii="Times New Roman" w:hAnsi="Times New Roman" w:cs="Times New Roman"/>
        </w:rPr>
        <w:t xml:space="preserve">we have seen how </w:t>
      </w:r>
      <w:r w:rsidR="007E5AF6" w:rsidRPr="0089051B">
        <w:rPr>
          <w:rFonts w:ascii="Times New Roman" w:hAnsi="Times New Roman" w:cs="Times New Roman"/>
        </w:rPr>
        <w:t xml:space="preserve">the </w:t>
      </w:r>
      <w:r w:rsidR="00055D21" w:rsidRPr="0089051B">
        <w:rPr>
          <w:rFonts w:ascii="Times New Roman" w:hAnsi="Times New Roman" w:cs="Times New Roman"/>
        </w:rPr>
        <w:t xml:space="preserve">relevant </w:t>
      </w:r>
      <w:r w:rsidR="00486D3D" w:rsidRPr="0089051B">
        <w:rPr>
          <w:rFonts w:ascii="Times New Roman" w:hAnsi="Times New Roman" w:cs="Times New Roman"/>
        </w:rPr>
        <w:t xml:space="preserve">Union obligation </w:t>
      </w:r>
      <w:r w:rsidR="00771865" w:rsidRPr="0089051B">
        <w:rPr>
          <w:rFonts w:ascii="Times New Roman" w:hAnsi="Times New Roman" w:cs="Times New Roman"/>
        </w:rPr>
        <w:t xml:space="preserve">might </w:t>
      </w:r>
      <w:r w:rsidR="007E5AF6" w:rsidRPr="0089051B">
        <w:rPr>
          <w:rFonts w:ascii="Times New Roman" w:hAnsi="Times New Roman" w:cs="Times New Roman"/>
        </w:rPr>
        <w:t>simply lack</w:t>
      </w:r>
      <w:r w:rsidR="00486D3D" w:rsidRPr="0089051B">
        <w:rPr>
          <w:rFonts w:ascii="Times New Roman" w:hAnsi="Times New Roman" w:cs="Times New Roman"/>
        </w:rPr>
        <w:t xml:space="preserve"> </w:t>
      </w:r>
      <w:r w:rsidR="007E5AF6" w:rsidRPr="0089051B">
        <w:rPr>
          <w:rFonts w:ascii="Times New Roman" w:hAnsi="Times New Roman" w:cs="Times New Roman"/>
        </w:rPr>
        <w:t xml:space="preserve">the capacity to produce its own </w:t>
      </w:r>
      <w:r w:rsidR="00486D3D" w:rsidRPr="0089051B">
        <w:rPr>
          <w:rFonts w:ascii="Times New Roman" w:hAnsi="Times New Roman" w:cs="Times New Roman"/>
        </w:rPr>
        <w:t>direct effect</w:t>
      </w:r>
      <w:r w:rsidR="00771865" w:rsidRPr="0089051B">
        <w:rPr>
          <w:rFonts w:ascii="Times New Roman" w:hAnsi="Times New Roman" w:cs="Times New Roman"/>
        </w:rPr>
        <w:t xml:space="preserve"> – in which case, </w:t>
      </w:r>
      <w:r w:rsidR="007E5AF6" w:rsidRPr="0089051B">
        <w:rPr>
          <w:rFonts w:ascii="Times New Roman" w:hAnsi="Times New Roman" w:cs="Times New Roman"/>
        </w:rPr>
        <w:t xml:space="preserve">there is no </w:t>
      </w:r>
      <w:r w:rsidR="00486D3D" w:rsidRPr="0089051B">
        <w:rPr>
          <w:rFonts w:ascii="Times New Roman" w:hAnsi="Times New Roman" w:cs="Times New Roman"/>
        </w:rPr>
        <w:t xml:space="preserve">question of </w:t>
      </w:r>
      <w:r w:rsidR="007E5AF6" w:rsidRPr="0089051B">
        <w:rPr>
          <w:rFonts w:ascii="Times New Roman" w:hAnsi="Times New Roman" w:cs="Times New Roman"/>
        </w:rPr>
        <w:t>a</w:t>
      </w:r>
      <w:r w:rsidR="00706CE5" w:rsidRPr="0089051B">
        <w:rPr>
          <w:rFonts w:ascii="Times New Roman" w:hAnsi="Times New Roman" w:cs="Times New Roman"/>
        </w:rPr>
        <w:t>n abstract</w:t>
      </w:r>
      <w:r w:rsidR="007E5AF6" w:rsidRPr="0089051B">
        <w:rPr>
          <w:rFonts w:ascii="Times New Roman" w:hAnsi="Times New Roman" w:cs="Times New Roman"/>
        </w:rPr>
        <w:t xml:space="preserve"> finding of </w:t>
      </w:r>
      <w:r w:rsidR="00486D3D" w:rsidRPr="0089051B">
        <w:rPr>
          <w:rFonts w:ascii="Times New Roman" w:hAnsi="Times New Roman" w:cs="Times New Roman"/>
        </w:rPr>
        <w:t xml:space="preserve">incompatibility </w:t>
      </w:r>
      <w:r w:rsidR="007E5AF6" w:rsidRPr="0089051B">
        <w:rPr>
          <w:rFonts w:ascii="Times New Roman" w:hAnsi="Times New Roman" w:cs="Times New Roman"/>
        </w:rPr>
        <w:t xml:space="preserve">ever </w:t>
      </w:r>
      <w:r w:rsidR="00486D3D" w:rsidRPr="0089051B">
        <w:rPr>
          <w:rFonts w:ascii="Times New Roman" w:hAnsi="Times New Roman" w:cs="Times New Roman"/>
        </w:rPr>
        <w:t xml:space="preserve">leading to disapplication </w:t>
      </w:r>
      <w:r w:rsidR="007E5AF6" w:rsidRPr="0089051B">
        <w:rPr>
          <w:rFonts w:ascii="Times New Roman" w:hAnsi="Times New Roman" w:cs="Times New Roman"/>
        </w:rPr>
        <w:t xml:space="preserve">of the relevant national law and therefore no risk of ever </w:t>
      </w:r>
      <w:r w:rsidR="00A31CFC" w:rsidRPr="0089051B">
        <w:rPr>
          <w:rFonts w:ascii="Times New Roman" w:hAnsi="Times New Roman" w:cs="Times New Roman"/>
        </w:rPr>
        <w:t xml:space="preserve">creating </w:t>
      </w:r>
      <w:r w:rsidR="007E5AF6" w:rsidRPr="0089051B">
        <w:rPr>
          <w:rFonts w:ascii="Times New Roman" w:hAnsi="Times New Roman" w:cs="Times New Roman"/>
        </w:rPr>
        <w:t xml:space="preserve">a </w:t>
      </w:r>
      <w:r w:rsidR="00A31CFC" w:rsidRPr="0089051B">
        <w:rPr>
          <w:rFonts w:ascii="Times New Roman" w:hAnsi="Times New Roman" w:cs="Times New Roman"/>
        </w:rPr>
        <w:t>legal vacuum</w:t>
      </w:r>
      <w:r w:rsidR="007E5AF6" w:rsidRPr="0089051B">
        <w:rPr>
          <w:rFonts w:ascii="Times New Roman" w:hAnsi="Times New Roman" w:cs="Times New Roman"/>
        </w:rPr>
        <w:t>.</w:t>
      </w:r>
      <w:r w:rsidR="007E5AF6" w:rsidRPr="0089051B">
        <w:rPr>
          <w:rStyle w:val="FootnoteReference"/>
          <w:rFonts w:ascii="Times New Roman" w:hAnsi="Times New Roman" w:cs="Times New Roman"/>
        </w:rPr>
        <w:footnoteReference w:id="84"/>
      </w:r>
      <w:r w:rsidR="007E5AF6" w:rsidRPr="0089051B">
        <w:rPr>
          <w:rFonts w:ascii="Times New Roman" w:hAnsi="Times New Roman" w:cs="Times New Roman"/>
        </w:rPr>
        <w:t xml:space="preserve">  Alternatively: </w:t>
      </w:r>
      <w:r w:rsidR="007B0E8D" w:rsidRPr="0089051B">
        <w:rPr>
          <w:rFonts w:ascii="Times New Roman" w:hAnsi="Times New Roman" w:cs="Times New Roman"/>
        </w:rPr>
        <w:t xml:space="preserve">Union </w:t>
      </w:r>
      <w:r w:rsidR="007E5AF6" w:rsidRPr="0089051B">
        <w:rPr>
          <w:rFonts w:ascii="Times New Roman" w:hAnsi="Times New Roman" w:cs="Times New Roman"/>
        </w:rPr>
        <w:t xml:space="preserve">law might itself contain the </w:t>
      </w:r>
      <w:r w:rsidR="007B0E8D" w:rsidRPr="0089051B">
        <w:rPr>
          <w:rFonts w:ascii="Times New Roman" w:hAnsi="Times New Roman" w:cs="Times New Roman"/>
        </w:rPr>
        <w:t xml:space="preserve">substantive rules </w:t>
      </w:r>
      <w:r w:rsidR="007E5AF6" w:rsidRPr="0089051B">
        <w:rPr>
          <w:rFonts w:ascii="Times New Roman" w:hAnsi="Times New Roman" w:cs="Times New Roman"/>
        </w:rPr>
        <w:t xml:space="preserve">required to </w:t>
      </w:r>
      <w:r w:rsidR="00475360" w:rsidRPr="0089051B">
        <w:rPr>
          <w:rFonts w:ascii="Times New Roman" w:hAnsi="Times New Roman" w:cs="Times New Roman"/>
        </w:rPr>
        <w:t xml:space="preserve">define and protect </w:t>
      </w:r>
      <w:r w:rsidR="007E5AF6" w:rsidRPr="0089051B">
        <w:rPr>
          <w:rFonts w:ascii="Times New Roman" w:hAnsi="Times New Roman" w:cs="Times New Roman"/>
        </w:rPr>
        <w:t xml:space="preserve">the </w:t>
      </w:r>
      <w:r w:rsidR="00475360" w:rsidRPr="0089051B">
        <w:rPr>
          <w:rFonts w:ascii="Times New Roman" w:hAnsi="Times New Roman" w:cs="Times New Roman"/>
        </w:rPr>
        <w:t>relevant public interests</w:t>
      </w:r>
      <w:r w:rsidR="007E5AF6" w:rsidRPr="0089051B">
        <w:rPr>
          <w:rFonts w:ascii="Times New Roman" w:hAnsi="Times New Roman" w:cs="Times New Roman"/>
        </w:rPr>
        <w:t xml:space="preserve">, </w:t>
      </w:r>
      <w:r w:rsidR="00EC51FF" w:rsidRPr="0089051B">
        <w:rPr>
          <w:rFonts w:ascii="Times New Roman" w:hAnsi="Times New Roman" w:cs="Times New Roman"/>
        </w:rPr>
        <w:t xml:space="preserve">drafted </w:t>
      </w:r>
      <w:r w:rsidR="007E5AF6" w:rsidRPr="0089051B">
        <w:rPr>
          <w:rFonts w:ascii="Times New Roman" w:hAnsi="Times New Roman" w:cs="Times New Roman"/>
        </w:rPr>
        <w:t xml:space="preserve">in sufficient detail that those rules are capable of having direct effect and being enforced on their own terms, in place of </w:t>
      </w:r>
      <w:r w:rsidR="00EC51FF" w:rsidRPr="0089051B">
        <w:rPr>
          <w:rFonts w:ascii="Times New Roman" w:hAnsi="Times New Roman" w:cs="Times New Roman"/>
        </w:rPr>
        <w:t xml:space="preserve">and substitution for </w:t>
      </w:r>
      <w:r w:rsidR="007E5AF6" w:rsidRPr="0089051B">
        <w:rPr>
          <w:rFonts w:ascii="Times New Roman" w:hAnsi="Times New Roman" w:cs="Times New Roman"/>
        </w:rPr>
        <w:t xml:space="preserve">the incompatible national legislation which </w:t>
      </w:r>
      <w:r w:rsidR="00EC51FF" w:rsidRPr="0089051B">
        <w:rPr>
          <w:rFonts w:ascii="Times New Roman" w:hAnsi="Times New Roman" w:cs="Times New Roman"/>
        </w:rPr>
        <w:t>should thenceforth be set aside.</w:t>
      </w:r>
      <w:r w:rsidR="00EC51FF" w:rsidRPr="0089051B">
        <w:rPr>
          <w:rStyle w:val="FootnoteReference"/>
          <w:rFonts w:ascii="Times New Roman" w:hAnsi="Times New Roman" w:cs="Times New Roman"/>
        </w:rPr>
        <w:footnoteReference w:id="85"/>
      </w:r>
      <w:r w:rsidR="00EC51FF" w:rsidRPr="0089051B">
        <w:rPr>
          <w:rFonts w:ascii="Times New Roman" w:hAnsi="Times New Roman" w:cs="Times New Roman"/>
        </w:rPr>
        <w:t xml:space="preserve">  As the Court has regularly found: that possibility is viable, </w:t>
      </w:r>
      <w:r w:rsidR="00055D21" w:rsidRPr="0089051B">
        <w:rPr>
          <w:rFonts w:ascii="Times New Roman" w:hAnsi="Times New Roman" w:cs="Times New Roman"/>
        </w:rPr>
        <w:t xml:space="preserve">even </w:t>
      </w:r>
      <w:r w:rsidR="00EC51FF" w:rsidRPr="0089051B">
        <w:rPr>
          <w:rFonts w:ascii="Times New Roman" w:hAnsi="Times New Roman" w:cs="Times New Roman"/>
        </w:rPr>
        <w:t xml:space="preserve">where the relevant </w:t>
      </w:r>
      <w:r w:rsidR="00055D21" w:rsidRPr="0089051B">
        <w:rPr>
          <w:rFonts w:ascii="Times New Roman" w:hAnsi="Times New Roman" w:cs="Times New Roman"/>
        </w:rPr>
        <w:t xml:space="preserve">Union legislation </w:t>
      </w:r>
      <w:r w:rsidR="00EC51FF" w:rsidRPr="0089051B">
        <w:rPr>
          <w:rFonts w:ascii="Times New Roman" w:hAnsi="Times New Roman" w:cs="Times New Roman"/>
        </w:rPr>
        <w:t xml:space="preserve">offers the Member State various </w:t>
      </w:r>
      <w:r w:rsidR="007B0E8D" w:rsidRPr="0089051B">
        <w:rPr>
          <w:rFonts w:ascii="Times New Roman" w:hAnsi="Times New Roman" w:cs="Times New Roman"/>
        </w:rPr>
        <w:t xml:space="preserve">discretionary </w:t>
      </w:r>
      <w:r w:rsidR="00EC51FF" w:rsidRPr="0089051B">
        <w:rPr>
          <w:rFonts w:ascii="Times New Roman" w:hAnsi="Times New Roman" w:cs="Times New Roman"/>
        </w:rPr>
        <w:t>options</w:t>
      </w:r>
      <w:r w:rsidR="007B0E8D" w:rsidRPr="0089051B">
        <w:rPr>
          <w:rFonts w:ascii="Times New Roman" w:hAnsi="Times New Roman" w:cs="Times New Roman"/>
        </w:rPr>
        <w:t xml:space="preserve"> </w:t>
      </w:r>
      <w:r w:rsidR="00EC51FF" w:rsidRPr="0089051B">
        <w:rPr>
          <w:rFonts w:ascii="Times New Roman" w:hAnsi="Times New Roman" w:cs="Times New Roman"/>
        </w:rPr>
        <w:t xml:space="preserve">and derogations: the fact that the competent legislature </w:t>
      </w:r>
      <w:r w:rsidR="007B0E8D" w:rsidRPr="0089051B">
        <w:rPr>
          <w:rFonts w:ascii="Times New Roman" w:hAnsi="Times New Roman" w:cs="Times New Roman"/>
        </w:rPr>
        <w:t xml:space="preserve">may chose to </w:t>
      </w:r>
      <w:r w:rsidR="00EC51FF" w:rsidRPr="0089051B">
        <w:rPr>
          <w:rFonts w:ascii="Times New Roman" w:hAnsi="Times New Roman" w:cs="Times New Roman"/>
        </w:rPr>
        <w:t xml:space="preserve">avail itself of such choices </w:t>
      </w:r>
      <w:r w:rsidR="007B0E8D" w:rsidRPr="0089051B">
        <w:rPr>
          <w:rFonts w:ascii="Times New Roman" w:hAnsi="Times New Roman" w:cs="Times New Roman"/>
        </w:rPr>
        <w:t xml:space="preserve">when </w:t>
      </w:r>
      <w:r w:rsidR="00EC51FF" w:rsidRPr="0089051B">
        <w:rPr>
          <w:rFonts w:ascii="Times New Roman" w:hAnsi="Times New Roman" w:cs="Times New Roman"/>
        </w:rPr>
        <w:t xml:space="preserve">bringing </w:t>
      </w:r>
      <w:r w:rsidR="007B0E8D" w:rsidRPr="0089051B">
        <w:rPr>
          <w:rFonts w:ascii="Times New Roman" w:hAnsi="Times New Roman" w:cs="Times New Roman"/>
        </w:rPr>
        <w:t xml:space="preserve">national law into </w:t>
      </w:r>
      <w:r w:rsidR="00EC51FF" w:rsidRPr="0089051B">
        <w:rPr>
          <w:rFonts w:ascii="Times New Roman" w:hAnsi="Times New Roman" w:cs="Times New Roman"/>
        </w:rPr>
        <w:t xml:space="preserve">full </w:t>
      </w:r>
      <w:r w:rsidR="007B0E8D" w:rsidRPr="0089051B">
        <w:rPr>
          <w:rFonts w:ascii="Times New Roman" w:hAnsi="Times New Roman" w:cs="Times New Roman"/>
        </w:rPr>
        <w:t>compliance for the future</w:t>
      </w:r>
      <w:r w:rsidR="00EC51FF" w:rsidRPr="0089051B">
        <w:rPr>
          <w:rFonts w:ascii="Times New Roman" w:hAnsi="Times New Roman" w:cs="Times New Roman"/>
        </w:rPr>
        <w:t xml:space="preserve">, does not </w:t>
      </w:r>
      <w:r w:rsidR="007B0E8D" w:rsidRPr="0089051B">
        <w:rPr>
          <w:rFonts w:ascii="Times New Roman" w:hAnsi="Times New Roman" w:cs="Times New Roman"/>
        </w:rPr>
        <w:t xml:space="preserve">affect </w:t>
      </w:r>
      <w:r w:rsidR="00EC51FF" w:rsidRPr="0089051B">
        <w:rPr>
          <w:rFonts w:ascii="Times New Roman" w:hAnsi="Times New Roman" w:cs="Times New Roman"/>
        </w:rPr>
        <w:t xml:space="preserve">the obligation of the competent executive and judicial authorities to recognise and enforce the </w:t>
      </w:r>
      <w:r w:rsidR="004627B1">
        <w:rPr>
          <w:rFonts w:ascii="Times New Roman" w:hAnsi="Times New Roman" w:cs="Times New Roman"/>
        </w:rPr>
        <w:t>general</w:t>
      </w:r>
      <w:r w:rsidR="007B0E8D" w:rsidRPr="0089051B">
        <w:rPr>
          <w:rFonts w:ascii="Times New Roman" w:hAnsi="Times New Roman" w:cs="Times New Roman"/>
        </w:rPr>
        <w:t xml:space="preserve"> regulatory standards </w:t>
      </w:r>
      <w:r w:rsidR="00EC51FF" w:rsidRPr="0089051B">
        <w:rPr>
          <w:rFonts w:ascii="Times New Roman" w:hAnsi="Times New Roman" w:cs="Times New Roman"/>
        </w:rPr>
        <w:t xml:space="preserve">that can be extracted from the applicable </w:t>
      </w:r>
      <w:r w:rsidR="00055D21" w:rsidRPr="0089051B">
        <w:rPr>
          <w:rFonts w:ascii="Times New Roman" w:hAnsi="Times New Roman" w:cs="Times New Roman"/>
        </w:rPr>
        <w:t xml:space="preserve">Union </w:t>
      </w:r>
      <w:r w:rsidR="00EC51FF" w:rsidRPr="0089051B">
        <w:rPr>
          <w:rFonts w:ascii="Times New Roman" w:hAnsi="Times New Roman" w:cs="Times New Roman"/>
        </w:rPr>
        <w:t>legislation in the interim.</w:t>
      </w:r>
      <w:r w:rsidR="00EC51FF" w:rsidRPr="0089051B">
        <w:rPr>
          <w:rStyle w:val="FootnoteReference"/>
          <w:rFonts w:ascii="Times New Roman" w:hAnsi="Times New Roman" w:cs="Times New Roman"/>
        </w:rPr>
        <w:footnoteReference w:id="86"/>
      </w:r>
      <w:r w:rsidR="00EC51FF" w:rsidRPr="0089051B">
        <w:rPr>
          <w:rFonts w:ascii="Times New Roman" w:hAnsi="Times New Roman" w:cs="Times New Roman"/>
        </w:rPr>
        <w:t xml:space="preserve">  Or again, consider the Court’s approach to the practical consequences that should be drawn from national infringements of various Union obligations based on the principle of </w:t>
      </w:r>
      <w:r w:rsidR="00A85E71" w:rsidRPr="0089051B">
        <w:rPr>
          <w:rFonts w:ascii="Times New Roman" w:hAnsi="Times New Roman" w:cs="Times New Roman"/>
        </w:rPr>
        <w:t>equal treatment</w:t>
      </w:r>
      <w:r w:rsidR="00EC51FF" w:rsidRPr="0089051B">
        <w:rPr>
          <w:rFonts w:ascii="Times New Roman" w:hAnsi="Times New Roman" w:cs="Times New Roman"/>
        </w:rPr>
        <w:t xml:space="preserve">: if </w:t>
      </w:r>
      <w:r w:rsidR="00A85E71" w:rsidRPr="0089051B">
        <w:rPr>
          <w:rFonts w:ascii="Times New Roman" w:hAnsi="Times New Roman" w:cs="Times New Roman"/>
        </w:rPr>
        <w:t xml:space="preserve">national law provides </w:t>
      </w:r>
      <w:r w:rsidR="00EC51FF" w:rsidRPr="0089051B">
        <w:rPr>
          <w:rFonts w:ascii="Times New Roman" w:hAnsi="Times New Roman" w:cs="Times New Roman"/>
        </w:rPr>
        <w:t xml:space="preserve">a tangible </w:t>
      </w:r>
      <w:r w:rsidR="00A85E71" w:rsidRPr="0089051B">
        <w:rPr>
          <w:rFonts w:ascii="Times New Roman" w:hAnsi="Times New Roman" w:cs="Times New Roman"/>
        </w:rPr>
        <w:t xml:space="preserve">reference point for </w:t>
      </w:r>
      <w:r w:rsidR="00EC51FF" w:rsidRPr="0089051B">
        <w:rPr>
          <w:rFonts w:ascii="Times New Roman" w:hAnsi="Times New Roman" w:cs="Times New Roman"/>
        </w:rPr>
        <w:t xml:space="preserve">the </w:t>
      </w:r>
      <w:r w:rsidR="00A85E71" w:rsidRPr="0089051B">
        <w:rPr>
          <w:rFonts w:ascii="Times New Roman" w:hAnsi="Times New Roman" w:cs="Times New Roman"/>
        </w:rPr>
        <w:t xml:space="preserve">restoration of compliance </w:t>
      </w:r>
      <w:r w:rsidR="00EC51FF" w:rsidRPr="0089051B">
        <w:rPr>
          <w:rFonts w:ascii="Times New Roman" w:hAnsi="Times New Roman" w:cs="Times New Roman"/>
        </w:rPr>
        <w:t xml:space="preserve">with the principle of equal treatment, the principle of </w:t>
      </w:r>
      <w:r w:rsidR="00B81FD5" w:rsidRPr="0089051B">
        <w:rPr>
          <w:rFonts w:ascii="Times New Roman" w:hAnsi="Times New Roman" w:cs="Times New Roman"/>
        </w:rPr>
        <w:t>primacy</w:t>
      </w:r>
      <w:r w:rsidR="00EC51FF" w:rsidRPr="0089051B">
        <w:rPr>
          <w:rFonts w:ascii="Times New Roman" w:hAnsi="Times New Roman" w:cs="Times New Roman"/>
        </w:rPr>
        <w:t xml:space="preserve"> and remedy of disapplication entail that the </w:t>
      </w:r>
      <w:r w:rsidR="00EC51FF" w:rsidRPr="0089051B">
        <w:rPr>
          <w:rFonts w:ascii="Times New Roman" w:hAnsi="Times New Roman" w:cs="Times New Roman"/>
        </w:rPr>
        <w:lastRenderedPageBreak/>
        <w:t xml:space="preserve">victims of </w:t>
      </w:r>
      <w:r w:rsidR="00055D21" w:rsidRPr="0089051B">
        <w:rPr>
          <w:rFonts w:ascii="Times New Roman" w:hAnsi="Times New Roman" w:cs="Times New Roman"/>
        </w:rPr>
        <w:t xml:space="preserve">unlawful discrimination </w:t>
      </w:r>
      <w:r w:rsidR="008E685B" w:rsidRPr="0089051B">
        <w:rPr>
          <w:rFonts w:ascii="Times New Roman" w:hAnsi="Times New Roman" w:cs="Times New Roman"/>
        </w:rPr>
        <w:t xml:space="preserve">should thenceforth </w:t>
      </w:r>
      <w:r w:rsidR="00EC51FF" w:rsidRPr="0089051B">
        <w:rPr>
          <w:rFonts w:ascii="Times New Roman" w:hAnsi="Times New Roman" w:cs="Times New Roman"/>
        </w:rPr>
        <w:t xml:space="preserve">be </w:t>
      </w:r>
      <w:r w:rsidR="008E685B" w:rsidRPr="0089051B">
        <w:rPr>
          <w:rFonts w:ascii="Times New Roman" w:hAnsi="Times New Roman" w:cs="Times New Roman"/>
        </w:rPr>
        <w:t>treated</w:t>
      </w:r>
      <w:r w:rsidR="00EC51FF" w:rsidRPr="0089051B">
        <w:rPr>
          <w:rFonts w:ascii="Times New Roman" w:hAnsi="Times New Roman" w:cs="Times New Roman"/>
        </w:rPr>
        <w:t xml:space="preserve"> in accordance with that </w:t>
      </w:r>
      <w:r w:rsidR="008E685B" w:rsidRPr="0089051B">
        <w:rPr>
          <w:rFonts w:ascii="Times New Roman" w:hAnsi="Times New Roman" w:cs="Times New Roman"/>
        </w:rPr>
        <w:t>reference point</w:t>
      </w:r>
      <w:r w:rsidR="004537B5" w:rsidRPr="0089051B">
        <w:rPr>
          <w:rFonts w:ascii="Times New Roman" w:hAnsi="Times New Roman" w:cs="Times New Roman"/>
        </w:rPr>
        <w:t>;</w:t>
      </w:r>
      <w:r w:rsidR="004537B5" w:rsidRPr="0089051B">
        <w:rPr>
          <w:rStyle w:val="FootnoteReference"/>
          <w:rFonts w:ascii="Times New Roman" w:hAnsi="Times New Roman" w:cs="Times New Roman"/>
        </w:rPr>
        <w:footnoteReference w:id="87"/>
      </w:r>
      <w:r w:rsidR="008E685B" w:rsidRPr="0089051B">
        <w:rPr>
          <w:rFonts w:ascii="Times New Roman" w:hAnsi="Times New Roman" w:cs="Times New Roman"/>
        </w:rPr>
        <w:t xml:space="preserve"> at least </w:t>
      </w:r>
      <w:r w:rsidR="00055D21" w:rsidRPr="0089051B">
        <w:rPr>
          <w:rFonts w:ascii="Times New Roman" w:hAnsi="Times New Roman" w:cs="Times New Roman"/>
        </w:rPr>
        <w:t xml:space="preserve">unless and until </w:t>
      </w:r>
      <w:r w:rsidR="008E685B" w:rsidRPr="0089051B">
        <w:rPr>
          <w:rFonts w:ascii="Times New Roman" w:hAnsi="Times New Roman" w:cs="Times New Roman"/>
        </w:rPr>
        <w:t xml:space="preserve">the </w:t>
      </w:r>
      <w:r w:rsidR="00055D21" w:rsidRPr="0089051B">
        <w:rPr>
          <w:rFonts w:ascii="Times New Roman" w:hAnsi="Times New Roman" w:cs="Times New Roman"/>
        </w:rPr>
        <w:t>Member State</w:t>
      </w:r>
      <w:r w:rsidR="00A85E71" w:rsidRPr="0089051B">
        <w:rPr>
          <w:rFonts w:ascii="Times New Roman" w:hAnsi="Times New Roman" w:cs="Times New Roman"/>
        </w:rPr>
        <w:t xml:space="preserve"> decides </w:t>
      </w:r>
      <w:r w:rsidR="00055D21" w:rsidRPr="0089051B">
        <w:rPr>
          <w:rFonts w:ascii="Times New Roman" w:hAnsi="Times New Roman" w:cs="Times New Roman"/>
        </w:rPr>
        <w:t xml:space="preserve">to </w:t>
      </w:r>
      <w:r w:rsidR="008E685B" w:rsidRPr="0089051B">
        <w:rPr>
          <w:rFonts w:ascii="Times New Roman" w:hAnsi="Times New Roman" w:cs="Times New Roman"/>
        </w:rPr>
        <w:t xml:space="preserve">adopt an alternative </w:t>
      </w:r>
      <w:r w:rsidR="00055D21" w:rsidRPr="0089051B">
        <w:rPr>
          <w:rFonts w:ascii="Times New Roman" w:hAnsi="Times New Roman" w:cs="Times New Roman"/>
        </w:rPr>
        <w:t>reference point</w:t>
      </w:r>
      <w:r w:rsidR="008E685B" w:rsidRPr="0089051B">
        <w:rPr>
          <w:rFonts w:ascii="Times New Roman" w:hAnsi="Times New Roman" w:cs="Times New Roman"/>
        </w:rPr>
        <w:t>,</w:t>
      </w:r>
      <w:r w:rsidR="00055D21" w:rsidRPr="0089051B">
        <w:rPr>
          <w:rFonts w:ascii="Times New Roman" w:hAnsi="Times New Roman" w:cs="Times New Roman"/>
        </w:rPr>
        <w:t xml:space="preserve"> on </w:t>
      </w:r>
      <w:r w:rsidR="008E685B" w:rsidRPr="0089051B">
        <w:rPr>
          <w:rFonts w:ascii="Times New Roman" w:hAnsi="Times New Roman" w:cs="Times New Roman"/>
        </w:rPr>
        <w:t xml:space="preserve">a </w:t>
      </w:r>
      <w:r w:rsidR="00055D21" w:rsidRPr="0089051B">
        <w:rPr>
          <w:rFonts w:ascii="Times New Roman" w:hAnsi="Times New Roman" w:cs="Times New Roman"/>
        </w:rPr>
        <w:t>non-discriminatory basis</w:t>
      </w:r>
      <w:r w:rsidR="008E685B" w:rsidRPr="0089051B">
        <w:rPr>
          <w:rFonts w:ascii="Times New Roman" w:hAnsi="Times New Roman" w:cs="Times New Roman"/>
        </w:rPr>
        <w:t>,</w:t>
      </w:r>
      <w:r w:rsidR="00055D21" w:rsidRPr="0089051B">
        <w:rPr>
          <w:rFonts w:ascii="Times New Roman" w:hAnsi="Times New Roman" w:cs="Times New Roman"/>
        </w:rPr>
        <w:t xml:space="preserve"> </w:t>
      </w:r>
      <w:r w:rsidR="008E685B" w:rsidRPr="0089051B">
        <w:rPr>
          <w:rFonts w:ascii="Times New Roman" w:hAnsi="Times New Roman" w:cs="Times New Roman"/>
        </w:rPr>
        <w:t xml:space="preserve">into </w:t>
      </w:r>
      <w:r w:rsidR="00055D21" w:rsidRPr="0089051B">
        <w:rPr>
          <w:rFonts w:ascii="Times New Roman" w:hAnsi="Times New Roman" w:cs="Times New Roman"/>
        </w:rPr>
        <w:t xml:space="preserve">the </w:t>
      </w:r>
      <w:r w:rsidR="00A85E71" w:rsidRPr="0089051B">
        <w:rPr>
          <w:rFonts w:ascii="Times New Roman" w:hAnsi="Times New Roman" w:cs="Times New Roman"/>
        </w:rPr>
        <w:t>future</w:t>
      </w:r>
      <w:r w:rsidR="00475360" w:rsidRPr="0089051B">
        <w:rPr>
          <w:rFonts w:ascii="Times New Roman" w:hAnsi="Times New Roman" w:cs="Times New Roman"/>
        </w:rPr>
        <w:t>.</w:t>
      </w:r>
      <w:r w:rsidR="008E685B" w:rsidRPr="0089051B">
        <w:rPr>
          <w:rStyle w:val="FootnoteReference"/>
          <w:rFonts w:ascii="Times New Roman" w:hAnsi="Times New Roman" w:cs="Times New Roman"/>
        </w:rPr>
        <w:footnoteReference w:id="88"/>
      </w:r>
      <w:r w:rsidR="00475360" w:rsidRPr="0089051B">
        <w:rPr>
          <w:rFonts w:ascii="Times New Roman" w:hAnsi="Times New Roman" w:cs="Times New Roman"/>
        </w:rPr>
        <w:t xml:space="preserve">  </w:t>
      </w:r>
    </w:p>
    <w:p w14:paraId="7822D1F4" w14:textId="34BF726C" w:rsidR="006E5E55" w:rsidRPr="0089051B" w:rsidRDefault="008E685B" w:rsidP="006E5E55">
      <w:pPr>
        <w:ind w:firstLine="720"/>
        <w:jc w:val="both"/>
        <w:rPr>
          <w:rFonts w:ascii="Times New Roman" w:hAnsi="Times New Roman" w:cs="Times New Roman"/>
        </w:rPr>
      </w:pPr>
      <w:r w:rsidRPr="0089051B">
        <w:rPr>
          <w:rFonts w:ascii="Times New Roman" w:hAnsi="Times New Roman" w:cs="Times New Roman"/>
        </w:rPr>
        <w:t xml:space="preserve">In other situations, the Court seems prepared to avoid any serious risk that the remedy of disapplication will create a damaging legal vacuum as regards the treatment of future situations, by calling upon the national courts to exercise some margin of judicial creativity in designing and enforcing replacement regulatory standards or legal solutions that will restore full (interim or indeed long term) compliance with Union law.  That seems to be particularly true of disputes involving </w:t>
      </w:r>
      <w:r w:rsidR="00A85E71" w:rsidRPr="0089051B">
        <w:rPr>
          <w:rFonts w:ascii="Times New Roman" w:hAnsi="Times New Roman" w:cs="Times New Roman"/>
        </w:rPr>
        <w:t>“lawyers</w:t>
      </w:r>
      <w:r w:rsidR="00055D21" w:rsidRPr="0089051B">
        <w:rPr>
          <w:rFonts w:ascii="Times New Roman" w:hAnsi="Times New Roman" w:cs="Times New Roman"/>
        </w:rPr>
        <w:t>’</w:t>
      </w:r>
      <w:r w:rsidR="00A85E71" w:rsidRPr="0089051B">
        <w:rPr>
          <w:rFonts w:ascii="Times New Roman" w:hAnsi="Times New Roman" w:cs="Times New Roman"/>
        </w:rPr>
        <w:t xml:space="preserve"> law”</w:t>
      </w:r>
      <w:r w:rsidR="00CB683C" w:rsidRPr="0089051B">
        <w:rPr>
          <w:rFonts w:ascii="Times New Roman" w:hAnsi="Times New Roman" w:cs="Times New Roman"/>
        </w:rPr>
        <w:t xml:space="preserve"> such as rules of procedure or the provision of remedies</w:t>
      </w:r>
      <w:r w:rsidRPr="0089051B">
        <w:rPr>
          <w:rFonts w:ascii="Times New Roman" w:hAnsi="Times New Roman" w:cs="Times New Roman"/>
        </w:rPr>
        <w:t>:</w:t>
      </w:r>
      <w:r w:rsidR="00A85E71" w:rsidRPr="0089051B">
        <w:rPr>
          <w:rFonts w:ascii="Times New Roman" w:hAnsi="Times New Roman" w:cs="Times New Roman"/>
        </w:rPr>
        <w:t xml:space="preserve"> </w:t>
      </w:r>
      <w:r w:rsidR="00CB683C" w:rsidRPr="0089051B">
        <w:rPr>
          <w:rFonts w:ascii="Times New Roman" w:hAnsi="Times New Roman" w:cs="Times New Roman"/>
        </w:rPr>
        <w:t xml:space="preserve">it may well be true that </w:t>
      </w:r>
      <w:r w:rsidR="00055D21" w:rsidRPr="0089051B">
        <w:rPr>
          <w:rFonts w:ascii="Times New Roman" w:hAnsi="Times New Roman" w:cs="Times New Roman"/>
        </w:rPr>
        <w:t xml:space="preserve">neither </w:t>
      </w:r>
      <w:r w:rsidRPr="0089051B">
        <w:rPr>
          <w:rFonts w:ascii="Times New Roman" w:hAnsi="Times New Roman" w:cs="Times New Roman"/>
        </w:rPr>
        <w:t xml:space="preserve">the applicable </w:t>
      </w:r>
      <w:r w:rsidR="00055D21" w:rsidRPr="0089051B">
        <w:rPr>
          <w:rFonts w:ascii="Times New Roman" w:hAnsi="Times New Roman" w:cs="Times New Roman"/>
        </w:rPr>
        <w:t xml:space="preserve">Union </w:t>
      </w:r>
      <w:r w:rsidRPr="0089051B">
        <w:rPr>
          <w:rFonts w:ascii="Times New Roman" w:hAnsi="Times New Roman" w:cs="Times New Roman"/>
        </w:rPr>
        <w:t xml:space="preserve">measure </w:t>
      </w:r>
      <w:r w:rsidR="00055D21" w:rsidRPr="0089051B">
        <w:rPr>
          <w:rFonts w:ascii="Times New Roman" w:hAnsi="Times New Roman" w:cs="Times New Roman"/>
        </w:rPr>
        <w:t xml:space="preserve">nor </w:t>
      </w:r>
      <w:r w:rsidRPr="0089051B">
        <w:rPr>
          <w:rFonts w:ascii="Times New Roman" w:hAnsi="Times New Roman" w:cs="Times New Roman"/>
        </w:rPr>
        <w:t xml:space="preserve">the underlying national legal framework </w:t>
      </w:r>
      <w:r w:rsidR="00CB683C" w:rsidRPr="0089051B">
        <w:rPr>
          <w:rFonts w:ascii="Times New Roman" w:hAnsi="Times New Roman" w:cs="Times New Roman"/>
        </w:rPr>
        <w:t xml:space="preserve">provide a </w:t>
      </w:r>
      <w:r w:rsidR="00E01C5E" w:rsidRPr="0089051B">
        <w:rPr>
          <w:rFonts w:ascii="Times New Roman" w:hAnsi="Times New Roman" w:cs="Times New Roman"/>
        </w:rPr>
        <w:t xml:space="preserve">clear reference point </w:t>
      </w:r>
      <w:r w:rsidRPr="0089051B">
        <w:rPr>
          <w:rFonts w:ascii="Times New Roman" w:hAnsi="Times New Roman" w:cs="Times New Roman"/>
        </w:rPr>
        <w:t xml:space="preserve">capable of </w:t>
      </w:r>
      <w:r w:rsidR="00CB683C" w:rsidRPr="0089051B">
        <w:rPr>
          <w:rFonts w:ascii="Times New Roman" w:hAnsi="Times New Roman" w:cs="Times New Roman"/>
        </w:rPr>
        <w:t xml:space="preserve">directly </w:t>
      </w:r>
      <w:r w:rsidRPr="0089051B">
        <w:rPr>
          <w:rFonts w:ascii="Times New Roman" w:hAnsi="Times New Roman" w:cs="Times New Roman"/>
        </w:rPr>
        <w:t xml:space="preserve">serving in lieu of the defective domestic rules which are due to be </w:t>
      </w:r>
      <w:proofErr w:type="spellStart"/>
      <w:r w:rsidRPr="0089051B">
        <w:rPr>
          <w:rFonts w:ascii="Times New Roman" w:hAnsi="Times New Roman" w:cs="Times New Roman"/>
        </w:rPr>
        <w:t>disapplied</w:t>
      </w:r>
      <w:proofErr w:type="spellEnd"/>
      <w:r w:rsidRPr="0089051B">
        <w:rPr>
          <w:rFonts w:ascii="Times New Roman" w:hAnsi="Times New Roman" w:cs="Times New Roman"/>
        </w:rPr>
        <w:t xml:space="preserve">; </w:t>
      </w:r>
      <w:r w:rsidR="00CB683C" w:rsidRPr="0089051B">
        <w:rPr>
          <w:rFonts w:ascii="Times New Roman" w:hAnsi="Times New Roman" w:cs="Times New Roman"/>
        </w:rPr>
        <w:t>yet</w:t>
      </w:r>
      <w:r w:rsidR="00E01C5E" w:rsidRPr="0089051B">
        <w:rPr>
          <w:rFonts w:ascii="Times New Roman" w:hAnsi="Times New Roman" w:cs="Times New Roman"/>
        </w:rPr>
        <w:t xml:space="preserve"> </w:t>
      </w:r>
      <w:r w:rsidRPr="0089051B">
        <w:rPr>
          <w:rFonts w:ascii="Times New Roman" w:hAnsi="Times New Roman" w:cs="Times New Roman"/>
        </w:rPr>
        <w:t xml:space="preserve">the </w:t>
      </w:r>
      <w:r w:rsidR="00E01C5E" w:rsidRPr="0089051B">
        <w:rPr>
          <w:rFonts w:ascii="Times New Roman" w:hAnsi="Times New Roman" w:cs="Times New Roman"/>
        </w:rPr>
        <w:t xml:space="preserve">subject matter </w:t>
      </w:r>
      <w:r w:rsidRPr="0089051B">
        <w:rPr>
          <w:rFonts w:ascii="Times New Roman" w:hAnsi="Times New Roman" w:cs="Times New Roman"/>
        </w:rPr>
        <w:t xml:space="preserve">of the dispute </w:t>
      </w:r>
      <w:r w:rsidR="00E01C5E" w:rsidRPr="0089051B">
        <w:rPr>
          <w:rFonts w:ascii="Times New Roman" w:hAnsi="Times New Roman" w:cs="Times New Roman"/>
        </w:rPr>
        <w:t xml:space="preserve">is </w:t>
      </w:r>
      <w:r w:rsidR="00CB683C" w:rsidRPr="0089051B">
        <w:rPr>
          <w:rFonts w:ascii="Times New Roman" w:hAnsi="Times New Roman" w:cs="Times New Roman"/>
        </w:rPr>
        <w:t xml:space="preserve">nevertheless </w:t>
      </w:r>
      <w:r w:rsidR="00E01C5E" w:rsidRPr="0089051B">
        <w:rPr>
          <w:rFonts w:ascii="Times New Roman" w:hAnsi="Times New Roman" w:cs="Times New Roman"/>
        </w:rPr>
        <w:t xml:space="preserve">sufficiently </w:t>
      </w:r>
      <w:r w:rsidRPr="0089051B">
        <w:rPr>
          <w:rFonts w:ascii="Times New Roman" w:hAnsi="Times New Roman" w:cs="Times New Roman"/>
        </w:rPr>
        <w:t>“</w:t>
      </w:r>
      <w:r w:rsidR="00E01C5E" w:rsidRPr="0089051B">
        <w:rPr>
          <w:rFonts w:ascii="Times New Roman" w:hAnsi="Times New Roman" w:cs="Times New Roman"/>
        </w:rPr>
        <w:t xml:space="preserve">judicial” </w:t>
      </w:r>
      <w:r w:rsidRPr="0089051B">
        <w:rPr>
          <w:rFonts w:ascii="Times New Roman" w:hAnsi="Times New Roman" w:cs="Times New Roman"/>
        </w:rPr>
        <w:t xml:space="preserve">– in the sense of falling </w:t>
      </w:r>
      <w:r w:rsidR="00CB683C" w:rsidRPr="0089051B">
        <w:rPr>
          <w:rFonts w:ascii="Times New Roman" w:hAnsi="Times New Roman" w:cs="Times New Roman"/>
        </w:rPr>
        <w:t xml:space="preserve">comfortably </w:t>
      </w:r>
      <w:r w:rsidR="00533E9F" w:rsidRPr="0089051B">
        <w:rPr>
          <w:rFonts w:ascii="Times New Roman" w:hAnsi="Times New Roman" w:cs="Times New Roman"/>
        </w:rPr>
        <w:t xml:space="preserve">within </w:t>
      </w:r>
      <w:r w:rsidRPr="0089051B">
        <w:rPr>
          <w:rFonts w:ascii="Times New Roman" w:hAnsi="Times New Roman" w:cs="Times New Roman"/>
        </w:rPr>
        <w:t xml:space="preserve">the </w:t>
      </w:r>
      <w:r w:rsidR="00CB683C" w:rsidRPr="0089051B">
        <w:rPr>
          <w:rFonts w:ascii="Times New Roman" w:hAnsi="Times New Roman" w:cs="Times New Roman"/>
        </w:rPr>
        <w:t xml:space="preserve">training, competence and experience of expert legal practitioners – that the </w:t>
      </w:r>
      <w:r w:rsidR="00A85E71" w:rsidRPr="0089051B">
        <w:rPr>
          <w:rFonts w:ascii="Times New Roman" w:hAnsi="Times New Roman" w:cs="Times New Roman"/>
        </w:rPr>
        <w:t xml:space="preserve">national court can </w:t>
      </w:r>
      <w:r w:rsidR="00CB683C" w:rsidRPr="0089051B">
        <w:rPr>
          <w:rFonts w:ascii="Times New Roman" w:hAnsi="Times New Roman" w:cs="Times New Roman"/>
        </w:rPr>
        <w:t xml:space="preserve">still be expected to </w:t>
      </w:r>
      <w:r w:rsidR="00A85E71" w:rsidRPr="0089051B">
        <w:rPr>
          <w:rFonts w:ascii="Times New Roman" w:hAnsi="Times New Roman" w:cs="Times New Roman"/>
        </w:rPr>
        <w:t xml:space="preserve">rescue </w:t>
      </w:r>
      <w:r w:rsidR="00CB683C" w:rsidRPr="0089051B">
        <w:rPr>
          <w:rFonts w:ascii="Times New Roman" w:hAnsi="Times New Roman" w:cs="Times New Roman"/>
        </w:rPr>
        <w:t xml:space="preserve">the </w:t>
      </w:r>
      <w:r w:rsidR="00A85E71" w:rsidRPr="0089051B">
        <w:rPr>
          <w:rFonts w:ascii="Times New Roman" w:hAnsi="Times New Roman" w:cs="Times New Roman"/>
        </w:rPr>
        <w:t xml:space="preserve">situation by </w:t>
      </w:r>
      <w:r w:rsidR="00CB683C" w:rsidRPr="0089051B">
        <w:rPr>
          <w:rFonts w:ascii="Times New Roman" w:hAnsi="Times New Roman" w:cs="Times New Roman"/>
        </w:rPr>
        <w:t xml:space="preserve">crafting suitable substitute </w:t>
      </w:r>
      <w:r w:rsidR="00A85E71" w:rsidRPr="0089051B">
        <w:rPr>
          <w:rFonts w:ascii="Times New Roman" w:hAnsi="Times New Roman" w:cs="Times New Roman"/>
        </w:rPr>
        <w:t>provisions</w:t>
      </w:r>
      <w:r w:rsidRPr="0089051B">
        <w:rPr>
          <w:rFonts w:ascii="Times New Roman" w:hAnsi="Times New Roman" w:cs="Times New Roman"/>
        </w:rPr>
        <w:t xml:space="preserve"> </w:t>
      </w:r>
      <w:r w:rsidR="00CB683C" w:rsidRPr="0089051B">
        <w:rPr>
          <w:rFonts w:ascii="Times New Roman" w:hAnsi="Times New Roman" w:cs="Times New Roman"/>
        </w:rPr>
        <w:t xml:space="preserve">(at least </w:t>
      </w:r>
      <w:r w:rsidRPr="0089051B">
        <w:rPr>
          <w:rFonts w:ascii="Times New Roman" w:hAnsi="Times New Roman" w:cs="Times New Roman"/>
        </w:rPr>
        <w:t xml:space="preserve">pending </w:t>
      </w:r>
      <w:r w:rsidR="00CB683C" w:rsidRPr="0089051B">
        <w:rPr>
          <w:rFonts w:ascii="Times New Roman" w:hAnsi="Times New Roman" w:cs="Times New Roman"/>
        </w:rPr>
        <w:t xml:space="preserve">alternative </w:t>
      </w:r>
      <w:r w:rsidRPr="0089051B">
        <w:rPr>
          <w:rFonts w:ascii="Times New Roman" w:hAnsi="Times New Roman" w:cs="Times New Roman"/>
        </w:rPr>
        <w:t xml:space="preserve">legislative </w:t>
      </w:r>
      <w:r w:rsidR="00CB683C" w:rsidRPr="0089051B">
        <w:rPr>
          <w:rFonts w:ascii="Times New Roman" w:hAnsi="Times New Roman" w:cs="Times New Roman"/>
        </w:rPr>
        <w:t xml:space="preserve">choices that also restore full </w:t>
      </w:r>
      <w:r w:rsidRPr="0089051B">
        <w:rPr>
          <w:rFonts w:ascii="Times New Roman" w:hAnsi="Times New Roman" w:cs="Times New Roman"/>
        </w:rPr>
        <w:t>compliance</w:t>
      </w:r>
      <w:r w:rsidR="00CB683C" w:rsidRPr="0089051B">
        <w:rPr>
          <w:rFonts w:ascii="Times New Roman" w:hAnsi="Times New Roman" w:cs="Times New Roman"/>
        </w:rPr>
        <w:t>).</w:t>
      </w:r>
      <w:r w:rsidR="00771865" w:rsidRPr="0089051B">
        <w:rPr>
          <w:rFonts w:ascii="Times New Roman" w:hAnsi="Times New Roman" w:cs="Times New Roman"/>
        </w:rPr>
        <w:t xml:space="preserve">  </w:t>
      </w:r>
      <w:r w:rsidR="00F80A3B" w:rsidRPr="0089051B">
        <w:rPr>
          <w:rFonts w:ascii="Times New Roman" w:hAnsi="Times New Roman" w:cs="Times New Roman"/>
        </w:rPr>
        <w:t xml:space="preserve">Consider the ruling in </w:t>
      </w:r>
      <w:proofErr w:type="spellStart"/>
      <w:r w:rsidR="00771865" w:rsidRPr="0089051B">
        <w:rPr>
          <w:rFonts w:ascii="Times New Roman" w:hAnsi="Times New Roman" w:cs="Times New Roman"/>
          <w:i/>
        </w:rPr>
        <w:t>Kolev</w:t>
      </w:r>
      <w:proofErr w:type="spellEnd"/>
      <w:r w:rsidR="00F80A3B" w:rsidRPr="0089051B">
        <w:rPr>
          <w:rFonts w:ascii="Times New Roman" w:hAnsi="Times New Roman" w:cs="Times New Roman"/>
        </w:rPr>
        <w:t xml:space="preserve">: having found that various provisions of Bulgarian law were capable of impeding the effective enforcement of Union customs legislation in cases involving serious fraud and illegality, the Court discussed the various </w:t>
      </w:r>
      <w:r w:rsidR="00BC3226" w:rsidRPr="0089051B">
        <w:rPr>
          <w:rFonts w:ascii="Times New Roman" w:hAnsi="Times New Roman" w:cs="Times New Roman"/>
        </w:rPr>
        <w:t xml:space="preserve">procedural </w:t>
      </w:r>
      <w:r w:rsidR="00F80A3B" w:rsidRPr="0089051B">
        <w:rPr>
          <w:rFonts w:ascii="Times New Roman" w:hAnsi="Times New Roman" w:cs="Times New Roman"/>
        </w:rPr>
        <w:t xml:space="preserve">means the national court </w:t>
      </w:r>
      <w:r w:rsidR="00BC3226" w:rsidRPr="0089051B">
        <w:rPr>
          <w:rFonts w:ascii="Times New Roman" w:hAnsi="Times New Roman" w:cs="Times New Roman"/>
        </w:rPr>
        <w:t>could and should employ to ensure that – notwithstanding disapplication of the incompatible Bulgarian rules – the relevant prosecutions could still proceed appropriately (having due regard also to the rights of the defence)</w:t>
      </w:r>
      <w:r w:rsidR="00771865" w:rsidRPr="0089051B">
        <w:rPr>
          <w:rFonts w:ascii="Times New Roman" w:hAnsi="Times New Roman" w:cs="Times New Roman"/>
        </w:rPr>
        <w:t>.</w:t>
      </w:r>
      <w:r w:rsidR="00CB683C" w:rsidRPr="0089051B">
        <w:rPr>
          <w:rStyle w:val="FootnoteReference"/>
          <w:rFonts w:ascii="Times New Roman" w:hAnsi="Times New Roman" w:cs="Times New Roman"/>
        </w:rPr>
        <w:footnoteReference w:id="89"/>
      </w:r>
      <w:r w:rsidR="00CB683C" w:rsidRPr="0089051B">
        <w:rPr>
          <w:rFonts w:ascii="Times New Roman" w:hAnsi="Times New Roman" w:cs="Times New Roman"/>
        </w:rPr>
        <w:t xml:space="preserve"> </w:t>
      </w:r>
    </w:p>
    <w:p w14:paraId="54445E0D" w14:textId="77777777" w:rsidR="006E5E55" w:rsidRPr="0089051B" w:rsidRDefault="00CB683C" w:rsidP="006E5E55">
      <w:pPr>
        <w:ind w:firstLine="720"/>
        <w:jc w:val="both"/>
        <w:rPr>
          <w:rFonts w:ascii="Times New Roman" w:hAnsi="Times New Roman" w:cs="Times New Roman"/>
        </w:rPr>
      </w:pPr>
      <w:r w:rsidRPr="0089051B">
        <w:rPr>
          <w:rFonts w:ascii="Times New Roman" w:hAnsi="Times New Roman" w:cs="Times New Roman"/>
        </w:rPr>
        <w:t xml:space="preserve">However, that still leaves a </w:t>
      </w:r>
      <w:r w:rsidR="00D82B48" w:rsidRPr="0089051B">
        <w:rPr>
          <w:rFonts w:ascii="Times New Roman" w:hAnsi="Times New Roman" w:cs="Times New Roman"/>
        </w:rPr>
        <w:t xml:space="preserve">number of </w:t>
      </w:r>
      <w:r w:rsidR="008F4FC8" w:rsidRPr="0089051B">
        <w:rPr>
          <w:rFonts w:ascii="Times New Roman" w:hAnsi="Times New Roman" w:cs="Times New Roman"/>
        </w:rPr>
        <w:t>situations</w:t>
      </w:r>
      <w:r w:rsidRPr="0089051B">
        <w:rPr>
          <w:rFonts w:ascii="Times New Roman" w:hAnsi="Times New Roman" w:cs="Times New Roman"/>
        </w:rPr>
        <w:t xml:space="preserve"> in which the risk</w:t>
      </w:r>
      <w:r w:rsidR="008F4FC8" w:rsidRPr="0089051B">
        <w:rPr>
          <w:rFonts w:ascii="Times New Roman" w:hAnsi="Times New Roman" w:cs="Times New Roman"/>
        </w:rPr>
        <w:t xml:space="preserve"> </w:t>
      </w:r>
      <w:r w:rsidRPr="0089051B">
        <w:rPr>
          <w:rFonts w:ascii="Times New Roman" w:hAnsi="Times New Roman" w:cs="Times New Roman"/>
        </w:rPr>
        <w:t xml:space="preserve">of </w:t>
      </w:r>
      <w:r w:rsidR="00210AC0" w:rsidRPr="0089051B">
        <w:rPr>
          <w:rFonts w:ascii="Times New Roman" w:hAnsi="Times New Roman" w:cs="Times New Roman"/>
        </w:rPr>
        <w:t>a damaging legal vacuum</w:t>
      </w:r>
      <w:r w:rsidR="008F4FC8" w:rsidRPr="0089051B">
        <w:rPr>
          <w:rFonts w:ascii="Times New Roman" w:hAnsi="Times New Roman" w:cs="Times New Roman"/>
        </w:rPr>
        <w:t xml:space="preserve"> </w:t>
      </w:r>
      <w:r w:rsidR="00721E08" w:rsidRPr="0089051B">
        <w:rPr>
          <w:rFonts w:ascii="Times New Roman" w:hAnsi="Times New Roman" w:cs="Times New Roman"/>
        </w:rPr>
        <w:t xml:space="preserve">does </w:t>
      </w:r>
      <w:r w:rsidRPr="0089051B">
        <w:rPr>
          <w:rFonts w:ascii="Times New Roman" w:hAnsi="Times New Roman" w:cs="Times New Roman"/>
        </w:rPr>
        <w:t xml:space="preserve">indeed </w:t>
      </w:r>
      <w:r w:rsidR="00721E08" w:rsidRPr="0089051B">
        <w:rPr>
          <w:rFonts w:ascii="Times New Roman" w:hAnsi="Times New Roman" w:cs="Times New Roman"/>
        </w:rPr>
        <w:t xml:space="preserve">appear </w:t>
      </w:r>
      <w:r w:rsidRPr="0089051B">
        <w:rPr>
          <w:rFonts w:ascii="Times New Roman" w:hAnsi="Times New Roman" w:cs="Times New Roman"/>
        </w:rPr>
        <w:t xml:space="preserve">to be of more pressing and genuine concern.  That is particularly true </w:t>
      </w:r>
      <w:r w:rsidR="00535EF2" w:rsidRPr="0089051B">
        <w:rPr>
          <w:rFonts w:ascii="Times New Roman" w:hAnsi="Times New Roman" w:cs="Times New Roman"/>
        </w:rPr>
        <w:t>where</w:t>
      </w:r>
      <w:r w:rsidRPr="0089051B">
        <w:rPr>
          <w:rFonts w:ascii="Times New Roman" w:hAnsi="Times New Roman" w:cs="Times New Roman"/>
        </w:rPr>
        <w:t xml:space="preserve"> </w:t>
      </w:r>
      <w:r w:rsidR="00A85E71" w:rsidRPr="0089051B">
        <w:rPr>
          <w:rFonts w:ascii="Times New Roman" w:hAnsi="Times New Roman" w:cs="Times New Roman"/>
        </w:rPr>
        <w:t xml:space="preserve">Union law provides </w:t>
      </w:r>
      <w:r w:rsidRPr="0089051B">
        <w:rPr>
          <w:rFonts w:ascii="Times New Roman" w:hAnsi="Times New Roman" w:cs="Times New Roman"/>
        </w:rPr>
        <w:t xml:space="preserve">a relatively focused and limited </w:t>
      </w:r>
      <w:r w:rsidR="00A85E71" w:rsidRPr="0089051B">
        <w:rPr>
          <w:rFonts w:ascii="Times New Roman" w:hAnsi="Times New Roman" w:cs="Times New Roman"/>
        </w:rPr>
        <w:t xml:space="preserve">standard of judicial review </w:t>
      </w:r>
      <w:r w:rsidRPr="0089051B">
        <w:rPr>
          <w:rFonts w:ascii="Times New Roman" w:hAnsi="Times New Roman" w:cs="Times New Roman"/>
        </w:rPr>
        <w:t xml:space="preserve">in respect of the exercise of </w:t>
      </w:r>
      <w:r w:rsidR="00D82B48" w:rsidRPr="0089051B">
        <w:rPr>
          <w:rFonts w:ascii="Times New Roman" w:hAnsi="Times New Roman" w:cs="Times New Roman"/>
        </w:rPr>
        <w:t xml:space="preserve">discretionary </w:t>
      </w:r>
      <w:r w:rsidR="00A85E71" w:rsidRPr="0089051B">
        <w:rPr>
          <w:rFonts w:ascii="Times New Roman" w:hAnsi="Times New Roman" w:cs="Times New Roman"/>
        </w:rPr>
        <w:t>national competence</w:t>
      </w:r>
      <w:r w:rsidRPr="0089051B">
        <w:rPr>
          <w:rFonts w:ascii="Times New Roman" w:hAnsi="Times New Roman" w:cs="Times New Roman"/>
        </w:rPr>
        <w:t>s</w:t>
      </w:r>
      <w:r w:rsidR="00D82B48" w:rsidRPr="0089051B">
        <w:rPr>
          <w:rFonts w:ascii="Times New Roman" w:hAnsi="Times New Roman" w:cs="Times New Roman"/>
        </w:rPr>
        <w:t>.  Such Union provisions may well be s</w:t>
      </w:r>
      <w:r w:rsidR="00A31CFC" w:rsidRPr="0089051B">
        <w:rPr>
          <w:rFonts w:ascii="Times New Roman" w:hAnsi="Times New Roman" w:cs="Times New Roman"/>
        </w:rPr>
        <w:t>ufficiently clear</w:t>
      </w:r>
      <w:r w:rsidR="00D82B48" w:rsidRPr="0089051B">
        <w:rPr>
          <w:rFonts w:ascii="Times New Roman" w:hAnsi="Times New Roman" w:cs="Times New Roman"/>
        </w:rPr>
        <w:t xml:space="preserve">, </w:t>
      </w:r>
      <w:r w:rsidR="00A31CFC" w:rsidRPr="0089051B">
        <w:rPr>
          <w:rFonts w:ascii="Times New Roman" w:hAnsi="Times New Roman" w:cs="Times New Roman"/>
        </w:rPr>
        <w:t xml:space="preserve">precise </w:t>
      </w:r>
      <w:r w:rsidR="00D82B48" w:rsidRPr="0089051B">
        <w:rPr>
          <w:rFonts w:ascii="Times New Roman" w:hAnsi="Times New Roman" w:cs="Times New Roman"/>
        </w:rPr>
        <w:t xml:space="preserve">and unconditional as to produce </w:t>
      </w:r>
      <w:r w:rsidR="00A31CFC" w:rsidRPr="0089051B">
        <w:rPr>
          <w:rFonts w:ascii="Times New Roman" w:hAnsi="Times New Roman" w:cs="Times New Roman"/>
        </w:rPr>
        <w:t xml:space="preserve">direct effect </w:t>
      </w:r>
      <w:r w:rsidR="00D82B48" w:rsidRPr="0089051B">
        <w:rPr>
          <w:rFonts w:ascii="Times New Roman" w:hAnsi="Times New Roman" w:cs="Times New Roman"/>
        </w:rPr>
        <w:t xml:space="preserve">and thence </w:t>
      </w:r>
      <w:r w:rsidR="00210AC0" w:rsidRPr="0089051B">
        <w:rPr>
          <w:rFonts w:ascii="Times New Roman" w:hAnsi="Times New Roman" w:cs="Times New Roman"/>
        </w:rPr>
        <w:t xml:space="preserve">attract </w:t>
      </w:r>
      <w:r w:rsidR="00D82B48" w:rsidRPr="0089051B">
        <w:rPr>
          <w:rFonts w:ascii="Times New Roman" w:hAnsi="Times New Roman" w:cs="Times New Roman"/>
        </w:rPr>
        <w:t xml:space="preserve">the principle of primacy </w:t>
      </w:r>
      <w:r w:rsidR="00A31CFC" w:rsidRPr="0089051B">
        <w:rPr>
          <w:rFonts w:ascii="Times New Roman" w:hAnsi="Times New Roman" w:cs="Times New Roman"/>
        </w:rPr>
        <w:t xml:space="preserve">– but </w:t>
      </w:r>
      <w:r w:rsidR="00D82B48" w:rsidRPr="0089051B">
        <w:rPr>
          <w:rFonts w:ascii="Times New Roman" w:hAnsi="Times New Roman" w:cs="Times New Roman"/>
        </w:rPr>
        <w:t xml:space="preserve">Union law is merely ruling out certain domestic choices about how to regulate in the public interest; it does not purport to </w:t>
      </w:r>
      <w:r w:rsidR="00A31CFC" w:rsidRPr="0089051B">
        <w:rPr>
          <w:rFonts w:ascii="Times New Roman" w:hAnsi="Times New Roman" w:cs="Times New Roman"/>
        </w:rPr>
        <w:t xml:space="preserve">provide any </w:t>
      </w:r>
      <w:r w:rsidR="00D82B48" w:rsidRPr="0089051B">
        <w:rPr>
          <w:rFonts w:ascii="Times New Roman" w:hAnsi="Times New Roman" w:cs="Times New Roman"/>
        </w:rPr>
        <w:t xml:space="preserve">alternative </w:t>
      </w:r>
      <w:proofErr w:type="gramStart"/>
      <w:r w:rsidR="00D82B48" w:rsidRPr="0089051B">
        <w:rPr>
          <w:rFonts w:ascii="Times New Roman" w:hAnsi="Times New Roman" w:cs="Times New Roman"/>
        </w:rPr>
        <w:t>free-standing</w:t>
      </w:r>
      <w:proofErr w:type="gramEnd"/>
      <w:r w:rsidR="00D82B48" w:rsidRPr="0089051B">
        <w:rPr>
          <w:rFonts w:ascii="Times New Roman" w:hAnsi="Times New Roman" w:cs="Times New Roman"/>
        </w:rPr>
        <w:t xml:space="preserve"> regulatory regime </w:t>
      </w:r>
      <w:r w:rsidR="00A31CFC" w:rsidRPr="0089051B">
        <w:rPr>
          <w:rFonts w:ascii="Times New Roman" w:hAnsi="Times New Roman" w:cs="Times New Roman"/>
        </w:rPr>
        <w:t xml:space="preserve">to replace </w:t>
      </w:r>
      <w:r w:rsidR="00D82B48" w:rsidRPr="0089051B">
        <w:rPr>
          <w:rFonts w:ascii="Times New Roman" w:hAnsi="Times New Roman" w:cs="Times New Roman"/>
        </w:rPr>
        <w:t xml:space="preserve">the </w:t>
      </w:r>
      <w:r w:rsidR="00A31CFC" w:rsidRPr="0089051B">
        <w:rPr>
          <w:rFonts w:ascii="Times New Roman" w:hAnsi="Times New Roman" w:cs="Times New Roman"/>
        </w:rPr>
        <w:t xml:space="preserve">incompatible national </w:t>
      </w:r>
      <w:r w:rsidR="00D82B48" w:rsidRPr="0089051B">
        <w:rPr>
          <w:rFonts w:ascii="Times New Roman" w:hAnsi="Times New Roman" w:cs="Times New Roman"/>
        </w:rPr>
        <w:t xml:space="preserve">rules.  </w:t>
      </w:r>
      <w:r w:rsidR="00055D21" w:rsidRPr="0089051B">
        <w:rPr>
          <w:rFonts w:ascii="Times New Roman" w:hAnsi="Times New Roman" w:cs="Times New Roman"/>
        </w:rPr>
        <w:t>E</w:t>
      </w:r>
      <w:r w:rsidR="00475360" w:rsidRPr="0089051B">
        <w:rPr>
          <w:rFonts w:ascii="Times New Roman" w:hAnsi="Times New Roman" w:cs="Times New Roman"/>
        </w:rPr>
        <w:t xml:space="preserve">ven if </w:t>
      </w:r>
      <w:r w:rsidR="00D82B48" w:rsidRPr="0089051B">
        <w:rPr>
          <w:rFonts w:ascii="Times New Roman" w:hAnsi="Times New Roman" w:cs="Times New Roman"/>
        </w:rPr>
        <w:t xml:space="preserve">the Member State’s </w:t>
      </w:r>
      <w:r w:rsidR="00475360" w:rsidRPr="0089051B">
        <w:rPr>
          <w:rFonts w:ascii="Times New Roman" w:hAnsi="Times New Roman" w:cs="Times New Roman"/>
        </w:rPr>
        <w:t xml:space="preserve">current choice </w:t>
      </w:r>
      <w:r w:rsidR="00D82B48" w:rsidRPr="0089051B">
        <w:rPr>
          <w:rFonts w:ascii="Times New Roman" w:hAnsi="Times New Roman" w:cs="Times New Roman"/>
        </w:rPr>
        <w:t>has been found wanting</w:t>
      </w:r>
      <w:r w:rsidR="00475360" w:rsidRPr="0089051B">
        <w:rPr>
          <w:rFonts w:ascii="Times New Roman" w:hAnsi="Times New Roman" w:cs="Times New Roman"/>
        </w:rPr>
        <w:t xml:space="preserve">, </w:t>
      </w:r>
      <w:r w:rsidR="00D82B48" w:rsidRPr="0089051B">
        <w:rPr>
          <w:rFonts w:ascii="Times New Roman" w:hAnsi="Times New Roman" w:cs="Times New Roman"/>
        </w:rPr>
        <w:t xml:space="preserve">that might say little about the legitimate desire or indeed pressing need for some form of </w:t>
      </w:r>
      <w:r w:rsidR="00210AC0" w:rsidRPr="0089051B">
        <w:rPr>
          <w:rFonts w:ascii="Times New Roman" w:hAnsi="Times New Roman" w:cs="Times New Roman"/>
        </w:rPr>
        <w:t xml:space="preserve">legislative regime </w:t>
      </w:r>
      <w:r w:rsidR="00D82B48" w:rsidRPr="0089051B">
        <w:rPr>
          <w:rFonts w:ascii="Times New Roman" w:hAnsi="Times New Roman" w:cs="Times New Roman"/>
        </w:rPr>
        <w:t>in order to protect the public interest</w:t>
      </w:r>
      <w:r w:rsidR="00210AC0" w:rsidRPr="0089051B">
        <w:rPr>
          <w:rFonts w:ascii="Times New Roman" w:hAnsi="Times New Roman" w:cs="Times New Roman"/>
        </w:rPr>
        <w:t xml:space="preserve">, and might leave open to the competent authorities </w:t>
      </w:r>
      <w:r w:rsidR="00D82B48" w:rsidRPr="0089051B">
        <w:rPr>
          <w:rFonts w:ascii="Times New Roman" w:hAnsi="Times New Roman" w:cs="Times New Roman"/>
        </w:rPr>
        <w:t>a wide range of other options</w:t>
      </w:r>
      <w:r w:rsidR="00210AC0" w:rsidRPr="0089051B">
        <w:rPr>
          <w:rFonts w:ascii="Times New Roman" w:hAnsi="Times New Roman" w:cs="Times New Roman"/>
        </w:rPr>
        <w:t xml:space="preserve"> concerning the appropriate standard or form of regulation, any one of which would prove</w:t>
      </w:r>
      <w:r w:rsidR="00D82B48" w:rsidRPr="0089051B">
        <w:rPr>
          <w:rFonts w:ascii="Times New Roman" w:hAnsi="Times New Roman" w:cs="Times New Roman"/>
        </w:rPr>
        <w:t xml:space="preserve"> </w:t>
      </w:r>
      <w:r w:rsidR="00210AC0" w:rsidRPr="0089051B">
        <w:rPr>
          <w:rFonts w:ascii="Times New Roman" w:hAnsi="Times New Roman" w:cs="Times New Roman"/>
        </w:rPr>
        <w:t>capable of serving the relevant desire / need</w:t>
      </w:r>
      <w:r w:rsidR="00D87DF0" w:rsidRPr="0089051B">
        <w:rPr>
          <w:rFonts w:ascii="Times New Roman" w:hAnsi="Times New Roman" w:cs="Times New Roman"/>
        </w:rPr>
        <w:t>,</w:t>
      </w:r>
      <w:r w:rsidR="00210AC0" w:rsidRPr="0089051B">
        <w:rPr>
          <w:rFonts w:ascii="Times New Roman" w:hAnsi="Times New Roman" w:cs="Times New Roman"/>
        </w:rPr>
        <w:t xml:space="preserve"> in full </w:t>
      </w:r>
      <w:r w:rsidR="00210AC0" w:rsidRPr="0089051B">
        <w:rPr>
          <w:rFonts w:ascii="Times New Roman" w:hAnsi="Times New Roman" w:cs="Times New Roman"/>
        </w:rPr>
        <w:lastRenderedPageBreak/>
        <w:t>conformity with Union la</w:t>
      </w:r>
      <w:r w:rsidR="00D87DF0" w:rsidRPr="0089051B">
        <w:rPr>
          <w:rFonts w:ascii="Times New Roman" w:hAnsi="Times New Roman" w:cs="Times New Roman"/>
        </w:rPr>
        <w:t>w, for the future.</w:t>
      </w:r>
      <w:r w:rsidR="00210AC0" w:rsidRPr="0089051B">
        <w:rPr>
          <w:rStyle w:val="FootnoteReference"/>
          <w:rFonts w:ascii="Times New Roman" w:hAnsi="Times New Roman" w:cs="Times New Roman"/>
        </w:rPr>
        <w:footnoteReference w:id="90"/>
      </w:r>
      <w:r w:rsidR="00210AC0" w:rsidRPr="0089051B">
        <w:rPr>
          <w:rFonts w:ascii="Times New Roman" w:hAnsi="Times New Roman" w:cs="Times New Roman"/>
        </w:rPr>
        <w:t xml:space="preserve"> </w:t>
      </w:r>
      <w:r w:rsidR="00D87DF0" w:rsidRPr="0089051B">
        <w:rPr>
          <w:rFonts w:ascii="Times New Roman" w:hAnsi="Times New Roman" w:cs="Times New Roman"/>
        </w:rPr>
        <w:t xml:space="preserve"> </w:t>
      </w:r>
      <w:r w:rsidR="00DE5ABA" w:rsidRPr="0089051B">
        <w:rPr>
          <w:rFonts w:ascii="Times New Roman" w:hAnsi="Times New Roman" w:cs="Times New Roman"/>
        </w:rPr>
        <w:t xml:space="preserve">But in </w:t>
      </w:r>
      <w:r w:rsidR="00D87DF0" w:rsidRPr="0089051B">
        <w:rPr>
          <w:rFonts w:ascii="Times New Roman" w:hAnsi="Times New Roman" w:cs="Times New Roman"/>
        </w:rPr>
        <w:t xml:space="preserve">the </w:t>
      </w:r>
      <w:r w:rsidR="00DE5ABA" w:rsidRPr="0089051B">
        <w:rPr>
          <w:rFonts w:ascii="Times New Roman" w:hAnsi="Times New Roman" w:cs="Times New Roman"/>
        </w:rPr>
        <w:t xml:space="preserve">meantime: </w:t>
      </w:r>
      <w:r w:rsidR="00D87DF0" w:rsidRPr="0089051B">
        <w:rPr>
          <w:rFonts w:ascii="Times New Roman" w:hAnsi="Times New Roman" w:cs="Times New Roman"/>
        </w:rPr>
        <w:t xml:space="preserve">it is perfectly arguable that </w:t>
      </w:r>
      <w:r w:rsidR="0060041D" w:rsidRPr="0089051B">
        <w:rPr>
          <w:rFonts w:ascii="Times New Roman" w:hAnsi="Times New Roman" w:cs="Times New Roman"/>
        </w:rPr>
        <w:t xml:space="preserve">simple </w:t>
      </w:r>
      <w:r w:rsidR="00A85E71" w:rsidRPr="0089051B">
        <w:rPr>
          <w:rFonts w:ascii="Times New Roman" w:hAnsi="Times New Roman" w:cs="Times New Roman"/>
        </w:rPr>
        <w:t xml:space="preserve">disapplication </w:t>
      </w:r>
      <w:r w:rsidR="0060041D" w:rsidRPr="0089051B">
        <w:rPr>
          <w:rFonts w:ascii="Times New Roman" w:hAnsi="Times New Roman" w:cs="Times New Roman"/>
        </w:rPr>
        <w:t xml:space="preserve">of the existing national rules, </w:t>
      </w:r>
      <w:r w:rsidR="00A85E71" w:rsidRPr="0089051B">
        <w:rPr>
          <w:rFonts w:ascii="Times New Roman" w:hAnsi="Times New Roman" w:cs="Times New Roman"/>
        </w:rPr>
        <w:t xml:space="preserve">without </w:t>
      </w:r>
      <w:r w:rsidR="0060041D" w:rsidRPr="0089051B">
        <w:rPr>
          <w:rFonts w:ascii="Times New Roman" w:hAnsi="Times New Roman" w:cs="Times New Roman"/>
        </w:rPr>
        <w:t xml:space="preserve">any default or </w:t>
      </w:r>
      <w:r w:rsidR="00A85E71" w:rsidRPr="0089051B">
        <w:rPr>
          <w:rFonts w:ascii="Times New Roman" w:hAnsi="Times New Roman" w:cs="Times New Roman"/>
        </w:rPr>
        <w:t>replacement regime</w:t>
      </w:r>
      <w:r w:rsidR="0060041D" w:rsidRPr="0089051B">
        <w:rPr>
          <w:rFonts w:ascii="Times New Roman" w:hAnsi="Times New Roman" w:cs="Times New Roman"/>
        </w:rPr>
        <w:t xml:space="preserve"> based on Union or national law,</w:t>
      </w:r>
      <w:r w:rsidR="00A85E71" w:rsidRPr="0089051B">
        <w:rPr>
          <w:rFonts w:ascii="Times New Roman" w:hAnsi="Times New Roman" w:cs="Times New Roman"/>
        </w:rPr>
        <w:t xml:space="preserve"> could </w:t>
      </w:r>
      <w:r w:rsidR="0060041D" w:rsidRPr="0089051B">
        <w:rPr>
          <w:rFonts w:ascii="Times New Roman" w:hAnsi="Times New Roman" w:cs="Times New Roman"/>
        </w:rPr>
        <w:t xml:space="preserve">indeed </w:t>
      </w:r>
      <w:r w:rsidR="00A85E71" w:rsidRPr="0089051B">
        <w:rPr>
          <w:rFonts w:ascii="Times New Roman" w:hAnsi="Times New Roman" w:cs="Times New Roman"/>
        </w:rPr>
        <w:t xml:space="preserve">lead to </w:t>
      </w:r>
      <w:r w:rsidR="0060041D" w:rsidRPr="0089051B">
        <w:rPr>
          <w:rFonts w:ascii="Times New Roman" w:hAnsi="Times New Roman" w:cs="Times New Roman"/>
        </w:rPr>
        <w:t xml:space="preserve">a </w:t>
      </w:r>
      <w:r w:rsidR="00A85E71" w:rsidRPr="0089051B">
        <w:rPr>
          <w:rFonts w:ascii="Times New Roman" w:hAnsi="Times New Roman" w:cs="Times New Roman"/>
        </w:rPr>
        <w:t>legal vacuum</w:t>
      </w:r>
      <w:r w:rsidR="0060041D" w:rsidRPr="0089051B">
        <w:rPr>
          <w:rFonts w:ascii="Times New Roman" w:hAnsi="Times New Roman" w:cs="Times New Roman"/>
        </w:rPr>
        <w:t xml:space="preserve"> capable of endangering the relevant public interests.  </w:t>
      </w:r>
      <w:r w:rsidR="00A85E71" w:rsidRPr="0089051B">
        <w:rPr>
          <w:rFonts w:ascii="Times New Roman" w:hAnsi="Times New Roman" w:cs="Times New Roman"/>
        </w:rPr>
        <w:t xml:space="preserve"> </w:t>
      </w:r>
    </w:p>
    <w:p w14:paraId="249EEF4E" w14:textId="25025356" w:rsidR="006E5E55" w:rsidRPr="0089051B" w:rsidRDefault="0060041D" w:rsidP="006E5E55">
      <w:pPr>
        <w:ind w:firstLine="720"/>
        <w:jc w:val="both"/>
        <w:rPr>
          <w:rFonts w:ascii="Times New Roman" w:hAnsi="Times New Roman" w:cs="Times New Roman"/>
        </w:rPr>
      </w:pPr>
      <w:r w:rsidRPr="0089051B">
        <w:rPr>
          <w:rFonts w:ascii="Times New Roman" w:hAnsi="Times New Roman" w:cs="Times New Roman"/>
        </w:rPr>
        <w:t xml:space="preserve">Consider, for example, </w:t>
      </w:r>
      <w:r w:rsidR="000474FD" w:rsidRPr="0089051B">
        <w:rPr>
          <w:rFonts w:ascii="Times New Roman" w:hAnsi="Times New Roman" w:cs="Times New Roman"/>
        </w:rPr>
        <w:t xml:space="preserve">the operation of the </w:t>
      </w:r>
      <w:r w:rsidR="007B0E8D" w:rsidRPr="0089051B">
        <w:rPr>
          <w:rFonts w:ascii="Times New Roman" w:hAnsi="Times New Roman" w:cs="Times New Roman"/>
        </w:rPr>
        <w:t>free movement rules</w:t>
      </w:r>
      <w:r w:rsidR="000474FD" w:rsidRPr="0089051B">
        <w:rPr>
          <w:rFonts w:ascii="Times New Roman" w:hAnsi="Times New Roman" w:cs="Times New Roman"/>
        </w:rPr>
        <w:t xml:space="preserve"> (whether for goods, services or capital).  Once a national rule meets the relatively broad definition of a prima facie barrier to cross-border trade, the burden falls upon the Member State to justify its current regulatory choice.  But few national rules are found incompatible with the Treaties on the grounds that they simply fail in principle to serve any legitimate public interest such as human health, public safety, consumer or environmental protection</w:t>
      </w:r>
      <w:r w:rsidR="00D7062B" w:rsidRPr="0089051B">
        <w:rPr>
          <w:rFonts w:ascii="Times New Roman" w:hAnsi="Times New Roman" w:cs="Times New Roman"/>
        </w:rPr>
        <w:t>.  Most f</w:t>
      </w:r>
      <w:r w:rsidR="000474FD" w:rsidRPr="0089051B">
        <w:rPr>
          <w:rFonts w:ascii="Times New Roman" w:hAnsi="Times New Roman" w:cs="Times New Roman"/>
        </w:rPr>
        <w:t xml:space="preserve">ree movement challenges ultimately focus on more detailed questions about proportionality and (increasingly) the need to find an appropriate accommodation for </w:t>
      </w:r>
      <w:r w:rsidR="00706CE5" w:rsidRPr="0089051B">
        <w:rPr>
          <w:rFonts w:ascii="Times New Roman" w:hAnsi="Times New Roman" w:cs="Times New Roman"/>
        </w:rPr>
        <w:t xml:space="preserve">/ between competing </w:t>
      </w:r>
      <w:r w:rsidR="000474FD" w:rsidRPr="0089051B">
        <w:rPr>
          <w:rFonts w:ascii="Times New Roman" w:hAnsi="Times New Roman" w:cs="Times New Roman"/>
        </w:rPr>
        <w:t>fundamental rights</w:t>
      </w:r>
      <w:r w:rsidR="00D7062B" w:rsidRPr="0089051B">
        <w:rPr>
          <w:rFonts w:ascii="Times New Roman" w:hAnsi="Times New Roman" w:cs="Times New Roman"/>
        </w:rPr>
        <w:t xml:space="preserve"> – and within that context, many </w:t>
      </w:r>
      <w:r w:rsidR="000474FD" w:rsidRPr="0089051B">
        <w:rPr>
          <w:rFonts w:ascii="Times New Roman" w:hAnsi="Times New Roman" w:cs="Times New Roman"/>
        </w:rPr>
        <w:t xml:space="preserve">national rules will be found wanting on </w:t>
      </w:r>
      <w:r w:rsidR="00D7062B" w:rsidRPr="0089051B">
        <w:rPr>
          <w:rFonts w:ascii="Times New Roman" w:hAnsi="Times New Roman" w:cs="Times New Roman"/>
        </w:rPr>
        <w:t xml:space="preserve">relatively </w:t>
      </w:r>
      <w:r w:rsidR="000474FD" w:rsidRPr="0089051B">
        <w:rPr>
          <w:rFonts w:ascii="Times New Roman" w:hAnsi="Times New Roman" w:cs="Times New Roman"/>
        </w:rPr>
        <w:t xml:space="preserve">limited grounds: for example, by not including all relevant market actors within their scope; by failing to make their criteria </w:t>
      </w:r>
      <w:r w:rsidR="00F23B5C" w:rsidRPr="0089051B">
        <w:rPr>
          <w:rFonts w:ascii="Times New Roman" w:hAnsi="Times New Roman" w:cs="Times New Roman"/>
        </w:rPr>
        <w:t>sufficiently</w:t>
      </w:r>
      <w:r w:rsidR="000474FD" w:rsidRPr="0089051B">
        <w:rPr>
          <w:rFonts w:ascii="Times New Roman" w:hAnsi="Times New Roman" w:cs="Times New Roman"/>
        </w:rPr>
        <w:t xml:space="preserve"> objective and transparent; </w:t>
      </w:r>
      <w:r w:rsidR="00F23B5C" w:rsidRPr="0089051B">
        <w:rPr>
          <w:rFonts w:ascii="Times New Roman" w:hAnsi="Times New Roman" w:cs="Times New Roman"/>
        </w:rPr>
        <w:t xml:space="preserve">by lacking a sufficiently developed scientific or other evidential basis; </w:t>
      </w:r>
      <w:r w:rsidR="000474FD" w:rsidRPr="0089051B">
        <w:rPr>
          <w:rFonts w:ascii="Times New Roman" w:hAnsi="Times New Roman" w:cs="Times New Roman"/>
        </w:rPr>
        <w:t xml:space="preserve">or by omitting to include an appropriate transitional regime to allow private operators to adjust to </w:t>
      </w:r>
      <w:r w:rsidR="001A0F7C" w:rsidRPr="0089051B">
        <w:rPr>
          <w:rFonts w:ascii="Times New Roman" w:hAnsi="Times New Roman" w:cs="Times New Roman"/>
        </w:rPr>
        <w:t xml:space="preserve">the </w:t>
      </w:r>
      <w:r w:rsidR="000474FD" w:rsidRPr="0089051B">
        <w:rPr>
          <w:rFonts w:ascii="Times New Roman" w:hAnsi="Times New Roman" w:cs="Times New Roman"/>
        </w:rPr>
        <w:t>new regulatory standards.</w:t>
      </w:r>
      <w:r w:rsidR="00CC652F" w:rsidRPr="0089051B">
        <w:rPr>
          <w:rStyle w:val="FootnoteReference"/>
          <w:rFonts w:ascii="Times New Roman" w:hAnsi="Times New Roman" w:cs="Times New Roman"/>
        </w:rPr>
        <w:footnoteReference w:id="91"/>
      </w:r>
      <w:r w:rsidR="000474FD" w:rsidRPr="0089051B">
        <w:rPr>
          <w:rFonts w:ascii="Times New Roman" w:hAnsi="Times New Roman" w:cs="Times New Roman"/>
        </w:rPr>
        <w:t xml:space="preserve">  In other words: incompatibility with the free movement rules certainly does not signal that the market should be entirely deregulated; indeed, the Member State’s current legislative choices might even be brought into full compliance with Union law through relatively technical or marginal adjustments.</w:t>
      </w:r>
      <w:r w:rsidR="004B7732" w:rsidRPr="0089051B">
        <w:rPr>
          <w:rStyle w:val="FootnoteReference"/>
          <w:rFonts w:ascii="Times New Roman" w:hAnsi="Times New Roman" w:cs="Times New Roman"/>
        </w:rPr>
        <w:footnoteReference w:id="92"/>
      </w:r>
      <w:r w:rsidR="000474FD" w:rsidRPr="0089051B">
        <w:rPr>
          <w:rFonts w:ascii="Times New Roman" w:hAnsi="Times New Roman" w:cs="Times New Roman"/>
        </w:rPr>
        <w:t xml:space="preserve"> </w:t>
      </w:r>
      <w:r w:rsidR="00D617C6" w:rsidRPr="0089051B">
        <w:rPr>
          <w:rFonts w:ascii="Times New Roman" w:hAnsi="Times New Roman" w:cs="Times New Roman"/>
        </w:rPr>
        <w:t xml:space="preserve"> </w:t>
      </w:r>
      <w:r w:rsidR="000474FD" w:rsidRPr="0089051B">
        <w:rPr>
          <w:rFonts w:ascii="Times New Roman" w:hAnsi="Times New Roman" w:cs="Times New Roman"/>
        </w:rPr>
        <w:t xml:space="preserve">But the orthodox position remains: unless and until the Member State adopts the necessary measures, </w:t>
      </w:r>
      <w:r w:rsidR="001A0F7C" w:rsidRPr="0089051B">
        <w:rPr>
          <w:rFonts w:ascii="Times New Roman" w:hAnsi="Times New Roman" w:cs="Times New Roman"/>
        </w:rPr>
        <w:t xml:space="preserve">national executive and judicial actors are required to </w:t>
      </w:r>
      <w:proofErr w:type="spellStart"/>
      <w:r w:rsidR="001A0F7C" w:rsidRPr="0089051B">
        <w:rPr>
          <w:rFonts w:ascii="Times New Roman" w:hAnsi="Times New Roman" w:cs="Times New Roman"/>
        </w:rPr>
        <w:t>disapply</w:t>
      </w:r>
      <w:proofErr w:type="spellEnd"/>
      <w:r w:rsidR="001A0F7C" w:rsidRPr="0089051B">
        <w:rPr>
          <w:rFonts w:ascii="Times New Roman" w:hAnsi="Times New Roman" w:cs="Times New Roman"/>
        </w:rPr>
        <w:t xml:space="preserve"> domestic rules found to be in breach of the directly effective free movement provisions.</w:t>
      </w:r>
      <w:r w:rsidR="00CC652F" w:rsidRPr="0089051B">
        <w:rPr>
          <w:rStyle w:val="FootnoteReference"/>
          <w:rFonts w:ascii="Times New Roman" w:hAnsi="Times New Roman" w:cs="Times New Roman"/>
        </w:rPr>
        <w:footnoteReference w:id="93"/>
      </w:r>
      <w:r w:rsidR="001A0F7C" w:rsidRPr="0089051B">
        <w:rPr>
          <w:rFonts w:ascii="Times New Roman" w:hAnsi="Times New Roman" w:cs="Times New Roman"/>
        </w:rPr>
        <w:t xml:space="preserve">  But what if that means an interim period when the national legal system would lack any (or at least any adequate) protection for the relevant public interests?</w:t>
      </w:r>
    </w:p>
    <w:p w14:paraId="20AB0F28" w14:textId="737CA23B" w:rsidR="001152DA" w:rsidRPr="0089051B" w:rsidRDefault="001152DA" w:rsidP="006E5E55">
      <w:pPr>
        <w:ind w:firstLine="720"/>
        <w:jc w:val="both"/>
        <w:rPr>
          <w:rFonts w:ascii="Times New Roman" w:hAnsi="Times New Roman" w:cs="Times New Roman"/>
        </w:rPr>
      </w:pPr>
      <w:r w:rsidRPr="0089051B">
        <w:rPr>
          <w:rFonts w:ascii="Times New Roman" w:hAnsi="Times New Roman" w:cs="Times New Roman"/>
        </w:rPr>
        <w:t xml:space="preserve">Another category of situation in which there seems to be a more substantial risk, that the prospective disapplication of incompatible national rules might lead to a damaging legal vacuum, concerns Union obligations which are primarily of a procedural (rather than substantive) nature.  Myriad Union measures require the Member States to comply with certain processes of </w:t>
      </w:r>
      <w:r w:rsidR="00921D5D" w:rsidRPr="0089051B">
        <w:rPr>
          <w:rFonts w:ascii="Times New Roman" w:hAnsi="Times New Roman" w:cs="Times New Roman"/>
        </w:rPr>
        <w:t xml:space="preserve">review, </w:t>
      </w:r>
      <w:r w:rsidRPr="0089051B">
        <w:rPr>
          <w:rFonts w:ascii="Times New Roman" w:hAnsi="Times New Roman" w:cs="Times New Roman"/>
        </w:rPr>
        <w:t xml:space="preserve">notification, consultation or discussion before proceeding </w:t>
      </w:r>
      <w:r w:rsidR="00921D5D" w:rsidRPr="0089051B">
        <w:rPr>
          <w:rFonts w:ascii="Times New Roman" w:hAnsi="Times New Roman" w:cs="Times New Roman"/>
        </w:rPr>
        <w:t xml:space="preserve">with </w:t>
      </w:r>
      <w:r w:rsidRPr="0089051B">
        <w:rPr>
          <w:rFonts w:ascii="Times New Roman" w:hAnsi="Times New Roman" w:cs="Times New Roman"/>
        </w:rPr>
        <w:t xml:space="preserve">the definitive adoption of a legal act.  True: many </w:t>
      </w:r>
      <w:r w:rsidR="008613BF" w:rsidRPr="0089051B">
        <w:rPr>
          <w:rFonts w:ascii="Times New Roman" w:hAnsi="Times New Roman" w:cs="Times New Roman"/>
        </w:rPr>
        <w:t>such</w:t>
      </w:r>
      <w:r w:rsidRPr="0089051B">
        <w:rPr>
          <w:rFonts w:ascii="Times New Roman" w:hAnsi="Times New Roman" w:cs="Times New Roman"/>
        </w:rPr>
        <w:t xml:space="preserve"> procedural obligations are treated by the Court</w:t>
      </w:r>
      <w:r w:rsidR="008B613D" w:rsidRPr="0089051B">
        <w:rPr>
          <w:rFonts w:ascii="Times New Roman" w:hAnsi="Times New Roman" w:cs="Times New Roman"/>
        </w:rPr>
        <w:t xml:space="preserve"> </w:t>
      </w:r>
      <w:r w:rsidRPr="0089051B">
        <w:rPr>
          <w:rFonts w:ascii="Times New Roman" w:hAnsi="Times New Roman" w:cs="Times New Roman"/>
        </w:rPr>
        <w:t xml:space="preserve">as essentially inter-institutional in nature, </w:t>
      </w:r>
      <w:r w:rsidR="00CC652F" w:rsidRPr="0089051B">
        <w:rPr>
          <w:rFonts w:ascii="Times New Roman" w:hAnsi="Times New Roman" w:cs="Times New Roman"/>
        </w:rPr>
        <w:t xml:space="preserve">thus rendered </w:t>
      </w:r>
      <w:r w:rsidRPr="0089051B">
        <w:rPr>
          <w:rFonts w:ascii="Times New Roman" w:hAnsi="Times New Roman" w:cs="Times New Roman"/>
        </w:rPr>
        <w:t xml:space="preserve">incapable of producing direct effect within the </w:t>
      </w:r>
      <w:r w:rsidR="00CC652F" w:rsidRPr="0089051B">
        <w:rPr>
          <w:rFonts w:ascii="Times New Roman" w:hAnsi="Times New Roman" w:cs="Times New Roman"/>
        </w:rPr>
        <w:t>national legal systems, and therefore of leading to the disapplication of any non-compliant domestic act.</w:t>
      </w:r>
      <w:r w:rsidR="00CC652F" w:rsidRPr="0089051B">
        <w:rPr>
          <w:rStyle w:val="FootnoteReference"/>
          <w:rFonts w:ascii="Times New Roman" w:hAnsi="Times New Roman" w:cs="Times New Roman"/>
        </w:rPr>
        <w:footnoteReference w:id="94"/>
      </w:r>
      <w:r w:rsidR="00CC652F" w:rsidRPr="0089051B">
        <w:rPr>
          <w:rFonts w:ascii="Times New Roman" w:hAnsi="Times New Roman" w:cs="Times New Roman"/>
        </w:rPr>
        <w:t xml:space="preserve">  However, the Court does insist that other procedural obligations are capable of full enforcement before the national courts – of which the </w:t>
      </w:r>
      <w:r w:rsidR="00CC652F" w:rsidRPr="0089051B">
        <w:rPr>
          <w:rFonts w:ascii="Times New Roman" w:hAnsi="Times New Roman" w:cs="Times New Roman"/>
        </w:rPr>
        <w:lastRenderedPageBreak/>
        <w:t>best known is probably (what is now) Directive 2015/1535 laying down the requirement for Member States</w:t>
      </w:r>
      <w:r w:rsidRPr="0089051B">
        <w:rPr>
          <w:rFonts w:ascii="Times New Roman" w:hAnsi="Times New Roman" w:cs="Times New Roman"/>
        </w:rPr>
        <w:t xml:space="preserve"> to notify to the Commission, then hold in abeyance, draft technical regulations.</w:t>
      </w:r>
      <w:r w:rsidRPr="0089051B">
        <w:rPr>
          <w:rStyle w:val="FootnoteReference"/>
          <w:rFonts w:ascii="Times New Roman" w:hAnsi="Times New Roman" w:cs="Times New Roman"/>
        </w:rPr>
        <w:footnoteReference w:id="95"/>
      </w:r>
      <w:r w:rsidR="00CC652F" w:rsidRPr="0089051B">
        <w:rPr>
          <w:rFonts w:ascii="Times New Roman" w:hAnsi="Times New Roman" w:cs="Times New Roman"/>
        </w:rPr>
        <w:t xml:space="preserve">  The Court insists that breach of either the initial duty to notify, or the subsequent standstill obligation, constitutes a substantial procedural </w:t>
      </w:r>
      <w:proofErr w:type="gramStart"/>
      <w:r w:rsidR="00CC652F" w:rsidRPr="0089051B">
        <w:rPr>
          <w:rFonts w:ascii="Times New Roman" w:hAnsi="Times New Roman" w:cs="Times New Roman"/>
        </w:rPr>
        <w:t xml:space="preserve">defect </w:t>
      </w:r>
      <w:r w:rsidR="008B613D" w:rsidRPr="0089051B">
        <w:rPr>
          <w:rFonts w:ascii="Times New Roman" w:hAnsi="Times New Roman" w:cs="Times New Roman"/>
        </w:rPr>
        <w:t>which</w:t>
      </w:r>
      <w:proofErr w:type="gramEnd"/>
      <w:r w:rsidR="00CC652F" w:rsidRPr="0089051B">
        <w:rPr>
          <w:rFonts w:ascii="Times New Roman" w:hAnsi="Times New Roman" w:cs="Times New Roman"/>
        </w:rPr>
        <w:t xml:space="preserve"> requires the national courts to </w:t>
      </w:r>
      <w:proofErr w:type="spellStart"/>
      <w:r w:rsidR="00CC652F" w:rsidRPr="0089051B">
        <w:rPr>
          <w:rFonts w:ascii="Times New Roman" w:hAnsi="Times New Roman" w:cs="Times New Roman"/>
        </w:rPr>
        <w:t>disapply</w:t>
      </w:r>
      <w:proofErr w:type="spellEnd"/>
      <w:r w:rsidR="00CC652F" w:rsidRPr="0089051B">
        <w:rPr>
          <w:rFonts w:ascii="Times New Roman" w:hAnsi="Times New Roman" w:cs="Times New Roman"/>
        </w:rPr>
        <w:t xml:space="preserve"> the relevant national measure.</w:t>
      </w:r>
      <w:r w:rsidR="00CC652F" w:rsidRPr="0089051B">
        <w:rPr>
          <w:rStyle w:val="FootnoteReference"/>
          <w:rFonts w:ascii="Times New Roman" w:hAnsi="Times New Roman" w:cs="Times New Roman"/>
        </w:rPr>
        <w:footnoteReference w:id="96"/>
      </w:r>
      <w:r w:rsidR="00CC652F" w:rsidRPr="0089051B">
        <w:rPr>
          <w:rFonts w:ascii="Times New Roman" w:hAnsi="Times New Roman" w:cs="Times New Roman"/>
        </w:rPr>
        <w:t xml:space="preserve">  Directive 2015/1535 </w:t>
      </w:r>
      <w:r w:rsidR="00706CE5" w:rsidRPr="0089051B">
        <w:rPr>
          <w:rFonts w:ascii="Times New Roman" w:hAnsi="Times New Roman" w:cs="Times New Roman"/>
        </w:rPr>
        <w:t xml:space="preserve">itself </w:t>
      </w:r>
      <w:r w:rsidR="00CC652F" w:rsidRPr="0089051B">
        <w:rPr>
          <w:rFonts w:ascii="Times New Roman" w:hAnsi="Times New Roman" w:cs="Times New Roman"/>
        </w:rPr>
        <w:t xml:space="preserve">does offer a limited </w:t>
      </w:r>
      <w:r w:rsidR="0040198B" w:rsidRPr="0089051B">
        <w:rPr>
          <w:rFonts w:ascii="Times New Roman" w:hAnsi="Times New Roman" w:cs="Times New Roman"/>
        </w:rPr>
        <w:t>cushion against the risk that non-compliance and therefore disapplication might ultimately endanger the public interest: it contains an “urgency” exception from the duty to hold in abeyance (</w:t>
      </w:r>
      <w:r w:rsidR="007B3E99" w:rsidRPr="0089051B">
        <w:rPr>
          <w:rFonts w:ascii="Times New Roman" w:hAnsi="Times New Roman" w:cs="Times New Roman"/>
        </w:rPr>
        <w:t xml:space="preserve">though </w:t>
      </w:r>
      <w:r w:rsidR="0040198B" w:rsidRPr="0089051B">
        <w:rPr>
          <w:rFonts w:ascii="Times New Roman" w:hAnsi="Times New Roman" w:cs="Times New Roman"/>
        </w:rPr>
        <w:t xml:space="preserve">not the initial duty to notify); </w:t>
      </w:r>
      <w:r w:rsidR="007B3E99" w:rsidRPr="0089051B">
        <w:rPr>
          <w:rFonts w:ascii="Times New Roman" w:hAnsi="Times New Roman" w:cs="Times New Roman"/>
        </w:rPr>
        <w:t xml:space="preserve">but </w:t>
      </w:r>
      <w:r w:rsidR="00706CE5" w:rsidRPr="0089051B">
        <w:rPr>
          <w:rFonts w:ascii="Times New Roman" w:hAnsi="Times New Roman" w:cs="Times New Roman"/>
        </w:rPr>
        <w:t>restricted</w:t>
      </w:r>
      <w:r w:rsidR="0040198B" w:rsidRPr="0089051B">
        <w:rPr>
          <w:rFonts w:ascii="Times New Roman" w:hAnsi="Times New Roman" w:cs="Times New Roman"/>
        </w:rPr>
        <w:t xml:space="preserve"> to specific policy objectives (excluding more general grounds such as consumer or environmental protection); and based only on “serious and unforeseeable circumstances” (or “serious circumstances” in the case of financial services).</w:t>
      </w:r>
      <w:r w:rsidR="0040198B" w:rsidRPr="0089051B">
        <w:rPr>
          <w:rStyle w:val="FootnoteReference"/>
          <w:rFonts w:ascii="Times New Roman" w:hAnsi="Times New Roman" w:cs="Times New Roman"/>
        </w:rPr>
        <w:footnoteReference w:id="97"/>
      </w:r>
      <w:r w:rsidR="0040198B" w:rsidRPr="0089051B">
        <w:rPr>
          <w:rFonts w:ascii="Times New Roman" w:hAnsi="Times New Roman" w:cs="Times New Roman"/>
        </w:rPr>
        <w:t xml:space="preserve">  </w:t>
      </w:r>
      <w:r w:rsidR="007B3E99" w:rsidRPr="0089051B">
        <w:rPr>
          <w:rFonts w:ascii="Times New Roman" w:hAnsi="Times New Roman" w:cs="Times New Roman"/>
        </w:rPr>
        <w:t>T</w:t>
      </w:r>
      <w:r w:rsidR="0040198B" w:rsidRPr="0089051B">
        <w:rPr>
          <w:rFonts w:ascii="Times New Roman" w:hAnsi="Times New Roman" w:cs="Times New Roman"/>
        </w:rPr>
        <w:t xml:space="preserve">hat </w:t>
      </w:r>
      <w:r w:rsidR="007B3E99" w:rsidRPr="0089051B">
        <w:rPr>
          <w:rFonts w:ascii="Times New Roman" w:hAnsi="Times New Roman" w:cs="Times New Roman"/>
        </w:rPr>
        <w:t xml:space="preserve">all </w:t>
      </w:r>
      <w:r w:rsidR="0040198B" w:rsidRPr="0089051B">
        <w:rPr>
          <w:rFonts w:ascii="Times New Roman" w:hAnsi="Times New Roman" w:cs="Times New Roman"/>
        </w:rPr>
        <w:t xml:space="preserve">leaves plenty of scope for the Member State </w:t>
      </w:r>
      <w:r w:rsidR="007B3E99" w:rsidRPr="0089051B">
        <w:rPr>
          <w:rFonts w:ascii="Times New Roman" w:hAnsi="Times New Roman" w:cs="Times New Roman"/>
        </w:rPr>
        <w:t xml:space="preserve">still </w:t>
      </w:r>
      <w:r w:rsidR="0040198B" w:rsidRPr="0089051B">
        <w:rPr>
          <w:rFonts w:ascii="Times New Roman" w:hAnsi="Times New Roman" w:cs="Times New Roman"/>
        </w:rPr>
        <w:t xml:space="preserve">to commit a substantial procedural defect </w:t>
      </w:r>
      <w:r w:rsidR="0062753C" w:rsidRPr="0089051B">
        <w:rPr>
          <w:rFonts w:ascii="Times New Roman" w:hAnsi="Times New Roman" w:cs="Times New Roman"/>
        </w:rPr>
        <w:t xml:space="preserve">which – by itself and without any further investigation of the objectives, merits or proportionality of the defective national regulations – will lead to the latter’s disapplication and </w:t>
      </w:r>
      <w:r w:rsidR="008B613D" w:rsidRPr="0089051B">
        <w:rPr>
          <w:rFonts w:ascii="Times New Roman" w:hAnsi="Times New Roman" w:cs="Times New Roman"/>
        </w:rPr>
        <w:t xml:space="preserve">thus </w:t>
      </w:r>
      <w:r w:rsidR="0062753C" w:rsidRPr="0089051B">
        <w:rPr>
          <w:rFonts w:ascii="Times New Roman" w:hAnsi="Times New Roman" w:cs="Times New Roman"/>
        </w:rPr>
        <w:t>the potential for a legal vacuum in respect of the relevant public interests.</w:t>
      </w:r>
      <w:r w:rsidR="0062753C" w:rsidRPr="0089051B">
        <w:rPr>
          <w:rStyle w:val="FootnoteReference"/>
          <w:rFonts w:ascii="Times New Roman" w:hAnsi="Times New Roman" w:cs="Times New Roman"/>
        </w:rPr>
        <w:footnoteReference w:id="98"/>
      </w:r>
    </w:p>
    <w:p w14:paraId="41F59034" w14:textId="77777777" w:rsidR="0057784A" w:rsidRPr="0089051B" w:rsidRDefault="0057784A" w:rsidP="0061452E">
      <w:pPr>
        <w:jc w:val="both"/>
        <w:rPr>
          <w:rFonts w:ascii="Times New Roman" w:hAnsi="Times New Roman" w:cs="Times New Roman"/>
        </w:rPr>
      </w:pPr>
    </w:p>
    <w:p w14:paraId="62CE8586" w14:textId="104C9AE2" w:rsidR="0057784A" w:rsidRPr="0089051B" w:rsidRDefault="00727EDA" w:rsidP="0061452E">
      <w:pPr>
        <w:jc w:val="both"/>
        <w:rPr>
          <w:rFonts w:ascii="Times New Roman" w:hAnsi="Times New Roman" w:cs="Times New Roman"/>
          <w:i/>
        </w:rPr>
      </w:pPr>
      <w:r w:rsidRPr="0089051B">
        <w:rPr>
          <w:rFonts w:ascii="Times New Roman" w:hAnsi="Times New Roman" w:cs="Times New Roman"/>
          <w:i/>
        </w:rPr>
        <w:t xml:space="preserve">5.2. </w:t>
      </w:r>
      <w:r w:rsidRPr="0089051B">
        <w:rPr>
          <w:rFonts w:ascii="Times New Roman" w:hAnsi="Times New Roman" w:cs="Times New Roman"/>
          <w:i/>
        </w:rPr>
        <w:tab/>
      </w:r>
      <w:r w:rsidR="0057784A" w:rsidRPr="0089051B">
        <w:rPr>
          <w:rFonts w:ascii="Times New Roman" w:hAnsi="Times New Roman" w:cs="Times New Roman"/>
          <w:i/>
        </w:rPr>
        <w:t>Responding to</w:t>
      </w:r>
      <w:r w:rsidR="00D4442C" w:rsidRPr="0089051B">
        <w:rPr>
          <w:rFonts w:ascii="Times New Roman" w:hAnsi="Times New Roman" w:cs="Times New Roman"/>
          <w:i/>
        </w:rPr>
        <w:t xml:space="preserve"> the</w:t>
      </w:r>
      <w:r w:rsidR="0057784A" w:rsidRPr="0089051B">
        <w:rPr>
          <w:rFonts w:ascii="Times New Roman" w:hAnsi="Times New Roman" w:cs="Times New Roman"/>
          <w:i/>
        </w:rPr>
        <w:t xml:space="preserve"> legal vacuums problem</w:t>
      </w:r>
      <w:r w:rsidR="00D4442C" w:rsidRPr="0089051B">
        <w:rPr>
          <w:rFonts w:ascii="Times New Roman" w:hAnsi="Times New Roman" w:cs="Times New Roman"/>
          <w:i/>
        </w:rPr>
        <w:t xml:space="preserve"> as a matter of </w:t>
      </w:r>
      <w:r w:rsidR="00304C2A" w:rsidRPr="0089051B">
        <w:rPr>
          <w:rFonts w:ascii="Times New Roman" w:hAnsi="Times New Roman" w:cs="Times New Roman"/>
          <w:i/>
        </w:rPr>
        <w:t>principle</w:t>
      </w:r>
    </w:p>
    <w:p w14:paraId="27E54511" w14:textId="77777777" w:rsidR="0057784A" w:rsidRPr="0089051B" w:rsidRDefault="0057784A" w:rsidP="0061452E">
      <w:pPr>
        <w:jc w:val="both"/>
        <w:rPr>
          <w:rFonts w:ascii="Times New Roman" w:hAnsi="Times New Roman" w:cs="Times New Roman"/>
        </w:rPr>
      </w:pPr>
    </w:p>
    <w:p w14:paraId="09E65DF5" w14:textId="77777777" w:rsidR="006E5E55" w:rsidRPr="0089051B" w:rsidRDefault="00D4442C" w:rsidP="0061452E">
      <w:pPr>
        <w:jc w:val="both"/>
        <w:rPr>
          <w:rFonts w:ascii="Times New Roman" w:hAnsi="Times New Roman" w:cs="Times New Roman"/>
        </w:rPr>
      </w:pPr>
      <w:r w:rsidRPr="0089051B">
        <w:rPr>
          <w:rFonts w:ascii="Times New Roman" w:hAnsi="Times New Roman" w:cs="Times New Roman"/>
        </w:rPr>
        <w:t xml:space="preserve">In principle, there are two main </w:t>
      </w:r>
      <w:r w:rsidR="0057784A" w:rsidRPr="0089051B">
        <w:rPr>
          <w:rFonts w:ascii="Times New Roman" w:hAnsi="Times New Roman" w:cs="Times New Roman"/>
        </w:rPr>
        <w:t>competing responses</w:t>
      </w:r>
      <w:r w:rsidRPr="0089051B">
        <w:rPr>
          <w:rFonts w:ascii="Times New Roman" w:hAnsi="Times New Roman" w:cs="Times New Roman"/>
        </w:rPr>
        <w:t xml:space="preserve"> to the problem of legal </w:t>
      </w:r>
      <w:proofErr w:type="gramStart"/>
      <w:r w:rsidRPr="0089051B">
        <w:rPr>
          <w:rFonts w:ascii="Times New Roman" w:hAnsi="Times New Roman" w:cs="Times New Roman"/>
        </w:rPr>
        <w:t>vacuums which</w:t>
      </w:r>
      <w:proofErr w:type="gramEnd"/>
      <w:r w:rsidRPr="0089051B">
        <w:rPr>
          <w:rFonts w:ascii="Times New Roman" w:hAnsi="Times New Roman" w:cs="Times New Roman"/>
        </w:rPr>
        <w:t xml:space="preserve"> might arise (in particular circumstances) from the disapplication of national rules found to be incompatible with legally binding and enforceable provisions of Union law.  </w:t>
      </w:r>
    </w:p>
    <w:p w14:paraId="1A68760A" w14:textId="75A1F4D0" w:rsidR="006E5E55" w:rsidRPr="0089051B" w:rsidRDefault="00D4442C" w:rsidP="006E5E55">
      <w:pPr>
        <w:ind w:firstLine="720"/>
        <w:jc w:val="both"/>
        <w:rPr>
          <w:rFonts w:ascii="Times New Roman" w:hAnsi="Times New Roman" w:cs="Times New Roman"/>
        </w:rPr>
      </w:pPr>
      <w:r w:rsidRPr="0089051B">
        <w:rPr>
          <w:rFonts w:ascii="Times New Roman" w:hAnsi="Times New Roman" w:cs="Times New Roman"/>
        </w:rPr>
        <w:t xml:space="preserve">In the first place, one could argue that priority should be given to upholding </w:t>
      </w:r>
      <w:r w:rsidR="00897DC7" w:rsidRPr="0089051B">
        <w:rPr>
          <w:rFonts w:ascii="Times New Roman" w:hAnsi="Times New Roman" w:cs="Times New Roman"/>
        </w:rPr>
        <w:t xml:space="preserve">national </w:t>
      </w:r>
      <w:r w:rsidR="00721E08" w:rsidRPr="0089051B">
        <w:rPr>
          <w:rFonts w:ascii="Times New Roman" w:hAnsi="Times New Roman" w:cs="Times New Roman"/>
        </w:rPr>
        <w:t>regulation</w:t>
      </w:r>
      <w:r w:rsidR="00897DC7" w:rsidRPr="0089051B">
        <w:rPr>
          <w:rFonts w:ascii="Times New Roman" w:hAnsi="Times New Roman" w:cs="Times New Roman"/>
        </w:rPr>
        <w:t>s,</w:t>
      </w:r>
      <w:r w:rsidR="00721E08" w:rsidRPr="0089051B">
        <w:rPr>
          <w:rFonts w:ascii="Times New Roman" w:hAnsi="Times New Roman" w:cs="Times New Roman"/>
        </w:rPr>
        <w:t xml:space="preserve"> </w:t>
      </w:r>
      <w:r w:rsidR="00897DC7" w:rsidRPr="0089051B">
        <w:rPr>
          <w:rFonts w:ascii="Times New Roman" w:hAnsi="Times New Roman" w:cs="Times New Roman"/>
        </w:rPr>
        <w:t xml:space="preserve">even where they are flawed as a matter of substantive or procedural Union law, </w:t>
      </w:r>
      <w:r w:rsidRPr="0089051B">
        <w:rPr>
          <w:rFonts w:ascii="Times New Roman" w:hAnsi="Times New Roman" w:cs="Times New Roman"/>
        </w:rPr>
        <w:t xml:space="preserve">at least on a temporary basis until replacement legislation is adopted in full compliance with </w:t>
      </w:r>
      <w:r w:rsidR="00897DC7" w:rsidRPr="0089051B">
        <w:rPr>
          <w:rFonts w:ascii="Times New Roman" w:hAnsi="Times New Roman" w:cs="Times New Roman"/>
        </w:rPr>
        <w:t xml:space="preserve">the Treaties, where the alternative is to </w:t>
      </w:r>
      <w:r w:rsidRPr="0089051B">
        <w:rPr>
          <w:rFonts w:ascii="Times New Roman" w:hAnsi="Times New Roman" w:cs="Times New Roman"/>
        </w:rPr>
        <w:t xml:space="preserve">risk </w:t>
      </w:r>
      <w:r w:rsidR="00897DC7" w:rsidRPr="0089051B">
        <w:rPr>
          <w:rFonts w:ascii="Times New Roman" w:hAnsi="Times New Roman" w:cs="Times New Roman"/>
        </w:rPr>
        <w:t xml:space="preserve">a legal vacuum in which </w:t>
      </w:r>
      <w:r w:rsidRPr="0089051B">
        <w:rPr>
          <w:rFonts w:ascii="Times New Roman" w:hAnsi="Times New Roman" w:cs="Times New Roman"/>
        </w:rPr>
        <w:t xml:space="preserve">public or private actors </w:t>
      </w:r>
      <w:r w:rsidR="00897DC7" w:rsidRPr="0089051B">
        <w:rPr>
          <w:rFonts w:ascii="Times New Roman" w:hAnsi="Times New Roman" w:cs="Times New Roman"/>
        </w:rPr>
        <w:t xml:space="preserve">would be free </w:t>
      </w:r>
      <w:r w:rsidRPr="0089051B">
        <w:rPr>
          <w:rFonts w:ascii="Times New Roman" w:hAnsi="Times New Roman" w:cs="Times New Roman"/>
        </w:rPr>
        <w:t xml:space="preserve">to engage in conduct </w:t>
      </w:r>
      <w:r w:rsidR="00897DC7" w:rsidRPr="0089051B">
        <w:rPr>
          <w:rFonts w:ascii="Times New Roman" w:hAnsi="Times New Roman" w:cs="Times New Roman"/>
        </w:rPr>
        <w:t xml:space="preserve">which is even more damaging to the </w:t>
      </w:r>
      <w:r w:rsidR="00B33493" w:rsidRPr="0089051B">
        <w:rPr>
          <w:rFonts w:ascii="Times New Roman" w:hAnsi="Times New Roman" w:cs="Times New Roman"/>
        </w:rPr>
        <w:t>general</w:t>
      </w:r>
      <w:r w:rsidR="00897DC7" w:rsidRPr="0089051B">
        <w:rPr>
          <w:rFonts w:ascii="Times New Roman" w:hAnsi="Times New Roman" w:cs="Times New Roman"/>
        </w:rPr>
        <w:t xml:space="preserve"> interest.  After all, the Treaties themselves explicitly instruct the Union institutions to further a much wider range of values and objectives than </w:t>
      </w:r>
      <w:r w:rsidR="00B33493" w:rsidRPr="0089051B">
        <w:rPr>
          <w:rFonts w:ascii="Times New Roman" w:hAnsi="Times New Roman" w:cs="Times New Roman"/>
        </w:rPr>
        <w:t xml:space="preserve">(say) </w:t>
      </w:r>
      <w:r w:rsidR="00897DC7" w:rsidRPr="0089051B">
        <w:rPr>
          <w:rFonts w:ascii="Times New Roman" w:hAnsi="Times New Roman" w:cs="Times New Roman"/>
        </w:rPr>
        <w:t xml:space="preserve">cross-border economic integration alone: refining the full force of the principle of </w:t>
      </w:r>
      <w:r w:rsidR="00B81FD5" w:rsidRPr="0089051B">
        <w:rPr>
          <w:rFonts w:ascii="Times New Roman" w:hAnsi="Times New Roman" w:cs="Times New Roman"/>
        </w:rPr>
        <w:t>primacy</w:t>
      </w:r>
      <w:r w:rsidR="00897DC7" w:rsidRPr="0089051B">
        <w:rPr>
          <w:rFonts w:ascii="Times New Roman" w:hAnsi="Times New Roman" w:cs="Times New Roman"/>
        </w:rPr>
        <w:t>, in duly justified circumstances where prospective enforcement of the remedy of disapplication would risk inflicting more harm than it would do good, could be viewed as a legitimate legal response that reflects the full spectrum of the Union’s constitutional responsibilities.</w:t>
      </w:r>
      <w:r w:rsidR="00897DC7" w:rsidRPr="0089051B">
        <w:rPr>
          <w:rStyle w:val="FootnoteReference"/>
          <w:rFonts w:ascii="Times New Roman" w:hAnsi="Times New Roman" w:cs="Times New Roman"/>
        </w:rPr>
        <w:footnoteReference w:id="99"/>
      </w:r>
      <w:r w:rsidR="00897DC7" w:rsidRPr="0089051B">
        <w:rPr>
          <w:rFonts w:ascii="Times New Roman" w:hAnsi="Times New Roman" w:cs="Times New Roman"/>
        </w:rPr>
        <w:t xml:space="preserve"> </w:t>
      </w:r>
    </w:p>
    <w:p w14:paraId="4F0E83C8" w14:textId="43140FC8" w:rsidR="006E5E55" w:rsidRPr="0089051B" w:rsidRDefault="00861524" w:rsidP="006E5E55">
      <w:pPr>
        <w:ind w:firstLine="720"/>
        <w:jc w:val="both"/>
        <w:rPr>
          <w:rFonts w:ascii="Times New Roman" w:hAnsi="Times New Roman" w:cs="Times New Roman"/>
        </w:rPr>
      </w:pPr>
      <w:r w:rsidRPr="0089051B">
        <w:rPr>
          <w:rFonts w:ascii="Times New Roman" w:hAnsi="Times New Roman" w:cs="Times New Roman"/>
        </w:rPr>
        <w:t xml:space="preserve">Another argument in favour of recognising jurisdiction to grant incompatible national rules a temporary “stay of execution” draws upon concerns about respecting the limits of legal competence and avoiding accusations of improper judicial activism.  As we have seen, there may well be circumstances where the subject matter of a dispute is sufficiently close to the core of legal expertise that a situation of </w:t>
      </w:r>
      <w:r w:rsidR="00721E08" w:rsidRPr="0089051B">
        <w:rPr>
          <w:rFonts w:ascii="Times New Roman" w:hAnsi="Times New Roman" w:cs="Times New Roman"/>
        </w:rPr>
        <w:t>incompatibility can be “corrected”</w:t>
      </w:r>
      <w:r w:rsidRPr="0089051B">
        <w:rPr>
          <w:rFonts w:ascii="Times New Roman" w:hAnsi="Times New Roman" w:cs="Times New Roman"/>
        </w:rPr>
        <w:t>,</w:t>
      </w:r>
      <w:r w:rsidR="00721E08" w:rsidRPr="0089051B">
        <w:rPr>
          <w:rFonts w:ascii="Times New Roman" w:hAnsi="Times New Roman" w:cs="Times New Roman"/>
        </w:rPr>
        <w:t xml:space="preserve"> </w:t>
      </w:r>
      <w:r w:rsidR="0057784A" w:rsidRPr="0089051B">
        <w:rPr>
          <w:rFonts w:ascii="Times New Roman" w:hAnsi="Times New Roman" w:cs="Times New Roman"/>
        </w:rPr>
        <w:t xml:space="preserve">and </w:t>
      </w:r>
      <w:r w:rsidRPr="0089051B">
        <w:rPr>
          <w:rFonts w:ascii="Times New Roman" w:hAnsi="Times New Roman" w:cs="Times New Roman"/>
        </w:rPr>
        <w:t xml:space="preserve">a damaging </w:t>
      </w:r>
      <w:r w:rsidR="0057784A" w:rsidRPr="0089051B">
        <w:rPr>
          <w:rFonts w:ascii="Times New Roman" w:hAnsi="Times New Roman" w:cs="Times New Roman"/>
        </w:rPr>
        <w:t>legal vacuum avoided</w:t>
      </w:r>
      <w:r w:rsidRPr="0089051B">
        <w:rPr>
          <w:rFonts w:ascii="Times New Roman" w:hAnsi="Times New Roman" w:cs="Times New Roman"/>
        </w:rPr>
        <w:t>,</w:t>
      </w:r>
      <w:r w:rsidR="0057784A" w:rsidRPr="0089051B">
        <w:rPr>
          <w:rFonts w:ascii="Times New Roman" w:hAnsi="Times New Roman" w:cs="Times New Roman"/>
        </w:rPr>
        <w:t xml:space="preserve"> </w:t>
      </w:r>
      <w:r w:rsidRPr="0089051B">
        <w:rPr>
          <w:rFonts w:ascii="Times New Roman" w:hAnsi="Times New Roman" w:cs="Times New Roman"/>
        </w:rPr>
        <w:t xml:space="preserve">whether as an </w:t>
      </w:r>
      <w:r w:rsidR="00721E08" w:rsidRPr="0089051B">
        <w:rPr>
          <w:rFonts w:ascii="Times New Roman" w:hAnsi="Times New Roman" w:cs="Times New Roman"/>
        </w:rPr>
        <w:t xml:space="preserve">interim measure </w:t>
      </w:r>
      <w:r w:rsidRPr="0089051B">
        <w:rPr>
          <w:rFonts w:ascii="Times New Roman" w:hAnsi="Times New Roman" w:cs="Times New Roman"/>
        </w:rPr>
        <w:t xml:space="preserve">or even on a more permanent basis, </w:t>
      </w:r>
      <w:r w:rsidR="0057784A" w:rsidRPr="0089051B">
        <w:rPr>
          <w:rFonts w:ascii="Times New Roman" w:hAnsi="Times New Roman" w:cs="Times New Roman"/>
        </w:rPr>
        <w:t xml:space="preserve">through </w:t>
      </w:r>
      <w:r w:rsidRPr="0089051B">
        <w:rPr>
          <w:rFonts w:ascii="Times New Roman" w:hAnsi="Times New Roman" w:cs="Times New Roman"/>
        </w:rPr>
        <w:t>constructive judicial interpretation.</w:t>
      </w:r>
      <w:r w:rsidRPr="0089051B">
        <w:rPr>
          <w:rStyle w:val="FootnoteReference"/>
          <w:rFonts w:ascii="Times New Roman" w:hAnsi="Times New Roman" w:cs="Times New Roman"/>
        </w:rPr>
        <w:footnoteReference w:id="100"/>
      </w:r>
      <w:r w:rsidRPr="0089051B">
        <w:rPr>
          <w:rFonts w:ascii="Times New Roman" w:hAnsi="Times New Roman" w:cs="Times New Roman"/>
        </w:rPr>
        <w:t xml:space="preserve">  But in many other situations, the nature and degree of national </w:t>
      </w:r>
      <w:r w:rsidRPr="0089051B">
        <w:rPr>
          <w:rFonts w:ascii="Times New Roman" w:hAnsi="Times New Roman" w:cs="Times New Roman"/>
        </w:rPr>
        <w:lastRenderedPageBreak/>
        <w:t>discretion involved in protecting a legitimate public interest while acting in full compliance with the Treaties, will be sufficiently complex and far-removed from the lawyer’s proper domain, that the domestic judges will be faced with a difficult choice</w:t>
      </w:r>
      <w:r w:rsidR="00B573EA" w:rsidRPr="0089051B">
        <w:rPr>
          <w:rFonts w:ascii="Times New Roman" w:hAnsi="Times New Roman" w:cs="Times New Roman"/>
        </w:rPr>
        <w:t xml:space="preserve"> between two equally uncomfortable outcomes</w:t>
      </w:r>
      <w:r w:rsidRPr="0089051B">
        <w:rPr>
          <w:rFonts w:ascii="Times New Roman" w:hAnsi="Times New Roman" w:cs="Times New Roman"/>
        </w:rPr>
        <w:t xml:space="preserve">: enforce the standard expectation of </w:t>
      </w:r>
      <w:r w:rsidR="00B81FD5" w:rsidRPr="0089051B">
        <w:rPr>
          <w:rFonts w:ascii="Times New Roman" w:hAnsi="Times New Roman" w:cs="Times New Roman"/>
        </w:rPr>
        <w:t>primacy</w:t>
      </w:r>
      <w:r w:rsidRPr="0089051B">
        <w:rPr>
          <w:rFonts w:ascii="Times New Roman" w:hAnsi="Times New Roman" w:cs="Times New Roman"/>
        </w:rPr>
        <w:t xml:space="preserve"> and disapplication</w:t>
      </w:r>
      <w:r w:rsidR="00B573EA" w:rsidRPr="0089051B">
        <w:rPr>
          <w:rFonts w:ascii="Times New Roman" w:hAnsi="Times New Roman" w:cs="Times New Roman"/>
        </w:rPr>
        <w:t xml:space="preserve">; or step into the shoes of the legislature and impose an alternative </w:t>
      </w:r>
      <w:r w:rsidR="00706CE5" w:rsidRPr="0089051B">
        <w:rPr>
          <w:rFonts w:ascii="Times New Roman" w:hAnsi="Times New Roman" w:cs="Times New Roman"/>
        </w:rPr>
        <w:t xml:space="preserve">(even </w:t>
      </w:r>
      <w:r w:rsidR="00B573EA" w:rsidRPr="0089051B">
        <w:rPr>
          <w:rFonts w:ascii="Times New Roman" w:hAnsi="Times New Roman" w:cs="Times New Roman"/>
        </w:rPr>
        <w:t xml:space="preserve">if </w:t>
      </w:r>
      <w:r w:rsidR="00706CE5" w:rsidRPr="0089051B">
        <w:rPr>
          <w:rFonts w:ascii="Times New Roman" w:hAnsi="Times New Roman" w:cs="Times New Roman"/>
        </w:rPr>
        <w:t xml:space="preserve">only </w:t>
      </w:r>
      <w:r w:rsidR="00B573EA" w:rsidRPr="0089051B">
        <w:rPr>
          <w:rFonts w:ascii="Times New Roman" w:hAnsi="Times New Roman" w:cs="Times New Roman"/>
        </w:rPr>
        <w:t>temporary</w:t>
      </w:r>
      <w:r w:rsidR="00706CE5" w:rsidRPr="0089051B">
        <w:rPr>
          <w:rFonts w:ascii="Times New Roman" w:hAnsi="Times New Roman" w:cs="Times New Roman"/>
        </w:rPr>
        <w:t>)</w:t>
      </w:r>
      <w:r w:rsidR="00B573EA" w:rsidRPr="0089051B">
        <w:rPr>
          <w:rFonts w:ascii="Times New Roman" w:hAnsi="Times New Roman" w:cs="Times New Roman"/>
        </w:rPr>
        <w:t xml:space="preserve"> policy solution.  Exactly that dilemma was highlighted by the UK Supreme Court in </w:t>
      </w:r>
      <w:r w:rsidR="00B573EA" w:rsidRPr="0089051B">
        <w:rPr>
          <w:rFonts w:ascii="Times New Roman" w:hAnsi="Times New Roman" w:cs="Times New Roman"/>
          <w:i/>
        </w:rPr>
        <w:t>Chester</w:t>
      </w:r>
      <w:r w:rsidR="00B573EA" w:rsidRPr="0089051B">
        <w:rPr>
          <w:rFonts w:ascii="Times New Roman" w:hAnsi="Times New Roman" w:cs="Times New Roman"/>
        </w:rPr>
        <w:t xml:space="preserve">: </w:t>
      </w:r>
      <w:r w:rsidR="00FE4E44" w:rsidRPr="0089051B">
        <w:rPr>
          <w:rFonts w:ascii="Times New Roman" w:hAnsi="Times New Roman" w:cs="Times New Roman"/>
        </w:rPr>
        <w:t xml:space="preserve">assuming </w:t>
      </w:r>
      <w:r w:rsidR="00B573EA" w:rsidRPr="0089051B">
        <w:rPr>
          <w:rFonts w:ascii="Times New Roman" w:hAnsi="Times New Roman" w:cs="Times New Roman"/>
        </w:rPr>
        <w:t>that the UK’s blanket ban on prisoners being able to vote constituted a beach of Union law, insofar as that ban applied also to European Parliamentary elections and should be considered disproportionate by reason of its absolute character,</w:t>
      </w:r>
      <w:r w:rsidR="00B573EA" w:rsidRPr="0089051B">
        <w:rPr>
          <w:rStyle w:val="FootnoteReference"/>
          <w:rFonts w:ascii="Times New Roman" w:hAnsi="Times New Roman" w:cs="Times New Roman"/>
        </w:rPr>
        <w:footnoteReference w:id="101"/>
      </w:r>
      <w:r w:rsidR="00B573EA" w:rsidRPr="0089051B">
        <w:rPr>
          <w:rFonts w:ascii="Times New Roman" w:hAnsi="Times New Roman" w:cs="Times New Roman"/>
        </w:rPr>
        <w:t xml:space="preserve"> the courts </w:t>
      </w:r>
      <w:r w:rsidR="00BC3226" w:rsidRPr="0089051B">
        <w:rPr>
          <w:rFonts w:ascii="Times New Roman" w:hAnsi="Times New Roman" w:cs="Times New Roman"/>
        </w:rPr>
        <w:t>could not reasonably be expected, under the principle of primacy,</w:t>
      </w:r>
      <w:r w:rsidR="00B573EA" w:rsidRPr="0089051B">
        <w:rPr>
          <w:rFonts w:ascii="Times New Roman" w:hAnsi="Times New Roman" w:cs="Times New Roman"/>
        </w:rPr>
        <w:t xml:space="preserve"> simply </w:t>
      </w:r>
      <w:r w:rsidR="00BC3226" w:rsidRPr="0089051B">
        <w:rPr>
          <w:rFonts w:ascii="Times New Roman" w:hAnsi="Times New Roman" w:cs="Times New Roman"/>
        </w:rPr>
        <w:t xml:space="preserve">to </w:t>
      </w:r>
      <w:proofErr w:type="spellStart"/>
      <w:r w:rsidR="00B573EA" w:rsidRPr="0089051B">
        <w:rPr>
          <w:rFonts w:ascii="Times New Roman" w:hAnsi="Times New Roman" w:cs="Times New Roman"/>
        </w:rPr>
        <w:t>disapply</w:t>
      </w:r>
      <w:proofErr w:type="spellEnd"/>
      <w:r w:rsidR="00B573EA" w:rsidRPr="0089051B">
        <w:rPr>
          <w:rFonts w:ascii="Times New Roman" w:hAnsi="Times New Roman" w:cs="Times New Roman"/>
        </w:rPr>
        <w:t xml:space="preserve"> the relevant UK legislation</w:t>
      </w:r>
      <w:r w:rsidR="00FE4E44" w:rsidRPr="0089051B">
        <w:rPr>
          <w:rFonts w:ascii="Times New Roman" w:hAnsi="Times New Roman" w:cs="Times New Roman"/>
        </w:rPr>
        <w:t>.</w:t>
      </w:r>
      <w:r w:rsidR="00B573EA" w:rsidRPr="0089051B">
        <w:rPr>
          <w:rStyle w:val="FootnoteReference"/>
          <w:rFonts w:ascii="Times New Roman" w:hAnsi="Times New Roman" w:cs="Times New Roman"/>
        </w:rPr>
        <w:footnoteReference w:id="102"/>
      </w:r>
      <w:r w:rsidR="00FE4E44" w:rsidRPr="0089051B">
        <w:rPr>
          <w:rFonts w:ascii="Times New Roman" w:hAnsi="Times New Roman" w:cs="Times New Roman"/>
        </w:rPr>
        <w:t xml:space="preserve">  In particular, simple disapplication would lead to all prisoners becoming eligible to vote – and yet it was inevitable that Parliament would never enact legislation to that effect.  Nor was such an extreme outcome required in order to restore full compliance with Union law – but it would be equally impossible and indeed beyond the proper role of the courts to devise their own alternative system of voter eligibility.</w:t>
      </w:r>
      <w:r w:rsidR="00FE4E44" w:rsidRPr="0089051B">
        <w:rPr>
          <w:rStyle w:val="FootnoteReference"/>
          <w:rFonts w:ascii="Times New Roman" w:hAnsi="Times New Roman" w:cs="Times New Roman"/>
        </w:rPr>
        <w:footnoteReference w:id="103"/>
      </w:r>
      <w:r w:rsidR="0039561E" w:rsidRPr="0089051B">
        <w:rPr>
          <w:rFonts w:ascii="Times New Roman" w:hAnsi="Times New Roman" w:cs="Times New Roman"/>
        </w:rPr>
        <w:t xml:space="preserve">  </w:t>
      </w:r>
      <w:r w:rsidR="00C72889" w:rsidRPr="0089051B">
        <w:rPr>
          <w:rFonts w:ascii="Times New Roman" w:hAnsi="Times New Roman" w:cs="Times New Roman"/>
        </w:rPr>
        <w:t xml:space="preserve">In such circumstances, the courts should </w:t>
      </w:r>
      <w:r w:rsidR="00BC3226" w:rsidRPr="0089051B">
        <w:rPr>
          <w:rFonts w:ascii="Times New Roman" w:hAnsi="Times New Roman" w:cs="Times New Roman"/>
        </w:rPr>
        <w:t xml:space="preserve">merely grant a declaration to the effect that </w:t>
      </w:r>
      <w:r w:rsidR="00C72889" w:rsidRPr="0089051B">
        <w:rPr>
          <w:rFonts w:ascii="Times New Roman" w:hAnsi="Times New Roman" w:cs="Times New Roman"/>
        </w:rPr>
        <w:t>the</w:t>
      </w:r>
      <w:r w:rsidR="00BC3226" w:rsidRPr="0089051B">
        <w:rPr>
          <w:rFonts w:ascii="Times New Roman" w:hAnsi="Times New Roman" w:cs="Times New Roman"/>
        </w:rPr>
        <w:t xml:space="preserve"> </w:t>
      </w:r>
      <w:r w:rsidR="00C72889" w:rsidRPr="0089051B">
        <w:rPr>
          <w:rFonts w:ascii="Times New Roman" w:hAnsi="Times New Roman" w:cs="Times New Roman"/>
        </w:rPr>
        <w:t xml:space="preserve">disputed national </w:t>
      </w:r>
      <w:r w:rsidR="00BC3226" w:rsidRPr="0089051B">
        <w:rPr>
          <w:rFonts w:ascii="Times New Roman" w:hAnsi="Times New Roman" w:cs="Times New Roman"/>
        </w:rPr>
        <w:t>legislation was incompatible with the Treaties</w:t>
      </w:r>
      <w:r w:rsidR="00FE4E44" w:rsidRPr="0089051B">
        <w:rPr>
          <w:rFonts w:ascii="Times New Roman" w:hAnsi="Times New Roman" w:cs="Times New Roman"/>
        </w:rPr>
        <w:t xml:space="preserve"> </w:t>
      </w:r>
      <w:r w:rsidR="00C72889" w:rsidRPr="0089051B">
        <w:rPr>
          <w:rFonts w:ascii="Times New Roman" w:hAnsi="Times New Roman" w:cs="Times New Roman"/>
        </w:rPr>
        <w:t xml:space="preserve">– an analysis which certainly avoids any danger of a legal vacuum, but which the UK Supreme Court did not feel obliged to share or verify with the Court </w:t>
      </w:r>
      <w:r w:rsidR="004627B1">
        <w:rPr>
          <w:rFonts w:ascii="Times New Roman" w:hAnsi="Times New Roman" w:cs="Times New Roman"/>
        </w:rPr>
        <w:t xml:space="preserve">itself </w:t>
      </w:r>
      <w:r w:rsidR="00C72889" w:rsidRPr="0089051B">
        <w:rPr>
          <w:rFonts w:ascii="Times New Roman" w:hAnsi="Times New Roman" w:cs="Times New Roman"/>
        </w:rPr>
        <w:t xml:space="preserve">via Article 267 TFEU. </w:t>
      </w:r>
    </w:p>
    <w:p w14:paraId="51BC534C" w14:textId="77777777" w:rsidR="006E5E55" w:rsidRPr="0089051B" w:rsidRDefault="00E173BD" w:rsidP="006E5E55">
      <w:pPr>
        <w:ind w:firstLine="720"/>
        <w:jc w:val="both"/>
        <w:rPr>
          <w:rFonts w:ascii="Times New Roman" w:hAnsi="Times New Roman" w:cs="Times New Roman"/>
        </w:rPr>
      </w:pPr>
      <w:r w:rsidRPr="0089051B">
        <w:rPr>
          <w:rFonts w:ascii="Times New Roman" w:hAnsi="Times New Roman" w:cs="Times New Roman"/>
        </w:rPr>
        <w:t xml:space="preserve">Similar considerations of proper legal competence could well apply in the case of executive bodies.  Consider the dispute in </w:t>
      </w:r>
      <w:proofErr w:type="spellStart"/>
      <w:r w:rsidRPr="0089051B">
        <w:rPr>
          <w:rFonts w:ascii="Times New Roman" w:hAnsi="Times New Roman" w:cs="Times New Roman"/>
          <w:i/>
        </w:rPr>
        <w:t>Stanleybet</w:t>
      </w:r>
      <w:proofErr w:type="spellEnd"/>
      <w:r w:rsidRPr="0089051B">
        <w:rPr>
          <w:rFonts w:ascii="Times New Roman" w:hAnsi="Times New Roman" w:cs="Times New Roman"/>
          <w:i/>
        </w:rPr>
        <w:t xml:space="preserve"> International</w:t>
      </w:r>
      <w:r w:rsidRPr="0089051B">
        <w:rPr>
          <w:rFonts w:ascii="Times New Roman" w:hAnsi="Times New Roman" w:cs="Times New Roman"/>
        </w:rPr>
        <w:t>.</w:t>
      </w:r>
      <w:r w:rsidRPr="0089051B">
        <w:rPr>
          <w:rStyle w:val="FootnoteReference"/>
          <w:rFonts w:ascii="Times New Roman" w:hAnsi="Times New Roman" w:cs="Times New Roman"/>
        </w:rPr>
        <w:footnoteReference w:id="104"/>
      </w:r>
      <w:r w:rsidRPr="0089051B">
        <w:rPr>
          <w:rFonts w:ascii="Times New Roman" w:hAnsi="Times New Roman" w:cs="Times New Roman"/>
        </w:rPr>
        <w:t xml:space="preserve">  Having noted that certain Greek rules on the regulation of commercial gambling were incompatible with the Treaty free movement provisions, </w:t>
      </w:r>
      <w:r w:rsidR="005F431A" w:rsidRPr="0089051B">
        <w:rPr>
          <w:rFonts w:ascii="Times New Roman" w:hAnsi="Times New Roman" w:cs="Times New Roman"/>
        </w:rPr>
        <w:t>recalled</w:t>
      </w:r>
      <w:r w:rsidRPr="0089051B">
        <w:rPr>
          <w:rFonts w:ascii="Times New Roman" w:hAnsi="Times New Roman" w:cs="Times New Roman"/>
        </w:rPr>
        <w:t xml:space="preserve"> that the national courts and administrative authorities must </w:t>
      </w:r>
      <w:proofErr w:type="spellStart"/>
      <w:r w:rsidRPr="0089051B">
        <w:rPr>
          <w:rFonts w:ascii="Times New Roman" w:hAnsi="Times New Roman" w:cs="Times New Roman"/>
        </w:rPr>
        <w:t>disapply</w:t>
      </w:r>
      <w:proofErr w:type="spellEnd"/>
      <w:r w:rsidRPr="0089051B">
        <w:rPr>
          <w:rFonts w:ascii="Times New Roman" w:hAnsi="Times New Roman" w:cs="Times New Roman"/>
        </w:rPr>
        <w:t xml:space="preserve"> those defective national provisions, and ruled out any possibility of Union law permitting a transitional period during which the full effects of the principle of primacy could be suspended, the Court </w:t>
      </w:r>
      <w:r w:rsidR="0009596D" w:rsidRPr="0089051B">
        <w:rPr>
          <w:rFonts w:ascii="Times New Roman" w:hAnsi="Times New Roman" w:cs="Times New Roman"/>
        </w:rPr>
        <w:t xml:space="preserve">then </w:t>
      </w:r>
      <w:r w:rsidRPr="0089051B">
        <w:rPr>
          <w:rFonts w:ascii="Times New Roman" w:hAnsi="Times New Roman" w:cs="Times New Roman"/>
        </w:rPr>
        <w:t xml:space="preserve">insisted that this analysis need not mean that the Member State </w:t>
      </w:r>
      <w:r w:rsidR="007A2440" w:rsidRPr="0089051B">
        <w:rPr>
          <w:rFonts w:ascii="Times New Roman" w:hAnsi="Times New Roman" w:cs="Times New Roman"/>
        </w:rPr>
        <w:t>is</w:t>
      </w:r>
      <w:r w:rsidRPr="0089051B">
        <w:rPr>
          <w:rFonts w:ascii="Times New Roman" w:hAnsi="Times New Roman" w:cs="Times New Roman"/>
        </w:rPr>
        <w:t xml:space="preserve"> obliged to liberalise the market in commercial gambling within its territory or that the competent authorities </w:t>
      </w:r>
      <w:r w:rsidR="007A2440" w:rsidRPr="0089051B">
        <w:rPr>
          <w:rFonts w:ascii="Times New Roman" w:hAnsi="Times New Roman" w:cs="Times New Roman"/>
        </w:rPr>
        <w:t>are</w:t>
      </w:r>
      <w:r w:rsidRPr="0089051B">
        <w:rPr>
          <w:rFonts w:ascii="Times New Roman" w:hAnsi="Times New Roman" w:cs="Times New Roman"/>
        </w:rPr>
        <w:t xml:space="preserve"> simply obliged to approve all future applications from economic actors.  On the contrary: Greece remained free to reform its existing regulatory system, in conformity with the Treaties, according to its </w:t>
      </w:r>
      <w:r w:rsidR="007A2440" w:rsidRPr="0089051B">
        <w:rPr>
          <w:rFonts w:ascii="Times New Roman" w:hAnsi="Times New Roman" w:cs="Times New Roman"/>
        </w:rPr>
        <w:t>preferred</w:t>
      </w:r>
      <w:r w:rsidRPr="0089051B">
        <w:rPr>
          <w:rFonts w:ascii="Times New Roman" w:hAnsi="Times New Roman" w:cs="Times New Roman"/>
        </w:rPr>
        <w:t xml:space="preserve"> level of consumer protection</w:t>
      </w:r>
      <w:r w:rsidR="007A2440" w:rsidRPr="0089051B">
        <w:rPr>
          <w:rFonts w:ascii="Times New Roman" w:hAnsi="Times New Roman" w:cs="Times New Roman"/>
        </w:rPr>
        <w:t xml:space="preserve"> and for the preservation of public order</w:t>
      </w:r>
      <w:r w:rsidRPr="0089051B">
        <w:rPr>
          <w:rFonts w:ascii="Times New Roman" w:hAnsi="Times New Roman" w:cs="Times New Roman"/>
        </w:rPr>
        <w:t xml:space="preserve">.  </w:t>
      </w:r>
      <w:r w:rsidR="007A2440" w:rsidRPr="0089051B">
        <w:rPr>
          <w:rFonts w:ascii="Times New Roman" w:hAnsi="Times New Roman" w:cs="Times New Roman"/>
        </w:rPr>
        <w:t>That conclusion may well sound reassuring – but it presupposes that the national legislature will respond to the finding of incompatibility with remarkable promptness, or at least that the relevant executive bodies enjoy the necessary competence and capacity to do so for themselves.</w:t>
      </w:r>
      <w:r w:rsidR="00BE5AC2" w:rsidRPr="0089051B">
        <w:rPr>
          <w:rStyle w:val="FootnoteReference"/>
          <w:rFonts w:ascii="Times New Roman" w:hAnsi="Times New Roman" w:cs="Times New Roman"/>
        </w:rPr>
        <w:footnoteReference w:id="105"/>
      </w:r>
      <w:r w:rsidR="007A2440" w:rsidRPr="0089051B">
        <w:rPr>
          <w:rFonts w:ascii="Times New Roman" w:hAnsi="Times New Roman" w:cs="Times New Roman"/>
        </w:rPr>
        <w:t xml:space="preserve">  </w:t>
      </w:r>
      <w:r w:rsidRPr="0089051B">
        <w:rPr>
          <w:rFonts w:ascii="Times New Roman" w:hAnsi="Times New Roman" w:cs="Times New Roman"/>
        </w:rPr>
        <w:t xml:space="preserve"> </w:t>
      </w:r>
    </w:p>
    <w:p w14:paraId="6863D599" w14:textId="79CDB8B4" w:rsidR="006E5E55" w:rsidRPr="0089051B" w:rsidRDefault="0039561E" w:rsidP="006E5E55">
      <w:pPr>
        <w:ind w:firstLine="720"/>
        <w:jc w:val="both"/>
        <w:rPr>
          <w:rFonts w:ascii="Times New Roman" w:hAnsi="Times New Roman" w:cs="Times New Roman"/>
        </w:rPr>
      </w:pPr>
      <w:r w:rsidRPr="0089051B">
        <w:rPr>
          <w:rFonts w:ascii="Times New Roman" w:hAnsi="Times New Roman" w:cs="Times New Roman"/>
        </w:rPr>
        <w:t>In short</w:t>
      </w:r>
      <w:r w:rsidR="0009596D" w:rsidRPr="0089051B">
        <w:rPr>
          <w:rFonts w:ascii="Times New Roman" w:hAnsi="Times New Roman" w:cs="Times New Roman"/>
        </w:rPr>
        <w:t>, the argument runs as follows</w:t>
      </w:r>
      <w:r w:rsidRPr="0089051B">
        <w:rPr>
          <w:rFonts w:ascii="Times New Roman" w:hAnsi="Times New Roman" w:cs="Times New Roman"/>
        </w:rPr>
        <w:t xml:space="preserve">: in situations where neither Union law nor the existing national legal framework are capable of providing a directly applicable substitute arrangement, while the national courts </w:t>
      </w:r>
      <w:r w:rsidR="007A2440" w:rsidRPr="0089051B">
        <w:rPr>
          <w:rFonts w:ascii="Times New Roman" w:hAnsi="Times New Roman" w:cs="Times New Roman"/>
        </w:rPr>
        <w:t xml:space="preserve">and / or executive authorities </w:t>
      </w:r>
      <w:r w:rsidRPr="0089051B">
        <w:rPr>
          <w:rFonts w:ascii="Times New Roman" w:hAnsi="Times New Roman" w:cs="Times New Roman"/>
        </w:rPr>
        <w:t xml:space="preserve">cannot reasonably be expected to devise and enforce an alternative regulatory scheme of their own, yet simple disapplication in accordance with the </w:t>
      </w:r>
      <w:r w:rsidRPr="0089051B">
        <w:rPr>
          <w:rFonts w:ascii="Times New Roman" w:hAnsi="Times New Roman" w:cs="Times New Roman"/>
        </w:rPr>
        <w:lastRenderedPageBreak/>
        <w:t xml:space="preserve">principle of </w:t>
      </w:r>
      <w:r w:rsidR="00B81FD5" w:rsidRPr="0089051B">
        <w:rPr>
          <w:rFonts w:ascii="Times New Roman" w:hAnsi="Times New Roman" w:cs="Times New Roman"/>
        </w:rPr>
        <w:t>primacy</w:t>
      </w:r>
      <w:r w:rsidRPr="0089051B">
        <w:rPr>
          <w:rFonts w:ascii="Times New Roman" w:hAnsi="Times New Roman" w:cs="Times New Roman"/>
        </w:rPr>
        <w:t xml:space="preserve"> would genuinely risk creating a legal vacuum capable of harming the general interest, Union law should recognise the possibly – in principle – that the relevant national rules could be maintained on a temporary basis, notwithstan</w:t>
      </w:r>
      <w:r w:rsidR="00B33493" w:rsidRPr="0089051B">
        <w:rPr>
          <w:rFonts w:ascii="Times New Roman" w:hAnsi="Times New Roman" w:cs="Times New Roman"/>
        </w:rPr>
        <w:t>ding their accepted incompatibility</w:t>
      </w:r>
      <w:r w:rsidRPr="0089051B">
        <w:rPr>
          <w:rFonts w:ascii="Times New Roman" w:hAnsi="Times New Roman" w:cs="Times New Roman"/>
        </w:rPr>
        <w:t xml:space="preserve"> with the Treaties, </w:t>
      </w:r>
      <w:r w:rsidR="00721E08" w:rsidRPr="0089051B">
        <w:rPr>
          <w:rFonts w:ascii="Times New Roman" w:hAnsi="Times New Roman" w:cs="Times New Roman"/>
        </w:rPr>
        <w:t xml:space="preserve">pending </w:t>
      </w:r>
      <w:r w:rsidRPr="0089051B">
        <w:rPr>
          <w:rFonts w:ascii="Times New Roman" w:hAnsi="Times New Roman" w:cs="Times New Roman"/>
        </w:rPr>
        <w:t xml:space="preserve">their imminent </w:t>
      </w:r>
      <w:r w:rsidR="00721E08" w:rsidRPr="0089051B">
        <w:rPr>
          <w:rFonts w:ascii="Times New Roman" w:hAnsi="Times New Roman" w:cs="Times New Roman"/>
        </w:rPr>
        <w:t xml:space="preserve">replacement </w:t>
      </w:r>
      <w:r w:rsidRPr="0089051B">
        <w:rPr>
          <w:rFonts w:ascii="Times New Roman" w:hAnsi="Times New Roman" w:cs="Times New Roman"/>
        </w:rPr>
        <w:t xml:space="preserve">(in full conformity with Union law) by the competent legislative body.  If so, the real questions concern </w:t>
      </w:r>
      <w:r w:rsidR="006E3993" w:rsidRPr="0089051B">
        <w:rPr>
          <w:rFonts w:ascii="Times New Roman" w:hAnsi="Times New Roman" w:cs="Times New Roman"/>
        </w:rPr>
        <w:t xml:space="preserve">which </w:t>
      </w:r>
      <w:r w:rsidRPr="0089051B">
        <w:rPr>
          <w:rFonts w:ascii="Times New Roman" w:hAnsi="Times New Roman" w:cs="Times New Roman"/>
        </w:rPr>
        <w:t xml:space="preserve">institution should be entrusted with exercising the necessary </w:t>
      </w:r>
      <w:r w:rsidR="006E3993" w:rsidRPr="0089051B">
        <w:rPr>
          <w:rFonts w:ascii="Times New Roman" w:hAnsi="Times New Roman" w:cs="Times New Roman"/>
        </w:rPr>
        <w:t>jurisdiction</w:t>
      </w:r>
      <w:r w:rsidRPr="0089051B">
        <w:rPr>
          <w:rFonts w:ascii="Times New Roman" w:hAnsi="Times New Roman" w:cs="Times New Roman"/>
        </w:rPr>
        <w:t>; and on</w:t>
      </w:r>
      <w:r w:rsidR="006E3993" w:rsidRPr="0089051B">
        <w:rPr>
          <w:rFonts w:ascii="Times New Roman" w:hAnsi="Times New Roman" w:cs="Times New Roman"/>
        </w:rPr>
        <w:t xml:space="preserve"> what </w:t>
      </w:r>
      <w:r w:rsidRPr="0089051B">
        <w:rPr>
          <w:rFonts w:ascii="Times New Roman" w:hAnsi="Times New Roman" w:cs="Times New Roman"/>
        </w:rPr>
        <w:t xml:space="preserve">precise </w:t>
      </w:r>
      <w:r w:rsidR="006E3993" w:rsidRPr="0089051B">
        <w:rPr>
          <w:rFonts w:ascii="Times New Roman" w:hAnsi="Times New Roman" w:cs="Times New Roman"/>
        </w:rPr>
        <w:t xml:space="preserve">grounds, </w:t>
      </w:r>
      <w:r w:rsidRPr="0089051B">
        <w:rPr>
          <w:rFonts w:ascii="Times New Roman" w:hAnsi="Times New Roman" w:cs="Times New Roman"/>
        </w:rPr>
        <w:t xml:space="preserve">according to exactly which </w:t>
      </w:r>
      <w:r w:rsidR="006E3993" w:rsidRPr="0089051B">
        <w:rPr>
          <w:rFonts w:ascii="Times New Roman" w:hAnsi="Times New Roman" w:cs="Times New Roman"/>
        </w:rPr>
        <w:t xml:space="preserve">criteria, </w:t>
      </w:r>
      <w:r w:rsidRPr="0089051B">
        <w:rPr>
          <w:rFonts w:ascii="Times New Roman" w:hAnsi="Times New Roman" w:cs="Times New Roman"/>
        </w:rPr>
        <w:t xml:space="preserve">and subject to </w:t>
      </w:r>
      <w:r w:rsidR="006E3993" w:rsidRPr="0089051B">
        <w:rPr>
          <w:rFonts w:ascii="Times New Roman" w:hAnsi="Times New Roman" w:cs="Times New Roman"/>
        </w:rPr>
        <w:t xml:space="preserve">which </w:t>
      </w:r>
      <w:r w:rsidRPr="0089051B">
        <w:rPr>
          <w:rFonts w:ascii="Times New Roman" w:hAnsi="Times New Roman" w:cs="Times New Roman"/>
        </w:rPr>
        <w:t xml:space="preserve">clear </w:t>
      </w:r>
      <w:r w:rsidR="00B33493" w:rsidRPr="0089051B">
        <w:rPr>
          <w:rFonts w:ascii="Times New Roman" w:hAnsi="Times New Roman" w:cs="Times New Roman"/>
        </w:rPr>
        <w:t>limits.</w:t>
      </w:r>
    </w:p>
    <w:p w14:paraId="0DFCE9BD" w14:textId="30DD3E7C" w:rsidR="006E5E55" w:rsidRPr="0089051B" w:rsidRDefault="00897DC7" w:rsidP="006E5E55">
      <w:pPr>
        <w:ind w:firstLine="720"/>
        <w:jc w:val="both"/>
        <w:rPr>
          <w:rFonts w:ascii="Times New Roman" w:hAnsi="Times New Roman" w:cs="Times New Roman"/>
        </w:rPr>
      </w:pPr>
      <w:r w:rsidRPr="0089051B">
        <w:rPr>
          <w:rFonts w:ascii="Times New Roman" w:hAnsi="Times New Roman" w:cs="Times New Roman"/>
        </w:rPr>
        <w:t xml:space="preserve">In the second place, </w:t>
      </w:r>
      <w:r w:rsidR="002E4622" w:rsidRPr="0089051B">
        <w:rPr>
          <w:rFonts w:ascii="Times New Roman" w:hAnsi="Times New Roman" w:cs="Times New Roman"/>
        </w:rPr>
        <w:t xml:space="preserve">however, there is a competing argument that Union law should uphold the overriding </w:t>
      </w:r>
      <w:r w:rsidR="00120359" w:rsidRPr="0089051B">
        <w:rPr>
          <w:rFonts w:ascii="Times New Roman" w:hAnsi="Times New Roman" w:cs="Times New Roman"/>
        </w:rPr>
        <w:t xml:space="preserve">imperative </w:t>
      </w:r>
      <w:r w:rsidR="0057784A" w:rsidRPr="0089051B">
        <w:rPr>
          <w:rFonts w:ascii="Times New Roman" w:hAnsi="Times New Roman" w:cs="Times New Roman"/>
        </w:rPr>
        <w:t xml:space="preserve">to </w:t>
      </w:r>
      <w:r w:rsidR="002E4622" w:rsidRPr="0089051B">
        <w:rPr>
          <w:rFonts w:ascii="Times New Roman" w:hAnsi="Times New Roman" w:cs="Times New Roman"/>
        </w:rPr>
        <w:t xml:space="preserve">safeguard the </w:t>
      </w:r>
      <w:r w:rsidR="0057784A" w:rsidRPr="0089051B">
        <w:rPr>
          <w:rFonts w:ascii="Times New Roman" w:hAnsi="Times New Roman" w:cs="Times New Roman"/>
        </w:rPr>
        <w:t xml:space="preserve">principle of </w:t>
      </w:r>
      <w:r w:rsidR="00B81FD5" w:rsidRPr="0089051B">
        <w:rPr>
          <w:rFonts w:ascii="Times New Roman" w:hAnsi="Times New Roman" w:cs="Times New Roman"/>
        </w:rPr>
        <w:t>primacy</w:t>
      </w:r>
      <w:r w:rsidR="00120359" w:rsidRPr="0089051B">
        <w:rPr>
          <w:rFonts w:ascii="Times New Roman" w:hAnsi="Times New Roman" w:cs="Times New Roman"/>
        </w:rPr>
        <w:t xml:space="preserve"> and </w:t>
      </w:r>
      <w:r w:rsidR="002E4622" w:rsidRPr="0089051B">
        <w:rPr>
          <w:rFonts w:ascii="Times New Roman" w:hAnsi="Times New Roman" w:cs="Times New Roman"/>
        </w:rPr>
        <w:t xml:space="preserve">insist upon the </w:t>
      </w:r>
      <w:r w:rsidR="00120359" w:rsidRPr="0089051B">
        <w:rPr>
          <w:rFonts w:ascii="Times New Roman" w:hAnsi="Times New Roman" w:cs="Times New Roman"/>
        </w:rPr>
        <w:t xml:space="preserve">duty of </w:t>
      </w:r>
      <w:r w:rsidR="00B0595B" w:rsidRPr="0089051B">
        <w:rPr>
          <w:rFonts w:ascii="Times New Roman" w:hAnsi="Times New Roman" w:cs="Times New Roman"/>
        </w:rPr>
        <w:t xml:space="preserve">national courts </w:t>
      </w:r>
      <w:r w:rsidR="00120359" w:rsidRPr="0089051B">
        <w:rPr>
          <w:rFonts w:ascii="Times New Roman" w:hAnsi="Times New Roman" w:cs="Times New Roman"/>
        </w:rPr>
        <w:t xml:space="preserve">to </w:t>
      </w:r>
      <w:proofErr w:type="spellStart"/>
      <w:r w:rsidR="00120359" w:rsidRPr="0089051B">
        <w:rPr>
          <w:rFonts w:ascii="Times New Roman" w:hAnsi="Times New Roman" w:cs="Times New Roman"/>
        </w:rPr>
        <w:t>disapply</w:t>
      </w:r>
      <w:proofErr w:type="spellEnd"/>
      <w:r w:rsidR="0057784A" w:rsidRPr="0089051B">
        <w:rPr>
          <w:rFonts w:ascii="Times New Roman" w:hAnsi="Times New Roman" w:cs="Times New Roman"/>
        </w:rPr>
        <w:t xml:space="preserve"> incompatible national </w:t>
      </w:r>
      <w:r w:rsidR="002E4622" w:rsidRPr="0089051B">
        <w:rPr>
          <w:rFonts w:ascii="Times New Roman" w:hAnsi="Times New Roman" w:cs="Times New Roman"/>
        </w:rPr>
        <w:t xml:space="preserve">rules.  To recognise the possibility that a Member State can breach its Treaty obligations, yet the offending measures could still be upheld and enforced even after their incompatibility has been formally established, would both </w:t>
      </w:r>
      <w:r w:rsidR="00B0595B" w:rsidRPr="0089051B">
        <w:rPr>
          <w:rFonts w:ascii="Times New Roman" w:hAnsi="Times New Roman" w:cs="Times New Roman"/>
        </w:rPr>
        <w:t xml:space="preserve">seriously undermine </w:t>
      </w:r>
      <w:r w:rsidR="002E4622" w:rsidRPr="0089051B">
        <w:rPr>
          <w:rFonts w:ascii="Times New Roman" w:hAnsi="Times New Roman" w:cs="Times New Roman"/>
        </w:rPr>
        <w:t xml:space="preserve">the uniform and effective application of Union law across and within the Member States, and challenge the </w:t>
      </w:r>
      <w:r w:rsidR="00A85E71" w:rsidRPr="0089051B">
        <w:rPr>
          <w:rFonts w:ascii="Times New Roman" w:hAnsi="Times New Roman" w:cs="Times New Roman"/>
        </w:rPr>
        <w:t>e</w:t>
      </w:r>
      <w:r w:rsidR="007D3812" w:rsidRPr="0089051B">
        <w:rPr>
          <w:rFonts w:ascii="Times New Roman" w:hAnsi="Times New Roman" w:cs="Times New Roman"/>
        </w:rPr>
        <w:t xml:space="preserve">ffective judicial protection of individual rights </w:t>
      </w:r>
      <w:r w:rsidR="002E4622" w:rsidRPr="0089051B">
        <w:rPr>
          <w:rFonts w:ascii="Times New Roman" w:hAnsi="Times New Roman" w:cs="Times New Roman"/>
        </w:rPr>
        <w:t xml:space="preserve">created by and </w:t>
      </w:r>
      <w:r w:rsidR="007D3812" w:rsidRPr="0089051B">
        <w:rPr>
          <w:rFonts w:ascii="Times New Roman" w:hAnsi="Times New Roman" w:cs="Times New Roman"/>
        </w:rPr>
        <w:t xml:space="preserve">under </w:t>
      </w:r>
      <w:r w:rsidR="002E4622" w:rsidRPr="0089051B">
        <w:rPr>
          <w:rFonts w:ascii="Times New Roman" w:hAnsi="Times New Roman" w:cs="Times New Roman"/>
        </w:rPr>
        <w:t xml:space="preserve">the Treaties.  Indeed, it was precisely on those grounds that Advocate General </w:t>
      </w:r>
      <w:r w:rsidR="00147DF4" w:rsidRPr="0089051B">
        <w:rPr>
          <w:rFonts w:ascii="Times New Roman" w:hAnsi="Times New Roman" w:cs="Times New Roman"/>
        </w:rPr>
        <w:t xml:space="preserve">Bot in </w:t>
      </w:r>
      <w:r w:rsidR="00147DF4" w:rsidRPr="0089051B">
        <w:rPr>
          <w:rFonts w:ascii="Times New Roman" w:hAnsi="Times New Roman" w:cs="Times New Roman"/>
          <w:i/>
        </w:rPr>
        <w:t xml:space="preserve">Winner </w:t>
      </w:r>
      <w:proofErr w:type="spellStart"/>
      <w:r w:rsidR="00147DF4" w:rsidRPr="0089051B">
        <w:rPr>
          <w:rFonts w:ascii="Times New Roman" w:hAnsi="Times New Roman" w:cs="Times New Roman"/>
          <w:i/>
        </w:rPr>
        <w:t>Wetten</w:t>
      </w:r>
      <w:proofErr w:type="spellEnd"/>
      <w:r w:rsidR="00147DF4" w:rsidRPr="0089051B">
        <w:rPr>
          <w:rFonts w:ascii="Times New Roman" w:hAnsi="Times New Roman" w:cs="Times New Roman"/>
          <w:i/>
        </w:rPr>
        <w:t xml:space="preserve"> </w:t>
      </w:r>
      <w:r w:rsidR="00147DF4" w:rsidRPr="0089051B">
        <w:rPr>
          <w:rFonts w:ascii="Times New Roman" w:hAnsi="Times New Roman" w:cs="Times New Roman"/>
        </w:rPr>
        <w:t xml:space="preserve">argued that judicial </w:t>
      </w:r>
      <w:r w:rsidR="008766F2" w:rsidRPr="0089051B">
        <w:rPr>
          <w:rFonts w:ascii="Times New Roman" w:hAnsi="Times New Roman" w:cs="Times New Roman"/>
        </w:rPr>
        <w:t>limitation</w:t>
      </w:r>
      <w:r w:rsidR="00147DF4" w:rsidRPr="0089051B">
        <w:rPr>
          <w:rFonts w:ascii="Times New Roman" w:hAnsi="Times New Roman" w:cs="Times New Roman"/>
        </w:rPr>
        <w:t>s</w:t>
      </w:r>
      <w:r w:rsidR="008766F2" w:rsidRPr="0089051B">
        <w:rPr>
          <w:rFonts w:ascii="Times New Roman" w:hAnsi="Times New Roman" w:cs="Times New Roman"/>
        </w:rPr>
        <w:t xml:space="preserve"> on </w:t>
      </w:r>
      <w:r w:rsidR="00147DF4" w:rsidRPr="0089051B">
        <w:rPr>
          <w:rFonts w:ascii="Times New Roman" w:hAnsi="Times New Roman" w:cs="Times New Roman"/>
        </w:rPr>
        <w:t xml:space="preserve">the full </w:t>
      </w:r>
      <w:r w:rsidR="008766F2" w:rsidRPr="0089051B">
        <w:rPr>
          <w:rFonts w:ascii="Times New Roman" w:hAnsi="Times New Roman" w:cs="Times New Roman"/>
        </w:rPr>
        <w:t xml:space="preserve">temporal effects of </w:t>
      </w:r>
      <w:r w:rsidR="00147DF4" w:rsidRPr="0089051B">
        <w:rPr>
          <w:rFonts w:ascii="Times New Roman" w:hAnsi="Times New Roman" w:cs="Times New Roman"/>
        </w:rPr>
        <w:t xml:space="preserve">a finding of </w:t>
      </w:r>
      <w:r w:rsidR="008766F2" w:rsidRPr="0089051B">
        <w:rPr>
          <w:rFonts w:ascii="Times New Roman" w:hAnsi="Times New Roman" w:cs="Times New Roman"/>
        </w:rPr>
        <w:t xml:space="preserve">incompatibility </w:t>
      </w:r>
      <w:r w:rsidR="00147DF4" w:rsidRPr="0089051B">
        <w:rPr>
          <w:rFonts w:ascii="Times New Roman" w:hAnsi="Times New Roman" w:cs="Times New Roman"/>
        </w:rPr>
        <w:t xml:space="preserve">should be </w:t>
      </w:r>
      <w:r w:rsidR="008766F2" w:rsidRPr="0089051B">
        <w:rPr>
          <w:rFonts w:ascii="Times New Roman" w:hAnsi="Times New Roman" w:cs="Times New Roman"/>
        </w:rPr>
        <w:t xml:space="preserve">possible </w:t>
      </w:r>
      <w:r w:rsidR="00147DF4" w:rsidRPr="0089051B">
        <w:rPr>
          <w:rFonts w:ascii="Times New Roman" w:hAnsi="Times New Roman" w:cs="Times New Roman"/>
        </w:rPr>
        <w:t xml:space="preserve">only </w:t>
      </w:r>
      <w:r w:rsidR="008766F2" w:rsidRPr="0089051B">
        <w:rPr>
          <w:rFonts w:ascii="Times New Roman" w:hAnsi="Times New Roman" w:cs="Times New Roman"/>
        </w:rPr>
        <w:t>as regards past</w:t>
      </w:r>
      <w:r w:rsidR="00147DF4" w:rsidRPr="0089051B">
        <w:rPr>
          <w:rFonts w:ascii="Times New Roman" w:hAnsi="Times New Roman" w:cs="Times New Roman"/>
        </w:rPr>
        <w:t xml:space="preserve"> situations (on grounds of legal certainty) and never as regards future disputes (on grounds of legal vacuums).</w:t>
      </w:r>
      <w:r w:rsidR="00147DF4" w:rsidRPr="0089051B">
        <w:rPr>
          <w:rStyle w:val="FootnoteReference"/>
          <w:rFonts w:ascii="Times New Roman" w:hAnsi="Times New Roman" w:cs="Times New Roman"/>
        </w:rPr>
        <w:footnoteReference w:id="106"/>
      </w:r>
      <w:r w:rsidR="00147DF4" w:rsidRPr="0089051B">
        <w:rPr>
          <w:rFonts w:ascii="Times New Roman" w:hAnsi="Times New Roman" w:cs="Times New Roman"/>
        </w:rPr>
        <w:t xml:space="preserve">  Even as a matter of principle, the Advocate General opposed the suggestion that the Court should recognise</w:t>
      </w:r>
      <w:r w:rsidR="00B0595B" w:rsidRPr="0089051B">
        <w:rPr>
          <w:rFonts w:ascii="Times New Roman" w:hAnsi="Times New Roman" w:cs="Times New Roman"/>
        </w:rPr>
        <w:t xml:space="preserve"> </w:t>
      </w:r>
      <w:r w:rsidR="0009596D" w:rsidRPr="0089051B">
        <w:rPr>
          <w:rFonts w:ascii="Times New Roman" w:hAnsi="Times New Roman" w:cs="Times New Roman"/>
        </w:rPr>
        <w:t>a power to limit</w:t>
      </w:r>
      <w:r w:rsidR="00147DF4" w:rsidRPr="0089051B">
        <w:rPr>
          <w:rFonts w:ascii="Times New Roman" w:hAnsi="Times New Roman" w:cs="Times New Roman"/>
        </w:rPr>
        <w:t xml:space="preserve"> or qualify the </w:t>
      </w:r>
      <w:r w:rsidR="00B0595B" w:rsidRPr="0089051B">
        <w:rPr>
          <w:rFonts w:ascii="Times New Roman" w:hAnsi="Times New Roman" w:cs="Times New Roman"/>
        </w:rPr>
        <w:t xml:space="preserve">remedy </w:t>
      </w:r>
      <w:r w:rsidR="008766F2" w:rsidRPr="0089051B">
        <w:rPr>
          <w:rFonts w:ascii="Times New Roman" w:hAnsi="Times New Roman" w:cs="Times New Roman"/>
        </w:rPr>
        <w:t xml:space="preserve">of </w:t>
      </w:r>
      <w:r w:rsidR="00B0595B" w:rsidRPr="0089051B">
        <w:rPr>
          <w:rFonts w:ascii="Times New Roman" w:hAnsi="Times New Roman" w:cs="Times New Roman"/>
        </w:rPr>
        <w:t xml:space="preserve">disapplication </w:t>
      </w:r>
      <w:r w:rsidR="00147DF4" w:rsidRPr="0089051B">
        <w:rPr>
          <w:rFonts w:ascii="Times New Roman" w:hAnsi="Times New Roman" w:cs="Times New Roman"/>
        </w:rPr>
        <w:t>with prospective legal effects.</w:t>
      </w:r>
      <w:r w:rsidR="00147DF4" w:rsidRPr="0089051B">
        <w:rPr>
          <w:rStyle w:val="FootnoteReference"/>
          <w:rFonts w:ascii="Times New Roman" w:hAnsi="Times New Roman" w:cs="Times New Roman"/>
        </w:rPr>
        <w:footnoteReference w:id="107"/>
      </w:r>
      <w:r w:rsidR="00147DF4" w:rsidRPr="0089051B">
        <w:rPr>
          <w:rFonts w:ascii="Times New Roman" w:hAnsi="Times New Roman" w:cs="Times New Roman"/>
        </w:rPr>
        <w:t xml:space="preserve">  </w:t>
      </w:r>
    </w:p>
    <w:p w14:paraId="6188199F" w14:textId="77777777" w:rsidR="006E5E55" w:rsidRPr="0089051B" w:rsidRDefault="00147DF4" w:rsidP="006E5E55">
      <w:pPr>
        <w:ind w:firstLine="720"/>
        <w:jc w:val="both"/>
        <w:rPr>
          <w:rFonts w:ascii="Times New Roman" w:hAnsi="Times New Roman" w:cs="Times New Roman"/>
        </w:rPr>
      </w:pPr>
      <w:r w:rsidRPr="0089051B">
        <w:rPr>
          <w:rFonts w:ascii="Times New Roman" w:hAnsi="Times New Roman" w:cs="Times New Roman"/>
        </w:rPr>
        <w:t xml:space="preserve">As with so many debates about the appropriate evolution of constitutional principles, the choice between those two viewpoints is </w:t>
      </w:r>
      <w:r w:rsidR="0009596D" w:rsidRPr="0089051B">
        <w:rPr>
          <w:rFonts w:ascii="Times New Roman" w:hAnsi="Times New Roman" w:cs="Times New Roman"/>
        </w:rPr>
        <w:t xml:space="preserve">as much as matter of preference as of logic </w:t>
      </w:r>
      <w:r w:rsidRPr="0089051B">
        <w:rPr>
          <w:rFonts w:ascii="Times New Roman" w:hAnsi="Times New Roman" w:cs="Times New Roman"/>
        </w:rPr>
        <w:t>– ultimately open to legitimate differences of opinion about how best to strike an appropriate balance between the wide range of legal and policy factors at stake.  Nevertheless, we can offer some perhaps useful observations on the arguments highlighted by Advocate General Bot.</w:t>
      </w:r>
    </w:p>
    <w:p w14:paraId="2BA1A112" w14:textId="2DA66EFA" w:rsidR="006E5E55" w:rsidRPr="0089051B" w:rsidRDefault="00147DF4" w:rsidP="006E5E55">
      <w:pPr>
        <w:ind w:firstLine="720"/>
        <w:jc w:val="both"/>
        <w:rPr>
          <w:rFonts w:ascii="Times New Roman" w:hAnsi="Times New Roman" w:cs="Times New Roman"/>
        </w:rPr>
      </w:pPr>
      <w:r w:rsidRPr="0089051B">
        <w:rPr>
          <w:rFonts w:ascii="Times New Roman" w:hAnsi="Times New Roman" w:cs="Times New Roman"/>
        </w:rPr>
        <w:t xml:space="preserve">Let’s </w:t>
      </w:r>
      <w:r w:rsidR="00494296" w:rsidRPr="0089051B">
        <w:rPr>
          <w:rFonts w:ascii="Times New Roman" w:hAnsi="Times New Roman" w:cs="Times New Roman"/>
        </w:rPr>
        <w:t>begin</w:t>
      </w:r>
      <w:r w:rsidRPr="0089051B">
        <w:rPr>
          <w:rFonts w:ascii="Times New Roman" w:hAnsi="Times New Roman" w:cs="Times New Roman"/>
        </w:rPr>
        <w:t xml:space="preserve"> with the argument based on the uniformity and effectiveness of Union law.  Needless to say: those </w:t>
      </w:r>
      <w:r w:rsidR="00893083" w:rsidRPr="0089051B">
        <w:rPr>
          <w:rFonts w:ascii="Times New Roman" w:hAnsi="Times New Roman" w:cs="Times New Roman"/>
        </w:rPr>
        <w:t xml:space="preserve">values are absolutely central to and omnipresent throughout the entire construction and operation of the </w:t>
      </w:r>
      <w:r w:rsidR="00AD01A3" w:rsidRPr="0089051B">
        <w:rPr>
          <w:rFonts w:ascii="Times New Roman" w:hAnsi="Times New Roman" w:cs="Times New Roman"/>
        </w:rPr>
        <w:t xml:space="preserve">legal </w:t>
      </w:r>
      <w:r w:rsidR="00893083" w:rsidRPr="0089051B">
        <w:rPr>
          <w:rFonts w:ascii="Times New Roman" w:hAnsi="Times New Roman" w:cs="Times New Roman"/>
        </w:rPr>
        <w:t>relationship between the Union and its Member State</w:t>
      </w:r>
      <w:r w:rsidR="00D7062B" w:rsidRPr="0089051B">
        <w:rPr>
          <w:rFonts w:ascii="Times New Roman" w:hAnsi="Times New Roman" w:cs="Times New Roman"/>
        </w:rPr>
        <w:t>s.</w:t>
      </w:r>
      <w:r w:rsidR="00893083" w:rsidRPr="0089051B">
        <w:rPr>
          <w:rFonts w:ascii="Times New Roman" w:hAnsi="Times New Roman" w:cs="Times New Roman"/>
        </w:rPr>
        <w:t xml:space="preserve"> </w:t>
      </w:r>
      <w:r w:rsidR="00D7062B" w:rsidRPr="0089051B">
        <w:rPr>
          <w:rFonts w:ascii="Times New Roman" w:hAnsi="Times New Roman" w:cs="Times New Roman"/>
        </w:rPr>
        <w:t xml:space="preserve"> </w:t>
      </w:r>
      <w:r w:rsidR="00893083" w:rsidRPr="0089051B">
        <w:rPr>
          <w:rFonts w:ascii="Times New Roman" w:hAnsi="Times New Roman" w:cs="Times New Roman"/>
        </w:rPr>
        <w:t xml:space="preserve">But they are not absolute values: there are </w:t>
      </w:r>
      <w:r w:rsidR="00E63181" w:rsidRPr="0089051B">
        <w:rPr>
          <w:rFonts w:ascii="Times New Roman" w:hAnsi="Times New Roman" w:cs="Times New Roman"/>
        </w:rPr>
        <w:t xml:space="preserve">plenty of situations where </w:t>
      </w:r>
      <w:r w:rsidR="00893083" w:rsidRPr="0089051B">
        <w:rPr>
          <w:rFonts w:ascii="Times New Roman" w:hAnsi="Times New Roman" w:cs="Times New Roman"/>
        </w:rPr>
        <w:t xml:space="preserve">the </w:t>
      </w:r>
      <w:r w:rsidR="00E63181" w:rsidRPr="0089051B">
        <w:rPr>
          <w:rFonts w:ascii="Times New Roman" w:hAnsi="Times New Roman" w:cs="Times New Roman"/>
        </w:rPr>
        <w:t xml:space="preserve">uniform and effective application of Union law </w:t>
      </w:r>
      <w:r w:rsidR="00893083" w:rsidRPr="0089051B">
        <w:rPr>
          <w:rFonts w:ascii="Times New Roman" w:hAnsi="Times New Roman" w:cs="Times New Roman"/>
        </w:rPr>
        <w:t xml:space="preserve">must, by necessity but also often for just cause, be compromised during the process of translation into each </w:t>
      </w:r>
      <w:r w:rsidR="00E63181" w:rsidRPr="0089051B">
        <w:rPr>
          <w:rFonts w:ascii="Times New Roman" w:hAnsi="Times New Roman" w:cs="Times New Roman"/>
        </w:rPr>
        <w:t>national legal orde</w:t>
      </w:r>
      <w:r w:rsidR="00D7062B" w:rsidRPr="0089051B">
        <w:rPr>
          <w:rFonts w:ascii="Times New Roman" w:hAnsi="Times New Roman" w:cs="Times New Roman"/>
        </w:rPr>
        <w:t>r.</w:t>
      </w:r>
      <w:r w:rsidR="00893083" w:rsidRPr="0089051B">
        <w:rPr>
          <w:rFonts w:ascii="Times New Roman" w:hAnsi="Times New Roman" w:cs="Times New Roman"/>
        </w:rPr>
        <w:t xml:space="preserve"> </w:t>
      </w:r>
      <w:r w:rsidR="00D7062B" w:rsidRPr="0089051B">
        <w:rPr>
          <w:rFonts w:ascii="Times New Roman" w:hAnsi="Times New Roman" w:cs="Times New Roman"/>
        </w:rPr>
        <w:t xml:space="preserve"> </w:t>
      </w:r>
      <w:r w:rsidR="00893083" w:rsidRPr="0089051B">
        <w:rPr>
          <w:rFonts w:ascii="Times New Roman" w:hAnsi="Times New Roman" w:cs="Times New Roman"/>
        </w:rPr>
        <w:t xml:space="preserve">It may well be </w:t>
      </w:r>
      <w:r w:rsidR="00E63181" w:rsidRPr="0089051B">
        <w:rPr>
          <w:rFonts w:ascii="Times New Roman" w:hAnsi="Times New Roman" w:cs="Times New Roman"/>
        </w:rPr>
        <w:t>true</w:t>
      </w:r>
      <w:r w:rsidR="00893083" w:rsidRPr="0089051B">
        <w:rPr>
          <w:rFonts w:ascii="Times New Roman" w:hAnsi="Times New Roman" w:cs="Times New Roman"/>
        </w:rPr>
        <w:t xml:space="preserve"> that – when it comes to national concerns about the full implications of the principle of primacy – the existing </w:t>
      </w:r>
      <w:proofErr w:type="spellStart"/>
      <w:r w:rsidR="00893083" w:rsidRPr="0089051B">
        <w:rPr>
          <w:rFonts w:ascii="Times New Roman" w:hAnsi="Times New Roman" w:cs="Times New Roman"/>
        </w:rPr>
        <w:t>caselaw</w:t>
      </w:r>
      <w:proofErr w:type="spellEnd"/>
      <w:r w:rsidR="00893083" w:rsidRPr="0089051B">
        <w:rPr>
          <w:rFonts w:ascii="Times New Roman" w:hAnsi="Times New Roman" w:cs="Times New Roman"/>
        </w:rPr>
        <w:t xml:space="preserve"> has </w:t>
      </w:r>
      <w:r w:rsidR="00E63181" w:rsidRPr="0089051B">
        <w:rPr>
          <w:rFonts w:ascii="Times New Roman" w:hAnsi="Times New Roman" w:cs="Times New Roman"/>
        </w:rPr>
        <w:t xml:space="preserve">mostly </w:t>
      </w:r>
      <w:r w:rsidR="00893083" w:rsidRPr="0089051B">
        <w:rPr>
          <w:rFonts w:ascii="Times New Roman" w:hAnsi="Times New Roman" w:cs="Times New Roman"/>
        </w:rPr>
        <w:t xml:space="preserve">engaged with issues of legal certainty and undue </w:t>
      </w:r>
      <w:r w:rsidR="00E63181" w:rsidRPr="0089051B">
        <w:rPr>
          <w:rFonts w:ascii="Times New Roman" w:hAnsi="Times New Roman" w:cs="Times New Roman"/>
        </w:rPr>
        <w:t xml:space="preserve">retrospective </w:t>
      </w:r>
      <w:r w:rsidR="00893083" w:rsidRPr="0089051B">
        <w:rPr>
          <w:rFonts w:ascii="Times New Roman" w:hAnsi="Times New Roman" w:cs="Times New Roman"/>
        </w:rPr>
        <w:t>effects.</w:t>
      </w:r>
      <w:r w:rsidR="00D7062B" w:rsidRPr="0089051B">
        <w:rPr>
          <w:rStyle w:val="FootnoteReference"/>
          <w:rFonts w:ascii="Times New Roman" w:hAnsi="Times New Roman" w:cs="Times New Roman"/>
        </w:rPr>
        <w:footnoteReference w:id="108"/>
      </w:r>
      <w:r w:rsidR="00893083" w:rsidRPr="0089051B">
        <w:rPr>
          <w:rFonts w:ascii="Times New Roman" w:hAnsi="Times New Roman" w:cs="Times New Roman"/>
        </w:rPr>
        <w:t xml:space="preserve">  But that is certainly not the only area where the Court has struggled to reconcile the values of uniformity and effectiveness with the realities of </w:t>
      </w:r>
      <w:r w:rsidR="00B33493" w:rsidRPr="0089051B">
        <w:rPr>
          <w:rFonts w:ascii="Times New Roman" w:hAnsi="Times New Roman" w:cs="Times New Roman"/>
        </w:rPr>
        <w:t>mutual inter</w:t>
      </w:r>
      <w:r w:rsidR="00893083" w:rsidRPr="0089051B">
        <w:rPr>
          <w:rFonts w:ascii="Times New Roman" w:hAnsi="Times New Roman" w:cs="Times New Roman"/>
        </w:rPr>
        <w:t>dependence between the Union and national legal orders.</w:t>
      </w:r>
      <w:r w:rsidR="000926FD" w:rsidRPr="0089051B">
        <w:rPr>
          <w:rStyle w:val="FootnoteReference"/>
          <w:rFonts w:ascii="Times New Roman" w:hAnsi="Times New Roman" w:cs="Times New Roman"/>
        </w:rPr>
        <w:footnoteReference w:id="109"/>
      </w:r>
      <w:r w:rsidR="00893083" w:rsidRPr="0089051B">
        <w:rPr>
          <w:rFonts w:ascii="Times New Roman" w:hAnsi="Times New Roman" w:cs="Times New Roman"/>
        </w:rPr>
        <w:t xml:space="preserve">  And having already established that the principle of </w:t>
      </w:r>
      <w:r w:rsidR="00B81FD5" w:rsidRPr="0089051B">
        <w:rPr>
          <w:rFonts w:ascii="Times New Roman" w:hAnsi="Times New Roman" w:cs="Times New Roman"/>
        </w:rPr>
        <w:t>primacy</w:t>
      </w:r>
      <w:r w:rsidR="00893083" w:rsidRPr="0089051B">
        <w:rPr>
          <w:rFonts w:ascii="Times New Roman" w:hAnsi="Times New Roman" w:cs="Times New Roman"/>
        </w:rPr>
        <w:t xml:space="preserve"> is not totally unyielding, it seems difficult to </w:t>
      </w:r>
      <w:r w:rsidR="000926FD" w:rsidRPr="0089051B">
        <w:rPr>
          <w:rFonts w:ascii="Times New Roman" w:hAnsi="Times New Roman" w:cs="Times New Roman"/>
        </w:rPr>
        <w:t>reject</w:t>
      </w:r>
      <w:r w:rsidR="00893083" w:rsidRPr="0089051B">
        <w:rPr>
          <w:rFonts w:ascii="Times New Roman" w:hAnsi="Times New Roman" w:cs="Times New Roman"/>
        </w:rPr>
        <w:t xml:space="preserve"> – simply as a matter of principle – </w:t>
      </w:r>
      <w:r w:rsidR="000926FD" w:rsidRPr="0089051B">
        <w:rPr>
          <w:rFonts w:ascii="Times New Roman" w:hAnsi="Times New Roman" w:cs="Times New Roman"/>
        </w:rPr>
        <w:t>the case for</w:t>
      </w:r>
      <w:r w:rsidR="00893083" w:rsidRPr="0089051B">
        <w:rPr>
          <w:rFonts w:ascii="Times New Roman" w:hAnsi="Times New Roman" w:cs="Times New Roman"/>
        </w:rPr>
        <w:t xml:space="preserve"> recognising and accommodating</w:t>
      </w:r>
      <w:r w:rsidR="00E63181" w:rsidRPr="0089051B">
        <w:rPr>
          <w:rFonts w:ascii="Times New Roman" w:hAnsi="Times New Roman" w:cs="Times New Roman"/>
        </w:rPr>
        <w:t xml:space="preserve"> </w:t>
      </w:r>
      <w:r w:rsidR="00E63181" w:rsidRPr="0089051B">
        <w:rPr>
          <w:rFonts w:ascii="Times New Roman" w:hAnsi="Times New Roman" w:cs="Times New Roman"/>
        </w:rPr>
        <w:lastRenderedPageBreak/>
        <w:t>another category of situation</w:t>
      </w:r>
      <w:r w:rsidR="00893083" w:rsidRPr="0089051B">
        <w:rPr>
          <w:rFonts w:ascii="Times New Roman" w:hAnsi="Times New Roman" w:cs="Times New Roman"/>
        </w:rPr>
        <w:t xml:space="preserve"> </w:t>
      </w:r>
      <w:r w:rsidR="000926FD" w:rsidRPr="0089051B">
        <w:rPr>
          <w:rFonts w:ascii="Times New Roman" w:hAnsi="Times New Roman" w:cs="Times New Roman"/>
        </w:rPr>
        <w:t xml:space="preserve">in which </w:t>
      </w:r>
      <w:r w:rsidR="00893083" w:rsidRPr="0089051B">
        <w:rPr>
          <w:rFonts w:ascii="Times New Roman" w:hAnsi="Times New Roman" w:cs="Times New Roman"/>
        </w:rPr>
        <w:t>availability of the remedy of disapplication</w:t>
      </w:r>
      <w:r w:rsidR="000926FD" w:rsidRPr="0089051B">
        <w:rPr>
          <w:rFonts w:ascii="Times New Roman" w:hAnsi="Times New Roman" w:cs="Times New Roman"/>
        </w:rPr>
        <w:t xml:space="preserve"> might be restricted for sufficiently compelling reasons.  </w:t>
      </w:r>
    </w:p>
    <w:p w14:paraId="22185E75" w14:textId="77777777" w:rsidR="006E5E55" w:rsidRPr="0089051B" w:rsidRDefault="00FD3012" w:rsidP="006E5E55">
      <w:pPr>
        <w:ind w:firstLine="720"/>
        <w:jc w:val="both"/>
        <w:rPr>
          <w:rFonts w:ascii="Times New Roman" w:hAnsi="Times New Roman" w:cs="Times New Roman"/>
        </w:rPr>
      </w:pPr>
      <w:r w:rsidRPr="0089051B">
        <w:rPr>
          <w:rFonts w:ascii="Times New Roman" w:hAnsi="Times New Roman" w:cs="Times New Roman"/>
        </w:rPr>
        <w:t xml:space="preserve">It would seem fairer to admit that the </w:t>
      </w:r>
      <w:r w:rsidR="003B3CF3" w:rsidRPr="0089051B">
        <w:rPr>
          <w:rFonts w:ascii="Times New Roman" w:hAnsi="Times New Roman" w:cs="Times New Roman"/>
        </w:rPr>
        <w:t xml:space="preserve">persuasiveness of </w:t>
      </w:r>
      <w:r w:rsidRPr="0089051B">
        <w:rPr>
          <w:rFonts w:ascii="Times New Roman" w:hAnsi="Times New Roman" w:cs="Times New Roman"/>
        </w:rPr>
        <w:t>the argument based on uniformity and effectiveness</w:t>
      </w:r>
      <w:r w:rsidR="003B3CF3" w:rsidRPr="0089051B">
        <w:rPr>
          <w:rFonts w:ascii="Times New Roman" w:hAnsi="Times New Roman" w:cs="Times New Roman"/>
        </w:rPr>
        <w:t xml:space="preserve"> </w:t>
      </w:r>
      <w:r w:rsidRPr="0089051B">
        <w:rPr>
          <w:rFonts w:ascii="Times New Roman" w:hAnsi="Times New Roman" w:cs="Times New Roman"/>
        </w:rPr>
        <w:t xml:space="preserve">hinges less on the point of principle and more on the </w:t>
      </w:r>
      <w:r w:rsidR="003B3CF3" w:rsidRPr="0089051B">
        <w:rPr>
          <w:rFonts w:ascii="Times New Roman" w:hAnsi="Times New Roman" w:cs="Times New Roman"/>
        </w:rPr>
        <w:t xml:space="preserve">detailed choices </w:t>
      </w:r>
      <w:r w:rsidRPr="0089051B">
        <w:rPr>
          <w:rFonts w:ascii="Times New Roman" w:hAnsi="Times New Roman" w:cs="Times New Roman"/>
        </w:rPr>
        <w:t xml:space="preserve">that remain to be made about </w:t>
      </w:r>
      <w:r w:rsidR="003B3CF3" w:rsidRPr="0089051B">
        <w:rPr>
          <w:rFonts w:ascii="Times New Roman" w:hAnsi="Times New Roman" w:cs="Times New Roman"/>
        </w:rPr>
        <w:t xml:space="preserve">how </w:t>
      </w:r>
      <w:r w:rsidRPr="0089051B">
        <w:rPr>
          <w:rFonts w:ascii="Times New Roman" w:hAnsi="Times New Roman" w:cs="Times New Roman"/>
        </w:rPr>
        <w:t xml:space="preserve">the </w:t>
      </w:r>
      <w:r w:rsidR="003B3CF3" w:rsidRPr="0089051B">
        <w:rPr>
          <w:rFonts w:ascii="Times New Roman" w:hAnsi="Times New Roman" w:cs="Times New Roman"/>
        </w:rPr>
        <w:t>problem</w:t>
      </w:r>
      <w:r w:rsidRPr="0089051B">
        <w:rPr>
          <w:rFonts w:ascii="Times New Roman" w:hAnsi="Times New Roman" w:cs="Times New Roman"/>
        </w:rPr>
        <w:t xml:space="preserve"> of legal vacuums might be identified and managed in practice.  Consider the question of </w:t>
      </w:r>
      <w:r w:rsidR="003B3CF3" w:rsidRPr="0089051B">
        <w:rPr>
          <w:rFonts w:ascii="Times New Roman" w:hAnsi="Times New Roman" w:cs="Times New Roman"/>
        </w:rPr>
        <w:t>institutional competences</w:t>
      </w:r>
      <w:r w:rsidRPr="0089051B">
        <w:rPr>
          <w:rFonts w:ascii="Times New Roman" w:hAnsi="Times New Roman" w:cs="Times New Roman"/>
        </w:rPr>
        <w:t xml:space="preserve">.  The Court might insist upon exercising its own </w:t>
      </w:r>
      <w:r w:rsidR="003B3CF3" w:rsidRPr="0089051B">
        <w:rPr>
          <w:rFonts w:ascii="Times New Roman" w:hAnsi="Times New Roman" w:cs="Times New Roman"/>
        </w:rPr>
        <w:t xml:space="preserve">centralised </w:t>
      </w:r>
      <w:r w:rsidRPr="0089051B">
        <w:rPr>
          <w:rFonts w:ascii="Times New Roman" w:hAnsi="Times New Roman" w:cs="Times New Roman"/>
        </w:rPr>
        <w:t xml:space="preserve">jurisdiction </w:t>
      </w:r>
      <w:r w:rsidR="003B3CF3" w:rsidRPr="0089051B">
        <w:rPr>
          <w:rFonts w:ascii="Times New Roman" w:hAnsi="Times New Roman" w:cs="Times New Roman"/>
        </w:rPr>
        <w:t xml:space="preserve">to </w:t>
      </w:r>
      <w:r w:rsidRPr="0089051B">
        <w:rPr>
          <w:rFonts w:ascii="Times New Roman" w:hAnsi="Times New Roman" w:cs="Times New Roman"/>
        </w:rPr>
        <w:t xml:space="preserve">respond to </w:t>
      </w:r>
      <w:r w:rsidR="003B3CF3" w:rsidRPr="0089051B">
        <w:rPr>
          <w:rFonts w:ascii="Times New Roman" w:hAnsi="Times New Roman" w:cs="Times New Roman"/>
        </w:rPr>
        <w:t>potential</w:t>
      </w:r>
      <w:r w:rsidRPr="0089051B">
        <w:rPr>
          <w:rFonts w:ascii="Times New Roman" w:hAnsi="Times New Roman" w:cs="Times New Roman"/>
        </w:rPr>
        <w:t>ly damaging</w:t>
      </w:r>
      <w:r w:rsidR="003B3CF3" w:rsidRPr="0089051B">
        <w:rPr>
          <w:rFonts w:ascii="Times New Roman" w:hAnsi="Times New Roman" w:cs="Times New Roman"/>
        </w:rPr>
        <w:t xml:space="preserve"> legal vacuum</w:t>
      </w:r>
      <w:r w:rsidRPr="0089051B">
        <w:rPr>
          <w:rFonts w:ascii="Times New Roman" w:hAnsi="Times New Roman" w:cs="Times New Roman"/>
        </w:rPr>
        <w:t xml:space="preserve">s – obliging the </w:t>
      </w:r>
      <w:r w:rsidR="003B3CF3" w:rsidRPr="0089051B">
        <w:rPr>
          <w:rFonts w:ascii="Times New Roman" w:hAnsi="Times New Roman" w:cs="Times New Roman"/>
        </w:rPr>
        <w:t>national court</w:t>
      </w:r>
      <w:r w:rsidRPr="0089051B">
        <w:rPr>
          <w:rFonts w:ascii="Times New Roman" w:hAnsi="Times New Roman" w:cs="Times New Roman"/>
        </w:rPr>
        <w:t>s</w:t>
      </w:r>
      <w:r w:rsidR="003B3CF3" w:rsidRPr="0089051B">
        <w:rPr>
          <w:rFonts w:ascii="Times New Roman" w:hAnsi="Times New Roman" w:cs="Times New Roman"/>
        </w:rPr>
        <w:t xml:space="preserve"> </w:t>
      </w:r>
      <w:r w:rsidRPr="0089051B">
        <w:rPr>
          <w:rFonts w:ascii="Times New Roman" w:hAnsi="Times New Roman" w:cs="Times New Roman"/>
        </w:rPr>
        <w:t xml:space="preserve">to seek </w:t>
      </w:r>
      <w:r w:rsidR="003B3CF3" w:rsidRPr="0089051B">
        <w:rPr>
          <w:rFonts w:ascii="Times New Roman" w:hAnsi="Times New Roman" w:cs="Times New Roman"/>
        </w:rPr>
        <w:t xml:space="preserve">positive and specific authorisation </w:t>
      </w:r>
      <w:r w:rsidRPr="0089051B">
        <w:rPr>
          <w:rFonts w:ascii="Times New Roman" w:hAnsi="Times New Roman" w:cs="Times New Roman"/>
        </w:rPr>
        <w:t xml:space="preserve">from the Court </w:t>
      </w:r>
      <w:r w:rsidR="00B33493" w:rsidRPr="0089051B">
        <w:rPr>
          <w:rFonts w:ascii="Times New Roman" w:hAnsi="Times New Roman" w:cs="Times New Roman"/>
        </w:rPr>
        <w:t xml:space="preserve">in order </w:t>
      </w:r>
      <w:r w:rsidR="003B3CF3" w:rsidRPr="0089051B">
        <w:rPr>
          <w:rFonts w:ascii="Times New Roman" w:hAnsi="Times New Roman" w:cs="Times New Roman"/>
        </w:rPr>
        <w:t xml:space="preserve">to refrain from </w:t>
      </w:r>
      <w:proofErr w:type="spellStart"/>
      <w:r w:rsidR="003B3CF3" w:rsidRPr="0089051B">
        <w:rPr>
          <w:rFonts w:ascii="Times New Roman" w:hAnsi="Times New Roman" w:cs="Times New Roman"/>
        </w:rPr>
        <w:t>disapplying</w:t>
      </w:r>
      <w:proofErr w:type="spellEnd"/>
      <w:r w:rsidR="003B3CF3" w:rsidRPr="0089051B">
        <w:rPr>
          <w:rFonts w:ascii="Times New Roman" w:hAnsi="Times New Roman" w:cs="Times New Roman"/>
        </w:rPr>
        <w:t xml:space="preserve"> incompatible </w:t>
      </w:r>
      <w:r w:rsidRPr="0089051B">
        <w:rPr>
          <w:rFonts w:ascii="Times New Roman" w:hAnsi="Times New Roman" w:cs="Times New Roman"/>
        </w:rPr>
        <w:t xml:space="preserve">domestic legislation.  Or the Court might sanction the exercise of a more </w:t>
      </w:r>
      <w:r w:rsidR="003B3CF3" w:rsidRPr="0089051B">
        <w:rPr>
          <w:rFonts w:ascii="Times New Roman" w:hAnsi="Times New Roman" w:cs="Times New Roman"/>
        </w:rPr>
        <w:t xml:space="preserve">decentralised judicial competence to respond to </w:t>
      </w:r>
      <w:r w:rsidRPr="0089051B">
        <w:rPr>
          <w:rFonts w:ascii="Times New Roman" w:hAnsi="Times New Roman" w:cs="Times New Roman"/>
        </w:rPr>
        <w:t xml:space="preserve">the problem of prospective </w:t>
      </w:r>
      <w:r w:rsidR="003B3CF3" w:rsidRPr="0089051B">
        <w:rPr>
          <w:rFonts w:ascii="Times New Roman" w:hAnsi="Times New Roman" w:cs="Times New Roman"/>
        </w:rPr>
        <w:t>legal vacuum</w:t>
      </w:r>
      <w:r w:rsidRPr="0089051B">
        <w:rPr>
          <w:rFonts w:ascii="Times New Roman" w:hAnsi="Times New Roman" w:cs="Times New Roman"/>
        </w:rPr>
        <w:t xml:space="preserve">s </w:t>
      </w:r>
      <w:r w:rsidR="00494296" w:rsidRPr="0089051B">
        <w:rPr>
          <w:rFonts w:ascii="Times New Roman" w:hAnsi="Times New Roman" w:cs="Times New Roman"/>
        </w:rPr>
        <w:t>–</w:t>
      </w:r>
      <w:r w:rsidRPr="0089051B">
        <w:rPr>
          <w:rFonts w:ascii="Times New Roman" w:hAnsi="Times New Roman" w:cs="Times New Roman"/>
        </w:rPr>
        <w:t xml:space="preserve"> </w:t>
      </w:r>
      <w:r w:rsidR="00494296" w:rsidRPr="0089051B">
        <w:rPr>
          <w:rFonts w:ascii="Times New Roman" w:hAnsi="Times New Roman" w:cs="Times New Roman"/>
        </w:rPr>
        <w:t xml:space="preserve">allowing the </w:t>
      </w:r>
      <w:r w:rsidR="003B3CF3" w:rsidRPr="0089051B">
        <w:rPr>
          <w:rFonts w:ascii="Times New Roman" w:hAnsi="Times New Roman" w:cs="Times New Roman"/>
        </w:rPr>
        <w:t>national court</w:t>
      </w:r>
      <w:r w:rsidR="00494296" w:rsidRPr="0089051B">
        <w:rPr>
          <w:rFonts w:ascii="Times New Roman" w:hAnsi="Times New Roman" w:cs="Times New Roman"/>
        </w:rPr>
        <w:t>s</w:t>
      </w:r>
      <w:r w:rsidR="003B3CF3" w:rsidRPr="0089051B">
        <w:rPr>
          <w:rFonts w:ascii="Times New Roman" w:hAnsi="Times New Roman" w:cs="Times New Roman"/>
        </w:rPr>
        <w:t xml:space="preserve"> </w:t>
      </w:r>
      <w:r w:rsidR="00494296" w:rsidRPr="0089051B">
        <w:rPr>
          <w:rFonts w:ascii="Times New Roman" w:hAnsi="Times New Roman" w:cs="Times New Roman"/>
        </w:rPr>
        <w:t>to reach their own conclusions about whether to withhold</w:t>
      </w:r>
      <w:r w:rsidR="003B3CF3" w:rsidRPr="0089051B">
        <w:rPr>
          <w:rFonts w:ascii="Times New Roman" w:hAnsi="Times New Roman" w:cs="Times New Roman"/>
        </w:rPr>
        <w:t xml:space="preserve"> </w:t>
      </w:r>
      <w:r w:rsidR="00494296" w:rsidRPr="0089051B">
        <w:rPr>
          <w:rFonts w:ascii="Times New Roman" w:hAnsi="Times New Roman" w:cs="Times New Roman"/>
        </w:rPr>
        <w:t xml:space="preserve">the </w:t>
      </w:r>
      <w:r w:rsidR="003B3CF3" w:rsidRPr="0089051B">
        <w:rPr>
          <w:rFonts w:ascii="Times New Roman" w:hAnsi="Times New Roman" w:cs="Times New Roman"/>
        </w:rPr>
        <w:t>remedy of disapplication</w:t>
      </w:r>
      <w:r w:rsidR="00494296" w:rsidRPr="0089051B">
        <w:rPr>
          <w:rFonts w:ascii="Times New Roman" w:hAnsi="Times New Roman" w:cs="Times New Roman"/>
        </w:rPr>
        <w:t xml:space="preserve"> on a temporary basis.  </w:t>
      </w:r>
      <w:r w:rsidR="003B3CF3" w:rsidRPr="0089051B">
        <w:rPr>
          <w:rFonts w:ascii="Times New Roman" w:hAnsi="Times New Roman" w:cs="Times New Roman"/>
        </w:rPr>
        <w:t xml:space="preserve">In </w:t>
      </w:r>
      <w:r w:rsidR="00B33493" w:rsidRPr="0089051B">
        <w:rPr>
          <w:rFonts w:ascii="Times New Roman" w:hAnsi="Times New Roman" w:cs="Times New Roman"/>
        </w:rPr>
        <w:t>the latter</w:t>
      </w:r>
      <w:r w:rsidR="00494296" w:rsidRPr="0089051B">
        <w:rPr>
          <w:rFonts w:ascii="Times New Roman" w:hAnsi="Times New Roman" w:cs="Times New Roman"/>
        </w:rPr>
        <w:t xml:space="preserve"> case, there is </w:t>
      </w:r>
      <w:r w:rsidR="00B33493" w:rsidRPr="0089051B">
        <w:rPr>
          <w:rFonts w:ascii="Times New Roman" w:hAnsi="Times New Roman" w:cs="Times New Roman"/>
        </w:rPr>
        <w:t xml:space="preserve">a further </w:t>
      </w:r>
      <w:r w:rsidR="00494296" w:rsidRPr="0089051B">
        <w:rPr>
          <w:rFonts w:ascii="Times New Roman" w:hAnsi="Times New Roman" w:cs="Times New Roman"/>
        </w:rPr>
        <w:t xml:space="preserve">choice to be made about whether the domestic judges should act as delegates of a devolved Union competence to be exercised according to </w:t>
      </w:r>
      <w:r w:rsidR="003B3CF3" w:rsidRPr="0089051B">
        <w:rPr>
          <w:rFonts w:ascii="Times New Roman" w:hAnsi="Times New Roman" w:cs="Times New Roman"/>
        </w:rPr>
        <w:t xml:space="preserve">criteria derived entirely from </w:t>
      </w:r>
      <w:r w:rsidR="00494296" w:rsidRPr="0089051B">
        <w:rPr>
          <w:rFonts w:ascii="Times New Roman" w:hAnsi="Times New Roman" w:cs="Times New Roman"/>
        </w:rPr>
        <w:t xml:space="preserve">the Court’s </w:t>
      </w:r>
      <w:proofErr w:type="spellStart"/>
      <w:r w:rsidR="00494296" w:rsidRPr="0089051B">
        <w:rPr>
          <w:rFonts w:ascii="Times New Roman" w:hAnsi="Times New Roman" w:cs="Times New Roman"/>
        </w:rPr>
        <w:t>caselaw</w:t>
      </w:r>
      <w:proofErr w:type="spellEnd"/>
      <w:r w:rsidR="00494296" w:rsidRPr="0089051B">
        <w:rPr>
          <w:rFonts w:ascii="Times New Roman" w:hAnsi="Times New Roman" w:cs="Times New Roman"/>
        </w:rPr>
        <w:t xml:space="preserve">; </w:t>
      </w:r>
      <w:r w:rsidR="003B3CF3" w:rsidRPr="0089051B">
        <w:rPr>
          <w:rFonts w:ascii="Times New Roman" w:hAnsi="Times New Roman" w:cs="Times New Roman"/>
        </w:rPr>
        <w:t xml:space="preserve">or </w:t>
      </w:r>
      <w:r w:rsidR="00494296" w:rsidRPr="0089051B">
        <w:rPr>
          <w:rFonts w:ascii="Times New Roman" w:hAnsi="Times New Roman" w:cs="Times New Roman"/>
        </w:rPr>
        <w:t xml:space="preserve">might instead call upon a </w:t>
      </w:r>
      <w:r w:rsidR="003B3CF3" w:rsidRPr="0089051B">
        <w:rPr>
          <w:rFonts w:ascii="Times New Roman" w:hAnsi="Times New Roman" w:cs="Times New Roman"/>
        </w:rPr>
        <w:t xml:space="preserve">competence </w:t>
      </w:r>
      <w:r w:rsidR="00494296" w:rsidRPr="0089051B">
        <w:rPr>
          <w:rFonts w:ascii="Times New Roman" w:hAnsi="Times New Roman" w:cs="Times New Roman"/>
        </w:rPr>
        <w:t xml:space="preserve">created unilaterally under national law but subject to Union </w:t>
      </w:r>
      <w:r w:rsidR="003B3CF3" w:rsidRPr="0089051B">
        <w:rPr>
          <w:rFonts w:ascii="Times New Roman" w:hAnsi="Times New Roman" w:cs="Times New Roman"/>
        </w:rPr>
        <w:t xml:space="preserve">scrutiny </w:t>
      </w:r>
      <w:r w:rsidR="00494296" w:rsidRPr="0089051B">
        <w:rPr>
          <w:rFonts w:ascii="Times New Roman" w:hAnsi="Times New Roman" w:cs="Times New Roman"/>
        </w:rPr>
        <w:t xml:space="preserve">(for example) </w:t>
      </w:r>
      <w:r w:rsidR="003B3CF3" w:rsidRPr="0089051B">
        <w:rPr>
          <w:rFonts w:ascii="Times New Roman" w:hAnsi="Times New Roman" w:cs="Times New Roman"/>
        </w:rPr>
        <w:t xml:space="preserve">in accordance with </w:t>
      </w:r>
      <w:r w:rsidR="00494296" w:rsidRPr="0089051B">
        <w:rPr>
          <w:rFonts w:ascii="Times New Roman" w:hAnsi="Times New Roman" w:cs="Times New Roman"/>
        </w:rPr>
        <w:t xml:space="preserve">the </w:t>
      </w:r>
      <w:r w:rsidR="003B3CF3" w:rsidRPr="0089051B">
        <w:rPr>
          <w:rFonts w:ascii="Times New Roman" w:hAnsi="Times New Roman" w:cs="Times New Roman"/>
        </w:rPr>
        <w:t>principles of equivalence and effectiveness</w:t>
      </w:r>
      <w:r w:rsidR="00494296" w:rsidRPr="0089051B">
        <w:rPr>
          <w:rFonts w:ascii="Times New Roman" w:hAnsi="Times New Roman" w:cs="Times New Roman"/>
        </w:rPr>
        <w:t xml:space="preserve">.  Needless to say, the more centralised the jurisdiction and / or the stricter the criteria for its valid exercise, the less of a risk to uniformity and effectiveness that would be posed by any power to permit “stays of execution” for incompatible national rules.  </w:t>
      </w:r>
    </w:p>
    <w:p w14:paraId="4B1BE36F" w14:textId="3DEA6AA9" w:rsidR="006E5E55" w:rsidRPr="0089051B" w:rsidRDefault="00813611" w:rsidP="006E5E55">
      <w:pPr>
        <w:ind w:firstLine="720"/>
        <w:jc w:val="both"/>
        <w:rPr>
          <w:rFonts w:ascii="Times New Roman" w:hAnsi="Times New Roman" w:cs="Times New Roman"/>
        </w:rPr>
      </w:pPr>
      <w:r w:rsidRPr="0089051B">
        <w:rPr>
          <w:rFonts w:ascii="Times New Roman" w:hAnsi="Times New Roman" w:cs="Times New Roman"/>
        </w:rPr>
        <w:t xml:space="preserve">Let’s move on to the argument based on effective judicial protection.  Again, it has to be said that the point is less compelling or at least absolute that might first appear.  It is true that, in cases concerning temporal limits on the </w:t>
      </w:r>
      <w:r w:rsidR="00304C2A" w:rsidRPr="0089051B">
        <w:rPr>
          <w:rFonts w:ascii="Times New Roman" w:hAnsi="Times New Roman" w:cs="Times New Roman"/>
        </w:rPr>
        <w:t xml:space="preserve">retrospective </w:t>
      </w:r>
      <w:r w:rsidRPr="0089051B">
        <w:rPr>
          <w:rFonts w:ascii="Times New Roman" w:hAnsi="Times New Roman" w:cs="Times New Roman"/>
        </w:rPr>
        <w:t xml:space="preserve">effects of annulment or invalidity of Union acts, or on the incompatibility of national measures, the </w:t>
      </w:r>
      <w:r w:rsidR="00304C2A" w:rsidRPr="0089051B">
        <w:rPr>
          <w:rFonts w:ascii="Times New Roman" w:hAnsi="Times New Roman" w:cs="Times New Roman"/>
        </w:rPr>
        <w:t xml:space="preserve">Court usually </w:t>
      </w:r>
      <w:r w:rsidRPr="0089051B">
        <w:rPr>
          <w:rFonts w:ascii="Times New Roman" w:hAnsi="Times New Roman" w:cs="Times New Roman"/>
        </w:rPr>
        <w:t xml:space="preserve">makes an exception for the claimant who initiated the relevant litigation and comparable </w:t>
      </w:r>
      <w:r w:rsidR="00304C2A" w:rsidRPr="0089051B">
        <w:rPr>
          <w:rFonts w:ascii="Times New Roman" w:hAnsi="Times New Roman" w:cs="Times New Roman"/>
        </w:rPr>
        <w:t>cases</w:t>
      </w:r>
      <w:r w:rsidRPr="0089051B">
        <w:rPr>
          <w:rFonts w:ascii="Times New Roman" w:hAnsi="Times New Roman" w:cs="Times New Roman"/>
        </w:rPr>
        <w:t xml:space="preserve"> already pending before the courts.</w:t>
      </w:r>
      <w:r w:rsidRPr="0089051B">
        <w:rPr>
          <w:rStyle w:val="FootnoteReference"/>
          <w:rFonts w:ascii="Times New Roman" w:hAnsi="Times New Roman" w:cs="Times New Roman"/>
        </w:rPr>
        <w:footnoteReference w:id="110"/>
      </w:r>
      <w:r w:rsidRPr="0089051B">
        <w:rPr>
          <w:rFonts w:ascii="Times New Roman" w:hAnsi="Times New Roman" w:cs="Times New Roman"/>
        </w:rPr>
        <w:t xml:space="preserve">  But the approach is </w:t>
      </w:r>
      <w:r w:rsidR="00AD01A3">
        <w:rPr>
          <w:rFonts w:ascii="Times New Roman" w:hAnsi="Times New Roman" w:cs="Times New Roman"/>
        </w:rPr>
        <w:t>often</w:t>
      </w:r>
      <w:r w:rsidRPr="0089051B">
        <w:rPr>
          <w:rFonts w:ascii="Times New Roman" w:hAnsi="Times New Roman" w:cs="Times New Roman"/>
        </w:rPr>
        <w:t xml:space="preserve"> different in </w:t>
      </w:r>
      <w:r w:rsidR="00304C2A" w:rsidRPr="0089051B">
        <w:rPr>
          <w:rFonts w:ascii="Times New Roman" w:hAnsi="Times New Roman" w:cs="Times New Roman"/>
        </w:rPr>
        <w:t xml:space="preserve">cases involving </w:t>
      </w:r>
      <w:r w:rsidRPr="0089051B">
        <w:rPr>
          <w:rFonts w:ascii="Times New Roman" w:hAnsi="Times New Roman" w:cs="Times New Roman"/>
        </w:rPr>
        <w:t xml:space="preserve">challenges to the legality of </w:t>
      </w:r>
      <w:r w:rsidR="00304C2A" w:rsidRPr="0089051B">
        <w:rPr>
          <w:rFonts w:ascii="Times New Roman" w:hAnsi="Times New Roman" w:cs="Times New Roman"/>
        </w:rPr>
        <w:t xml:space="preserve">Union </w:t>
      </w:r>
      <w:r w:rsidRPr="0089051B">
        <w:rPr>
          <w:rFonts w:ascii="Times New Roman" w:hAnsi="Times New Roman" w:cs="Times New Roman"/>
        </w:rPr>
        <w:t>action in which the Court decides to exercise its power to maintain the prospective legal effects of the relevant measure pending the adoption of a lawful alternative by the competent Union institutions.</w:t>
      </w:r>
      <w:r w:rsidR="002F7520" w:rsidRPr="0089051B">
        <w:rPr>
          <w:rStyle w:val="FootnoteReference"/>
          <w:rFonts w:ascii="Times New Roman" w:hAnsi="Times New Roman" w:cs="Times New Roman"/>
        </w:rPr>
        <w:footnoteReference w:id="111"/>
      </w:r>
      <w:r w:rsidRPr="0089051B">
        <w:rPr>
          <w:rFonts w:ascii="Times New Roman" w:hAnsi="Times New Roman" w:cs="Times New Roman"/>
        </w:rPr>
        <w:t xml:space="preserve">  Here, </w:t>
      </w:r>
      <w:r w:rsidR="003E1811" w:rsidRPr="0089051B">
        <w:rPr>
          <w:rFonts w:ascii="Times New Roman" w:hAnsi="Times New Roman" w:cs="Times New Roman"/>
        </w:rPr>
        <w:t xml:space="preserve">it seems that </w:t>
      </w:r>
      <w:r w:rsidRPr="0089051B">
        <w:rPr>
          <w:rFonts w:ascii="Times New Roman" w:hAnsi="Times New Roman" w:cs="Times New Roman"/>
        </w:rPr>
        <w:t xml:space="preserve">the principle of effective judicial protection </w:t>
      </w:r>
      <w:r w:rsidR="003E1811" w:rsidRPr="0089051B">
        <w:rPr>
          <w:rFonts w:ascii="Times New Roman" w:hAnsi="Times New Roman" w:cs="Times New Roman"/>
        </w:rPr>
        <w:t xml:space="preserve">offers </w:t>
      </w:r>
      <w:r w:rsidRPr="0089051B">
        <w:rPr>
          <w:rFonts w:ascii="Times New Roman" w:hAnsi="Times New Roman" w:cs="Times New Roman"/>
        </w:rPr>
        <w:t>legitimate space for the general interest to prevail over the rights or interests of the individual claimant</w:t>
      </w:r>
      <w:r w:rsidR="003E1811" w:rsidRPr="0089051B">
        <w:rPr>
          <w:rFonts w:ascii="Times New Roman" w:hAnsi="Times New Roman" w:cs="Times New Roman"/>
        </w:rPr>
        <w:t>, i.e. when it comes to the specific legal consequences of an infringement of the public authority’s constitutional or administrative law obligations and regardless of how correct their action proved to be on its own particular merits</w:t>
      </w:r>
      <w:r w:rsidRPr="0089051B">
        <w:rPr>
          <w:rFonts w:ascii="Times New Roman" w:hAnsi="Times New Roman" w:cs="Times New Roman"/>
        </w:rPr>
        <w:t>.</w:t>
      </w:r>
      <w:r w:rsidR="003E1811" w:rsidRPr="0089051B">
        <w:rPr>
          <w:rStyle w:val="FootnoteReference"/>
          <w:rFonts w:ascii="Times New Roman" w:hAnsi="Times New Roman" w:cs="Times New Roman"/>
        </w:rPr>
        <w:footnoteReference w:id="112"/>
      </w:r>
      <w:r w:rsidRPr="0089051B">
        <w:rPr>
          <w:rFonts w:ascii="Times New Roman" w:hAnsi="Times New Roman" w:cs="Times New Roman"/>
        </w:rPr>
        <w:t xml:space="preserve">  </w:t>
      </w:r>
    </w:p>
    <w:p w14:paraId="4B4DBD27" w14:textId="5652E825" w:rsidR="006E5E55" w:rsidRPr="0089051B" w:rsidRDefault="003E1811" w:rsidP="006E5E55">
      <w:pPr>
        <w:ind w:firstLine="720"/>
        <w:jc w:val="both"/>
        <w:rPr>
          <w:rFonts w:ascii="Times New Roman" w:hAnsi="Times New Roman" w:cs="Times New Roman"/>
        </w:rPr>
      </w:pPr>
      <w:r w:rsidRPr="0089051B">
        <w:rPr>
          <w:rFonts w:ascii="Times New Roman" w:hAnsi="Times New Roman" w:cs="Times New Roman"/>
        </w:rPr>
        <w:t>Moreover</w:t>
      </w:r>
      <w:r w:rsidR="00813611" w:rsidRPr="0089051B">
        <w:rPr>
          <w:rFonts w:ascii="Times New Roman" w:hAnsi="Times New Roman" w:cs="Times New Roman"/>
        </w:rPr>
        <w:t xml:space="preserve">, </w:t>
      </w:r>
      <w:r w:rsidR="002F7520" w:rsidRPr="0089051B">
        <w:rPr>
          <w:rFonts w:ascii="Times New Roman" w:hAnsi="Times New Roman" w:cs="Times New Roman"/>
        </w:rPr>
        <w:t xml:space="preserve">the requirements of effective judicial protection need to be viewed within their broader context.  In the first place, </w:t>
      </w:r>
      <w:r w:rsidR="00A209A0" w:rsidRPr="0089051B">
        <w:rPr>
          <w:rFonts w:ascii="Times New Roman" w:hAnsi="Times New Roman" w:cs="Times New Roman"/>
        </w:rPr>
        <w:t xml:space="preserve">it is important to clarify the nature and content of the Union law rights at stake in cases which might involve a judicially sanctioned deferral of the remedy of disapplication so as to avoid a potentially damaging legal vacuum.  Take the Treaty free movement rights as an example: their precise scope and extent meets </w:t>
      </w:r>
      <w:r w:rsidRPr="0089051B">
        <w:rPr>
          <w:rFonts w:ascii="Times New Roman" w:hAnsi="Times New Roman" w:cs="Times New Roman"/>
        </w:rPr>
        <w:t>its</w:t>
      </w:r>
      <w:r w:rsidR="00A209A0" w:rsidRPr="0089051B">
        <w:rPr>
          <w:rFonts w:ascii="Times New Roman" w:hAnsi="Times New Roman" w:cs="Times New Roman"/>
        </w:rPr>
        <w:t xml:space="preserve"> limit where Union law in fact permits the Member State to regulate the domestic market (notwithstanding any negative consequences that may have for cross-border trade) – an evaluation which (as we have seen) usually requires the reconciliation of competing public </w:t>
      </w:r>
      <w:r w:rsidR="00B33493" w:rsidRPr="0089051B">
        <w:rPr>
          <w:rFonts w:ascii="Times New Roman" w:hAnsi="Times New Roman" w:cs="Times New Roman"/>
        </w:rPr>
        <w:t xml:space="preserve">and private </w:t>
      </w:r>
      <w:r w:rsidR="00A209A0" w:rsidRPr="0089051B">
        <w:rPr>
          <w:rFonts w:ascii="Times New Roman" w:hAnsi="Times New Roman" w:cs="Times New Roman"/>
        </w:rPr>
        <w:t xml:space="preserve">interests and whose </w:t>
      </w:r>
      <w:r w:rsidR="00A209A0" w:rsidRPr="0089051B">
        <w:rPr>
          <w:rFonts w:ascii="Times New Roman" w:hAnsi="Times New Roman" w:cs="Times New Roman"/>
        </w:rPr>
        <w:lastRenderedPageBreak/>
        <w:t>outcome will often hinge upon a detailed proportionality assessment.</w:t>
      </w:r>
      <w:r w:rsidR="00A209A0" w:rsidRPr="0089051B">
        <w:rPr>
          <w:rStyle w:val="FootnoteReference"/>
          <w:rFonts w:ascii="Times New Roman" w:hAnsi="Times New Roman" w:cs="Times New Roman"/>
        </w:rPr>
        <w:footnoteReference w:id="113"/>
      </w:r>
      <w:r w:rsidR="00A209A0" w:rsidRPr="0089051B">
        <w:rPr>
          <w:rFonts w:ascii="Times New Roman" w:hAnsi="Times New Roman" w:cs="Times New Roman"/>
        </w:rPr>
        <w:t xml:space="preserve">  The principle of </w:t>
      </w:r>
      <w:r w:rsidR="00B81FD5" w:rsidRPr="0089051B">
        <w:rPr>
          <w:rFonts w:ascii="Times New Roman" w:hAnsi="Times New Roman" w:cs="Times New Roman"/>
        </w:rPr>
        <w:t>primacy</w:t>
      </w:r>
      <w:r w:rsidR="00A209A0" w:rsidRPr="0089051B">
        <w:rPr>
          <w:rFonts w:ascii="Times New Roman" w:hAnsi="Times New Roman" w:cs="Times New Roman"/>
        </w:rPr>
        <w:t xml:space="preserve"> and the expectation of disapplication risk giving the impression that the right to free movement is more extensive </w:t>
      </w:r>
      <w:r w:rsidRPr="0089051B">
        <w:rPr>
          <w:rFonts w:ascii="Times New Roman" w:hAnsi="Times New Roman" w:cs="Times New Roman"/>
        </w:rPr>
        <w:t xml:space="preserve">and potent than it actually is.  But strictly speaking, Union law creates a right to cross-border commerce only under </w:t>
      </w:r>
      <w:proofErr w:type="gramStart"/>
      <w:r w:rsidRPr="0089051B">
        <w:rPr>
          <w:rFonts w:ascii="Times New Roman" w:hAnsi="Times New Roman" w:cs="Times New Roman"/>
        </w:rPr>
        <w:t>conditions which</w:t>
      </w:r>
      <w:proofErr w:type="gramEnd"/>
      <w:r w:rsidRPr="0089051B">
        <w:rPr>
          <w:rFonts w:ascii="Times New Roman" w:hAnsi="Times New Roman" w:cs="Times New Roman"/>
        </w:rPr>
        <w:t xml:space="preserve"> are properly regulated in the public interest; for their part, disgruntled traders are entitled to feel aggrieved only to the extent that the </w:t>
      </w:r>
      <w:r w:rsidR="00A209A0" w:rsidRPr="0089051B">
        <w:rPr>
          <w:rFonts w:ascii="Times New Roman" w:hAnsi="Times New Roman" w:cs="Times New Roman"/>
        </w:rPr>
        <w:t xml:space="preserve">Member State </w:t>
      </w:r>
      <w:r w:rsidRPr="0089051B">
        <w:rPr>
          <w:rFonts w:ascii="Times New Roman" w:hAnsi="Times New Roman" w:cs="Times New Roman"/>
        </w:rPr>
        <w:t xml:space="preserve">has </w:t>
      </w:r>
      <w:r w:rsidR="00A209A0" w:rsidRPr="0089051B">
        <w:rPr>
          <w:rFonts w:ascii="Times New Roman" w:hAnsi="Times New Roman" w:cs="Times New Roman"/>
        </w:rPr>
        <w:t xml:space="preserve">overstepped the boundaries of legitimate market </w:t>
      </w:r>
      <w:r w:rsidRPr="0089051B">
        <w:rPr>
          <w:rFonts w:ascii="Times New Roman" w:hAnsi="Times New Roman" w:cs="Times New Roman"/>
        </w:rPr>
        <w:t>management</w:t>
      </w:r>
      <w:r w:rsidR="00A209A0" w:rsidRPr="0089051B">
        <w:rPr>
          <w:rFonts w:ascii="Times New Roman" w:hAnsi="Times New Roman" w:cs="Times New Roman"/>
        </w:rPr>
        <w:t>.</w:t>
      </w:r>
      <w:r w:rsidRPr="0089051B">
        <w:rPr>
          <w:rStyle w:val="FootnoteReference"/>
          <w:rFonts w:ascii="Times New Roman" w:hAnsi="Times New Roman" w:cs="Times New Roman"/>
        </w:rPr>
        <w:footnoteReference w:id="114"/>
      </w:r>
    </w:p>
    <w:p w14:paraId="1FBD346A" w14:textId="3F751CB8" w:rsidR="003B3CF3" w:rsidRPr="0089051B" w:rsidRDefault="002F7520" w:rsidP="006E5E55">
      <w:pPr>
        <w:ind w:firstLine="720"/>
        <w:jc w:val="both"/>
        <w:rPr>
          <w:rFonts w:ascii="Times New Roman" w:hAnsi="Times New Roman" w:cs="Times New Roman"/>
        </w:rPr>
      </w:pPr>
      <w:r w:rsidRPr="0089051B">
        <w:rPr>
          <w:rFonts w:ascii="Times New Roman" w:hAnsi="Times New Roman" w:cs="Times New Roman"/>
        </w:rPr>
        <w:t xml:space="preserve">In the second place, </w:t>
      </w:r>
      <w:r w:rsidR="003E1811" w:rsidRPr="0089051B">
        <w:rPr>
          <w:rFonts w:ascii="Times New Roman" w:hAnsi="Times New Roman" w:cs="Times New Roman"/>
        </w:rPr>
        <w:t xml:space="preserve">the fact that a competent court might decide to uphold the prospective legal effects of a measure which is admittedly flawed by breach of a higher legal obligation, does not mean that the claimant </w:t>
      </w:r>
      <w:r w:rsidR="004615B0" w:rsidRPr="0089051B">
        <w:rPr>
          <w:rFonts w:ascii="Times New Roman" w:hAnsi="Times New Roman" w:cs="Times New Roman"/>
        </w:rPr>
        <w:t xml:space="preserve">who is vindicated on the merits of their case is nevertheless left empty-handed when it comes to the possibility of effective judicial protection.  The latter imperative can still be served by alternative avenues of redress: for example, by seeking reparation from the competent authority in respect of losses suffered through the infringement of its constitutional or administrative law obligations under the applicable regime on non-contractual liability.  For present </w:t>
      </w:r>
      <w:proofErr w:type="gramStart"/>
      <w:r w:rsidR="004615B0" w:rsidRPr="0089051B">
        <w:rPr>
          <w:rFonts w:ascii="Times New Roman" w:hAnsi="Times New Roman" w:cs="Times New Roman"/>
        </w:rPr>
        <w:t>purposes, that means</w:t>
      </w:r>
      <w:proofErr w:type="gramEnd"/>
      <w:r w:rsidR="004615B0" w:rsidRPr="0089051B">
        <w:rPr>
          <w:rFonts w:ascii="Times New Roman" w:hAnsi="Times New Roman" w:cs="Times New Roman"/>
        </w:rPr>
        <w:t xml:space="preserve"> balancing the recognition of any jurisdiction temporarily to withhold the remedy of disapplication in respect of incompatible national measures, against the possibility of the claimant still being entitled bringing a </w:t>
      </w:r>
      <w:proofErr w:type="spellStart"/>
      <w:r w:rsidR="004615B0" w:rsidRPr="0089051B">
        <w:rPr>
          <w:rFonts w:ascii="Times New Roman" w:hAnsi="Times New Roman" w:cs="Times New Roman"/>
          <w:i/>
        </w:rPr>
        <w:t>Francovich</w:t>
      </w:r>
      <w:proofErr w:type="spellEnd"/>
      <w:r w:rsidR="004615B0" w:rsidRPr="0089051B">
        <w:rPr>
          <w:rFonts w:ascii="Times New Roman" w:hAnsi="Times New Roman" w:cs="Times New Roman"/>
          <w:i/>
        </w:rPr>
        <w:t xml:space="preserve"> </w:t>
      </w:r>
      <w:r w:rsidR="004615B0" w:rsidRPr="0089051B">
        <w:rPr>
          <w:rFonts w:ascii="Times New Roman" w:hAnsi="Times New Roman" w:cs="Times New Roman"/>
        </w:rPr>
        <w:t>action against the Member State.</w:t>
      </w:r>
      <w:r w:rsidR="004615B0" w:rsidRPr="0089051B">
        <w:rPr>
          <w:rStyle w:val="FootnoteReference"/>
          <w:rFonts w:ascii="Times New Roman" w:hAnsi="Times New Roman" w:cs="Times New Roman"/>
        </w:rPr>
        <w:footnoteReference w:id="115"/>
      </w:r>
      <w:r w:rsidR="004615B0" w:rsidRPr="0089051B">
        <w:rPr>
          <w:rFonts w:ascii="Times New Roman" w:hAnsi="Times New Roman" w:cs="Times New Roman"/>
        </w:rPr>
        <w:t xml:space="preserve">  Of course, interesting questions would need to be addressed: for example, about whether the grant of any “stay of execution” for incompatible national rules should be treated as a relevant factor in establishing liability and whether such relevance should make access to reparation more or less likely.</w:t>
      </w:r>
      <w:r w:rsidR="00BB6DF8" w:rsidRPr="0089051B">
        <w:rPr>
          <w:rFonts w:ascii="Times New Roman" w:hAnsi="Times New Roman" w:cs="Times New Roman"/>
        </w:rPr>
        <w:t xml:space="preserve">  But the underlying point remains the same.  The requirements of effective judicial protection under Union law can and often are satisfied other than by insisting that a national court must grant the remedy of disapplication.</w:t>
      </w:r>
      <w:r w:rsidR="00BB6DF8" w:rsidRPr="0089051B">
        <w:rPr>
          <w:rStyle w:val="FootnoteReference"/>
          <w:rFonts w:ascii="Times New Roman" w:hAnsi="Times New Roman" w:cs="Times New Roman"/>
        </w:rPr>
        <w:footnoteReference w:id="116"/>
      </w:r>
      <w:r w:rsidR="00BB6DF8" w:rsidRPr="0089051B">
        <w:rPr>
          <w:rFonts w:ascii="Times New Roman" w:hAnsi="Times New Roman" w:cs="Times New Roman"/>
        </w:rPr>
        <w:t xml:space="preserve">  If that is true in other situations, then the need to protect individual rights under Union law hardly creates an insuperable obstacle to recognising an additional limit on the full effects of the principle of </w:t>
      </w:r>
      <w:r w:rsidR="00B81FD5" w:rsidRPr="0089051B">
        <w:rPr>
          <w:rFonts w:ascii="Times New Roman" w:hAnsi="Times New Roman" w:cs="Times New Roman"/>
        </w:rPr>
        <w:t>primacy</w:t>
      </w:r>
      <w:r w:rsidR="00BB6DF8" w:rsidRPr="0089051B">
        <w:rPr>
          <w:rFonts w:ascii="Times New Roman" w:hAnsi="Times New Roman" w:cs="Times New Roman"/>
        </w:rPr>
        <w:t xml:space="preserve"> for the sake of preventing a damaging legal vacuum.  </w:t>
      </w:r>
      <w:r w:rsidR="004615B0" w:rsidRPr="0089051B">
        <w:rPr>
          <w:rFonts w:ascii="Times New Roman" w:hAnsi="Times New Roman" w:cs="Times New Roman"/>
        </w:rPr>
        <w:t xml:space="preserve"> </w:t>
      </w:r>
    </w:p>
    <w:p w14:paraId="11DE153F" w14:textId="77777777" w:rsidR="008766F2" w:rsidRPr="0089051B" w:rsidRDefault="008766F2" w:rsidP="0061452E">
      <w:pPr>
        <w:jc w:val="both"/>
        <w:rPr>
          <w:rFonts w:ascii="Times New Roman" w:hAnsi="Times New Roman" w:cs="Times New Roman"/>
        </w:rPr>
      </w:pPr>
    </w:p>
    <w:p w14:paraId="2226F482" w14:textId="65DE7C75" w:rsidR="00AA0FDE" w:rsidRPr="0089051B" w:rsidRDefault="00727EDA" w:rsidP="0061452E">
      <w:pPr>
        <w:jc w:val="both"/>
        <w:rPr>
          <w:rFonts w:ascii="Times New Roman" w:hAnsi="Times New Roman" w:cs="Times New Roman"/>
          <w:b/>
        </w:rPr>
      </w:pPr>
      <w:r w:rsidRPr="0089051B">
        <w:rPr>
          <w:rFonts w:ascii="Times New Roman" w:hAnsi="Times New Roman" w:cs="Times New Roman"/>
          <w:b/>
        </w:rPr>
        <w:t xml:space="preserve">6. </w:t>
      </w:r>
      <w:r w:rsidRPr="0089051B">
        <w:rPr>
          <w:rFonts w:ascii="Times New Roman" w:hAnsi="Times New Roman" w:cs="Times New Roman"/>
          <w:b/>
        </w:rPr>
        <w:tab/>
      </w:r>
      <w:r w:rsidR="00AA0FDE" w:rsidRPr="0089051B">
        <w:rPr>
          <w:rFonts w:ascii="Times New Roman" w:hAnsi="Times New Roman" w:cs="Times New Roman"/>
          <w:b/>
        </w:rPr>
        <w:t xml:space="preserve">Managing the prospective impacts of disapplication: centralised and decentralised jurisdictions </w:t>
      </w:r>
    </w:p>
    <w:p w14:paraId="107B35E2" w14:textId="77777777" w:rsidR="00EE381D" w:rsidRPr="0089051B" w:rsidRDefault="00EE381D" w:rsidP="0061452E">
      <w:pPr>
        <w:jc w:val="both"/>
        <w:rPr>
          <w:rFonts w:ascii="Times New Roman" w:hAnsi="Times New Roman" w:cs="Times New Roman"/>
        </w:rPr>
      </w:pPr>
    </w:p>
    <w:p w14:paraId="5D49E1E0" w14:textId="22D9C1A4" w:rsidR="006E5E55" w:rsidRPr="0089051B" w:rsidRDefault="00080A9F" w:rsidP="0061452E">
      <w:pPr>
        <w:jc w:val="both"/>
        <w:rPr>
          <w:rFonts w:ascii="Times New Roman" w:hAnsi="Times New Roman" w:cs="Times New Roman"/>
        </w:rPr>
      </w:pPr>
      <w:r w:rsidRPr="0089051B">
        <w:rPr>
          <w:rFonts w:ascii="Times New Roman" w:hAnsi="Times New Roman" w:cs="Times New Roman"/>
        </w:rPr>
        <w:t xml:space="preserve">How has the Court responded to this debate over the relative merits and dangers of permitting limits to the full prospective effects of </w:t>
      </w:r>
      <w:r w:rsidR="00B81FD5" w:rsidRPr="0089051B">
        <w:rPr>
          <w:rFonts w:ascii="Times New Roman" w:hAnsi="Times New Roman" w:cs="Times New Roman"/>
        </w:rPr>
        <w:t>primacy</w:t>
      </w:r>
      <w:r w:rsidRPr="0089051B">
        <w:rPr>
          <w:rFonts w:ascii="Times New Roman" w:hAnsi="Times New Roman" w:cs="Times New Roman"/>
        </w:rPr>
        <w:t xml:space="preserve">?  Would the Court do </w:t>
      </w:r>
      <w:r w:rsidR="00A31CFC" w:rsidRPr="0089051B">
        <w:rPr>
          <w:rFonts w:ascii="Times New Roman" w:hAnsi="Times New Roman" w:cs="Times New Roman"/>
        </w:rPr>
        <w:t>nothing</w:t>
      </w:r>
      <w:r w:rsidRPr="0089051B">
        <w:rPr>
          <w:rFonts w:ascii="Times New Roman" w:hAnsi="Times New Roman" w:cs="Times New Roman"/>
        </w:rPr>
        <w:t xml:space="preserve">, </w:t>
      </w:r>
      <w:r w:rsidR="006E3993" w:rsidRPr="0089051B">
        <w:rPr>
          <w:rFonts w:ascii="Times New Roman" w:hAnsi="Times New Roman" w:cs="Times New Roman"/>
        </w:rPr>
        <w:t>reject</w:t>
      </w:r>
      <w:r w:rsidRPr="0089051B">
        <w:rPr>
          <w:rFonts w:ascii="Times New Roman" w:hAnsi="Times New Roman" w:cs="Times New Roman"/>
        </w:rPr>
        <w:t xml:space="preserve"> </w:t>
      </w:r>
      <w:r w:rsidR="006E3993" w:rsidRPr="0089051B">
        <w:rPr>
          <w:rFonts w:ascii="Times New Roman" w:hAnsi="Times New Roman" w:cs="Times New Roman"/>
        </w:rPr>
        <w:t xml:space="preserve">even </w:t>
      </w:r>
      <w:r w:rsidRPr="0089051B">
        <w:rPr>
          <w:rFonts w:ascii="Times New Roman" w:hAnsi="Times New Roman" w:cs="Times New Roman"/>
        </w:rPr>
        <w:t xml:space="preserve">the possibility </w:t>
      </w:r>
      <w:r w:rsidR="006E3993" w:rsidRPr="0089051B">
        <w:rPr>
          <w:rFonts w:ascii="Times New Roman" w:hAnsi="Times New Roman" w:cs="Times New Roman"/>
        </w:rPr>
        <w:t xml:space="preserve">of </w:t>
      </w:r>
      <w:r w:rsidRPr="0089051B">
        <w:rPr>
          <w:rFonts w:ascii="Times New Roman" w:hAnsi="Times New Roman" w:cs="Times New Roman"/>
        </w:rPr>
        <w:t xml:space="preserve">granting a “stay of execution” to incompatible national rules otherwise facing </w:t>
      </w:r>
      <w:r w:rsidR="006E3993" w:rsidRPr="0089051B">
        <w:rPr>
          <w:rFonts w:ascii="Times New Roman" w:hAnsi="Times New Roman" w:cs="Times New Roman"/>
        </w:rPr>
        <w:t>disapplication</w:t>
      </w:r>
      <w:r w:rsidRPr="0089051B">
        <w:rPr>
          <w:rFonts w:ascii="Times New Roman" w:hAnsi="Times New Roman" w:cs="Times New Roman"/>
        </w:rPr>
        <w:t xml:space="preserve">, and perhaps risk certain domestic judges one day opening another channel of disquiet about the principle of primacy and its specific impacts within the national legal system?  Or would the Court accept that legal vacuums are a legitimate source of concern, best addressed by internalising the problem into the structures and processes of Union law itself, </w:t>
      </w:r>
      <w:r w:rsidR="007F64E9" w:rsidRPr="0089051B">
        <w:rPr>
          <w:rFonts w:ascii="Times New Roman" w:hAnsi="Times New Roman" w:cs="Times New Roman"/>
        </w:rPr>
        <w:t xml:space="preserve">and expanding </w:t>
      </w:r>
      <w:r w:rsidRPr="0089051B">
        <w:rPr>
          <w:rFonts w:ascii="Times New Roman" w:hAnsi="Times New Roman" w:cs="Times New Roman"/>
        </w:rPr>
        <w:t>the jurisdiction (whether centralised</w:t>
      </w:r>
      <w:r w:rsidR="007F64E9" w:rsidRPr="0089051B">
        <w:rPr>
          <w:rFonts w:ascii="Times New Roman" w:hAnsi="Times New Roman" w:cs="Times New Roman"/>
        </w:rPr>
        <w:t xml:space="preserve"> or </w:t>
      </w:r>
      <w:r w:rsidRPr="0089051B">
        <w:rPr>
          <w:rFonts w:ascii="Times New Roman" w:hAnsi="Times New Roman" w:cs="Times New Roman"/>
        </w:rPr>
        <w:t>decentralised) to withhold the remedy of disapplication?</w:t>
      </w:r>
    </w:p>
    <w:p w14:paraId="56A06EBB" w14:textId="650AAF75" w:rsidR="00304C2A" w:rsidRPr="0089051B" w:rsidRDefault="007F64E9" w:rsidP="006E5E55">
      <w:pPr>
        <w:ind w:firstLine="720"/>
        <w:jc w:val="both"/>
        <w:rPr>
          <w:rFonts w:ascii="Times New Roman" w:hAnsi="Times New Roman" w:cs="Times New Roman"/>
        </w:rPr>
      </w:pPr>
      <w:r w:rsidRPr="0089051B">
        <w:rPr>
          <w:rFonts w:ascii="Times New Roman" w:hAnsi="Times New Roman" w:cs="Times New Roman"/>
        </w:rPr>
        <w:lastRenderedPageBreak/>
        <w:t xml:space="preserve">The Court’s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remains in its infancy</w:t>
      </w:r>
      <w:r w:rsidR="00B81FD5" w:rsidRPr="0089051B">
        <w:rPr>
          <w:rFonts w:ascii="Times New Roman" w:hAnsi="Times New Roman" w:cs="Times New Roman"/>
        </w:rPr>
        <w:t xml:space="preserve"> and we should be wary of reading too much into the available resources</w:t>
      </w:r>
      <w:r w:rsidRPr="0089051B">
        <w:rPr>
          <w:rFonts w:ascii="Times New Roman" w:hAnsi="Times New Roman" w:cs="Times New Roman"/>
        </w:rPr>
        <w:t xml:space="preserve">.  </w:t>
      </w:r>
      <w:r w:rsidR="00B81FD5" w:rsidRPr="0089051B">
        <w:rPr>
          <w:rFonts w:ascii="Times New Roman" w:hAnsi="Times New Roman" w:cs="Times New Roman"/>
        </w:rPr>
        <w:t>R</w:t>
      </w:r>
      <w:r w:rsidRPr="0089051B">
        <w:rPr>
          <w:rFonts w:ascii="Times New Roman" w:hAnsi="Times New Roman" w:cs="Times New Roman"/>
        </w:rPr>
        <w:t xml:space="preserve">ather unhelpfully, the first two </w:t>
      </w:r>
      <w:r w:rsidR="00266FDE" w:rsidRPr="0089051B">
        <w:rPr>
          <w:rFonts w:ascii="Times New Roman" w:hAnsi="Times New Roman" w:cs="Times New Roman"/>
        </w:rPr>
        <w:t xml:space="preserve">major </w:t>
      </w:r>
      <w:r w:rsidRPr="0089051B">
        <w:rPr>
          <w:rFonts w:ascii="Times New Roman" w:hAnsi="Times New Roman" w:cs="Times New Roman"/>
        </w:rPr>
        <w:t>rulings –</w:t>
      </w:r>
      <w:r w:rsidR="00F63E9A" w:rsidRPr="0089051B">
        <w:rPr>
          <w:rFonts w:ascii="Times New Roman" w:hAnsi="Times New Roman" w:cs="Times New Roman"/>
        </w:rPr>
        <w:t xml:space="preserve"> in </w:t>
      </w:r>
      <w:r w:rsidR="00C72889" w:rsidRPr="0089051B">
        <w:rPr>
          <w:rFonts w:ascii="Times New Roman" w:hAnsi="Times New Roman" w:cs="Times New Roman"/>
          <w:i/>
        </w:rPr>
        <w:t xml:space="preserve">Winner </w:t>
      </w:r>
      <w:proofErr w:type="spellStart"/>
      <w:r w:rsidR="00C72889" w:rsidRPr="0089051B">
        <w:rPr>
          <w:rFonts w:ascii="Times New Roman" w:hAnsi="Times New Roman" w:cs="Times New Roman"/>
          <w:i/>
        </w:rPr>
        <w:t>We</w:t>
      </w:r>
      <w:r w:rsidR="00223462" w:rsidRPr="0089051B">
        <w:rPr>
          <w:rFonts w:ascii="Times New Roman" w:hAnsi="Times New Roman" w:cs="Times New Roman"/>
          <w:i/>
        </w:rPr>
        <w:t>tten</w:t>
      </w:r>
      <w:proofErr w:type="spellEnd"/>
      <w:r w:rsidRPr="0089051B">
        <w:rPr>
          <w:rStyle w:val="FootnoteReference"/>
          <w:rFonts w:ascii="Times New Roman" w:hAnsi="Times New Roman" w:cs="Times New Roman"/>
        </w:rPr>
        <w:footnoteReference w:id="117"/>
      </w:r>
      <w:r w:rsidR="00223462" w:rsidRPr="0089051B">
        <w:rPr>
          <w:rFonts w:ascii="Times New Roman" w:hAnsi="Times New Roman" w:cs="Times New Roman"/>
        </w:rPr>
        <w:t xml:space="preserve"> </w:t>
      </w:r>
      <w:r w:rsidRPr="0089051B">
        <w:rPr>
          <w:rFonts w:ascii="Times New Roman" w:hAnsi="Times New Roman" w:cs="Times New Roman"/>
        </w:rPr>
        <w:t xml:space="preserve">and </w:t>
      </w:r>
      <w:r w:rsidRPr="0089051B">
        <w:rPr>
          <w:rFonts w:ascii="Times New Roman" w:hAnsi="Times New Roman" w:cs="Times New Roman"/>
          <w:i/>
        </w:rPr>
        <w:t>Inter-</w:t>
      </w:r>
      <w:proofErr w:type="spellStart"/>
      <w:r w:rsidRPr="0089051B">
        <w:rPr>
          <w:rFonts w:ascii="Times New Roman" w:hAnsi="Times New Roman" w:cs="Times New Roman"/>
          <w:i/>
        </w:rPr>
        <w:t>Environnement</w:t>
      </w:r>
      <w:proofErr w:type="spellEnd"/>
      <w:r w:rsidRPr="0089051B">
        <w:rPr>
          <w:rFonts w:ascii="Times New Roman" w:hAnsi="Times New Roman" w:cs="Times New Roman"/>
          <w:i/>
        </w:rPr>
        <w:t xml:space="preserve"> </w:t>
      </w:r>
      <w:proofErr w:type="spellStart"/>
      <w:r w:rsidR="00223462" w:rsidRPr="0089051B">
        <w:rPr>
          <w:rFonts w:ascii="Times New Roman" w:hAnsi="Times New Roman" w:cs="Times New Roman"/>
          <w:i/>
        </w:rPr>
        <w:t>Wallonie</w:t>
      </w:r>
      <w:proofErr w:type="spellEnd"/>
      <w:r w:rsidR="00F63E9A" w:rsidRPr="0089051B">
        <w:rPr>
          <w:rFonts w:ascii="Times New Roman" w:hAnsi="Times New Roman" w:cs="Times New Roman"/>
        </w:rPr>
        <w:t>,</w:t>
      </w:r>
      <w:r w:rsidRPr="0089051B">
        <w:rPr>
          <w:rStyle w:val="FootnoteReference"/>
          <w:rFonts w:ascii="Times New Roman" w:hAnsi="Times New Roman" w:cs="Times New Roman"/>
        </w:rPr>
        <w:footnoteReference w:id="118"/>
      </w:r>
      <w:r w:rsidR="00223462" w:rsidRPr="0089051B">
        <w:rPr>
          <w:rFonts w:ascii="Times New Roman" w:hAnsi="Times New Roman" w:cs="Times New Roman"/>
        </w:rPr>
        <w:t xml:space="preserve"> </w:t>
      </w:r>
      <w:r w:rsidR="00F63E9A" w:rsidRPr="0089051B">
        <w:rPr>
          <w:rFonts w:ascii="Times New Roman" w:hAnsi="Times New Roman" w:cs="Times New Roman"/>
        </w:rPr>
        <w:t xml:space="preserve">both from the Grand Chamber </w:t>
      </w:r>
      <w:r w:rsidRPr="0089051B">
        <w:rPr>
          <w:rFonts w:ascii="Times New Roman" w:hAnsi="Times New Roman" w:cs="Times New Roman"/>
        </w:rPr>
        <w:t xml:space="preserve">– suggested very different approaches whose </w:t>
      </w:r>
      <w:r w:rsidR="00266FDE" w:rsidRPr="0089051B">
        <w:rPr>
          <w:rFonts w:ascii="Times New Roman" w:hAnsi="Times New Roman" w:cs="Times New Roman"/>
        </w:rPr>
        <w:t xml:space="preserve">mutual </w:t>
      </w:r>
      <w:r w:rsidRPr="0089051B">
        <w:rPr>
          <w:rFonts w:ascii="Times New Roman" w:hAnsi="Times New Roman" w:cs="Times New Roman"/>
        </w:rPr>
        <w:t xml:space="preserve">relationship and </w:t>
      </w:r>
      <w:r w:rsidR="00266FDE" w:rsidRPr="0089051B">
        <w:rPr>
          <w:rFonts w:ascii="Times New Roman" w:hAnsi="Times New Roman" w:cs="Times New Roman"/>
        </w:rPr>
        <w:t xml:space="preserve">respective </w:t>
      </w:r>
      <w:r w:rsidRPr="0089051B">
        <w:rPr>
          <w:rFonts w:ascii="Times New Roman" w:hAnsi="Times New Roman" w:cs="Times New Roman"/>
        </w:rPr>
        <w:t>implications were open to several competing explanations.</w:t>
      </w:r>
      <w:r w:rsidRPr="0089051B">
        <w:rPr>
          <w:rStyle w:val="FootnoteReference"/>
          <w:rFonts w:ascii="Times New Roman" w:hAnsi="Times New Roman" w:cs="Times New Roman"/>
        </w:rPr>
        <w:footnoteReference w:id="119"/>
      </w:r>
      <w:r w:rsidRPr="0089051B">
        <w:rPr>
          <w:rFonts w:ascii="Times New Roman" w:hAnsi="Times New Roman" w:cs="Times New Roman"/>
        </w:rPr>
        <w:t xml:space="preserve">  But in its subsequent </w:t>
      </w:r>
      <w:r w:rsidR="00F63E9A" w:rsidRPr="0089051B">
        <w:rPr>
          <w:rFonts w:ascii="Times New Roman" w:hAnsi="Times New Roman" w:cs="Times New Roman"/>
        </w:rPr>
        <w:t xml:space="preserve">(First Chamber) </w:t>
      </w:r>
      <w:r w:rsidRPr="0089051B">
        <w:rPr>
          <w:rFonts w:ascii="Times New Roman" w:hAnsi="Times New Roman" w:cs="Times New Roman"/>
        </w:rPr>
        <w:t xml:space="preserve">judgment in </w:t>
      </w:r>
      <w:r w:rsidR="00223462" w:rsidRPr="0089051B">
        <w:rPr>
          <w:rFonts w:ascii="Times New Roman" w:hAnsi="Times New Roman" w:cs="Times New Roman"/>
          <w:i/>
        </w:rPr>
        <w:t>A</w:t>
      </w:r>
      <w:r w:rsidRPr="0089051B">
        <w:rPr>
          <w:rFonts w:ascii="Times New Roman" w:hAnsi="Times New Roman" w:cs="Times New Roman"/>
          <w:i/>
        </w:rPr>
        <w:t>ssociation</w:t>
      </w:r>
      <w:r w:rsidR="00223462" w:rsidRPr="0089051B">
        <w:rPr>
          <w:rFonts w:ascii="Times New Roman" w:hAnsi="Times New Roman" w:cs="Times New Roman"/>
          <w:i/>
        </w:rPr>
        <w:t xml:space="preserve"> France</w:t>
      </w:r>
      <w:r w:rsidRPr="0089051B">
        <w:rPr>
          <w:rFonts w:ascii="Times New Roman" w:hAnsi="Times New Roman" w:cs="Times New Roman"/>
          <w:i/>
        </w:rPr>
        <w:t xml:space="preserve"> Nature </w:t>
      </w:r>
      <w:proofErr w:type="spellStart"/>
      <w:r w:rsidRPr="0089051B">
        <w:rPr>
          <w:rFonts w:ascii="Times New Roman" w:hAnsi="Times New Roman" w:cs="Times New Roman"/>
          <w:i/>
        </w:rPr>
        <w:t>Environnement</w:t>
      </w:r>
      <w:proofErr w:type="spellEnd"/>
      <w:r w:rsidRPr="0089051B">
        <w:rPr>
          <w:rFonts w:ascii="Times New Roman" w:hAnsi="Times New Roman" w:cs="Times New Roman"/>
        </w:rPr>
        <w:t>,</w:t>
      </w:r>
      <w:r w:rsidRPr="0089051B">
        <w:rPr>
          <w:rStyle w:val="FootnoteReference"/>
          <w:rFonts w:ascii="Times New Roman" w:hAnsi="Times New Roman" w:cs="Times New Roman"/>
        </w:rPr>
        <w:footnoteReference w:id="120"/>
      </w:r>
      <w:r w:rsidRPr="0089051B">
        <w:rPr>
          <w:rFonts w:ascii="Times New Roman" w:hAnsi="Times New Roman" w:cs="Times New Roman"/>
        </w:rPr>
        <w:t xml:space="preserve"> the Court seems to have </w:t>
      </w:r>
      <w:r w:rsidR="00B81FD5" w:rsidRPr="0089051B">
        <w:rPr>
          <w:rFonts w:ascii="Times New Roman" w:hAnsi="Times New Roman" w:cs="Times New Roman"/>
        </w:rPr>
        <w:t>plumped</w:t>
      </w:r>
      <w:r w:rsidRPr="0089051B">
        <w:rPr>
          <w:rFonts w:ascii="Times New Roman" w:hAnsi="Times New Roman" w:cs="Times New Roman"/>
        </w:rPr>
        <w:t xml:space="preserve"> </w:t>
      </w:r>
      <w:r w:rsidR="00B81FD5" w:rsidRPr="0089051B">
        <w:rPr>
          <w:rFonts w:ascii="Times New Roman" w:hAnsi="Times New Roman" w:cs="Times New Roman"/>
        </w:rPr>
        <w:t xml:space="preserve">for </w:t>
      </w:r>
      <w:r w:rsidR="00266FDE" w:rsidRPr="0089051B">
        <w:rPr>
          <w:rFonts w:ascii="Times New Roman" w:hAnsi="Times New Roman" w:cs="Times New Roman"/>
        </w:rPr>
        <w:t xml:space="preserve">a solution: what is already true of judicial competence to balance the demands of </w:t>
      </w:r>
      <w:r w:rsidR="00B81FD5" w:rsidRPr="0089051B">
        <w:rPr>
          <w:rFonts w:ascii="Times New Roman" w:hAnsi="Times New Roman" w:cs="Times New Roman"/>
        </w:rPr>
        <w:t>primacy</w:t>
      </w:r>
      <w:r w:rsidR="00266FDE" w:rsidRPr="0089051B">
        <w:rPr>
          <w:rFonts w:ascii="Times New Roman" w:hAnsi="Times New Roman" w:cs="Times New Roman"/>
        </w:rPr>
        <w:t xml:space="preserve"> against the needs of legal certainty, should also apply when it comes to addressing the problem of legal vacuums; Union law provides for a </w:t>
      </w:r>
      <w:r w:rsidR="00304C2A" w:rsidRPr="0089051B">
        <w:rPr>
          <w:rFonts w:ascii="Times New Roman" w:hAnsi="Times New Roman" w:cs="Times New Roman"/>
        </w:rPr>
        <w:t>“mixed model”</w:t>
      </w:r>
      <w:r w:rsidR="00266FDE" w:rsidRPr="0089051B">
        <w:rPr>
          <w:rFonts w:ascii="Times New Roman" w:hAnsi="Times New Roman" w:cs="Times New Roman"/>
        </w:rPr>
        <w:t>,</w:t>
      </w:r>
      <w:r w:rsidR="00304C2A" w:rsidRPr="0089051B">
        <w:rPr>
          <w:rFonts w:ascii="Times New Roman" w:hAnsi="Times New Roman" w:cs="Times New Roman"/>
        </w:rPr>
        <w:t xml:space="preserve"> combining </w:t>
      </w:r>
      <w:r w:rsidR="00434D8B" w:rsidRPr="0089051B">
        <w:rPr>
          <w:rFonts w:ascii="Times New Roman" w:hAnsi="Times New Roman" w:cs="Times New Roman"/>
        </w:rPr>
        <w:t xml:space="preserve">elements of both </w:t>
      </w:r>
      <w:r w:rsidR="00C72889" w:rsidRPr="0089051B">
        <w:rPr>
          <w:rFonts w:ascii="Times New Roman" w:hAnsi="Times New Roman" w:cs="Times New Roman"/>
        </w:rPr>
        <w:t xml:space="preserve">a </w:t>
      </w:r>
      <w:r w:rsidR="00304C2A" w:rsidRPr="0089051B">
        <w:rPr>
          <w:rFonts w:ascii="Times New Roman" w:hAnsi="Times New Roman" w:cs="Times New Roman"/>
        </w:rPr>
        <w:t xml:space="preserve">centralised jurisdiction </w:t>
      </w:r>
      <w:r w:rsidR="00C72889" w:rsidRPr="0089051B">
        <w:rPr>
          <w:rFonts w:ascii="Times New Roman" w:hAnsi="Times New Roman" w:cs="Times New Roman"/>
        </w:rPr>
        <w:t xml:space="preserve">(whereby the Court itself might </w:t>
      </w:r>
      <w:r w:rsidR="00304C2A" w:rsidRPr="0089051B">
        <w:rPr>
          <w:rFonts w:ascii="Times New Roman" w:hAnsi="Times New Roman" w:cs="Times New Roman"/>
        </w:rPr>
        <w:t xml:space="preserve">suspend </w:t>
      </w:r>
      <w:r w:rsidR="00266FDE" w:rsidRPr="0089051B">
        <w:rPr>
          <w:rFonts w:ascii="Times New Roman" w:hAnsi="Times New Roman" w:cs="Times New Roman"/>
        </w:rPr>
        <w:t xml:space="preserve">the prospective </w:t>
      </w:r>
      <w:r w:rsidR="00304C2A" w:rsidRPr="0089051B">
        <w:rPr>
          <w:rFonts w:ascii="Times New Roman" w:hAnsi="Times New Roman" w:cs="Times New Roman"/>
        </w:rPr>
        <w:t>disapplication of incompatible national rules</w:t>
      </w:r>
      <w:r w:rsidR="00C72889" w:rsidRPr="0089051B">
        <w:rPr>
          <w:rFonts w:ascii="Times New Roman" w:hAnsi="Times New Roman" w:cs="Times New Roman"/>
        </w:rPr>
        <w:t xml:space="preserve">) and a decentralised jurisdiction (allowing the domestic courts to </w:t>
      </w:r>
      <w:r w:rsidR="00AD01A3">
        <w:rPr>
          <w:rFonts w:ascii="Times New Roman" w:hAnsi="Times New Roman" w:cs="Times New Roman"/>
        </w:rPr>
        <w:t xml:space="preserve">exercise their own power to </w:t>
      </w:r>
      <w:r w:rsidR="00C72889" w:rsidRPr="0089051B">
        <w:rPr>
          <w:rFonts w:ascii="Times New Roman" w:hAnsi="Times New Roman" w:cs="Times New Roman"/>
        </w:rPr>
        <w:t>“restructure” some of the usual consequences of the primacy of Union over national law)</w:t>
      </w:r>
      <w:r w:rsidR="00266FDE" w:rsidRPr="0089051B">
        <w:rPr>
          <w:rFonts w:ascii="Times New Roman" w:hAnsi="Times New Roman" w:cs="Times New Roman"/>
        </w:rPr>
        <w:t>.</w:t>
      </w:r>
      <w:r w:rsidR="00B81FD5" w:rsidRPr="0089051B">
        <w:rPr>
          <w:rFonts w:ascii="Times New Roman" w:hAnsi="Times New Roman" w:cs="Times New Roman"/>
        </w:rPr>
        <w:t xml:space="preserve"> </w:t>
      </w:r>
    </w:p>
    <w:p w14:paraId="6E5E2A43" w14:textId="77777777" w:rsidR="00434D8B" w:rsidRPr="0089051B" w:rsidRDefault="00434D8B" w:rsidP="0061452E">
      <w:pPr>
        <w:jc w:val="both"/>
        <w:rPr>
          <w:rFonts w:ascii="Times New Roman" w:hAnsi="Times New Roman" w:cs="Times New Roman"/>
        </w:rPr>
      </w:pPr>
    </w:p>
    <w:p w14:paraId="2D883B76" w14:textId="3BF8D477" w:rsidR="00434D8B" w:rsidRPr="0089051B" w:rsidRDefault="00727EDA" w:rsidP="0061452E">
      <w:pPr>
        <w:jc w:val="both"/>
        <w:rPr>
          <w:rFonts w:ascii="Times New Roman" w:hAnsi="Times New Roman" w:cs="Times New Roman"/>
          <w:i/>
        </w:rPr>
      </w:pPr>
      <w:r w:rsidRPr="0089051B">
        <w:rPr>
          <w:rFonts w:ascii="Times New Roman" w:hAnsi="Times New Roman" w:cs="Times New Roman"/>
          <w:i/>
        </w:rPr>
        <w:t xml:space="preserve">6.1. </w:t>
      </w:r>
      <w:r w:rsidRPr="0089051B">
        <w:rPr>
          <w:rFonts w:ascii="Times New Roman" w:hAnsi="Times New Roman" w:cs="Times New Roman"/>
          <w:i/>
        </w:rPr>
        <w:tab/>
      </w:r>
      <w:r w:rsidR="00434D8B" w:rsidRPr="0089051B">
        <w:rPr>
          <w:rFonts w:ascii="Times New Roman" w:hAnsi="Times New Roman" w:cs="Times New Roman"/>
          <w:i/>
        </w:rPr>
        <w:t>Centralised jurisdiction</w:t>
      </w:r>
    </w:p>
    <w:p w14:paraId="5E5DDFBA" w14:textId="77777777" w:rsidR="00434D8B" w:rsidRPr="0089051B" w:rsidRDefault="00434D8B" w:rsidP="0061452E">
      <w:pPr>
        <w:jc w:val="both"/>
        <w:rPr>
          <w:rFonts w:ascii="Times New Roman" w:hAnsi="Times New Roman" w:cs="Times New Roman"/>
        </w:rPr>
      </w:pPr>
    </w:p>
    <w:p w14:paraId="62DC1B04" w14:textId="6984B4E3" w:rsidR="006C2FE9" w:rsidRPr="0089051B" w:rsidRDefault="006C2FE9" w:rsidP="0061452E">
      <w:pPr>
        <w:jc w:val="both"/>
        <w:rPr>
          <w:rFonts w:ascii="Times New Roman" w:hAnsi="Times New Roman" w:cs="Times New Roman"/>
        </w:rPr>
      </w:pPr>
      <w:r w:rsidRPr="0089051B">
        <w:rPr>
          <w:rFonts w:ascii="Times New Roman" w:hAnsi="Times New Roman" w:cs="Times New Roman"/>
        </w:rPr>
        <w:t xml:space="preserve">In </w:t>
      </w:r>
      <w:r w:rsidR="00223462" w:rsidRPr="0089051B">
        <w:rPr>
          <w:rFonts w:ascii="Times New Roman" w:hAnsi="Times New Roman" w:cs="Times New Roman"/>
          <w:i/>
        </w:rPr>
        <w:t xml:space="preserve">Winner </w:t>
      </w:r>
      <w:proofErr w:type="spellStart"/>
      <w:r w:rsidR="00223462" w:rsidRPr="0089051B">
        <w:rPr>
          <w:rFonts w:ascii="Times New Roman" w:hAnsi="Times New Roman" w:cs="Times New Roman"/>
          <w:i/>
        </w:rPr>
        <w:t>Wetten</w:t>
      </w:r>
      <w:proofErr w:type="spellEnd"/>
      <w:r w:rsidRPr="0089051B">
        <w:rPr>
          <w:rFonts w:ascii="Times New Roman" w:hAnsi="Times New Roman" w:cs="Times New Roman"/>
        </w:rPr>
        <w:t>, several Member States argued that the Court</w:t>
      </w:r>
      <w:r w:rsidR="00223462" w:rsidRPr="0089051B">
        <w:rPr>
          <w:rFonts w:ascii="Times New Roman" w:hAnsi="Times New Roman" w:cs="Times New Roman"/>
        </w:rPr>
        <w:t xml:space="preserve"> </w:t>
      </w:r>
      <w:r w:rsidRPr="0089051B">
        <w:rPr>
          <w:rFonts w:ascii="Times New Roman" w:hAnsi="Times New Roman" w:cs="Times New Roman"/>
        </w:rPr>
        <w:t>should recognise its own jurisdiction (analogous to that available as regards unlawful Union acts) to determine which of the legal effects of an incompatible national measure should be declared definitive – including the possibility of maintaining such measures in place on an interim basis in order to avoid a legal vacuum.</w:t>
      </w:r>
      <w:r w:rsidR="005C0B96" w:rsidRPr="0089051B">
        <w:rPr>
          <w:rStyle w:val="FootnoteReference"/>
          <w:rFonts w:ascii="Times New Roman" w:hAnsi="Times New Roman" w:cs="Times New Roman"/>
        </w:rPr>
        <w:footnoteReference w:id="121"/>
      </w:r>
      <w:r w:rsidRPr="0089051B">
        <w:rPr>
          <w:rFonts w:ascii="Times New Roman" w:hAnsi="Times New Roman" w:cs="Times New Roman"/>
        </w:rPr>
        <w:t xml:space="preserve">  In response, the Court held:</w:t>
      </w:r>
    </w:p>
    <w:p w14:paraId="3702CCE9" w14:textId="77777777" w:rsidR="006C2FE9" w:rsidRPr="0089051B" w:rsidRDefault="006C2FE9" w:rsidP="0061452E">
      <w:pPr>
        <w:jc w:val="both"/>
        <w:rPr>
          <w:rFonts w:ascii="Times New Roman" w:hAnsi="Times New Roman" w:cs="Times New Roman"/>
        </w:rPr>
      </w:pPr>
    </w:p>
    <w:p w14:paraId="7B46FA27" w14:textId="296FBA48" w:rsidR="006C2FE9" w:rsidRPr="0089051B" w:rsidRDefault="006C2FE9" w:rsidP="0061452E">
      <w:pPr>
        <w:ind w:left="720"/>
        <w:jc w:val="both"/>
        <w:rPr>
          <w:rFonts w:ascii="Times New Roman" w:hAnsi="Times New Roman" w:cs="Times New Roman"/>
        </w:rPr>
      </w:pPr>
      <w:r w:rsidRPr="0089051B">
        <w:rPr>
          <w:rFonts w:ascii="Times New Roman" w:hAnsi="Times New Roman" w:cs="Times New Roman"/>
        </w:rPr>
        <w:t>“</w:t>
      </w:r>
      <w:proofErr w:type="gramStart"/>
      <w:r w:rsidRPr="0089051B">
        <w:rPr>
          <w:rFonts w:ascii="Times New Roman" w:hAnsi="Times New Roman" w:cs="Times New Roman"/>
        </w:rPr>
        <w:t>even</w:t>
      </w:r>
      <w:proofErr w:type="gramEnd"/>
      <w:r w:rsidRPr="0089051B">
        <w:rPr>
          <w:rFonts w:ascii="Times New Roman" w:hAnsi="Times New Roman" w:cs="Times New Roman"/>
        </w:rPr>
        <w:t xml:space="preserve"> assuming that [similar considerations as those which apply in respect of Union acts] were capable of leading, by analogy and by way of exception, to a provisional suspension of the ousting effect which a directly-applicable rule of Union law has on national law that is contrary thereto, such a suspension, the conditions of which could be determined solely by the Court of Justice, must be excluded from the outset in [the factual and legal context of] this case…”.</w:t>
      </w:r>
      <w:r w:rsidRPr="0089051B">
        <w:rPr>
          <w:rStyle w:val="FootnoteReference"/>
          <w:rFonts w:ascii="Times New Roman" w:hAnsi="Times New Roman" w:cs="Times New Roman"/>
        </w:rPr>
        <w:footnoteReference w:id="122"/>
      </w:r>
      <w:r w:rsidRPr="0089051B">
        <w:rPr>
          <w:rFonts w:ascii="Times New Roman" w:hAnsi="Times New Roman" w:cs="Times New Roman"/>
        </w:rPr>
        <w:t xml:space="preserve"> </w:t>
      </w:r>
    </w:p>
    <w:p w14:paraId="711C9530" w14:textId="77777777" w:rsidR="006C2FE9" w:rsidRPr="0089051B" w:rsidRDefault="006C2FE9" w:rsidP="0061452E">
      <w:pPr>
        <w:jc w:val="both"/>
        <w:rPr>
          <w:rFonts w:ascii="Times New Roman" w:hAnsi="Times New Roman" w:cs="Times New Roman"/>
        </w:rPr>
      </w:pPr>
    </w:p>
    <w:p w14:paraId="24E77085" w14:textId="1D9B3B2A" w:rsidR="00493AFB" w:rsidRPr="0089051B" w:rsidRDefault="00493AFB" w:rsidP="0061452E">
      <w:pPr>
        <w:jc w:val="both"/>
        <w:rPr>
          <w:rFonts w:ascii="Times New Roman" w:hAnsi="Times New Roman" w:cs="Times New Roman"/>
        </w:rPr>
      </w:pPr>
      <w:r w:rsidRPr="0089051B">
        <w:rPr>
          <w:rFonts w:ascii="Times New Roman" w:hAnsi="Times New Roman" w:cs="Times New Roman"/>
        </w:rPr>
        <w:t xml:space="preserve">But having left open even the question of principle in </w:t>
      </w:r>
      <w:r w:rsidR="00C72889" w:rsidRPr="0089051B">
        <w:rPr>
          <w:rFonts w:ascii="Times New Roman" w:hAnsi="Times New Roman" w:cs="Times New Roman"/>
          <w:i/>
        </w:rPr>
        <w:t xml:space="preserve">Winner </w:t>
      </w:r>
      <w:proofErr w:type="spellStart"/>
      <w:r w:rsidR="00C72889" w:rsidRPr="0089051B">
        <w:rPr>
          <w:rFonts w:ascii="Times New Roman" w:hAnsi="Times New Roman" w:cs="Times New Roman"/>
          <w:i/>
        </w:rPr>
        <w:t>We</w:t>
      </w:r>
      <w:r w:rsidRPr="0089051B">
        <w:rPr>
          <w:rFonts w:ascii="Times New Roman" w:hAnsi="Times New Roman" w:cs="Times New Roman"/>
          <w:i/>
        </w:rPr>
        <w:t>tten</w:t>
      </w:r>
      <w:proofErr w:type="spellEnd"/>
      <w:r w:rsidRPr="0089051B">
        <w:rPr>
          <w:rFonts w:ascii="Times New Roman" w:hAnsi="Times New Roman" w:cs="Times New Roman"/>
        </w:rPr>
        <w:t>,</w:t>
      </w:r>
      <w:r w:rsidR="007D1472" w:rsidRPr="0089051B">
        <w:rPr>
          <w:rStyle w:val="FootnoteReference"/>
          <w:rFonts w:ascii="Times New Roman" w:hAnsi="Times New Roman" w:cs="Times New Roman"/>
        </w:rPr>
        <w:footnoteReference w:id="123"/>
      </w:r>
      <w:r w:rsidRPr="0089051B">
        <w:rPr>
          <w:rFonts w:ascii="Times New Roman" w:hAnsi="Times New Roman" w:cs="Times New Roman"/>
        </w:rPr>
        <w:t xml:space="preserve"> by the time of the judgment in </w:t>
      </w:r>
      <w:r w:rsidRPr="0089051B">
        <w:rPr>
          <w:rFonts w:ascii="Times New Roman" w:hAnsi="Times New Roman" w:cs="Times New Roman"/>
          <w:i/>
        </w:rPr>
        <w:t xml:space="preserve">Association France, </w:t>
      </w:r>
      <w:r w:rsidRPr="0089051B">
        <w:rPr>
          <w:rFonts w:ascii="Times New Roman" w:hAnsi="Times New Roman" w:cs="Times New Roman"/>
        </w:rPr>
        <w:t>the Court seems to have taken for granted that its own centralised jurisdiction does indeed exist:</w:t>
      </w:r>
    </w:p>
    <w:p w14:paraId="3A2C728D" w14:textId="77777777" w:rsidR="00493AFB" w:rsidRPr="0089051B" w:rsidRDefault="00493AFB" w:rsidP="0061452E">
      <w:pPr>
        <w:jc w:val="both"/>
        <w:rPr>
          <w:rFonts w:ascii="Times New Roman" w:hAnsi="Times New Roman" w:cs="Times New Roman"/>
        </w:rPr>
      </w:pPr>
    </w:p>
    <w:p w14:paraId="38DC7EA7" w14:textId="1A4F3A7E" w:rsidR="00493AFB" w:rsidRPr="0089051B" w:rsidRDefault="00493AFB" w:rsidP="0061452E">
      <w:pPr>
        <w:ind w:left="720"/>
        <w:jc w:val="both"/>
        <w:rPr>
          <w:rFonts w:ascii="Times New Roman" w:hAnsi="Times New Roman" w:cs="Times New Roman"/>
        </w:rPr>
      </w:pPr>
      <w:r w:rsidRPr="0089051B">
        <w:rPr>
          <w:rFonts w:ascii="Times New Roman" w:hAnsi="Times New Roman" w:cs="Times New Roman"/>
        </w:rPr>
        <w:lastRenderedPageBreak/>
        <w:t>“</w:t>
      </w:r>
      <w:proofErr w:type="gramStart"/>
      <w:r w:rsidRPr="0089051B">
        <w:rPr>
          <w:rFonts w:ascii="Times New Roman" w:hAnsi="Times New Roman" w:cs="Times New Roman"/>
        </w:rPr>
        <w:t>it</w:t>
      </w:r>
      <w:proofErr w:type="gramEnd"/>
      <w:r w:rsidRPr="0089051B">
        <w:rPr>
          <w:rFonts w:ascii="Times New Roman" w:hAnsi="Times New Roman" w:cs="Times New Roman"/>
        </w:rPr>
        <w:t xml:space="preserve"> is apparent from [the ruling in </w:t>
      </w:r>
      <w:r w:rsidRPr="0089051B">
        <w:rPr>
          <w:rFonts w:ascii="Times New Roman" w:hAnsi="Times New Roman" w:cs="Times New Roman"/>
          <w:i/>
        </w:rPr>
        <w:t xml:space="preserve">Winner </w:t>
      </w:r>
      <w:proofErr w:type="spellStart"/>
      <w:r w:rsidRPr="0089051B">
        <w:rPr>
          <w:rFonts w:ascii="Times New Roman" w:hAnsi="Times New Roman" w:cs="Times New Roman"/>
          <w:i/>
        </w:rPr>
        <w:t>Wetten</w:t>
      </w:r>
      <w:proofErr w:type="spellEnd"/>
      <w:r w:rsidRPr="0089051B">
        <w:rPr>
          <w:rFonts w:ascii="Times New Roman" w:hAnsi="Times New Roman" w:cs="Times New Roman"/>
        </w:rPr>
        <w:t>] that the Court alone may, exceptionally and for overriding considerations of legal certainty, grant a provisional suspension of the ousting effect which a rule of EU law has on national law that is contrary thereto.  If national courts had the power to give national provisions primacy in relation to EU law contrary to those national provisions, even provisionally, the uniform application of EU law would be damaged”.</w:t>
      </w:r>
      <w:r w:rsidRPr="0089051B">
        <w:rPr>
          <w:rStyle w:val="FootnoteReference"/>
          <w:rFonts w:ascii="Times New Roman" w:hAnsi="Times New Roman" w:cs="Times New Roman"/>
        </w:rPr>
        <w:footnoteReference w:id="124"/>
      </w:r>
    </w:p>
    <w:p w14:paraId="4CF1063E" w14:textId="7DF3A528" w:rsidR="00493AFB" w:rsidRPr="0089051B" w:rsidRDefault="00493AFB" w:rsidP="0061452E">
      <w:pPr>
        <w:jc w:val="both"/>
        <w:rPr>
          <w:rFonts w:ascii="Times New Roman" w:hAnsi="Times New Roman" w:cs="Times New Roman"/>
        </w:rPr>
      </w:pPr>
      <w:r w:rsidRPr="0089051B">
        <w:rPr>
          <w:rFonts w:ascii="Times New Roman" w:hAnsi="Times New Roman" w:cs="Times New Roman"/>
        </w:rPr>
        <w:t xml:space="preserve">  </w:t>
      </w:r>
    </w:p>
    <w:p w14:paraId="3CFC994A" w14:textId="77777777" w:rsidR="006E5E55" w:rsidRPr="0089051B" w:rsidRDefault="00493AFB" w:rsidP="0061452E">
      <w:pPr>
        <w:jc w:val="both"/>
        <w:rPr>
          <w:rFonts w:ascii="Times New Roman" w:hAnsi="Times New Roman" w:cs="Times New Roman"/>
        </w:rPr>
      </w:pPr>
      <w:r w:rsidRPr="0089051B">
        <w:rPr>
          <w:rFonts w:ascii="Times New Roman" w:hAnsi="Times New Roman" w:cs="Times New Roman"/>
        </w:rPr>
        <w:t xml:space="preserve">Et voilà: the problem of legal vacuums is to be internalised within the structures and processes of Union law itself, through the </w:t>
      </w:r>
      <w:r w:rsidR="00434D8B" w:rsidRPr="0089051B">
        <w:rPr>
          <w:rFonts w:ascii="Times New Roman" w:hAnsi="Times New Roman" w:cs="Times New Roman"/>
        </w:rPr>
        <w:t>Court</w:t>
      </w:r>
      <w:r w:rsidRPr="0089051B">
        <w:rPr>
          <w:rFonts w:ascii="Times New Roman" w:hAnsi="Times New Roman" w:cs="Times New Roman"/>
        </w:rPr>
        <w:t xml:space="preserve">’s own centralised jurisdiction to </w:t>
      </w:r>
      <w:r w:rsidR="00D016ED" w:rsidRPr="0089051B">
        <w:rPr>
          <w:rFonts w:ascii="Times New Roman" w:hAnsi="Times New Roman" w:cs="Times New Roman"/>
        </w:rPr>
        <w:t xml:space="preserve">authorise suspension of </w:t>
      </w:r>
      <w:r w:rsidRPr="0089051B">
        <w:rPr>
          <w:rFonts w:ascii="Times New Roman" w:hAnsi="Times New Roman" w:cs="Times New Roman"/>
        </w:rPr>
        <w:t>the remedy of disapplication</w:t>
      </w:r>
      <w:r w:rsidR="00D016ED" w:rsidRPr="0089051B">
        <w:rPr>
          <w:rFonts w:ascii="Times New Roman" w:hAnsi="Times New Roman" w:cs="Times New Roman"/>
        </w:rPr>
        <w:t xml:space="preserve"> </w:t>
      </w:r>
      <w:r w:rsidRPr="0089051B">
        <w:rPr>
          <w:rFonts w:ascii="Times New Roman" w:hAnsi="Times New Roman" w:cs="Times New Roman"/>
        </w:rPr>
        <w:t xml:space="preserve">at the request of a national court. </w:t>
      </w:r>
      <w:r w:rsidR="00D016ED" w:rsidRPr="0089051B">
        <w:rPr>
          <w:rFonts w:ascii="Times New Roman" w:hAnsi="Times New Roman" w:cs="Times New Roman"/>
        </w:rPr>
        <w:t xml:space="preserve"> </w:t>
      </w:r>
    </w:p>
    <w:p w14:paraId="67F5B19B" w14:textId="26245E11" w:rsidR="006E5E55" w:rsidRPr="0089051B" w:rsidRDefault="00A2524D" w:rsidP="006E5E55">
      <w:pPr>
        <w:ind w:firstLine="720"/>
        <w:jc w:val="both"/>
        <w:rPr>
          <w:rFonts w:ascii="Times New Roman" w:hAnsi="Times New Roman" w:cs="Times New Roman"/>
        </w:rPr>
      </w:pPr>
      <w:r w:rsidRPr="0089051B">
        <w:rPr>
          <w:rFonts w:ascii="Times New Roman" w:hAnsi="Times New Roman" w:cs="Times New Roman"/>
        </w:rPr>
        <w:t xml:space="preserve">Having refused to authorise non-disapplication in </w:t>
      </w:r>
      <w:r w:rsidR="00C72889" w:rsidRPr="0089051B">
        <w:rPr>
          <w:rFonts w:ascii="Times New Roman" w:hAnsi="Times New Roman" w:cs="Times New Roman"/>
          <w:i/>
        </w:rPr>
        <w:t xml:space="preserve">Winner </w:t>
      </w:r>
      <w:proofErr w:type="spellStart"/>
      <w:r w:rsidR="00C72889" w:rsidRPr="0089051B">
        <w:rPr>
          <w:rFonts w:ascii="Times New Roman" w:hAnsi="Times New Roman" w:cs="Times New Roman"/>
          <w:i/>
        </w:rPr>
        <w:t>We</w:t>
      </w:r>
      <w:r w:rsidRPr="0089051B">
        <w:rPr>
          <w:rFonts w:ascii="Times New Roman" w:hAnsi="Times New Roman" w:cs="Times New Roman"/>
          <w:i/>
        </w:rPr>
        <w:t>tten</w:t>
      </w:r>
      <w:proofErr w:type="spellEnd"/>
      <w:r w:rsidRPr="0089051B">
        <w:rPr>
          <w:rFonts w:ascii="Times New Roman" w:hAnsi="Times New Roman" w:cs="Times New Roman"/>
        </w:rPr>
        <w:t xml:space="preserve">, the Court in </w:t>
      </w:r>
      <w:r w:rsidRPr="0089051B">
        <w:rPr>
          <w:rFonts w:ascii="Times New Roman" w:hAnsi="Times New Roman" w:cs="Times New Roman"/>
          <w:i/>
        </w:rPr>
        <w:t xml:space="preserve">Association France </w:t>
      </w:r>
      <w:r w:rsidRPr="0089051B">
        <w:rPr>
          <w:rFonts w:ascii="Times New Roman" w:hAnsi="Times New Roman" w:cs="Times New Roman"/>
        </w:rPr>
        <w:t xml:space="preserve">also found it unnecessary to decide for itself on the </w:t>
      </w:r>
      <w:r w:rsidR="00D016ED" w:rsidRPr="0089051B">
        <w:rPr>
          <w:rFonts w:ascii="Times New Roman" w:hAnsi="Times New Roman" w:cs="Times New Roman"/>
        </w:rPr>
        <w:t xml:space="preserve">temporary maintenance of </w:t>
      </w:r>
      <w:r w:rsidRPr="0089051B">
        <w:rPr>
          <w:rFonts w:ascii="Times New Roman" w:hAnsi="Times New Roman" w:cs="Times New Roman"/>
        </w:rPr>
        <w:t xml:space="preserve">the disputed </w:t>
      </w:r>
      <w:r w:rsidR="00D016ED" w:rsidRPr="0089051B">
        <w:rPr>
          <w:rFonts w:ascii="Times New Roman" w:hAnsi="Times New Roman" w:cs="Times New Roman"/>
        </w:rPr>
        <w:t>domestic rules</w:t>
      </w:r>
      <w:r w:rsidRPr="0089051B">
        <w:rPr>
          <w:rFonts w:ascii="Times New Roman" w:hAnsi="Times New Roman" w:cs="Times New Roman"/>
        </w:rPr>
        <w:t xml:space="preserve"> – preferring (as we shall see) to leave the dispute to the national courts </w:t>
      </w:r>
      <w:r w:rsidR="007535D4" w:rsidRPr="0089051B">
        <w:rPr>
          <w:rFonts w:ascii="Times New Roman" w:hAnsi="Times New Roman" w:cs="Times New Roman"/>
        </w:rPr>
        <w:t xml:space="preserve">in the exercise of the latter’s decentralised competence.  But even </w:t>
      </w:r>
      <w:r w:rsidRPr="0089051B">
        <w:rPr>
          <w:rFonts w:ascii="Times New Roman" w:hAnsi="Times New Roman" w:cs="Times New Roman"/>
        </w:rPr>
        <w:t xml:space="preserve">if </w:t>
      </w:r>
      <w:r w:rsidR="007535D4" w:rsidRPr="0089051B">
        <w:rPr>
          <w:rFonts w:ascii="Times New Roman" w:hAnsi="Times New Roman" w:cs="Times New Roman"/>
        </w:rPr>
        <w:t xml:space="preserve">the Court’s own </w:t>
      </w:r>
      <w:r w:rsidRPr="0089051B">
        <w:rPr>
          <w:rFonts w:ascii="Times New Roman" w:hAnsi="Times New Roman" w:cs="Times New Roman"/>
        </w:rPr>
        <w:t>jurisdiction has yet to be exercised in a concrete case</w:t>
      </w:r>
      <w:r w:rsidR="007535D4" w:rsidRPr="0089051B">
        <w:rPr>
          <w:rFonts w:ascii="Times New Roman" w:hAnsi="Times New Roman" w:cs="Times New Roman"/>
        </w:rPr>
        <w:t xml:space="preserve">, </w:t>
      </w:r>
      <w:r w:rsidR="00D016ED" w:rsidRPr="0089051B">
        <w:rPr>
          <w:rFonts w:ascii="Times New Roman" w:hAnsi="Times New Roman" w:cs="Times New Roman"/>
        </w:rPr>
        <w:t>the fact that the Court explicitly draws an analogy with its existing powers in respect of unlawful Union acts under Article 264 TFEU</w:t>
      </w:r>
      <w:r w:rsidR="00565DFD" w:rsidRPr="0089051B">
        <w:rPr>
          <w:rFonts w:ascii="Times New Roman" w:hAnsi="Times New Roman" w:cs="Times New Roman"/>
        </w:rPr>
        <w:t xml:space="preserve"> </w:t>
      </w:r>
      <w:r w:rsidR="007535D4" w:rsidRPr="0089051B">
        <w:rPr>
          <w:rFonts w:ascii="Times New Roman" w:hAnsi="Times New Roman" w:cs="Times New Roman"/>
        </w:rPr>
        <w:t xml:space="preserve">allows us to identify </w:t>
      </w:r>
      <w:r w:rsidR="00565DFD" w:rsidRPr="0089051B">
        <w:rPr>
          <w:rFonts w:ascii="Times New Roman" w:hAnsi="Times New Roman" w:cs="Times New Roman"/>
        </w:rPr>
        <w:t>certain core principles</w:t>
      </w:r>
      <w:r w:rsidR="007535D4" w:rsidRPr="0089051B">
        <w:rPr>
          <w:rFonts w:ascii="Times New Roman" w:hAnsi="Times New Roman" w:cs="Times New Roman"/>
        </w:rPr>
        <w:t xml:space="preserve"> to underpin the law here</w:t>
      </w:r>
      <w:r w:rsidR="00565DFD" w:rsidRPr="0089051B">
        <w:rPr>
          <w:rFonts w:ascii="Times New Roman" w:hAnsi="Times New Roman" w:cs="Times New Roman"/>
        </w:rPr>
        <w:t>.  Thus: the power to maintain prospective legal effects is of an exceptional nature, available to the Court on a discretionary basis, to be exercised on a case-by-case footing.</w:t>
      </w:r>
      <w:r w:rsidR="00565DFD" w:rsidRPr="0089051B">
        <w:rPr>
          <w:rStyle w:val="FootnoteReference"/>
          <w:rFonts w:ascii="Times New Roman" w:hAnsi="Times New Roman" w:cs="Times New Roman"/>
        </w:rPr>
        <w:footnoteReference w:id="125"/>
      </w:r>
      <w:r w:rsidR="00565DFD" w:rsidRPr="0089051B">
        <w:rPr>
          <w:rFonts w:ascii="Times New Roman" w:hAnsi="Times New Roman" w:cs="Times New Roman"/>
        </w:rPr>
        <w:t xml:space="preserve">  Its purpose is to prevent a legal vacuum from arising before replacement of the defective act with a new measure.</w:t>
      </w:r>
      <w:r w:rsidR="00565DFD" w:rsidRPr="0089051B">
        <w:rPr>
          <w:rStyle w:val="FootnoteReference"/>
          <w:rFonts w:ascii="Times New Roman" w:hAnsi="Times New Roman" w:cs="Times New Roman"/>
        </w:rPr>
        <w:footnoteReference w:id="126"/>
      </w:r>
      <w:r w:rsidR="00565DFD" w:rsidRPr="0089051B">
        <w:rPr>
          <w:rFonts w:ascii="Times New Roman" w:hAnsi="Times New Roman" w:cs="Times New Roman"/>
        </w:rPr>
        <w:t xml:space="preserve">  Its exercise may be justified where overriding considerations of legal certainty involving all the relevant interests, public as well as private, are at stake.</w:t>
      </w:r>
      <w:r w:rsidR="00565DFD" w:rsidRPr="0089051B">
        <w:rPr>
          <w:rStyle w:val="FootnoteReference"/>
          <w:rFonts w:ascii="Times New Roman" w:hAnsi="Times New Roman" w:cs="Times New Roman"/>
        </w:rPr>
        <w:footnoteReference w:id="127"/>
      </w:r>
      <w:r w:rsidR="00565DFD" w:rsidRPr="0089051B">
        <w:rPr>
          <w:rFonts w:ascii="Times New Roman" w:hAnsi="Times New Roman" w:cs="Times New Roman"/>
        </w:rPr>
        <w:t xml:space="preserve">  Its duration is for the period of time necessary in order to allow the relevant incompatibility to be remedied.</w:t>
      </w:r>
      <w:r w:rsidR="00565DFD" w:rsidRPr="0089051B">
        <w:rPr>
          <w:rStyle w:val="FootnoteReference"/>
          <w:rFonts w:ascii="Times New Roman" w:hAnsi="Times New Roman" w:cs="Times New Roman"/>
        </w:rPr>
        <w:footnoteReference w:id="128"/>
      </w:r>
      <w:r w:rsidR="00565DFD" w:rsidRPr="0089051B">
        <w:rPr>
          <w:rFonts w:ascii="Times New Roman" w:hAnsi="Times New Roman" w:cs="Times New Roman"/>
        </w:rPr>
        <w:t xml:space="preserve">   </w:t>
      </w:r>
    </w:p>
    <w:p w14:paraId="1A152C1A" w14:textId="77777777" w:rsidR="006E5E55" w:rsidRPr="0089051B" w:rsidRDefault="000C6036" w:rsidP="006E5E55">
      <w:pPr>
        <w:ind w:firstLine="720"/>
        <w:jc w:val="both"/>
        <w:rPr>
          <w:rFonts w:ascii="Times New Roman" w:hAnsi="Times New Roman" w:cs="Times New Roman"/>
        </w:rPr>
      </w:pPr>
      <w:r w:rsidRPr="0089051B">
        <w:rPr>
          <w:rFonts w:ascii="Times New Roman" w:hAnsi="Times New Roman" w:cs="Times New Roman"/>
        </w:rPr>
        <w:t xml:space="preserve">Within the </w:t>
      </w:r>
      <w:r w:rsidR="00F27B02" w:rsidRPr="0089051B">
        <w:rPr>
          <w:rFonts w:ascii="Times New Roman" w:hAnsi="Times New Roman" w:cs="Times New Roman"/>
        </w:rPr>
        <w:t xml:space="preserve">basic </w:t>
      </w:r>
      <w:r w:rsidR="004152BA" w:rsidRPr="0089051B">
        <w:rPr>
          <w:rFonts w:ascii="Times New Roman" w:hAnsi="Times New Roman" w:cs="Times New Roman"/>
        </w:rPr>
        <w:t xml:space="preserve">legal </w:t>
      </w:r>
      <w:r w:rsidRPr="0089051B">
        <w:rPr>
          <w:rFonts w:ascii="Times New Roman" w:hAnsi="Times New Roman" w:cs="Times New Roman"/>
        </w:rPr>
        <w:t xml:space="preserve">framework provided by those core principles, </w:t>
      </w:r>
      <w:r w:rsidR="004152BA" w:rsidRPr="0089051B">
        <w:rPr>
          <w:rFonts w:ascii="Times New Roman" w:hAnsi="Times New Roman" w:cs="Times New Roman"/>
        </w:rPr>
        <w:t xml:space="preserve">we shall </w:t>
      </w:r>
      <w:r w:rsidR="00F27B02" w:rsidRPr="0089051B">
        <w:rPr>
          <w:rFonts w:ascii="Times New Roman" w:hAnsi="Times New Roman" w:cs="Times New Roman"/>
        </w:rPr>
        <w:t xml:space="preserve">now </w:t>
      </w:r>
      <w:r w:rsidR="004152BA" w:rsidRPr="0089051B">
        <w:rPr>
          <w:rFonts w:ascii="Times New Roman" w:hAnsi="Times New Roman" w:cs="Times New Roman"/>
        </w:rPr>
        <w:t xml:space="preserve">focus </w:t>
      </w:r>
      <w:r w:rsidR="00F27B02" w:rsidRPr="0089051B">
        <w:rPr>
          <w:rFonts w:ascii="Times New Roman" w:hAnsi="Times New Roman" w:cs="Times New Roman"/>
        </w:rPr>
        <w:t xml:space="preserve">in greater detail upon </w:t>
      </w:r>
      <w:r w:rsidR="004152BA" w:rsidRPr="0089051B">
        <w:rPr>
          <w:rFonts w:ascii="Times New Roman" w:hAnsi="Times New Roman" w:cs="Times New Roman"/>
        </w:rPr>
        <w:t xml:space="preserve">several particular facets of the Court’s newfound jurisdiction, taking account </w:t>
      </w:r>
      <w:r w:rsidR="00565DFD" w:rsidRPr="0089051B">
        <w:rPr>
          <w:rFonts w:ascii="Times New Roman" w:hAnsi="Times New Roman" w:cs="Times New Roman"/>
        </w:rPr>
        <w:t xml:space="preserve">various </w:t>
      </w:r>
      <w:r w:rsidR="004152BA" w:rsidRPr="0089051B">
        <w:rPr>
          <w:rFonts w:ascii="Times New Roman" w:hAnsi="Times New Roman" w:cs="Times New Roman"/>
        </w:rPr>
        <w:t xml:space="preserve">cues and </w:t>
      </w:r>
      <w:r w:rsidR="00565DFD" w:rsidRPr="0089051B">
        <w:rPr>
          <w:rFonts w:ascii="Times New Roman" w:hAnsi="Times New Roman" w:cs="Times New Roman"/>
        </w:rPr>
        <w:t xml:space="preserve">clues scattered across the rulings in </w:t>
      </w:r>
      <w:r w:rsidR="00565DFD" w:rsidRPr="0089051B">
        <w:rPr>
          <w:rFonts w:ascii="Times New Roman" w:hAnsi="Times New Roman" w:cs="Times New Roman"/>
          <w:i/>
        </w:rPr>
        <w:t xml:space="preserve">Winner </w:t>
      </w:r>
      <w:proofErr w:type="spellStart"/>
      <w:r w:rsidR="00565DFD" w:rsidRPr="0089051B">
        <w:rPr>
          <w:rFonts w:ascii="Times New Roman" w:hAnsi="Times New Roman" w:cs="Times New Roman"/>
          <w:i/>
        </w:rPr>
        <w:t>Wetten</w:t>
      </w:r>
      <w:proofErr w:type="spellEnd"/>
      <w:r w:rsidR="00565DFD" w:rsidRPr="0089051B">
        <w:rPr>
          <w:rFonts w:ascii="Times New Roman" w:hAnsi="Times New Roman" w:cs="Times New Roman"/>
          <w:i/>
        </w:rPr>
        <w:t xml:space="preserve"> </w:t>
      </w:r>
      <w:r w:rsidR="00565DFD" w:rsidRPr="0089051B">
        <w:rPr>
          <w:rFonts w:ascii="Times New Roman" w:hAnsi="Times New Roman" w:cs="Times New Roman"/>
        </w:rPr>
        <w:t xml:space="preserve">and </w:t>
      </w:r>
      <w:r w:rsidR="00565DFD" w:rsidRPr="0089051B">
        <w:rPr>
          <w:rFonts w:ascii="Times New Roman" w:hAnsi="Times New Roman" w:cs="Times New Roman"/>
          <w:i/>
        </w:rPr>
        <w:t>Association France</w:t>
      </w:r>
      <w:r w:rsidR="004152BA" w:rsidRPr="0089051B">
        <w:rPr>
          <w:rFonts w:ascii="Times New Roman" w:hAnsi="Times New Roman" w:cs="Times New Roman"/>
        </w:rPr>
        <w:t xml:space="preserve"> themselves</w:t>
      </w:r>
      <w:r w:rsidR="009F40DB" w:rsidRPr="0089051B">
        <w:rPr>
          <w:rFonts w:ascii="Times New Roman" w:hAnsi="Times New Roman" w:cs="Times New Roman"/>
        </w:rPr>
        <w:t xml:space="preserve">. </w:t>
      </w:r>
    </w:p>
    <w:p w14:paraId="599AB500" w14:textId="77777777" w:rsidR="006E5E55" w:rsidRPr="0089051B" w:rsidRDefault="009F40DB" w:rsidP="006E5E55">
      <w:pPr>
        <w:ind w:firstLine="720"/>
        <w:jc w:val="both"/>
        <w:rPr>
          <w:rFonts w:ascii="Times New Roman" w:hAnsi="Times New Roman" w:cs="Times New Roman"/>
        </w:rPr>
      </w:pPr>
      <w:r w:rsidRPr="0089051B">
        <w:rPr>
          <w:rFonts w:ascii="Times New Roman" w:hAnsi="Times New Roman" w:cs="Times New Roman"/>
        </w:rPr>
        <w:t>In the first place, the range of public interest objectives capable of justifying temporary suspension of the remedy of disapplication appear</w:t>
      </w:r>
      <w:r w:rsidR="00BF192F" w:rsidRPr="0089051B">
        <w:rPr>
          <w:rFonts w:ascii="Times New Roman" w:hAnsi="Times New Roman" w:cs="Times New Roman"/>
        </w:rPr>
        <w:t>s</w:t>
      </w:r>
      <w:r w:rsidRPr="0089051B">
        <w:rPr>
          <w:rFonts w:ascii="Times New Roman" w:hAnsi="Times New Roman" w:cs="Times New Roman"/>
        </w:rPr>
        <w:t xml:space="preserve"> to be open-ended</w:t>
      </w:r>
      <w:r w:rsidR="00BF192F" w:rsidRPr="0089051B">
        <w:rPr>
          <w:rFonts w:ascii="Times New Roman" w:hAnsi="Times New Roman" w:cs="Times New Roman"/>
        </w:rPr>
        <w:t>:</w:t>
      </w:r>
      <w:r w:rsidRPr="0089051B">
        <w:rPr>
          <w:rFonts w:ascii="Times New Roman" w:hAnsi="Times New Roman" w:cs="Times New Roman"/>
        </w:rPr>
        <w:t xml:space="preserve"> </w:t>
      </w:r>
      <w:r w:rsidR="00BF192F" w:rsidRPr="0089051B">
        <w:rPr>
          <w:rFonts w:ascii="Times New Roman" w:hAnsi="Times New Roman" w:cs="Times New Roman"/>
          <w:i/>
        </w:rPr>
        <w:t xml:space="preserve">Winner </w:t>
      </w:r>
      <w:proofErr w:type="spellStart"/>
      <w:r w:rsidR="00BF192F" w:rsidRPr="0089051B">
        <w:rPr>
          <w:rFonts w:ascii="Times New Roman" w:hAnsi="Times New Roman" w:cs="Times New Roman"/>
          <w:i/>
        </w:rPr>
        <w:t>Wetten</w:t>
      </w:r>
      <w:proofErr w:type="spellEnd"/>
      <w:r w:rsidR="00BF192F" w:rsidRPr="0089051B">
        <w:rPr>
          <w:rFonts w:ascii="Times New Roman" w:hAnsi="Times New Roman" w:cs="Times New Roman"/>
          <w:i/>
        </w:rPr>
        <w:t xml:space="preserve"> </w:t>
      </w:r>
      <w:r w:rsidR="00BF192F" w:rsidRPr="0089051B">
        <w:rPr>
          <w:rFonts w:ascii="Times New Roman" w:hAnsi="Times New Roman" w:cs="Times New Roman"/>
        </w:rPr>
        <w:t xml:space="preserve">itself concerned objectives long familiar in the field of gambling regulation (public order and consumer protection); while </w:t>
      </w:r>
      <w:r w:rsidR="00BF192F" w:rsidRPr="0089051B">
        <w:rPr>
          <w:rFonts w:ascii="Times New Roman" w:hAnsi="Times New Roman" w:cs="Times New Roman"/>
          <w:i/>
        </w:rPr>
        <w:t xml:space="preserve">Association France </w:t>
      </w:r>
      <w:r w:rsidR="00BF192F" w:rsidRPr="0089051B">
        <w:rPr>
          <w:rFonts w:ascii="Times New Roman" w:hAnsi="Times New Roman" w:cs="Times New Roman"/>
        </w:rPr>
        <w:t>involved the maintenance of environmental protection.  That is p</w:t>
      </w:r>
      <w:r w:rsidRPr="0089051B">
        <w:rPr>
          <w:rFonts w:ascii="Times New Roman" w:hAnsi="Times New Roman" w:cs="Times New Roman"/>
        </w:rPr>
        <w:t xml:space="preserve">resumably subject to the usual proviso that the Member State may not </w:t>
      </w:r>
      <w:r w:rsidR="002059CE" w:rsidRPr="0089051B">
        <w:rPr>
          <w:rFonts w:ascii="Times New Roman" w:hAnsi="Times New Roman" w:cs="Times New Roman"/>
        </w:rPr>
        <w:t xml:space="preserve">(for example) </w:t>
      </w:r>
      <w:r w:rsidR="00AD68B7" w:rsidRPr="0089051B">
        <w:rPr>
          <w:rFonts w:ascii="Times New Roman" w:hAnsi="Times New Roman" w:cs="Times New Roman"/>
        </w:rPr>
        <w:t>rely simply and entirely on the adverse financial consequences of its own (non-</w:t>
      </w:r>
      <w:proofErr w:type="gramStart"/>
      <w:r w:rsidR="00AD68B7" w:rsidRPr="0089051B">
        <w:rPr>
          <w:rFonts w:ascii="Times New Roman" w:hAnsi="Times New Roman" w:cs="Times New Roman"/>
        </w:rPr>
        <w:t>)compliance</w:t>
      </w:r>
      <w:proofErr w:type="gramEnd"/>
      <w:r w:rsidR="00AD68B7" w:rsidRPr="0089051B">
        <w:rPr>
          <w:rFonts w:ascii="Times New Roman" w:hAnsi="Times New Roman" w:cs="Times New Roman"/>
        </w:rPr>
        <w:t xml:space="preserve"> with Union law</w:t>
      </w:r>
      <w:r w:rsidR="002059CE" w:rsidRPr="0089051B">
        <w:rPr>
          <w:rFonts w:ascii="Times New Roman" w:hAnsi="Times New Roman" w:cs="Times New Roman"/>
        </w:rPr>
        <w:t>.</w:t>
      </w:r>
      <w:r w:rsidR="00AD68B7" w:rsidRPr="0089051B">
        <w:rPr>
          <w:rStyle w:val="FootnoteReference"/>
          <w:rFonts w:ascii="Times New Roman" w:hAnsi="Times New Roman" w:cs="Times New Roman"/>
        </w:rPr>
        <w:footnoteReference w:id="129"/>
      </w:r>
      <w:r w:rsidR="002059CE" w:rsidRPr="0089051B">
        <w:rPr>
          <w:rFonts w:ascii="Times New Roman" w:hAnsi="Times New Roman" w:cs="Times New Roman"/>
        </w:rPr>
        <w:t xml:space="preserve"> </w:t>
      </w:r>
      <w:r w:rsidR="00AD68B7" w:rsidRPr="0089051B">
        <w:rPr>
          <w:rFonts w:ascii="Times New Roman" w:hAnsi="Times New Roman" w:cs="Times New Roman"/>
        </w:rPr>
        <w:t xml:space="preserve"> </w:t>
      </w:r>
      <w:r w:rsidR="00BF192F" w:rsidRPr="0089051B">
        <w:rPr>
          <w:rFonts w:ascii="Times New Roman" w:hAnsi="Times New Roman" w:cs="Times New Roman"/>
        </w:rPr>
        <w:t xml:space="preserve">Otherwise, the proposition that any legitimate public interest should be capable of activating the Court’s centralised jurisdiction appears eminently sound: after all, the risk of a damaging legal vacuum seems just as possible as regards public health or workers’ rights as it does for consumer or environmental protection.  It might be objected that such a potentially wide-ranging power risks offering delinquent Member States a </w:t>
      </w:r>
      <w:r w:rsidR="00E63181" w:rsidRPr="0089051B">
        <w:rPr>
          <w:rFonts w:ascii="Times New Roman" w:hAnsi="Times New Roman" w:cs="Times New Roman"/>
        </w:rPr>
        <w:t xml:space="preserve">“second bite at </w:t>
      </w:r>
      <w:r w:rsidR="00BF192F" w:rsidRPr="0089051B">
        <w:rPr>
          <w:rFonts w:ascii="Times New Roman" w:hAnsi="Times New Roman" w:cs="Times New Roman"/>
        </w:rPr>
        <w:t xml:space="preserve">the </w:t>
      </w:r>
      <w:r w:rsidR="00E63181" w:rsidRPr="0089051B">
        <w:rPr>
          <w:rFonts w:ascii="Times New Roman" w:hAnsi="Times New Roman" w:cs="Times New Roman"/>
        </w:rPr>
        <w:t>cherry”</w:t>
      </w:r>
      <w:r w:rsidR="00BF192F" w:rsidRPr="0089051B">
        <w:rPr>
          <w:rFonts w:ascii="Times New Roman" w:hAnsi="Times New Roman" w:cs="Times New Roman"/>
        </w:rPr>
        <w:t xml:space="preserve"> – in effect, of </w:t>
      </w:r>
      <w:r w:rsidR="00E63181" w:rsidRPr="0089051B">
        <w:rPr>
          <w:rFonts w:ascii="Times New Roman" w:hAnsi="Times New Roman" w:cs="Times New Roman"/>
        </w:rPr>
        <w:t xml:space="preserve">recognising </w:t>
      </w:r>
      <w:r w:rsidR="00BF192F" w:rsidRPr="0089051B">
        <w:rPr>
          <w:rFonts w:ascii="Times New Roman" w:hAnsi="Times New Roman" w:cs="Times New Roman"/>
        </w:rPr>
        <w:t xml:space="preserve">specific </w:t>
      </w:r>
      <w:r w:rsidR="00E63181" w:rsidRPr="0089051B">
        <w:rPr>
          <w:rFonts w:ascii="Times New Roman" w:hAnsi="Times New Roman" w:cs="Times New Roman"/>
        </w:rPr>
        <w:t xml:space="preserve">grounds for </w:t>
      </w:r>
      <w:r w:rsidR="00BF192F" w:rsidRPr="0089051B">
        <w:rPr>
          <w:rFonts w:ascii="Times New Roman" w:hAnsi="Times New Roman" w:cs="Times New Roman"/>
        </w:rPr>
        <w:t xml:space="preserve">the </w:t>
      </w:r>
      <w:r w:rsidR="00E63181" w:rsidRPr="0089051B">
        <w:rPr>
          <w:rFonts w:ascii="Times New Roman" w:hAnsi="Times New Roman" w:cs="Times New Roman"/>
        </w:rPr>
        <w:t xml:space="preserve">non-disapplication </w:t>
      </w:r>
      <w:r w:rsidR="00BF192F" w:rsidRPr="0089051B">
        <w:rPr>
          <w:rFonts w:ascii="Times New Roman" w:hAnsi="Times New Roman" w:cs="Times New Roman"/>
        </w:rPr>
        <w:t xml:space="preserve">of incompatible national rules which were not contemplated </w:t>
      </w:r>
      <w:r w:rsidR="00BF192F" w:rsidRPr="0089051B">
        <w:rPr>
          <w:rFonts w:ascii="Times New Roman" w:hAnsi="Times New Roman" w:cs="Times New Roman"/>
        </w:rPr>
        <w:lastRenderedPageBreak/>
        <w:t>(indeed, may well have been deliberately ruled out) by the Union legislature when adopting the relevant Union regulatory regime.</w:t>
      </w:r>
      <w:r w:rsidR="00742862" w:rsidRPr="0089051B">
        <w:rPr>
          <w:rStyle w:val="FootnoteReference"/>
          <w:rFonts w:ascii="Times New Roman" w:hAnsi="Times New Roman" w:cs="Times New Roman"/>
        </w:rPr>
        <w:footnoteReference w:id="130"/>
      </w:r>
      <w:r w:rsidR="00BF192F" w:rsidRPr="0089051B">
        <w:rPr>
          <w:rFonts w:ascii="Times New Roman" w:hAnsi="Times New Roman" w:cs="Times New Roman"/>
        </w:rPr>
        <w:t xml:space="preserve">  But that is surely a factor which can be taken into account by the Court, as and when appropriate, in its discretionary evaluation of each individual request; bearing in mind that the purpose of this jurisdiction is not to deny the binding nature of the relevant Union obligation, the proven incompatibility of the defective domestic rules, </w:t>
      </w:r>
      <w:r w:rsidR="00651DE6" w:rsidRPr="0089051B">
        <w:rPr>
          <w:rFonts w:ascii="Times New Roman" w:hAnsi="Times New Roman" w:cs="Times New Roman"/>
        </w:rPr>
        <w:t>or</w:t>
      </w:r>
      <w:r w:rsidR="00BF192F" w:rsidRPr="0089051B">
        <w:rPr>
          <w:rFonts w:ascii="Times New Roman" w:hAnsi="Times New Roman" w:cs="Times New Roman"/>
        </w:rPr>
        <w:t xml:space="preserve"> the duty of the Member State to adopt fully compliant alternative legislation</w:t>
      </w:r>
      <w:r w:rsidR="00651DE6" w:rsidRPr="0089051B">
        <w:rPr>
          <w:rFonts w:ascii="Times New Roman" w:hAnsi="Times New Roman" w:cs="Times New Roman"/>
        </w:rPr>
        <w:t xml:space="preserve"> – only to determine whether some pressing public interest justifies a temporary limit on access to the specific remedy of disapplication for the benefit of individual claimants. </w:t>
      </w:r>
    </w:p>
    <w:p w14:paraId="47D5B7C7" w14:textId="2525197E" w:rsidR="006E5E55" w:rsidRPr="0089051B" w:rsidRDefault="00651DE6" w:rsidP="006E5E55">
      <w:pPr>
        <w:ind w:firstLine="720"/>
        <w:jc w:val="both"/>
        <w:rPr>
          <w:rFonts w:ascii="Times New Roman" w:hAnsi="Times New Roman" w:cs="Times New Roman"/>
        </w:rPr>
      </w:pPr>
      <w:r w:rsidRPr="0089051B">
        <w:rPr>
          <w:rFonts w:ascii="Times New Roman" w:hAnsi="Times New Roman" w:cs="Times New Roman"/>
        </w:rPr>
        <w:t xml:space="preserve">In the second place, the Court seems (thus far) not to have placed any particular weight on the nature of the relevant Union obligation.  For example: </w:t>
      </w:r>
      <w:r w:rsidR="00C72889" w:rsidRPr="0089051B">
        <w:rPr>
          <w:rFonts w:ascii="Times New Roman" w:hAnsi="Times New Roman" w:cs="Times New Roman"/>
          <w:i/>
        </w:rPr>
        <w:t xml:space="preserve">Winner </w:t>
      </w:r>
      <w:proofErr w:type="spellStart"/>
      <w:r w:rsidR="00C72889" w:rsidRPr="0089051B">
        <w:rPr>
          <w:rFonts w:ascii="Times New Roman" w:hAnsi="Times New Roman" w:cs="Times New Roman"/>
          <w:i/>
        </w:rPr>
        <w:t>We</w:t>
      </w:r>
      <w:r w:rsidRPr="0089051B">
        <w:rPr>
          <w:rFonts w:ascii="Times New Roman" w:hAnsi="Times New Roman" w:cs="Times New Roman"/>
          <w:i/>
        </w:rPr>
        <w:t>tten</w:t>
      </w:r>
      <w:proofErr w:type="spellEnd"/>
      <w:r w:rsidRPr="0089051B">
        <w:rPr>
          <w:rFonts w:ascii="Times New Roman" w:hAnsi="Times New Roman" w:cs="Times New Roman"/>
          <w:i/>
        </w:rPr>
        <w:t xml:space="preserve"> </w:t>
      </w:r>
      <w:r w:rsidRPr="0089051B">
        <w:rPr>
          <w:rFonts w:ascii="Times New Roman" w:hAnsi="Times New Roman" w:cs="Times New Roman"/>
        </w:rPr>
        <w:t xml:space="preserve">concerned application of the primary Treaty provisions on freedom of establishment and </w:t>
      </w:r>
      <w:r w:rsidR="006471A6" w:rsidRPr="0089051B">
        <w:rPr>
          <w:rFonts w:ascii="Times New Roman" w:hAnsi="Times New Roman" w:cs="Times New Roman"/>
        </w:rPr>
        <w:t>the freedom to provide services</w:t>
      </w:r>
      <w:r w:rsidRPr="0089051B">
        <w:rPr>
          <w:rFonts w:ascii="Times New Roman" w:hAnsi="Times New Roman" w:cs="Times New Roman"/>
        </w:rPr>
        <w:t xml:space="preserve">; while </w:t>
      </w:r>
      <w:r w:rsidRPr="0089051B">
        <w:rPr>
          <w:rFonts w:ascii="Times New Roman" w:hAnsi="Times New Roman" w:cs="Times New Roman"/>
          <w:i/>
        </w:rPr>
        <w:t xml:space="preserve">Association France </w:t>
      </w:r>
      <w:r w:rsidRPr="0089051B">
        <w:rPr>
          <w:rFonts w:ascii="Times New Roman" w:hAnsi="Times New Roman" w:cs="Times New Roman"/>
        </w:rPr>
        <w:t xml:space="preserve">involved a finding of incompatibility between national law and a Union environmental law directive.  Similarly, the Union obligations engaged in </w:t>
      </w:r>
      <w:r w:rsidRPr="0089051B">
        <w:rPr>
          <w:rFonts w:ascii="Times New Roman" w:hAnsi="Times New Roman" w:cs="Times New Roman"/>
          <w:i/>
        </w:rPr>
        <w:t xml:space="preserve">Winner </w:t>
      </w:r>
      <w:proofErr w:type="spellStart"/>
      <w:r w:rsidRPr="0089051B">
        <w:rPr>
          <w:rFonts w:ascii="Times New Roman" w:hAnsi="Times New Roman" w:cs="Times New Roman"/>
          <w:i/>
        </w:rPr>
        <w:t>Wetten</w:t>
      </w:r>
      <w:proofErr w:type="spellEnd"/>
      <w:r w:rsidRPr="0089051B">
        <w:rPr>
          <w:rFonts w:ascii="Times New Roman" w:hAnsi="Times New Roman" w:cs="Times New Roman"/>
          <w:i/>
        </w:rPr>
        <w:t xml:space="preserve"> </w:t>
      </w:r>
      <w:r w:rsidRPr="0089051B">
        <w:rPr>
          <w:rFonts w:ascii="Times New Roman" w:hAnsi="Times New Roman" w:cs="Times New Roman"/>
        </w:rPr>
        <w:t xml:space="preserve">placed </w:t>
      </w:r>
      <w:r w:rsidR="00434D8B" w:rsidRPr="0089051B">
        <w:rPr>
          <w:rFonts w:ascii="Times New Roman" w:hAnsi="Times New Roman" w:cs="Times New Roman"/>
        </w:rPr>
        <w:t xml:space="preserve">substantive </w:t>
      </w:r>
      <w:r w:rsidRPr="0089051B">
        <w:rPr>
          <w:rFonts w:ascii="Times New Roman" w:hAnsi="Times New Roman" w:cs="Times New Roman"/>
        </w:rPr>
        <w:t xml:space="preserve">limits on the Member State’s competence to regulate the market in gambling services; whereas the Union provisions at stake in </w:t>
      </w:r>
      <w:r w:rsidRPr="0089051B">
        <w:rPr>
          <w:rFonts w:ascii="Times New Roman" w:hAnsi="Times New Roman" w:cs="Times New Roman"/>
          <w:i/>
        </w:rPr>
        <w:t xml:space="preserve">Association France </w:t>
      </w:r>
      <w:r w:rsidRPr="0089051B">
        <w:rPr>
          <w:rFonts w:ascii="Times New Roman" w:hAnsi="Times New Roman" w:cs="Times New Roman"/>
        </w:rPr>
        <w:t xml:space="preserve">were concerned with essentially </w:t>
      </w:r>
      <w:r w:rsidR="00434D8B" w:rsidRPr="0089051B">
        <w:rPr>
          <w:rFonts w:ascii="Times New Roman" w:hAnsi="Times New Roman" w:cs="Times New Roman"/>
        </w:rPr>
        <w:t>procedural</w:t>
      </w:r>
      <w:r w:rsidRPr="0089051B">
        <w:rPr>
          <w:rFonts w:ascii="Times New Roman" w:hAnsi="Times New Roman" w:cs="Times New Roman"/>
        </w:rPr>
        <w:t xml:space="preserve"> duties relating to the conduct of environmental impact assessments.  </w:t>
      </w:r>
      <w:r w:rsidR="002D50D5" w:rsidRPr="0089051B">
        <w:rPr>
          <w:rFonts w:ascii="Times New Roman" w:hAnsi="Times New Roman" w:cs="Times New Roman"/>
        </w:rPr>
        <w:t xml:space="preserve">Once again, such an approach seems entirely appropriate: given that the principle of </w:t>
      </w:r>
      <w:r w:rsidR="00B81FD5" w:rsidRPr="0089051B">
        <w:rPr>
          <w:rFonts w:ascii="Times New Roman" w:hAnsi="Times New Roman" w:cs="Times New Roman"/>
        </w:rPr>
        <w:t>primacy</w:t>
      </w:r>
      <w:r w:rsidR="002D50D5" w:rsidRPr="0089051B">
        <w:rPr>
          <w:rFonts w:ascii="Times New Roman" w:hAnsi="Times New Roman" w:cs="Times New Roman"/>
        </w:rPr>
        <w:t xml:space="preserve"> is capable of benefiting all Union measures, and of applying as against all Member State acts, regardless of their legal character or place in the hierarchy of norms, it would be wrong to rule out, simply as a matter of principle, the idea of a damaging legal vacuum arising from incompatibility as much (say) with a Union administrative decision as with a primary Treaty provision.  Yet the precise nature of the relevant Union obligation may well be relevant in any given dispute.  For example: </w:t>
      </w:r>
      <w:r w:rsidR="0050785C" w:rsidRPr="0089051B">
        <w:rPr>
          <w:rFonts w:ascii="Times New Roman" w:hAnsi="Times New Roman" w:cs="Times New Roman"/>
        </w:rPr>
        <w:t xml:space="preserve">the Court may decide that the temporary maintenance of defective national rules is more readily justified where the source of incompatibility with Union law is breach </w:t>
      </w:r>
      <w:r w:rsidR="002D50D5" w:rsidRPr="0089051B">
        <w:rPr>
          <w:rFonts w:ascii="Times New Roman" w:hAnsi="Times New Roman" w:cs="Times New Roman"/>
        </w:rPr>
        <w:t>of a purely procedural obligation (to notify</w:t>
      </w:r>
      <w:r w:rsidR="0050785C" w:rsidRPr="0089051B">
        <w:rPr>
          <w:rFonts w:ascii="Times New Roman" w:hAnsi="Times New Roman" w:cs="Times New Roman"/>
        </w:rPr>
        <w:t>,</w:t>
      </w:r>
      <w:r w:rsidR="002D50D5" w:rsidRPr="0089051B">
        <w:rPr>
          <w:rFonts w:ascii="Times New Roman" w:hAnsi="Times New Roman" w:cs="Times New Roman"/>
        </w:rPr>
        <w:t xml:space="preserve"> consult</w:t>
      </w:r>
      <w:r w:rsidR="0050785C" w:rsidRPr="0089051B">
        <w:rPr>
          <w:rFonts w:ascii="Times New Roman" w:hAnsi="Times New Roman" w:cs="Times New Roman"/>
        </w:rPr>
        <w:t xml:space="preserve"> or respond</w:t>
      </w:r>
      <w:r w:rsidR="002D50D5" w:rsidRPr="0089051B">
        <w:rPr>
          <w:rFonts w:ascii="Times New Roman" w:hAnsi="Times New Roman" w:cs="Times New Roman"/>
        </w:rPr>
        <w:t xml:space="preserve">) </w:t>
      </w:r>
      <w:r w:rsidR="0050785C" w:rsidRPr="0089051B">
        <w:rPr>
          <w:rFonts w:ascii="Times New Roman" w:hAnsi="Times New Roman" w:cs="Times New Roman"/>
        </w:rPr>
        <w:t>– at least in circumstances where the available evidence suggests that full compliance would be unlikely to make any substantial difference to the final decision or action.</w:t>
      </w:r>
      <w:r w:rsidR="0050785C" w:rsidRPr="0089051B">
        <w:rPr>
          <w:rStyle w:val="FootnoteReference"/>
          <w:rFonts w:ascii="Times New Roman" w:hAnsi="Times New Roman" w:cs="Times New Roman"/>
        </w:rPr>
        <w:footnoteReference w:id="131"/>
      </w:r>
      <w:r w:rsidR="0050785C" w:rsidRPr="0089051B">
        <w:rPr>
          <w:rFonts w:ascii="Times New Roman" w:hAnsi="Times New Roman" w:cs="Times New Roman"/>
        </w:rPr>
        <w:t xml:space="preserve">  </w:t>
      </w:r>
    </w:p>
    <w:p w14:paraId="15D0FF07" w14:textId="77777777" w:rsidR="006E5E55" w:rsidRPr="0089051B" w:rsidRDefault="00A328F5" w:rsidP="006E5E55">
      <w:pPr>
        <w:ind w:firstLine="720"/>
        <w:jc w:val="both"/>
        <w:rPr>
          <w:rFonts w:ascii="Times New Roman" w:hAnsi="Times New Roman" w:cs="Times New Roman"/>
        </w:rPr>
      </w:pPr>
      <w:r w:rsidRPr="0089051B">
        <w:rPr>
          <w:rFonts w:ascii="Times New Roman" w:hAnsi="Times New Roman" w:cs="Times New Roman"/>
        </w:rPr>
        <w:t xml:space="preserve">In the third place, it remains unclear how far the nature and extent of the Member State’s own misconduct and non-compliance will colour the Court’s evaluation of a national court’s request for non-disapplication.  </w:t>
      </w:r>
      <w:r w:rsidR="00212AE6" w:rsidRPr="0089051B">
        <w:rPr>
          <w:rFonts w:ascii="Times New Roman" w:hAnsi="Times New Roman" w:cs="Times New Roman"/>
        </w:rPr>
        <w:t xml:space="preserve">For example, in </w:t>
      </w:r>
      <w:r w:rsidR="00212AE6" w:rsidRPr="0089051B">
        <w:rPr>
          <w:rFonts w:ascii="Times New Roman" w:hAnsi="Times New Roman" w:cs="Times New Roman"/>
          <w:i/>
        </w:rPr>
        <w:t xml:space="preserve">Winner </w:t>
      </w:r>
      <w:proofErr w:type="spellStart"/>
      <w:r w:rsidR="00212AE6" w:rsidRPr="0089051B">
        <w:rPr>
          <w:rFonts w:ascii="Times New Roman" w:hAnsi="Times New Roman" w:cs="Times New Roman"/>
          <w:i/>
        </w:rPr>
        <w:t>Wetten</w:t>
      </w:r>
      <w:proofErr w:type="spellEnd"/>
      <w:r w:rsidR="00212AE6" w:rsidRPr="0089051B">
        <w:rPr>
          <w:rFonts w:ascii="Times New Roman" w:hAnsi="Times New Roman" w:cs="Times New Roman"/>
        </w:rPr>
        <w:t xml:space="preserve">, the primary reason why the Court was not prepared </w:t>
      </w:r>
      <w:r w:rsidR="000D0465" w:rsidRPr="0089051B">
        <w:rPr>
          <w:rFonts w:ascii="Times New Roman" w:hAnsi="Times New Roman" w:cs="Times New Roman"/>
        </w:rPr>
        <w:t>even to consider authorising</w:t>
      </w:r>
      <w:r w:rsidR="00212AE6" w:rsidRPr="0089051B">
        <w:rPr>
          <w:rFonts w:ascii="Times New Roman" w:hAnsi="Times New Roman" w:cs="Times New Roman"/>
        </w:rPr>
        <w:t xml:space="preserve"> temporary maintenance </w:t>
      </w:r>
      <w:r w:rsidR="000D0465" w:rsidRPr="0089051B">
        <w:rPr>
          <w:rFonts w:ascii="Times New Roman" w:hAnsi="Times New Roman" w:cs="Times New Roman"/>
        </w:rPr>
        <w:t xml:space="preserve">of the defective German rules resided in the fact that the latter failed to restrict commercial gaming activities in a consistent and systematic manner </w:t>
      </w:r>
      <w:r w:rsidR="00235708" w:rsidRPr="0089051B">
        <w:rPr>
          <w:rFonts w:ascii="Times New Roman" w:hAnsi="Times New Roman" w:cs="Times New Roman"/>
          <w:i/>
        </w:rPr>
        <w:t>so that</w:t>
      </w:r>
      <w:r w:rsidR="000D0465" w:rsidRPr="0089051B">
        <w:rPr>
          <w:rFonts w:ascii="Times New Roman" w:hAnsi="Times New Roman" w:cs="Times New Roman"/>
          <w:i/>
        </w:rPr>
        <w:t xml:space="preserve"> </w:t>
      </w:r>
      <w:r w:rsidR="000D0465" w:rsidRPr="0089051B">
        <w:rPr>
          <w:rFonts w:ascii="Times New Roman" w:hAnsi="Times New Roman" w:cs="Times New Roman"/>
        </w:rPr>
        <w:t xml:space="preserve">it followed from established </w:t>
      </w:r>
      <w:proofErr w:type="spellStart"/>
      <w:r w:rsidR="000D0465" w:rsidRPr="0089051B">
        <w:rPr>
          <w:rFonts w:ascii="Times New Roman" w:hAnsi="Times New Roman" w:cs="Times New Roman"/>
        </w:rPr>
        <w:t>caselaw</w:t>
      </w:r>
      <w:proofErr w:type="spellEnd"/>
      <w:r w:rsidR="000D0465" w:rsidRPr="0089051B">
        <w:rPr>
          <w:rFonts w:ascii="Times New Roman" w:hAnsi="Times New Roman" w:cs="Times New Roman"/>
        </w:rPr>
        <w:t xml:space="preserve"> that such legislation could not be justified by the imperative requirement of controlling gambling.</w:t>
      </w:r>
      <w:r w:rsidR="005C0B96" w:rsidRPr="0089051B">
        <w:rPr>
          <w:rStyle w:val="FootnoteReference"/>
          <w:rFonts w:ascii="Times New Roman" w:hAnsi="Times New Roman" w:cs="Times New Roman"/>
        </w:rPr>
        <w:footnoteReference w:id="132"/>
      </w:r>
      <w:r w:rsidR="000D0465" w:rsidRPr="0089051B">
        <w:rPr>
          <w:rFonts w:ascii="Times New Roman" w:hAnsi="Times New Roman" w:cs="Times New Roman"/>
        </w:rPr>
        <w:t xml:space="preserve">  </w:t>
      </w:r>
      <w:r w:rsidR="009434EF" w:rsidRPr="0089051B">
        <w:rPr>
          <w:rFonts w:ascii="Times New Roman" w:hAnsi="Times New Roman" w:cs="Times New Roman"/>
        </w:rPr>
        <w:t xml:space="preserve">What broader lessons might we draw from that (admittedly rather terse) reasoning?  </w:t>
      </w:r>
    </w:p>
    <w:p w14:paraId="0C0C76FA" w14:textId="302BFAA8" w:rsidR="006E5E55" w:rsidRPr="0089051B" w:rsidRDefault="000D0465" w:rsidP="00C72889">
      <w:pPr>
        <w:ind w:firstLine="720"/>
        <w:jc w:val="both"/>
        <w:rPr>
          <w:rFonts w:ascii="Times New Roman" w:hAnsi="Times New Roman" w:cs="Times New Roman"/>
          <w:i/>
        </w:rPr>
      </w:pPr>
      <w:r w:rsidRPr="0089051B">
        <w:rPr>
          <w:rFonts w:ascii="Times New Roman" w:hAnsi="Times New Roman" w:cs="Times New Roman"/>
        </w:rPr>
        <w:t xml:space="preserve">On the one hand, </w:t>
      </w:r>
      <w:r w:rsidR="00D66614" w:rsidRPr="0089051B">
        <w:rPr>
          <w:rFonts w:ascii="Times New Roman" w:hAnsi="Times New Roman" w:cs="Times New Roman"/>
        </w:rPr>
        <w:t xml:space="preserve">perhaps the ruling in </w:t>
      </w:r>
      <w:r w:rsidR="00C72889" w:rsidRPr="0089051B">
        <w:rPr>
          <w:rFonts w:ascii="Times New Roman" w:hAnsi="Times New Roman" w:cs="Times New Roman"/>
          <w:i/>
        </w:rPr>
        <w:t xml:space="preserve">Winner </w:t>
      </w:r>
      <w:proofErr w:type="spellStart"/>
      <w:r w:rsidR="00C72889" w:rsidRPr="0089051B">
        <w:rPr>
          <w:rFonts w:ascii="Times New Roman" w:hAnsi="Times New Roman" w:cs="Times New Roman"/>
          <w:i/>
        </w:rPr>
        <w:t>We</w:t>
      </w:r>
      <w:r w:rsidRPr="0089051B">
        <w:rPr>
          <w:rFonts w:ascii="Times New Roman" w:hAnsi="Times New Roman" w:cs="Times New Roman"/>
          <w:i/>
        </w:rPr>
        <w:t>tten</w:t>
      </w:r>
      <w:proofErr w:type="spellEnd"/>
      <w:r w:rsidRPr="0089051B">
        <w:rPr>
          <w:rFonts w:ascii="Times New Roman" w:hAnsi="Times New Roman" w:cs="Times New Roman"/>
          <w:i/>
        </w:rPr>
        <w:t xml:space="preserve"> </w:t>
      </w:r>
      <w:r w:rsidR="00D66614" w:rsidRPr="0089051B">
        <w:rPr>
          <w:rFonts w:ascii="Times New Roman" w:hAnsi="Times New Roman" w:cs="Times New Roman"/>
        </w:rPr>
        <w:t xml:space="preserve">is thus suggesting that, if the disputed national rules cannot be objectively justified in accordance with the relevant Treaty free movement provisions, that in itself amounts to an insuperable </w:t>
      </w:r>
      <w:r w:rsidRPr="0089051B">
        <w:rPr>
          <w:rFonts w:ascii="Times New Roman" w:hAnsi="Times New Roman" w:cs="Times New Roman"/>
        </w:rPr>
        <w:lastRenderedPageBreak/>
        <w:t xml:space="preserve">obstacle </w:t>
      </w:r>
      <w:r w:rsidR="00D66614" w:rsidRPr="0089051B">
        <w:rPr>
          <w:rFonts w:ascii="Times New Roman" w:hAnsi="Times New Roman" w:cs="Times New Roman"/>
        </w:rPr>
        <w:t xml:space="preserve">against </w:t>
      </w:r>
      <w:r w:rsidRPr="0089051B">
        <w:rPr>
          <w:rFonts w:ascii="Times New Roman" w:hAnsi="Times New Roman" w:cs="Times New Roman"/>
        </w:rPr>
        <w:t>exercise of the Court’s centralised jurisdiction to authorise non-disapplication</w:t>
      </w:r>
      <w:r w:rsidR="00D66614" w:rsidRPr="0089051B">
        <w:rPr>
          <w:rFonts w:ascii="Times New Roman" w:hAnsi="Times New Roman" w:cs="Times New Roman"/>
        </w:rPr>
        <w:t>.</w:t>
      </w:r>
      <w:r w:rsidR="007D1472" w:rsidRPr="0089051B">
        <w:rPr>
          <w:rStyle w:val="FootnoteReference"/>
          <w:rFonts w:ascii="Times New Roman" w:hAnsi="Times New Roman" w:cs="Times New Roman"/>
        </w:rPr>
        <w:footnoteReference w:id="133"/>
      </w:r>
      <w:r w:rsidRPr="0089051B">
        <w:rPr>
          <w:rFonts w:ascii="Times New Roman" w:hAnsi="Times New Roman" w:cs="Times New Roman"/>
        </w:rPr>
        <w:t xml:space="preserve"> </w:t>
      </w:r>
      <w:r w:rsidR="00D66614" w:rsidRPr="0089051B">
        <w:rPr>
          <w:rFonts w:ascii="Times New Roman" w:hAnsi="Times New Roman" w:cs="Times New Roman"/>
        </w:rPr>
        <w:t xml:space="preserve"> If so, that </w:t>
      </w:r>
      <w:r w:rsidRPr="0089051B">
        <w:rPr>
          <w:rFonts w:ascii="Times New Roman" w:hAnsi="Times New Roman" w:cs="Times New Roman"/>
        </w:rPr>
        <w:t>would surely amount to an unduly restrictive requirement.</w:t>
      </w:r>
      <w:r w:rsidR="00D617C6" w:rsidRPr="0089051B">
        <w:rPr>
          <w:rFonts w:ascii="Times New Roman" w:hAnsi="Times New Roman" w:cs="Times New Roman"/>
        </w:rPr>
        <w:t xml:space="preserve"> </w:t>
      </w:r>
      <w:r w:rsidR="007D1472" w:rsidRPr="0089051B">
        <w:rPr>
          <w:rFonts w:ascii="Times New Roman" w:hAnsi="Times New Roman" w:cs="Times New Roman"/>
        </w:rPr>
        <w:t xml:space="preserve"> </w:t>
      </w:r>
      <w:r w:rsidRPr="0089051B">
        <w:rPr>
          <w:rFonts w:ascii="Times New Roman" w:hAnsi="Times New Roman" w:cs="Times New Roman"/>
        </w:rPr>
        <w:t xml:space="preserve">After all: the only reason the Court might be called upon to exercise this exceptional jurisdiction </w:t>
      </w:r>
      <w:r w:rsidR="009434EF" w:rsidRPr="0089051B">
        <w:rPr>
          <w:rFonts w:ascii="Times New Roman" w:hAnsi="Times New Roman" w:cs="Times New Roman"/>
        </w:rPr>
        <w:t xml:space="preserve">in the first place, is </w:t>
      </w:r>
      <w:r w:rsidRPr="0089051B">
        <w:rPr>
          <w:rFonts w:ascii="Times New Roman" w:hAnsi="Times New Roman" w:cs="Times New Roman"/>
        </w:rPr>
        <w:t xml:space="preserve">precisely </w:t>
      </w:r>
      <w:r w:rsidRPr="0089051B">
        <w:rPr>
          <w:rFonts w:ascii="Times New Roman" w:hAnsi="Times New Roman" w:cs="Times New Roman"/>
          <w:i/>
        </w:rPr>
        <w:t xml:space="preserve">because </w:t>
      </w:r>
      <w:r w:rsidRPr="0089051B">
        <w:rPr>
          <w:rFonts w:ascii="Times New Roman" w:hAnsi="Times New Roman" w:cs="Times New Roman"/>
        </w:rPr>
        <w:t>the Member State’s action has been found incompatible with its Union law obligations</w:t>
      </w:r>
      <w:r w:rsidR="009434EF" w:rsidRPr="0089051B">
        <w:rPr>
          <w:rFonts w:ascii="Times New Roman" w:hAnsi="Times New Roman" w:cs="Times New Roman"/>
        </w:rPr>
        <w:t>; otherwise, the national rules would be perfectly valid and no issue of preclusion or disapplication would even arise</w:t>
      </w:r>
      <w:r w:rsidRPr="0089051B">
        <w:rPr>
          <w:rFonts w:ascii="Times New Roman" w:hAnsi="Times New Roman" w:cs="Times New Roman"/>
        </w:rPr>
        <w:t xml:space="preserve">.  </w:t>
      </w:r>
      <w:r w:rsidR="005D397A" w:rsidRPr="0089051B">
        <w:rPr>
          <w:rFonts w:ascii="Times New Roman" w:hAnsi="Times New Roman" w:cs="Times New Roman"/>
        </w:rPr>
        <w:t>As we have seen: in the case of the Treaty free movement provisions, a finding of incompatibility will usually be attributable precisely to defects identified through the judicial proportionality assessment; indeed, the failure to pursue a legitimate policy objective with the fullest possible rigour and coherence in practice is virtually a standard Member State shortcoming.</w:t>
      </w:r>
      <w:r w:rsidR="005D397A" w:rsidRPr="0089051B">
        <w:rPr>
          <w:rStyle w:val="FootnoteReference"/>
          <w:rFonts w:ascii="Times New Roman" w:hAnsi="Times New Roman" w:cs="Times New Roman"/>
        </w:rPr>
        <w:footnoteReference w:id="134"/>
      </w:r>
      <w:r w:rsidR="005D397A" w:rsidRPr="0089051B">
        <w:rPr>
          <w:rFonts w:ascii="Times New Roman" w:hAnsi="Times New Roman" w:cs="Times New Roman"/>
        </w:rPr>
        <w:t xml:space="preserve">  </w:t>
      </w:r>
      <w:r w:rsidR="00D66614" w:rsidRPr="0089051B">
        <w:rPr>
          <w:rFonts w:ascii="Times New Roman" w:hAnsi="Times New Roman" w:cs="Times New Roman"/>
        </w:rPr>
        <w:t xml:space="preserve">In </w:t>
      </w:r>
      <w:r w:rsidR="00C72889" w:rsidRPr="0089051B">
        <w:rPr>
          <w:rFonts w:ascii="Times New Roman" w:hAnsi="Times New Roman" w:cs="Times New Roman"/>
          <w:i/>
        </w:rPr>
        <w:t xml:space="preserve">Winner </w:t>
      </w:r>
      <w:proofErr w:type="spellStart"/>
      <w:r w:rsidR="00C72889" w:rsidRPr="0089051B">
        <w:rPr>
          <w:rFonts w:ascii="Times New Roman" w:hAnsi="Times New Roman" w:cs="Times New Roman"/>
          <w:i/>
        </w:rPr>
        <w:t>We</w:t>
      </w:r>
      <w:r w:rsidR="00D66614" w:rsidRPr="0089051B">
        <w:rPr>
          <w:rFonts w:ascii="Times New Roman" w:hAnsi="Times New Roman" w:cs="Times New Roman"/>
          <w:i/>
        </w:rPr>
        <w:t>tten</w:t>
      </w:r>
      <w:proofErr w:type="spellEnd"/>
      <w:r w:rsidR="00D66614" w:rsidRPr="0089051B">
        <w:rPr>
          <w:rFonts w:ascii="Times New Roman" w:hAnsi="Times New Roman" w:cs="Times New Roman"/>
          <w:i/>
        </w:rPr>
        <w:t xml:space="preserve"> </w:t>
      </w:r>
      <w:r w:rsidR="00D66614" w:rsidRPr="0089051B">
        <w:rPr>
          <w:rFonts w:ascii="Times New Roman" w:hAnsi="Times New Roman" w:cs="Times New Roman"/>
        </w:rPr>
        <w:t xml:space="preserve">itself, the Court may have been influenced by the </w:t>
      </w:r>
      <w:r w:rsidR="005D397A" w:rsidRPr="0089051B">
        <w:rPr>
          <w:rFonts w:ascii="Times New Roman" w:hAnsi="Times New Roman" w:cs="Times New Roman"/>
        </w:rPr>
        <w:t>degree to which the disputed German rules failed to achieve their own policy objectives in a consistent and systematic manner: after all, Advocate General Bot described the regime as “in reality, only a discriminatory, or at least a protectionist, measure”.</w:t>
      </w:r>
      <w:r w:rsidR="005D397A" w:rsidRPr="0089051B">
        <w:rPr>
          <w:rStyle w:val="FootnoteReference"/>
          <w:rFonts w:ascii="Times New Roman" w:hAnsi="Times New Roman" w:cs="Times New Roman"/>
        </w:rPr>
        <w:footnoteReference w:id="135"/>
      </w:r>
      <w:r w:rsidR="005D397A" w:rsidRPr="0089051B">
        <w:rPr>
          <w:rFonts w:ascii="Times New Roman" w:hAnsi="Times New Roman" w:cs="Times New Roman"/>
        </w:rPr>
        <w:t xml:space="preserve">  </w:t>
      </w:r>
      <w:r w:rsidR="009434EF" w:rsidRPr="0089051B">
        <w:rPr>
          <w:rFonts w:ascii="Times New Roman" w:hAnsi="Times New Roman" w:cs="Times New Roman"/>
        </w:rPr>
        <w:t xml:space="preserve">But in </w:t>
      </w:r>
      <w:r w:rsidR="005D397A" w:rsidRPr="0089051B">
        <w:rPr>
          <w:rFonts w:ascii="Times New Roman" w:hAnsi="Times New Roman" w:cs="Times New Roman"/>
        </w:rPr>
        <w:t xml:space="preserve">and of </w:t>
      </w:r>
      <w:r w:rsidR="009434EF" w:rsidRPr="0089051B">
        <w:rPr>
          <w:rFonts w:ascii="Times New Roman" w:hAnsi="Times New Roman" w:cs="Times New Roman"/>
        </w:rPr>
        <w:t xml:space="preserve">itself, </w:t>
      </w:r>
      <w:r w:rsidR="005D397A" w:rsidRPr="0089051B">
        <w:rPr>
          <w:rFonts w:ascii="Times New Roman" w:hAnsi="Times New Roman" w:cs="Times New Roman"/>
        </w:rPr>
        <w:t xml:space="preserve">the existence of a state of incompatibility </w:t>
      </w:r>
      <w:r w:rsidR="009434EF" w:rsidRPr="0089051B">
        <w:rPr>
          <w:rFonts w:ascii="Times New Roman" w:hAnsi="Times New Roman" w:cs="Times New Roman"/>
        </w:rPr>
        <w:t xml:space="preserve">tells us little (for example) about whether disapplication might still risk creating a damaging legal vacuum through the absence of any (even flawed) public regulation; or whether the defective national regime might be brought into full compliance with Union law through only relatively minor adjustments and improvements. </w:t>
      </w:r>
    </w:p>
    <w:p w14:paraId="1C14725D" w14:textId="77777777" w:rsidR="006E5E55" w:rsidRPr="0089051B" w:rsidRDefault="009434EF" w:rsidP="006E5E55">
      <w:pPr>
        <w:ind w:firstLine="720"/>
        <w:jc w:val="both"/>
        <w:rPr>
          <w:rFonts w:ascii="Times New Roman" w:hAnsi="Times New Roman" w:cs="Times New Roman"/>
        </w:rPr>
      </w:pPr>
      <w:r w:rsidRPr="0089051B">
        <w:rPr>
          <w:rFonts w:ascii="Times New Roman" w:hAnsi="Times New Roman" w:cs="Times New Roman"/>
        </w:rPr>
        <w:t xml:space="preserve">On the other hand, </w:t>
      </w:r>
      <w:r w:rsidR="00840A97" w:rsidRPr="0089051B">
        <w:rPr>
          <w:rFonts w:ascii="Times New Roman" w:hAnsi="Times New Roman" w:cs="Times New Roman"/>
        </w:rPr>
        <w:t xml:space="preserve">perhaps the Court in </w:t>
      </w:r>
      <w:r w:rsidR="00840A97" w:rsidRPr="0089051B">
        <w:rPr>
          <w:rFonts w:ascii="Times New Roman" w:hAnsi="Times New Roman" w:cs="Times New Roman"/>
          <w:i/>
        </w:rPr>
        <w:t xml:space="preserve">Winner </w:t>
      </w:r>
      <w:proofErr w:type="spellStart"/>
      <w:r w:rsidR="00840A97" w:rsidRPr="0089051B">
        <w:rPr>
          <w:rFonts w:ascii="Times New Roman" w:hAnsi="Times New Roman" w:cs="Times New Roman"/>
          <w:i/>
        </w:rPr>
        <w:t>Wetten</w:t>
      </w:r>
      <w:proofErr w:type="spellEnd"/>
      <w:r w:rsidR="00840A97" w:rsidRPr="0089051B">
        <w:rPr>
          <w:rFonts w:ascii="Times New Roman" w:hAnsi="Times New Roman" w:cs="Times New Roman"/>
          <w:i/>
        </w:rPr>
        <w:t xml:space="preserve"> </w:t>
      </w:r>
      <w:r w:rsidR="00840A97" w:rsidRPr="0089051B">
        <w:rPr>
          <w:rFonts w:ascii="Times New Roman" w:hAnsi="Times New Roman" w:cs="Times New Roman"/>
        </w:rPr>
        <w:t xml:space="preserve">intended to place particular emphasis on the fact, not merely that the German rules were incompatible with the Treaty free movement provisions, but that such incompatibility should already have been obvious from the Court’s existing and indeed extensive </w:t>
      </w:r>
      <w:proofErr w:type="spellStart"/>
      <w:r w:rsidR="00840A97" w:rsidRPr="0089051B">
        <w:rPr>
          <w:rFonts w:ascii="Times New Roman" w:hAnsi="Times New Roman" w:cs="Times New Roman"/>
        </w:rPr>
        <w:t>caselaw</w:t>
      </w:r>
      <w:proofErr w:type="spellEnd"/>
      <w:r w:rsidR="00840A97" w:rsidRPr="0089051B">
        <w:rPr>
          <w:rFonts w:ascii="Times New Roman" w:hAnsi="Times New Roman" w:cs="Times New Roman"/>
        </w:rPr>
        <w:t xml:space="preserve"> on evaluating the lawfulness of Member State restrictions on commercial gambling activities.</w:t>
      </w:r>
      <w:r w:rsidR="00840A97" w:rsidRPr="0089051B">
        <w:rPr>
          <w:rStyle w:val="FootnoteReference"/>
          <w:rFonts w:ascii="Times New Roman" w:hAnsi="Times New Roman" w:cs="Times New Roman"/>
        </w:rPr>
        <w:footnoteReference w:id="136"/>
      </w:r>
      <w:r w:rsidR="00840A97" w:rsidRPr="0089051B">
        <w:rPr>
          <w:rFonts w:ascii="Times New Roman" w:hAnsi="Times New Roman" w:cs="Times New Roman"/>
        </w:rPr>
        <w:t xml:space="preserve">  Such an approach would certainly have </w:t>
      </w:r>
      <w:r w:rsidR="000C6036" w:rsidRPr="0089051B">
        <w:rPr>
          <w:rFonts w:ascii="Times New Roman" w:hAnsi="Times New Roman" w:cs="Times New Roman"/>
        </w:rPr>
        <w:t>its</w:t>
      </w:r>
      <w:r w:rsidR="00840A97" w:rsidRPr="0089051B">
        <w:rPr>
          <w:rFonts w:ascii="Times New Roman" w:hAnsi="Times New Roman" w:cs="Times New Roman"/>
        </w:rPr>
        <w:t xml:space="preserve"> merit</w:t>
      </w:r>
      <w:r w:rsidR="000C6036" w:rsidRPr="0089051B">
        <w:rPr>
          <w:rFonts w:ascii="Times New Roman" w:hAnsi="Times New Roman" w:cs="Times New Roman"/>
        </w:rPr>
        <w:t>s</w:t>
      </w:r>
      <w:r w:rsidR="00840A97" w:rsidRPr="0089051B">
        <w:rPr>
          <w:rFonts w:ascii="Times New Roman" w:hAnsi="Times New Roman" w:cs="Times New Roman"/>
        </w:rPr>
        <w:t xml:space="preserve">.  After all, if the Court has already delivered preliminary rulings which provide the Member States with a binding interpretation of Union law, as it should be understood and applied from its entry into force and without relevant temporal restriction, then for the Court to agree to a subsequent request from a domestic court to limit the prospective effects of a finding of incompatibility, </w:t>
      </w:r>
      <w:r w:rsidR="000C6036" w:rsidRPr="0089051B">
        <w:rPr>
          <w:rFonts w:ascii="Times New Roman" w:hAnsi="Times New Roman" w:cs="Times New Roman"/>
        </w:rPr>
        <w:t>could have the effect, both of circumventing the general principle that temporal restrictions on the interpretation of Union law should only be imposed in that very ruling,</w:t>
      </w:r>
      <w:r w:rsidR="007E76E0" w:rsidRPr="0089051B">
        <w:rPr>
          <w:rStyle w:val="FootnoteReference"/>
          <w:rFonts w:ascii="Times New Roman" w:hAnsi="Times New Roman" w:cs="Times New Roman"/>
        </w:rPr>
        <w:footnoteReference w:id="137"/>
      </w:r>
      <w:r w:rsidR="000C6036" w:rsidRPr="0089051B">
        <w:rPr>
          <w:rFonts w:ascii="Times New Roman" w:hAnsi="Times New Roman" w:cs="Times New Roman"/>
        </w:rPr>
        <w:t xml:space="preserve"> and of reducing the incentive for Member States to assess the implications of the Court’s </w:t>
      </w:r>
      <w:proofErr w:type="spellStart"/>
      <w:r w:rsidR="000C6036" w:rsidRPr="0089051B">
        <w:rPr>
          <w:rFonts w:ascii="Times New Roman" w:hAnsi="Times New Roman" w:cs="Times New Roman"/>
        </w:rPr>
        <w:t>caselaw</w:t>
      </w:r>
      <w:proofErr w:type="spellEnd"/>
      <w:r w:rsidR="000C6036" w:rsidRPr="0089051B">
        <w:rPr>
          <w:rFonts w:ascii="Times New Roman" w:hAnsi="Times New Roman" w:cs="Times New Roman"/>
        </w:rPr>
        <w:t xml:space="preserve"> for their existing national legislation and take the necessary steps in good time to ensure full compliance with their Treaty obligations</w:t>
      </w:r>
      <w:r w:rsidR="00840A97" w:rsidRPr="0089051B">
        <w:rPr>
          <w:rFonts w:ascii="Times New Roman" w:hAnsi="Times New Roman" w:cs="Times New Roman"/>
        </w:rPr>
        <w:t>.</w:t>
      </w:r>
      <w:r w:rsidR="00826508" w:rsidRPr="0089051B">
        <w:rPr>
          <w:rStyle w:val="FootnoteReference"/>
          <w:rFonts w:ascii="Times New Roman" w:hAnsi="Times New Roman" w:cs="Times New Roman"/>
        </w:rPr>
        <w:footnoteReference w:id="138"/>
      </w:r>
      <w:r w:rsidR="00840A97" w:rsidRPr="0089051B">
        <w:rPr>
          <w:rFonts w:ascii="Times New Roman" w:hAnsi="Times New Roman" w:cs="Times New Roman"/>
        </w:rPr>
        <w:t xml:space="preserve">  </w:t>
      </w:r>
    </w:p>
    <w:p w14:paraId="715B4849" w14:textId="792DF7FB" w:rsidR="009434EF" w:rsidRPr="0089051B" w:rsidRDefault="00785A26" w:rsidP="006E5E55">
      <w:pPr>
        <w:ind w:firstLine="720"/>
        <w:jc w:val="both"/>
        <w:rPr>
          <w:rFonts w:ascii="Times New Roman" w:hAnsi="Times New Roman" w:cs="Times New Roman"/>
        </w:rPr>
      </w:pPr>
      <w:r w:rsidRPr="0089051B">
        <w:rPr>
          <w:rFonts w:ascii="Times New Roman" w:hAnsi="Times New Roman" w:cs="Times New Roman"/>
        </w:rPr>
        <w:t xml:space="preserve">To that extent, the Court may be speaking very precisely and deliberately when it phrases its </w:t>
      </w:r>
      <w:r w:rsidR="00826508" w:rsidRPr="0089051B">
        <w:rPr>
          <w:rFonts w:ascii="Times New Roman" w:hAnsi="Times New Roman" w:cs="Times New Roman"/>
        </w:rPr>
        <w:t xml:space="preserve">new </w:t>
      </w:r>
      <w:r w:rsidRPr="0089051B">
        <w:rPr>
          <w:rFonts w:ascii="Times New Roman" w:hAnsi="Times New Roman" w:cs="Times New Roman"/>
        </w:rPr>
        <w:t>jurisdiction as much in terms of protecting legal certainty as about preventing legal vacuums</w:t>
      </w:r>
      <w:r w:rsidR="00826508" w:rsidRPr="0089051B">
        <w:rPr>
          <w:rFonts w:ascii="Times New Roman" w:hAnsi="Times New Roman" w:cs="Times New Roman"/>
        </w:rPr>
        <w:t xml:space="preserve">: after all, the existence of a state of genuine uncertainty about the true meaning and requirements of Union law is (as we have seen) a crucial factor when the Court is called upon to exercise its existing powers to </w:t>
      </w:r>
      <w:r w:rsidR="00826508" w:rsidRPr="0089051B">
        <w:rPr>
          <w:rFonts w:ascii="Times New Roman" w:hAnsi="Times New Roman" w:cs="Times New Roman"/>
        </w:rPr>
        <w:lastRenderedPageBreak/>
        <w:t xml:space="preserve">limit the retroactive effects of the principle of </w:t>
      </w:r>
      <w:r w:rsidR="00B81FD5" w:rsidRPr="0089051B">
        <w:rPr>
          <w:rFonts w:ascii="Times New Roman" w:hAnsi="Times New Roman" w:cs="Times New Roman"/>
        </w:rPr>
        <w:t>primacy</w:t>
      </w:r>
      <w:r w:rsidRPr="0089051B">
        <w:rPr>
          <w:rFonts w:ascii="Times New Roman" w:hAnsi="Times New Roman" w:cs="Times New Roman"/>
        </w:rPr>
        <w:t>.</w:t>
      </w:r>
      <w:r w:rsidR="00826508" w:rsidRPr="0089051B">
        <w:rPr>
          <w:rStyle w:val="FootnoteReference"/>
          <w:rFonts w:ascii="Times New Roman" w:hAnsi="Times New Roman" w:cs="Times New Roman"/>
        </w:rPr>
        <w:footnoteReference w:id="139"/>
      </w:r>
      <w:r w:rsidRPr="0089051B">
        <w:rPr>
          <w:rFonts w:ascii="Times New Roman" w:hAnsi="Times New Roman" w:cs="Times New Roman"/>
        </w:rPr>
        <w:t xml:space="preserve">  </w:t>
      </w:r>
      <w:r w:rsidR="000C6036" w:rsidRPr="0089051B">
        <w:rPr>
          <w:rFonts w:ascii="Times New Roman" w:hAnsi="Times New Roman" w:cs="Times New Roman"/>
        </w:rPr>
        <w:t xml:space="preserve">But </w:t>
      </w:r>
      <w:r w:rsidR="00826508" w:rsidRPr="0089051B">
        <w:rPr>
          <w:rFonts w:ascii="Times New Roman" w:hAnsi="Times New Roman" w:cs="Times New Roman"/>
        </w:rPr>
        <w:t xml:space="preserve">in this rather different context, </w:t>
      </w:r>
      <w:r w:rsidR="000C6036" w:rsidRPr="0089051B">
        <w:rPr>
          <w:rFonts w:ascii="Times New Roman" w:hAnsi="Times New Roman" w:cs="Times New Roman"/>
        </w:rPr>
        <w:t xml:space="preserve">it </w:t>
      </w:r>
      <w:r w:rsidR="00826508" w:rsidRPr="0089051B">
        <w:rPr>
          <w:rFonts w:ascii="Times New Roman" w:hAnsi="Times New Roman" w:cs="Times New Roman"/>
        </w:rPr>
        <w:t xml:space="preserve">might once again prove </w:t>
      </w:r>
      <w:r w:rsidR="000C6036" w:rsidRPr="0089051B">
        <w:rPr>
          <w:rFonts w:ascii="Times New Roman" w:hAnsi="Times New Roman" w:cs="Times New Roman"/>
        </w:rPr>
        <w:t xml:space="preserve">unwise to treat </w:t>
      </w:r>
      <w:r w:rsidR="00826508" w:rsidRPr="0089051B">
        <w:rPr>
          <w:rFonts w:ascii="Times New Roman" w:hAnsi="Times New Roman" w:cs="Times New Roman"/>
        </w:rPr>
        <w:t>any single consideration</w:t>
      </w:r>
      <w:r w:rsidR="000C6036" w:rsidRPr="0089051B">
        <w:rPr>
          <w:rFonts w:ascii="Times New Roman" w:hAnsi="Times New Roman" w:cs="Times New Roman"/>
        </w:rPr>
        <w:t xml:space="preserve"> as decisive rather then merely relevant or even persuasive.  </w:t>
      </w:r>
      <w:r w:rsidR="00826508" w:rsidRPr="0089051B">
        <w:rPr>
          <w:rFonts w:ascii="Times New Roman" w:hAnsi="Times New Roman" w:cs="Times New Roman"/>
        </w:rPr>
        <w:t>After all, it</w:t>
      </w:r>
      <w:r w:rsidR="000C6036" w:rsidRPr="0089051B">
        <w:rPr>
          <w:rFonts w:ascii="Times New Roman" w:hAnsi="Times New Roman" w:cs="Times New Roman"/>
        </w:rPr>
        <w:t xml:space="preserve"> is perfectly possible to imagine a situation (say) in which a preliminary ruling from one Member State clarifies the implications of Union law without relevant temporal restriction, immediately prompting another Member State to begin the process of reviewing and revising its own corresponding regulatory regime, but in the meantime, still leaving the latter amenable to judicial challenge on the basis of Union law, in circumstances where fully prospective disapplication could risk creating a damaging legal vacuum.  </w:t>
      </w:r>
    </w:p>
    <w:p w14:paraId="25F735DD" w14:textId="77777777" w:rsidR="00330EB0" w:rsidRPr="0089051B" w:rsidRDefault="00330EB0" w:rsidP="0061452E">
      <w:pPr>
        <w:jc w:val="both"/>
        <w:rPr>
          <w:rFonts w:ascii="Times New Roman" w:hAnsi="Times New Roman" w:cs="Times New Roman"/>
        </w:rPr>
      </w:pPr>
    </w:p>
    <w:p w14:paraId="1E533941" w14:textId="53FBAA3A" w:rsidR="00434D8B" w:rsidRPr="0089051B" w:rsidRDefault="00727EDA" w:rsidP="0061452E">
      <w:pPr>
        <w:jc w:val="both"/>
        <w:rPr>
          <w:rFonts w:ascii="Times New Roman" w:hAnsi="Times New Roman" w:cs="Times New Roman"/>
          <w:i/>
        </w:rPr>
      </w:pPr>
      <w:r w:rsidRPr="0089051B">
        <w:rPr>
          <w:rFonts w:ascii="Times New Roman" w:hAnsi="Times New Roman" w:cs="Times New Roman"/>
          <w:i/>
        </w:rPr>
        <w:t xml:space="preserve">6.2. </w:t>
      </w:r>
      <w:r w:rsidRPr="0089051B">
        <w:rPr>
          <w:rFonts w:ascii="Times New Roman" w:hAnsi="Times New Roman" w:cs="Times New Roman"/>
          <w:i/>
        </w:rPr>
        <w:tab/>
      </w:r>
      <w:r w:rsidR="00434D8B" w:rsidRPr="0089051B">
        <w:rPr>
          <w:rFonts w:ascii="Times New Roman" w:hAnsi="Times New Roman" w:cs="Times New Roman"/>
          <w:i/>
        </w:rPr>
        <w:t>Decentralised jurisdiction</w:t>
      </w:r>
    </w:p>
    <w:p w14:paraId="3D3A7E64" w14:textId="77777777" w:rsidR="00486D3D" w:rsidRPr="0089051B" w:rsidRDefault="00486D3D" w:rsidP="0061452E">
      <w:pPr>
        <w:jc w:val="both"/>
        <w:rPr>
          <w:rFonts w:ascii="Times New Roman" w:hAnsi="Times New Roman" w:cs="Times New Roman"/>
        </w:rPr>
      </w:pPr>
    </w:p>
    <w:p w14:paraId="3099AD7E" w14:textId="282A0A2B" w:rsidR="006E5E55" w:rsidRPr="0089051B" w:rsidRDefault="004152BA" w:rsidP="0061452E">
      <w:pPr>
        <w:jc w:val="both"/>
        <w:rPr>
          <w:rFonts w:ascii="Times New Roman" w:hAnsi="Times New Roman" w:cs="Times New Roman"/>
        </w:rPr>
      </w:pPr>
      <w:r w:rsidRPr="0089051B">
        <w:rPr>
          <w:rFonts w:ascii="Times New Roman" w:hAnsi="Times New Roman" w:cs="Times New Roman"/>
        </w:rPr>
        <w:t xml:space="preserve">At the same time as affirming </w:t>
      </w:r>
      <w:r w:rsidRPr="0089051B">
        <w:rPr>
          <w:rFonts w:ascii="Times New Roman" w:hAnsi="Times New Roman" w:cs="Times New Roman"/>
          <w:i/>
        </w:rPr>
        <w:t xml:space="preserve">Winner </w:t>
      </w:r>
      <w:proofErr w:type="spellStart"/>
      <w:r w:rsidRPr="0089051B">
        <w:rPr>
          <w:rFonts w:ascii="Times New Roman" w:hAnsi="Times New Roman" w:cs="Times New Roman"/>
          <w:i/>
        </w:rPr>
        <w:t>Wetten</w:t>
      </w:r>
      <w:proofErr w:type="spellEnd"/>
      <w:r w:rsidRPr="0089051B">
        <w:rPr>
          <w:rFonts w:ascii="Times New Roman" w:hAnsi="Times New Roman" w:cs="Times New Roman"/>
          <w:i/>
        </w:rPr>
        <w:t xml:space="preserve"> </w:t>
      </w:r>
      <w:r w:rsidRPr="0089051B">
        <w:rPr>
          <w:rFonts w:ascii="Times New Roman" w:hAnsi="Times New Roman" w:cs="Times New Roman"/>
        </w:rPr>
        <w:t xml:space="preserve">as the </w:t>
      </w:r>
      <w:r w:rsidR="0083747D">
        <w:rPr>
          <w:rFonts w:ascii="Times New Roman" w:hAnsi="Times New Roman" w:cs="Times New Roman"/>
        </w:rPr>
        <w:t>fountainhead</w:t>
      </w:r>
      <w:r w:rsidRPr="0089051B">
        <w:rPr>
          <w:rFonts w:ascii="Times New Roman" w:hAnsi="Times New Roman" w:cs="Times New Roman"/>
        </w:rPr>
        <w:t xml:space="preserve"> of the Court’s centralised jurisdiction to order the temporary non-disapplication of incompatible national rules at the request of a domestic court, the Court in </w:t>
      </w:r>
      <w:r w:rsidR="00223462" w:rsidRPr="0089051B">
        <w:rPr>
          <w:rFonts w:ascii="Times New Roman" w:hAnsi="Times New Roman" w:cs="Times New Roman"/>
          <w:i/>
        </w:rPr>
        <w:t>Association France</w:t>
      </w:r>
      <w:r w:rsidRPr="0089051B">
        <w:rPr>
          <w:rFonts w:ascii="Times New Roman" w:hAnsi="Times New Roman" w:cs="Times New Roman"/>
        </w:rPr>
        <w:t xml:space="preserve"> treated the </w:t>
      </w:r>
      <w:r w:rsidR="00F27A58" w:rsidRPr="0089051B">
        <w:rPr>
          <w:rFonts w:ascii="Times New Roman" w:hAnsi="Times New Roman" w:cs="Times New Roman"/>
        </w:rPr>
        <w:t xml:space="preserve">previous </w:t>
      </w:r>
      <w:r w:rsidRPr="0089051B">
        <w:rPr>
          <w:rFonts w:ascii="Times New Roman" w:hAnsi="Times New Roman" w:cs="Times New Roman"/>
        </w:rPr>
        <w:t xml:space="preserve">ruling in </w:t>
      </w:r>
      <w:r w:rsidRPr="0089051B">
        <w:rPr>
          <w:rFonts w:ascii="Times New Roman" w:hAnsi="Times New Roman" w:cs="Times New Roman"/>
          <w:i/>
        </w:rPr>
        <w:t>Inter-</w:t>
      </w:r>
      <w:proofErr w:type="spellStart"/>
      <w:r w:rsidRPr="0089051B">
        <w:rPr>
          <w:rFonts w:ascii="Times New Roman" w:hAnsi="Times New Roman" w:cs="Times New Roman"/>
          <w:i/>
        </w:rPr>
        <w:t>Environnement</w:t>
      </w:r>
      <w:proofErr w:type="spellEnd"/>
      <w:r w:rsidRPr="0089051B">
        <w:rPr>
          <w:rFonts w:ascii="Times New Roman" w:hAnsi="Times New Roman" w:cs="Times New Roman"/>
          <w:i/>
        </w:rPr>
        <w:t xml:space="preserve"> </w:t>
      </w:r>
      <w:proofErr w:type="spellStart"/>
      <w:r w:rsidRPr="0089051B">
        <w:rPr>
          <w:rFonts w:ascii="Times New Roman" w:hAnsi="Times New Roman" w:cs="Times New Roman"/>
          <w:i/>
        </w:rPr>
        <w:t>Wallonie</w:t>
      </w:r>
      <w:proofErr w:type="spellEnd"/>
      <w:r w:rsidRPr="0089051B">
        <w:rPr>
          <w:rFonts w:ascii="Times New Roman" w:hAnsi="Times New Roman" w:cs="Times New Roman"/>
          <w:i/>
        </w:rPr>
        <w:t xml:space="preserve"> </w:t>
      </w:r>
      <w:r w:rsidRPr="0089051B">
        <w:rPr>
          <w:rFonts w:ascii="Times New Roman" w:hAnsi="Times New Roman" w:cs="Times New Roman"/>
        </w:rPr>
        <w:t xml:space="preserve">as authority for </w:t>
      </w:r>
      <w:r w:rsidR="00F27A58" w:rsidRPr="0089051B">
        <w:rPr>
          <w:rFonts w:ascii="Times New Roman" w:hAnsi="Times New Roman" w:cs="Times New Roman"/>
        </w:rPr>
        <w:t xml:space="preserve">recognising </w:t>
      </w:r>
      <w:r w:rsidR="00DB774F" w:rsidRPr="0089051B">
        <w:rPr>
          <w:rFonts w:ascii="Times New Roman" w:hAnsi="Times New Roman" w:cs="Times New Roman"/>
        </w:rPr>
        <w:t xml:space="preserve">also the existence of a </w:t>
      </w:r>
      <w:r w:rsidRPr="0089051B">
        <w:rPr>
          <w:rFonts w:ascii="Times New Roman" w:hAnsi="Times New Roman" w:cs="Times New Roman"/>
        </w:rPr>
        <w:t xml:space="preserve">decentralised </w:t>
      </w:r>
      <w:r w:rsidR="00F45213" w:rsidRPr="0089051B">
        <w:rPr>
          <w:rFonts w:ascii="Times New Roman" w:hAnsi="Times New Roman" w:cs="Times New Roman"/>
        </w:rPr>
        <w:t>jurisdiction</w:t>
      </w:r>
      <w:r w:rsidR="00F27A58" w:rsidRPr="0089051B">
        <w:rPr>
          <w:rFonts w:ascii="Times New Roman" w:hAnsi="Times New Roman" w:cs="Times New Roman"/>
        </w:rPr>
        <w:t xml:space="preserve"> allowing the </w:t>
      </w:r>
      <w:r w:rsidRPr="0089051B">
        <w:rPr>
          <w:rFonts w:ascii="Times New Roman" w:hAnsi="Times New Roman" w:cs="Times New Roman"/>
        </w:rPr>
        <w:t xml:space="preserve">national </w:t>
      </w:r>
      <w:r w:rsidR="00F27A58" w:rsidRPr="0089051B">
        <w:rPr>
          <w:rFonts w:ascii="Times New Roman" w:hAnsi="Times New Roman" w:cs="Times New Roman"/>
        </w:rPr>
        <w:t xml:space="preserve">judges to </w:t>
      </w:r>
      <w:r w:rsidRPr="0089051B">
        <w:rPr>
          <w:rFonts w:ascii="Times New Roman" w:hAnsi="Times New Roman" w:cs="Times New Roman"/>
        </w:rPr>
        <w:t xml:space="preserve">grant </w:t>
      </w:r>
      <w:r w:rsidR="00F27A58" w:rsidRPr="0089051B">
        <w:rPr>
          <w:rFonts w:ascii="Times New Roman" w:hAnsi="Times New Roman" w:cs="Times New Roman"/>
        </w:rPr>
        <w:t xml:space="preserve">their own </w:t>
      </w:r>
      <w:r w:rsidRPr="0089051B">
        <w:rPr>
          <w:rFonts w:ascii="Times New Roman" w:hAnsi="Times New Roman" w:cs="Times New Roman"/>
        </w:rPr>
        <w:t xml:space="preserve">“stay of execution” </w:t>
      </w:r>
      <w:r w:rsidR="00F27A58" w:rsidRPr="0089051B">
        <w:rPr>
          <w:rFonts w:ascii="Times New Roman" w:hAnsi="Times New Roman" w:cs="Times New Roman"/>
        </w:rPr>
        <w:t xml:space="preserve">in respect of </w:t>
      </w:r>
      <w:r w:rsidRPr="0089051B">
        <w:rPr>
          <w:rFonts w:ascii="Times New Roman" w:hAnsi="Times New Roman" w:cs="Times New Roman"/>
        </w:rPr>
        <w:t xml:space="preserve">domestic </w:t>
      </w:r>
      <w:r w:rsidR="008B2C78" w:rsidRPr="0089051B">
        <w:rPr>
          <w:rFonts w:ascii="Times New Roman" w:hAnsi="Times New Roman" w:cs="Times New Roman"/>
        </w:rPr>
        <w:t xml:space="preserve">measures adopted in breach of the Treaties, </w:t>
      </w:r>
      <w:r w:rsidR="008B2C78" w:rsidRPr="0089051B">
        <w:rPr>
          <w:rFonts w:ascii="Times New Roman" w:hAnsi="Times New Roman" w:cs="Times New Roman"/>
          <w:i/>
        </w:rPr>
        <w:t xml:space="preserve">in </w:t>
      </w:r>
      <w:proofErr w:type="spellStart"/>
      <w:r w:rsidR="008B2C78" w:rsidRPr="0089051B">
        <w:rPr>
          <w:rFonts w:ascii="Times New Roman" w:hAnsi="Times New Roman" w:cs="Times New Roman"/>
          <w:i/>
        </w:rPr>
        <w:t>casu</w:t>
      </w:r>
      <w:proofErr w:type="spellEnd"/>
      <w:r w:rsidR="008B2C78" w:rsidRPr="0089051B">
        <w:rPr>
          <w:rFonts w:ascii="Times New Roman" w:hAnsi="Times New Roman" w:cs="Times New Roman"/>
        </w:rPr>
        <w:t>, various requirements contained in Union legislation concerning the conduct of environmental impact assessments</w:t>
      </w:r>
      <w:r w:rsidRPr="0089051B">
        <w:rPr>
          <w:rFonts w:ascii="Times New Roman" w:hAnsi="Times New Roman" w:cs="Times New Roman"/>
        </w:rPr>
        <w:t>.</w:t>
      </w:r>
      <w:r w:rsidR="00785A26" w:rsidRPr="0089051B">
        <w:rPr>
          <w:rStyle w:val="FootnoteReference"/>
          <w:rFonts w:ascii="Times New Roman" w:hAnsi="Times New Roman" w:cs="Times New Roman"/>
        </w:rPr>
        <w:footnoteReference w:id="140"/>
      </w:r>
      <w:r w:rsidR="00F27A58" w:rsidRPr="0089051B">
        <w:rPr>
          <w:rFonts w:ascii="Times New Roman" w:hAnsi="Times New Roman" w:cs="Times New Roman"/>
        </w:rPr>
        <w:t xml:space="preserve">  </w:t>
      </w:r>
    </w:p>
    <w:p w14:paraId="061B102E" w14:textId="1B30AAA9" w:rsidR="006E5E55" w:rsidRPr="0089051B" w:rsidRDefault="00F27A58" w:rsidP="006E5E55">
      <w:pPr>
        <w:ind w:firstLine="720"/>
        <w:jc w:val="both"/>
        <w:rPr>
          <w:rFonts w:ascii="Times New Roman" w:hAnsi="Times New Roman" w:cs="Times New Roman"/>
        </w:rPr>
      </w:pPr>
      <w:r w:rsidRPr="0089051B">
        <w:rPr>
          <w:rFonts w:ascii="Times New Roman" w:hAnsi="Times New Roman" w:cs="Times New Roman"/>
        </w:rPr>
        <w:t>As before, the Court thereby seeks to internalise the problem of legal vacuums</w:t>
      </w:r>
      <w:r w:rsidR="008F3541" w:rsidRPr="0089051B">
        <w:rPr>
          <w:rFonts w:ascii="Times New Roman" w:hAnsi="Times New Roman" w:cs="Times New Roman"/>
        </w:rPr>
        <w:t xml:space="preserve"> – and </w:t>
      </w:r>
      <w:r w:rsidRPr="0089051B">
        <w:rPr>
          <w:rFonts w:ascii="Times New Roman" w:hAnsi="Times New Roman" w:cs="Times New Roman"/>
        </w:rPr>
        <w:t xml:space="preserve">neutralise any potential domestic challenge to the authority of Union law that might be prompted by the Court’s own reluctance to </w:t>
      </w:r>
      <w:r w:rsidR="008F3541" w:rsidRPr="0089051B">
        <w:rPr>
          <w:rFonts w:ascii="Times New Roman" w:hAnsi="Times New Roman" w:cs="Times New Roman"/>
        </w:rPr>
        <w:t>furnish an adequate response to legitimate concerns</w:t>
      </w:r>
      <w:r w:rsidRPr="0089051B">
        <w:rPr>
          <w:rFonts w:ascii="Times New Roman" w:hAnsi="Times New Roman" w:cs="Times New Roman"/>
        </w:rPr>
        <w:t xml:space="preserve">.  But </w:t>
      </w:r>
      <w:r w:rsidR="008F3541" w:rsidRPr="0089051B">
        <w:rPr>
          <w:rFonts w:ascii="Times New Roman" w:hAnsi="Times New Roman" w:cs="Times New Roman"/>
        </w:rPr>
        <w:t>here</w:t>
      </w:r>
      <w:r w:rsidRPr="0089051B">
        <w:rPr>
          <w:rFonts w:ascii="Times New Roman" w:hAnsi="Times New Roman" w:cs="Times New Roman"/>
        </w:rPr>
        <w:t xml:space="preserve">, the possibility of suspending the full effects of the principle of </w:t>
      </w:r>
      <w:r w:rsidR="00B81FD5" w:rsidRPr="0089051B">
        <w:rPr>
          <w:rFonts w:ascii="Times New Roman" w:hAnsi="Times New Roman" w:cs="Times New Roman"/>
        </w:rPr>
        <w:t>primacy</w:t>
      </w:r>
      <w:r w:rsidRPr="0089051B">
        <w:rPr>
          <w:rFonts w:ascii="Times New Roman" w:hAnsi="Times New Roman" w:cs="Times New Roman"/>
        </w:rPr>
        <w:t xml:space="preserve"> is available directly to the national judges </w:t>
      </w:r>
      <w:r w:rsidR="008F3541" w:rsidRPr="0089051B">
        <w:rPr>
          <w:rFonts w:ascii="Times New Roman" w:hAnsi="Times New Roman" w:cs="Times New Roman"/>
        </w:rPr>
        <w:t xml:space="preserve">and without the need to seek specific authorisation from the Court itself.  In </w:t>
      </w:r>
      <w:r w:rsidR="008F3541" w:rsidRPr="0089051B">
        <w:rPr>
          <w:rFonts w:ascii="Times New Roman" w:hAnsi="Times New Roman" w:cs="Times New Roman"/>
          <w:i/>
        </w:rPr>
        <w:t>Association France</w:t>
      </w:r>
      <w:r w:rsidR="008F3541" w:rsidRPr="0089051B">
        <w:rPr>
          <w:rFonts w:ascii="Times New Roman" w:hAnsi="Times New Roman" w:cs="Times New Roman"/>
        </w:rPr>
        <w:t>, the Court seeks to rationalise that possibility</w:t>
      </w:r>
      <w:r w:rsidR="00DB774F" w:rsidRPr="0089051B">
        <w:rPr>
          <w:rFonts w:ascii="Times New Roman" w:hAnsi="Times New Roman" w:cs="Times New Roman"/>
        </w:rPr>
        <w:t xml:space="preserve"> </w:t>
      </w:r>
      <w:r w:rsidR="008F3541" w:rsidRPr="0089051B">
        <w:rPr>
          <w:rFonts w:ascii="Times New Roman" w:hAnsi="Times New Roman" w:cs="Times New Roman"/>
        </w:rPr>
        <w:t xml:space="preserve">in three main ways.  First, the Court avoids any suggestion that the national courts are seeking or indeed being allowed (let alone encouraged) simply to defy the principle of </w:t>
      </w:r>
      <w:r w:rsidR="00B81FD5" w:rsidRPr="0089051B">
        <w:rPr>
          <w:rFonts w:ascii="Times New Roman" w:hAnsi="Times New Roman" w:cs="Times New Roman"/>
        </w:rPr>
        <w:t>primacy</w:t>
      </w:r>
      <w:r w:rsidR="008F3541" w:rsidRPr="0089051B">
        <w:rPr>
          <w:rFonts w:ascii="Times New Roman" w:hAnsi="Times New Roman" w:cs="Times New Roman"/>
        </w:rPr>
        <w:t xml:space="preserve"> and / or to do so for the sake of upholding national legal values that might be considered directly incompatible with those of the Union itself.  Instead, the Court regards the national courts as being engaged merely in a process </w:t>
      </w:r>
      <w:r w:rsidR="00583762" w:rsidRPr="0089051B">
        <w:rPr>
          <w:rFonts w:ascii="Times New Roman" w:hAnsi="Times New Roman" w:cs="Times New Roman"/>
        </w:rPr>
        <w:t>to “restructure</w:t>
      </w:r>
      <w:r w:rsidR="008F3541" w:rsidRPr="0089051B">
        <w:rPr>
          <w:rFonts w:ascii="Times New Roman" w:hAnsi="Times New Roman" w:cs="Times New Roman"/>
        </w:rPr>
        <w:t>” the effects of a finding of incompatibility between Union and domestic legislation.</w:t>
      </w:r>
      <w:r w:rsidR="008F3541" w:rsidRPr="0089051B">
        <w:rPr>
          <w:rStyle w:val="FootnoteReference"/>
          <w:rFonts w:ascii="Times New Roman" w:hAnsi="Times New Roman" w:cs="Times New Roman"/>
        </w:rPr>
        <w:footnoteReference w:id="141"/>
      </w:r>
      <w:r w:rsidR="008F3541" w:rsidRPr="0089051B">
        <w:rPr>
          <w:rFonts w:ascii="Times New Roman" w:hAnsi="Times New Roman" w:cs="Times New Roman"/>
        </w:rPr>
        <w:t xml:space="preserve">  </w:t>
      </w:r>
      <w:r w:rsidR="0091122F" w:rsidRPr="0089051B">
        <w:rPr>
          <w:rFonts w:ascii="Times New Roman" w:hAnsi="Times New Roman" w:cs="Times New Roman"/>
        </w:rPr>
        <w:t>Secondly, the possibility to engage in such a process of restructuring</w:t>
      </w:r>
      <w:r w:rsidR="008F3541" w:rsidRPr="0089051B">
        <w:rPr>
          <w:rFonts w:ascii="Times New Roman" w:hAnsi="Times New Roman" w:cs="Times New Roman"/>
        </w:rPr>
        <w:t xml:space="preserve"> </w:t>
      </w:r>
      <w:r w:rsidR="0091122F" w:rsidRPr="0089051B">
        <w:rPr>
          <w:rFonts w:ascii="Times New Roman" w:hAnsi="Times New Roman" w:cs="Times New Roman"/>
        </w:rPr>
        <w:t xml:space="preserve">the </w:t>
      </w:r>
      <w:r w:rsidR="008F3541" w:rsidRPr="0089051B">
        <w:rPr>
          <w:rFonts w:ascii="Times New Roman" w:hAnsi="Times New Roman" w:cs="Times New Roman"/>
        </w:rPr>
        <w:t xml:space="preserve">consequences of </w:t>
      </w:r>
      <w:r w:rsidR="00B81FD5" w:rsidRPr="0089051B">
        <w:rPr>
          <w:rFonts w:ascii="Times New Roman" w:hAnsi="Times New Roman" w:cs="Times New Roman"/>
        </w:rPr>
        <w:t>primacy</w:t>
      </w:r>
      <w:r w:rsidR="008F3541" w:rsidRPr="0089051B">
        <w:rPr>
          <w:rFonts w:ascii="Times New Roman" w:hAnsi="Times New Roman" w:cs="Times New Roman"/>
        </w:rPr>
        <w:t xml:space="preserve"> </w:t>
      </w:r>
      <w:r w:rsidR="0091122F" w:rsidRPr="0089051B">
        <w:rPr>
          <w:rFonts w:ascii="Times New Roman" w:hAnsi="Times New Roman" w:cs="Times New Roman"/>
        </w:rPr>
        <w:t xml:space="preserve">and </w:t>
      </w:r>
      <w:r w:rsidR="008F3541" w:rsidRPr="0089051B">
        <w:rPr>
          <w:rFonts w:ascii="Times New Roman" w:hAnsi="Times New Roman" w:cs="Times New Roman"/>
        </w:rPr>
        <w:t xml:space="preserve">disapplication </w:t>
      </w:r>
      <w:r w:rsidR="0091122F" w:rsidRPr="0089051B">
        <w:rPr>
          <w:rFonts w:ascii="Times New Roman" w:hAnsi="Times New Roman" w:cs="Times New Roman"/>
        </w:rPr>
        <w:t>is not derived from or conferred by Union law but depends on the national courts being offered such competence under the framework of their own domestic legal system.</w:t>
      </w:r>
      <w:r w:rsidR="0091122F" w:rsidRPr="0089051B">
        <w:rPr>
          <w:rStyle w:val="FootnoteReference"/>
          <w:rFonts w:ascii="Times New Roman" w:hAnsi="Times New Roman" w:cs="Times New Roman"/>
        </w:rPr>
        <w:footnoteReference w:id="142"/>
      </w:r>
      <w:r w:rsidR="0091122F" w:rsidRPr="0089051B">
        <w:rPr>
          <w:rFonts w:ascii="Times New Roman" w:hAnsi="Times New Roman" w:cs="Times New Roman"/>
        </w:rPr>
        <w:t xml:space="preserve">  Thirdly, while the origin and availability of the power to restructure might be national, the conditions under which the domestic court might decide to maintain the </w:t>
      </w:r>
      <w:r w:rsidR="0091122F" w:rsidRPr="0089051B">
        <w:rPr>
          <w:rFonts w:ascii="Times New Roman" w:hAnsi="Times New Roman" w:cs="Times New Roman"/>
        </w:rPr>
        <w:lastRenderedPageBreak/>
        <w:t xml:space="preserve">legal effects of measures found incompatible with the Treaties are </w:t>
      </w:r>
      <w:r w:rsidR="006B7F32" w:rsidRPr="0089051B">
        <w:rPr>
          <w:rFonts w:ascii="Times New Roman" w:hAnsi="Times New Roman" w:cs="Times New Roman"/>
        </w:rPr>
        <w:t>to be determined, not in accordance with the presumption of Member State procedural autonomy and subject to scrutiny via the usual principles of equivalence and effectiveness,</w:t>
      </w:r>
      <w:r w:rsidR="006B7F32" w:rsidRPr="0089051B">
        <w:rPr>
          <w:rStyle w:val="FootnoteReference"/>
          <w:rFonts w:ascii="Times New Roman" w:hAnsi="Times New Roman" w:cs="Times New Roman"/>
        </w:rPr>
        <w:footnoteReference w:id="143"/>
      </w:r>
      <w:r w:rsidR="006B7F32" w:rsidRPr="0089051B">
        <w:rPr>
          <w:rFonts w:ascii="Times New Roman" w:hAnsi="Times New Roman" w:cs="Times New Roman"/>
        </w:rPr>
        <w:t xml:space="preserve"> but </w:t>
      </w:r>
      <w:r w:rsidR="00CE6B2E" w:rsidRPr="0089051B">
        <w:rPr>
          <w:rFonts w:ascii="Times New Roman" w:hAnsi="Times New Roman" w:cs="Times New Roman"/>
        </w:rPr>
        <w:t xml:space="preserve">instead </w:t>
      </w:r>
      <w:r w:rsidR="006B7F32" w:rsidRPr="0089051B">
        <w:rPr>
          <w:rFonts w:ascii="Times New Roman" w:hAnsi="Times New Roman" w:cs="Times New Roman"/>
        </w:rPr>
        <w:t xml:space="preserve">under conditions precisely </w:t>
      </w:r>
      <w:r w:rsidR="0091122F" w:rsidRPr="0089051B">
        <w:rPr>
          <w:rFonts w:ascii="Times New Roman" w:hAnsi="Times New Roman" w:cs="Times New Roman"/>
        </w:rPr>
        <w:t xml:space="preserve">and strictly </w:t>
      </w:r>
      <w:r w:rsidR="006B7F32" w:rsidRPr="0089051B">
        <w:rPr>
          <w:rFonts w:ascii="Times New Roman" w:hAnsi="Times New Roman" w:cs="Times New Roman"/>
        </w:rPr>
        <w:t>laid down</w:t>
      </w:r>
      <w:r w:rsidR="0091122F" w:rsidRPr="0089051B">
        <w:rPr>
          <w:rFonts w:ascii="Times New Roman" w:hAnsi="Times New Roman" w:cs="Times New Roman"/>
        </w:rPr>
        <w:t xml:space="preserve"> by the Court itself as a matter of Union law.</w:t>
      </w:r>
      <w:r w:rsidR="0091122F" w:rsidRPr="0089051B">
        <w:rPr>
          <w:rStyle w:val="FootnoteReference"/>
          <w:rFonts w:ascii="Times New Roman" w:hAnsi="Times New Roman" w:cs="Times New Roman"/>
        </w:rPr>
        <w:footnoteReference w:id="144"/>
      </w:r>
      <w:r w:rsidR="0091122F" w:rsidRPr="0089051B">
        <w:rPr>
          <w:rFonts w:ascii="Times New Roman" w:hAnsi="Times New Roman" w:cs="Times New Roman"/>
        </w:rPr>
        <w:t xml:space="preserve">  </w:t>
      </w:r>
    </w:p>
    <w:p w14:paraId="568D44AE" w14:textId="77777777" w:rsidR="006E5E55" w:rsidRPr="0089051B" w:rsidRDefault="0091122F" w:rsidP="006E5E55">
      <w:pPr>
        <w:ind w:firstLine="720"/>
        <w:jc w:val="both"/>
        <w:rPr>
          <w:rFonts w:ascii="Times New Roman" w:hAnsi="Times New Roman" w:cs="Times New Roman"/>
        </w:rPr>
      </w:pPr>
      <w:r w:rsidRPr="0089051B">
        <w:rPr>
          <w:rFonts w:ascii="Times New Roman" w:hAnsi="Times New Roman" w:cs="Times New Roman"/>
        </w:rPr>
        <w:t xml:space="preserve">The main </w:t>
      </w:r>
      <w:r w:rsidR="00000F5D" w:rsidRPr="0089051B">
        <w:rPr>
          <w:rFonts w:ascii="Times New Roman" w:hAnsi="Times New Roman" w:cs="Times New Roman"/>
        </w:rPr>
        <w:t>challenge</w:t>
      </w:r>
      <w:r w:rsidRPr="0089051B">
        <w:rPr>
          <w:rFonts w:ascii="Times New Roman" w:hAnsi="Times New Roman" w:cs="Times New Roman"/>
        </w:rPr>
        <w:t xml:space="preserve"> which arises from the ruling in </w:t>
      </w:r>
      <w:r w:rsidRPr="0089051B">
        <w:rPr>
          <w:rFonts w:ascii="Times New Roman" w:hAnsi="Times New Roman" w:cs="Times New Roman"/>
          <w:i/>
        </w:rPr>
        <w:t xml:space="preserve">Association France </w:t>
      </w:r>
      <w:r w:rsidRPr="0089051B">
        <w:rPr>
          <w:rFonts w:ascii="Times New Roman" w:hAnsi="Times New Roman" w:cs="Times New Roman"/>
        </w:rPr>
        <w:t xml:space="preserve">is to identify the </w:t>
      </w:r>
      <w:r w:rsidR="000D40A2" w:rsidRPr="0089051B">
        <w:rPr>
          <w:rFonts w:ascii="Times New Roman" w:hAnsi="Times New Roman" w:cs="Times New Roman"/>
        </w:rPr>
        <w:t xml:space="preserve">dividing line and </w:t>
      </w:r>
      <w:r w:rsidRPr="0089051B">
        <w:rPr>
          <w:rFonts w:ascii="Times New Roman" w:hAnsi="Times New Roman" w:cs="Times New Roman"/>
        </w:rPr>
        <w:t xml:space="preserve">inter-relationship between (on the one hand) the Court’s centralised jurisdiction directly to suspend disapplication for the sake of preventing a legal vacuum and (on the other hand) the national court’s decentralised jurisdiction to restructure the legal effects of incompatibility </w:t>
      </w:r>
      <w:r w:rsidR="000D40A2" w:rsidRPr="0089051B">
        <w:rPr>
          <w:rFonts w:ascii="Times New Roman" w:hAnsi="Times New Roman" w:cs="Times New Roman"/>
        </w:rPr>
        <w:t xml:space="preserve">under conditions laid down by Union law.  Before addressing that </w:t>
      </w:r>
      <w:r w:rsidR="00000F5D" w:rsidRPr="0089051B">
        <w:rPr>
          <w:rFonts w:ascii="Times New Roman" w:hAnsi="Times New Roman" w:cs="Times New Roman"/>
        </w:rPr>
        <w:t>challenge</w:t>
      </w:r>
      <w:r w:rsidR="000D40A2" w:rsidRPr="0089051B">
        <w:rPr>
          <w:rFonts w:ascii="Times New Roman" w:hAnsi="Times New Roman" w:cs="Times New Roman"/>
        </w:rPr>
        <w:t xml:space="preserve">, of course, it is necessary to </w:t>
      </w:r>
      <w:r w:rsidR="00823A85" w:rsidRPr="0089051B">
        <w:rPr>
          <w:rFonts w:ascii="Times New Roman" w:hAnsi="Times New Roman" w:cs="Times New Roman"/>
        </w:rPr>
        <w:t>establish</w:t>
      </w:r>
      <w:r w:rsidR="000D40A2" w:rsidRPr="0089051B">
        <w:rPr>
          <w:rFonts w:ascii="Times New Roman" w:hAnsi="Times New Roman" w:cs="Times New Roman"/>
        </w:rPr>
        <w:t xml:space="preserve"> in </w:t>
      </w:r>
      <w:r w:rsidR="00823A85" w:rsidRPr="0089051B">
        <w:rPr>
          <w:rFonts w:ascii="Times New Roman" w:hAnsi="Times New Roman" w:cs="Times New Roman"/>
        </w:rPr>
        <w:t xml:space="preserve">greater </w:t>
      </w:r>
      <w:r w:rsidR="000D40A2" w:rsidRPr="0089051B">
        <w:rPr>
          <w:rFonts w:ascii="Times New Roman" w:hAnsi="Times New Roman" w:cs="Times New Roman"/>
        </w:rPr>
        <w:t xml:space="preserve">detail </w:t>
      </w:r>
      <w:r w:rsidR="00823A85" w:rsidRPr="0089051B">
        <w:rPr>
          <w:rFonts w:ascii="Times New Roman" w:hAnsi="Times New Roman" w:cs="Times New Roman"/>
        </w:rPr>
        <w:t xml:space="preserve">exactly </w:t>
      </w:r>
      <w:r w:rsidR="000D40A2" w:rsidRPr="0089051B">
        <w:rPr>
          <w:rFonts w:ascii="Times New Roman" w:hAnsi="Times New Roman" w:cs="Times New Roman"/>
        </w:rPr>
        <w:t xml:space="preserve">what the Court’s </w:t>
      </w:r>
      <w:proofErr w:type="spellStart"/>
      <w:r w:rsidR="000D40A2" w:rsidRPr="0089051B">
        <w:rPr>
          <w:rFonts w:ascii="Times New Roman" w:hAnsi="Times New Roman" w:cs="Times New Roman"/>
        </w:rPr>
        <w:t>caselaw</w:t>
      </w:r>
      <w:proofErr w:type="spellEnd"/>
      <w:r w:rsidR="000D40A2" w:rsidRPr="0089051B">
        <w:rPr>
          <w:rFonts w:ascii="Times New Roman" w:hAnsi="Times New Roman" w:cs="Times New Roman"/>
        </w:rPr>
        <w:t xml:space="preserve"> </w:t>
      </w:r>
      <w:r w:rsidR="00823A85" w:rsidRPr="0089051B">
        <w:rPr>
          <w:rFonts w:ascii="Times New Roman" w:hAnsi="Times New Roman" w:cs="Times New Roman"/>
        </w:rPr>
        <w:t xml:space="preserve">reveals about </w:t>
      </w:r>
      <w:r w:rsidR="000D40A2" w:rsidRPr="0089051B">
        <w:rPr>
          <w:rFonts w:ascii="Times New Roman" w:hAnsi="Times New Roman" w:cs="Times New Roman"/>
        </w:rPr>
        <w:t>the national court’s power to restructure</w:t>
      </w:r>
      <w:r w:rsidR="00823A85" w:rsidRPr="0089051B">
        <w:rPr>
          <w:rFonts w:ascii="Times New Roman" w:hAnsi="Times New Roman" w:cs="Times New Roman"/>
        </w:rPr>
        <w:t xml:space="preserve"> – for which purpose, the judgments in </w:t>
      </w:r>
      <w:r w:rsidR="000D40A2" w:rsidRPr="0089051B">
        <w:rPr>
          <w:rFonts w:ascii="Times New Roman" w:hAnsi="Times New Roman" w:cs="Times New Roman"/>
          <w:i/>
        </w:rPr>
        <w:t>Inter-</w:t>
      </w:r>
      <w:proofErr w:type="spellStart"/>
      <w:r w:rsidR="000D40A2" w:rsidRPr="0089051B">
        <w:rPr>
          <w:rFonts w:ascii="Times New Roman" w:hAnsi="Times New Roman" w:cs="Times New Roman"/>
          <w:i/>
        </w:rPr>
        <w:t>Environnement</w:t>
      </w:r>
      <w:proofErr w:type="spellEnd"/>
      <w:r w:rsidR="000D40A2" w:rsidRPr="0089051B">
        <w:rPr>
          <w:rFonts w:ascii="Times New Roman" w:hAnsi="Times New Roman" w:cs="Times New Roman"/>
          <w:i/>
        </w:rPr>
        <w:t xml:space="preserve"> </w:t>
      </w:r>
      <w:proofErr w:type="spellStart"/>
      <w:r w:rsidR="000D40A2" w:rsidRPr="0089051B">
        <w:rPr>
          <w:rFonts w:ascii="Times New Roman" w:hAnsi="Times New Roman" w:cs="Times New Roman"/>
          <w:i/>
        </w:rPr>
        <w:t>Wallonie</w:t>
      </w:r>
      <w:proofErr w:type="spellEnd"/>
      <w:r w:rsidR="000D40A2" w:rsidRPr="0089051B">
        <w:rPr>
          <w:rFonts w:ascii="Times New Roman" w:hAnsi="Times New Roman" w:cs="Times New Roman"/>
          <w:i/>
        </w:rPr>
        <w:t xml:space="preserve"> </w:t>
      </w:r>
      <w:r w:rsidR="000D40A2" w:rsidRPr="0089051B">
        <w:rPr>
          <w:rFonts w:ascii="Times New Roman" w:hAnsi="Times New Roman" w:cs="Times New Roman"/>
        </w:rPr>
        <w:t xml:space="preserve">and </w:t>
      </w:r>
      <w:r w:rsidR="000D40A2" w:rsidRPr="0089051B">
        <w:rPr>
          <w:rFonts w:ascii="Times New Roman" w:hAnsi="Times New Roman" w:cs="Times New Roman"/>
          <w:i/>
        </w:rPr>
        <w:t xml:space="preserve">Association France </w:t>
      </w:r>
      <w:r w:rsidR="00823A85" w:rsidRPr="0089051B">
        <w:rPr>
          <w:rFonts w:ascii="Times New Roman" w:hAnsi="Times New Roman" w:cs="Times New Roman"/>
        </w:rPr>
        <w:t xml:space="preserve">at least </w:t>
      </w:r>
      <w:r w:rsidR="000D40A2" w:rsidRPr="0089051B">
        <w:rPr>
          <w:rFonts w:ascii="Times New Roman" w:hAnsi="Times New Roman" w:cs="Times New Roman"/>
        </w:rPr>
        <w:t xml:space="preserve">furnish us with two concrete examples to work with.  </w:t>
      </w:r>
    </w:p>
    <w:p w14:paraId="76644E95" w14:textId="3B770F37" w:rsidR="006E5E55" w:rsidRPr="0089051B" w:rsidRDefault="00B07FB7" w:rsidP="006E5E55">
      <w:pPr>
        <w:ind w:firstLine="720"/>
        <w:jc w:val="both"/>
        <w:rPr>
          <w:rFonts w:ascii="Times New Roman" w:hAnsi="Times New Roman" w:cs="Times New Roman"/>
        </w:rPr>
      </w:pPr>
      <w:r w:rsidRPr="0089051B">
        <w:rPr>
          <w:rFonts w:ascii="Times New Roman" w:hAnsi="Times New Roman" w:cs="Times New Roman"/>
        </w:rPr>
        <w:t>To begin with, the Court stresses that the power to maintain certain of the effects of an incompatible national measure is to be treated as exceptional in nature and can only be exercised on a case-by-</w:t>
      </w:r>
      <w:r w:rsidR="008C454F" w:rsidRPr="0089051B">
        <w:rPr>
          <w:rFonts w:ascii="Times New Roman" w:hAnsi="Times New Roman" w:cs="Times New Roman"/>
        </w:rPr>
        <w:t>case basis</w:t>
      </w:r>
      <w:r w:rsidR="00182312" w:rsidRPr="0089051B">
        <w:rPr>
          <w:rFonts w:ascii="Times New Roman" w:hAnsi="Times New Roman" w:cs="Times New Roman"/>
        </w:rPr>
        <w:t xml:space="preserve"> (not generally or abstractly) in the light of the specific circumstances of the pending dispute</w:t>
      </w:r>
      <w:r w:rsidRPr="0089051B">
        <w:rPr>
          <w:rFonts w:ascii="Times New Roman" w:hAnsi="Times New Roman" w:cs="Times New Roman"/>
        </w:rPr>
        <w:t>.</w:t>
      </w:r>
      <w:r w:rsidRPr="0089051B">
        <w:rPr>
          <w:rStyle w:val="FootnoteReference"/>
          <w:rFonts w:ascii="Times New Roman" w:hAnsi="Times New Roman" w:cs="Times New Roman"/>
        </w:rPr>
        <w:footnoteReference w:id="145"/>
      </w:r>
      <w:r w:rsidRPr="0089051B">
        <w:rPr>
          <w:rFonts w:ascii="Times New Roman" w:hAnsi="Times New Roman" w:cs="Times New Roman"/>
        </w:rPr>
        <w:t xml:space="preserve">  Crucially, the Court stresses that any decentralised jurisdiction to suspend disapplication </w:t>
      </w:r>
      <w:r w:rsidR="00182312" w:rsidRPr="0089051B">
        <w:rPr>
          <w:rFonts w:ascii="Times New Roman" w:hAnsi="Times New Roman" w:cs="Times New Roman"/>
        </w:rPr>
        <w:t>is to be exercised</w:t>
      </w:r>
      <w:r w:rsidRPr="0089051B">
        <w:rPr>
          <w:rFonts w:ascii="Times New Roman" w:hAnsi="Times New Roman" w:cs="Times New Roman"/>
        </w:rPr>
        <w:t xml:space="preserve"> </w:t>
      </w:r>
      <w:r w:rsidR="00182312" w:rsidRPr="0089051B">
        <w:rPr>
          <w:rFonts w:ascii="Times New Roman" w:hAnsi="Times New Roman" w:cs="Times New Roman"/>
        </w:rPr>
        <w:t>only on the basis of overriding considerations linked to environmental protection.</w:t>
      </w:r>
      <w:r w:rsidR="00182312" w:rsidRPr="0089051B">
        <w:rPr>
          <w:rStyle w:val="FootnoteReference"/>
          <w:rFonts w:ascii="Times New Roman" w:hAnsi="Times New Roman" w:cs="Times New Roman"/>
        </w:rPr>
        <w:footnoteReference w:id="146"/>
      </w:r>
      <w:r w:rsidR="00182312" w:rsidRPr="0089051B">
        <w:rPr>
          <w:rFonts w:ascii="Times New Roman" w:hAnsi="Times New Roman" w:cs="Times New Roman"/>
        </w:rPr>
        <w:t xml:space="preserve">  Indeed, the purpose of any national power to restructure the practical consequences of </w:t>
      </w:r>
      <w:r w:rsidR="00B81FD5" w:rsidRPr="0089051B">
        <w:rPr>
          <w:rFonts w:ascii="Times New Roman" w:hAnsi="Times New Roman" w:cs="Times New Roman"/>
        </w:rPr>
        <w:t>primacy</w:t>
      </w:r>
      <w:r w:rsidR="00182312" w:rsidRPr="0089051B">
        <w:rPr>
          <w:rFonts w:ascii="Times New Roman" w:hAnsi="Times New Roman" w:cs="Times New Roman"/>
        </w:rPr>
        <w:t xml:space="preserve"> is to reconcile the principles of legality and primacy of Union law with the necessity of protecting the environment as mandated under the Treaties themselves and (in particular) by Article 3(3) TEU and Article 191 TFEU which together oblige the Union to ensure a high level of environmental protection.</w:t>
      </w:r>
      <w:r w:rsidR="00182312" w:rsidRPr="0089051B">
        <w:rPr>
          <w:rStyle w:val="FootnoteReference"/>
          <w:rFonts w:ascii="Times New Roman" w:hAnsi="Times New Roman" w:cs="Times New Roman"/>
        </w:rPr>
        <w:footnoteReference w:id="147"/>
      </w:r>
      <w:r w:rsidR="00182312" w:rsidRPr="0089051B">
        <w:rPr>
          <w:rFonts w:ascii="Times New Roman" w:hAnsi="Times New Roman" w:cs="Times New Roman"/>
        </w:rPr>
        <w:t xml:space="preserve">  </w:t>
      </w:r>
    </w:p>
    <w:p w14:paraId="2A1F74DB" w14:textId="01279C53" w:rsidR="00B07FB7" w:rsidRPr="0089051B" w:rsidRDefault="004503D6" w:rsidP="006E5E55">
      <w:pPr>
        <w:ind w:firstLine="720"/>
        <w:jc w:val="both"/>
        <w:rPr>
          <w:rFonts w:ascii="Times New Roman" w:hAnsi="Times New Roman" w:cs="Times New Roman"/>
        </w:rPr>
      </w:pPr>
      <w:r w:rsidRPr="0089051B">
        <w:rPr>
          <w:rFonts w:ascii="Times New Roman" w:hAnsi="Times New Roman" w:cs="Times New Roman"/>
        </w:rPr>
        <w:t>To that end, the national court must establish that four mandatory conditions are satisfied.</w:t>
      </w:r>
      <w:r w:rsidR="00583762" w:rsidRPr="0089051B">
        <w:rPr>
          <w:rStyle w:val="FootnoteReference"/>
          <w:rFonts w:ascii="Times New Roman" w:hAnsi="Times New Roman" w:cs="Times New Roman"/>
        </w:rPr>
        <w:footnoteReference w:id="148"/>
      </w:r>
      <w:r w:rsidRPr="0089051B">
        <w:rPr>
          <w:rFonts w:ascii="Times New Roman" w:hAnsi="Times New Roman" w:cs="Times New Roman"/>
        </w:rPr>
        <w:t xml:space="preserve">  In effect: the domestic act which is incompatible with one provision of Union law must nevertheless correctly transpose another Union measure relating to environmental protection;</w:t>
      </w:r>
      <w:r w:rsidR="003A7B77" w:rsidRPr="0089051B">
        <w:rPr>
          <w:rStyle w:val="FootnoteReference"/>
          <w:rFonts w:ascii="Times New Roman" w:hAnsi="Times New Roman" w:cs="Times New Roman"/>
        </w:rPr>
        <w:footnoteReference w:id="149"/>
      </w:r>
      <w:r w:rsidRPr="0089051B">
        <w:rPr>
          <w:rFonts w:ascii="Times New Roman" w:hAnsi="Times New Roman" w:cs="Times New Roman"/>
        </w:rPr>
        <w:t xml:space="preserve"> the subsequent adoption of a fully compliant </w:t>
      </w:r>
      <w:r w:rsidR="00583762" w:rsidRPr="0089051B">
        <w:rPr>
          <w:rFonts w:ascii="Times New Roman" w:hAnsi="Times New Roman" w:cs="Times New Roman"/>
        </w:rPr>
        <w:t xml:space="preserve">national </w:t>
      </w:r>
      <w:r w:rsidRPr="0089051B">
        <w:rPr>
          <w:rFonts w:ascii="Times New Roman" w:hAnsi="Times New Roman" w:cs="Times New Roman"/>
        </w:rPr>
        <w:t xml:space="preserve">act </w:t>
      </w:r>
      <w:r w:rsidR="00583762" w:rsidRPr="0089051B">
        <w:rPr>
          <w:rFonts w:ascii="Times New Roman" w:hAnsi="Times New Roman" w:cs="Times New Roman"/>
        </w:rPr>
        <w:t>must</w:t>
      </w:r>
      <w:r w:rsidRPr="0089051B">
        <w:rPr>
          <w:rFonts w:ascii="Times New Roman" w:hAnsi="Times New Roman" w:cs="Times New Roman"/>
        </w:rPr>
        <w:t xml:space="preserve"> not make it possible to avoid the damaging environmental effects of disapplication of the existing domestic </w:t>
      </w:r>
      <w:r w:rsidR="00583762" w:rsidRPr="0089051B">
        <w:rPr>
          <w:rFonts w:ascii="Times New Roman" w:hAnsi="Times New Roman" w:cs="Times New Roman"/>
        </w:rPr>
        <w:t>legislation</w:t>
      </w:r>
      <w:r w:rsidRPr="0089051B">
        <w:rPr>
          <w:rFonts w:ascii="Times New Roman" w:hAnsi="Times New Roman" w:cs="Times New Roman"/>
        </w:rPr>
        <w:t xml:space="preserve">; </w:t>
      </w:r>
      <w:r w:rsidR="002252B5" w:rsidRPr="0089051B">
        <w:rPr>
          <w:rFonts w:ascii="Times New Roman" w:hAnsi="Times New Roman" w:cs="Times New Roman"/>
        </w:rPr>
        <w:t xml:space="preserve">it must be established that </w:t>
      </w:r>
      <w:r w:rsidRPr="0089051B">
        <w:rPr>
          <w:rFonts w:ascii="Times New Roman" w:hAnsi="Times New Roman" w:cs="Times New Roman"/>
        </w:rPr>
        <w:t xml:space="preserve">disapplication would create a legal vacuum concerning the transposition of Union environmental law which would be </w:t>
      </w:r>
      <w:r w:rsidR="00DF6622" w:rsidRPr="0089051B">
        <w:rPr>
          <w:rFonts w:ascii="Times New Roman" w:hAnsi="Times New Roman" w:cs="Times New Roman"/>
        </w:rPr>
        <w:t xml:space="preserve">more </w:t>
      </w:r>
      <w:r w:rsidRPr="0089051B">
        <w:rPr>
          <w:rFonts w:ascii="Times New Roman" w:hAnsi="Times New Roman" w:cs="Times New Roman"/>
        </w:rPr>
        <w:t>damaging to the environment</w:t>
      </w:r>
      <w:r w:rsidR="00DF6622" w:rsidRPr="0089051B">
        <w:rPr>
          <w:rFonts w:ascii="Times New Roman" w:hAnsi="Times New Roman" w:cs="Times New Roman"/>
        </w:rPr>
        <w:t>, i.e. would result in lesser protection and thus run counter to the essential objective of Union law</w:t>
      </w:r>
      <w:r w:rsidRPr="0089051B">
        <w:rPr>
          <w:rFonts w:ascii="Times New Roman" w:hAnsi="Times New Roman" w:cs="Times New Roman"/>
        </w:rPr>
        <w:t xml:space="preserve">; and the restructuring effects </w:t>
      </w:r>
      <w:r w:rsidR="00583762" w:rsidRPr="0089051B">
        <w:rPr>
          <w:rFonts w:ascii="Times New Roman" w:hAnsi="Times New Roman" w:cs="Times New Roman"/>
        </w:rPr>
        <w:t xml:space="preserve">ordered by the domestic court </w:t>
      </w:r>
      <w:r w:rsidRPr="0089051B">
        <w:rPr>
          <w:rFonts w:ascii="Times New Roman" w:hAnsi="Times New Roman" w:cs="Times New Roman"/>
        </w:rPr>
        <w:t xml:space="preserve">must last only so long as is strictly necessary for the adoption of fully </w:t>
      </w:r>
      <w:r w:rsidR="00DF6622" w:rsidRPr="0089051B">
        <w:rPr>
          <w:rFonts w:ascii="Times New Roman" w:hAnsi="Times New Roman" w:cs="Times New Roman"/>
        </w:rPr>
        <w:t>compliant</w:t>
      </w:r>
      <w:r w:rsidRPr="0089051B">
        <w:rPr>
          <w:rFonts w:ascii="Times New Roman" w:hAnsi="Times New Roman" w:cs="Times New Roman"/>
        </w:rPr>
        <w:t xml:space="preserve"> national </w:t>
      </w:r>
      <w:r w:rsidR="00583762" w:rsidRPr="0089051B">
        <w:rPr>
          <w:rFonts w:ascii="Times New Roman" w:hAnsi="Times New Roman" w:cs="Times New Roman"/>
        </w:rPr>
        <w:t>legislation</w:t>
      </w:r>
      <w:r w:rsidRPr="0089051B">
        <w:rPr>
          <w:rFonts w:ascii="Times New Roman" w:hAnsi="Times New Roman" w:cs="Times New Roman"/>
        </w:rPr>
        <w:t>.</w:t>
      </w:r>
      <w:r w:rsidR="00583762" w:rsidRPr="0089051B">
        <w:rPr>
          <w:rStyle w:val="FootnoteReference"/>
          <w:rFonts w:ascii="Times New Roman" w:hAnsi="Times New Roman" w:cs="Times New Roman"/>
        </w:rPr>
        <w:footnoteReference w:id="150"/>
      </w:r>
      <w:r w:rsidRPr="0089051B">
        <w:rPr>
          <w:rFonts w:ascii="Times New Roman" w:hAnsi="Times New Roman" w:cs="Times New Roman"/>
        </w:rPr>
        <w:t xml:space="preserve">  </w:t>
      </w:r>
      <w:r w:rsidR="00583762" w:rsidRPr="0089051B">
        <w:rPr>
          <w:rFonts w:ascii="Times New Roman" w:hAnsi="Times New Roman" w:cs="Times New Roman"/>
        </w:rPr>
        <w:t xml:space="preserve">Having verified those four mandatory conditions, </w:t>
      </w:r>
      <w:r w:rsidRPr="0089051B">
        <w:rPr>
          <w:rFonts w:ascii="Times New Roman" w:hAnsi="Times New Roman" w:cs="Times New Roman"/>
        </w:rPr>
        <w:t xml:space="preserve">the national court should determine whether disapplication of the incompatible national measure would give rise to adverse environmental impacts that would compromise the objectives of the relevant Union </w:t>
      </w:r>
      <w:r w:rsidRPr="0089051B">
        <w:rPr>
          <w:rFonts w:ascii="Times New Roman" w:hAnsi="Times New Roman" w:cs="Times New Roman"/>
        </w:rPr>
        <w:lastRenderedPageBreak/>
        <w:t>law</w:t>
      </w:r>
      <w:r w:rsidR="00583762" w:rsidRPr="0089051B">
        <w:rPr>
          <w:rFonts w:ascii="Times New Roman" w:hAnsi="Times New Roman" w:cs="Times New Roman"/>
        </w:rPr>
        <w:t xml:space="preserve"> – taking into account the objective and content of the incompatible national act and its effects on other provisions relating to environmental protection</w:t>
      </w:r>
      <w:r w:rsidRPr="0089051B">
        <w:rPr>
          <w:rFonts w:ascii="Times New Roman" w:hAnsi="Times New Roman" w:cs="Times New Roman"/>
        </w:rPr>
        <w:t>.</w:t>
      </w:r>
      <w:r w:rsidR="00583762" w:rsidRPr="0089051B">
        <w:rPr>
          <w:rStyle w:val="FootnoteReference"/>
          <w:rFonts w:ascii="Times New Roman" w:hAnsi="Times New Roman" w:cs="Times New Roman"/>
        </w:rPr>
        <w:footnoteReference w:id="151"/>
      </w:r>
      <w:r w:rsidRPr="0089051B">
        <w:rPr>
          <w:rFonts w:ascii="Times New Roman" w:hAnsi="Times New Roman" w:cs="Times New Roman"/>
        </w:rPr>
        <w:t xml:space="preserve">  </w:t>
      </w:r>
    </w:p>
    <w:p w14:paraId="191856C7" w14:textId="77777777" w:rsidR="004503D6" w:rsidRPr="0089051B" w:rsidRDefault="004503D6" w:rsidP="0061452E">
      <w:pPr>
        <w:jc w:val="both"/>
        <w:rPr>
          <w:rFonts w:ascii="Times New Roman" w:hAnsi="Times New Roman" w:cs="Times New Roman"/>
        </w:rPr>
      </w:pPr>
    </w:p>
    <w:p w14:paraId="38B837AD" w14:textId="599D9B25" w:rsidR="00B47F20" w:rsidRPr="0089051B" w:rsidRDefault="00727EDA" w:rsidP="0061452E">
      <w:pPr>
        <w:jc w:val="both"/>
        <w:rPr>
          <w:rFonts w:ascii="Times New Roman" w:hAnsi="Times New Roman" w:cs="Times New Roman"/>
          <w:i/>
        </w:rPr>
      </w:pPr>
      <w:r w:rsidRPr="0089051B">
        <w:rPr>
          <w:rFonts w:ascii="Times New Roman" w:hAnsi="Times New Roman" w:cs="Times New Roman"/>
          <w:i/>
        </w:rPr>
        <w:t xml:space="preserve">6.3. </w:t>
      </w:r>
      <w:r w:rsidRPr="0089051B">
        <w:rPr>
          <w:rFonts w:ascii="Times New Roman" w:hAnsi="Times New Roman" w:cs="Times New Roman"/>
          <w:i/>
        </w:rPr>
        <w:tab/>
      </w:r>
      <w:r w:rsidR="00B47F20" w:rsidRPr="0089051B">
        <w:rPr>
          <w:rFonts w:ascii="Times New Roman" w:hAnsi="Times New Roman" w:cs="Times New Roman"/>
          <w:i/>
        </w:rPr>
        <w:t xml:space="preserve">Relationship between </w:t>
      </w:r>
      <w:r w:rsidR="00BA79C9" w:rsidRPr="0089051B">
        <w:rPr>
          <w:rFonts w:ascii="Times New Roman" w:hAnsi="Times New Roman" w:cs="Times New Roman"/>
          <w:i/>
        </w:rPr>
        <w:t>the two</w:t>
      </w:r>
      <w:r w:rsidR="00B47F20" w:rsidRPr="0089051B">
        <w:rPr>
          <w:rFonts w:ascii="Times New Roman" w:hAnsi="Times New Roman" w:cs="Times New Roman"/>
          <w:i/>
        </w:rPr>
        <w:t xml:space="preserve"> jurisdictions</w:t>
      </w:r>
    </w:p>
    <w:p w14:paraId="33149C2D" w14:textId="77777777" w:rsidR="00B47F20" w:rsidRPr="0089051B" w:rsidRDefault="00B47F20" w:rsidP="0061452E">
      <w:pPr>
        <w:jc w:val="both"/>
        <w:rPr>
          <w:rFonts w:ascii="Times New Roman" w:hAnsi="Times New Roman" w:cs="Times New Roman"/>
        </w:rPr>
      </w:pPr>
    </w:p>
    <w:p w14:paraId="37B5B10F" w14:textId="5BB3619D" w:rsidR="006E5E55" w:rsidRPr="0089051B" w:rsidRDefault="00D16AA8" w:rsidP="0061452E">
      <w:pPr>
        <w:jc w:val="both"/>
        <w:rPr>
          <w:rFonts w:ascii="Times New Roman" w:hAnsi="Times New Roman" w:cs="Times New Roman"/>
        </w:rPr>
      </w:pPr>
      <w:r w:rsidRPr="0089051B">
        <w:rPr>
          <w:rFonts w:ascii="Times New Roman" w:hAnsi="Times New Roman" w:cs="Times New Roman"/>
        </w:rPr>
        <w:t xml:space="preserve">At first glance, the </w:t>
      </w:r>
      <w:r w:rsidR="00EA2F68" w:rsidRPr="0089051B">
        <w:rPr>
          <w:rFonts w:ascii="Times New Roman" w:hAnsi="Times New Roman" w:cs="Times New Roman"/>
        </w:rPr>
        <w:t xml:space="preserve">recognition </w:t>
      </w:r>
      <w:r w:rsidRPr="0089051B">
        <w:rPr>
          <w:rFonts w:ascii="Times New Roman" w:hAnsi="Times New Roman" w:cs="Times New Roman"/>
        </w:rPr>
        <w:t xml:space="preserve">in </w:t>
      </w:r>
      <w:r w:rsidRPr="0089051B">
        <w:rPr>
          <w:rFonts w:ascii="Times New Roman" w:hAnsi="Times New Roman" w:cs="Times New Roman"/>
          <w:i/>
        </w:rPr>
        <w:t xml:space="preserve">Association France </w:t>
      </w:r>
      <w:r w:rsidR="00EA2F68" w:rsidRPr="0089051B">
        <w:rPr>
          <w:rFonts w:ascii="Times New Roman" w:hAnsi="Times New Roman" w:cs="Times New Roman"/>
        </w:rPr>
        <w:t xml:space="preserve">of </w:t>
      </w:r>
      <w:r w:rsidR="00324F93" w:rsidRPr="0089051B">
        <w:rPr>
          <w:rFonts w:ascii="Times New Roman" w:hAnsi="Times New Roman" w:cs="Times New Roman"/>
        </w:rPr>
        <w:t xml:space="preserve">both </w:t>
      </w:r>
      <w:r w:rsidRPr="0089051B">
        <w:rPr>
          <w:rFonts w:ascii="Times New Roman" w:hAnsi="Times New Roman" w:cs="Times New Roman"/>
        </w:rPr>
        <w:t xml:space="preserve">a </w:t>
      </w:r>
      <w:r w:rsidR="00324F93" w:rsidRPr="0089051B">
        <w:rPr>
          <w:rFonts w:ascii="Times New Roman" w:hAnsi="Times New Roman" w:cs="Times New Roman"/>
        </w:rPr>
        <w:t xml:space="preserve">centralised and </w:t>
      </w:r>
      <w:r w:rsidRPr="0089051B">
        <w:rPr>
          <w:rFonts w:ascii="Times New Roman" w:hAnsi="Times New Roman" w:cs="Times New Roman"/>
        </w:rPr>
        <w:t xml:space="preserve">a </w:t>
      </w:r>
      <w:r w:rsidR="00EA2F68" w:rsidRPr="0089051B">
        <w:rPr>
          <w:rFonts w:ascii="Times New Roman" w:hAnsi="Times New Roman" w:cs="Times New Roman"/>
        </w:rPr>
        <w:t xml:space="preserve">decentralised jurisdiction </w:t>
      </w:r>
      <w:r w:rsidR="00324F93" w:rsidRPr="0089051B">
        <w:rPr>
          <w:rFonts w:ascii="Times New Roman" w:hAnsi="Times New Roman" w:cs="Times New Roman"/>
        </w:rPr>
        <w:t xml:space="preserve">for </w:t>
      </w:r>
      <w:r w:rsidRPr="0089051B">
        <w:rPr>
          <w:rFonts w:ascii="Times New Roman" w:hAnsi="Times New Roman" w:cs="Times New Roman"/>
        </w:rPr>
        <w:t xml:space="preserve">addressing the potentially adverse prospective effects of the remedy of disapplication </w:t>
      </w:r>
      <w:r w:rsidR="00EA2F68" w:rsidRPr="0089051B">
        <w:rPr>
          <w:rFonts w:ascii="Times New Roman" w:hAnsi="Times New Roman" w:cs="Times New Roman"/>
        </w:rPr>
        <w:t xml:space="preserve">mirrors </w:t>
      </w:r>
      <w:r w:rsidRPr="0089051B">
        <w:rPr>
          <w:rFonts w:ascii="Times New Roman" w:hAnsi="Times New Roman" w:cs="Times New Roman"/>
        </w:rPr>
        <w:t xml:space="preserve">the </w:t>
      </w:r>
      <w:r w:rsidR="00EA2F68" w:rsidRPr="0089051B">
        <w:rPr>
          <w:rFonts w:ascii="Times New Roman" w:hAnsi="Times New Roman" w:cs="Times New Roman"/>
        </w:rPr>
        <w:t xml:space="preserve">Court’s </w:t>
      </w:r>
      <w:r w:rsidRPr="0089051B">
        <w:rPr>
          <w:rFonts w:ascii="Times New Roman" w:hAnsi="Times New Roman" w:cs="Times New Roman"/>
        </w:rPr>
        <w:t xml:space="preserve">familiar </w:t>
      </w:r>
      <w:r w:rsidR="00EA2F68" w:rsidRPr="0089051B">
        <w:rPr>
          <w:rFonts w:ascii="Times New Roman" w:hAnsi="Times New Roman" w:cs="Times New Roman"/>
        </w:rPr>
        <w:t xml:space="preserve">methodology for </w:t>
      </w:r>
      <w:r w:rsidRPr="0089051B">
        <w:rPr>
          <w:rFonts w:ascii="Times New Roman" w:hAnsi="Times New Roman" w:cs="Times New Roman"/>
        </w:rPr>
        <w:t xml:space="preserve">managing the </w:t>
      </w:r>
      <w:r w:rsidR="00EA2F68" w:rsidRPr="0089051B">
        <w:rPr>
          <w:rFonts w:ascii="Times New Roman" w:hAnsi="Times New Roman" w:cs="Times New Roman"/>
        </w:rPr>
        <w:t xml:space="preserve">retrospective effects of </w:t>
      </w:r>
      <w:r w:rsidRPr="0089051B">
        <w:rPr>
          <w:rFonts w:ascii="Times New Roman" w:hAnsi="Times New Roman" w:cs="Times New Roman"/>
        </w:rPr>
        <w:t xml:space="preserve">the principle of </w:t>
      </w:r>
      <w:r w:rsidR="00B81FD5" w:rsidRPr="0089051B">
        <w:rPr>
          <w:rFonts w:ascii="Times New Roman" w:hAnsi="Times New Roman" w:cs="Times New Roman"/>
        </w:rPr>
        <w:t>primacy</w:t>
      </w:r>
      <w:r w:rsidRPr="0089051B">
        <w:rPr>
          <w:rFonts w:ascii="Times New Roman" w:hAnsi="Times New Roman" w:cs="Times New Roman"/>
        </w:rPr>
        <w:t xml:space="preserve">.  </w:t>
      </w:r>
      <w:r w:rsidR="00EA2F68" w:rsidRPr="0089051B">
        <w:rPr>
          <w:rFonts w:ascii="Times New Roman" w:hAnsi="Times New Roman" w:cs="Times New Roman"/>
        </w:rPr>
        <w:t xml:space="preserve">But in </w:t>
      </w:r>
      <w:r w:rsidR="00324F93" w:rsidRPr="0089051B">
        <w:rPr>
          <w:rFonts w:ascii="Times New Roman" w:hAnsi="Times New Roman" w:cs="Times New Roman"/>
        </w:rPr>
        <w:t xml:space="preserve">this </w:t>
      </w:r>
      <w:r w:rsidR="00330EB0" w:rsidRPr="0089051B">
        <w:rPr>
          <w:rFonts w:ascii="Times New Roman" w:hAnsi="Times New Roman" w:cs="Times New Roman"/>
        </w:rPr>
        <w:t xml:space="preserve">more novel </w:t>
      </w:r>
      <w:r w:rsidR="00EA2F68" w:rsidRPr="0089051B">
        <w:rPr>
          <w:rFonts w:ascii="Times New Roman" w:hAnsi="Times New Roman" w:cs="Times New Roman"/>
        </w:rPr>
        <w:t>context</w:t>
      </w:r>
      <w:r w:rsidR="00324F93" w:rsidRPr="0089051B">
        <w:rPr>
          <w:rFonts w:ascii="Times New Roman" w:hAnsi="Times New Roman" w:cs="Times New Roman"/>
        </w:rPr>
        <w:t>,</w:t>
      </w:r>
      <w:r w:rsidR="00EA2F68" w:rsidRPr="0089051B">
        <w:rPr>
          <w:rFonts w:ascii="Times New Roman" w:hAnsi="Times New Roman" w:cs="Times New Roman"/>
        </w:rPr>
        <w:t xml:space="preserve"> </w:t>
      </w:r>
      <w:r w:rsidRPr="0089051B">
        <w:rPr>
          <w:rFonts w:ascii="Times New Roman" w:hAnsi="Times New Roman" w:cs="Times New Roman"/>
        </w:rPr>
        <w:t xml:space="preserve">the </w:t>
      </w:r>
      <w:r w:rsidR="00EA2F68" w:rsidRPr="0089051B">
        <w:rPr>
          <w:rFonts w:ascii="Times New Roman" w:hAnsi="Times New Roman" w:cs="Times New Roman"/>
        </w:rPr>
        <w:t xml:space="preserve">available </w:t>
      </w:r>
      <w:proofErr w:type="spellStart"/>
      <w:r w:rsidR="00EA2F68" w:rsidRPr="0089051B">
        <w:rPr>
          <w:rFonts w:ascii="Times New Roman" w:hAnsi="Times New Roman" w:cs="Times New Roman"/>
        </w:rPr>
        <w:t>caselaw</w:t>
      </w:r>
      <w:proofErr w:type="spellEnd"/>
      <w:r w:rsidR="00EA2F68" w:rsidRPr="0089051B">
        <w:rPr>
          <w:rFonts w:ascii="Times New Roman" w:hAnsi="Times New Roman" w:cs="Times New Roman"/>
        </w:rPr>
        <w:t xml:space="preserve"> suggests </w:t>
      </w:r>
      <w:r w:rsidRPr="0089051B">
        <w:rPr>
          <w:rFonts w:ascii="Times New Roman" w:hAnsi="Times New Roman" w:cs="Times New Roman"/>
        </w:rPr>
        <w:t xml:space="preserve">that the </w:t>
      </w:r>
      <w:r w:rsidR="00324F93" w:rsidRPr="0089051B">
        <w:rPr>
          <w:rFonts w:ascii="Times New Roman" w:hAnsi="Times New Roman" w:cs="Times New Roman"/>
        </w:rPr>
        <w:t xml:space="preserve">Court is distinguishing </w:t>
      </w:r>
      <w:r w:rsidRPr="0089051B">
        <w:rPr>
          <w:rFonts w:ascii="Times New Roman" w:hAnsi="Times New Roman" w:cs="Times New Roman"/>
        </w:rPr>
        <w:t xml:space="preserve">between the two types of </w:t>
      </w:r>
      <w:r w:rsidR="00324F93" w:rsidRPr="0089051B">
        <w:rPr>
          <w:rFonts w:ascii="Times New Roman" w:hAnsi="Times New Roman" w:cs="Times New Roman"/>
        </w:rPr>
        <w:t xml:space="preserve">jurisdiction by </w:t>
      </w:r>
      <w:r w:rsidRPr="0089051B">
        <w:rPr>
          <w:rFonts w:ascii="Times New Roman" w:hAnsi="Times New Roman" w:cs="Times New Roman"/>
        </w:rPr>
        <w:t xml:space="preserve">rather </w:t>
      </w:r>
      <w:r w:rsidR="00324F93" w:rsidRPr="0089051B">
        <w:rPr>
          <w:rFonts w:ascii="Times New Roman" w:hAnsi="Times New Roman" w:cs="Times New Roman"/>
        </w:rPr>
        <w:t xml:space="preserve">different criteria </w:t>
      </w:r>
      <w:r w:rsidRPr="0089051B">
        <w:rPr>
          <w:rFonts w:ascii="Times New Roman" w:hAnsi="Times New Roman" w:cs="Times New Roman"/>
        </w:rPr>
        <w:t xml:space="preserve">and (in addition) is </w:t>
      </w:r>
      <w:r w:rsidR="00324F93" w:rsidRPr="0089051B">
        <w:rPr>
          <w:rFonts w:ascii="Times New Roman" w:hAnsi="Times New Roman" w:cs="Times New Roman"/>
        </w:rPr>
        <w:t xml:space="preserve">subjecting </w:t>
      </w:r>
      <w:r w:rsidRPr="0089051B">
        <w:rPr>
          <w:rFonts w:ascii="Times New Roman" w:hAnsi="Times New Roman" w:cs="Times New Roman"/>
        </w:rPr>
        <w:t xml:space="preserve">the national courts to </w:t>
      </w:r>
      <w:r w:rsidR="00330EB0" w:rsidRPr="0089051B">
        <w:rPr>
          <w:rFonts w:ascii="Times New Roman" w:hAnsi="Times New Roman" w:cs="Times New Roman"/>
        </w:rPr>
        <w:t xml:space="preserve">very </w:t>
      </w:r>
      <w:r w:rsidR="00324F93" w:rsidRPr="0089051B">
        <w:rPr>
          <w:rFonts w:ascii="Times New Roman" w:hAnsi="Times New Roman" w:cs="Times New Roman"/>
        </w:rPr>
        <w:t xml:space="preserve">different tools of scrutiny </w:t>
      </w:r>
      <w:r w:rsidRPr="0089051B">
        <w:rPr>
          <w:rFonts w:ascii="Times New Roman" w:hAnsi="Times New Roman" w:cs="Times New Roman"/>
        </w:rPr>
        <w:t xml:space="preserve">and </w:t>
      </w:r>
      <w:r w:rsidR="00330EB0" w:rsidRPr="0089051B">
        <w:rPr>
          <w:rFonts w:ascii="Times New Roman" w:hAnsi="Times New Roman" w:cs="Times New Roman"/>
        </w:rPr>
        <w:t>control.</w:t>
      </w:r>
      <w:r w:rsidR="00E35868" w:rsidRPr="0089051B">
        <w:rPr>
          <w:rFonts w:ascii="Times New Roman" w:hAnsi="Times New Roman" w:cs="Times New Roman"/>
        </w:rPr>
        <w:t xml:space="preserve">  </w:t>
      </w:r>
    </w:p>
    <w:p w14:paraId="70537B76" w14:textId="2D5E11ED" w:rsidR="006E5E55" w:rsidRPr="0089051B" w:rsidRDefault="00E8346D" w:rsidP="006E5E55">
      <w:pPr>
        <w:ind w:firstLine="720"/>
        <w:jc w:val="both"/>
        <w:rPr>
          <w:rFonts w:ascii="Times New Roman" w:hAnsi="Times New Roman" w:cs="Times New Roman"/>
        </w:rPr>
      </w:pPr>
      <w:r w:rsidRPr="0089051B">
        <w:rPr>
          <w:rFonts w:ascii="Times New Roman" w:hAnsi="Times New Roman" w:cs="Times New Roman"/>
        </w:rPr>
        <w:t>On the one hand</w:t>
      </w:r>
      <w:r w:rsidR="00330EB0" w:rsidRPr="0089051B">
        <w:rPr>
          <w:rFonts w:ascii="Times New Roman" w:hAnsi="Times New Roman" w:cs="Times New Roman"/>
        </w:rPr>
        <w:t xml:space="preserve">, the </w:t>
      </w:r>
      <w:r w:rsidR="00EA2F68" w:rsidRPr="0089051B">
        <w:rPr>
          <w:rFonts w:ascii="Times New Roman" w:hAnsi="Times New Roman" w:cs="Times New Roman"/>
        </w:rPr>
        <w:t xml:space="preserve">dividing line between centralised </w:t>
      </w:r>
      <w:r w:rsidR="00330EB0" w:rsidRPr="0089051B">
        <w:rPr>
          <w:rFonts w:ascii="Times New Roman" w:hAnsi="Times New Roman" w:cs="Times New Roman"/>
        </w:rPr>
        <w:t xml:space="preserve">and decentralised jurisdiction </w:t>
      </w:r>
      <w:r w:rsidR="00EA2F68" w:rsidRPr="0089051B">
        <w:rPr>
          <w:rFonts w:ascii="Times New Roman" w:hAnsi="Times New Roman" w:cs="Times New Roman"/>
        </w:rPr>
        <w:t xml:space="preserve">is not </w:t>
      </w:r>
      <w:r w:rsidR="00330EB0" w:rsidRPr="0089051B">
        <w:rPr>
          <w:rFonts w:ascii="Times New Roman" w:hAnsi="Times New Roman" w:cs="Times New Roman"/>
        </w:rPr>
        <w:t xml:space="preserve">here </w:t>
      </w:r>
      <w:r w:rsidR="00EA2F68" w:rsidRPr="0089051B">
        <w:rPr>
          <w:rFonts w:ascii="Times New Roman" w:hAnsi="Times New Roman" w:cs="Times New Roman"/>
        </w:rPr>
        <w:t xml:space="preserve">being drawn on </w:t>
      </w:r>
      <w:r w:rsidR="00330EB0" w:rsidRPr="0089051B">
        <w:rPr>
          <w:rFonts w:ascii="Times New Roman" w:hAnsi="Times New Roman" w:cs="Times New Roman"/>
        </w:rPr>
        <w:t xml:space="preserve">the </w:t>
      </w:r>
      <w:r w:rsidR="00EA2F68" w:rsidRPr="0089051B">
        <w:rPr>
          <w:rFonts w:ascii="Times New Roman" w:hAnsi="Times New Roman" w:cs="Times New Roman"/>
        </w:rPr>
        <w:t>basis that</w:t>
      </w:r>
      <w:r w:rsidR="00E35868" w:rsidRPr="0089051B">
        <w:rPr>
          <w:rFonts w:ascii="Times New Roman" w:hAnsi="Times New Roman" w:cs="Times New Roman"/>
        </w:rPr>
        <w:t>,</w:t>
      </w:r>
      <w:r w:rsidR="00EA2F68" w:rsidRPr="0089051B">
        <w:rPr>
          <w:rFonts w:ascii="Times New Roman" w:hAnsi="Times New Roman" w:cs="Times New Roman"/>
        </w:rPr>
        <w:t xml:space="preserve"> </w:t>
      </w:r>
      <w:r w:rsidR="00E35868" w:rsidRPr="0089051B">
        <w:rPr>
          <w:rFonts w:ascii="Times New Roman" w:hAnsi="Times New Roman" w:cs="Times New Roman"/>
        </w:rPr>
        <w:t xml:space="preserve">since </w:t>
      </w:r>
      <w:r w:rsidR="00EA2F68" w:rsidRPr="0089051B">
        <w:rPr>
          <w:rFonts w:ascii="Times New Roman" w:hAnsi="Times New Roman" w:cs="Times New Roman"/>
        </w:rPr>
        <w:t xml:space="preserve">Union law </w:t>
      </w:r>
      <w:r w:rsidRPr="0089051B">
        <w:rPr>
          <w:rFonts w:ascii="Times New Roman" w:hAnsi="Times New Roman" w:cs="Times New Roman"/>
        </w:rPr>
        <w:t xml:space="preserve">itself can and does </w:t>
      </w:r>
      <w:r w:rsidR="00EA2F68" w:rsidRPr="0089051B">
        <w:rPr>
          <w:rFonts w:ascii="Times New Roman" w:hAnsi="Times New Roman" w:cs="Times New Roman"/>
        </w:rPr>
        <w:t xml:space="preserve">provide </w:t>
      </w:r>
      <w:r w:rsidR="00330EB0" w:rsidRPr="0089051B">
        <w:rPr>
          <w:rFonts w:ascii="Times New Roman" w:hAnsi="Times New Roman" w:cs="Times New Roman"/>
        </w:rPr>
        <w:t xml:space="preserve">a </w:t>
      </w:r>
      <w:r w:rsidR="00EA2F68" w:rsidRPr="0089051B">
        <w:rPr>
          <w:rFonts w:ascii="Times New Roman" w:hAnsi="Times New Roman" w:cs="Times New Roman"/>
        </w:rPr>
        <w:t>uniform solution</w:t>
      </w:r>
      <w:r w:rsidR="00E35868" w:rsidRPr="0089051B">
        <w:rPr>
          <w:rFonts w:ascii="Times New Roman" w:hAnsi="Times New Roman" w:cs="Times New Roman"/>
        </w:rPr>
        <w:t xml:space="preserve"> to the problem of legal vacuums</w:t>
      </w:r>
      <w:r w:rsidR="00EA2F68" w:rsidRPr="0089051B">
        <w:rPr>
          <w:rFonts w:ascii="Times New Roman" w:hAnsi="Times New Roman" w:cs="Times New Roman"/>
        </w:rPr>
        <w:t xml:space="preserve">, </w:t>
      </w:r>
      <w:r w:rsidR="00E35868" w:rsidRPr="0089051B">
        <w:rPr>
          <w:rFonts w:ascii="Times New Roman" w:hAnsi="Times New Roman" w:cs="Times New Roman"/>
        </w:rPr>
        <w:t xml:space="preserve">there </w:t>
      </w:r>
      <w:r w:rsidRPr="0089051B">
        <w:rPr>
          <w:rFonts w:ascii="Times New Roman" w:hAnsi="Times New Roman" w:cs="Times New Roman"/>
        </w:rPr>
        <w:t xml:space="preserve">is no real need and indeed should be little remaining </w:t>
      </w:r>
      <w:r w:rsidR="00E35868" w:rsidRPr="0089051B">
        <w:rPr>
          <w:rFonts w:ascii="Times New Roman" w:hAnsi="Times New Roman" w:cs="Times New Roman"/>
        </w:rPr>
        <w:t xml:space="preserve">scope </w:t>
      </w:r>
      <w:r w:rsidR="00EA2F68" w:rsidRPr="0089051B">
        <w:rPr>
          <w:rFonts w:ascii="Times New Roman" w:hAnsi="Times New Roman" w:cs="Times New Roman"/>
        </w:rPr>
        <w:t xml:space="preserve">for </w:t>
      </w:r>
      <w:r w:rsidR="00E35868" w:rsidRPr="0089051B">
        <w:rPr>
          <w:rFonts w:ascii="Times New Roman" w:hAnsi="Times New Roman" w:cs="Times New Roman"/>
        </w:rPr>
        <w:t xml:space="preserve">the exercise of </w:t>
      </w:r>
      <w:r w:rsidR="00EA2F68" w:rsidRPr="0089051B">
        <w:rPr>
          <w:rFonts w:ascii="Times New Roman" w:hAnsi="Times New Roman" w:cs="Times New Roman"/>
        </w:rPr>
        <w:t xml:space="preserve">national autonomy </w:t>
      </w:r>
      <w:r w:rsidR="00E35868" w:rsidRPr="0089051B">
        <w:rPr>
          <w:rFonts w:ascii="Times New Roman" w:hAnsi="Times New Roman" w:cs="Times New Roman"/>
        </w:rPr>
        <w:t xml:space="preserve">in respect of the same category of problem.  </w:t>
      </w:r>
      <w:r w:rsidR="00EA2F68" w:rsidRPr="0089051B">
        <w:rPr>
          <w:rFonts w:ascii="Times New Roman" w:hAnsi="Times New Roman" w:cs="Times New Roman"/>
        </w:rPr>
        <w:t>Instead</w:t>
      </w:r>
      <w:r w:rsidR="00E35868" w:rsidRPr="0089051B">
        <w:rPr>
          <w:rFonts w:ascii="Times New Roman" w:hAnsi="Times New Roman" w:cs="Times New Roman"/>
        </w:rPr>
        <w:t xml:space="preserve">, the Court </w:t>
      </w:r>
      <w:r w:rsidR="005F3F04" w:rsidRPr="0089051B">
        <w:rPr>
          <w:rFonts w:ascii="Times New Roman" w:hAnsi="Times New Roman" w:cs="Times New Roman"/>
        </w:rPr>
        <w:t>seems</w:t>
      </w:r>
      <w:r w:rsidR="00E35868" w:rsidRPr="0089051B">
        <w:rPr>
          <w:rFonts w:ascii="Times New Roman" w:hAnsi="Times New Roman" w:cs="Times New Roman"/>
        </w:rPr>
        <w:t xml:space="preserve"> willing to recognise that, alongside its </w:t>
      </w:r>
      <w:r w:rsidR="00EA2F68" w:rsidRPr="0089051B">
        <w:rPr>
          <w:rFonts w:ascii="Times New Roman" w:hAnsi="Times New Roman" w:cs="Times New Roman"/>
        </w:rPr>
        <w:t xml:space="preserve">centralised jurisdiction, </w:t>
      </w:r>
      <w:r w:rsidR="00E35868" w:rsidRPr="0089051B">
        <w:rPr>
          <w:rFonts w:ascii="Times New Roman" w:hAnsi="Times New Roman" w:cs="Times New Roman"/>
        </w:rPr>
        <w:t xml:space="preserve">the </w:t>
      </w:r>
      <w:r w:rsidR="00EA2F68" w:rsidRPr="0089051B">
        <w:rPr>
          <w:rFonts w:ascii="Times New Roman" w:hAnsi="Times New Roman" w:cs="Times New Roman"/>
        </w:rPr>
        <w:t xml:space="preserve">national courts </w:t>
      </w:r>
      <w:r w:rsidR="00E35868" w:rsidRPr="0089051B">
        <w:rPr>
          <w:rFonts w:ascii="Times New Roman" w:hAnsi="Times New Roman" w:cs="Times New Roman"/>
        </w:rPr>
        <w:t xml:space="preserve">might exercise their own discretionary power not to </w:t>
      </w:r>
      <w:proofErr w:type="spellStart"/>
      <w:r w:rsidR="00E35868" w:rsidRPr="0089051B">
        <w:rPr>
          <w:rFonts w:ascii="Times New Roman" w:hAnsi="Times New Roman" w:cs="Times New Roman"/>
        </w:rPr>
        <w:t>disapply</w:t>
      </w:r>
      <w:proofErr w:type="spellEnd"/>
      <w:r w:rsidR="005F3F04" w:rsidRPr="0089051B">
        <w:rPr>
          <w:rFonts w:ascii="Times New Roman" w:hAnsi="Times New Roman" w:cs="Times New Roman"/>
        </w:rPr>
        <w:t>, potentially in respect of the same type of dispute</w:t>
      </w:r>
      <w:r w:rsidR="00E35868" w:rsidRPr="0089051B">
        <w:rPr>
          <w:rFonts w:ascii="Times New Roman" w:hAnsi="Times New Roman" w:cs="Times New Roman"/>
        </w:rPr>
        <w:t xml:space="preserve">: </w:t>
      </w:r>
      <w:r w:rsidR="00EA2F68" w:rsidRPr="0089051B">
        <w:rPr>
          <w:rFonts w:ascii="Times New Roman" w:hAnsi="Times New Roman" w:cs="Times New Roman"/>
        </w:rPr>
        <w:t xml:space="preserve">decentralised jurisdiction is </w:t>
      </w:r>
      <w:r w:rsidR="00E35868" w:rsidRPr="0089051B">
        <w:rPr>
          <w:rFonts w:ascii="Times New Roman" w:hAnsi="Times New Roman" w:cs="Times New Roman"/>
        </w:rPr>
        <w:t xml:space="preserve">not merely a default, but </w:t>
      </w:r>
      <w:r w:rsidR="00EA2F68" w:rsidRPr="0089051B">
        <w:rPr>
          <w:rFonts w:ascii="Times New Roman" w:hAnsi="Times New Roman" w:cs="Times New Roman"/>
        </w:rPr>
        <w:t>an optional extra</w:t>
      </w:r>
      <w:r w:rsidR="00E35868" w:rsidRPr="0089051B">
        <w:rPr>
          <w:rFonts w:ascii="Times New Roman" w:hAnsi="Times New Roman" w:cs="Times New Roman"/>
        </w:rPr>
        <w:t>.</w:t>
      </w:r>
      <w:r w:rsidR="002252B5" w:rsidRPr="0089051B">
        <w:rPr>
          <w:rStyle w:val="FootnoteReference"/>
          <w:rFonts w:ascii="Times New Roman" w:hAnsi="Times New Roman" w:cs="Times New Roman"/>
        </w:rPr>
        <w:footnoteReference w:id="152"/>
      </w:r>
      <w:r w:rsidR="00E35868" w:rsidRPr="0089051B">
        <w:rPr>
          <w:rFonts w:ascii="Times New Roman" w:hAnsi="Times New Roman" w:cs="Times New Roman"/>
        </w:rPr>
        <w:t xml:space="preserve">  </w:t>
      </w:r>
      <w:r w:rsidRPr="0089051B">
        <w:rPr>
          <w:rFonts w:ascii="Times New Roman" w:hAnsi="Times New Roman" w:cs="Times New Roman"/>
        </w:rPr>
        <w:t>On the other hand</w:t>
      </w:r>
      <w:r w:rsidR="00B354F1" w:rsidRPr="0089051B">
        <w:rPr>
          <w:rFonts w:ascii="Times New Roman" w:hAnsi="Times New Roman" w:cs="Times New Roman"/>
        </w:rPr>
        <w:t>,</w:t>
      </w:r>
      <w:r w:rsidR="00EA2F68" w:rsidRPr="0089051B">
        <w:rPr>
          <w:rFonts w:ascii="Times New Roman" w:hAnsi="Times New Roman" w:cs="Times New Roman"/>
        </w:rPr>
        <w:t xml:space="preserve"> Union scrutiny over </w:t>
      </w:r>
      <w:r w:rsidR="00B354F1" w:rsidRPr="0089051B">
        <w:rPr>
          <w:rFonts w:ascii="Times New Roman" w:hAnsi="Times New Roman" w:cs="Times New Roman"/>
        </w:rPr>
        <w:t xml:space="preserve">the exercise of that </w:t>
      </w:r>
      <w:r w:rsidR="00EA2F68" w:rsidRPr="0089051B">
        <w:rPr>
          <w:rFonts w:ascii="Times New Roman" w:hAnsi="Times New Roman" w:cs="Times New Roman"/>
        </w:rPr>
        <w:t xml:space="preserve">decentralised jurisdiction is not </w:t>
      </w:r>
      <w:r w:rsidR="00B354F1" w:rsidRPr="0089051B">
        <w:rPr>
          <w:rFonts w:ascii="Times New Roman" w:hAnsi="Times New Roman" w:cs="Times New Roman"/>
        </w:rPr>
        <w:t xml:space="preserve">here conducted through the medium of the </w:t>
      </w:r>
      <w:r w:rsidR="00EA2F68" w:rsidRPr="0089051B">
        <w:rPr>
          <w:rFonts w:ascii="Times New Roman" w:hAnsi="Times New Roman" w:cs="Times New Roman"/>
        </w:rPr>
        <w:t>standard principles of equivalence and effectiveness</w:t>
      </w:r>
      <w:r w:rsidR="00324F93" w:rsidRPr="0089051B">
        <w:rPr>
          <w:rFonts w:ascii="Times New Roman" w:hAnsi="Times New Roman" w:cs="Times New Roman"/>
        </w:rPr>
        <w:t xml:space="preserve">, </w:t>
      </w:r>
      <w:r w:rsidR="00B354F1" w:rsidRPr="0089051B">
        <w:rPr>
          <w:rFonts w:ascii="Times New Roman" w:hAnsi="Times New Roman" w:cs="Times New Roman"/>
        </w:rPr>
        <w:t xml:space="preserve">which would </w:t>
      </w:r>
      <w:r w:rsidRPr="0089051B">
        <w:rPr>
          <w:rFonts w:ascii="Times New Roman" w:hAnsi="Times New Roman" w:cs="Times New Roman"/>
        </w:rPr>
        <w:t xml:space="preserve">have </w:t>
      </w:r>
      <w:r w:rsidR="00B354F1" w:rsidRPr="0089051B">
        <w:rPr>
          <w:rFonts w:ascii="Times New Roman" w:hAnsi="Times New Roman" w:cs="Times New Roman"/>
        </w:rPr>
        <w:t>offer</w:t>
      </w:r>
      <w:r w:rsidRPr="0089051B">
        <w:rPr>
          <w:rFonts w:ascii="Times New Roman" w:hAnsi="Times New Roman" w:cs="Times New Roman"/>
        </w:rPr>
        <w:t>ed</w:t>
      </w:r>
      <w:r w:rsidR="00B354F1" w:rsidRPr="0089051B">
        <w:rPr>
          <w:rFonts w:ascii="Times New Roman" w:hAnsi="Times New Roman" w:cs="Times New Roman"/>
        </w:rPr>
        <w:t xml:space="preserve"> </w:t>
      </w:r>
      <w:r w:rsidR="00324F93" w:rsidRPr="0089051B">
        <w:rPr>
          <w:rFonts w:ascii="Times New Roman" w:hAnsi="Times New Roman" w:cs="Times New Roman"/>
        </w:rPr>
        <w:t xml:space="preserve">significant latitude to </w:t>
      </w:r>
      <w:r w:rsidR="00B354F1" w:rsidRPr="0089051B">
        <w:rPr>
          <w:rFonts w:ascii="Times New Roman" w:hAnsi="Times New Roman" w:cs="Times New Roman"/>
        </w:rPr>
        <w:t xml:space="preserve">the </w:t>
      </w:r>
      <w:r w:rsidR="00324F93" w:rsidRPr="0089051B">
        <w:rPr>
          <w:rFonts w:ascii="Times New Roman" w:hAnsi="Times New Roman" w:cs="Times New Roman"/>
        </w:rPr>
        <w:t xml:space="preserve">Member States </w:t>
      </w:r>
      <w:r w:rsidR="00B354F1" w:rsidRPr="0089051B">
        <w:rPr>
          <w:rFonts w:ascii="Times New Roman" w:hAnsi="Times New Roman" w:cs="Times New Roman"/>
        </w:rPr>
        <w:t xml:space="preserve">when it comes to the precise conditions as well as the very possibility of non-disapplication.  Instead, the </w:t>
      </w:r>
      <w:r w:rsidRPr="0089051B">
        <w:rPr>
          <w:rFonts w:ascii="Times New Roman" w:hAnsi="Times New Roman" w:cs="Times New Roman"/>
        </w:rPr>
        <w:t xml:space="preserve">power of the national courts to refrain from enforcing the principle of </w:t>
      </w:r>
      <w:r w:rsidR="00B81FD5" w:rsidRPr="0089051B">
        <w:rPr>
          <w:rFonts w:ascii="Times New Roman" w:hAnsi="Times New Roman" w:cs="Times New Roman"/>
        </w:rPr>
        <w:t>primacy</w:t>
      </w:r>
      <w:r w:rsidRPr="0089051B">
        <w:rPr>
          <w:rFonts w:ascii="Times New Roman" w:hAnsi="Times New Roman" w:cs="Times New Roman"/>
        </w:rPr>
        <w:t xml:space="preserve"> is </w:t>
      </w:r>
      <w:r w:rsidR="00324F93" w:rsidRPr="0089051B">
        <w:rPr>
          <w:rFonts w:ascii="Times New Roman" w:hAnsi="Times New Roman" w:cs="Times New Roman"/>
        </w:rPr>
        <w:t xml:space="preserve">closely </w:t>
      </w:r>
      <w:r w:rsidRPr="0089051B">
        <w:rPr>
          <w:rFonts w:ascii="Times New Roman" w:hAnsi="Times New Roman" w:cs="Times New Roman"/>
        </w:rPr>
        <w:t xml:space="preserve">controlled by the Court under conditions directly and precisely </w:t>
      </w:r>
      <w:r w:rsidR="00324F93" w:rsidRPr="0089051B">
        <w:rPr>
          <w:rFonts w:ascii="Times New Roman" w:hAnsi="Times New Roman" w:cs="Times New Roman"/>
        </w:rPr>
        <w:t xml:space="preserve">defined </w:t>
      </w:r>
      <w:r w:rsidRPr="0089051B">
        <w:rPr>
          <w:rFonts w:ascii="Times New Roman" w:hAnsi="Times New Roman" w:cs="Times New Roman"/>
        </w:rPr>
        <w:t xml:space="preserve">by </w:t>
      </w:r>
      <w:r w:rsidR="00000F5D" w:rsidRPr="0089051B">
        <w:rPr>
          <w:rFonts w:ascii="Times New Roman" w:hAnsi="Times New Roman" w:cs="Times New Roman"/>
        </w:rPr>
        <w:t>Union law</w:t>
      </w:r>
      <w:r w:rsidRPr="0089051B">
        <w:rPr>
          <w:rFonts w:ascii="Times New Roman" w:hAnsi="Times New Roman" w:cs="Times New Roman"/>
        </w:rPr>
        <w:t xml:space="preserve">: an optional extra, but within that framework, one which offers little scope for divergence.  </w:t>
      </w:r>
    </w:p>
    <w:p w14:paraId="1B869C3F" w14:textId="77777777" w:rsidR="006E5E55" w:rsidRPr="0089051B" w:rsidRDefault="00E8346D" w:rsidP="006E5E55">
      <w:pPr>
        <w:ind w:firstLine="720"/>
        <w:jc w:val="both"/>
        <w:rPr>
          <w:rFonts w:ascii="Times New Roman" w:hAnsi="Times New Roman" w:cs="Times New Roman"/>
        </w:rPr>
      </w:pPr>
      <w:r w:rsidRPr="0089051B">
        <w:rPr>
          <w:rFonts w:ascii="Times New Roman" w:hAnsi="Times New Roman" w:cs="Times New Roman"/>
        </w:rPr>
        <w:t>In itself, of course, there is nothing problematic or objectionable in the fact that the Court has chosen</w:t>
      </w:r>
      <w:r w:rsidR="00024078" w:rsidRPr="0089051B">
        <w:rPr>
          <w:rFonts w:ascii="Times New Roman" w:hAnsi="Times New Roman" w:cs="Times New Roman"/>
        </w:rPr>
        <w:t xml:space="preserve"> to divide centralised </w:t>
      </w:r>
      <w:r w:rsidRPr="0089051B">
        <w:rPr>
          <w:rFonts w:ascii="Times New Roman" w:hAnsi="Times New Roman" w:cs="Times New Roman"/>
        </w:rPr>
        <w:t xml:space="preserve">from decentralised jurisdiction by different criteria and subject to different limits in the case of legal certainty and retrospective limits as compared to legal vacuums and prospective limits.  Instead, the real question is: </w:t>
      </w:r>
      <w:r w:rsidR="00EA2F68" w:rsidRPr="0089051B">
        <w:rPr>
          <w:rFonts w:ascii="Times New Roman" w:hAnsi="Times New Roman" w:cs="Times New Roman"/>
        </w:rPr>
        <w:t xml:space="preserve">does the </w:t>
      </w:r>
      <w:r w:rsidRPr="0089051B">
        <w:rPr>
          <w:rFonts w:ascii="Times New Roman" w:hAnsi="Times New Roman" w:cs="Times New Roman"/>
        </w:rPr>
        <w:t xml:space="preserve">approach in </w:t>
      </w:r>
      <w:r w:rsidRPr="0089051B">
        <w:rPr>
          <w:rFonts w:ascii="Times New Roman" w:hAnsi="Times New Roman" w:cs="Times New Roman"/>
          <w:i/>
        </w:rPr>
        <w:t xml:space="preserve">Association France </w:t>
      </w:r>
      <w:r w:rsidR="005672F9" w:rsidRPr="0089051B">
        <w:rPr>
          <w:rFonts w:ascii="Times New Roman" w:hAnsi="Times New Roman" w:cs="Times New Roman"/>
        </w:rPr>
        <w:t>create</w:t>
      </w:r>
      <w:r w:rsidR="00EE2488" w:rsidRPr="0089051B">
        <w:rPr>
          <w:rFonts w:ascii="Times New Roman" w:hAnsi="Times New Roman" w:cs="Times New Roman"/>
        </w:rPr>
        <w:t xml:space="preserve"> </w:t>
      </w:r>
      <w:r w:rsidR="005672F9" w:rsidRPr="0089051B">
        <w:rPr>
          <w:rFonts w:ascii="Times New Roman" w:hAnsi="Times New Roman" w:cs="Times New Roman"/>
        </w:rPr>
        <w:t xml:space="preserve">a pair of jurisdictions which are coherent, not </w:t>
      </w:r>
      <w:r w:rsidR="00024078" w:rsidRPr="0089051B">
        <w:rPr>
          <w:rFonts w:ascii="Times New Roman" w:hAnsi="Times New Roman" w:cs="Times New Roman"/>
        </w:rPr>
        <w:t>so much</w:t>
      </w:r>
      <w:r w:rsidR="005672F9" w:rsidRPr="0089051B">
        <w:rPr>
          <w:rFonts w:ascii="Times New Roman" w:hAnsi="Times New Roman" w:cs="Times New Roman"/>
        </w:rPr>
        <w:t xml:space="preserve"> each on its own terms, but </w:t>
      </w:r>
      <w:r w:rsidR="00024078" w:rsidRPr="0089051B">
        <w:rPr>
          <w:rFonts w:ascii="Times New Roman" w:hAnsi="Times New Roman" w:cs="Times New Roman"/>
        </w:rPr>
        <w:t xml:space="preserve">rather </w:t>
      </w:r>
      <w:r w:rsidR="005672F9" w:rsidRPr="0089051B">
        <w:rPr>
          <w:rFonts w:ascii="Times New Roman" w:hAnsi="Times New Roman" w:cs="Times New Roman"/>
        </w:rPr>
        <w:t xml:space="preserve">as regards their mutual inter-relationship?  Or does the co-existence of a centralised jurisdiction vested in the Court, alongside an optional but much more limited decentralised jurisdiction available to each Member State, create the potential for </w:t>
      </w:r>
      <w:r w:rsidR="00EA2F68" w:rsidRPr="0089051B">
        <w:rPr>
          <w:rFonts w:ascii="Times New Roman" w:hAnsi="Times New Roman" w:cs="Times New Roman"/>
        </w:rPr>
        <w:t xml:space="preserve">arbitrary </w:t>
      </w:r>
      <w:r w:rsidR="005672F9" w:rsidRPr="0089051B">
        <w:rPr>
          <w:rFonts w:ascii="Times New Roman" w:hAnsi="Times New Roman" w:cs="Times New Roman"/>
        </w:rPr>
        <w:t xml:space="preserve">distinctions or even </w:t>
      </w:r>
      <w:r w:rsidR="00EA2F68" w:rsidRPr="0089051B">
        <w:rPr>
          <w:rFonts w:ascii="Times New Roman" w:hAnsi="Times New Roman" w:cs="Times New Roman"/>
        </w:rPr>
        <w:t xml:space="preserve">inconsistent </w:t>
      </w:r>
      <w:r w:rsidR="005672F9" w:rsidRPr="0089051B">
        <w:rPr>
          <w:rFonts w:ascii="Times New Roman" w:hAnsi="Times New Roman" w:cs="Times New Roman"/>
        </w:rPr>
        <w:t xml:space="preserve">outcomes?  For now, that remains a difficult question to answer, primarily because the Court has not yet fully revealed its understanding of the precise relationship between the two jurisdictions identified and rationalised in </w:t>
      </w:r>
      <w:r w:rsidR="005672F9" w:rsidRPr="0089051B">
        <w:rPr>
          <w:rFonts w:ascii="Times New Roman" w:hAnsi="Times New Roman" w:cs="Times New Roman"/>
          <w:i/>
        </w:rPr>
        <w:t xml:space="preserve">Association France.  </w:t>
      </w:r>
      <w:r w:rsidR="00024078" w:rsidRPr="0089051B">
        <w:rPr>
          <w:rFonts w:ascii="Times New Roman" w:hAnsi="Times New Roman" w:cs="Times New Roman"/>
        </w:rPr>
        <w:t xml:space="preserve">But it is possible to identify </w:t>
      </w:r>
      <w:r w:rsidR="005672F9" w:rsidRPr="0089051B">
        <w:rPr>
          <w:rFonts w:ascii="Times New Roman" w:hAnsi="Times New Roman" w:cs="Times New Roman"/>
        </w:rPr>
        <w:t xml:space="preserve">two main possibilities, each with various advantages but also certain challenges. </w:t>
      </w:r>
    </w:p>
    <w:p w14:paraId="2E9C78BF" w14:textId="77777777" w:rsidR="006E5E55" w:rsidRPr="0089051B" w:rsidRDefault="005672F9" w:rsidP="006E5E55">
      <w:pPr>
        <w:ind w:firstLine="720"/>
        <w:jc w:val="both"/>
        <w:rPr>
          <w:rFonts w:ascii="Times New Roman" w:hAnsi="Times New Roman" w:cs="Times New Roman"/>
        </w:rPr>
      </w:pPr>
      <w:r w:rsidRPr="0089051B">
        <w:rPr>
          <w:rFonts w:ascii="Times New Roman" w:hAnsi="Times New Roman" w:cs="Times New Roman"/>
        </w:rPr>
        <w:t xml:space="preserve">The first possibility is that the competence available to national judges might indeed be allowed to exist and be exercised </w:t>
      </w:r>
      <w:r w:rsidR="00EA2F68" w:rsidRPr="0089051B">
        <w:rPr>
          <w:rFonts w:ascii="Times New Roman" w:hAnsi="Times New Roman" w:cs="Times New Roman"/>
        </w:rPr>
        <w:t xml:space="preserve">parallel to that of </w:t>
      </w:r>
      <w:r w:rsidRPr="0089051B">
        <w:rPr>
          <w:rFonts w:ascii="Times New Roman" w:hAnsi="Times New Roman" w:cs="Times New Roman"/>
        </w:rPr>
        <w:t xml:space="preserve">the </w:t>
      </w:r>
      <w:r w:rsidR="00EA2F68" w:rsidRPr="0089051B">
        <w:rPr>
          <w:rFonts w:ascii="Times New Roman" w:hAnsi="Times New Roman" w:cs="Times New Roman"/>
        </w:rPr>
        <w:t>Court</w:t>
      </w:r>
      <w:r w:rsidR="004963D4" w:rsidRPr="0089051B">
        <w:rPr>
          <w:rFonts w:ascii="Times New Roman" w:hAnsi="Times New Roman" w:cs="Times New Roman"/>
        </w:rPr>
        <w:t xml:space="preserve">.  </w:t>
      </w:r>
      <w:r w:rsidR="00024078" w:rsidRPr="0089051B">
        <w:rPr>
          <w:rFonts w:ascii="Times New Roman" w:hAnsi="Times New Roman" w:cs="Times New Roman"/>
        </w:rPr>
        <w:t xml:space="preserve">If so, it becomes especially </w:t>
      </w:r>
      <w:r w:rsidR="00EA2F68" w:rsidRPr="0089051B">
        <w:rPr>
          <w:rFonts w:ascii="Times New Roman" w:hAnsi="Times New Roman" w:cs="Times New Roman"/>
        </w:rPr>
        <w:t xml:space="preserve">important to </w:t>
      </w:r>
      <w:r w:rsidR="00024078" w:rsidRPr="0089051B">
        <w:rPr>
          <w:rFonts w:ascii="Times New Roman" w:hAnsi="Times New Roman" w:cs="Times New Roman"/>
        </w:rPr>
        <w:t xml:space="preserve">ensure that the domestic courts exercise their powers in a way which </w:t>
      </w:r>
      <w:r w:rsidR="00EA2F68" w:rsidRPr="0089051B">
        <w:rPr>
          <w:rFonts w:ascii="Times New Roman" w:hAnsi="Times New Roman" w:cs="Times New Roman"/>
        </w:rPr>
        <w:t>complement</w:t>
      </w:r>
      <w:r w:rsidR="00024078" w:rsidRPr="0089051B">
        <w:rPr>
          <w:rFonts w:ascii="Times New Roman" w:hAnsi="Times New Roman" w:cs="Times New Roman"/>
        </w:rPr>
        <w:t>s</w:t>
      </w:r>
      <w:r w:rsidR="00EA2F68" w:rsidRPr="0089051B">
        <w:rPr>
          <w:rFonts w:ascii="Times New Roman" w:hAnsi="Times New Roman" w:cs="Times New Roman"/>
        </w:rPr>
        <w:t xml:space="preserve"> rather than contradict</w:t>
      </w:r>
      <w:r w:rsidR="00024078" w:rsidRPr="0089051B">
        <w:rPr>
          <w:rFonts w:ascii="Times New Roman" w:hAnsi="Times New Roman" w:cs="Times New Roman"/>
        </w:rPr>
        <w:t>s</w:t>
      </w:r>
      <w:r w:rsidR="00EA2F68" w:rsidRPr="0089051B">
        <w:rPr>
          <w:rFonts w:ascii="Times New Roman" w:hAnsi="Times New Roman" w:cs="Times New Roman"/>
        </w:rPr>
        <w:t xml:space="preserve"> </w:t>
      </w:r>
      <w:r w:rsidR="00024078" w:rsidRPr="0089051B">
        <w:rPr>
          <w:rFonts w:ascii="Times New Roman" w:hAnsi="Times New Roman" w:cs="Times New Roman"/>
        </w:rPr>
        <w:t xml:space="preserve">the Court’s own jurisdiction – for </w:t>
      </w:r>
      <w:r w:rsidR="00024078" w:rsidRPr="0089051B">
        <w:rPr>
          <w:rFonts w:ascii="Times New Roman" w:hAnsi="Times New Roman" w:cs="Times New Roman"/>
        </w:rPr>
        <w:lastRenderedPageBreak/>
        <w:t xml:space="preserve">which purpose, one would </w:t>
      </w:r>
      <w:r w:rsidR="00F079E7" w:rsidRPr="0089051B">
        <w:rPr>
          <w:rFonts w:ascii="Times New Roman" w:hAnsi="Times New Roman" w:cs="Times New Roman"/>
        </w:rPr>
        <w:t xml:space="preserve">indeed </w:t>
      </w:r>
      <w:r w:rsidR="00024078" w:rsidRPr="0089051B">
        <w:rPr>
          <w:rFonts w:ascii="Times New Roman" w:hAnsi="Times New Roman" w:cs="Times New Roman"/>
        </w:rPr>
        <w:t xml:space="preserve">expect the conditions governing </w:t>
      </w:r>
      <w:r w:rsidR="00EA2F68" w:rsidRPr="0089051B">
        <w:rPr>
          <w:rFonts w:ascii="Times New Roman" w:hAnsi="Times New Roman" w:cs="Times New Roman"/>
        </w:rPr>
        <w:t xml:space="preserve">national </w:t>
      </w:r>
      <w:r w:rsidR="00024078" w:rsidRPr="0089051B">
        <w:rPr>
          <w:rFonts w:ascii="Times New Roman" w:hAnsi="Times New Roman" w:cs="Times New Roman"/>
        </w:rPr>
        <w:t xml:space="preserve">competence to </w:t>
      </w:r>
      <w:r w:rsidR="00EA2F68" w:rsidRPr="0089051B">
        <w:rPr>
          <w:rFonts w:ascii="Times New Roman" w:hAnsi="Times New Roman" w:cs="Times New Roman"/>
        </w:rPr>
        <w:t xml:space="preserve">be more narrowly defined </w:t>
      </w:r>
      <w:r w:rsidR="00024078" w:rsidRPr="0089051B">
        <w:rPr>
          <w:rFonts w:ascii="Times New Roman" w:hAnsi="Times New Roman" w:cs="Times New Roman"/>
        </w:rPr>
        <w:t xml:space="preserve">and </w:t>
      </w:r>
      <w:r w:rsidR="00EA2F68" w:rsidRPr="0089051B">
        <w:rPr>
          <w:rFonts w:ascii="Times New Roman" w:hAnsi="Times New Roman" w:cs="Times New Roman"/>
        </w:rPr>
        <w:t>strictly controlled</w:t>
      </w:r>
      <w:r w:rsidR="00024078" w:rsidRPr="0089051B">
        <w:rPr>
          <w:rFonts w:ascii="Times New Roman" w:hAnsi="Times New Roman" w:cs="Times New Roman"/>
        </w:rPr>
        <w:t xml:space="preserve">.  </w:t>
      </w:r>
      <w:r w:rsidR="003F23C5" w:rsidRPr="0089051B">
        <w:rPr>
          <w:rFonts w:ascii="Times New Roman" w:hAnsi="Times New Roman" w:cs="Times New Roman"/>
        </w:rPr>
        <w:t>I</w:t>
      </w:r>
      <w:r w:rsidR="00024078" w:rsidRPr="0089051B">
        <w:rPr>
          <w:rFonts w:ascii="Times New Roman" w:hAnsi="Times New Roman" w:cs="Times New Roman"/>
        </w:rPr>
        <w:t xml:space="preserve">t would matter less whether the governing criteria managed to create a decentralised </w:t>
      </w:r>
      <w:r w:rsidR="00EE2488" w:rsidRPr="0089051B">
        <w:rPr>
          <w:rFonts w:ascii="Times New Roman" w:hAnsi="Times New Roman" w:cs="Times New Roman"/>
        </w:rPr>
        <w:t xml:space="preserve">jurisdiction </w:t>
      </w:r>
      <w:r w:rsidR="00F079E7" w:rsidRPr="0089051B">
        <w:rPr>
          <w:rFonts w:ascii="Times New Roman" w:hAnsi="Times New Roman" w:cs="Times New Roman"/>
        </w:rPr>
        <w:t>that</w:t>
      </w:r>
      <w:r w:rsidR="00024078" w:rsidRPr="0089051B">
        <w:rPr>
          <w:rFonts w:ascii="Times New Roman" w:hAnsi="Times New Roman" w:cs="Times New Roman"/>
        </w:rPr>
        <w:t xml:space="preserve"> could be described as coherent </w:t>
      </w:r>
      <w:r w:rsidR="00EE2488" w:rsidRPr="0089051B">
        <w:rPr>
          <w:rFonts w:ascii="Times New Roman" w:hAnsi="Times New Roman" w:cs="Times New Roman"/>
        </w:rPr>
        <w:t xml:space="preserve">on </w:t>
      </w:r>
      <w:r w:rsidR="00024078" w:rsidRPr="0089051B">
        <w:rPr>
          <w:rFonts w:ascii="Times New Roman" w:hAnsi="Times New Roman" w:cs="Times New Roman"/>
        </w:rPr>
        <w:t xml:space="preserve">its </w:t>
      </w:r>
      <w:r w:rsidR="00EE2488" w:rsidRPr="0089051B">
        <w:rPr>
          <w:rFonts w:ascii="Times New Roman" w:hAnsi="Times New Roman" w:cs="Times New Roman"/>
        </w:rPr>
        <w:t>own terms</w:t>
      </w:r>
      <w:r w:rsidR="00F079E7" w:rsidRPr="0089051B">
        <w:rPr>
          <w:rFonts w:ascii="Times New Roman" w:hAnsi="Times New Roman" w:cs="Times New Roman"/>
        </w:rPr>
        <w:t xml:space="preserve">; the </w:t>
      </w:r>
      <w:r w:rsidR="00024078" w:rsidRPr="0089051B">
        <w:rPr>
          <w:rFonts w:ascii="Times New Roman" w:hAnsi="Times New Roman" w:cs="Times New Roman"/>
        </w:rPr>
        <w:t xml:space="preserve">primary goal would be to constrain the exercise of that jurisdiction </w:t>
      </w:r>
      <w:r w:rsidR="00EE2488" w:rsidRPr="0089051B">
        <w:rPr>
          <w:rFonts w:ascii="Times New Roman" w:hAnsi="Times New Roman" w:cs="Times New Roman"/>
        </w:rPr>
        <w:t xml:space="preserve">sufficiently </w:t>
      </w:r>
      <w:r w:rsidR="00024078" w:rsidRPr="0089051B">
        <w:rPr>
          <w:rFonts w:ascii="Times New Roman" w:hAnsi="Times New Roman" w:cs="Times New Roman"/>
        </w:rPr>
        <w:t xml:space="preserve">as to avoid it potentially undermining the operation of the Court’s </w:t>
      </w:r>
      <w:r w:rsidR="00EE2488" w:rsidRPr="0089051B">
        <w:rPr>
          <w:rFonts w:ascii="Times New Roman" w:hAnsi="Times New Roman" w:cs="Times New Roman"/>
        </w:rPr>
        <w:t>centralised power</w:t>
      </w:r>
      <w:r w:rsidR="00024078" w:rsidRPr="0089051B">
        <w:rPr>
          <w:rFonts w:ascii="Times New Roman" w:hAnsi="Times New Roman" w:cs="Times New Roman"/>
        </w:rPr>
        <w:t xml:space="preserve">.  </w:t>
      </w:r>
    </w:p>
    <w:p w14:paraId="14FA8993" w14:textId="65E299EF" w:rsidR="006E5E55" w:rsidRPr="0089051B" w:rsidRDefault="00F079E7" w:rsidP="006E5E55">
      <w:pPr>
        <w:ind w:firstLine="720"/>
        <w:jc w:val="both"/>
        <w:rPr>
          <w:rFonts w:ascii="Times New Roman" w:hAnsi="Times New Roman" w:cs="Times New Roman"/>
        </w:rPr>
      </w:pPr>
      <w:r w:rsidRPr="0089051B">
        <w:rPr>
          <w:rFonts w:ascii="Times New Roman" w:hAnsi="Times New Roman" w:cs="Times New Roman"/>
        </w:rPr>
        <w:t xml:space="preserve">And indeed, that feels like a fair reading of the available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and the Court’s likely intentions.  After all: while both types of jurisdiction are to be treated as exceptional and exercised only on a case-by-case basis, the potential scope to adopt decentralised decisions on non-disapplication is curtailed considerably as compared to the potential breadth of the Court’s own competence.  Consider </w:t>
      </w:r>
      <w:r w:rsidR="00115D22" w:rsidRPr="0089051B">
        <w:rPr>
          <w:rFonts w:ascii="Times New Roman" w:hAnsi="Times New Roman" w:cs="Times New Roman"/>
        </w:rPr>
        <w:t xml:space="preserve">the relevance to be attached, under each jurisdiction, to the nature of the public interest which would allegedly be endangered by prospective disapplication and, in particular, the fact that </w:t>
      </w:r>
      <w:r w:rsidRPr="0089051B">
        <w:rPr>
          <w:rFonts w:ascii="Times New Roman" w:hAnsi="Times New Roman" w:cs="Times New Roman"/>
        </w:rPr>
        <w:t xml:space="preserve">the only </w:t>
      </w:r>
      <w:r w:rsidR="00115D22" w:rsidRPr="0089051B">
        <w:rPr>
          <w:rFonts w:ascii="Times New Roman" w:hAnsi="Times New Roman" w:cs="Times New Roman"/>
        </w:rPr>
        <w:t xml:space="preserve">policy objective </w:t>
      </w:r>
      <w:r w:rsidRPr="0089051B">
        <w:rPr>
          <w:rFonts w:ascii="Times New Roman" w:hAnsi="Times New Roman" w:cs="Times New Roman"/>
        </w:rPr>
        <w:t xml:space="preserve">relevant to the exercise of national </w:t>
      </w:r>
      <w:r w:rsidR="00115D22" w:rsidRPr="0089051B">
        <w:rPr>
          <w:rFonts w:ascii="Times New Roman" w:hAnsi="Times New Roman" w:cs="Times New Roman"/>
        </w:rPr>
        <w:t xml:space="preserve">(not Union) </w:t>
      </w:r>
      <w:r w:rsidRPr="0089051B">
        <w:rPr>
          <w:rFonts w:ascii="Times New Roman" w:hAnsi="Times New Roman" w:cs="Times New Roman"/>
        </w:rPr>
        <w:t xml:space="preserve">power </w:t>
      </w:r>
      <w:r w:rsidR="00115D22" w:rsidRPr="0089051B">
        <w:rPr>
          <w:rFonts w:ascii="Times New Roman" w:hAnsi="Times New Roman" w:cs="Times New Roman"/>
        </w:rPr>
        <w:t>consist</w:t>
      </w:r>
      <w:r w:rsidR="003F23C5" w:rsidRPr="0089051B">
        <w:rPr>
          <w:rFonts w:ascii="Times New Roman" w:hAnsi="Times New Roman" w:cs="Times New Roman"/>
        </w:rPr>
        <w:t>s</w:t>
      </w:r>
      <w:r w:rsidR="00115D22" w:rsidRPr="0089051B">
        <w:rPr>
          <w:rFonts w:ascii="Times New Roman" w:hAnsi="Times New Roman" w:cs="Times New Roman"/>
        </w:rPr>
        <w:t xml:space="preserve"> of </w:t>
      </w:r>
      <w:r w:rsidRPr="0089051B">
        <w:rPr>
          <w:rFonts w:ascii="Times New Roman" w:hAnsi="Times New Roman" w:cs="Times New Roman"/>
        </w:rPr>
        <w:t xml:space="preserve">environmental protection.  </w:t>
      </w:r>
      <w:r w:rsidR="00115D22" w:rsidRPr="0089051B">
        <w:rPr>
          <w:rFonts w:ascii="Times New Roman" w:hAnsi="Times New Roman" w:cs="Times New Roman"/>
        </w:rPr>
        <w:t>Taken in isolation</w:t>
      </w:r>
      <w:r w:rsidRPr="0089051B">
        <w:rPr>
          <w:rFonts w:ascii="Times New Roman" w:hAnsi="Times New Roman" w:cs="Times New Roman"/>
        </w:rPr>
        <w:t>, that would hardly provide the basis for a coherent jurisdiction</w:t>
      </w:r>
      <w:r w:rsidR="00115D22" w:rsidRPr="0089051B">
        <w:rPr>
          <w:rFonts w:ascii="Times New Roman" w:hAnsi="Times New Roman" w:cs="Times New Roman"/>
        </w:rPr>
        <w:t xml:space="preserve"> to tackle damaging legal vacuums: the latter are not limited to environmental concerns alone; while environmental protection is only one of the Union’s core objectives and explicit responsibilities.</w:t>
      </w:r>
      <w:r w:rsidR="005D7DEB" w:rsidRPr="0089051B">
        <w:rPr>
          <w:rStyle w:val="FootnoteReference"/>
          <w:rFonts w:ascii="Times New Roman" w:hAnsi="Times New Roman" w:cs="Times New Roman"/>
        </w:rPr>
        <w:footnoteReference w:id="153"/>
      </w:r>
      <w:r w:rsidR="00115D22" w:rsidRPr="0089051B">
        <w:rPr>
          <w:rFonts w:ascii="Times New Roman" w:hAnsi="Times New Roman" w:cs="Times New Roman"/>
        </w:rPr>
        <w:t xml:space="preserve">  But viewed in context, the Court’s choice is much more persuasive: limiting the exercise of national jurisdiction to a single category of public interest challenge acts as an immediate differentiator from the Court’s own general power to suspend the remedy of disapplication.  Similarly, consider the relevance to be attached, under each jurisdiction, to the nature of the Member State’s non-compliance with Union law and, in particular, the fact that the domestic (not Union) judges must be satisfied that the disputed national measure </w:t>
      </w:r>
      <w:proofErr w:type="gramStart"/>
      <w:r w:rsidR="00115D22" w:rsidRPr="0089051B">
        <w:rPr>
          <w:rFonts w:ascii="Times New Roman" w:hAnsi="Times New Roman" w:cs="Times New Roman"/>
        </w:rPr>
        <w:t>may</w:t>
      </w:r>
      <w:proofErr w:type="gramEnd"/>
      <w:r w:rsidR="00115D22" w:rsidRPr="0089051B">
        <w:rPr>
          <w:rFonts w:ascii="Times New Roman" w:hAnsi="Times New Roman" w:cs="Times New Roman"/>
        </w:rPr>
        <w:t xml:space="preserve"> breach one Treaty obligation yet still and at the same time serves to </w:t>
      </w:r>
      <w:r w:rsidR="003F23C5" w:rsidRPr="0089051B">
        <w:rPr>
          <w:rFonts w:ascii="Times New Roman" w:hAnsi="Times New Roman" w:cs="Times New Roman"/>
        </w:rPr>
        <w:t>discharge</w:t>
      </w:r>
      <w:r w:rsidR="00115D22" w:rsidRPr="0089051B">
        <w:rPr>
          <w:rFonts w:ascii="Times New Roman" w:hAnsi="Times New Roman" w:cs="Times New Roman"/>
        </w:rPr>
        <w:t xml:space="preserve"> another.  Again, taken in isolation, that should hardly be a crucial factor in safeguarding against damaging legal vacuums: the latter are just as capable of arising where the public interest is </w:t>
      </w:r>
      <w:r w:rsidR="00705FC5" w:rsidRPr="0089051B">
        <w:rPr>
          <w:rFonts w:ascii="Times New Roman" w:hAnsi="Times New Roman" w:cs="Times New Roman"/>
        </w:rPr>
        <w:t xml:space="preserve">currently </w:t>
      </w:r>
      <w:r w:rsidR="00115D22" w:rsidRPr="0089051B">
        <w:rPr>
          <w:rFonts w:ascii="Times New Roman" w:hAnsi="Times New Roman" w:cs="Times New Roman"/>
        </w:rPr>
        <w:t xml:space="preserve">safeguarded by national regulation as </w:t>
      </w:r>
      <w:r w:rsidR="00705FC5" w:rsidRPr="0089051B">
        <w:rPr>
          <w:rFonts w:ascii="Times New Roman" w:hAnsi="Times New Roman" w:cs="Times New Roman"/>
        </w:rPr>
        <w:t>by Union legislation</w:t>
      </w:r>
      <w:r w:rsidR="00115D22" w:rsidRPr="0089051B">
        <w:rPr>
          <w:rFonts w:ascii="Times New Roman" w:hAnsi="Times New Roman" w:cs="Times New Roman"/>
        </w:rPr>
        <w:t xml:space="preserve">.  But </w:t>
      </w:r>
      <w:r w:rsidR="00705FC5" w:rsidRPr="0089051B">
        <w:rPr>
          <w:rFonts w:ascii="Times New Roman" w:hAnsi="Times New Roman" w:cs="Times New Roman"/>
        </w:rPr>
        <w:t xml:space="preserve">again, </w:t>
      </w:r>
      <w:r w:rsidR="00115D22" w:rsidRPr="0089051B">
        <w:rPr>
          <w:rFonts w:ascii="Times New Roman" w:hAnsi="Times New Roman" w:cs="Times New Roman"/>
        </w:rPr>
        <w:t xml:space="preserve">viewed in </w:t>
      </w:r>
      <w:r w:rsidR="00705FC5" w:rsidRPr="0089051B">
        <w:rPr>
          <w:rFonts w:ascii="Times New Roman" w:hAnsi="Times New Roman" w:cs="Times New Roman"/>
        </w:rPr>
        <w:t xml:space="preserve">its broader </w:t>
      </w:r>
      <w:r w:rsidR="00115D22" w:rsidRPr="0089051B">
        <w:rPr>
          <w:rFonts w:ascii="Times New Roman" w:hAnsi="Times New Roman" w:cs="Times New Roman"/>
        </w:rPr>
        <w:t xml:space="preserve">context, the </w:t>
      </w:r>
      <w:r w:rsidR="00705FC5" w:rsidRPr="0089051B">
        <w:rPr>
          <w:rFonts w:ascii="Times New Roman" w:hAnsi="Times New Roman" w:cs="Times New Roman"/>
        </w:rPr>
        <w:t xml:space="preserve">mandatory condition laid down in </w:t>
      </w:r>
      <w:r w:rsidR="00705FC5" w:rsidRPr="0089051B">
        <w:rPr>
          <w:rFonts w:ascii="Times New Roman" w:hAnsi="Times New Roman" w:cs="Times New Roman"/>
          <w:i/>
        </w:rPr>
        <w:t xml:space="preserve">Association France </w:t>
      </w:r>
      <w:r w:rsidR="00705FC5" w:rsidRPr="0089051B">
        <w:rPr>
          <w:rFonts w:ascii="Times New Roman" w:hAnsi="Times New Roman" w:cs="Times New Roman"/>
        </w:rPr>
        <w:t xml:space="preserve">makes greater sense: it helps allay fears that the national courts are somehow being allowed to “defy” or “reject” the principle of </w:t>
      </w:r>
      <w:r w:rsidR="00B81FD5" w:rsidRPr="0089051B">
        <w:rPr>
          <w:rFonts w:ascii="Times New Roman" w:hAnsi="Times New Roman" w:cs="Times New Roman"/>
        </w:rPr>
        <w:t>primacy</w:t>
      </w:r>
      <w:r w:rsidR="00705FC5" w:rsidRPr="0089051B">
        <w:rPr>
          <w:rFonts w:ascii="Times New Roman" w:hAnsi="Times New Roman" w:cs="Times New Roman"/>
        </w:rPr>
        <w:t xml:space="preserve">, if the possibility </w:t>
      </w:r>
      <w:r w:rsidR="003F23C5" w:rsidRPr="0089051B">
        <w:rPr>
          <w:rFonts w:ascii="Times New Roman" w:hAnsi="Times New Roman" w:cs="Times New Roman"/>
        </w:rPr>
        <w:t xml:space="preserve">of </w:t>
      </w:r>
      <w:r w:rsidR="00705FC5" w:rsidRPr="0089051B">
        <w:rPr>
          <w:rFonts w:ascii="Times New Roman" w:hAnsi="Times New Roman" w:cs="Times New Roman"/>
        </w:rPr>
        <w:t>non-disapplication is actually reserved for situations in which the disputed domestic rules in fact serve to implement another Union obligation;</w:t>
      </w:r>
      <w:r w:rsidR="006B7F32" w:rsidRPr="0089051B">
        <w:rPr>
          <w:rStyle w:val="FootnoteReference"/>
          <w:rFonts w:ascii="Times New Roman" w:hAnsi="Times New Roman" w:cs="Times New Roman"/>
        </w:rPr>
        <w:footnoteReference w:id="154"/>
      </w:r>
      <w:r w:rsidR="00705FC5" w:rsidRPr="0089051B">
        <w:rPr>
          <w:rFonts w:ascii="Times New Roman" w:hAnsi="Times New Roman" w:cs="Times New Roman"/>
        </w:rPr>
        <w:t xml:space="preserve"> but it also </w:t>
      </w:r>
      <w:r w:rsidR="003F23C5" w:rsidRPr="0089051B">
        <w:rPr>
          <w:rFonts w:ascii="Times New Roman" w:hAnsi="Times New Roman" w:cs="Times New Roman"/>
        </w:rPr>
        <w:t>acts</w:t>
      </w:r>
      <w:r w:rsidR="00705FC5" w:rsidRPr="0089051B">
        <w:rPr>
          <w:rFonts w:ascii="Times New Roman" w:hAnsi="Times New Roman" w:cs="Times New Roman"/>
        </w:rPr>
        <w:t xml:space="preserve"> significantly to limit the range of situations in which decentralised competence might genuinely overlap with the Court’s own centralised jurisdiction. </w:t>
      </w:r>
    </w:p>
    <w:p w14:paraId="642B50DF" w14:textId="77777777" w:rsidR="006A4B21" w:rsidRPr="0089051B" w:rsidRDefault="001C20CA" w:rsidP="006E5E55">
      <w:pPr>
        <w:ind w:firstLine="720"/>
        <w:jc w:val="both"/>
        <w:rPr>
          <w:rFonts w:ascii="Times New Roman" w:hAnsi="Times New Roman" w:cs="Times New Roman"/>
        </w:rPr>
      </w:pPr>
      <w:r w:rsidRPr="0089051B">
        <w:rPr>
          <w:rFonts w:ascii="Times New Roman" w:hAnsi="Times New Roman" w:cs="Times New Roman"/>
        </w:rPr>
        <w:t xml:space="preserve">If this is indeed the Court’s intended model, then it has to be said: there is </w:t>
      </w:r>
      <w:proofErr w:type="gramStart"/>
      <w:r w:rsidRPr="0089051B">
        <w:rPr>
          <w:rFonts w:ascii="Times New Roman" w:hAnsi="Times New Roman" w:cs="Times New Roman"/>
        </w:rPr>
        <w:t>still room</w:t>
      </w:r>
      <w:proofErr w:type="gramEnd"/>
      <w:r w:rsidRPr="0089051B">
        <w:rPr>
          <w:rFonts w:ascii="Times New Roman" w:hAnsi="Times New Roman" w:cs="Times New Roman"/>
        </w:rPr>
        <w:t xml:space="preserve"> for the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to deliver greater clarity and consistency.  </w:t>
      </w:r>
      <w:r w:rsidR="00643D1E" w:rsidRPr="0089051B">
        <w:rPr>
          <w:rFonts w:ascii="Times New Roman" w:hAnsi="Times New Roman" w:cs="Times New Roman"/>
        </w:rPr>
        <w:t xml:space="preserve">For example: should the Court also have emphasised more clearly and indeed decisively that both </w:t>
      </w:r>
      <w:r w:rsidR="00643D1E" w:rsidRPr="0089051B">
        <w:rPr>
          <w:rFonts w:ascii="Times New Roman" w:hAnsi="Times New Roman" w:cs="Times New Roman"/>
          <w:i/>
        </w:rPr>
        <w:t>Inter-</w:t>
      </w:r>
      <w:proofErr w:type="spellStart"/>
      <w:r w:rsidR="00643D1E" w:rsidRPr="0089051B">
        <w:rPr>
          <w:rFonts w:ascii="Times New Roman" w:hAnsi="Times New Roman" w:cs="Times New Roman"/>
          <w:i/>
        </w:rPr>
        <w:t>Environnement</w:t>
      </w:r>
      <w:proofErr w:type="spellEnd"/>
      <w:r w:rsidR="00643D1E" w:rsidRPr="0089051B">
        <w:rPr>
          <w:rFonts w:ascii="Times New Roman" w:hAnsi="Times New Roman" w:cs="Times New Roman"/>
          <w:i/>
        </w:rPr>
        <w:t xml:space="preserve"> </w:t>
      </w:r>
      <w:proofErr w:type="spellStart"/>
      <w:r w:rsidR="00643D1E" w:rsidRPr="0089051B">
        <w:rPr>
          <w:rFonts w:ascii="Times New Roman" w:hAnsi="Times New Roman" w:cs="Times New Roman"/>
          <w:i/>
        </w:rPr>
        <w:t>Wallonie</w:t>
      </w:r>
      <w:proofErr w:type="spellEnd"/>
      <w:r w:rsidR="00643D1E" w:rsidRPr="0089051B">
        <w:rPr>
          <w:rFonts w:ascii="Times New Roman" w:hAnsi="Times New Roman" w:cs="Times New Roman"/>
          <w:i/>
        </w:rPr>
        <w:t xml:space="preserve"> </w:t>
      </w:r>
      <w:r w:rsidR="00643D1E" w:rsidRPr="0089051B">
        <w:rPr>
          <w:rFonts w:ascii="Times New Roman" w:hAnsi="Times New Roman" w:cs="Times New Roman"/>
        </w:rPr>
        <w:t xml:space="preserve">and </w:t>
      </w:r>
      <w:r w:rsidR="00643D1E" w:rsidRPr="0089051B">
        <w:rPr>
          <w:rFonts w:ascii="Times New Roman" w:hAnsi="Times New Roman" w:cs="Times New Roman"/>
          <w:i/>
        </w:rPr>
        <w:t xml:space="preserve">Association France </w:t>
      </w:r>
      <w:r w:rsidR="009A5369" w:rsidRPr="0089051B">
        <w:rPr>
          <w:rFonts w:ascii="Times New Roman" w:hAnsi="Times New Roman" w:cs="Times New Roman"/>
        </w:rPr>
        <w:t xml:space="preserve">concerned </w:t>
      </w:r>
      <w:r w:rsidR="0056007F" w:rsidRPr="0089051B">
        <w:rPr>
          <w:rFonts w:ascii="Times New Roman" w:hAnsi="Times New Roman" w:cs="Times New Roman"/>
        </w:rPr>
        <w:t xml:space="preserve">the </w:t>
      </w:r>
      <w:r w:rsidR="009A5369" w:rsidRPr="0089051B">
        <w:rPr>
          <w:rFonts w:ascii="Times New Roman" w:hAnsi="Times New Roman" w:cs="Times New Roman"/>
        </w:rPr>
        <w:t xml:space="preserve">incompatibility </w:t>
      </w:r>
      <w:r w:rsidR="0056007F" w:rsidRPr="0089051B">
        <w:rPr>
          <w:rFonts w:ascii="Times New Roman" w:hAnsi="Times New Roman" w:cs="Times New Roman"/>
        </w:rPr>
        <w:t xml:space="preserve">of national rules with Union legislation </w:t>
      </w:r>
      <w:r w:rsidR="00701E36" w:rsidRPr="0089051B">
        <w:rPr>
          <w:rFonts w:ascii="Times New Roman" w:hAnsi="Times New Roman" w:cs="Times New Roman"/>
        </w:rPr>
        <w:t>(i.e. on environmental impact assessments) which created</w:t>
      </w:r>
      <w:r w:rsidR="0056007F" w:rsidRPr="0089051B">
        <w:rPr>
          <w:rFonts w:ascii="Times New Roman" w:hAnsi="Times New Roman" w:cs="Times New Roman"/>
        </w:rPr>
        <w:t xml:space="preserve"> essentially procedural obligations for the Member State?  </w:t>
      </w:r>
      <w:r w:rsidR="00701E36" w:rsidRPr="0089051B">
        <w:rPr>
          <w:rFonts w:ascii="Times New Roman" w:hAnsi="Times New Roman" w:cs="Times New Roman"/>
        </w:rPr>
        <w:t xml:space="preserve">After all, that could offer another </w:t>
      </w:r>
      <w:r w:rsidR="00CB08A5" w:rsidRPr="0089051B">
        <w:rPr>
          <w:rFonts w:ascii="Times New Roman" w:hAnsi="Times New Roman" w:cs="Times New Roman"/>
        </w:rPr>
        <w:t>useful</w:t>
      </w:r>
      <w:r w:rsidR="00701E36" w:rsidRPr="0089051B">
        <w:rPr>
          <w:rFonts w:ascii="Times New Roman" w:hAnsi="Times New Roman" w:cs="Times New Roman"/>
        </w:rPr>
        <w:t xml:space="preserve"> criterion by which to limit the </w:t>
      </w:r>
      <w:r w:rsidR="00550F92" w:rsidRPr="0089051B">
        <w:rPr>
          <w:rFonts w:ascii="Times New Roman" w:hAnsi="Times New Roman" w:cs="Times New Roman"/>
        </w:rPr>
        <w:t>scope</w:t>
      </w:r>
      <w:r w:rsidR="00701E36" w:rsidRPr="0089051B">
        <w:rPr>
          <w:rFonts w:ascii="Times New Roman" w:hAnsi="Times New Roman" w:cs="Times New Roman"/>
        </w:rPr>
        <w:t xml:space="preserve"> of decentralised competence as compared to the Court’s centralised jurisdiction: we saw </w:t>
      </w:r>
      <w:r w:rsidR="00550F92" w:rsidRPr="0089051B">
        <w:rPr>
          <w:rFonts w:ascii="Times New Roman" w:hAnsi="Times New Roman" w:cs="Times New Roman"/>
        </w:rPr>
        <w:t>above</w:t>
      </w:r>
      <w:r w:rsidR="00701E36" w:rsidRPr="0089051B">
        <w:rPr>
          <w:rFonts w:ascii="Times New Roman" w:hAnsi="Times New Roman" w:cs="Times New Roman"/>
        </w:rPr>
        <w:t xml:space="preserve"> how the latter is available also in respect of non-compliance with substantive</w:t>
      </w:r>
      <w:r w:rsidR="00550F92" w:rsidRPr="0089051B">
        <w:rPr>
          <w:rFonts w:ascii="Times New Roman" w:hAnsi="Times New Roman" w:cs="Times New Roman"/>
        </w:rPr>
        <w:t>, not just procedural,</w:t>
      </w:r>
      <w:r w:rsidR="00701E36" w:rsidRPr="0089051B">
        <w:rPr>
          <w:rFonts w:ascii="Times New Roman" w:hAnsi="Times New Roman" w:cs="Times New Roman"/>
        </w:rPr>
        <w:t xml:space="preserve"> Union obligations.</w:t>
      </w:r>
      <w:r w:rsidR="00701E36" w:rsidRPr="0089051B">
        <w:rPr>
          <w:rStyle w:val="FootnoteReference"/>
          <w:rFonts w:ascii="Times New Roman" w:hAnsi="Times New Roman" w:cs="Times New Roman"/>
        </w:rPr>
        <w:footnoteReference w:id="155"/>
      </w:r>
      <w:r w:rsidR="00701E36" w:rsidRPr="0089051B">
        <w:rPr>
          <w:rFonts w:ascii="Times New Roman" w:hAnsi="Times New Roman" w:cs="Times New Roman"/>
        </w:rPr>
        <w:t xml:space="preserve">  </w:t>
      </w:r>
    </w:p>
    <w:p w14:paraId="6A92495A" w14:textId="6CCA7837" w:rsidR="006E5E55" w:rsidRPr="0089051B" w:rsidRDefault="00701E36" w:rsidP="006E5E55">
      <w:pPr>
        <w:ind w:firstLine="720"/>
        <w:jc w:val="both"/>
        <w:rPr>
          <w:rFonts w:ascii="Times New Roman" w:hAnsi="Times New Roman" w:cs="Times New Roman"/>
        </w:rPr>
      </w:pPr>
      <w:r w:rsidRPr="0089051B">
        <w:rPr>
          <w:rFonts w:ascii="Times New Roman" w:hAnsi="Times New Roman" w:cs="Times New Roman"/>
        </w:rPr>
        <w:lastRenderedPageBreak/>
        <w:t xml:space="preserve">Another example: in contrast to the position set out in </w:t>
      </w:r>
      <w:r w:rsidRPr="0089051B">
        <w:rPr>
          <w:rFonts w:ascii="Times New Roman" w:hAnsi="Times New Roman" w:cs="Times New Roman"/>
          <w:i/>
        </w:rPr>
        <w:t xml:space="preserve">Winner </w:t>
      </w:r>
      <w:proofErr w:type="spellStart"/>
      <w:r w:rsidRPr="0089051B">
        <w:rPr>
          <w:rFonts w:ascii="Times New Roman" w:hAnsi="Times New Roman" w:cs="Times New Roman"/>
          <w:i/>
        </w:rPr>
        <w:t>Wetten</w:t>
      </w:r>
      <w:proofErr w:type="spellEnd"/>
      <w:r w:rsidRPr="0089051B">
        <w:rPr>
          <w:rFonts w:ascii="Times New Roman" w:hAnsi="Times New Roman" w:cs="Times New Roman"/>
          <w:i/>
        </w:rPr>
        <w:t xml:space="preserve"> </w:t>
      </w:r>
      <w:r w:rsidRPr="0089051B">
        <w:rPr>
          <w:rFonts w:ascii="Times New Roman" w:hAnsi="Times New Roman" w:cs="Times New Roman"/>
        </w:rPr>
        <w:t xml:space="preserve">as regards exercise of the Court’s own centralised jurisdiction, the ruling in </w:t>
      </w:r>
      <w:r w:rsidRPr="0089051B">
        <w:rPr>
          <w:rFonts w:ascii="Times New Roman" w:hAnsi="Times New Roman" w:cs="Times New Roman"/>
          <w:i/>
        </w:rPr>
        <w:t xml:space="preserve">Association France </w:t>
      </w:r>
      <w:r w:rsidRPr="0089051B">
        <w:rPr>
          <w:rFonts w:ascii="Times New Roman" w:hAnsi="Times New Roman" w:cs="Times New Roman"/>
        </w:rPr>
        <w:t xml:space="preserve">attached no significance to the fact that the Member State’s infringement should already have been evident from the Court’s existing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Indeed, the disputed national rules appear to have been adopted only after a previous preliminary </w:t>
      </w:r>
      <w:proofErr w:type="gramStart"/>
      <w:r w:rsidRPr="0089051B">
        <w:rPr>
          <w:rFonts w:ascii="Times New Roman" w:hAnsi="Times New Roman" w:cs="Times New Roman"/>
        </w:rPr>
        <w:t xml:space="preserve">ruling </w:t>
      </w:r>
      <w:r w:rsidR="00550F92" w:rsidRPr="0089051B">
        <w:rPr>
          <w:rFonts w:ascii="Times New Roman" w:hAnsi="Times New Roman" w:cs="Times New Roman"/>
        </w:rPr>
        <w:t>which</w:t>
      </w:r>
      <w:proofErr w:type="gramEnd"/>
      <w:r w:rsidR="00550F92" w:rsidRPr="0089051B">
        <w:rPr>
          <w:rFonts w:ascii="Times New Roman" w:hAnsi="Times New Roman" w:cs="Times New Roman"/>
        </w:rPr>
        <w:t xml:space="preserve"> </w:t>
      </w:r>
      <w:r w:rsidRPr="0089051B">
        <w:rPr>
          <w:rFonts w:ascii="Times New Roman" w:hAnsi="Times New Roman" w:cs="Times New Roman"/>
        </w:rPr>
        <w:t xml:space="preserve">made clear they would </w:t>
      </w:r>
      <w:r w:rsidR="00550F92" w:rsidRPr="0089051B">
        <w:rPr>
          <w:rFonts w:ascii="Times New Roman" w:hAnsi="Times New Roman" w:cs="Times New Roman"/>
        </w:rPr>
        <w:t xml:space="preserve">prove </w:t>
      </w:r>
      <w:r w:rsidRPr="0089051B">
        <w:rPr>
          <w:rFonts w:ascii="Times New Roman" w:hAnsi="Times New Roman" w:cs="Times New Roman"/>
        </w:rPr>
        <w:t>incompatible with Union law.</w:t>
      </w:r>
      <w:r w:rsidRPr="0089051B">
        <w:rPr>
          <w:rStyle w:val="FootnoteReference"/>
          <w:rFonts w:ascii="Times New Roman" w:hAnsi="Times New Roman" w:cs="Times New Roman"/>
        </w:rPr>
        <w:footnoteReference w:id="156"/>
      </w:r>
      <w:r w:rsidR="00550F92" w:rsidRPr="0089051B">
        <w:rPr>
          <w:rFonts w:ascii="Times New Roman" w:hAnsi="Times New Roman" w:cs="Times New Roman"/>
        </w:rPr>
        <w:t xml:space="preserve">  Does the Court intend this to be another relevant dividing line between its own competence and that of the national courts?  If so, it is a less obviously useful criterion, given that it could make non-disapplication through recourse to domestic rules more readily available than via the Court itself, opening up precisely the possibility that a request to “restructure” the consequences of incompatibility manages to succeed before the national courts when it would have been doomed to failure under Union law per se. </w:t>
      </w:r>
    </w:p>
    <w:p w14:paraId="47944275" w14:textId="77777777" w:rsidR="006E5E55" w:rsidRPr="0089051B" w:rsidRDefault="00550F92" w:rsidP="006E5E55">
      <w:pPr>
        <w:ind w:firstLine="720"/>
        <w:jc w:val="both"/>
        <w:rPr>
          <w:rFonts w:ascii="Times New Roman" w:hAnsi="Times New Roman" w:cs="Times New Roman"/>
        </w:rPr>
      </w:pPr>
      <w:r w:rsidRPr="0089051B">
        <w:rPr>
          <w:rFonts w:ascii="Times New Roman" w:hAnsi="Times New Roman" w:cs="Times New Roman"/>
        </w:rPr>
        <w:t xml:space="preserve">The second main possibility, when it comes to the future evolution of the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is that the </w:t>
      </w:r>
      <w:r w:rsidR="00EA2F68" w:rsidRPr="0089051B">
        <w:rPr>
          <w:rFonts w:ascii="Times New Roman" w:hAnsi="Times New Roman" w:cs="Times New Roman"/>
        </w:rPr>
        <w:t xml:space="preserve">decentralised </w:t>
      </w:r>
      <w:r w:rsidRPr="0089051B">
        <w:rPr>
          <w:rFonts w:ascii="Times New Roman" w:hAnsi="Times New Roman" w:cs="Times New Roman"/>
        </w:rPr>
        <w:t xml:space="preserve">jurisdiction as described in </w:t>
      </w:r>
      <w:r w:rsidRPr="0089051B">
        <w:rPr>
          <w:rFonts w:ascii="Times New Roman" w:hAnsi="Times New Roman" w:cs="Times New Roman"/>
          <w:i/>
        </w:rPr>
        <w:t xml:space="preserve">Association France </w:t>
      </w:r>
      <w:r w:rsidRPr="0089051B">
        <w:rPr>
          <w:rFonts w:ascii="Times New Roman" w:hAnsi="Times New Roman" w:cs="Times New Roman"/>
        </w:rPr>
        <w:t xml:space="preserve">changes from being an optional extra which sits alongside the Court’s own competence, to act instead as a </w:t>
      </w:r>
      <w:r w:rsidR="00976D48" w:rsidRPr="0089051B">
        <w:rPr>
          <w:rFonts w:ascii="Times New Roman" w:hAnsi="Times New Roman" w:cs="Times New Roman"/>
        </w:rPr>
        <w:t xml:space="preserve">simple </w:t>
      </w:r>
      <w:r w:rsidRPr="0089051B">
        <w:rPr>
          <w:rFonts w:ascii="Times New Roman" w:hAnsi="Times New Roman" w:cs="Times New Roman"/>
        </w:rPr>
        <w:t xml:space="preserve">delegation of power from the Union to the national courts, </w:t>
      </w:r>
      <w:r w:rsidR="00976D48" w:rsidRPr="0089051B">
        <w:rPr>
          <w:rFonts w:ascii="Times New Roman" w:hAnsi="Times New Roman" w:cs="Times New Roman"/>
        </w:rPr>
        <w:t xml:space="preserve">allowing the latter to </w:t>
      </w:r>
      <w:r w:rsidRPr="0089051B">
        <w:rPr>
          <w:rFonts w:ascii="Times New Roman" w:hAnsi="Times New Roman" w:cs="Times New Roman"/>
        </w:rPr>
        <w:t xml:space="preserve">adjudicate </w:t>
      </w:r>
      <w:r w:rsidR="00A96C28" w:rsidRPr="0089051B">
        <w:rPr>
          <w:rFonts w:ascii="Times New Roman" w:hAnsi="Times New Roman" w:cs="Times New Roman"/>
        </w:rPr>
        <w:t xml:space="preserve">directly over requests for non-disapplication in respect of </w:t>
      </w:r>
      <w:r w:rsidR="00EA2F68" w:rsidRPr="0089051B">
        <w:rPr>
          <w:rFonts w:ascii="Times New Roman" w:hAnsi="Times New Roman" w:cs="Times New Roman"/>
        </w:rPr>
        <w:t>specific categories of situation</w:t>
      </w:r>
      <w:r w:rsidR="00A96C28" w:rsidRPr="0089051B">
        <w:rPr>
          <w:rFonts w:ascii="Times New Roman" w:hAnsi="Times New Roman" w:cs="Times New Roman"/>
        </w:rPr>
        <w:t xml:space="preserve">.  </w:t>
      </w:r>
      <w:r w:rsidR="00976D48" w:rsidRPr="0089051B">
        <w:rPr>
          <w:rFonts w:ascii="Times New Roman" w:hAnsi="Times New Roman" w:cs="Times New Roman"/>
        </w:rPr>
        <w:t xml:space="preserve">That would entail a rather different relationship between the two jurisdictions than the one currently suggested by the Court – but such a model could bring distinct benefits.  For example, to declare that the national courts are exercising a delegated Union power in particular fields would immediately eliminate any overlap with the Court’s own functions (and thus any potential for the domestic judges to offer assessments or reach conclusions capable of contradicting or undermining the Court).  Moreover, a model based on delegated Union competence would be capable of gradual expansion, in the light of </w:t>
      </w:r>
      <w:r w:rsidR="003F23C5" w:rsidRPr="0089051B">
        <w:rPr>
          <w:rFonts w:ascii="Times New Roman" w:hAnsi="Times New Roman" w:cs="Times New Roman"/>
        </w:rPr>
        <w:t xml:space="preserve">greater </w:t>
      </w:r>
      <w:r w:rsidR="00976D48" w:rsidRPr="0089051B">
        <w:rPr>
          <w:rFonts w:ascii="Times New Roman" w:hAnsi="Times New Roman" w:cs="Times New Roman"/>
        </w:rPr>
        <w:t xml:space="preserve">experience and mutual trust, so as to cover </w:t>
      </w:r>
      <w:r w:rsidR="00EA2F68" w:rsidRPr="0089051B">
        <w:rPr>
          <w:rFonts w:ascii="Times New Roman" w:hAnsi="Times New Roman" w:cs="Times New Roman"/>
        </w:rPr>
        <w:t xml:space="preserve">broader </w:t>
      </w:r>
      <w:r w:rsidR="00976D48" w:rsidRPr="0089051B">
        <w:rPr>
          <w:rFonts w:ascii="Times New Roman" w:hAnsi="Times New Roman" w:cs="Times New Roman"/>
        </w:rPr>
        <w:t>public interests than environmental protection alone</w:t>
      </w:r>
      <w:r w:rsidR="00881040" w:rsidRPr="0089051B">
        <w:rPr>
          <w:rFonts w:ascii="Times New Roman" w:hAnsi="Times New Roman" w:cs="Times New Roman"/>
        </w:rPr>
        <w:t xml:space="preserve"> and / or </w:t>
      </w:r>
      <w:r w:rsidR="00976D48" w:rsidRPr="0089051B">
        <w:rPr>
          <w:rFonts w:ascii="Times New Roman" w:hAnsi="Times New Roman" w:cs="Times New Roman"/>
        </w:rPr>
        <w:t xml:space="preserve">wider situations than those involving </w:t>
      </w:r>
      <w:r w:rsidR="00881040" w:rsidRPr="0089051B">
        <w:rPr>
          <w:rFonts w:ascii="Times New Roman" w:hAnsi="Times New Roman" w:cs="Times New Roman"/>
        </w:rPr>
        <w:t xml:space="preserve">incidental </w:t>
      </w:r>
      <w:r w:rsidR="00976D48" w:rsidRPr="0089051B">
        <w:rPr>
          <w:rFonts w:ascii="Times New Roman" w:hAnsi="Times New Roman" w:cs="Times New Roman"/>
        </w:rPr>
        <w:t xml:space="preserve">compliance </w:t>
      </w:r>
      <w:r w:rsidR="00881040" w:rsidRPr="0089051B">
        <w:rPr>
          <w:rFonts w:ascii="Times New Roman" w:hAnsi="Times New Roman" w:cs="Times New Roman"/>
        </w:rPr>
        <w:t xml:space="preserve">by the Member State </w:t>
      </w:r>
      <w:r w:rsidR="00976D48" w:rsidRPr="0089051B">
        <w:rPr>
          <w:rFonts w:ascii="Times New Roman" w:hAnsi="Times New Roman" w:cs="Times New Roman"/>
        </w:rPr>
        <w:t xml:space="preserve">with </w:t>
      </w:r>
      <w:r w:rsidR="00881040" w:rsidRPr="0089051B">
        <w:rPr>
          <w:rFonts w:ascii="Times New Roman" w:hAnsi="Times New Roman" w:cs="Times New Roman"/>
        </w:rPr>
        <w:t xml:space="preserve">another Union obligation.  </w:t>
      </w:r>
      <w:r w:rsidR="00EA2F68" w:rsidRPr="0089051B">
        <w:rPr>
          <w:rFonts w:ascii="Times New Roman" w:hAnsi="Times New Roman" w:cs="Times New Roman"/>
        </w:rPr>
        <w:t xml:space="preserve"> </w:t>
      </w:r>
    </w:p>
    <w:p w14:paraId="2E72C3D4" w14:textId="2673687C" w:rsidR="006A4B21" w:rsidRPr="0089051B" w:rsidRDefault="00881040" w:rsidP="006E5E55">
      <w:pPr>
        <w:ind w:firstLine="720"/>
        <w:jc w:val="both"/>
        <w:rPr>
          <w:rFonts w:ascii="Times New Roman" w:hAnsi="Times New Roman" w:cs="Times New Roman"/>
        </w:rPr>
      </w:pPr>
      <w:r w:rsidRPr="0089051B">
        <w:rPr>
          <w:rFonts w:ascii="Times New Roman" w:hAnsi="Times New Roman" w:cs="Times New Roman"/>
        </w:rPr>
        <w:t xml:space="preserve">But if this proves to be the Court’s preferred direction for the future evolution of the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on limits to </w:t>
      </w:r>
      <w:r w:rsidR="00B81FD5" w:rsidRPr="0089051B">
        <w:rPr>
          <w:rFonts w:ascii="Times New Roman" w:hAnsi="Times New Roman" w:cs="Times New Roman"/>
        </w:rPr>
        <w:t>primacy</w:t>
      </w:r>
      <w:r w:rsidRPr="0089051B">
        <w:rPr>
          <w:rFonts w:ascii="Times New Roman" w:hAnsi="Times New Roman" w:cs="Times New Roman"/>
        </w:rPr>
        <w:t xml:space="preserve"> and disapplication in the case of damaging legal vacuums, then there </w:t>
      </w:r>
      <w:r w:rsidR="003B1F4C" w:rsidRPr="0089051B">
        <w:rPr>
          <w:rFonts w:ascii="Times New Roman" w:hAnsi="Times New Roman" w:cs="Times New Roman"/>
        </w:rPr>
        <w:t xml:space="preserve">would again </w:t>
      </w:r>
      <w:r w:rsidRPr="0089051B">
        <w:rPr>
          <w:rFonts w:ascii="Times New Roman" w:hAnsi="Times New Roman" w:cs="Times New Roman"/>
        </w:rPr>
        <w:t xml:space="preserve">be </w:t>
      </w:r>
      <w:r w:rsidR="003B1F4C" w:rsidRPr="0089051B">
        <w:rPr>
          <w:rFonts w:ascii="Times New Roman" w:hAnsi="Times New Roman" w:cs="Times New Roman"/>
        </w:rPr>
        <w:t xml:space="preserve">certain </w:t>
      </w:r>
      <w:r w:rsidR="00F03B17" w:rsidRPr="0089051B">
        <w:rPr>
          <w:rFonts w:ascii="Times New Roman" w:hAnsi="Times New Roman" w:cs="Times New Roman"/>
        </w:rPr>
        <w:t>questions</w:t>
      </w:r>
      <w:r w:rsidRPr="0089051B">
        <w:rPr>
          <w:rFonts w:ascii="Times New Roman" w:hAnsi="Times New Roman" w:cs="Times New Roman"/>
        </w:rPr>
        <w:t xml:space="preserve"> and </w:t>
      </w:r>
      <w:r w:rsidR="00F03B17" w:rsidRPr="0089051B">
        <w:rPr>
          <w:rFonts w:ascii="Times New Roman" w:hAnsi="Times New Roman" w:cs="Times New Roman"/>
        </w:rPr>
        <w:t xml:space="preserve">potential </w:t>
      </w:r>
      <w:r w:rsidRPr="0089051B">
        <w:rPr>
          <w:rFonts w:ascii="Times New Roman" w:hAnsi="Times New Roman" w:cs="Times New Roman"/>
        </w:rPr>
        <w:t xml:space="preserve">inconsistencies to </w:t>
      </w:r>
      <w:r w:rsidR="003B1F4C" w:rsidRPr="0089051B">
        <w:rPr>
          <w:rFonts w:ascii="Times New Roman" w:hAnsi="Times New Roman" w:cs="Times New Roman"/>
        </w:rPr>
        <w:t>address</w:t>
      </w:r>
      <w:r w:rsidRPr="0089051B">
        <w:rPr>
          <w:rFonts w:ascii="Times New Roman" w:hAnsi="Times New Roman" w:cs="Times New Roman"/>
        </w:rPr>
        <w:t xml:space="preserve">.  </w:t>
      </w:r>
      <w:r w:rsidR="003B1F4C" w:rsidRPr="0089051B">
        <w:rPr>
          <w:rFonts w:ascii="Times New Roman" w:hAnsi="Times New Roman" w:cs="Times New Roman"/>
        </w:rPr>
        <w:t xml:space="preserve">For example: it would no longer seem appropriate for the Court to leave it to each individual Member State to decide whether or not its courts should enjoy the competence to grant a “stay of execution” in respect of incompatible national rules: if this really is a delegated Union power, intended to serve a valid public interest, then the uniformity and effectiveness of Union law would be better served by </w:t>
      </w:r>
      <w:r w:rsidR="00F03B17" w:rsidRPr="0089051B">
        <w:rPr>
          <w:rFonts w:ascii="Times New Roman" w:hAnsi="Times New Roman" w:cs="Times New Roman"/>
        </w:rPr>
        <w:t>declaring that all national courts are entitled to exercise the same decentralised jurisdiction as regards the same categories of dispute and under the same conditions</w:t>
      </w:r>
      <w:r w:rsidR="003B1F4C" w:rsidRPr="0089051B">
        <w:rPr>
          <w:rFonts w:ascii="Times New Roman" w:hAnsi="Times New Roman" w:cs="Times New Roman"/>
        </w:rPr>
        <w:t>.</w:t>
      </w:r>
      <w:r w:rsidR="003B1F4C" w:rsidRPr="0089051B">
        <w:rPr>
          <w:rStyle w:val="FootnoteReference"/>
          <w:rFonts w:ascii="Times New Roman" w:hAnsi="Times New Roman" w:cs="Times New Roman"/>
        </w:rPr>
        <w:footnoteReference w:id="157"/>
      </w:r>
      <w:r w:rsidR="003B1F4C" w:rsidRPr="0089051B">
        <w:rPr>
          <w:rFonts w:ascii="Times New Roman" w:hAnsi="Times New Roman" w:cs="Times New Roman"/>
        </w:rPr>
        <w:t xml:space="preserve">  </w:t>
      </w:r>
    </w:p>
    <w:p w14:paraId="3DE2AF38" w14:textId="16D7B340" w:rsidR="006E5E55" w:rsidRPr="0089051B" w:rsidRDefault="00F03B17" w:rsidP="006E5E55">
      <w:pPr>
        <w:ind w:firstLine="720"/>
        <w:jc w:val="both"/>
        <w:rPr>
          <w:rFonts w:ascii="Times New Roman" w:hAnsi="Times New Roman" w:cs="Times New Roman"/>
        </w:rPr>
      </w:pPr>
      <w:r w:rsidRPr="0089051B">
        <w:rPr>
          <w:rFonts w:ascii="Times New Roman" w:hAnsi="Times New Roman" w:cs="Times New Roman"/>
        </w:rPr>
        <w:t xml:space="preserve">Similarly, to regard both the Court and the domestic judges as exercising the same essential competence, albeit through different and complementary institutional frameworks, would increase the pressure for the criteria governing non-disapplication to be harmonised across each jurisdiction.  Should the Court also explicitly take into account factors (inspired from </w:t>
      </w:r>
      <w:r w:rsidRPr="0089051B">
        <w:rPr>
          <w:rFonts w:ascii="Times New Roman" w:hAnsi="Times New Roman" w:cs="Times New Roman"/>
          <w:i/>
        </w:rPr>
        <w:t>Inter-</w:t>
      </w:r>
      <w:proofErr w:type="spellStart"/>
      <w:r w:rsidRPr="0089051B">
        <w:rPr>
          <w:rFonts w:ascii="Times New Roman" w:hAnsi="Times New Roman" w:cs="Times New Roman"/>
          <w:i/>
        </w:rPr>
        <w:t>Environnement</w:t>
      </w:r>
      <w:proofErr w:type="spellEnd"/>
      <w:r w:rsidRPr="0089051B">
        <w:rPr>
          <w:rFonts w:ascii="Times New Roman" w:hAnsi="Times New Roman" w:cs="Times New Roman"/>
          <w:i/>
        </w:rPr>
        <w:t xml:space="preserve"> </w:t>
      </w:r>
      <w:proofErr w:type="spellStart"/>
      <w:r w:rsidRPr="0089051B">
        <w:rPr>
          <w:rFonts w:ascii="Times New Roman" w:hAnsi="Times New Roman" w:cs="Times New Roman"/>
          <w:i/>
        </w:rPr>
        <w:t>Wallonie</w:t>
      </w:r>
      <w:proofErr w:type="spellEnd"/>
      <w:r w:rsidRPr="0089051B">
        <w:rPr>
          <w:rFonts w:ascii="Times New Roman" w:hAnsi="Times New Roman" w:cs="Times New Roman"/>
          <w:i/>
        </w:rPr>
        <w:t xml:space="preserve"> </w:t>
      </w:r>
      <w:r w:rsidRPr="0089051B">
        <w:rPr>
          <w:rFonts w:ascii="Times New Roman" w:hAnsi="Times New Roman" w:cs="Times New Roman"/>
        </w:rPr>
        <w:t xml:space="preserve">and </w:t>
      </w:r>
      <w:r w:rsidRPr="0089051B">
        <w:rPr>
          <w:rFonts w:ascii="Times New Roman" w:hAnsi="Times New Roman" w:cs="Times New Roman"/>
          <w:i/>
        </w:rPr>
        <w:t xml:space="preserve">Association </w:t>
      </w:r>
      <w:r w:rsidRPr="0089051B">
        <w:rPr>
          <w:rFonts w:ascii="Times New Roman" w:hAnsi="Times New Roman" w:cs="Times New Roman"/>
          <w:i/>
        </w:rPr>
        <w:lastRenderedPageBreak/>
        <w:t>France</w:t>
      </w:r>
      <w:r w:rsidRPr="0089051B">
        <w:rPr>
          <w:rFonts w:ascii="Times New Roman" w:hAnsi="Times New Roman" w:cs="Times New Roman"/>
        </w:rPr>
        <w:t xml:space="preserve">) such as whether </w:t>
      </w:r>
      <w:r w:rsidR="00F27B02" w:rsidRPr="0089051B">
        <w:rPr>
          <w:rFonts w:ascii="Times New Roman" w:hAnsi="Times New Roman" w:cs="Times New Roman"/>
        </w:rPr>
        <w:t xml:space="preserve">the </w:t>
      </w:r>
      <w:r w:rsidRPr="0089051B">
        <w:rPr>
          <w:rFonts w:ascii="Times New Roman" w:hAnsi="Times New Roman" w:cs="Times New Roman"/>
        </w:rPr>
        <w:t xml:space="preserve">subsequent </w:t>
      </w:r>
      <w:r w:rsidR="00F27B02" w:rsidRPr="0089051B">
        <w:rPr>
          <w:rFonts w:ascii="Times New Roman" w:hAnsi="Times New Roman" w:cs="Times New Roman"/>
        </w:rPr>
        <w:t xml:space="preserve">adoption of </w:t>
      </w:r>
      <w:r w:rsidRPr="0089051B">
        <w:rPr>
          <w:rFonts w:ascii="Times New Roman" w:hAnsi="Times New Roman" w:cs="Times New Roman"/>
        </w:rPr>
        <w:t xml:space="preserve">fully compliant measures </w:t>
      </w:r>
      <w:r w:rsidR="00F27B02" w:rsidRPr="0089051B">
        <w:rPr>
          <w:rFonts w:ascii="Times New Roman" w:hAnsi="Times New Roman" w:cs="Times New Roman"/>
        </w:rPr>
        <w:t xml:space="preserve">would be sufficient to undo </w:t>
      </w:r>
      <w:r w:rsidRPr="0089051B">
        <w:rPr>
          <w:rFonts w:ascii="Times New Roman" w:hAnsi="Times New Roman" w:cs="Times New Roman"/>
        </w:rPr>
        <w:t xml:space="preserve">the harmful </w:t>
      </w:r>
      <w:r w:rsidR="00F27B02" w:rsidRPr="0089051B">
        <w:rPr>
          <w:rFonts w:ascii="Times New Roman" w:hAnsi="Times New Roman" w:cs="Times New Roman"/>
        </w:rPr>
        <w:t>impacts</w:t>
      </w:r>
      <w:r w:rsidRPr="0089051B">
        <w:rPr>
          <w:rFonts w:ascii="Times New Roman" w:hAnsi="Times New Roman" w:cs="Times New Roman"/>
        </w:rPr>
        <w:t xml:space="preserve"> of immediate disapplication of the existing national rules?  But equally: should the national courts be able to suspend the full prospective effects of </w:t>
      </w:r>
      <w:r w:rsidR="00B81FD5" w:rsidRPr="0089051B">
        <w:rPr>
          <w:rFonts w:ascii="Times New Roman" w:hAnsi="Times New Roman" w:cs="Times New Roman"/>
        </w:rPr>
        <w:t>primacy</w:t>
      </w:r>
      <w:r w:rsidRPr="0089051B">
        <w:rPr>
          <w:rFonts w:ascii="Times New Roman" w:hAnsi="Times New Roman" w:cs="Times New Roman"/>
        </w:rPr>
        <w:t xml:space="preserve"> when the Court itself would refuse to do so, because the current state incompatibility was entirely obvious from existing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w:t>
      </w:r>
      <w:r w:rsidR="003F23C5" w:rsidRPr="0089051B">
        <w:rPr>
          <w:rFonts w:ascii="Times New Roman" w:hAnsi="Times New Roman" w:cs="Times New Roman"/>
        </w:rPr>
        <w:t>and the latter</w:t>
      </w:r>
      <w:r w:rsidRPr="0089051B">
        <w:rPr>
          <w:rFonts w:ascii="Times New Roman" w:hAnsi="Times New Roman" w:cs="Times New Roman"/>
        </w:rPr>
        <w:t xml:space="preserve"> had not been subject to a</w:t>
      </w:r>
      <w:r w:rsidR="003F23C5" w:rsidRPr="0089051B">
        <w:rPr>
          <w:rFonts w:ascii="Times New Roman" w:hAnsi="Times New Roman" w:cs="Times New Roman"/>
        </w:rPr>
        <w:t>ny</w:t>
      </w:r>
      <w:r w:rsidRPr="0089051B">
        <w:rPr>
          <w:rFonts w:ascii="Times New Roman" w:hAnsi="Times New Roman" w:cs="Times New Roman"/>
        </w:rPr>
        <w:t xml:space="preserve"> relevant temporal limitation?  </w:t>
      </w:r>
    </w:p>
    <w:p w14:paraId="0FA3AC49" w14:textId="44D2D34E" w:rsidR="006E5E55" w:rsidRPr="0089051B" w:rsidRDefault="00F03B17" w:rsidP="006E5E55">
      <w:pPr>
        <w:ind w:firstLine="720"/>
        <w:jc w:val="both"/>
        <w:rPr>
          <w:rFonts w:ascii="Times New Roman" w:hAnsi="Times New Roman" w:cs="Times New Roman"/>
        </w:rPr>
      </w:pPr>
      <w:r w:rsidRPr="0089051B">
        <w:rPr>
          <w:rFonts w:ascii="Times New Roman" w:hAnsi="Times New Roman" w:cs="Times New Roman"/>
        </w:rPr>
        <w:t xml:space="preserve">In any case, regardless of whether the Court decides to continue treating the two jurisdictions as </w:t>
      </w:r>
      <w:r w:rsidR="00F27B02" w:rsidRPr="0089051B">
        <w:rPr>
          <w:rFonts w:ascii="Times New Roman" w:hAnsi="Times New Roman" w:cs="Times New Roman"/>
        </w:rPr>
        <w:t xml:space="preserve">substantively </w:t>
      </w:r>
      <w:r w:rsidR="005A1759" w:rsidRPr="0089051B">
        <w:rPr>
          <w:rFonts w:ascii="Times New Roman" w:hAnsi="Times New Roman" w:cs="Times New Roman"/>
        </w:rPr>
        <w:t>distinct</w:t>
      </w:r>
      <w:r w:rsidRPr="0089051B">
        <w:rPr>
          <w:rFonts w:ascii="Times New Roman" w:hAnsi="Times New Roman" w:cs="Times New Roman"/>
        </w:rPr>
        <w:t xml:space="preserve"> </w:t>
      </w:r>
      <w:r w:rsidR="005A1759" w:rsidRPr="0089051B">
        <w:rPr>
          <w:rFonts w:ascii="Times New Roman" w:hAnsi="Times New Roman" w:cs="Times New Roman"/>
        </w:rPr>
        <w:t xml:space="preserve">and </w:t>
      </w:r>
      <w:r w:rsidR="00F27B02" w:rsidRPr="0089051B">
        <w:rPr>
          <w:rFonts w:ascii="Times New Roman" w:hAnsi="Times New Roman" w:cs="Times New Roman"/>
        </w:rPr>
        <w:t xml:space="preserve">institutionally </w:t>
      </w:r>
      <w:r w:rsidRPr="0089051B">
        <w:rPr>
          <w:rFonts w:ascii="Times New Roman" w:hAnsi="Times New Roman" w:cs="Times New Roman"/>
        </w:rPr>
        <w:t>parallel</w:t>
      </w:r>
      <w:r w:rsidR="00F27B02" w:rsidRPr="0089051B">
        <w:rPr>
          <w:rFonts w:ascii="Times New Roman" w:hAnsi="Times New Roman" w:cs="Times New Roman"/>
        </w:rPr>
        <w:t>,</w:t>
      </w:r>
      <w:r w:rsidRPr="0089051B">
        <w:rPr>
          <w:rFonts w:ascii="Times New Roman" w:hAnsi="Times New Roman" w:cs="Times New Roman"/>
        </w:rPr>
        <w:t xml:space="preserve"> or instead begins to treat them as </w:t>
      </w:r>
      <w:r w:rsidR="00F27B02" w:rsidRPr="0089051B">
        <w:rPr>
          <w:rFonts w:ascii="Times New Roman" w:hAnsi="Times New Roman" w:cs="Times New Roman"/>
        </w:rPr>
        <w:t xml:space="preserve">institutionally </w:t>
      </w:r>
      <w:r w:rsidR="005A1759" w:rsidRPr="0089051B">
        <w:rPr>
          <w:rFonts w:ascii="Times New Roman" w:hAnsi="Times New Roman" w:cs="Times New Roman"/>
        </w:rPr>
        <w:t xml:space="preserve">separate </w:t>
      </w:r>
      <w:r w:rsidR="00F27B02" w:rsidRPr="0089051B">
        <w:rPr>
          <w:rFonts w:ascii="Times New Roman" w:hAnsi="Times New Roman" w:cs="Times New Roman"/>
        </w:rPr>
        <w:t xml:space="preserve">but substantively unitary, future </w:t>
      </w:r>
      <w:proofErr w:type="spellStart"/>
      <w:r w:rsidR="00F27B02" w:rsidRPr="0089051B">
        <w:rPr>
          <w:rFonts w:ascii="Times New Roman" w:hAnsi="Times New Roman" w:cs="Times New Roman"/>
        </w:rPr>
        <w:t>caselaw</w:t>
      </w:r>
      <w:proofErr w:type="spellEnd"/>
      <w:r w:rsidR="00F27B02" w:rsidRPr="0089051B">
        <w:rPr>
          <w:rFonts w:ascii="Times New Roman" w:hAnsi="Times New Roman" w:cs="Times New Roman"/>
        </w:rPr>
        <w:t xml:space="preserve"> will surely have to explore various </w:t>
      </w:r>
      <w:r w:rsidR="004963D4" w:rsidRPr="0089051B">
        <w:rPr>
          <w:rFonts w:ascii="Times New Roman" w:hAnsi="Times New Roman" w:cs="Times New Roman"/>
        </w:rPr>
        <w:t xml:space="preserve">common </w:t>
      </w:r>
      <w:r w:rsidR="00F27B02" w:rsidRPr="0089051B">
        <w:rPr>
          <w:rFonts w:ascii="Times New Roman" w:hAnsi="Times New Roman" w:cs="Times New Roman"/>
        </w:rPr>
        <w:t xml:space="preserve">issues which remain as yet lacking in </w:t>
      </w:r>
      <w:r w:rsidR="005A1759" w:rsidRPr="0089051B">
        <w:rPr>
          <w:rFonts w:ascii="Times New Roman" w:hAnsi="Times New Roman" w:cs="Times New Roman"/>
        </w:rPr>
        <w:t xml:space="preserve">sufficient </w:t>
      </w:r>
      <w:r w:rsidR="00F27B02" w:rsidRPr="0089051B">
        <w:rPr>
          <w:rFonts w:ascii="Times New Roman" w:hAnsi="Times New Roman" w:cs="Times New Roman"/>
        </w:rPr>
        <w:t xml:space="preserve">clarity.  </w:t>
      </w:r>
      <w:r w:rsidR="00E90785" w:rsidRPr="0089051B">
        <w:rPr>
          <w:rFonts w:ascii="Times New Roman" w:hAnsi="Times New Roman" w:cs="Times New Roman"/>
        </w:rPr>
        <w:t xml:space="preserve">For example: </w:t>
      </w:r>
      <w:r w:rsidR="00F27B02" w:rsidRPr="0089051B">
        <w:rPr>
          <w:rFonts w:ascii="Times New Roman" w:hAnsi="Times New Roman" w:cs="Times New Roman"/>
        </w:rPr>
        <w:t xml:space="preserve">how far </w:t>
      </w:r>
      <w:r w:rsidR="00E90785" w:rsidRPr="0089051B">
        <w:rPr>
          <w:rFonts w:ascii="Times New Roman" w:hAnsi="Times New Roman" w:cs="Times New Roman"/>
        </w:rPr>
        <w:t>should it be possible,</w:t>
      </w:r>
      <w:r w:rsidR="00F27B02" w:rsidRPr="0089051B">
        <w:rPr>
          <w:rFonts w:ascii="Times New Roman" w:hAnsi="Times New Roman" w:cs="Times New Roman"/>
        </w:rPr>
        <w:t xml:space="preserve"> </w:t>
      </w:r>
      <w:r w:rsidR="00E90785" w:rsidRPr="0089051B">
        <w:rPr>
          <w:rFonts w:ascii="Times New Roman" w:hAnsi="Times New Roman" w:cs="Times New Roman"/>
        </w:rPr>
        <w:t xml:space="preserve">and how far would it be appropriate, for the Court and / or the national judges to explore alternative solutions to the risk of a damaging legal vacuum, such as the potential </w:t>
      </w:r>
      <w:r w:rsidR="00F27B02" w:rsidRPr="0089051B">
        <w:rPr>
          <w:rFonts w:ascii="Times New Roman" w:hAnsi="Times New Roman" w:cs="Times New Roman"/>
        </w:rPr>
        <w:t>sever</w:t>
      </w:r>
      <w:r w:rsidR="00E90785" w:rsidRPr="0089051B">
        <w:rPr>
          <w:rFonts w:ascii="Times New Roman" w:hAnsi="Times New Roman" w:cs="Times New Roman"/>
        </w:rPr>
        <w:t>ance and disapplication</w:t>
      </w:r>
      <w:r w:rsidR="00F27B02" w:rsidRPr="0089051B">
        <w:rPr>
          <w:rFonts w:ascii="Times New Roman" w:hAnsi="Times New Roman" w:cs="Times New Roman"/>
        </w:rPr>
        <w:t xml:space="preserve"> only </w:t>
      </w:r>
      <w:r w:rsidR="00E90785" w:rsidRPr="0089051B">
        <w:rPr>
          <w:rFonts w:ascii="Times New Roman" w:hAnsi="Times New Roman" w:cs="Times New Roman"/>
        </w:rPr>
        <w:t xml:space="preserve">of </w:t>
      </w:r>
      <w:r w:rsidR="00F27B02" w:rsidRPr="0089051B">
        <w:rPr>
          <w:rFonts w:ascii="Times New Roman" w:hAnsi="Times New Roman" w:cs="Times New Roman"/>
        </w:rPr>
        <w:t xml:space="preserve">the defective elements of </w:t>
      </w:r>
      <w:r w:rsidR="00E90785" w:rsidRPr="0089051B">
        <w:rPr>
          <w:rFonts w:ascii="Times New Roman" w:hAnsi="Times New Roman" w:cs="Times New Roman"/>
        </w:rPr>
        <w:t>any given national regulatory regime</w:t>
      </w:r>
      <w:r w:rsidR="00E46748" w:rsidRPr="0089051B">
        <w:rPr>
          <w:rFonts w:ascii="Times New Roman" w:hAnsi="Times New Roman" w:cs="Times New Roman"/>
        </w:rPr>
        <w:t>,</w:t>
      </w:r>
      <w:r w:rsidR="00F27B02" w:rsidRPr="0089051B">
        <w:rPr>
          <w:rFonts w:ascii="Times New Roman" w:hAnsi="Times New Roman" w:cs="Times New Roman"/>
        </w:rPr>
        <w:t xml:space="preserve"> </w:t>
      </w:r>
      <w:r w:rsidR="00E46748" w:rsidRPr="0089051B">
        <w:rPr>
          <w:rFonts w:ascii="Times New Roman" w:hAnsi="Times New Roman" w:cs="Times New Roman"/>
        </w:rPr>
        <w:t>whilst</w:t>
      </w:r>
      <w:r w:rsidR="00E90785" w:rsidRPr="0089051B">
        <w:rPr>
          <w:rFonts w:ascii="Times New Roman" w:hAnsi="Times New Roman" w:cs="Times New Roman"/>
        </w:rPr>
        <w:t xml:space="preserve"> </w:t>
      </w:r>
      <w:r w:rsidR="00E46748" w:rsidRPr="0089051B">
        <w:rPr>
          <w:rFonts w:ascii="Times New Roman" w:hAnsi="Times New Roman" w:cs="Times New Roman"/>
        </w:rPr>
        <w:t xml:space="preserve">leaving </w:t>
      </w:r>
      <w:r w:rsidR="00F27B02" w:rsidRPr="0089051B">
        <w:rPr>
          <w:rFonts w:ascii="Times New Roman" w:hAnsi="Times New Roman" w:cs="Times New Roman"/>
        </w:rPr>
        <w:t>the remainder both intact and fully operational</w:t>
      </w:r>
      <w:r w:rsidR="003F23C5" w:rsidRPr="0089051B">
        <w:rPr>
          <w:rFonts w:ascii="Times New Roman" w:hAnsi="Times New Roman" w:cs="Times New Roman"/>
        </w:rPr>
        <w:t>?</w:t>
      </w:r>
      <w:r w:rsidR="003F23C5" w:rsidRPr="0089051B">
        <w:rPr>
          <w:rStyle w:val="FootnoteReference"/>
          <w:rFonts w:ascii="Times New Roman" w:hAnsi="Times New Roman" w:cs="Times New Roman"/>
        </w:rPr>
        <w:footnoteReference w:id="158"/>
      </w:r>
      <w:r w:rsidR="00E46748" w:rsidRPr="0089051B">
        <w:rPr>
          <w:rFonts w:ascii="Times New Roman" w:hAnsi="Times New Roman" w:cs="Times New Roman"/>
        </w:rPr>
        <w:t xml:space="preserve"> </w:t>
      </w:r>
    </w:p>
    <w:p w14:paraId="20DFF28D" w14:textId="6701349F" w:rsidR="006E5E55" w:rsidRPr="0089051B" w:rsidRDefault="00E46748" w:rsidP="006E5E55">
      <w:pPr>
        <w:ind w:firstLine="720"/>
        <w:jc w:val="both"/>
        <w:rPr>
          <w:rFonts w:ascii="Times New Roman" w:hAnsi="Times New Roman" w:cs="Times New Roman"/>
        </w:rPr>
      </w:pPr>
      <w:r w:rsidRPr="0089051B">
        <w:rPr>
          <w:rFonts w:ascii="Times New Roman" w:hAnsi="Times New Roman" w:cs="Times New Roman"/>
        </w:rPr>
        <w:t xml:space="preserve">Or again: how might the competence to suspend full disapplication be fruitfully combined with the duty of sincere </w:t>
      </w:r>
      <w:r w:rsidR="00740D09" w:rsidRPr="0089051B">
        <w:rPr>
          <w:rFonts w:ascii="Times New Roman" w:hAnsi="Times New Roman" w:cs="Times New Roman"/>
        </w:rPr>
        <w:t>cooperation</w:t>
      </w:r>
      <w:r w:rsidRPr="0089051B">
        <w:rPr>
          <w:rFonts w:ascii="Times New Roman" w:hAnsi="Times New Roman" w:cs="Times New Roman"/>
        </w:rPr>
        <w:t>, so as to limit the associated risks to the uniformity and effectiveness of Union law</w:t>
      </w:r>
      <w:r w:rsidR="00740D09" w:rsidRPr="0089051B">
        <w:rPr>
          <w:rFonts w:ascii="Times New Roman" w:hAnsi="Times New Roman" w:cs="Times New Roman"/>
        </w:rPr>
        <w:t>?</w:t>
      </w:r>
      <w:r w:rsidRPr="0089051B">
        <w:rPr>
          <w:rFonts w:ascii="Times New Roman" w:hAnsi="Times New Roman" w:cs="Times New Roman"/>
        </w:rPr>
        <w:t xml:space="preserve">  </w:t>
      </w:r>
      <w:r w:rsidR="00740D09" w:rsidRPr="0089051B">
        <w:rPr>
          <w:rFonts w:ascii="Times New Roman" w:hAnsi="Times New Roman" w:cs="Times New Roman"/>
        </w:rPr>
        <w:t xml:space="preserve">As regards </w:t>
      </w:r>
      <w:r w:rsidRPr="0089051B">
        <w:rPr>
          <w:rFonts w:ascii="Times New Roman" w:hAnsi="Times New Roman" w:cs="Times New Roman"/>
        </w:rPr>
        <w:t xml:space="preserve">the </w:t>
      </w:r>
      <w:r w:rsidR="00740D09" w:rsidRPr="0089051B">
        <w:rPr>
          <w:rFonts w:ascii="Times New Roman" w:hAnsi="Times New Roman" w:cs="Times New Roman"/>
        </w:rPr>
        <w:t xml:space="preserve">national courts, </w:t>
      </w:r>
      <w:r w:rsidRPr="0089051B">
        <w:rPr>
          <w:rFonts w:ascii="Times New Roman" w:hAnsi="Times New Roman" w:cs="Times New Roman"/>
        </w:rPr>
        <w:t xml:space="preserve">the basic </w:t>
      </w:r>
      <w:r w:rsidR="00740D09" w:rsidRPr="0089051B">
        <w:rPr>
          <w:rFonts w:ascii="Times New Roman" w:hAnsi="Times New Roman" w:cs="Times New Roman"/>
        </w:rPr>
        <w:t xml:space="preserve">position is already fairly clear: </w:t>
      </w:r>
      <w:r w:rsidRPr="0089051B">
        <w:rPr>
          <w:rFonts w:ascii="Times New Roman" w:hAnsi="Times New Roman" w:cs="Times New Roman"/>
        </w:rPr>
        <w:t xml:space="preserve">if a domestic judge wishes to avail of the Court’s </w:t>
      </w:r>
      <w:r w:rsidR="00740D09" w:rsidRPr="0089051B">
        <w:rPr>
          <w:rFonts w:ascii="Times New Roman" w:hAnsi="Times New Roman" w:cs="Times New Roman"/>
        </w:rPr>
        <w:t xml:space="preserve">centralised jurisdiction, </w:t>
      </w:r>
      <w:r w:rsidRPr="0089051B">
        <w:rPr>
          <w:rFonts w:ascii="Times New Roman" w:hAnsi="Times New Roman" w:cs="Times New Roman"/>
        </w:rPr>
        <w:t xml:space="preserve">that will require a </w:t>
      </w:r>
      <w:r w:rsidR="00740D09" w:rsidRPr="0089051B">
        <w:rPr>
          <w:rFonts w:ascii="Times New Roman" w:hAnsi="Times New Roman" w:cs="Times New Roman"/>
        </w:rPr>
        <w:t>preliminary reference</w:t>
      </w:r>
      <w:r w:rsidRPr="0089051B">
        <w:rPr>
          <w:rFonts w:ascii="Times New Roman" w:hAnsi="Times New Roman" w:cs="Times New Roman"/>
        </w:rPr>
        <w:t xml:space="preserve">, not dissimilar to the position as regards challenges to the validity of Union acts since the ruling in </w:t>
      </w:r>
      <w:proofErr w:type="spellStart"/>
      <w:r w:rsidR="00740D09" w:rsidRPr="0089051B">
        <w:rPr>
          <w:rFonts w:ascii="Times New Roman" w:hAnsi="Times New Roman" w:cs="Times New Roman"/>
          <w:i/>
        </w:rPr>
        <w:t>Foto</w:t>
      </w:r>
      <w:proofErr w:type="spellEnd"/>
      <w:r w:rsidR="002059CE" w:rsidRPr="0089051B">
        <w:rPr>
          <w:rFonts w:ascii="Times New Roman" w:hAnsi="Times New Roman" w:cs="Times New Roman"/>
          <w:i/>
        </w:rPr>
        <w:t>-</w:t>
      </w:r>
      <w:r w:rsidR="00740D09" w:rsidRPr="0089051B">
        <w:rPr>
          <w:rFonts w:ascii="Times New Roman" w:hAnsi="Times New Roman" w:cs="Times New Roman"/>
          <w:i/>
        </w:rPr>
        <w:t>Frost</w:t>
      </w:r>
      <w:r w:rsidR="00740D09" w:rsidRPr="0089051B">
        <w:rPr>
          <w:rFonts w:ascii="Times New Roman" w:hAnsi="Times New Roman" w:cs="Times New Roman"/>
        </w:rPr>
        <w:t>;</w:t>
      </w:r>
      <w:r w:rsidRPr="0089051B">
        <w:rPr>
          <w:rStyle w:val="FootnoteReference"/>
          <w:rFonts w:ascii="Times New Roman" w:hAnsi="Times New Roman" w:cs="Times New Roman"/>
        </w:rPr>
        <w:footnoteReference w:id="159"/>
      </w:r>
      <w:r w:rsidR="00740D09" w:rsidRPr="0089051B">
        <w:rPr>
          <w:rFonts w:ascii="Times New Roman" w:hAnsi="Times New Roman" w:cs="Times New Roman"/>
        </w:rPr>
        <w:t xml:space="preserve"> </w:t>
      </w:r>
      <w:r w:rsidRPr="0089051B">
        <w:rPr>
          <w:rFonts w:ascii="Times New Roman" w:hAnsi="Times New Roman" w:cs="Times New Roman"/>
        </w:rPr>
        <w:t xml:space="preserve">whereas if a national court is minded to exercise its own </w:t>
      </w:r>
      <w:r w:rsidR="00740D09" w:rsidRPr="0089051B">
        <w:rPr>
          <w:rFonts w:ascii="Times New Roman" w:hAnsi="Times New Roman" w:cs="Times New Roman"/>
        </w:rPr>
        <w:t xml:space="preserve">decentralised jurisdiction, </w:t>
      </w:r>
      <w:r w:rsidRPr="0089051B">
        <w:rPr>
          <w:rFonts w:ascii="Times New Roman" w:hAnsi="Times New Roman" w:cs="Times New Roman"/>
        </w:rPr>
        <w:t xml:space="preserve">then a </w:t>
      </w:r>
      <w:r w:rsidR="00740D09" w:rsidRPr="0089051B">
        <w:rPr>
          <w:rFonts w:ascii="Times New Roman" w:hAnsi="Times New Roman" w:cs="Times New Roman"/>
        </w:rPr>
        <w:t xml:space="preserve">preliminary reference </w:t>
      </w:r>
      <w:r w:rsidRPr="0089051B">
        <w:rPr>
          <w:rFonts w:ascii="Times New Roman" w:hAnsi="Times New Roman" w:cs="Times New Roman"/>
        </w:rPr>
        <w:t xml:space="preserve">is </w:t>
      </w:r>
      <w:r w:rsidR="003F23C5" w:rsidRPr="0089051B">
        <w:rPr>
          <w:rFonts w:ascii="Times New Roman" w:hAnsi="Times New Roman" w:cs="Times New Roman"/>
        </w:rPr>
        <w:t>required</w:t>
      </w:r>
      <w:r w:rsidRPr="0089051B">
        <w:rPr>
          <w:rFonts w:ascii="Times New Roman" w:hAnsi="Times New Roman" w:cs="Times New Roman"/>
        </w:rPr>
        <w:t xml:space="preserve"> only under the usual conditions laid down in Article 267 TFEU as interpreted by the Court.</w:t>
      </w:r>
      <w:r w:rsidRPr="0089051B">
        <w:rPr>
          <w:rStyle w:val="FootnoteReference"/>
          <w:rFonts w:ascii="Times New Roman" w:hAnsi="Times New Roman" w:cs="Times New Roman"/>
        </w:rPr>
        <w:footnoteReference w:id="160"/>
      </w:r>
      <w:r w:rsidRPr="0089051B">
        <w:rPr>
          <w:rFonts w:ascii="Times New Roman" w:hAnsi="Times New Roman" w:cs="Times New Roman"/>
        </w:rPr>
        <w:t xml:space="preserve">  But the implications of loyal cooperation in situations of non-disapplication are much less clear when it comes to the </w:t>
      </w:r>
      <w:r w:rsidR="00E76965" w:rsidRPr="0089051B">
        <w:rPr>
          <w:rFonts w:ascii="Times New Roman" w:hAnsi="Times New Roman" w:cs="Times New Roman"/>
        </w:rPr>
        <w:t xml:space="preserve">conduct and </w:t>
      </w:r>
      <w:r w:rsidRPr="0089051B">
        <w:rPr>
          <w:rFonts w:ascii="Times New Roman" w:hAnsi="Times New Roman" w:cs="Times New Roman"/>
        </w:rPr>
        <w:t xml:space="preserve">obligations of the </w:t>
      </w:r>
      <w:r w:rsidR="00E76965" w:rsidRPr="0089051B">
        <w:rPr>
          <w:rFonts w:ascii="Times New Roman" w:hAnsi="Times New Roman" w:cs="Times New Roman"/>
        </w:rPr>
        <w:t>other branches of Member State power.  How long should any judicial “stay of execution” last, in order for the national legislature to replace the disputed rules with fully compliant measures?</w:t>
      </w:r>
      <w:r w:rsidR="00A025EF" w:rsidRPr="0089051B">
        <w:rPr>
          <w:rStyle w:val="FootnoteReference"/>
          <w:rFonts w:ascii="Times New Roman" w:hAnsi="Times New Roman" w:cs="Times New Roman"/>
        </w:rPr>
        <w:footnoteReference w:id="161"/>
      </w:r>
      <w:r w:rsidR="00E76965" w:rsidRPr="0089051B">
        <w:rPr>
          <w:rFonts w:ascii="Times New Roman" w:hAnsi="Times New Roman" w:cs="Times New Roman"/>
        </w:rPr>
        <w:t xml:space="preserve">  What adjustments in terms of decision-making priorities and / or procedures should the government and / or parliament </w:t>
      </w:r>
      <w:proofErr w:type="gramStart"/>
      <w:r w:rsidR="00E76965" w:rsidRPr="0089051B">
        <w:rPr>
          <w:rFonts w:ascii="Times New Roman" w:hAnsi="Times New Roman" w:cs="Times New Roman"/>
        </w:rPr>
        <w:t>be</w:t>
      </w:r>
      <w:proofErr w:type="gramEnd"/>
      <w:r w:rsidR="00E76965" w:rsidRPr="0089051B">
        <w:rPr>
          <w:rFonts w:ascii="Times New Roman" w:hAnsi="Times New Roman" w:cs="Times New Roman"/>
        </w:rPr>
        <w:t xml:space="preserve"> expected to make, in order to expedite the Member State’s response to a judicial “stay of execution”?  </w:t>
      </w:r>
      <w:r w:rsidR="00740D09" w:rsidRPr="0089051B">
        <w:rPr>
          <w:rFonts w:ascii="Times New Roman" w:hAnsi="Times New Roman" w:cs="Times New Roman"/>
        </w:rPr>
        <w:t xml:space="preserve">And what </w:t>
      </w:r>
      <w:r w:rsidR="00E76965" w:rsidRPr="0089051B">
        <w:rPr>
          <w:rFonts w:ascii="Times New Roman" w:hAnsi="Times New Roman" w:cs="Times New Roman"/>
        </w:rPr>
        <w:t xml:space="preserve">should be the consequences, if the competent regulatory authorities </w:t>
      </w:r>
      <w:r w:rsidR="006A4B21" w:rsidRPr="0089051B">
        <w:rPr>
          <w:rFonts w:ascii="Times New Roman" w:hAnsi="Times New Roman" w:cs="Times New Roman"/>
        </w:rPr>
        <w:t xml:space="preserve">eventually </w:t>
      </w:r>
      <w:r w:rsidR="00E76965" w:rsidRPr="0089051B">
        <w:rPr>
          <w:rFonts w:ascii="Times New Roman" w:hAnsi="Times New Roman" w:cs="Times New Roman"/>
        </w:rPr>
        <w:t>fail</w:t>
      </w:r>
      <w:r w:rsidR="00740D09" w:rsidRPr="0089051B">
        <w:rPr>
          <w:rFonts w:ascii="Times New Roman" w:hAnsi="Times New Roman" w:cs="Times New Roman"/>
        </w:rPr>
        <w:t xml:space="preserve"> to act within </w:t>
      </w:r>
      <w:r w:rsidR="00E76965" w:rsidRPr="0089051B">
        <w:rPr>
          <w:rFonts w:ascii="Times New Roman" w:hAnsi="Times New Roman" w:cs="Times New Roman"/>
        </w:rPr>
        <w:t>the time prescribed by the Court / national judge</w:t>
      </w:r>
      <w:r w:rsidR="00740D09" w:rsidRPr="0089051B">
        <w:rPr>
          <w:rFonts w:ascii="Times New Roman" w:hAnsi="Times New Roman" w:cs="Times New Roman"/>
        </w:rPr>
        <w:t>?</w:t>
      </w:r>
      <w:r w:rsidR="00CE6B2E" w:rsidRPr="0089051B">
        <w:rPr>
          <w:rStyle w:val="FootnoteReference"/>
          <w:rFonts w:ascii="Times New Roman" w:hAnsi="Times New Roman" w:cs="Times New Roman"/>
        </w:rPr>
        <w:footnoteReference w:id="162"/>
      </w:r>
      <w:r w:rsidR="00E76965" w:rsidRPr="0089051B">
        <w:rPr>
          <w:rFonts w:ascii="Times New Roman" w:hAnsi="Times New Roman" w:cs="Times New Roman"/>
        </w:rPr>
        <w:t xml:space="preserve">  </w:t>
      </w:r>
    </w:p>
    <w:p w14:paraId="5A7D5B7E" w14:textId="72BBA383" w:rsidR="00740D09" w:rsidRPr="0089051B" w:rsidRDefault="00286B95" w:rsidP="006E5E55">
      <w:pPr>
        <w:ind w:firstLine="720"/>
        <w:jc w:val="both"/>
        <w:rPr>
          <w:rFonts w:ascii="Times New Roman" w:hAnsi="Times New Roman" w:cs="Times New Roman"/>
        </w:rPr>
      </w:pPr>
      <w:r w:rsidRPr="0089051B">
        <w:rPr>
          <w:rFonts w:ascii="Times New Roman" w:hAnsi="Times New Roman" w:cs="Times New Roman"/>
        </w:rPr>
        <w:t>Or again</w:t>
      </w:r>
      <w:r w:rsidR="00E76965" w:rsidRPr="0089051B">
        <w:rPr>
          <w:rFonts w:ascii="Times New Roman" w:hAnsi="Times New Roman" w:cs="Times New Roman"/>
        </w:rPr>
        <w:t xml:space="preserve">: </w:t>
      </w:r>
      <w:r w:rsidR="00740D09" w:rsidRPr="0089051B">
        <w:rPr>
          <w:rFonts w:ascii="Times New Roman" w:hAnsi="Times New Roman" w:cs="Times New Roman"/>
        </w:rPr>
        <w:t xml:space="preserve">what </w:t>
      </w:r>
      <w:r w:rsidR="00E76965" w:rsidRPr="0089051B">
        <w:rPr>
          <w:rFonts w:ascii="Times New Roman" w:hAnsi="Times New Roman" w:cs="Times New Roman"/>
        </w:rPr>
        <w:t xml:space="preserve">should be the </w:t>
      </w:r>
      <w:r w:rsidR="006A4B21" w:rsidRPr="0089051B">
        <w:rPr>
          <w:rFonts w:ascii="Times New Roman" w:hAnsi="Times New Roman" w:cs="Times New Roman"/>
        </w:rPr>
        <w:t>implications</w:t>
      </w:r>
      <w:r w:rsidR="00E76965" w:rsidRPr="0089051B">
        <w:rPr>
          <w:rFonts w:ascii="Times New Roman" w:hAnsi="Times New Roman" w:cs="Times New Roman"/>
        </w:rPr>
        <w:t xml:space="preserve"> of a judicial decision to refrain from ordering the ordinary disapplication of incompatible national rules, when it comes to the effective judicial protection of either the current claimant or those natural and </w:t>
      </w:r>
      <w:r w:rsidR="00E76965" w:rsidRPr="0089051B">
        <w:rPr>
          <w:rFonts w:ascii="Times New Roman" w:hAnsi="Times New Roman" w:cs="Times New Roman"/>
        </w:rPr>
        <w:lastRenderedPageBreak/>
        <w:t xml:space="preserve">legal persons potentially affected by the future </w:t>
      </w:r>
      <w:r w:rsidR="00740D09" w:rsidRPr="0089051B">
        <w:rPr>
          <w:rFonts w:ascii="Times New Roman" w:hAnsi="Times New Roman" w:cs="Times New Roman"/>
        </w:rPr>
        <w:t xml:space="preserve">consequences </w:t>
      </w:r>
      <w:r w:rsidR="00E76965" w:rsidRPr="0089051B">
        <w:rPr>
          <w:rFonts w:ascii="Times New Roman" w:hAnsi="Times New Roman" w:cs="Times New Roman"/>
        </w:rPr>
        <w:t xml:space="preserve">of that decision?  Might the Court decide that the requirements of effective judicial protection under Union law are exhausted by the very act of balancing the needs of the public against the private interests of the claimant under the </w:t>
      </w:r>
      <w:r w:rsidR="00C72889" w:rsidRPr="0089051B">
        <w:rPr>
          <w:rFonts w:ascii="Times New Roman" w:hAnsi="Times New Roman" w:cs="Times New Roman"/>
          <w:i/>
        </w:rPr>
        <w:t xml:space="preserve">Winner </w:t>
      </w:r>
      <w:proofErr w:type="spellStart"/>
      <w:r w:rsidR="00C72889" w:rsidRPr="0089051B">
        <w:rPr>
          <w:rFonts w:ascii="Times New Roman" w:hAnsi="Times New Roman" w:cs="Times New Roman"/>
          <w:i/>
        </w:rPr>
        <w:t>We</w:t>
      </w:r>
      <w:r w:rsidR="00E76965" w:rsidRPr="0089051B">
        <w:rPr>
          <w:rFonts w:ascii="Times New Roman" w:hAnsi="Times New Roman" w:cs="Times New Roman"/>
          <w:i/>
        </w:rPr>
        <w:t>tten</w:t>
      </w:r>
      <w:proofErr w:type="spellEnd"/>
      <w:r w:rsidR="00E76965" w:rsidRPr="0089051B">
        <w:rPr>
          <w:rFonts w:ascii="Times New Roman" w:hAnsi="Times New Roman" w:cs="Times New Roman"/>
          <w:i/>
        </w:rPr>
        <w:t xml:space="preserve"> </w:t>
      </w:r>
      <w:r w:rsidR="00E76965" w:rsidRPr="0089051B">
        <w:rPr>
          <w:rFonts w:ascii="Times New Roman" w:hAnsi="Times New Roman" w:cs="Times New Roman"/>
        </w:rPr>
        <w:t xml:space="preserve">/ </w:t>
      </w:r>
      <w:r w:rsidR="00E76965" w:rsidRPr="0089051B">
        <w:rPr>
          <w:rFonts w:ascii="Times New Roman" w:hAnsi="Times New Roman" w:cs="Times New Roman"/>
          <w:i/>
        </w:rPr>
        <w:t xml:space="preserve">Association France </w:t>
      </w:r>
      <w:r w:rsidR="00E76965" w:rsidRPr="0089051B">
        <w:rPr>
          <w:rFonts w:ascii="Times New Roman" w:hAnsi="Times New Roman" w:cs="Times New Roman"/>
        </w:rPr>
        <w:t xml:space="preserve">test?  </w:t>
      </w:r>
      <w:r w:rsidR="002601CD" w:rsidRPr="0089051B">
        <w:rPr>
          <w:rFonts w:ascii="Times New Roman" w:hAnsi="Times New Roman" w:cs="Times New Roman"/>
        </w:rPr>
        <w:t>Or will</w:t>
      </w:r>
      <w:r w:rsidR="00E76965" w:rsidRPr="0089051B">
        <w:rPr>
          <w:rFonts w:ascii="Times New Roman" w:hAnsi="Times New Roman" w:cs="Times New Roman"/>
        </w:rPr>
        <w:t xml:space="preserve"> aggrieved individuals be encouraged to seek reparation from the Member State, in respect of losses attributable to the incompatible </w:t>
      </w:r>
      <w:r w:rsidR="00993630" w:rsidRPr="0089051B">
        <w:rPr>
          <w:rFonts w:ascii="Times New Roman" w:hAnsi="Times New Roman" w:cs="Times New Roman"/>
        </w:rPr>
        <w:t xml:space="preserve">national measures, notwithstanding or indeed even because of </w:t>
      </w:r>
      <w:r w:rsidR="002601CD" w:rsidRPr="0089051B">
        <w:rPr>
          <w:rFonts w:ascii="Times New Roman" w:hAnsi="Times New Roman" w:cs="Times New Roman"/>
        </w:rPr>
        <w:t>the latter’s</w:t>
      </w:r>
      <w:r w:rsidR="00993630" w:rsidRPr="0089051B">
        <w:rPr>
          <w:rFonts w:ascii="Times New Roman" w:hAnsi="Times New Roman" w:cs="Times New Roman"/>
        </w:rPr>
        <w:t xml:space="preserve"> temporary maintenance in force?  </w:t>
      </w:r>
    </w:p>
    <w:p w14:paraId="237CDAAB" w14:textId="70EB086B" w:rsidR="00286B95" w:rsidRPr="0089051B" w:rsidRDefault="00286B95" w:rsidP="006E5E55">
      <w:pPr>
        <w:ind w:firstLine="720"/>
        <w:jc w:val="both"/>
        <w:rPr>
          <w:rFonts w:ascii="Times New Roman" w:hAnsi="Times New Roman" w:cs="Times New Roman"/>
        </w:rPr>
      </w:pPr>
      <w:r w:rsidRPr="0089051B">
        <w:rPr>
          <w:rFonts w:ascii="Times New Roman" w:hAnsi="Times New Roman" w:cs="Times New Roman"/>
        </w:rPr>
        <w:t xml:space="preserve">The response to all of those questions lies primarily with the Court to explore and articulate in its future </w:t>
      </w:r>
      <w:proofErr w:type="spellStart"/>
      <w:r w:rsidRPr="0089051B">
        <w:rPr>
          <w:rFonts w:ascii="Times New Roman" w:hAnsi="Times New Roman" w:cs="Times New Roman"/>
        </w:rPr>
        <w:t>caselaw</w:t>
      </w:r>
      <w:proofErr w:type="spellEnd"/>
      <w:r w:rsidRPr="0089051B">
        <w:rPr>
          <w:rFonts w:ascii="Times New Roman" w:hAnsi="Times New Roman" w:cs="Times New Roman"/>
        </w:rPr>
        <w:t xml:space="preserve">.  But the national judges will also have an important role to play – not least in </w:t>
      </w:r>
      <w:r w:rsidR="00674278" w:rsidRPr="0089051B">
        <w:rPr>
          <w:rFonts w:ascii="Times New Roman" w:hAnsi="Times New Roman" w:cs="Times New Roman"/>
        </w:rPr>
        <w:t xml:space="preserve">highlighting </w:t>
      </w:r>
      <w:r w:rsidR="0089051B">
        <w:rPr>
          <w:rFonts w:ascii="Times New Roman" w:hAnsi="Times New Roman" w:cs="Times New Roman"/>
        </w:rPr>
        <w:t xml:space="preserve">concrete </w:t>
      </w:r>
      <w:r w:rsidRPr="0089051B">
        <w:rPr>
          <w:rFonts w:ascii="Times New Roman" w:hAnsi="Times New Roman" w:cs="Times New Roman"/>
        </w:rPr>
        <w:t xml:space="preserve">disputes </w:t>
      </w:r>
      <w:r w:rsidR="00674278" w:rsidRPr="0089051B">
        <w:rPr>
          <w:rFonts w:ascii="Times New Roman" w:hAnsi="Times New Roman" w:cs="Times New Roman"/>
        </w:rPr>
        <w:t xml:space="preserve">(for example) that </w:t>
      </w:r>
      <w:r w:rsidRPr="0089051B">
        <w:rPr>
          <w:rFonts w:ascii="Times New Roman" w:hAnsi="Times New Roman" w:cs="Times New Roman"/>
        </w:rPr>
        <w:t xml:space="preserve">illustrate </w:t>
      </w:r>
      <w:r w:rsidR="00674278" w:rsidRPr="0089051B">
        <w:rPr>
          <w:rFonts w:ascii="Times New Roman" w:hAnsi="Times New Roman" w:cs="Times New Roman"/>
        </w:rPr>
        <w:t xml:space="preserve">how the jurisdictional </w:t>
      </w:r>
      <w:r w:rsidRPr="0089051B">
        <w:rPr>
          <w:rFonts w:ascii="Times New Roman" w:hAnsi="Times New Roman" w:cs="Times New Roman"/>
        </w:rPr>
        <w:t xml:space="preserve">constraints </w:t>
      </w:r>
      <w:r w:rsidR="00674278" w:rsidRPr="0089051B">
        <w:rPr>
          <w:rFonts w:ascii="Times New Roman" w:hAnsi="Times New Roman" w:cs="Times New Roman"/>
        </w:rPr>
        <w:t xml:space="preserve">imposed </w:t>
      </w:r>
      <w:r w:rsidRPr="0089051B">
        <w:rPr>
          <w:rFonts w:ascii="Times New Roman" w:hAnsi="Times New Roman" w:cs="Times New Roman"/>
        </w:rPr>
        <w:t xml:space="preserve">under the </w:t>
      </w:r>
      <w:r w:rsidRPr="0089051B">
        <w:rPr>
          <w:rFonts w:ascii="Times New Roman" w:hAnsi="Times New Roman" w:cs="Times New Roman"/>
          <w:i/>
        </w:rPr>
        <w:t xml:space="preserve">Winner </w:t>
      </w:r>
      <w:proofErr w:type="spellStart"/>
      <w:r w:rsidRPr="0089051B">
        <w:rPr>
          <w:rFonts w:ascii="Times New Roman" w:hAnsi="Times New Roman" w:cs="Times New Roman"/>
          <w:i/>
        </w:rPr>
        <w:t>Wetten</w:t>
      </w:r>
      <w:proofErr w:type="spellEnd"/>
      <w:r w:rsidRPr="0089051B">
        <w:rPr>
          <w:rFonts w:ascii="Times New Roman" w:hAnsi="Times New Roman" w:cs="Times New Roman"/>
          <w:i/>
        </w:rPr>
        <w:t xml:space="preserve"> </w:t>
      </w:r>
      <w:r w:rsidRPr="0089051B">
        <w:rPr>
          <w:rFonts w:ascii="Times New Roman" w:hAnsi="Times New Roman" w:cs="Times New Roman"/>
        </w:rPr>
        <w:t xml:space="preserve">/ </w:t>
      </w:r>
      <w:r w:rsidRPr="0089051B">
        <w:rPr>
          <w:rFonts w:ascii="Times New Roman" w:hAnsi="Times New Roman" w:cs="Times New Roman"/>
          <w:i/>
        </w:rPr>
        <w:t xml:space="preserve">Association France </w:t>
      </w:r>
      <w:r w:rsidRPr="0089051B">
        <w:rPr>
          <w:rFonts w:ascii="Times New Roman" w:hAnsi="Times New Roman" w:cs="Times New Roman"/>
        </w:rPr>
        <w:t>model</w:t>
      </w:r>
      <w:r w:rsidR="00674278" w:rsidRPr="0089051B">
        <w:rPr>
          <w:rFonts w:ascii="Times New Roman" w:hAnsi="Times New Roman" w:cs="Times New Roman"/>
        </w:rPr>
        <w:t xml:space="preserve"> in fact fail to provide </w:t>
      </w:r>
      <w:r w:rsidR="0089051B" w:rsidRPr="0089051B">
        <w:rPr>
          <w:rFonts w:ascii="Times New Roman" w:hAnsi="Times New Roman" w:cs="Times New Roman"/>
        </w:rPr>
        <w:t>satisfactory</w:t>
      </w:r>
      <w:r w:rsidR="00674278" w:rsidRPr="0089051B">
        <w:rPr>
          <w:rFonts w:ascii="Times New Roman" w:hAnsi="Times New Roman" w:cs="Times New Roman"/>
        </w:rPr>
        <w:t xml:space="preserve"> safeguards against the genuine risk of potentially damaging legal vacuums.  Otherwise, we </w:t>
      </w:r>
      <w:r w:rsidR="0089051B" w:rsidRPr="0089051B">
        <w:rPr>
          <w:rFonts w:ascii="Times New Roman" w:hAnsi="Times New Roman" w:cs="Times New Roman"/>
        </w:rPr>
        <w:t>might</w:t>
      </w:r>
      <w:r w:rsidR="00674278" w:rsidRPr="0089051B">
        <w:rPr>
          <w:rFonts w:ascii="Times New Roman" w:hAnsi="Times New Roman" w:cs="Times New Roman"/>
        </w:rPr>
        <w:t xml:space="preserve"> </w:t>
      </w:r>
      <w:r w:rsidR="0089051B" w:rsidRPr="0089051B">
        <w:rPr>
          <w:rFonts w:ascii="Times New Roman" w:hAnsi="Times New Roman" w:cs="Times New Roman"/>
        </w:rPr>
        <w:t xml:space="preserve">continue to see each Member State – exemplified by the UK Supreme Court in </w:t>
      </w:r>
      <w:r w:rsidR="0089051B" w:rsidRPr="0089051B">
        <w:rPr>
          <w:rFonts w:ascii="Times New Roman" w:hAnsi="Times New Roman" w:cs="Times New Roman"/>
          <w:i/>
        </w:rPr>
        <w:t xml:space="preserve">Chester </w:t>
      </w:r>
      <w:r w:rsidR="0089051B" w:rsidRPr="0089051B">
        <w:rPr>
          <w:rFonts w:ascii="Times New Roman" w:hAnsi="Times New Roman" w:cs="Times New Roman"/>
        </w:rPr>
        <w:t xml:space="preserve">and arguably continued by the French </w:t>
      </w:r>
      <w:proofErr w:type="spellStart"/>
      <w:r w:rsidR="0089051B" w:rsidRPr="0089051B">
        <w:rPr>
          <w:rFonts w:ascii="Times New Roman" w:hAnsi="Times New Roman" w:cs="Times New Roman"/>
        </w:rPr>
        <w:t>Conseil</w:t>
      </w:r>
      <w:proofErr w:type="spellEnd"/>
      <w:r w:rsidR="0089051B" w:rsidRPr="0089051B">
        <w:rPr>
          <w:rFonts w:ascii="Times New Roman" w:hAnsi="Times New Roman" w:cs="Times New Roman"/>
        </w:rPr>
        <w:t xml:space="preserve"> d’</w:t>
      </w:r>
      <w:proofErr w:type="spellStart"/>
      <w:r w:rsidR="0089051B" w:rsidRPr="0089051B">
        <w:rPr>
          <w:rFonts w:ascii="Times New Roman" w:hAnsi="Times New Roman" w:cs="Times New Roman"/>
          <w:lang w:val="en-US"/>
        </w:rPr>
        <w:t>État</w:t>
      </w:r>
      <w:proofErr w:type="spellEnd"/>
      <w:r w:rsidR="0089051B" w:rsidRPr="0089051B">
        <w:rPr>
          <w:rFonts w:ascii="Times New Roman" w:hAnsi="Times New Roman" w:cs="Times New Roman"/>
        </w:rPr>
        <w:t xml:space="preserve"> in </w:t>
      </w:r>
      <w:r w:rsidR="0089051B" w:rsidRPr="0089051B">
        <w:rPr>
          <w:rFonts w:ascii="Times New Roman" w:hAnsi="Times New Roman" w:cs="Times New Roman"/>
          <w:i/>
        </w:rPr>
        <w:t xml:space="preserve">ANODE </w:t>
      </w:r>
      <w:r w:rsidR="0089051B" w:rsidRPr="0089051B">
        <w:rPr>
          <w:rFonts w:ascii="Times New Roman" w:hAnsi="Times New Roman" w:cs="Times New Roman"/>
        </w:rPr>
        <w:t xml:space="preserve">– designing and implementing its own idiosyncratic version of what primacy </w:t>
      </w:r>
      <w:r w:rsidR="00F9432E">
        <w:rPr>
          <w:rFonts w:ascii="Times New Roman" w:hAnsi="Times New Roman" w:cs="Times New Roman"/>
        </w:rPr>
        <w:t>supposedly</w:t>
      </w:r>
      <w:r w:rsidR="0089051B" w:rsidRPr="0089051B">
        <w:rPr>
          <w:rFonts w:ascii="Times New Roman" w:hAnsi="Times New Roman" w:cs="Times New Roman"/>
        </w:rPr>
        <w:t xml:space="preserve"> means and what disapplication should </w:t>
      </w:r>
      <w:r w:rsidR="00F9432E">
        <w:rPr>
          <w:rFonts w:ascii="Times New Roman" w:hAnsi="Times New Roman" w:cs="Times New Roman"/>
        </w:rPr>
        <w:t xml:space="preserve">actually </w:t>
      </w:r>
      <w:r w:rsidR="0089051B" w:rsidRPr="0089051B">
        <w:rPr>
          <w:rFonts w:ascii="Times New Roman" w:hAnsi="Times New Roman" w:cs="Times New Roman"/>
        </w:rPr>
        <w:t>entail.</w:t>
      </w:r>
      <w:r w:rsidR="0089051B" w:rsidRPr="0089051B">
        <w:rPr>
          <w:rStyle w:val="FootnoteReference"/>
          <w:rFonts w:ascii="Times New Roman" w:hAnsi="Times New Roman" w:cs="Times New Roman"/>
        </w:rPr>
        <w:footnoteReference w:id="163"/>
      </w:r>
    </w:p>
    <w:p w14:paraId="2CA65111" w14:textId="77777777" w:rsidR="00740D09" w:rsidRPr="0089051B" w:rsidRDefault="00740D09" w:rsidP="0061452E">
      <w:pPr>
        <w:jc w:val="both"/>
        <w:rPr>
          <w:rFonts w:ascii="Times New Roman" w:hAnsi="Times New Roman" w:cs="Times New Roman"/>
        </w:rPr>
      </w:pPr>
    </w:p>
    <w:p w14:paraId="1376C99C" w14:textId="39A1A0E9" w:rsidR="00DF78D3" w:rsidRPr="0089051B" w:rsidRDefault="00727EDA" w:rsidP="0061452E">
      <w:pPr>
        <w:jc w:val="both"/>
        <w:rPr>
          <w:rFonts w:ascii="Times New Roman" w:hAnsi="Times New Roman" w:cs="Times New Roman"/>
          <w:b/>
        </w:rPr>
      </w:pPr>
      <w:r w:rsidRPr="0089051B">
        <w:rPr>
          <w:rFonts w:ascii="Times New Roman" w:hAnsi="Times New Roman" w:cs="Times New Roman"/>
          <w:b/>
        </w:rPr>
        <w:t>7.</w:t>
      </w:r>
      <w:r w:rsidRPr="0089051B">
        <w:rPr>
          <w:rFonts w:ascii="Times New Roman" w:hAnsi="Times New Roman" w:cs="Times New Roman"/>
          <w:b/>
        </w:rPr>
        <w:tab/>
      </w:r>
      <w:r w:rsidR="00AA0FDE" w:rsidRPr="0089051B">
        <w:rPr>
          <w:rFonts w:ascii="Times New Roman" w:hAnsi="Times New Roman" w:cs="Times New Roman"/>
          <w:b/>
        </w:rPr>
        <w:t>Conclusions</w:t>
      </w:r>
    </w:p>
    <w:p w14:paraId="4358BDC7" w14:textId="77777777" w:rsidR="00DF78D3" w:rsidRPr="0089051B" w:rsidRDefault="00DF78D3" w:rsidP="0061452E">
      <w:pPr>
        <w:jc w:val="both"/>
        <w:rPr>
          <w:rFonts w:ascii="Times New Roman" w:hAnsi="Times New Roman" w:cs="Times New Roman"/>
          <w:b/>
        </w:rPr>
      </w:pPr>
    </w:p>
    <w:p w14:paraId="0D1D97AF" w14:textId="21F58272" w:rsidR="009D3E1E" w:rsidRPr="0089051B" w:rsidRDefault="00944CC5" w:rsidP="009D3E1E">
      <w:pPr>
        <w:jc w:val="both"/>
        <w:rPr>
          <w:rFonts w:ascii="Times New Roman" w:hAnsi="Times New Roman" w:cs="Times New Roman"/>
        </w:rPr>
      </w:pPr>
      <w:r w:rsidRPr="0089051B">
        <w:rPr>
          <w:rFonts w:ascii="Times New Roman" w:hAnsi="Times New Roman" w:cs="Times New Roman"/>
        </w:rPr>
        <w:t xml:space="preserve">It is a long-standing and understandable tendency of EU lawyers to discuss the principle of primacy </w:t>
      </w:r>
      <w:r w:rsidR="004D58B9" w:rsidRPr="0089051B">
        <w:rPr>
          <w:rFonts w:ascii="Times New Roman" w:hAnsi="Times New Roman" w:cs="Times New Roman"/>
        </w:rPr>
        <w:t xml:space="preserve">largely, sometimes almost exclusively, </w:t>
      </w:r>
      <w:r w:rsidRPr="0089051B">
        <w:rPr>
          <w:rFonts w:ascii="Times New Roman" w:hAnsi="Times New Roman" w:cs="Times New Roman"/>
        </w:rPr>
        <w:t>in terms of competing claims to constitutional authority</w:t>
      </w:r>
      <w:r w:rsidR="006A4B21" w:rsidRPr="0089051B">
        <w:rPr>
          <w:rFonts w:ascii="Times New Roman" w:hAnsi="Times New Roman" w:cs="Times New Roman"/>
        </w:rPr>
        <w:t>,</w:t>
      </w:r>
      <w:r w:rsidRPr="0089051B">
        <w:rPr>
          <w:rFonts w:ascii="Times New Roman" w:hAnsi="Times New Roman" w:cs="Times New Roman"/>
        </w:rPr>
        <w:t xml:space="preserve"> </w:t>
      </w:r>
      <w:r w:rsidR="004D58B9" w:rsidRPr="0089051B">
        <w:rPr>
          <w:rFonts w:ascii="Times New Roman" w:hAnsi="Times New Roman" w:cs="Times New Roman"/>
        </w:rPr>
        <w:t>their</w:t>
      </w:r>
      <w:r w:rsidRPr="0089051B">
        <w:rPr>
          <w:rFonts w:ascii="Times New Roman" w:hAnsi="Times New Roman" w:cs="Times New Roman"/>
        </w:rPr>
        <w:t xml:space="preserve"> impact on the sovereignty of the Member States</w:t>
      </w:r>
      <w:r w:rsidR="006A4B21" w:rsidRPr="0089051B">
        <w:rPr>
          <w:rFonts w:ascii="Times New Roman" w:hAnsi="Times New Roman" w:cs="Times New Roman"/>
        </w:rPr>
        <w:t xml:space="preserve"> and the (</w:t>
      </w:r>
      <w:proofErr w:type="gramStart"/>
      <w:r w:rsidR="006A4B21" w:rsidRPr="0089051B">
        <w:rPr>
          <w:rFonts w:ascii="Times New Roman" w:hAnsi="Times New Roman" w:cs="Times New Roman"/>
        </w:rPr>
        <w:t>re)location</w:t>
      </w:r>
      <w:proofErr w:type="gramEnd"/>
      <w:r w:rsidR="006A4B21" w:rsidRPr="0089051B">
        <w:rPr>
          <w:rFonts w:ascii="Times New Roman" w:hAnsi="Times New Roman" w:cs="Times New Roman"/>
        </w:rPr>
        <w:t xml:space="preserve"> of ultimate constituent power in Europe</w:t>
      </w:r>
      <w:r w:rsidRPr="0089051B">
        <w:rPr>
          <w:rFonts w:ascii="Times New Roman" w:hAnsi="Times New Roman" w:cs="Times New Roman"/>
        </w:rPr>
        <w:t xml:space="preserve">.  </w:t>
      </w:r>
      <w:r w:rsidR="00AF63A4" w:rsidRPr="0089051B">
        <w:rPr>
          <w:rFonts w:ascii="Times New Roman" w:hAnsi="Times New Roman" w:cs="Times New Roman"/>
        </w:rPr>
        <w:t xml:space="preserve">Yet </w:t>
      </w:r>
      <w:r w:rsidR="004D58B9" w:rsidRPr="0089051B">
        <w:rPr>
          <w:rFonts w:ascii="Times New Roman" w:hAnsi="Times New Roman" w:cs="Times New Roman"/>
        </w:rPr>
        <w:t xml:space="preserve">many </w:t>
      </w:r>
      <w:r w:rsidRPr="0089051B">
        <w:rPr>
          <w:rFonts w:ascii="Times New Roman" w:hAnsi="Times New Roman" w:cs="Times New Roman"/>
        </w:rPr>
        <w:t xml:space="preserve">of </w:t>
      </w:r>
      <w:r w:rsidR="004D58B9" w:rsidRPr="0089051B">
        <w:rPr>
          <w:rFonts w:ascii="Times New Roman" w:hAnsi="Times New Roman" w:cs="Times New Roman"/>
        </w:rPr>
        <w:t xml:space="preserve">our </w:t>
      </w:r>
      <w:r w:rsidR="00AF63A4" w:rsidRPr="0089051B">
        <w:rPr>
          <w:rFonts w:ascii="Times New Roman" w:hAnsi="Times New Roman" w:cs="Times New Roman"/>
        </w:rPr>
        <w:t xml:space="preserve">most </w:t>
      </w:r>
      <w:r w:rsidRPr="0089051B">
        <w:rPr>
          <w:rFonts w:ascii="Times New Roman" w:hAnsi="Times New Roman" w:cs="Times New Roman"/>
        </w:rPr>
        <w:t>iconic “</w:t>
      </w:r>
      <w:r w:rsidR="00B81FD5" w:rsidRPr="0089051B">
        <w:rPr>
          <w:rFonts w:ascii="Times New Roman" w:hAnsi="Times New Roman" w:cs="Times New Roman"/>
        </w:rPr>
        <w:t>primacy</w:t>
      </w:r>
      <w:r w:rsidRPr="0089051B">
        <w:rPr>
          <w:rFonts w:ascii="Times New Roman" w:hAnsi="Times New Roman" w:cs="Times New Roman"/>
        </w:rPr>
        <w:t xml:space="preserve"> disputes” </w:t>
      </w:r>
      <w:r w:rsidR="004D58B9" w:rsidRPr="0089051B">
        <w:rPr>
          <w:rFonts w:ascii="Times New Roman" w:hAnsi="Times New Roman" w:cs="Times New Roman"/>
        </w:rPr>
        <w:t xml:space="preserve">are </w:t>
      </w:r>
      <w:r w:rsidRPr="0089051B">
        <w:rPr>
          <w:rFonts w:ascii="Times New Roman" w:hAnsi="Times New Roman" w:cs="Times New Roman"/>
        </w:rPr>
        <w:t xml:space="preserve">essentially </w:t>
      </w:r>
      <w:r w:rsidR="004D58B9" w:rsidRPr="0089051B">
        <w:rPr>
          <w:rFonts w:ascii="Times New Roman" w:hAnsi="Times New Roman" w:cs="Times New Roman"/>
        </w:rPr>
        <w:t xml:space="preserve">about particular </w:t>
      </w:r>
      <w:r w:rsidRPr="0089051B">
        <w:rPr>
          <w:rFonts w:ascii="Times New Roman" w:hAnsi="Times New Roman" w:cs="Times New Roman"/>
        </w:rPr>
        <w:t xml:space="preserve">national courts </w:t>
      </w:r>
      <w:r w:rsidR="009D3E1E" w:rsidRPr="0089051B">
        <w:rPr>
          <w:rFonts w:ascii="Times New Roman" w:hAnsi="Times New Roman" w:cs="Times New Roman"/>
        </w:rPr>
        <w:t xml:space="preserve">sporadically </w:t>
      </w:r>
      <w:r w:rsidR="004D58B9" w:rsidRPr="0089051B">
        <w:rPr>
          <w:rFonts w:ascii="Times New Roman" w:hAnsi="Times New Roman" w:cs="Times New Roman"/>
        </w:rPr>
        <w:t xml:space="preserve">expressing </w:t>
      </w:r>
      <w:r w:rsidR="006A4B21" w:rsidRPr="0089051B">
        <w:rPr>
          <w:rFonts w:ascii="Times New Roman" w:hAnsi="Times New Roman" w:cs="Times New Roman"/>
        </w:rPr>
        <w:t xml:space="preserve">specific </w:t>
      </w:r>
      <w:r w:rsidR="004D58B9" w:rsidRPr="0089051B">
        <w:rPr>
          <w:rFonts w:ascii="Times New Roman" w:hAnsi="Times New Roman" w:cs="Times New Roman"/>
        </w:rPr>
        <w:t xml:space="preserve">reservations over </w:t>
      </w:r>
      <w:r w:rsidRPr="0089051B">
        <w:rPr>
          <w:rFonts w:ascii="Times New Roman" w:hAnsi="Times New Roman" w:cs="Times New Roman"/>
        </w:rPr>
        <w:t xml:space="preserve">particular substantive choices embodied in </w:t>
      </w:r>
      <w:r w:rsidR="006A4B21" w:rsidRPr="0089051B">
        <w:rPr>
          <w:rFonts w:ascii="Times New Roman" w:hAnsi="Times New Roman" w:cs="Times New Roman"/>
        </w:rPr>
        <w:t>specific</w:t>
      </w:r>
      <w:r w:rsidR="004D58B9" w:rsidRPr="0089051B">
        <w:rPr>
          <w:rFonts w:ascii="Times New Roman" w:hAnsi="Times New Roman" w:cs="Times New Roman"/>
        </w:rPr>
        <w:t xml:space="preserve"> </w:t>
      </w:r>
      <w:r w:rsidRPr="0089051B">
        <w:rPr>
          <w:rFonts w:ascii="Times New Roman" w:hAnsi="Times New Roman" w:cs="Times New Roman"/>
        </w:rPr>
        <w:t xml:space="preserve">Union </w:t>
      </w:r>
      <w:r w:rsidR="004D58B9" w:rsidRPr="0089051B">
        <w:rPr>
          <w:rFonts w:ascii="Times New Roman" w:hAnsi="Times New Roman" w:cs="Times New Roman"/>
        </w:rPr>
        <w:t>acts; resistance to the “primacy of Union law” within the domestic legal system is merely the ultimate consequence or incidental manifestation of that logically prior domestic disagreement.</w:t>
      </w:r>
      <w:r w:rsidR="00AF63A4" w:rsidRPr="0089051B">
        <w:rPr>
          <w:rFonts w:ascii="Times New Roman" w:hAnsi="Times New Roman" w:cs="Times New Roman"/>
        </w:rPr>
        <w:t xml:space="preserve">  </w:t>
      </w:r>
      <w:r w:rsidR="009D3E1E" w:rsidRPr="0089051B">
        <w:rPr>
          <w:rFonts w:ascii="Times New Roman" w:hAnsi="Times New Roman" w:cs="Times New Roman"/>
        </w:rPr>
        <w:t xml:space="preserve">The </w:t>
      </w:r>
      <w:r w:rsidR="00A61162" w:rsidRPr="0089051B">
        <w:rPr>
          <w:rFonts w:ascii="Times New Roman" w:hAnsi="Times New Roman" w:cs="Times New Roman"/>
        </w:rPr>
        <w:t xml:space="preserve">principle of </w:t>
      </w:r>
      <w:r w:rsidR="00B81FD5" w:rsidRPr="0089051B">
        <w:rPr>
          <w:rFonts w:ascii="Times New Roman" w:hAnsi="Times New Roman" w:cs="Times New Roman"/>
        </w:rPr>
        <w:t>primacy</w:t>
      </w:r>
      <w:r w:rsidR="00A61162" w:rsidRPr="0089051B">
        <w:rPr>
          <w:rFonts w:ascii="Times New Roman" w:hAnsi="Times New Roman" w:cs="Times New Roman"/>
        </w:rPr>
        <w:t xml:space="preserve"> </w:t>
      </w:r>
      <w:r w:rsidR="009D3E1E" w:rsidRPr="0089051B">
        <w:rPr>
          <w:rFonts w:ascii="Times New Roman" w:hAnsi="Times New Roman" w:cs="Times New Roman"/>
        </w:rPr>
        <w:t>itself is better understood as an</w:t>
      </w:r>
      <w:r w:rsidR="00A61162" w:rsidRPr="0089051B">
        <w:rPr>
          <w:rFonts w:ascii="Times New Roman" w:hAnsi="Times New Roman" w:cs="Times New Roman"/>
        </w:rPr>
        <w:t xml:space="preserve"> essentially practical device – one </w:t>
      </w:r>
      <w:r w:rsidR="00923EF2" w:rsidRPr="0089051B">
        <w:rPr>
          <w:rFonts w:ascii="Times New Roman" w:hAnsi="Times New Roman" w:cs="Times New Roman"/>
        </w:rPr>
        <w:t xml:space="preserve">mechanical </w:t>
      </w:r>
      <w:r w:rsidR="00A61162" w:rsidRPr="0089051B">
        <w:rPr>
          <w:rFonts w:ascii="Times New Roman" w:hAnsi="Times New Roman" w:cs="Times New Roman"/>
        </w:rPr>
        <w:t xml:space="preserve">element </w:t>
      </w:r>
      <w:r w:rsidR="00923EF2" w:rsidRPr="0089051B">
        <w:rPr>
          <w:rFonts w:ascii="Times New Roman" w:hAnsi="Times New Roman" w:cs="Times New Roman"/>
        </w:rPr>
        <w:t>in</w:t>
      </w:r>
      <w:r w:rsidR="00A61162" w:rsidRPr="0089051B">
        <w:rPr>
          <w:rFonts w:ascii="Times New Roman" w:hAnsi="Times New Roman" w:cs="Times New Roman"/>
        </w:rPr>
        <w:t xml:space="preserve"> the complex system for organising relations between the Union and national legal systems, in fulfilment of the </w:t>
      </w:r>
      <w:proofErr w:type="gramStart"/>
      <w:r w:rsidR="00A61162" w:rsidRPr="0089051B">
        <w:rPr>
          <w:rFonts w:ascii="Times New Roman" w:hAnsi="Times New Roman" w:cs="Times New Roman"/>
        </w:rPr>
        <w:t>obligations which</w:t>
      </w:r>
      <w:proofErr w:type="gramEnd"/>
      <w:r w:rsidR="00A61162" w:rsidRPr="0089051B">
        <w:rPr>
          <w:rFonts w:ascii="Times New Roman" w:hAnsi="Times New Roman" w:cs="Times New Roman"/>
        </w:rPr>
        <w:t xml:space="preserve"> Member States voluntarily assumed through their sovereign decision to form or accede to the Union.  Above all, </w:t>
      </w:r>
      <w:r w:rsidR="00B81FD5" w:rsidRPr="0089051B">
        <w:rPr>
          <w:rFonts w:ascii="Times New Roman" w:hAnsi="Times New Roman" w:cs="Times New Roman"/>
        </w:rPr>
        <w:t>primacy</w:t>
      </w:r>
      <w:r w:rsidR="00A61162" w:rsidRPr="0089051B">
        <w:rPr>
          <w:rFonts w:ascii="Times New Roman" w:hAnsi="Times New Roman" w:cs="Times New Roman"/>
        </w:rPr>
        <w:t xml:space="preserve"> is a tool of conflict resolution at the disposal of the national courts when faced with an irreconcilable </w:t>
      </w:r>
      <w:r w:rsidR="00612AC6" w:rsidRPr="0089051B">
        <w:rPr>
          <w:rFonts w:ascii="Times New Roman" w:hAnsi="Times New Roman" w:cs="Times New Roman"/>
        </w:rPr>
        <w:t>mismatch</w:t>
      </w:r>
      <w:r w:rsidR="00A61162" w:rsidRPr="0089051B">
        <w:rPr>
          <w:rFonts w:ascii="Times New Roman" w:hAnsi="Times New Roman" w:cs="Times New Roman"/>
        </w:rPr>
        <w:t xml:space="preserve"> between legally cognisable provisions of Union and national law – inseparable from the remedy of disapplication which is the primary </w:t>
      </w:r>
      <w:r w:rsidR="002601CD" w:rsidRPr="0089051B">
        <w:rPr>
          <w:rFonts w:ascii="Times New Roman" w:hAnsi="Times New Roman" w:cs="Times New Roman"/>
        </w:rPr>
        <w:t xml:space="preserve">means and </w:t>
      </w:r>
      <w:r w:rsidR="00A61162" w:rsidRPr="0089051B">
        <w:rPr>
          <w:rFonts w:ascii="Times New Roman" w:hAnsi="Times New Roman" w:cs="Times New Roman"/>
        </w:rPr>
        <w:t xml:space="preserve">consequence of </w:t>
      </w:r>
      <w:r w:rsidR="00612AC6" w:rsidRPr="0089051B">
        <w:rPr>
          <w:rFonts w:ascii="Times New Roman" w:hAnsi="Times New Roman" w:cs="Times New Roman"/>
        </w:rPr>
        <w:t>that</w:t>
      </w:r>
      <w:r w:rsidR="00A61162" w:rsidRPr="0089051B">
        <w:rPr>
          <w:rFonts w:ascii="Times New Roman" w:hAnsi="Times New Roman" w:cs="Times New Roman"/>
        </w:rPr>
        <w:t xml:space="preserve"> conflict resolution.  </w:t>
      </w:r>
    </w:p>
    <w:p w14:paraId="3ACE6C5F" w14:textId="39DB16A4" w:rsidR="006E5E55" w:rsidRPr="0089051B" w:rsidRDefault="00A61162" w:rsidP="009D3E1E">
      <w:pPr>
        <w:ind w:firstLine="720"/>
        <w:jc w:val="both"/>
        <w:rPr>
          <w:rFonts w:ascii="Times New Roman" w:hAnsi="Times New Roman" w:cs="Times New Roman"/>
        </w:rPr>
      </w:pPr>
      <w:r w:rsidRPr="0089051B">
        <w:rPr>
          <w:rFonts w:ascii="Times New Roman" w:hAnsi="Times New Roman" w:cs="Times New Roman"/>
        </w:rPr>
        <w:t xml:space="preserve">Viewed in that light, the </w:t>
      </w:r>
      <w:r w:rsidR="00923EF2" w:rsidRPr="0089051B">
        <w:rPr>
          <w:rFonts w:ascii="Times New Roman" w:hAnsi="Times New Roman" w:cs="Times New Roman"/>
        </w:rPr>
        <w:t>category of “</w:t>
      </w:r>
      <w:r w:rsidR="00B81FD5" w:rsidRPr="0089051B">
        <w:rPr>
          <w:rFonts w:ascii="Times New Roman" w:hAnsi="Times New Roman" w:cs="Times New Roman"/>
        </w:rPr>
        <w:t>primacy</w:t>
      </w:r>
      <w:r w:rsidR="00923EF2" w:rsidRPr="0089051B">
        <w:rPr>
          <w:rFonts w:ascii="Times New Roman" w:hAnsi="Times New Roman" w:cs="Times New Roman"/>
        </w:rPr>
        <w:t xml:space="preserve"> disputes” which have actually focused on the principle of primacy and its remedy of disapplication per se are generally less incendiary in character or flamboyant in profile than our standard discourse might suggest.  Most have </w:t>
      </w:r>
      <w:r w:rsidR="00DF78D3" w:rsidRPr="0089051B">
        <w:rPr>
          <w:rFonts w:ascii="Times New Roman" w:hAnsi="Times New Roman" w:cs="Times New Roman"/>
        </w:rPr>
        <w:t xml:space="preserve">concerned </w:t>
      </w:r>
      <w:r w:rsidR="00923EF2" w:rsidRPr="0089051B">
        <w:rPr>
          <w:rFonts w:ascii="Times New Roman" w:hAnsi="Times New Roman" w:cs="Times New Roman"/>
        </w:rPr>
        <w:t xml:space="preserve">a reasonable desire to balance the full effects of </w:t>
      </w:r>
      <w:r w:rsidR="00B81FD5" w:rsidRPr="0089051B">
        <w:rPr>
          <w:rFonts w:ascii="Times New Roman" w:hAnsi="Times New Roman" w:cs="Times New Roman"/>
        </w:rPr>
        <w:t>primacy</w:t>
      </w:r>
      <w:r w:rsidR="00923EF2" w:rsidRPr="0089051B">
        <w:rPr>
          <w:rFonts w:ascii="Times New Roman" w:hAnsi="Times New Roman" w:cs="Times New Roman"/>
        </w:rPr>
        <w:t xml:space="preserve"> against the needs of </w:t>
      </w:r>
      <w:r w:rsidR="00DF78D3" w:rsidRPr="0089051B">
        <w:rPr>
          <w:rFonts w:ascii="Times New Roman" w:hAnsi="Times New Roman" w:cs="Times New Roman"/>
        </w:rPr>
        <w:t xml:space="preserve">legal certainty </w:t>
      </w:r>
      <w:r w:rsidR="00923EF2" w:rsidRPr="0089051B">
        <w:rPr>
          <w:rFonts w:ascii="Times New Roman" w:hAnsi="Times New Roman" w:cs="Times New Roman"/>
        </w:rPr>
        <w:t xml:space="preserve">having regard to the retrospective impacts of disapplication upon settled acts, decisions or relationships.  In response, the Court has overseen the development of a complex but largely successful and generally cooperative “mixed model” whereby Union law itself provides certain centralised solutions to various legal certainty problems; in default of </w:t>
      </w:r>
      <w:r w:rsidR="00923EF2" w:rsidRPr="0089051B">
        <w:rPr>
          <w:rFonts w:ascii="Times New Roman" w:hAnsi="Times New Roman" w:cs="Times New Roman"/>
        </w:rPr>
        <w:lastRenderedPageBreak/>
        <w:t xml:space="preserve">which the Member States may exercise their own national procedural autonomy, subject to the familiar principles of equivalence and effectiveness.  </w:t>
      </w:r>
    </w:p>
    <w:p w14:paraId="41FD18F1" w14:textId="13D29DE6" w:rsidR="003B1F4C" w:rsidRPr="0089051B" w:rsidRDefault="006E5E55" w:rsidP="006E5E55">
      <w:pPr>
        <w:ind w:firstLine="720"/>
        <w:jc w:val="both"/>
        <w:rPr>
          <w:rFonts w:ascii="Times New Roman" w:hAnsi="Times New Roman" w:cs="Times New Roman"/>
        </w:rPr>
      </w:pPr>
      <w:r w:rsidRPr="0089051B">
        <w:rPr>
          <w:rFonts w:ascii="Times New Roman" w:hAnsi="Times New Roman" w:cs="Times New Roman"/>
        </w:rPr>
        <w:t>M</w:t>
      </w:r>
      <w:r w:rsidR="00923EF2" w:rsidRPr="0089051B">
        <w:rPr>
          <w:rFonts w:ascii="Times New Roman" w:hAnsi="Times New Roman" w:cs="Times New Roman"/>
        </w:rPr>
        <w:t>ore recently, a new category of “</w:t>
      </w:r>
      <w:r w:rsidR="00B81FD5" w:rsidRPr="0089051B">
        <w:rPr>
          <w:rFonts w:ascii="Times New Roman" w:hAnsi="Times New Roman" w:cs="Times New Roman"/>
        </w:rPr>
        <w:t>primacy</w:t>
      </w:r>
      <w:r w:rsidR="00923EF2" w:rsidRPr="0089051B">
        <w:rPr>
          <w:rFonts w:ascii="Times New Roman" w:hAnsi="Times New Roman" w:cs="Times New Roman"/>
        </w:rPr>
        <w:t xml:space="preserve"> dispute” has vied for greater judicial attention: </w:t>
      </w:r>
      <w:r w:rsidR="00DF78D3" w:rsidRPr="0089051B">
        <w:rPr>
          <w:rFonts w:ascii="Times New Roman" w:hAnsi="Times New Roman" w:cs="Times New Roman"/>
        </w:rPr>
        <w:t xml:space="preserve">challenges to </w:t>
      </w:r>
      <w:r w:rsidR="00923EF2" w:rsidRPr="0089051B">
        <w:rPr>
          <w:rFonts w:ascii="Times New Roman" w:hAnsi="Times New Roman" w:cs="Times New Roman"/>
        </w:rPr>
        <w:t xml:space="preserve">the principle of primacy motivated by a reasonable desire to balance the full effects of disapplication against the risk of creating a legal vacuum, capable of endangering legitimate public interest objectives, pending the adoption of fully compliant replacement measures by the Member State. </w:t>
      </w:r>
      <w:r w:rsidR="00FB09D5" w:rsidRPr="0089051B">
        <w:rPr>
          <w:rFonts w:ascii="Times New Roman" w:hAnsi="Times New Roman" w:cs="Times New Roman"/>
        </w:rPr>
        <w:t xml:space="preserve"> In response, the Court has instigated the development of another “mixed model”, again combining centralised and decentralised competence, this time to authorise the temporary suspension of </w:t>
      </w:r>
      <w:r w:rsidR="00B81FD5" w:rsidRPr="0089051B">
        <w:rPr>
          <w:rFonts w:ascii="Times New Roman" w:hAnsi="Times New Roman" w:cs="Times New Roman"/>
        </w:rPr>
        <w:t>primacy</w:t>
      </w:r>
      <w:r w:rsidR="00FB09D5" w:rsidRPr="0089051B">
        <w:rPr>
          <w:rFonts w:ascii="Times New Roman" w:hAnsi="Times New Roman" w:cs="Times New Roman"/>
        </w:rPr>
        <w:t xml:space="preserve"> and the interim maintenance of incompatible domestic legislation.  But the dividing line and inter-relationship between those two </w:t>
      </w:r>
      <w:r w:rsidR="00DF78D3" w:rsidRPr="0089051B">
        <w:rPr>
          <w:rFonts w:ascii="Times New Roman" w:hAnsi="Times New Roman" w:cs="Times New Roman"/>
        </w:rPr>
        <w:t xml:space="preserve">jurisdictions, </w:t>
      </w:r>
      <w:r w:rsidR="00FB09D5" w:rsidRPr="0089051B">
        <w:rPr>
          <w:rFonts w:ascii="Times New Roman" w:hAnsi="Times New Roman" w:cs="Times New Roman"/>
        </w:rPr>
        <w:t>as well as the more precise legal criteria governing their detailed exercise, remains in need of further elaboration and clarification</w:t>
      </w:r>
      <w:r w:rsidR="00612AC6" w:rsidRPr="0089051B">
        <w:rPr>
          <w:rFonts w:ascii="Times New Roman" w:hAnsi="Times New Roman" w:cs="Times New Roman"/>
        </w:rPr>
        <w:t xml:space="preserve"> – not least when it comes to the choice between recognising distinct and parallel competences (which </w:t>
      </w:r>
      <w:r w:rsidR="00AE679F">
        <w:rPr>
          <w:rFonts w:ascii="Times New Roman" w:hAnsi="Times New Roman" w:cs="Times New Roman"/>
        </w:rPr>
        <w:t xml:space="preserve">should </w:t>
      </w:r>
      <w:r w:rsidR="00612AC6" w:rsidRPr="0089051B">
        <w:rPr>
          <w:rFonts w:ascii="Times New Roman" w:hAnsi="Times New Roman" w:cs="Times New Roman"/>
        </w:rPr>
        <w:t xml:space="preserve">necessarily </w:t>
      </w:r>
      <w:r w:rsidR="00AE679F">
        <w:rPr>
          <w:rFonts w:ascii="Times New Roman" w:hAnsi="Times New Roman" w:cs="Times New Roman"/>
        </w:rPr>
        <w:t xml:space="preserve">imply </w:t>
      </w:r>
      <w:r w:rsidR="00612AC6" w:rsidRPr="0089051B">
        <w:rPr>
          <w:rFonts w:ascii="Times New Roman" w:hAnsi="Times New Roman" w:cs="Times New Roman"/>
        </w:rPr>
        <w:t xml:space="preserve">a limited role as well as strict controls over national discretion) or a unitary albeit shared </w:t>
      </w:r>
      <w:r w:rsidR="00AE679F">
        <w:rPr>
          <w:rFonts w:ascii="Times New Roman" w:hAnsi="Times New Roman" w:cs="Times New Roman"/>
        </w:rPr>
        <w:t xml:space="preserve">judicial </w:t>
      </w:r>
      <w:r w:rsidR="00612AC6" w:rsidRPr="0089051B">
        <w:rPr>
          <w:rFonts w:ascii="Times New Roman" w:hAnsi="Times New Roman" w:cs="Times New Roman"/>
        </w:rPr>
        <w:t>power (which could then</w:t>
      </w:r>
      <w:r w:rsidR="002601CD" w:rsidRPr="0089051B">
        <w:rPr>
          <w:rFonts w:ascii="Times New Roman" w:hAnsi="Times New Roman" w:cs="Times New Roman"/>
        </w:rPr>
        <w:t xml:space="preserve"> be allowed to</w:t>
      </w:r>
      <w:r w:rsidR="00612AC6" w:rsidRPr="0089051B">
        <w:rPr>
          <w:rFonts w:ascii="Times New Roman" w:hAnsi="Times New Roman" w:cs="Times New Roman"/>
        </w:rPr>
        <w:t xml:space="preserve"> evolve in a rather different direction)</w:t>
      </w:r>
      <w:r w:rsidR="00FB09D5" w:rsidRPr="0089051B">
        <w:rPr>
          <w:rFonts w:ascii="Times New Roman" w:hAnsi="Times New Roman" w:cs="Times New Roman"/>
        </w:rPr>
        <w:t xml:space="preserve">.  </w:t>
      </w:r>
      <w:bookmarkStart w:id="0" w:name="_GoBack"/>
      <w:bookmarkEnd w:id="0"/>
      <w:r w:rsidR="00612AC6" w:rsidRPr="0089051B">
        <w:rPr>
          <w:rFonts w:ascii="Times New Roman" w:hAnsi="Times New Roman" w:cs="Times New Roman"/>
        </w:rPr>
        <w:t xml:space="preserve">Either way, </w:t>
      </w:r>
      <w:r w:rsidR="009D3E1E" w:rsidRPr="0089051B">
        <w:rPr>
          <w:rFonts w:ascii="Times New Roman" w:hAnsi="Times New Roman" w:cs="Times New Roman"/>
        </w:rPr>
        <w:t xml:space="preserve">one should resist the temptation of viewing greater legal nuance, qualification and compromise in the </w:t>
      </w:r>
      <w:proofErr w:type="spellStart"/>
      <w:r w:rsidR="009D3E1E" w:rsidRPr="0089051B">
        <w:rPr>
          <w:rFonts w:ascii="Times New Roman" w:hAnsi="Times New Roman" w:cs="Times New Roman"/>
        </w:rPr>
        <w:t>operationalisation</w:t>
      </w:r>
      <w:proofErr w:type="spellEnd"/>
      <w:r w:rsidR="009D3E1E" w:rsidRPr="0089051B">
        <w:rPr>
          <w:rFonts w:ascii="Times New Roman" w:hAnsi="Times New Roman" w:cs="Times New Roman"/>
        </w:rPr>
        <w:t xml:space="preserve"> of the principle of primacy as some sort of existential threat to the uniform and effective functioning of the Union legal system: </w:t>
      </w:r>
      <w:r w:rsidR="00612AC6" w:rsidRPr="0089051B">
        <w:rPr>
          <w:rFonts w:ascii="Times New Roman" w:hAnsi="Times New Roman" w:cs="Times New Roman"/>
        </w:rPr>
        <w:t xml:space="preserve">after all, </w:t>
      </w:r>
      <w:r w:rsidR="00B81FD5" w:rsidRPr="0089051B">
        <w:rPr>
          <w:rFonts w:ascii="Times New Roman" w:hAnsi="Times New Roman" w:cs="Times New Roman"/>
        </w:rPr>
        <w:t>primacy</w:t>
      </w:r>
      <w:r w:rsidR="00BA6570" w:rsidRPr="0089051B">
        <w:rPr>
          <w:rFonts w:ascii="Times New Roman" w:hAnsi="Times New Roman" w:cs="Times New Roman"/>
        </w:rPr>
        <w:t>, it’s only a remedy</w:t>
      </w:r>
      <w:r w:rsidR="003B3204" w:rsidRPr="0089051B">
        <w:rPr>
          <w:rFonts w:ascii="Times New Roman" w:hAnsi="Times New Roman" w:cs="Times New Roman"/>
        </w:rPr>
        <w:t xml:space="preserve">.  </w:t>
      </w:r>
    </w:p>
    <w:sectPr w:rsidR="003B1F4C" w:rsidRPr="0089051B" w:rsidSect="008F39C3">
      <w:footerReference w:type="even" r:id="rId9"/>
      <w:footerReference w:type="default" r:id="rId1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A96DB" w14:textId="77777777" w:rsidR="00F9432E" w:rsidRDefault="00F9432E" w:rsidP="008766F2">
      <w:r>
        <w:separator/>
      </w:r>
    </w:p>
  </w:endnote>
  <w:endnote w:type="continuationSeparator" w:id="0">
    <w:p w14:paraId="2BA8C3CC" w14:textId="77777777" w:rsidR="00F9432E" w:rsidRDefault="00F9432E" w:rsidP="0087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DF6B" w14:textId="77777777" w:rsidR="00F9432E" w:rsidRDefault="00F9432E" w:rsidP="00721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63737" w14:textId="77777777" w:rsidR="00F9432E" w:rsidRDefault="00F943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BE9B" w14:textId="77777777" w:rsidR="00F9432E" w:rsidRDefault="00F9432E" w:rsidP="00721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79F">
      <w:rPr>
        <w:rStyle w:val="PageNumber"/>
        <w:noProof/>
      </w:rPr>
      <w:t>1</w:t>
    </w:r>
    <w:r>
      <w:rPr>
        <w:rStyle w:val="PageNumber"/>
      </w:rPr>
      <w:fldChar w:fldCharType="end"/>
    </w:r>
  </w:p>
  <w:p w14:paraId="4E1F9CC3" w14:textId="77777777" w:rsidR="00F9432E" w:rsidRDefault="00F943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92C13" w14:textId="77777777" w:rsidR="00F9432E" w:rsidRDefault="00F9432E" w:rsidP="008766F2">
      <w:r>
        <w:separator/>
      </w:r>
    </w:p>
  </w:footnote>
  <w:footnote w:type="continuationSeparator" w:id="0">
    <w:p w14:paraId="0E432888" w14:textId="77777777" w:rsidR="00F9432E" w:rsidRDefault="00F9432E" w:rsidP="008766F2">
      <w:r>
        <w:continuationSeparator/>
      </w:r>
    </w:p>
  </w:footnote>
  <w:footnote w:id="1">
    <w:p w14:paraId="5FB3D54F" w14:textId="6730C1A6" w:rsidR="00F9432E" w:rsidRPr="0089051B" w:rsidRDefault="00F9432E" w:rsidP="0061452E">
      <w:pPr>
        <w:pStyle w:val="FootnoteText"/>
        <w:jc w:val="both"/>
        <w:rPr>
          <w:rFonts w:ascii="Times New Roman" w:hAnsi="Times New Roman" w:cs="Times New Roman"/>
          <w:sz w:val="20"/>
          <w:szCs w:val="20"/>
        </w:rPr>
      </w:pPr>
      <w:r w:rsidRPr="0089051B">
        <w:rPr>
          <w:rFonts w:ascii="Times New Roman" w:hAnsi="Times New Roman" w:cs="Times New Roman"/>
          <w:sz w:val="20"/>
          <w:szCs w:val="20"/>
        </w:rPr>
        <w:t xml:space="preserve">* University of Liverpool.  I am indebted to the reviewers at </w:t>
      </w:r>
      <w:proofErr w:type="spellStart"/>
      <w:r>
        <w:rPr>
          <w:rFonts w:ascii="Times New Roman" w:hAnsi="Times New Roman" w:cs="Times New Roman"/>
          <w:sz w:val="20"/>
          <w:szCs w:val="20"/>
        </w:rPr>
        <w:t>CMLRev</w:t>
      </w:r>
      <w:proofErr w:type="spellEnd"/>
      <w:r w:rsidRPr="0089051B">
        <w:rPr>
          <w:rFonts w:ascii="Times New Roman" w:hAnsi="Times New Roman" w:cs="Times New Roman"/>
          <w:sz w:val="20"/>
          <w:szCs w:val="20"/>
        </w:rPr>
        <w:t xml:space="preserve"> for their insightful and invaluable comments</w:t>
      </w:r>
      <w:r>
        <w:rPr>
          <w:rFonts w:ascii="Times New Roman" w:hAnsi="Times New Roman" w:cs="Times New Roman"/>
          <w:sz w:val="20"/>
          <w:szCs w:val="20"/>
        </w:rPr>
        <w:t xml:space="preserve"> and suggestions</w:t>
      </w:r>
      <w:r w:rsidRPr="0089051B">
        <w:rPr>
          <w:rFonts w:ascii="Times New Roman" w:hAnsi="Times New Roman" w:cs="Times New Roman"/>
          <w:sz w:val="20"/>
          <w:szCs w:val="20"/>
        </w:rPr>
        <w:t xml:space="preserve">. </w:t>
      </w:r>
    </w:p>
    <w:p w14:paraId="01D49304" w14:textId="27146DE4"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Opinion 1/17, EU</w:t>
      </w:r>
      <w:proofErr w:type="gramStart"/>
      <w:r w:rsidRPr="0089051B">
        <w:rPr>
          <w:rFonts w:ascii="Times New Roman" w:hAnsi="Times New Roman" w:cs="Times New Roman"/>
          <w:sz w:val="20"/>
          <w:szCs w:val="20"/>
        </w:rPr>
        <w:t>:C:2019:341</w:t>
      </w:r>
      <w:proofErr w:type="gram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109-110.  Similarly, e.g. Opinion 1/09, EU</w:t>
      </w:r>
      <w:proofErr w:type="gramStart"/>
      <w:r w:rsidRPr="0089051B">
        <w:rPr>
          <w:rFonts w:ascii="Times New Roman" w:hAnsi="Times New Roman" w:cs="Times New Roman"/>
          <w:sz w:val="20"/>
          <w:szCs w:val="20"/>
        </w:rPr>
        <w:t>:C:2011:123</w:t>
      </w:r>
      <w:proofErr w:type="gramEnd"/>
      <w:r w:rsidRPr="0089051B">
        <w:rPr>
          <w:rFonts w:ascii="Times New Roman" w:hAnsi="Times New Roman" w:cs="Times New Roman"/>
          <w:sz w:val="20"/>
          <w:szCs w:val="20"/>
        </w:rPr>
        <w:t xml:space="preserve">; Opinion 2/13, EU:C:2014:2454; Case C-621/18, </w:t>
      </w:r>
      <w:r w:rsidRPr="0089051B">
        <w:rPr>
          <w:rFonts w:ascii="Times New Roman" w:hAnsi="Times New Roman" w:cs="Times New Roman"/>
          <w:i/>
          <w:sz w:val="20"/>
          <w:szCs w:val="20"/>
        </w:rPr>
        <w:t>Wightman</w:t>
      </w:r>
      <w:r w:rsidRPr="0089051B">
        <w:rPr>
          <w:rFonts w:ascii="Times New Roman" w:hAnsi="Times New Roman" w:cs="Times New Roman"/>
          <w:sz w:val="20"/>
          <w:szCs w:val="20"/>
        </w:rPr>
        <w:t xml:space="preserve">, EU:C:2018:999.  </w:t>
      </w:r>
    </w:p>
  </w:footnote>
  <w:footnote w:id="2">
    <w:p w14:paraId="62F05563" w14:textId="53A71C11"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All the way, of course, since Case 6/64, </w:t>
      </w:r>
      <w:r w:rsidRPr="0089051B">
        <w:rPr>
          <w:rFonts w:ascii="Times New Roman" w:hAnsi="Times New Roman" w:cs="Times New Roman"/>
          <w:i/>
          <w:sz w:val="20"/>
          <w:szCs w:val="20"/>
        </w:rPr>
        <w:t xml:space="preserve">Costa </w:t>
      </w:r>
      <w:r w:rsidRPr="0083747D">
        <w:rPr>
          <w:rFonts w:ascii="Times New Roman" w:hAnsi="Times New Roman" w:cs="Times New Roman"/>
          <w:sz w:val="20"/>
          <w:szCs w:val="20"/>
        </w:rPr>
        <w:t>v</w:t>
      </w:r>
      <w:r>
        <w:rPr>
          <w:rFonts w:ascii="Times New Roman" w:hAnsi="Times New Roman" w:cs="Times New Roman"/>
          <w:sz w:val="20"/>
          <w:szCs w:val="20"/>
        </w:rPr>
        <w:t>.</w:t>
      </w:r>
      <w:r w:rsidRPr="0083747D">
        <w:rPr>
          <w:rFonts w:ascii="Times New Roman" w:hAnsi="Times New Roman" w:cs="Times New Roman"/>
          <w:sz w:val="20"/>
          <w:szCs w:val="20"/>
        </w:rPr>
        <w:t xml:space="preserve"> </w:t>
      </w:r>
      <w:r w:rsidRPr="0089051B">
        <w:rPr>
          <w:rFonts w:ascii="Times New Roman" w:hAnsi="Times New Roman" w:cs="Times New Roman"/>
          <w:i/>
          <w:sz w:val="20"/>
          <w:szCs w:val="20"/>
        </w:rPr>
        <w:t>ENEL</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:C:1964:66</w:t>
      </w:r>
      <w:proofErr w:type="gramEnd"/>
      <w:r w:rsidRPr="0089051B">
        <w:rPr>
          <w:rFonts w:ascii="Times New Roman" w:hAnsi="Times New Roman" w:cs="Times New Roman"/>
          <w:sz w:val="20"/>
          <w:szCs w:val="20"/>
        </w:rPr>
        <w:t>.</w:t>
      </w:r>
    </w:p>
  </w:footnote>
  <w:footnote w:id="3">
    <w:p w14:paraId="33B9E849" w14:textId="4DB8ACA3"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lang w:val="en-US"/>
        </w:rPr>
        <w:t>Having last done so during the debates surrounding the Treaty establishing a Constitution for Europe and, in particular, about whether / how to codify “primacy” in written primary law – the ultimate outcome of which (via the Lisbon Treaty) is now Declaration No 17.</w:t>
      </w:r>
      <w:proofErr w:type="gramEnd"/>
      <w:r w:rsidRPr="0089051B">
        <w:rPr>
          <w:rFonts w:ascii="Times New Roman" w:hAnsi="Times New Roman" w:cs="Times New Roman"/>
          <w:sz w:val="20"/>
          <w:szCs w:val="20"/>
          <w:lang w:val="en-US"/>
        </w:rPr>
        <w:t xml:space="preserve"> </w:t>
      </w:r>
    </w:p>
  </w:footnote>
  <w:footnote w:id="4">
    <w:p w14:paraId="1796535F" w14:textId="70EDA9FA"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The extreme example, of course, being the UK’s debate over membership and withdrawal in which the slogan “take back control” was central to the Leave campaign.</w:t>
      </w:r>
      <w:proofErr w:type="gramEnd"/>
    </w:p>
  </w:footnote>
  <w:footnote w:id="5">
    <w:p w14:paraId="213088DB" w14:textId="2EFEBFDD"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For a nice recent example, consider explanation of the supposedly “problematic” ruling in Case C-129/94, </w:t>
      </w:r>
      <w:r w:rsidRPr="0089051B">
        <w:rPr>
          <w:rFonts w:ascii="Times New Roman" w:hAnsi="Times New Roman" w:cs="Times New Roman"/>
          <w:i/>
          <w:sz w:val="20"/>
          <w:szCs w:val="20"/>
        </w:rPr>
        <w:t xml:space="preserve">Ruiz </w:t>
      </w:r>
      <w:proofErr w:type="spellStart"/>
      <w:r w:rsidRPr="0089051B">
        <w:rPr>
          <w:rFonts w:ascii="Times New Roman" w:hAnsi="Times New Roman" w:cs="Times New Roman"/>
          <w:i/>
          <w:sz w:val="20"/>
          <w:szCs w:val="20"/>
        </w:rPr>
        <w:t>Bernáldez</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:C:1996:143</w:t>
      </w:r>
      <w:proofErr w:type="gramEnd"/>
      <w:r w:rsidRPr="0089051B">
        <w:rPr>
          <w:rFonts w:ascii="Times New Roman" w:hAnsi="Times New Roman" w:cs="Times New Roman"/>
          <w:sz w:val="20"/>
          <w:szCs w:val="20"/>
        </w:rPr>
        <w:t xml:space="preserve"> by the Court in Case C-122/17, </w:t>
      </w:r>
      <w:r w:rsidRPr="0089051B">
        <w:rPr>
          <w:rFonts w:ascii="Times New Roman" w:hAnsi="Times New Roman" w:cs="Times New Roman"/>
          <w:i/>
          <w:sz w:val="20"/>
          <w:szCs w:val="20"/>
        </w:rPr>
        <w:t>Smith</w:t>
      </w:r>
      <w:r w:rsidRPr="0089051B">
        <w:rPr>
          <w:rFonts w:ascii="Times New Roman" w:hAnsi="Times New Roman" w:cs="Times New Roman"/>
          <w:sz w:val="20"/>
          <w:szCs w:val="20"/>
        </w:rPr>
        <w:t>, EU:C:2018:631.</w:t>
      </w:r>
    </w:p>
  </w:footnote>
  <w:footnote w:id="6">
    <w:p w14:paraId="5DFEFB92" w14:textId="558F5678"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106/77, </w:t>
      </w:r>
      <w:proofErr w:type="spellStart"/>
      <w:r w:rsidRPr="0089051B">
        <w:rPr>
          <w:rFonts w:ascii="Times New Roman" w:hAnsi="Times New Roman" w:cs="Times New Roman"/>
          <w:i/>
          <w:sz w:val="20"/>
          <w:szCs w:val="20"/>
        </w:rPr>
        <w:t>Simmenthal</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:C:1978:49</w:t>
      </w:r>
      <w:proofErr w:type="gramEnd"/>
      <w:r w:rsidRPr="0089051B">
        <w:rPr>
          <w:rFonts w:ascii="Times New Roman" w:hAnsi="Times New Roman" w:cs="Times New Roman"/>
          <w:sz w:val="20"/>
          <w:szCs w:val="20"/>
        </w:rPr>
        <w:t>.</w:t>
      </w:r>
    </w:p>
  </w:footnote>
  <w:footnote w:id="7">
    <w:p w14:paraId="1A05EADB" w14:textId="5C67F286"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C-10/97 to C-22/97, </w:t>
      </w:r>
      <w:r w:rsidRPr="0089051B">
        <w:rPr>
          <w:rFonts w:ascii="Times New Roman" w:hAnsi="Times New Roman" w:cs="Times New Roman"/>
          <w:i/>
          <w:sz w:val="20"/>
          <w:szCs w:val="20"/>
        </w:rPr>
        <w:t>IN.CO.GE.’90</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:C:1998:498</w:t>
      </w:r>
      <w:proofErr w:type="gramEnd"/>
      <w:r w:rsidRPr="0089051B">
        <w:rPr>
          <w:rFonts w:ascii="Times New Roman" w:hAnsi="Times New Roman" w:cs="Times New Roman"/>
          <w:sz w:val="20"/>
          <w:szCs w:val="20"/>
        </w:rPr>
        <w:t xml:space="preserve">; Case C-66/13, </w:t>
      </w:r>
      <w:r w:rsidRPr="0089051B">
        <w:rPr>
          <w:rFonts w:ascii="Times New Roman" w:hAnsi="Times New Roman" w:cs="Times New Roman"/>
          <w:i/>
          <w:sz w:val="20"/>
          <w:szCs w:val="20"/>
        </w:rPr>
        <w:t>Green Network</w:t>
      </w:r>
      <w:r w:rsidRPr="0089051B">
        <w:rPr>
          <w:rFonts w:ascii="Times New Roman" w:hAnsi="Times New Roman" w:cs="Times New Roman"/>
          <w:sz w:val="20"/>
          <w:szCs w:val="20"/>
        </w:rPr>
        <w:t xml:space="preserve">, EU:C:2014:2399.  See further, e.g. </w:t>
      </w:r>
      <w:proofErr w:type="spellStart"/>
      <w:r w:rsidRPr="0089051B">
        <w:rPr>
          <w:rFonts w:ascii="Times New Roman" w:hAnsi="Times New Roman" w:cs="Times New Roman"/>
          <w:sz w:val="20"/>
          <w:szCs w:val="20"/>
        </w:rPr>
        <w:t>Schütze</w:t>
      </w:r>
      <w:proofErr w:type="spellEnd"/>
      <w:r w:rsidRPr="0089051B">
        <w:rPr>
          <w:rFonts w:ascii="Times New Roman" w:hAnsi="Times New Roman" w:cs="Times New Roman"/>
          <w:sz w:val="20"/>
          <w:szCs w:val="20"/>
        </w:rPr>
        <w:t>, “Primacy Without Pre-Emption: The Very Slowly Emergent Doctrine of Community Pre-Emption”</w:t>
      </w:r>
      <w:r>
        <w:rPr>
          <w:rFonts w:ascii="Times New Roman" w:hAnsi="Times New Roman" w:cs="Times New Roman"/>
          <w:sz w:val="20"/>
          <w:szCs w:val="20"/>
        </w:rPr>
        <w:t>,</w:t>
      </w:r>
      <w:r w:rsidRPr="0089051B">
        <w:rPr>
          <w:rFonts w:ascii="Times New Roman" w:hAnsi="Times New Roman" w:cs="Times New Roman"/>
          <w:sz w:val="20"/>
          <w:szCs w:val="20"/>
        </w:rPr>
        <w:t xml:space="preserve"> 43 </w:t>
      </w:r>
      <w:r>
        <w:rPr>
          <w:rFonts w:ascii="Times New Roman" w:hAnsi="Times New Roman" w:cs="Times New Roman"/>
          <w:sz w:val="20"/>
          <w:szCs w:val="20"/>
        </w:rPr>
        <w:t>CML Rev.</w:t>
      </w:r>
      <w:r w:rsidRPr="0089051B">
        <w:rPr>
          <w:rFonts w:ascii="Times New Roman" w:hAnsi="Times New Roman" w:cs="Times New Roman"/>
          <w:sz w:val="20"/>
          <w:szCs w:val="20"/>
        </w:rPr>
        <w:t xml:space="preserve"> (2006)</w:t>
      </w:r>
      <w:r>
        <w:rPr>
          <w:rFonts w:ascii="Times New Roman" w:hAnsi="Times New Roman" w:cs="Times New Roman"/>
          <w:sz w:val="20"/>
          <w:szCs w:val="20"/>
        </w:rPr>
        <w:t>,</w:t>
      </w:r>
      <w:r w:rsidRPr="0089051B">
        <w:rPr>
          <w:rFonts w:ascii="Times New Roman" w:hAnsi="Times New Roman" w:cs="Times New Roman"/>
          <w:sz w:val="20"/>
          <w:szCs w:val="20"/>
        </w:rPr>
        <w:t xml:space="preserve"> 1023.</w:t>
      </w:r>
    </w:p>
  </w:footnote>
  <w:footnote w:id="8">
    <w:p w14:paraId="2255905F" w14:textId="5EE6662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E.g. </w:t>
      </w:r>
      <w:r w:rsidRPr="0089051B">
        <w:rPr>
          <w:rFonts w:ascii="Times New Roman" w:hAnsi="Times New Roman" w:cs="Times New Roman"/>
          <w:sz w:val="20"/>
          <w:szCs w:val="20"/>
        </w:rPr>
        <w:t xml:space="preserve">Case C-282/10, </w:t>
      </w:r>
      <w:r w:rsidRPr="0089051B">
        <w:rPr>
          <w:rFonts w:ascii="Times New Roman" w:hAnsi="Times New Roman" w:cs="Times New Roman"/>
          <w:i/>
          <w:sz w:val="20"/>
          <w:szCs w:val="20"/>
        </w:rPr>
        <w:t>Dominguez</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:C:2012:33</w:t>
      </w:r>
      <w:proofErr w:type="gramEnd"/>
      <w:r w:rsidRPr="0089051B">
        <w:rPr>
          <w:rFonts w:ascii="Times New Roman" w:hAnsi="Times New Roman" w:cs="Times New Roman"/>
          <w:sz w:val="20"/>
          <w:szCs w:val="20"/>
        </w:rPr>
        <w:t xml:space="preserve">; Case C-97/11, </w:t>
      </w:r>
      <w:proofErr w:type="spellStart"/>
      <w:r w:rsidRPr="0089051B">
        <w:rPr>
          <w:rFonts w:ascii="Times New Roman" w:hAnsi="Times New Roman" w:cs="Times New Roman"/>
          <w:i/>
          <w:sz w:val="20"/>
          <w:szCs w:val="20"/>
        </w:rPr>
        <w:t>Amia</w:t>
      </w:r>
      <w:proofErr w:type="spellEnd"/>
      <w:r w:rsidRPr="0089051B">
        <w:rPr>
          <w:rFonts w:ascii="Times New Roman" w:hAnsi="Times New Roman" w:cs="Times New Roman"/>
          <w:sz w:val="20"/>
          <w:szCs w:val="20"/>
        </w:rPr>
        <w:t xml:space="preserve">, EU:C:2012:306; Case C-306/12, </w:t>
      </w:r>
      <w:proofErr w:type="spellStart"/>
      <w:r w:rsidRPr="0089051B">
        <w:rPr>
          <w:rFonts w:ascii="Times New Roman" w:hAnsi="Times New Roman" w:cs="Times New Roman"/>
          <w:i/>
          <w:sz w:val="20"/>
          <w:szCs w:val="20"/>
        </w:rPr>
        <w:t>Avanssur</w:t>
      </w:r>
      <w:proofErr w:type="spellEnd"/>
      <w:r w:rsidRPr="0089051B">
        <w:rPr>
          <w:rFonts w:ascii="Times New Roman" w:hAnsi="Times New Roman" w:cs="Times New Roman"/>
          <w:sz w:val="20"/>
          <w:szCs w:val="20"/>
        </w:rPr>
        <w:t>, EU:C:2013:650.</w:t>
      </w:r>
    </w:p>
  </w:footnote>
  <w:footnote w:id="9">
    <w:p w14:paraId="78500A7D" w14:textId="191FE795"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As established in Case 14/83, </w:t>
      </w:r>
      <w:r w:rsidRPr="0089051B">
        <w:rPr>
          <w:rFonts w:ascii="Times New Roman" w:hAnsi="Times New Roman" w:cs="Times New Roman"/>
          <w:i/>
          <w:sz w:val="20"/>
          <w:szCs w:val="20"/>
        </w:rPr>
        <w:t>von Colson,</w:t>
      </w:r>
      <w:r w:rsidRPr="0089051B">
        <w:rPr>
          <w:rFonts w:ascii="Times New Roman" w:hAnsi="Times New Roman" w:cs="Times New Roman"/>
          <w:sz w:val="20"/>
          <w:szCs w:val="20"/>
        </w:rPr>
        <w:t xml:space="preserve"> EU</w:t>
      </w:r>
      <w:proofErr w:type="gramStart"/>
      <w:r w:rsidRPr="0089051B">
        <w:rPr>
          <w:rFonts w:ascii="Times New Roman" w:hAnsi="Times New Roman" w:cs="Times New Roman"/>
          <w:sz w:val="20"/>
          <w:szCs w:val="20"/>
        </w:rPr>
        <w:t>:C:1984:153</w:t>
      </w:r>
      <w:proofErr w:type="gramEnd"/>
      <w:r w:rsidRPr="0089051B">
        <w:rPr>
          <w:rFonts w:ascii="Times New Roman" w:hAnsi="Times New Roman" w:cs="Times New Roman"/>
          <w:sz w:val="20"/>
          <w:szCs w:val="20"/>
        </w:rPr>
        <w:t xml:space="preserve"> and Case C-106/89,</w:t>
      </w:r>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Marleasing</w:t>
      </w:r>
      <w:proofErr w:type="spellEnd"/>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EU:C:1990:395.</w:t>
      </w:r>
    </w:p>
  </w:footnote>
  <w:footnote w:id="10">
    <w:p w14:paraId="41FF78D4" w14:textId="5AC0E8F4"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C-200/91, </w:t>
      </w:r>
      <w:proofErr w:type="spellStart"/>
      <w:r w:rsidRPr="0089051B">
        <w:rPr>
          <w:rFonts w:ascii="Times New Roman" w:hAnsi="Times New Roman" w:cs="Times New Roman"/>
          <w:i/>
          <w:sz w:val="20"/>
          <w:szCs w:val="20"/>
        </w:rPr>
        <w:t>Coloroll</w:t>
      </w:r>
      <w:proofErr w:type="spellEnd"/>
      <w:r w:rsidRPr="0089051B">
        <w:rPr>
          <w:rFonts w:ascii="Times New Roman" w:hAnsi="Times New Roman" w:cs="Times New Roman"/>
          <w:i/>
          <w:sz w:val="20"/>
          <w:szCs w:val="20"/>
        </w:rPr>
        <w:t xml:space="preserve"> Pension Trustees</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:C:1994:348</w:t>
      </w:r>
      <w:proofErr w:type="gramEnd"/>
      <w:r w:rsidRPr="0089051B">
        <w:rPr>
          <w:rFonts w:ascii="Times New Roman" w:hAnsi="Times New Roman" w:cs="Times New Roman"/>
          <w:sz w:val="20"/>
          <w:szCs w:val="20"/>
        </w:rPr>
        <w:t xml:space="preserve">; Case C-262/97, </w:t>
      </w:r>
      <w:proofErr w:type="spellStart"/>
      <w:r w:rsidRPr="0089051B">
        <w:rPr>
          <w:rFonts w:ascii="Times New Roman" w:hAnsi="Times New Roman" w:cs="Times New Roman"/>
          <w:i/>
          <w:sz w:val="20"/>
          <w:szCs w:val="20"/>
        </w:rPr>
        <w:t>Engelbrecht</w:t>
      </w:r>
      <w:proofErr w:type="spellEnd"/>
      <w:r w:rsidRPr="0089051B">
        <w:rPr>
          <w:rFonts w:ascii="Times New Roman" w:hAnsi="Times New Roman" w:cs="Times New Roman"/>
          <w:sz w:val="20"/>
          <w:szCs w:val="20"/>
        </w:rPr>
        <w:t xml:space="preserve">, EU:C:2000:492; Case C-8/02, </w:t>
      </w:r>
      <w:proofErr w:type="spellStart"/>
      <w:r w:rsidRPr="0089051B">
        <w:rPr>
          <w:rFonts w:ascii="Times New Roman" w:hAnsi="Times New Roman" w:cs="Times New Roman"/>
          <w:i/>
          <w:sz w:val="20"/>
          <w:szCs w:val="20"/>
        </w:rPr>
        <w:t>Leichtle</w:t>
      </w:r>
      <w:proofErr w:type="spellEnd"/>
      <w:r w:rsidRPr="0089051B">
        <w:rPr>
          <w:rFonts w:ascii="Times New Roman" w:hAnsi="Times New Roman" w:cs="Times New Roman"/>
          <w:sz w:val="20"/>
          <w:szCs w:val="20"/>
        </w:rPr>
        <w:t xml:space="preserve">, EU:C:2004:161; Case C-208/05, </w:t>
      </w:r>
      <w:r w:rsidRPr="0089051B">
        <w:rPr>
          <w:rFonts w:ascii="Times New Roman" w:hAnsi="Times New Roman" w:cs="Times New Roman"/>
          <w:i/>
          <w:sz w:val="20"/>
          <w:szCs w:val="20"/>
        </w:rPr>
        <w:t>ITC Innovative Technology Centre</w:t>
      </w:r>
      <w:r w:rsidRPr="0089051B">
        <w:rPr>
          <w:rFonts w:ascii="Times New Roman" w:hAnsi="Times New Roman" w:cs="Times New Roman"/>
          <w:sz w:val="20"/>
          <w:szCs w:val="20"/>
        </w:rPr>
        <w:t xml:space="preserve">, EU:C:2007:16; Case C-357/06, </w:t>
      </w:r>
      <w:proofErr w:type="spellStart"/>
      <w:r w:rsidRPr="0089051B">
        <w:rPr>
          <w:rFonts w:ascii="Times New Roman" w:hAnsi="Times New Roman" w:cs="Times New Roman"/>
          <w:i/>
          <w:sz w:val="20"/>
          <w:szCs w:val="20"/>
        </w:rPr>
        <w:t>Frigerio</w:t>
      </w:r>
      <w:proofErr w:type="spellEnd"/>
      <w:r w:rsidRPr="0089051B">
        <w:rPr>
          <w:rFonts w:ascii="Times New Roman" w:hAnsi="Times New Roman" w:cs="Times New Roman"/>
          <w:i/>
          <w:sz w:val="20"/>
          <w:szCs w:val="20"/>
        </w:rPr>
        <w:t xml:space="preserve"> Luigi</w:t>
      </w:r>
      <w:r w:rsidRPr="0089051B">
        <w:rPr>
          <w:rFonts w:ascii="Times New Roman" w:hAnsi="Times New Roman" w:cs="Times New Roman"/>
          <w:sz w:val="20"/>
          <w:szCs w:val="20"/>
        </w:rPr>
        <w:t xml:space="preserve">, EU:C:2007:818; Case C-115/08, </w:t>
      </w:r>
      <w:r w:rsidRPr="0089051B">
        <w:rPr>
          <w:rFonts w:ascii="Times New Roman" w:hAnsi="Times New Roman" w:cs="Times New Roman"/>
          <w:i/>
          <w:sz w:val="20"/>
          <w:szCs w:val="20"/>
        </w:rPr>
        <w:t>ČEZ</w:t>
      </w:r>
      <w:r w:rsidRPr="0089051B">
        <w:rPr>
          <w:rFonts w:ascii="Times New Roman" w:hAnsi="Times New Roman" w:cs="Times New Roman"/>
          <w:sz w:val="20"/>
          <w:szCs w:val="20"/>
        </w:rPr>
        <w:t xml:space="preserve">, EU:C:2009:660; Cases C-395/08 and C-396/08, </w:t>
      </w:r>
      <w:r w:rsidRPr="0089051B">
        <w:rPr>
          <w:rFonts w:ascii="Times New Roman" w:hAnsi="Times New Roman" w:cs="Times New Roman"/>
          <w:i/>
          <w:sz w:val="20"/>
          <w:szCs w:val="20"/>
        </w:rPr>
        <w:t>Bruno</w:t>
      </w:r>
      <w:r w:rsidRPr="0089051B">
        <w:rPr>
          <w:rFonts w:ascii="Times New Roman" w:hAnsi="Times New Roman" w:cs="Times New Roman"/>
          <w:sz w:val="20"/>
          <w:szCs w:val="20"/>
        </w:rPr>
        <w:t xml:space="preserve">, EU:C:2010:329; Case C-142/12, </w:t>
      </w:r>
      <w:proofErr w:type="spellStart"/>
      <w:r w:rsidRPr="0089051B">
        <w:rPr>
          <w:rFonts w:ascii="Times New Roman" w:hAnsi="Times New Roman" w:cs="Times New Roman"/>
          <w:i/>
          <w:sz w:val="20"/>
          <w:szCs w:val="20"/>
        </w:rPr>
        <w:t>Marinov</w:t>
      </w:r>
      <w:proofErr w:type="spellEnd"/>
      <w:r w:rsidRPr="0089051B">
        <w:rPr>
          <w:rFonts w:ascii="Times New Roman" w:hAnsi="Times New Roman" w:cs="Times New Roman"/>
          <w:sz w:val="20"/>
          <w:szCs w:val="20"/>
        </w:rPr>
        <w:t>, EU:C:2013:292.</w:t>
      </w:r>
    </w:p>
  </w:footnote>
  <w:footnote w:id="11">
    <w:p w14:paraId="65D194E1" w14:textId="64715202"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the restatement of relevant principles by the Grand Chamber in Case C-573/17, </w:t>
      </w:r>
      <w:proofErr w:type="spellStart"/>
      <w:r w:rsidRPr="0089051B">
        <w:rPr>
          <w:rFonts w:ascii="Times New Roman" w:hAnsi="Times New Roman" w:cs="Times New Roman"/>
          <w:i/>
          <w:sz w:val="20"/>
          <w:szCs w:val="20"/>
        </w:rPr>
        <w:t>Popławski</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:C:2019:530</w:t>
      </w:r>
      <w:proofErr w:type="gramEnd"/>
      <w:r w:rsidRPr="0089051B">
        <w:rPr>
          <w:rFonts w:ascii="Times New Roman" w:hAnsi="Times New Roman" w:cs="Times New Roman"/>
          <w:sz w:val="20"/>
          <w:szCs w:val="20"/>
        </w:rPr>
        <w:t xml:space="preserve">.  </w:t>
      </w:r>
    </w:p>
  </w:footnote>
  <w:footnote w:id="12">
    <w:p w14:paraId="327CD72A" w14:textId="36AC0875"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E.g. </w:t>
      </w:r>
      <w:r w:rsidRPr="0089051B">
        <w:rPr>
          <w:rFonts w:ascii="Times New Roman" w:hAnsi="Times New Roman" w:cs="Times New Roman"/>
          <w:sz w:val="20"/>
          <w:szCs w:val="20"/>
        </w:rPr>
        <w:t xml:space="preserve">Case C-97/11, </w:t>
      </w:r>
      <w:proofErr w:type="spellStart"/>
      <w:r w:rsidRPr="0089051B">
        <w:rPr>
          <w:rFonts w:ascii="Times New Roman" w:hAnsi="Times New Roman" w:cs="Times New Roman"/>
          <w:i/>
          <w:sz w:val="20"/>
          <w:szCs w:val="20"/>
        </w:rPr>
        <w:t>Amia</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:C:2012:306</w:t>
      </w:r>
      <w:proofErr w:type="gramEnd"/>
      <w:r w:rsidRPr="0089051B">
        <w:rPr>
          <w:rFonts w:ascii="Times New Roman" w:hAnsi="Times New Roman" w:cs="Times New Roman"/>
          <w:sz w:val="20"/>
          <w:szCs w:val="20"/>
        </w:rPr>
        <w:t xml:space="preserve">; Case C-619/16, </w:t>
      </w:r>
      <w:proofErr w:type="spellStart"/>
      <w:r w:rsidRPr="0089051B">
        <w:rPr>
          <w:rFonts w:ascii="Times New Roman" w:hAnsi="Times New Roman" w:cs="Times New Roman"/>
          <w:i/>
          <w:sz w:val="20"/>
          <w:szCs w:val="20"/>
        </w:rPr>
        <w:t>Kreuziger</w:t>
      </w:r>
      <w:proofErr w:type="spellEnd"/>
      <w:r w:rsidRPr="0089051B">
        <w:rPr>
          <w:rFonts w:ascii="Times New Roman" w:hAnsi="Times New Roman" w:cs="Times New Roman"/>
          <w:sz w:val="20"/>
          <w:szCs w:val="20"/>
        </w:rPr>
        <w:t>, EU:C:2018:872.</w:t>
      </w:r>
    </w:p>
  </w:footnote>
  <w:footnote w:id="13">
    <w:p w14:paraId="78311035" w14:textId="6A63F043" w:rsidR="00F9432E" w:rsidRPr="0089051B" w:rsidRDefault="00F9432E">
      <w:pPr>
        <w:pStyle w:val="FootnoteText"/>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C-573/17, </w:t>
      </w:r>
      <w:proofErr w:type="spellStart"/>
      <w:r w:rsidRPr="0089051B">
        <w:rPr>
          <w:rFonts w:ascii="Times New Roman" w:hAnsi="Times New Roman" w:cs="Times New Roman"/>
          <w:i/>
          <w:sz w:val="20"/>
          <w:szCs w:val="20"/>
        </w:rPr>
        <w:t>Popławski</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:C:2019:530</w:t>
      </w:r>
      <w:proofErr w:type="gram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60; also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68.  </w:t>
      </w:r>
    </w:p>
  </w:footnote>
  <w:footnote w:id="14">
    <w:p w14:paraId="3D8C3E90" w14:textId="0463F5A0"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C-282/10, </w:t>
      </w:r>
      <w:r w:rsidRPr="0089051B">
        <w:rPr>
          <w:rFonts w:ascii="Times New Roman" w:hAnsi="Times New Roman" w:cs="Times New Roman"/>
          <w:i/>
          <w:sz w:val="20"/>
          <w:szCs w:val="20"/>
        </w:rPr>
        <w:t>Dominguez</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:C:2012:33</w:t>
      </w:r>
      <w:proofErr w:type="gramEnd"/>
      <w:r w:rsidRPr="0089051B">
        <w:rPr>
          <w:rFonts w:ascii="Times New Roman" w:hAnsi="Times New Roman" w:cs="Times New Roman"/>
          <w:sz w:val="20"/>
          <w:szCs w:val="20"/>
        </w:rPr>
        <w:t xml:space="preserve">; Case C-176/12, </w:t>
      </w:r>
      <w:r w:rsidRPr="0089051B">
        <w:rPr>
          <w:rFonts w:ascii="Times New Roman" w:hAnsi="Times New Roman" w:cs="Times New Roman"/>
          <w:i/>
          <w:sz w:val="20"/>
          <w:szCs w:val="20"/>
        </w:rPr>
        <w:t>AMS</w:t>
      </w:r>
      <w:r w:rsidRPr="0089051B">
        <w:rPr>
          <w:rFonts w:ascii="Times New Roman" w:hAnsi="Times New Roman" w:cs="Times New Roman"/>
          <w:sz w:val="20"/>
          <w:szCs w:val="20"/>
        </w:rPr>
        <w:t xml:space="preserve">, EU:C:2014:2; Case C-122/17, </w:t>
      </w:r>
      <w:r w:rsidRPr="0089051B">
        <w:rPr>
          <w:rFonts w:ascii="Times New Roman" w:hAnsi="Times New Roman" w:cs="Times New Roman"/>
          <w:i/>
          <w:sz w:val="20"/>
          <w:szCs w:val="20"/>
        </w:rPr>
        <w:t>Smith</w:t>
      </w:r>
      <w:r w:rsidRPr="0089051B">
        <w:rPr>
          <w:rFonts w:ascii="Times New Roman" w:hAnsi="Times New Roman" w:cs="Times New Roman"/>
          <w:sz w:val="20"/>
          <w:szCs w:val="20"/>
        </w:rPr>
        <w:t xml:space="preserve">, EU:C:2018:631.  Consider also judgments concerning ex-Third Pillar framework decisions which (by nature) lack direct effect, e.g. Case C-42/11, </w:t>
      </w:r>
      <w:r w:rsidRPr="0089051B">
        <w:rPr>
          <w:rFonts w:ascii="Times New Roman" w:hAnsi="Times New Roman" w:cs="Times New Roman"/>
          <w:i/>
          <w:sz w:val="20"/>
          <w:szCs w:val="20"/>
        </w:rPr>
        <w:t>Lopes Da Silva Jorge</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:C:2012:517</w:t>
      </w:r>
      <w:proofErr w:type="gramEnd"/>
      <w:r w:rsidRPr="0089051B">
        <w:rPr>
          <w:rFonts w:ascii="Times New Roman" w:hAnsi="Times New Roman" w:cs="Times New Roman"/>
          <w:sz w:val="20"/>
          <w:szCs w:val="20"/>
        </w:rPr>
        <w:t xml:space="preserve">; Case C-579/15, </w:t>
      </w:r>
      <w:proofErr w:type="spellStart"/>
      <w:r w:rsidRPr="0089051B">
        <w:rPr>
          <w:rFonts w:ascii="Times New Roman" w:hAnsi="Times New Roman" w:cs="Times New Roman"/>
          <w:i/>
          <w:sz w:val="20"/>
          <w:szCs w:val="20"/>
        </w:rPr>
        <w:t>Popławski</w:t>
      </w:r>
      <w:proofErr w:type="spellEnd"/>
      <w:r w:rsidRPr="0089051B">
        <w:rPr>
          <w:rFonts w:ascii="Times New Roman" w:hAnsi="Times New Roman" w:cs="Times New Roman"/>
          <w:sz w:val="20"/>
          <w:szCs w:val="20"/>
        </w:rPr>
        <w:t xml:space="preserve">, EU:C:2017:503; Case C-573/17, </w:t>
      </w:r>
      <w:proofErr w:type="spellStart"/>
      <w:r w:rsidRPr="0089051B">
        <w:rPr>
          <w:rFonts w:ascii="Times New Roman" w:hAnsi="Times New Roman" w:cs="Times New Roman"/>
          <w:i/>
          <w:sz w:val="20"/>
          <w:szCs w:val="20"/>
        </w:rPr>
        <w:t>Popławski</w:t>
      </w:r>
      <w:proofErr w:type="spellEnd"/>
      <w:r w:rsidRPr="0089051B">
        <w:rPr>
          <w:rFonts w:ascii="Times New Roman" w:hAnsi="Times New Roman" w:cs="Times New Roman"/>
          <w:sz w:val="20"/>
          <w:szCs w:val="20"/>
        </w:rPr>
        <w:t xml:space="preserve">, EU:C:2019:530.  </w:t>
      </w:r>
    </w:p>
  </w:footnote>
  <w:footnote w:id="15">
    <w:p w14:paraId="5B453315" w14:textId="5294FC30"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C-111/97, </w:t>
      </w:r>
      <w:proofErr w:type="spellStart"/>
      <w:r w:rsidRPr="0089051B">
        <w:rPr>
          <w:rFonts w:ascii="Times New Roman" w:hAnsi="Times New Roman" w:cs="Times New Roman"/>
          <w:i/>
          <w:sz w:val="20"/>
          <w:szCs w:val="20"/>
        </w:rPr>
        <w:t>EvoBus</w:t>
      </w:r>
      <w:proofErr w:type="spellEnd"/>
      <w:r w:rsidRPr="0089051B">
        <w:rPr>
          <w:rFonts w:ascii="Times New Roman" w:hAnsi="Times New Roman" w:cs="Times New Roman"/>
          <w:i/>
          <w:sz w:val="20"/>
          <w:szCs w:val="20"/>
        </w:rPr>
        <w:t xml:space="preserve"> Austria</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:C:1998:434</w:t>
      </w:r>
      <w:proofErr w:type="gramEnd"/>
      <w:r w:rsidRPr="0089051B">
        <w:rPr>
          <w:rFonts w:ascii="Times New Roman" w:hAnsi="Times New Roman" w:cs="Times New Roman"/>
          <w:sz w:val="20"/>
          <w:szCs w:val="20"/>
        </w:rPr>
        <w:t xml:space="preserve">; Case C-316/13, </w:t>
      </w:r>
      <w:proofErr w:type="spellStart"/>
      <w:r w:rsidRPr="0089051B">
        <w:rPr>
          <w:rFonts w:ascii="Times New Roman" w:hAnsi="Times New Roman" w:cs="Times New Roman"/>
          <w:i/>
          <w:sz w:val="20"/>
          <w:szCs w:val="20"/>
        </w:rPr>
        <w:t>Fenoll</w:t>
      </w:r>
      <w:proofErr w:type="spellEnd"/>
      <w:r w:rsidRPr="0089051B">
        <w:rPr>
          <w:rFonts w:ascii="Times New Roman" w:hAnsi="Times New Roman" w:cs="Times New Roman"/>
          <w:sz w:val="20"/>
          <w:szCs w:val="20"/>
        </w:rPr>
        <w:t xml:space="preserve">, EU:C:2015:200.  Without prejudice to the possibility of complaining to the Commission, in the hope it might initiate enforcement proceedings under </w:t>
      </w:r>
      <w:r>
        <w:rPr>
          <w:rFonts w:ascii="Times New Roman" w:hAnsi="Times New Roman" w:cs="Times New Roman"/>
          <w:sz w:val="20"/>
          <w:szCs w:val="20"/>
        </w:rPr>
        <w:t>Art</w:t>
      </w:r>
      <w:r w:rsidRPr="0089051B">
        <w:rPr>
          <w:rFonts w:ascii="Times New Roman" w:hAnsi="Times New Roman" w:cs="Times New Roman"/>
          <w:sz w:val="20"/>
          <w:szCs w:val="20"/>
        </w:rPr>
        <w:t xml:space="preserve"> 258 TFEU.</w:t>
      </w:r>
    </w:p>
  </w:footnote>
  <w:footnote w:id="16">
    <w:p w14:paraId="363DDD07" w14:textId="4E28163A"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The Court uses a variety of phrases besides “disapplication”, e.g. “set aside” (Case C-213/89, </w:t>
      </w:r>
      <w:proofErr w:type="spellStart"/>
      <w:r w:rsidRPr="0089051B">
        <w:rPr>
          <w:rFonts w:ascii="Times New Roman" w:hAnsi="Times New Roman" w:cs="Times New Roman"/>
          <w:i/>
          <w:sz w:val="20"/>
          <w:szCs w:val="20"/>
        </w:rPr>
        <w:t>Factortame</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:C:1990:257</w:t>
      </w:r>
      <w:proofErr w:type="gramEnd"/>
      <w:r w:rsidRPr="0089051B">
        <w:rPr>
          <w:rFonts w:ascii="Times New Roman" w:hAnsi="Times New Roman" w:cs="Times New Roman"/>
          <w:sz w:val="20"/>
          <w:szCs w:val="20"/>
        </w:rPr>
        <w:t xml:space="preserve">), “refrain from applying” (Case 103/88, </w:t>
      </w:r>
      <w:proofErr w:type="spellStart"/>
      <w:r w:rsidRPr="0089051B">
        <w:rPr>
          <w:rFonts w:ascii="Times New Roman" w:hAnsi="Times New Roman" w:cs="Times New Roman"/>
          <w:i/>
          <w:sz w:val="20"/>
          <w:szCs w:val="20"/>
        </w:rPr>
        <w:t>Fratelli</w:t>
      </w:r>
      <w:proofErr w:type="spellEnd"/>
      <w:r w:rsidRPr="0089051B">
        <w:rPr>
          <w:rFonts w:ascii="Times New Roman" w:hAnsi="Times New Roman" w:cs="Times New Roman"/>
          <w:i/>
          <w:sz w:val="20"/>
          <w:szCs w:val="20"/>
        </w:rPr>
        <w:t xml:space="preserve"> Costanzo</w:t>
      </w:r>
      <w:r w:rsidRPr="0089051B">
        <w:rPr>
          <w:rFonts w:ascii="Times New Roman" w:hAnsi="Times New Roman" w:cs="Times New Roman"/>
          <w:sz w:val="20"/>
          <w:szCs w:val="20"/>
        </w:rPr>
        <w:t xml:space="preserve">, EU:C:1989:256) and “leave unapplied” (Case C-347/96, </w:t>
      </w:r>
      <w:proofErr w:type="spellStart"/>
      <w:r w:rsidRPr="0089051B">
        <w:rPr>
          <w:rFonts w:ascii="Times New Roman" w:hAnsi="Times New Roman" w:cs="Times New Roman"/>
          <w:i/>
          <w:sz w:val="20"/>
          <w:szCs w:val="20"/>
        </w:rPr>
        <w:t>Solred</w:t>
      </w:r>
      <w:proofErr w:type="spellEnd"/>
      <w:r w:rsidRPr="0089051B">
        <w:rPr>
          <w:rFonts w:ascii="Times New Roman" w:hAnsi="Times New Roman" w:cs="Times New Roman"/>
          <w:sz w:val="20"/>
          <w:szCs w:val="20"/>
        </w:rPr>
        <w:t>, EU:C:1998:87.</w:t>
      </w:r>
    </w:p>
  </w:footnote>
  <w:footnote w:id="17">
    <w:p w14:paraId="65BF4865" w14:textId="59273A6B"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C-10/97 to C-22/97, </w:t>
      </w:r>
      <w:r w:rsidRPr="0089051B">
        <w:rPr>
          <w:rFonts w:ascii="Times New Roman" w:hAnsi="Times New Roman" w:cs="Times New Roman"/>
          <w:i/>
          <w:sz w:val="20"/>
          <w:szCs w:val="20"/>
        </w:rPr>
        <w:t>IN.CO.GE.’90</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:C:1998:498</w:t>
      </w:r>
      <w:proofErr w:type="gramEnd"/>
      <w:r w:rsidRPr="0089051B">
        <w:rPr>
          <w:rFonts w:ascii="Times New Roman" w:hAnsi="Times New Roman" w:cs="Times New Roman"/>
          <w:sz w:val="20"/>
          <w:szCs w:val="20"/>
        </w:rPr>
        <w:t xml:space="preserve">; Case C-314/08, </w:t>
      </w:r>
      <w:proofErr w:type="spellStart"/>
      <w:r w:rsidRPr="0089051B">
        <w:rPr>
          <w:rFonts w:ascii="Times New Roman" w:hAnsi="Times New Roman" w:cs="Times New Roman"/>
          <w:i/>
          <w:sz w:val="20"/>
          <w:szCs w:val="20"/>
        </w:rPr>
        <w:t>Filipiak</w:t>
      </w:r>
      <w:proofErr w:type="spellEnd"/>
      <w:r w:rsidRPr="0089051B">
        <w:rPr>
          <w:rFonts w:ascii="Times New Roman" w:hAnsi="Times New Roman" w:cs="Times New Roman"/>
          <w:sz w:val="20"/>
          <w:szCs w:val="20"/>
        </w:rPr>
        <w:t xml:space="preserve">, EU:C:2009:719; Case C-378/17, </w:t>
      </w:r>
      <w:r w:rsidRPr="0089051B">
        <w:rPr>
          <w:rFonts w:ascii="Times New Roman" w:hAnsi="Times New Roman" w:cs="Times New Roman"/>
          <w:i/>
          <w:sz w:val="20"/>
          <w:szCs w:val="20"/>
        </w:rPr>
        <w:t>Minister for Justice and Equality</w:t>
      </w:r>
      <w:r w:rsidRPr="0089051B">
        <w:rPr>
          <w:rFonts w:ascii="Times New Roman" w:hAnsi="Times New Roman" w:cs="Times New Roman"/>
          <w:sz w:val="20"/>
          <w:szCs w:val="20"/>
        </w:rPr>
        <w:t>, EU:C:2018:979.</w:t>
      </w:r>
      <w:r>
        <w:rPr>
          <w:rFonts w:ascii="Times New Roman" w:hAnsi="Times New Roman" w:cs="Times New Roman"/>
          <w:sz w:val="20"/>
          <w:szCs w:val="20"/>
        </w:rPr>
        <w:t xml:space="preserve">  Though note the wholly exceptional legal framework under consideration in Cases C-202/18 &amp; C-238/18, </w:t>
      </w:r>
      <w:r>
        <w:rPr>
          <w:rFonts w:ascii="Times New Roman" w:hAnsi="Times New Roman" w:cs="Times New Roman"/>
          <w:i/>
          <w:sz w:val="20"/>
          <w:szCs w:val="20"/>
        </w:rPr>
        <w:t xml:space="preserve">ECB </w:t>
      </w:r>
      <w:r>
        <w:rPr>
          <w:rFonts w:ascii="Times New Roman" w:hAnsi="Times New Roman" w:cs="Times New Roman"/>
          <w:sz w:val="20"/>
          <w:szCs w:val="20"/>
        </w:rPr>
        <w:t xml:space="preserve">v. </w:t>
      </w:r>
      <w:r>
        <w:rPr>
          <w:rFonts w:ascii="Times New Roman" w:hAnsi="Times New Roman" w:cs="Times New Roman"/>
          <w:i/>
          <w:sz w:val="20"/>
          <w:szCs w:val="20"/>
        </w:rPr>
        <w:t>Latvia</w:t>
      </w:r>
      <w:r>
        <w:rPr>
          <w:rFonts w:ascii="Times New Roman" w:hAnsi="Times New Roman" w:cs="Times New Roman"/>
          <w:sz w:val="20"/>
          <w:szCs w:val="20"/>
        </w:rPr>
        <w:t>, EU</w:t>
      </w:r>
      <w:proofErr w:type="gramStart"/>
      <w:r>
        <w:rPr>
          <w:rFonts w:ascii="Times New Roman" w:hAnsi="Times New Roman" w:cs="Times New Roman"/>
          <w:sz w:val="20"/>
          <w:szCs w:val="20"/>
        </w:rPr>
        <w:t>:C:2019:139</w:t>
      </w:r>
      <w:proofErr w:type="gramEnd"/>
      <w:r>
        <w:rPr>
          <w:rFonts w:ascii="Times New Roman" w:hAnsi="Times New Roman" w:cs="Times New Roman"/>
          <w:sz w:val="20"/>
          <w:szCs w:val="20"/>
        </w:rPr>
        <w:t>.</w:t>
      </w:r>
    </w:p>
  </w:footnote>
  <w:footnote w:id="18">
    <w:p w14:paraId="76493C0E" w14:textId="1E703EFD"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C-264/96, </w:t>
      </w:r>
      <w:r w:rsidRPr="0089051B">
        <w:rPr>
          <w:rFonts w:ascii="Times New Roman" w:hAnsi="Times New Roman" w:cs="Times New Roman"/>
          <w:i/>
          <w:sz w:val="20"/>
          <w:szCs w:val="20"/>
        </w:rPr>
        <w:t>ICI</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:C:1998:370</w:t>
      </w:r>
      <w:proofErr w:type="gramEnd"/>
      <w:r w:rsidRPr="0089051B">
        <w:rPr>
          <w:rFonts w:ascii="Times New Roman" w:hAnsi="Times New Roman" w:cs="Times New Roman"/>
          <w:sz w:val="20"/>
          <w:szCs w:val="20"/>
        </w:rPr>
        <w:t xml:space="preserve">; Case C-310/10, </w:t>
      </w:r>
      <w:proofErr w:type="spellStart"/>
      <w:r w:rsidRPr="0089051B">
        <w:rPr>
          <w:rFonts w:ascii="Times New Roman" w:hAnsi="Times New Roman" w:cs="Times New Roman"/>
          <w:i/>
          <w:sz w:val="20"/>
          <w:szCs w:val="20"/>
        </w:rPr>
        <w:t>Agafiţei</w:t>
      </w:r>
      <w:proofErr w:type="spellEnd"/>
      <w:r w:rsidRPr="0089051B">
        <w:rPr>
          <w:rFonts w:ascii="Times New Roman" w:hAnsi="Times New Roman" w:cs="Times New Roman"/>
          <w:sz w:val="20"/>
          <w:szCs w:val="20"/>
        </w:rPr>
        <w:t xml:space="preserve">, EU:C:2011:467.  </w:t>
      </w:r>
    </w:p>
  </w:footnote>
  <w:footnote w:id="19">
    <w:p w14:paraId="7291DE78" w14:textId="06D5B194"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34/67, </w:t>
      </w:r>
      <w:proofErr w:type="spellStart"/>
      <w:r w:rsidRPr="0089051B">
        <w:rPr>
          <w:rFonts w:ascii="Times New Roman" w:hAnsi="Times New Roman" w:cs="Times New Roman"/>
          <w:i/>
          <w:sz w:val="20"/>
          <w:szCs w:val="20"/>
        </w:rPr>
        <w:t>Lück</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:C:1968:24</w:t>
      </w:r>
      <w:proofErr w:type="gramEnd"/>
      <w:r w:rsidRPr="0089051B">
        <w:rPr>
          <w:rFonts w:ascii="Times New Roman" w:hAnsi="Times New Roman" w:cs="Times New Roman"/>
          <w:sz w:val="20"/>
          <w:szCs w:val="20"/>
        </w:rPr>
        <w:t xml:space="preserve">; Case C-226/97, </w:t>
      </w:r>
      <w:proofErr w:type="spellStart"/>
      <w:r w:rsidRPr="0089051B">
        <w:rPr>
          <w:rFonts w:ascii="Times New Roman" w:hAnsi="Times New Roman" w:cs="Times New Roman"/>
          <w:i/>
          <w:sz w:val="20"/>
          <w:szCs w:val="20"/>
        </w:rPr>
        <w:t>Lemmens</w:t>
      </w:r>
      <w:proofErr w:type="spellEnd"/>
      <w:r w:rsidRPr="0089051B">
        <w:rPr>
          <w:rFonts w:ascii="Times New Roman" w:hAnsi="Times New Roman" w:cs="Times New Roman"/>
          <w:sz w:val="20"/>
          <w:szCs w:val="20"/>
        </w:rPr>
        <w:t>, EU:C:1998:296.</w:t>
      </w:r>
    </w:p>
  </w:footnote>
  <w:footnote w:id="20">
    <w:p w14:paraId="61108552" w14:textId="4F0A3390"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C-378/17, </w:t>
      </w:r>
      <w:r w:rsidRPr="0089051B">
        <w:rPr>
          <w:rFonts w:ascii="Times New Roman" w:hAnsi="Times New Roman" w:cs="Times New Roman"/>
          <w:i/>
          <w:sz w:val="20"/>
          <w:szCs w:val="20"/>
        </w:rPr>
        <w:t>Minister for Justice and Equality</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:C:2018:979</w:t>
      </w:r>
      <w:proofErr w:type="gramEnd"/>
      <w:r w:rsidRPr="0089051B">
        <w:rPr>
          <w:rFonts w:ascii="Times New Roman" w:hAnsi="Times New Roman" w:cs="Times New Roman"/>
          <w:sz w:val="20"/>
          <w:szCs w:val="20"/>
        </w:rPr>
        <w:t>.</w:t>
      </w:r>
    </w:p>
  </w:footnote>
  <w:footnote w:id="21">
    <w:p w14:paraId="51D79200" w14:textId="339D0654"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167/73,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France</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:C:1974:35</w:t>
      </w:r>
      <w:proofErr w:type="gramEnd"/>
      <w:r w:rsidRPr="0089051B">
        <w:rPr>
          <w:rFonts w:ascii="Times New Roman" w:hAnsi="Times New Roman" w:cs="Times New Roman"/>
          <w:sz w:val="20"/>
          <w:szCs w:val="20"/>
        </w:rPr>
        <w:t xml:space="preserve">; Case 96/81,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Netherlands</w:t>
      </w:r>
      <w:r w:rsidRPr="0089051B">
        <w:rPr>
          <w:rFonts w:ascii="Times New Roman" w:hAnsi="Times New Roman" w:cs="Times New Roman"/>
          <w:sz w:val="20"/>
          <w:szCs w:val="20"/>
        </w:rPr>
        <w:t xml:space="preserve">, EU:C:1982:192; Case C-354/98,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France</w:t>
      </w:r>
      <w:r w:rsidRPr="0089051B">
        <w:rPr>
          <w:rFonts w:ascii="Times New Roman" w:hAnsi="Times New Roman" w:cs="Times New Roman"/>
          <w:sz w:val="20"/>
          <w:szCs w:val="20"/>
        </w:rPr>
        <w:t xml:space="preserve">, EU:C:1999:63; Case C-367/98,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Portugal</w:t>
      </w:r>
      <w:r w:rsidRPr="0089051B">
        <w:rPr>
          <w:rFonts w:ascii="Times New Roman" w:hAnsi="Times New Roman" w:cs="Times New Roman"/>
          <w:sz w:val="20"/>
          <w:szCs w:val="20"/>
        </w:rPr>
        <w:t xml:space="preserve">, EU:C:2002:326; Case C-475/08,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Belgium</w:t>
      </w:r>
      <w:r w:rsidRPr="0089051B">
        <w:rPr>
          <w:rFonts w:ascii="Times New Roman" w:hAnsi="Times New Roman" w:cs="Times New Roman"/>
          <w:sz w:val="20"/>
          <w:szCs w:val="20"/>
        </w:rPr>
        <w:t xml:space="preserve">, EU:C:2009:751.  Similarly: failure to seek disapplication through judicial action cannot in itself be treated as a breach of the duty to mitigate one’s losses within the context of a claim for Member State liability, e.g. Cases C-397/98 and C-410/98, </w:t>
      </w:r>
      <w:proofErr w:type="spellStart"/>
      <w:r w:rsidRPr="0089051B">
        <w:rPr>
          <w:rFonts w:ascii="Times New Roman" w:hAnsi="Times New Roman" w:cs="Times New Roman"/>
          <w:i/>
          <w:sz w:val="20"/>
          <w:szCs w:val="20"/>
        </w:rPr>
        <w:t>Metallgesellschaft</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:C:2001:134</w:t>
      </w:r>
      <w:proofErr w:type="gramEnd"/>
      <w:r w:rsidRPr="0089051B">
        <w:rPr>
          <w:rFonts w:ascii="Times New Roman" w:hAnsi="Times New Roman" w:cs="Times New Roman"/>
          <w:sz w:val="20"/>
          <w:szCs w:val="20"/>
        </w:rPr>
        <w:t xml:space="preserve">.  </w:t>
      </w:r>
    </w:p>
  </w:footnote>
  <w:footnote w:id="22">
    <w:p w14:paraId="0CC18CB5" w14:textId="1BEC079A"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C-337/91, </w:t>
      </w:r>
      <w:r w:rsidRPr="0089051B">
        <w:rPr>
          <w:rFonts w:ascii="Times New Roman" w:hAnsi="Times New Roman" w:cs="Times New Roman"/>
          <w:i/>
          <w:sz w:val="20"/>
          <w:szCs w:val="20"/>
        </w:rPr>
        <w:t xml:space="preserve">van </w:t>
      </w:r>
      <w:proofErr w:type="spellStart"/>
      <w:r w:rsidRPr="0089051B">
        <w:rPr>
          <w:rFonts w:ascii="Times New Roman" w:hAnsi="Times New Roman" w:cs="Times New Roman"/>
          <w:i/>
          <w:sz w:val="20"/>
          <w:szCs w:val="20"/>
        </w:rPr>
        <w:t>Gemert-Derks</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:C:1993:856</w:t>
      </w:r>
      <w:proofErr w:type="gramEnd"/>
      <w:r w:rsidRPr="0089051B">
        <w:rPr>
          <w:rFonts w:ascii="Times New Roman" w:hAnsi="Times New Roman" w:cs="Times New Roman"/>
          <w:sz w:val="20"/>
          <w:szCs w:val="20"/>
        </w:rPr>
        <w:t xml:space="preserve">; Cases C-10/97 to C-22/97, </w:t>
      </w:r>
      <w:r w:rsidRPr="0089051B">
        <w:rPr>
          <w:rFonts w:ascii="Times New Roman" w:hAnsi="Times New Roman" w:cs="Times New Roman"/>
          <w:i/>
          <w:sz w:val="20"/>
          <w:szCs w:val="20"/>
        </w:rPr>
        <w:t>IN.CO.GE.’90</w:t>
      </w:r>
      <w:r w:rsidRPr="0089051B">
        <w:rPr>
          <w:rFonts w:ascii="Times New Roman" w:hAnsi="Times New Roman" w:cs="Times New Roman"/>
          <w:sz w:val="20"/>
          <w:szCs w:val="20"/>
        </w:rPr>
        <w:t xml:space="preserve">, EU:C:1998:498; Case C-314/08, </w:t>
      </w:r>
      <w:proofErr w:type="spellStart"/>
      <w:r w:rsidRPr="0089051B">
        <w:rPr>
          <w:rFonts w:ascii="Times New Roman" w:hAnsi="Times New Roman" w:cs="Times New Roman"/>
          <w:i/>
          <w:sz w:val="20"/>
          <w:szCs w:val="20"/>
        </w:rPr>
        <w:t>Filipiak</w:t>
      </w:r>
      <w:proofErr w:type="spellEnd"/>
      <w:r w:rsidRPr="0089051B">
        <w:rPr>
          <w:rFonts w:ascii="Times New Roman" w:hAnsi="Times New Roman" w:cs="Times New Roman"/>
          <w:sz w:val="20"/>
          <w:szCs w:val="20"/>
        </w:rPr>
        <w:t xml:space="preserve">, EU:C:2009:719; Case C-591/10, </w:t>
      </w:r>
      <w:r w:rsidRPr="0089051B">
        <w:rPr>
          <w:rFonts w:ascii="Times New Roman" w:hAnsi="Times New Roman" w:cs="Times New Roman"/>
          <w:i/>
          <w:sz w:val="20"/>
          <w:szCs w:val="20"/>
        </w:rPr>
        <w:t>Littlewoods Retail</w:t>
      </w:r>
      <w:r w:rsidRPr="0089051B">
        <w:rPr>
          <w:rFonts w:ascii="Times New Roman" w:hAnsi="Times New Roman" w:cs="Times New Roman"/>
          <w:sz w:val="20"/>
          <w:szCs w:val="20"/>
        </w:rPr>
        <w:t xml:space="preserve">, EU:C:2012:478; Case C-628/15, </w:t>
      </w:r>
      <w:r w:rsidRPr="0089051B">
        <w:rPr>
          <w:rFonts w:ascii="Times New Roman" w:hAnsi="Times New Roman" w:cs="Times New Roman"/>
          <w:i/>
          <w:sz w:val="20"/>
          <w:szCs w:val="20"/>
        </w:rPr>
        <w:t>The Trustees of the BT Pension Scheme</w:t>
      </w:r>
      <w:r w:rsidRPr="0089051B">
        <w:rPr>
          <w:rFonts w:ascii="Times New Roman" w:hAnsi="Times New Roman" w:cs="Times New Roman"/>
          <w:sz w:val="20"/>
          <w:szCs w:val="20"/>
        </w:rPr>
        <w:t>, EU:C:2017:687.</w:t>
      </w:r>
    </w:p>
  </w:footnote>
  <w:footnote w:id="23">
    <w:p w14:paraId="783FBE36" w14:textId="4D6DC197"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C-226/07, </w:t>
      </w:r>
      <w:proofErr w:type="spellStart"/>
      <w:r w:rsidRPr="0089051B">
        <w:rPr>
          <w:rFonts w:ascii="Times New Roman" w:hAnsi="Times New Roman" w:cs="Times New Roman"/>
          <w:i/>
          <w:sz w:val="20"/>
          <w:szCs w:val="20"/>
        </w:rPr>
        <w:t>Flughafen</w:t>
      </w:r>
      <w:proofErr w:type="spellEnd"/>
      <w:r w:rsidRPr="0089051B">
        <w:rPr>
          <w:rFonts w:ascii="Times New Roman" w:hAnsi="Times New Roman" w:cs="Times New Roman"/>
          <w:i/>
          <w:sz w:val="20"/>
          <w:szCs w:val="20"/>
        </w:rPr>
        <w:t xml:space="preserve"> Köln/Bonn</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:C:2008:429</w:t>
      </w:r>
      <w:proofErr w:type="gramEnd"/>
      <w:r w:rsidRPr="0089051B">
        <w:rPr>
          <w:rFonts w:ascii="Times New Roman" w:hAnsi="Times New Roman" w:cs="Times New Roman"/>
          <w:sz w:val="20"/>
          <w:szCs w:val="20"/>
        </w:rPr>
        <w:t>.</w:t>
      </w:r>
    </w:p>
  </w:footnote>
  <w:footnote w:id="24">
    <w:p w14:paraId="4071223E" w14:textId="48EC5EEF" w:rsidR="00F9432E" w:rsidRPr="0089051B" w:rsidRDefault="00F9432E" w:rsidP="0061452E">
      <w:pPr>
        <w:jc w:val="both"/>
        <w:rPr>
          <w:rFonts w:ascii="Times New Roman" w:hAnsi="Times New Roman" w:cs="Times New Roman"/>
          <w:i/>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C-46/93 &amp; C-48/93, </w:t>
      </w:r>
      <w:proofErr w:type="spellStart"/>
      <w:r w:rsidRPr="0089051B">
        <w:rPr>
          <w:rFonts w:ascii="Times New Roman" w:hAnsi="Times New Roman" w:cs="Times New Roman"/>
          <w:i/>
          <w:sz w:val="20"/>
          <w:szCs w:val="20"/>
        </w:rPr>
        <w:t>Brasserie</w:t>
      </w:r>
      <w:proofErr w:type="spellEnd"/>
      <w:r w:rsidRPr="0089051B">
        <w:rPr>
          <w:rFonts w:ascii="Times New Roman" w:hAnsi="Times New Roman" w:cs="Times New Roman"/>
          <w:i/>
          <w:sz w:val="20"/>
          <w:szCs w:val="20"/>
        </w:rPr>
        <w:t xml:space="preserve"> du </w:t>
      </w:r>
      <w:proofErr w:type="spellStart"/>
      <w:r w:rsidRPr="0089051B">
        <w:rPr>
          <w:rFonts w:ascii="Times New Roman" w:hAnsi="Times New Roman" w:cs="Times New Roman"/>
          <w:i/>
          <w:sz w:val="20"/>
          <w:szCs w:val="20"/>
        </w:rPr>
        <w:t>Pêcheur</w:t>
      </w:r>
      <w:proofErr w:type="spellEnd"/>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 xml:space="preserve">and </w:t>
      </w:r>
      <w:proofErr w:type="spellStart"/>
      <w:r w:rsidRPr="0089051B">
        <w:rPr>
          <w:rFonts w:ascii="Times New Roman" w:hAnsi="Times New Roman" w:cs="Times New Roman"/>
          <w:i/>
          <w:sz w:val="20"/>
          <w:szCs w:val="20"/>
        </w:rPr>
        <w:t>Factortame</w:t>
      </w:r>
      <w:proofErr w:type="spellEnd"/>
      <w:r w:rsidRPr="0089051B">
        <w:rPr>
          <w:rFonts w:ascii="Times New Roman" w:hAnsi="Times New Roman" w:cs="Times New Roman"/>
          <w:i/>
          <w:sz w:val="20"/>
          <w:szCs w:val="20"/>
        </w:rPr>
        <w:t xml:space="preserve"> III</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:C:1996:79</w:t>
      </w:r>
      <w:proofErr w:type="gramEnd"/>
      <w:r w:rsidRPr="0089051B">
        <w:rPr>
          <w:rFonts w:ascii="Times New Roman" w:hAnsi="Times New Roman" w:cs="Times New Roman"/>
          <w:sz w:val="20"/>
          <w:szCs w:val="20"/>
        </w:rPr>
        <w:t>.</w:t>
      </w:r>
    </w:p>
  </w:footnote>
  <w:footnote w:id="25">
    <w:p w14:paraId="4F3B6B7B" w14:textId="7EC03489"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Consider rulings such as Case C-237/07, </w:t>
      </w:r>
      <w:proofErr w:type="spellStart"/>
      <w:r w:rsidRPr="0089051B">
        <w:rPr>
          <w:rFonts w:ascii="Times New Roman" w:hAnsi="Times New Roman" w:cs="Times New Roman"/>
          <w:i/>
          <w:sz w:val="20"/>
          <w:szCs w:val="20"/>
        </w:rPr>
        <w:t>Janecek</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:C:2008:447</w:t>
      </w:r>
      <w:proofErr w:type="gramEnd"/>
      <w:r w:rsidRPr="0089051B">
        <w:rPr>
          <w:rFonts w:ascii="Times New Roman" w:hAnsi="Times New Roman" w:cs="Times New Roman"/>
          <w:sz w:val="20"/>
          <w:szCs w:val="20"/>
        </w:rPr>
        <w:t xml:space="preserve">; Case C-404/13, </w:t>
      </w:r>
      <w:proofErr w:type="spellStart"/>
      <w:r w:rsidRPr="0089051B">
        <w:rPr>
          <w:rFonts w:ascii="Times New Roman" w:hAnsi="Times New Roman" w:cs="Times New Roman"/>
          <w:i/>
          <w:sz w:val="20"/>
          <w:szCs w:val="20"/>
        </w:rPr>
        <w:t>ClientEarth</w:t>
      </w:r>
      <w:proofErr w:type="spellEnd"/>
      <w:r w:rsidRPr="0089051B">
        <w:rPr>
          <w:rFonts w:ascii="Times New Roman" w:hAnsi="Times New Roman" w:cs="Times New Roman"/>
          <w:sz w:val="20"/>
          <w:szCs w:val="20"/>
        </w:rPr>
        <w:t xml:space="preserve">, EU:C:2014:2382; Case C-723/17, </w:t>
      </w:r>
      <w:proofErr w:type="spellStart"/>
      <w:r w:rsidRPr="0089051B">
        <w:rPr>
          <w:rFonts w:ascii="Times New Roman" w:hAnsi="Times New Roman" w:cs="Times New Roman"/>
          <w:i/>
          <w:sz w:val="20"/>
          <w:szCs w:val="20"/>
        </w:rPr>
        <w:t>Craeynest</w:t>
      </w:r>
      <w:proofErr w:type="spellEnd"/>
      <w:r w:rsidRPr="0089051B">
        <w:rPr>
          <w:rFonts w:ascii="Times New Roman" w:hAnsi="Times New Roman" w:cs="Times New Roman"/>
          <w:sz w:val="20"/>
          <w:szCs w:val="20"/>
        </w:rPr>
        <w:t>, EU:C:2019:533.</w:t>
      </w:r>
    </w:p>
  </w:footnote>
  <w:footnote w:id="26">
    <w:p w14:paraId="57789F47" w14:textId="2465A0A0"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157/86, </w:t>
      </w:r>
      <w:r w:rsidRPr="0089051B">
        <w:rPr>
          <w:rFonts w:ascii="Times New Roman" w:hAnsi="Times New Roman" w:cs="Times New Roman"/>
          <w:i/>
          <w:sz w:val="20"/>
          <w:szCs w:val="20"/>
        </w:rPr>
        <w:t>Murphy</w:t>
      </w:r>
      <w:r w:rsidRPr="0083747D">
        <w:rPr>
          <w:rFonts w:ascii="Times New Roman" w:hAnsi="Times New Roman" w:cs="Times New Roman"/>
          <w:sz w:val="20"/>
          <w:szCs w:val="20"/>
        </w:rPr>
        <w:t xml:space="preserve"> v. </w:t>
      </w:r>
      <w:proofErr w:type="spellStart"/>
      <w:r w:rsidRPr="0089051B">
        <w:rPr>
          <w:rFonts w:ascii="Times New Roman" w:hAnsi="Times New Roman" w:cs="Times New Roman"/>
          <w:i/>
          <w:sz w:val="20"/>
          <w:szCs w:val="20"/>
        </w:rPr>
        <w:t>Bord</w:t>
      </w:r>
      <w:proofErr w:type="spellEnd"/>
      <w:r w:rsidRPr="0089051B">
        <w:rPr>
          <w:rFonts w:ascii="Times New Roman" w:hAnsi="Times New Roman" w:cs="Times New Roman"/>
          <w:i/>
          <w:sz w:val="20"/>
          <w:szCs w:val="20"/>
        </w:rPr>
        <w:t xml:space="preserve"> Telecom </w:t>
      </w:r>
      <w:proofErr w:type="spellStart"/>
      <w:r w:rsidRPr="0089051B">
        <w:rPr>
          <w:rFonts w:ascii="Times New Roman" w:hAnsi="Times New Roman" w:cs="Times New Roman"/>
          <w:i/>
          <w:sz w:val="20"/>
          <w:szCs w:val="20"/>
        </w:rPr>
        <w:t>Eireann</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:C:1988:62</w:t>
      </w:r>
      <w:proofErr w:type="gramEnd"/>
      <w:r w:rsidRPr="0089051B">
        <w:rPr>
          <w:rFonts w:ascii="Times New Roman" w:hAnsi="Times New Roman" w:cs="Times New Roman"/>
          <w:sz w:val="20"/>
          <w:szCs w:val="20"/>
        </w:rPr>
        <w:t xml:space="preserve">; Case C-18/11, </w:t>
      </w:r>
      <w:r w:rsidRPr="0089051B">
        <w:rPr>
          <w:rFonts w:ascii="Times New Roman" w:hAnsi="Times New Roman" w:cs="Times New Roman"/>
          <w:i/>
          <w:sz w:val="20"/>
          <w:szCs w:val="20"/>
        </w:rPr>
        <w:t>Philips Electronics</w:t>
      </w:r>
      <w:r w:rsidRPr="0089051B">
        <w:rPr>
          <w:rFonts w:ascii="Times New Roman" w:hAnsi="Times New Roman" w:cs="Times New Roman"/>
          <w:sz w:val="20"/>
          <w:szCs w:val="20"/>
        </w:rPr>
        <w:t xml:space="preserve">, EU:C:2012:532.  </w:t>
      </w:r>
    </w:p>
  </w:footnote>
  <w:footnote w:id="27">
    <w:p w14:paraId="336405F0" w14:textId="2060CDF5"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102/88, </w:t>
      </w:r>
      <w:proofErr w:type="spellStart"/>
      <w:r w:rsidRPr="0089051B">
        <w:rPr>
          <w:rFonts w:ascii="Times New Roman" w:hAnsi="Times New Roman" w:cs="Times New Roman"/>
          <w:i/>
          <w:sz w:val="20"/>
          <w:szCs w:val="20"/>
        </w:rPr>
        <w:t>Ruzius-Wilbrink</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:C:1989:639</w:t>
      </w:r>
      <w:proofErr w:type="gramEnd"/>
      <w:r w:rsidRPr="0089051B">
        <w:rPr>
          <w:rFonts w:ascii="Times New Roman" w:hAnsi="Times New Roman" w:cs="Times New Roman"/>
          <w:sz w:val="20"/>
          <w:szCs w:val="20"/>
        </w:rPr>
        <w:t xml:space="preserve">; Case C-595/12, </w:t>
      </w:r>
      <w:r w:rsidRPr="0089051B">
        <w:rPr>
          <w:rFonts w:ascii="Times New Roman" w:hAnsi="Times New Roman" w:cs="Times New Roman"/>
          <w:i/>
          <w:sz w:val="20"/>
          <w:szCs w:val="20"/>
        </w:rPr>
        <w:t>Napoli</w:t>
      </w:r>
      <w:r w:rsidRPr="0089051B">
        <w:rPr>
          <w:rFonts w:ascii="Times New Roman" w:hAnsi="Times New Roman" w:cs="Times New Roman"/>
          <w:sz w:val="20"/>
          <w:szCs w:val="20"/>
        </w:rPr>
        <w:t xml:space="preserve">, EU:C:2014:128.  </w:t>
      </w:r>
    </w:p>
  </w:footnote>
  <w:footnote w:id="28">
    <w:p w14:paraId="102490B5" w14:textId="66B89FF7"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249/85, </w:t>
      </w:r>
      <w:proofErr w:type="spellStart"/>
      <w:r w:rsidRPr="0089051B">
        <w:rPr>
          <w:rFonts w:ascii="Times New Roman" w:hAnsi="Times New Roman" w:cs="Times New Roman"/>
          <w:i/>
          <w:sz w:val="20"/>
          <w:szCs w:val="20"/>
        </w:rPr>
        <w:t>Albako</w:t>
      </w:r>
      <w:proofErr w:type="spellEnd"/>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BALM</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:C:1987:245</w:t>
      </w:r>
      <w:proofErr w:type="gramEnd"/>
      <w:r w:rsidRPr="0089051B">
        <w:rPr>
          <w:rFonts w:ascii="Times New Roman" w:hAnsi="Times New Roman" w:cs="Times New Roman"/>
          <w:sz w:val="20"/>
          <w:szCs w:val="20"/>
        </w:rPr>
        <w:t>.</w:t>
      </w:r>
    </w:p>
  </w:footnote>
  <w:footnote w:id="29">
    <w:p w14:paraId="7CEF9F66" w14:textId="70EEC36A"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C-664/15, </w:t>
      </w:r>
      <w:r w:rsidRPr="0089051B">
        <w:rPr>
          <w:rFonts w:ascii="Times New Roman" w:hAnsi="Times New Roman" w:cs="Times New Roman"/>
          <w:i/>
          <w:sz w:val="20"/>
          <w:szCs w:val="20"/>
        </w:rPr>
        <w:t xml:space="preserve">Protect </w:t>
      </w:r>
      <w:proofErr w:type="spellStart"/>
      <w:r w:rsidRPr="0089051B">
        <w:rPr>
          <w:rFonts w:ascii="Times New Roman" w:hAnsi="Times New Roman" w:cs="Times New Roman"/>
          <w:i/>
          <w:sz w:val="20"/>
          <w:szCs w:val="20"/>
        </w:rPr>
        <w:t>Natur</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Arten</w:t>
      </w:r>
      <w:proofErr w:type="spellEnd"/>
      <w:r w:rsidRPr="0089051B">
        <w:rPr>
          <w:rFonts w:ascii="Times New Roman" w:hAnsi="Times New Roman" w:cs="Times New Roman"/>
          <w:i/>
          <w:sz w:val="20"/>
          <w:szCs w:val="20"/>
        </w:rPr>
        <w:t xml:space="preserve">- und </w:t>
      </w:r>
      <w:proofErr w:type="spellStart"/>
      <w:r w:rsidRPr="0089051B">
        <w:rPr>
          <w:rFonts w:ascii="Times New Roman" w:hAnsi="Times New Roman" w:cs="Times New Roman"/>
          <w:i/>
          <w:sz w:val="20"/>
          <w:szCs w:val="20"/>
        </w:rPr>
        <w:t>Landschaftsschutz</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Umweltorganisation</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:C:2017:987</w:t>
      </w:r>
      <w:proofErr w:type="gramEnd"/>
      <w:r w:rsidRPr="0089051B">
        <w:rPr>
          <w:rFonts w:ascii="Times New Roman" w:hAnsi="Times New Roman" w:cs="Times New Roman"/>
          <w:sz w:val="20"/>
          <w:szCs w:val="20"/>
        </w:rPr>
        <w:t xml:space="preserve">; Case C-414/16, </w:t>
      </w:r>
      <w:proofErr w:type="spellStart"/>
      <w:r w:rsidRPr="0089051B">
        <w:rPr>
          <w:rFonts w:ascii="Times New Roman" w:hAnsi="Times New Roman" w:cs="Times New Roman"/>
          <w:i/>
          <w:sz w:val="20"/>
          <w:szCs w:val="20"/>
        </w:rPr>
        <w:t>Egenberger</w:t>
      </w:r>
      <w:proofErr w:type="spellEnd"/>
      <w:r w:rsidRPr="0089051B">
        <w:rPr>
          <w:rFonts w:ascii="Times New Roman" w:hAnsi="Times New Roman" w:cs="Times New Roman"/>
          <w:sz w:val="20"/>
          <w:szCs w:val="20"/>
        </w:rPr>
        <w:t xml:space="preserve">, EU:C:2018:257; Case C-68/17, </w:t>
      </w:r>
      <w:r w:rsidRPr="0089051B">
        <w:rPr>
          <w:rFonts w:ascii="Times New Roman" w:hAnsi="Times New Roman" w:cs="Times New Roman"/>
          <w:i/>
          <w:sz w:val="20"/>
          <w:szCs w:val="20"/>
        </w:rPr>
        <w:t>IR</w:t>
      </w:r>
      <w:r w:rsidRPr="0089051B">
        <w:rPr>
          <w:rFonts w:ascii="Times New Roman" w:hAnsi="Times New Roman" w:cs="Times New Roman"/>
          <w:sz w:val="20"/>
          <w:szCs w:val="20"/>
        </w:rPr>
        <w:t xml:space="preserve">, EU:C:2018:696.  </w:t>
      </w:r>
    </w:p>
  </w:footnote>
  <w:footnote w:id="30">
    <w:p w14:paraId="57E9B540" w14:textId="12CBB478"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C-144/04, </w:t>
      </w:r>
      <w:proofErr w:type="spellStart"/>
      <w:r w:rsidRPr="0089051B">
        <w:rPr>
          <w:rFonts w:ascii="Times New Roman" w:hAnsi="Times New Roman" w:cs="Times New Roman"/>
          <w:i/>
          <w:sz w:val="20"/>
          <w:szCs w:val="20"/>
        </w:rPr>
        <w:t>Mangold</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:C:2005:709</w:t>
      </w:r>
      <w:proofErr w:type="gramEnd"/>
      <w:r w:rsidRPr="0089051B">
        <w:rPr>
          <w:rFonts w:ascii="Times New Roman" w:hAnsi="Times New Roman" w:cs="Times New Roman"/>
          <w:sz w:val="20"/>
          <w:szCs w:val="20"/>
        </w:rPr>
        <w:t>.</w:t>
      </w:r>
    </w:p>
  </w:footnote>
  <w:footnote w:id="31">
    <w:p w14:paraId="46662DD9" w14:textId="7DA887D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C-265/03, </w:t>
      </w:r>
      <w:proofErr w:type="spellStart"/>
      <w:r w:rsidRPr="0089051B">
        <w:rPr>
          <w:rFonts w:ascii="Times New Roman" w:hAnsi="Times New Roman" w:cs="Times New Roman"/>
          <w:i/>
          <w:sz w:val="20"/>
          <w:szCs w:val="20"/>
        </w:rPr>
        <w:t>Simutenkov</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:C:2005:213</w:t>
      </w:r>
      <w:proofErr w:type="gramEnd"/>
      <w:r w:rsidRPr="0089051B">
        <w:rPr>
          <w:rFonts w:ascii="Times New Roman" w:hAnsi="Times New Roman" w:cs="Times New Roman"/>
          <w:sz w:val="20"/>
          <w:szCs w:val="20"/>
        </w:rPr>
        <w:t xml:space="preserve">; Case C-485/07, </w:t>
      </w:r>
      <w:proofErr w:type="spellStart"/>
      <w:r w:rsidRPr="0089051B">
        <w:rPr>
          <w:rFonts w:ascii="Times New Roman" w:hAnsi="Times New Roman" w:cs="Times New Roman"/>
          <w:i/>
          <w:sz w:val="20"/>
          <w:szCs w:val="20"/>
        </w:rPr>
        <w:t>Akdas</w:t>
      </w:r>
      <w:proofErr w:type="spellEnd"/>
      <w:r w:rsidRPr="0089051B">
        <w:rPr>
          <w:rFonts w:ascii="Times New Roman" w:hAnsi="Times New Roman" w:cs="Times New Roman"/>
          <w:sz w:val="20"/>
          <w:szCs w:val="20"/>
        </w:rPr>
        <w:t xml:space="preserve">, EU:C:2011:346; Case C-476/10, </w:t>
      </w:r>
      <w:proofErr w:type="spellStart"/>
      <w:r w:rsidRPr="0089051B">
        <w:rPr>
          <w:rFonts w:ascii="Times New Roman" w:hAnsi="Times New Roman" w:cs="Times New Roman"/>
          <w:i/>
          <w:sz w:val="20"/>
          <w:szCs w:val="20"/>
        </w:rPr>
        <w:t>projektart</w:t>
      </w:r>
      <w:proofErr w:type="spellEnd"/>
      <w:r w:rsidRPr="0089051B">
        <w:rPr>
          <w:rFonts w:ascii="Times New Roman" w:hAnsi="Times New Roman" w:cs="Times New Roman"/>
          <w:sz w:val="20"/>
          <w:szCs w:val="20"/>
        </w:rPr>
        <w:t>, EU:C:2011:422.</w:t>
      </w:r>
    </w:p>
  </w:footnote>
  <w:footnote w:id="32">
    <w:p w14:paraId="5C3621E7" w14:textId="1B2D0CE1"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11/70, </w:t>
      </w:r>
      <w:proofErr w:type="spellStart"/>
      <w:r w:rsidRPr="0089051B">
        <w:rPr>
          <w:rFonts w:ascii="Times New Roman" w:hAnsi="Times New Roman" w:cs="Times New Roman"/>
          <w:i/>
          <w:sz w:val="20"/>
          <w:szCs w:val="20"/>
        </w:rPr>
        <w:t>Internationale</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Handelsgesellschaft</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:C:1970:114</w:t>
      </w:r>
      <w:proofErr w:type="gramEnd"/>
      <w:r w:rsidRPr="0089051B">
        <w:rPr>
          <w:rFonts w:ascii="Times New Roman" w:hAnsi="Times New Roman" w:cs="Times New Roman"/>
          <w:sz w:val="20"/>
          <w:szCs w:val="20"/>
        </w:rPr>
        <w:t xml:space="preserve">; Case C-224/97, </w:t>
      </w:r>
      <w:proofErr w:type="spellStart"/>
      <w:r w:rsidRPr="0089051B">
        <w:rPr>
          <w:rFonts w:ascii="Times New Roman" w:hAnsi="Times New Roman" w:cs="Times New Roman"/>
          <w:i/>
          <w:sz w:val="20"/>
          <w:szCs w:val="20"/>
        </w:rPr>
        <w:t>Ciola</w:t>
      </w:r>
      <w:proofErr w:type="spellEnd"/>
      <w:r w:rsidRPr="0089051B">
        <w:rPr>
          <w:rFonts w:ascii="Times New Roman" w:hAnsi="Times New Roman" w:cs="Times New Roman"/>
          <w:sz w:val="20"/>
          <w:szCs w:val="20"/>
        </w:rPr>
        <w:t xml:space="preserve">, EU:C:1999:212; Case C-399/11, </w:t>
      </w:r>
      <w:proofErr w:type="spellStart"/>
      <w:r w:rsidRPr="0089051B">
        <w:rPr>
          <w:rFonts w:ascii="Times New Roman" w:hAnsi="Times New Roman" w:cs="Times New Roman"/>
          <w:i/>
          <w:sz w:val="20"/>
          <w:szCs w:val="20"/>
        </w:rPr>
        <w:t>Melloni</w:t>
      </w:r>
      <w:proofErr w:type="spellEnd"/>
      <w:r w:rsidRPr="0089051B">
        <w:rPr>
          <w:rFonts w:ascii="Times New Roman" w:hAnsi="Times New Roman" w:cs="Times New Roman"/>
          <w:sz w:val="20"/>
          <w:szCs w:val="20"/>
        </w:rPr>
        <w:t>, EU:C:2013:107.</w:t>
      </w:r>
    </w:p>
  </w:footnote>
  <w:footnote w:id="33">
    <w:p w14:paraId="24F9BF26" w14:textId="072296AD"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106/77, </w:t>
      </w:r>
      <w:proofErr w:type="spellStart"/>
      <w:r w:rsidRPr="0089051B">
        <w:rPr>
          <w:rFonts w:ascii="Times New Roman" w:hAnsi="Times New Roman" w:cs="Times New Roman"/>
          <w:i/>
          <w:sz w:val="20"/>
          <w:szCs w:val="20"/>
        </w:rPr>
        <w:t>Simmenthal</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:C:1978:49</w:t>
      </w:r>
      <w:proofErr w:type="gramEnd"/>
      <w:r w:rsidRPr="0089051B">
        <w:rPr>
          <w:rFonts w:ascii="Times New Roman" w:hAnsi="Times New Roman" w:cs="Times New Roman"/>
          <w:sz w:val="20"/>
          <w:szCs w:val="20"/>
        </w:rPr>
        <w:t xml:space="preserve">; Case C-432/05, </w:t>
      </w:r>
      <w:proofErr w:type="spellStart"/>
      <w:r w:rsidRPr="0089051B">
        <w:rPr>
          <w:rFonts w:ascii="Times New Roman" w:hAnsi="Times New Roman" w:cs="Times New Roman"/>
          <w:i/>
          <w:sz w:val="20"/>
          <w:szCs w:val="20"/>
        </w:rPr>
        <w:t>Unibet</w:t>
      </w:r>
      <w:proofErr w:type="spellEnd"/>
      <w:r w:rsidRPr="0089051B">
        <w:rPr>
          <w:rFonts w:ascii="Times New Roman" w:hAnsi="Times New Roman" w:cs="Times New Roman"/>
          <w:sz w:val="20"/>
          <w:szCs w:val="20"/>
        </w:rPr>
        <w:t xml:space="preserve">, EU:C:2007:163; Cases C-188/10 and C-189/10, </w:t>
      </w:r>
      <w:proofErr w:type="spellStart"/>
      <w:r w:rsidRPr="0089051B">
        <w:rPr>
          <w:rFonts w:ascii="Times New Roman" w:hAnsi="Times New Roman" w:cs="Times New Roman"/>
          <w:i/>
          <w:sz w:val="20"/>
          <w:szCs w:val="20"/>
        </w:rPr>
        <w:t>Melki</w:t>
      </w:r>
      <w:proofErr w:type="spellEnd"/>
      <w:r w:rsidRPr="0089051B">
        <w:rPr>
          <w:rFonts w:ascii="Times New Roman" w:hAnsi="Times New Roman" w:cs="Times New Roman"/>
          <w:sz w:val="20"/>
          <w:szCs w:val="20"/>
        </w:rPr>
        <w:t xml:space="preserve">, EU:C:2010:363; Case C-173/09, </w:t>
      </w:r>
      <w:proofErr w:type="spellStart"/>
      <w:r w:rsidRPr="0089051B">
        <w:rPr>
          <w:rFonts w:ascii="Times New Roman" w:hAnsi="Times New Roman" w:cs="Times New Roman"/>
          <w:i/>
          <w:sz w:val="20"/>
          <w:szCs w:val="20"/>
        </w:rPr>
        <w:t>Elchinov</w:t>
      </w:r>
      <w:proofErr w:type="spellEnd"/>
      <w:r w:rsidRPr="0089051B">
        <w:rPr>
          <w:rFonts w:ascii="Times New Roman" w:hAnsi="Times New Roman" w:cs="Times New Roman"/>
          <w:sz w:val="20"/>
          <w:szCs w:val="20"/>
        </w:rPr>
        <w:t xml:space="preserve">, EU:C:2010:581; Case C-416/10, </w:t>
      </w:r>
      <w:proofErr w:type="spellStart"/>
      <w:r w:rsidRPr="0089051B">
        <w:rPr>
          <w:rFonts w:ascii="Times New Roman" w:hAnsi="Times New Roman" w:cs="Times New Roman"/>
          <w:i/>
          <w:sz w:val="20"/>
          <w:szCs w:val="20"/>
        </w:rPr>
        <w:t>Križan</w:t>
      </w:r>
      <w:proofErr w:type="spellEnd"/>
      <w:r w:rsidRPr="0089051B">
        <w:rPr>
          <w:rFonts w:ascii="Times New Roman" w:hAnsi="Times New Roman" w:cs="Times New Roman"/>
          <w:sz w:val="20"/>
          <w:szCs w:val="20"/>
        </w:rPr>
        <w:t xml:space="preserve">, EU:C:2013:8; Case C-112/13, </w:t>
      </w:r>
      <w:r w:rsidRPr="0089051B">
        <w:rPr>
          <w:rFonts w:ascii="Times New Roman" w:hAnsi="Times New Roman" w:cs="Times New Roman"/>
          <w:i/>
          <w:sz w:val="20"/>
          <w:szCs w:val="20"/>
        </w:rPr>
        <w:t>A</w:t>
      </w:r>
      <w:r w:rsidRPr="0089051B">
        <w:rPr>
          <w:rFonts w:ascii="Times New Roman" w:hAnsi="Times New Roman" w:cs="Times New Roman"/>
          <w:sz w:val="20"/>
          <w:szCs w:val="20"/>
        </w:rPr>
        <w:t xml:space="preserve">, EU:C:2014:2195; Case C-614/14, </w:t>
      </w:r>
      <w:proofErr w:type="spellStart"/>
      <w:r w:rsidRPr="0089051B">
        <w:rPr>
          <w:rFonts w:ascii="Times New Roman" w:hAnsi="Times New Roman" w:cs="Times New Roman"/>
          <w:i/>
          <w:sz w:val="20"/>
          <w:szCs w:val="20"/>
        </w:rPr>
        <w:t>Ognyanov</w:t>
      </w:r>
      <w:proofErr w:type="spellEnd"/>
      <w:r w:rsidRPr="0089051B">
        <w:rPr>
          <w:rFonts w:ascii="Times New Roman" w:hAnsi="Times New Roman" w:cs="Times New Roman"/>
          <w:sz w:val="20"/>
          <w:szCs w:val="20"/>
        </w:rPr>
        <w:t xml:space="preserve">, EU:C:2016:514; Case C-589/16, </w:t>
      </w:r>
      <w:proofErr w:type="spellStart"/>
      <w:r w:rsidRPr="0089051B">
        <w:rPr>
          <w:rFonts w:ascii="Times New Roman" w:hAnsi="Times New Roman" w:cs="Times New Roman"/>
          <w:i/>
          <w:sz w:val="20"/>
          <w:szCs w:val="20"/>
        </w:rPr>
        <w:t>Filippi</w:t>
      </w:r>
      <w:proofErr w:type="spellEnd"/>
      <w:r w:rsidRPr="0089051B">
        <w:rPr>
          <w:rFonts w:ascii="Times New Roman" w:hAnsi="Times New Roman" w:cs="Times New Roman"/>
          <w:sz w:val="20"/>
          <w:szCs w:val="20"/>
        </w:rPr>
        <w:t>, EU:C:2018:417.</w:t>
      </w:r>
    </w:p>
  </w:footnote>
  <w:footnote w:id="34">
    <w:p w14:paraId="1629970A" w14:textId="3F31DA0F"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103/88, </w:t>
      </w:r>
      <w:proofErr w:type="spellStart"/>
      <w:r w:rsidRPr="0089051B">
        <w:rPr>
          <w:rFonts w:ascii="Times New Roman" w:hAnsi="Times New Roman" w:cs="Times New Roman"/>
          <w:i/>
          <w:sz w:val="20"/>
          <w:szCs w:val="20"/>
        </w:rPr>
        <w:t>Fratelli</w:t>
      </w:r>
      <w:proofErr w:type="spellEnd"/>
      <w:r w:rsidRPr="0089051B">
        <w:rPr>
          <w:rFonts w:ascii="Times New Roman" w:hAnsi="Times New Roman" w:cs="Times New Roman"/>
          <w:i/>
          <w:sz w:val="20"/>
          <w:szCs w:val="20"/>
        </w:rPr>
        <w:t xml:space="preserve"> Costanzo</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:C:1989:256</w:t>
      </w:r>
      <w:proofErr w:type="gramEnd"/>
      <w:r w:rsidRPr="0089051B">
        <w:rPr>
          <w:rFonts w:ascii="Times New Roman" w:hAnsi="Times New Roman" w:cs="Times New Roman"/>
          <w:sz w:val="20"/>
          <w:szCs w:val="20"/>
        </w:rPr>
        <w:t xml:space="preserve">; Case C-198/01, </w:t>
      </w:r>
      <w:r w:rsidRPr="0089051B">
        <w:rPr>
          <w:rFonts w:ascii="Times New Roman" w:hAnsi="Times New Roman" w:cs="Times New Roman"/>
          <w:i/>
          <w:sz w:val="20"/>
          <w:szCs w:val="20"/>
        </w:rPr>
        <w:t>CIF</w:t>
      </w:r>
      <w:r w:rsidRPr="0089051B">
        <w:rPr>
          <w:rFonts w:ascii="Times New Roman" w:hAnsi="Times New Roman" w:cs="Times New Roman"/>
          <w:sz w:val="20"/>
          <w:szCs w:val="20"/>
        </w:rPr>
        <w:t xml:space="preserve">, EU:C:2003:430; Case C-341/08, </w:t>
      </w:r>
      <w:r w:rsidRPr="0089051B">
        <w:rPr>
          <w:rFonts w:ascii="Times New Roman" w:hAnsi="Times New Roman" w:cs="Times New Roman"/>
          <w:i/>
          <w:sz w:val="20"/>
          <w:szCs w:val="20"/>
        </w:rPr>
        <w:t>Petersen</w:t>
      </w:r>
      <w:r w:rsidRPr="0089051B">
        <w:rPr>
          <w:rFonts w:ascii="Times New Roman" w:hAnsi="Times New Roman" w:cs="Times New Roman"/>
          <w:sz w:val="20"/>
          <w:szCs w:val="20"/>
        </w:rPr>
        <w:t xml:space="preserve">, EU:C:2010:4; Case C-243/09, </w:t>
      </w:r>
      <w:r w:rsidRPr="0089051B">
        <w:rPr>
          <w:rFonts w:ascii="Times New Roman" w:hAnsi="Times New Roman" w:cs="Times New Roman"/>
          <w:i/>
          <w:sz w:val="20"/>
          <w:szCs w:val="20"/>
        </w:rPr>
        <w:t>Fuβ</w:t>
      </w:r>
      <w:r w:rsidRPr="0089051B">
        <w:rPr>
          <w:rFonts w:ascii="Times New Roman" w:hAnsi="Times New Roman" w:cs="Times New Roman"/>
          <w:sz w:val="20"/>
          <w:szCs w:val="20"/>
        </w:rPr>
        <w:t xml:space="preserve">, EU:C:2010:609; Case C-378/17, </w:t>
      </w:r>
      <w:r w:rsidRPr="0089051B">
        <w:rPr>
          <w:rFonts w:ascii="Times New Roman" w:hAnsi="Times New Roman" w:cs="Times New Roman"/>
          <w:i/>
          <w:sz w:val="20"/>
          <w:szCs w:val="20"/>
        </w:rPr>
        <w:t>Minister for Justice and Equality</w:t>
      </w:r>
      <w:r w:rsidRPr="0089051B">
        <w:rPr>
          <w:rFonts w:ascii="Times New Roman" w:hAnsi="Times New Roman" w:cs="Times New Roman"/>
          <w:sz w:val="20"/>
          <w:szCs w:val="20"/>
        </w:rPr>
        <w:t>, EU:C:2018:979.</w:t>
      </w:r>
    </w:p>
  </w:footnote>
  <w:footnote w:id="35">
    <w:p w14:paraId="5985B848" w14:textId="5B422AB9" w:rsidR="00F9432E" w:rsidRPr="0089051B" w:rsidRDefault="00F9432E" w:rsidP="001439F2">
      <w:pPr>
        <w:pStyle w:val="FootnoteText"/>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As the Court itself suggests in Case C-573/17, </w:t>
      </w:r>
      <w:proofErr w:type="spellStart"/>
      <w:r w:rsidRPr="0089051B">
        <w:rPr>
          <w:rFonts w:ascii="Times New Roman" w:hAnsi="Times New Roman" w:cs="Times New Roman"/>
          <w:i/>
          <w:sz w:val="20"/>
          <w:szCs w:val="20"/>
        </w:rPr>
        <w:t>Popławski</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:C:2019:530</w:t>
      </w:r>
      <w:proofErr w:type="gram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52-58.</w:t>
      </w:r>
    </w:p>
  </w:footnote>
  <w:footnote w:id="36">
    <w:p w14:paraId="452819CE" w14:textId="365A49C3" w:rsidR="00F9432E" w:rsidRPr="0089051B" w:rsidRDefault="00F9432E">
      <w:pPr>
        <w:pStyle w:val="FootnoteText"/>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See further, e.g. Dougan, </w:t>
      </w:r>
      <w:r w:rsidRPr="0089051B">
        <w:rPr>
          <w:rFonts w:ascii="Times New Roman" w:hAnsi="Times New Roman" w:cs="Times New Roman"/>
          <w:sz w:val="20"/>
          <w:szCs w:val="20"/>
        </w:rPr>
        <w:t>“When Worlds Collide!  Competing Visions of the Relationship Between Direct Effect and Primacy”</w:t>
      </w:r>
      <w:r>
        <w:rPr>
          <w:rFonts w:ascii="Times New Roman" w:hAnsi="Times New Roman" w:cs="Times New Roman"/>
          <w:sz w:val="20"/>
          <w:szCs w:val="20"/>
        </w:rPr>
        <w:t>,</w:t>
      </w:r>
      <w:r w:rsidRPr="0089051B">
        <w:rPr>
          <w:rFonts w:ascii="Times New Roman" w:hAnsi="Times New Roman" w:cs="Times New Roman"/>
          <w:sz w:val="20"/>
          <w:szCs w:val="20"/>
        </w:rPr>
        <w:t xml:space="preserve"> 44 </w:t>
      </w:r>
      <w:r w:rsidRPr="00CF3378">
        <w:rPr>
          <w:rFonts w:ascii="Times New Roman" w:hAnsi="Times New Roman" w:cs="Times New Roman"/>
          <w:sz w:val="20"/>
          <w:szCs w:val="20"/>
        </w:rPr>
        <w:t xml:space="preserve">CML Rev. </w:t>
      </w:r>
      <w:r w:rsidRPr="0089051B">
        <w:rPr>
          <w:rFonts w:ascii="Times New Roman" w:hAnsi="Times New Roman" w:cs="Times New Roman"/>
          <w:sz w:val="20"/>
          <w:szCs w:val="20"/>
        </w:rPr>
        <w:t>(2007)</w:t>
      </w:r>
      <w:r>
        <w:rPr>
          <w:rFonts w:ascii="Times New Roman" w:hAnsi="Times New Roman" w:cs="Times New Roman"/>
          <w:sz w:val="20"/>
          <w:szCs w:val="20"/>
        </w:rPr>
        <w:t>,</w:t>
      </w:r>
      <w:r w:rsidRPr="0089051B">
        <w:rPr>
          <w:rFonts w:ascii="Times New Roman" w:hAnsi="Times New Roman" w:cs="Times New Roman"/>
          <w:sz w:val="20"/>
          <w:szCs w:val="20"/>
        </w:rPr>
        <w:t xml:space="preserve"> 931.</w:t>
      </w:r>
    </w:p>
  </w:footnote>
  <w:footnote w:id="37">
    <w:p w14:paraId="4BF5BD55" w14:textId="760500CB"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Such as the “exclusionary effects” sometimes attributed to primacy (independent of the “substitutionary effects” supposedly reserved to direct effect): see further, e.g. Lenz, </w:t>
      </w:r>
      <w:proofErr w:type="spellStart"/>
      <w:r w:rsidRPr="0089051B">
        <w:rPr>
          <w:rFonts w:ascii="Times New Roman" w:hAnsi="Times New Roman" w:cs="Times New Roman"/>
          <w:sz w:val="20"/>
          <w:szCs w:val="20"/>
        </w:rPr>
        <w:t>Sif</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Tynes</w:t>
      </w:r>
      <w:proofErr w:type="spellEnd"/>
      <w:r w:rsidRPr="0089051B">
        <w:rPr>
          <w:rFonts w:ascii="Times New Roman" w:hAnsi="Times New Roman" w:cs="Times New Roman"/>
          <w:sz w:val="20"/>
          <w:szCs w:val="20"/>
        </w:rPr>
        <w:t xml:space="preserve"> and Young, “Horizontal What?  Back to Basics”, 25 EL Rev. (2000), 509; </w:t>
      </w:r>
      <w:proofErr w:type="spellStart"/>
      <w:r w:rsidRPr="0089051B">
        <w:rPr>
          <w:rFonts w:ascii="Times New Roman" w:hAnsi="Times New Roman" w:cs="Times New Roman"/>
          <w:sz w:val="20"/>
          <w:szCs w:val="20"/>
        </w:rPr>
        <w:t>Tridimas</w:t>
      </w:r>
      <w:proofErr w:type="spellEnd"/>
      <w:r w:rsidRPr="0089051B">
        <w:rPr>
          <w:rFonts w:ascii="Times New Roman" w:hAnsi="Times New Roman" w:cs="Times New Roman"/>
          <w:sz w:val="20"/>
          <w:szCs w:val="20"/>
        </w:rPr>
        <w:t xml:space="preserve">, “Black, White and Shades of Grey: Horizontality of Directives Revisited”, 21 YEL (2002), 327; </w:t>
      </w:r>
      <w:proofErr w:type="spellStart"/>
      <w:r w:rsidRPr="0089051B">
        <w:rPr>
          <w:rFonts w:ascii="Times New Roman" w:hAnsi="Times New Roman" w:cs="Times New Roman"/>
          <w:sz w:val="20"/>
          <w:szCs w:val="20"/>
        </w:rPr>
        <w:t>Lenaerts</w:t>
      </w:r>
      <w:proofErr w:type="spellEnd"/>
      <w:r w:rsidRPr="0089051B">
        <w:rPr>
          <w:rFonts w:ascii="Times New Roman" w:hAnsi="Times New Roman" w:cs="Times New Roman"/>
          <w:sz w:val="20"/>
          <w:szCs w:val="20"/>
        </w:rPr>
        <w:t xml:space="preserve"> and </w:t>
      </w:r>
      <w:proofErr w:type="spellStart"/>
      <w:r w:rsidRPr="0089051B">
        <w:rPr>
          <w:rFonts w:ascii="Times New Roman" w:hAnsi="Times New Roman" w:cs="Times New Roman"/>
          <w:sz w:val="20"/>
          <w:szCs w:val="20"/>
        </w:rPr>
        <w:t>Corthaut</w:t>
      </w:r>
      <w:proofErr w:type="spellEnd"/>
      <w:r w:rsidRPr="0089051B">
        <w:rPr>
          <w:rFonts w:ascii="Times New Roman" w:hAnsi="Times New Roman" w:cs="Times New Roman"/>
          <w:sz w:val="20"/>
          <w:szCs w:val="20"/>
        </w:rPr>
        <w:t>, “Of Birds and Hedges: The Role of Primacy in Invoking Norms of EU Law”, 31 EL Rev. (2006), 287.</w:t>
      </w:r>
    </w:p>
  </w:footnote>
  <w:footnote w:id="38">
    <w:p w14:paraId="13FC5D05" w14:textId="593855CF" w:rsidR="00F9432E" w:rsidRPr="0089051B" w:rsidRDefault="00F9432E">
      <w:pPr>
        <w:pStyle w:val="FootnoteText"/>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further, e.g. Alter, </w:t>
      </w:r>
      <w:r w:rsidRPr="0089051B">
        <w:rPr>
          <w:rFonts w:ascii="Times New Roman" w:hAnsi="Times New Roman" w:cs="Times New Roman"/>
          <w:i/>
          <w:iCs/>
          <w:sz w:val="20"/>
          <w:szCs w:val="20"/>
        </w:rPr>
        <w:t>Establishing the Primacy of European Law</w:t>
      </w:r>
      <w:r w:rsidRPr="0089051B">
        <w:rPr>
          <w:rFonts w:ascii="Times New Roman" w:hAnsi="Times New Roman" w:cs="Times New Roman"/>
          <w:sz w:val="20"/>
          <w:szCs w:val="20"/>
        </w:rPr>
        <w:t xml:space="preserve"> (OUP, 2001); </w:t>
      </w:r>
      <w:proofErr w:type="spellStart"/>
      <w:r w:rsidRPr="0089051B">
        <w:rPr>
          <w:rFonts w:ascii="Times New Roman" w:hAnsi="Times New Roman" w:cs="Times New Roman"/>
          <w:sz w:val="20"/>
          <w:szCs w:val="20"/>
          <w:lang w:val="en-US"/>
        </w:rPr>
        <w:t>Claes</w:t>
      </w:r>
      <w:proofErr w:type="spellEnd"/>
      <w:r w:rsidRPr="0089051B">
        <w:rPr>
          <w:rFonts w:ascii="Times New Roman" w:hAnsi="Times New Roman" w:cs="Times New Roman"/>
          <w:sz w:val="20"/>
          <w:szCs w:val="20"/>
          <w:lang w:val="en-US"/>
        </w:rPr>
        <w:t xml:space="preserve">, </w:t>
      </w:r>
      <w:r w:rsidRPr="0089051B">
        <w:rPr>
          <w:rFonts w:ascii="Times New Roman" w:hAnsi="Times New Roman" w:cs="Times New Roman"/>
          <w:i/>
          <w:sz w:val="20"/>
          <w:szCs w:val="20"/>
          <w:lang w:val="en-US"/>
        </w:rPr>
        <w:t xml:space="preserve">The National Courts’ Mandate in the European Constitution </w:t>
      </w:r>
      <w:r w:rsidRPr="0089051B">
        <w:rPr>
          <w:rFonts w:ascii="Times New Roman" w:hAnsi="Times New Roman" w:cs="Times New Roman"/>
          <w:sz w:val="20"/>
          <w:szCs w:val="20"/>
          <w:lang w:val="en-US"/>
        </w:rPr>
        <w:t xml:space="preserve">(Hart, 2006); </w:t>
      </w:r>
      <w:proofErr w:type="spellStart"/>
      <w:r w:rsidRPr="0089051B">
        <w:rPr>
          <w:rFonts w:ascii="Times New Roman" w:hAnsi="Times New Roman" w:cs="Times New Roman"/>
          <w:sz w:val="20"/>
          <w:szCs w:val="20"/>
          <w:lang w:val="en-US"/>
        </w:rPr>
        <w:t>Besselink</w:t>
      </w:r>
      <w:proofErr w:type="spellEnd"/>
      <w:r w:rsidRPr="0089051B">
        <w:rPr>
          <w:rFonts w:ascii="Times New Roman" w:hAnsi="Times New Roman" w:cs="Times New Roman"/>
          <w:sz w:val="20"/>
          <w:szCs w:val="20"/>
          <w:lang w:val="en-US"/>
        </w:rPr>
        <w:t xml:space="preserve">, </w:t>
      </w:r>
      <w:r w:rsidRPr="0089051B">
        <w:rPr>
          <w:rFonts w:ascii="Times New Roman" w:hAnsi="Times New Roman" w:cs="Times New Roman"/>
          <w:i/>
          <w:sz w:val="20"/>
          <w:szCs w:val="20"/>
          <w:lang w:val="en-US"/>
        </w:rPr>
        <w:t xml:space="preserve">A Composite European Constitution </w:t>
      </w:r>
      <w:r w:rsidRPr="0089051B">
        <w:rPr>
          <w:rFonts w:ascii="Times New Roman" w:hAnsi="Times New Roman" w:cs="Times New Roman"/>
          <w:sz w:val="20"/>
          <w:szCs w:val="20"/>
          <w:lang w:val="en-US"/>
        </w:rPr>
        <w:t xml:space="preserve">(Europa Law, 2007).  </w:t>
      </w:r>
    </w:p>
  </w:footnote>
  <w:footnote w:id="39">
    <w:p w14:paraId="4E276FA3" w14:textId="3909DF8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In particular, the “classic” </w:t>
      </w:r>
      <w:proofErr w:type="spellStart"/>
      <w:r w:rsidRPr="0089051B">
        <w:rPr>
          <w:rFonts w:ascii="Times New Roman" w:hAnsi="Times New Roman" w:cs="Times New Roman"/>
          <w:sz w:val="20"/>
          <w:szCs w:val="20"/>
        </w:rPr>
        <w:t>BVerfG</w:t>
      </w:r>
      <w:proofErr w:type="spellEnd"/>
      <w:r w:rsidRPr="0089051B">
        <w:rPr>
          <w:rFonts w:ascii="Times New Roman" w:hAnsi="Times New Roman" w:cs="Times New Roman"/>
          <w:sz w:val="20"/>
          <w:szCs w:val="20"/>
        </w:rPr>
        <w:t xml:space="preserve"> rulings in </w:t>
      </w:r>
      <w:proofErr w:type="spellStart"/>
      <w:r w:rsidRPr="0089051B">
        <w:rPr>
          <w:rFonts w:ascii="Times New Roman" w:hAnsi="Times New Roman" w:cs="Times New Roman"/>
          <w:i/>
          <w:sz w:val="20"/>
          <w:szCs w:val="20"/>
        </w:rPr>
        <w:t>Solange</w:t>
      </w:r>
      <w:proofErr w:type="spellEnd"/>
      <w:r w:rsidRPr="0089051B">
        <w:rPr>
          <w:rFonts w:ascii="Times New Roman" w:hAnsi="Times New Roman" w:cs="Times New Roman"/>
          <w:i/>
          <w:sz w:val="20"/>
          <w:szCs w:val="20"/>
        </w:rPr>
        <w:t xml:space="preserve"> II</w:t>
      </w:r>
      <w:r w:rsidRPr="0089051B">
        <w:rPr>
          <w:rFonts w:ascii="Times New Roman" w:hAnsi="Times New Roman" w:cs="Times New Roman"/>
          <w:sz w:val="20"/>
          <w:szCs w:val="20"/>
        </w:rPr>
        <w:t xml:space="preserve"> [1987] 3 CMLR 225; </w:t>
      </w:r>
      <w:r w:rsidRPr="0089051B">
        <w:rPr>
          <w:rFonts w:ascii="Times New Roman" w:hAnsi="Times New Roman" w:cs="Times New Roman"/>
          <w:i/>
          <w:sz w:val="20"/>
          <w:szCs w:val="20"/>
        </w:rPr>
        <w:t>Brunner</w:t>
      </w:r>
      <w:r w:rsidRPr="0089051B">
        <w:rPr>
          <w:rFonts w:ascii="Times New Roman" w:hAnsi="Times New Roman" w:cs="Times New Roman"/>
          <w:sz w:val="20"/>
          <w:szCs w:val="20"/>
        </w:rPr>
        <w:t xml:space="preserve"> [1994] 1 CMLR 57; and </w:t>
      </w:r>
      <w:r w:rsidRPr="0089051B">
        <w:rPr>
          <w:rFonts w:ascii="Times New Roman" w:hAnsi="Times New Roman" w:cs="Times New Roman"/>
          <w:i/>
          <w:sz w:val="20"/>
          <w:szCs w:val="20"/>
        </w:rPr>
        <w:t>Lisbon Treaty</w:t>
      </w:r>
      <w:r w:rsidRPr="0089051B">
        <w:rPr>
          <w:rFonts w:ascii="Times New Roman" w:hAnsi="Times New Roman" w:cs="Times New Roman"/>
          <w:sz w:val="20"/>
          <w:szCs w:val="20"/>
        </w:rPr>
        <w:t xml:space="preserve"> (Judgment of 30 June 2009) – as well as subsequent </w:t>
      </w:r>
      <w:proofErr w:type="spellStart"/>
      <w:r w:rsidRPr="0089051B">
        <w:rPr>
          <w:rFonts w:ascii="Times New Roman" w:hAnsi="Times New Roman" w:cs="Times New Roman"/>
          <w:sz w:val="20"/>
          <w:szCs w:val="20"/>
        </w:rPr>
        <w:t>caselaw</w:t>
      </w:r>
      <w:proofErr w:type="spellEnd"/>
      <w:r w:rsidRPr="0089051B">
        <w:rPr>
          <w:rFonts w:ascii="Times New Roman" w:hAnsi="Times New Roman" w:cs="Times New Roman"/>
          <w:sz w:val="20"/>
          <w:szCs w:val="20"/>
        </w:rPr>
        <w:t xml:space="preserve"> such as the </w:t>
      </w:r>
      <w:r w:rsidRPr="0089051B">
        <w:rPr>
          <w:rFonts w:ascii="Times New Roman" w:hAnsi="Times New Roman" w:cs="Times New Roman"/>
          <w:i/>
          <w:sz w:val="20"/>
          <w:szCs w:val="20"/>
        </w:rPr>
        <w:t>Honeywell</w:t>
      </w:r>
      <w:r w:rsidRPr="0089051B">
        <w:rPr>
          <w:rFonts w:ascii="Times New Roman" w:hAnsi="Times New Roman" w:cs="Times New Roman"/>
          <w:sz w:val="20"/>
          <w:szCs w:val="20"/>
        </w:rPr>
        <w:t xml:space="preserve"> and </w:t>
      </w:r>
      <w:proofErr w:type="spellStart"/>
      <w:r w:rsidRPr="0089051B">
        <w:rPr>
          <w:rFonts w:ascii="Times New Roman" w:hAnsi="Times New Roman" w:cs="Times New Roman"/>
          <w:i/>
          <w:sz w:val="20"/>
          <w:szCs w:val="20"/>
        </w:rPr>
        <w:t>Gauweiler</w:t>
      </w:r>
      <w:proofErr w:type="spellEnd"/>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litigation.</w:t>
      </w:r>
      <w:proofErr w:type="gramEnd"/>
      <w:r w:rsidRPr="0089051B">
        <w:rPr>
          <w:rFonts w:ascii="Times New Roman" w:hAnsi="Times New Roman" w:cs="Times New Roman"/>
          <w:sz w:val="20"/>
          <w:szCs w:val="20"/>
        </w:rPr>
        <w:t xml:space="preserve">  </w:t>
      </w:r>
    </w:p>
  </w:footnote>
  <w:footnote w:id="40">
    <w:p w14:paraId="06BEFF33" w14:textId="7A576A1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further, e.g. </w:t>
      </w:r>
      <w:proofErr w:type="spellStart"/>
      <w:r w:rsidRPr="0089051B">
        <w:rPr>
          <w:rFonts w:ascii="Times New Roman" w:hAnsi="Times New Roman" w:cs="Times New Roman"/>
          <w:sz w:val="20"/>
          <w:szCs w:val="20"/>
        </w:rPr>
        <w:t>Herdegen</w:t>
      </w:r>
      <w:proofErr w:type="spellEnd"/>
      <w:r w:rsidRPr="0089051B">
        <w:rPr>
          <w:rFonts w:ascii="Times New Roman" w:hAnsi="Times New Roman" w:cs="Times New Roman"/>
          <w:sz w:val="20"/>
          <w:szCs w:val="20"/>
        </w:rPr>
        <w:t>, “Maastricht and the German Constitutional Court: Constitutional Restraints for an ‘Ever Closer Union’”</w:t>
      </w:r>
      <w:r>
        <w:rPr>
          <w:rFonts w:ascii="Times New Roman" w:hAnsi="Times New Roman" w:cs="Times New Roman"/>
          <w:sz w:val="20"/>
          <w:szCs w:val="20"/>
        </w:rPr>
        <w:t>,</w:t>
      </w:r>
      <w:r w:rsidRPr="0089051B">
        <w:rPr>
          <w:rFonts w:ascii="Times New Roman" w:hAnsi="Times New Roman" w:cs="Times New Roman"/>
          <w:sz w:val="20"/>
          <w:szCs w:val="20"/>
        </w:rPr>
        <w:t xml:space="preserve"> 31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(1994), </w:t>
      </w:r>
      <w:r w:rsidRPr="0089051B">
        <w:rPr>
          <w:rFonts w:ascii="Times New Roman" w:hAnsi="Times New Roman" w:cs="Times New Roman"/>
          <w:sz w:val="20"/>
          <w:szCs w:val="20"/>
        </w:rPr>
        <w:t xml:space="preserve">235; </w:t>
      </w:r>
      <w:proofErr w:type="spellStart"/>
      <w:r w:rsidRPr="0089051B">
        <w:rPr>
          <w:rFonts w:ascii="Times New Roman" w:hAnsi="Times New Roman" w:cs="Times New Roman"/>
          <w:sz w:val="20"/>
          <w:szCs w:val="20"/>
        </w:rPr>
        <w:t>Thym</w:t>
      </w:r>
      <w:proofErr w:type="spellEnd"/>
      <w:r w:rsidRPr="0089051B">
        <w:rPr>
          <w:rFonts w:ascii="Times New Roman" w:hAnsi="Times New Roman" w:cs="Times New Roman"/>
          <w:sz w:val="20"/>
          <w:szCs w:val="20"/>
        </w:rPr>
        <w:t xml:space="preserve">, “In the Name of Sovereign Statehood: A Critical Introduction to the </w:t>
      </w:r>
      <w:r w:rsidRPr="0089051B">
        <w:rPr>
          <w:rFonts w:ascii="Times New Roman" w:hAnsi="Times New Roman" w:cs="Times New Roman"/>
          <w:i/>
          <w:sz w:val="20"/>
          <w:szCs w:val="20"/>
        </w:rPr>
        <w:t xml:space="preserve">Lisbon </w:t>
      </w:r>
      <w:r w:rsidRPr="0089051B">
        <w:rPr>
          <w:rFonts w:ascii="Times New Roman" w:hAnsi="Times New Roman" w:cs="Times New Roman"/>
          <w:sz w:val="20"/>
          <w:szCs w:val="20"/>
        </w:rPr>
        <w:t>Judgment of the German Constitutional Court”</w:t>
      </w:r>
      <w:r>
        <w:rPr>
          <w:rFonts w:ascii="Times New Roman" w:hAnsi="Times New Roman" w:cs="Times New Roman"/>
          <w:sz w:val="20"/>
          <w:szCs w:val="20"/>
        </w:rPr>
        <w:t>,</w:t>
      </w:r>
      <w:r w:rsidRPr="0089051B">
        <w:rPr>
          <w:rFonts w:ascii="Times New Roman" w:hAnsi="Times New Roman" w:cs="Times New Roman"/>
          <w:sz w:val="20"/>
          <w:szCs w:val="20"/>
        </w:rPr>
        <w:t xml:space="preserve"> 46 </w:t>
      </w:r>
      <w:r>
        <w:rPr>
          <w:rFonts w:ascii="Times New Roman" w:hAnsi="Times New Roman" w:cs="Times New Roman"/>
          <w:sz w:val="20"/>
          <w:szCs w:val="20"/>
        </w:rPr>
        <w:t>CML Rev.</w:t>
      </w:r>
      <w:r w:rsidRPr="0089051B">
        <w:rPr>
          <w:rFonts w:ascii="Times New Roman" w:hAnsi="Times New Roman" w:cs="Times New Roman"/>
          <w:sz w:val="20"/>
          <w:szCs w:val="20"/>
        </w:rPr>
        <w:t xml:space="preserve"> (2009)</w:t>
      </w:r>
      <w:r>
        <w:rPr>
          <w:rFonts w:ascii="Times New Roman" w:hAnsi="Times New Roman" w:cs="Times New Roman"/>
          <w:sz w:val="20"/>
          <w:szCs w:val="20"/>
        </w:rPr>
        <w:t xml:space="preserve">, </w:t>
      </w:r>
      <w:r w:rsidRPr="0089051B">
        <w:rPr>
          <w:rFonts w:ascii="Times New Roman" w:hAnsi="Times New Roman" w:cs="Times New Roman"/>
          <w:sz w:val="20"/>
          <w:szCs w:val="20"/>
        </w:rPr>
        <w:t xml:space="preserve">1795; </w:t>
      </w:r>
      <w:proofErr w:type="spellStart"/>
      <w:r w:rsidRPr="0089051B">
        <w:rPr>
          <w:rFonts w:ascii="Times New Roman" w:hAnsi="Times New Roman" w:cs="Times New Roman"/>
          <w:sz w:val="20"/>
          <w:szCs w:val="20"/>
        </w:rPr>
        <w:t>Doukas</w:t>
      </w:r>
      <w:proofErr w:type="spellEnd"/>
      <w:r w:rsidRPr="0089051B">
        <w:rPr>
          <w:rFonts w:ascii="Times New Roman" w:hAnsi="Times New Roman" w:cs="Times New Roman"/>
          <w:sz w:val="20"/>
          <w:szCs w:val="20"/>
        </w:rPr>
        <w:t>, “The Verdict of the German Federal Constitutional Court on the Lisbon Treaty: Not Guilty, But Don’t Do It Again!</w:t>
      </w:r>
      <w:proofErr w:type="gramStart"/>
      <w:r w:rsidRPr="0089051B">
        <w:rPr>
          <w:rFonts w:ascii="Times New Roman" w:hAnsi="Times New Roman" w:cs="Times New Roman"/>
          <w:sz w:val="20"/>
          <w:szCs w:val="20"/>
        </w:rPr>
        <w:t>”</w:t>
      </w:r>
      <w:r>
        <w:rPr>
          <w:rFonts w:ascii="Times New Roman" w:hAnsi="Times New Roman" w:cs="Times New Roman"/>
          <w:sz w:val="20"/>
          <w:szCs w:val="20"/>
        </w:rPr>
        <w:t>,</w:t>
      </w:r>
      <w:proofErr w:type="gramEnd"/>
      <w:r w:rsidRPr="0089051B">
        <w:rPr>
          <w:rFonts w:ascii="Times New Roman" w:hAnsi="Times New Roman" w:cs="Times New Roman"/>
          <w:sz w:val="20"/>
          <w:szCs w:val="20"/>
        </w:rPr>
        <w:t xml:space="preserve"> 34 </w:t>
      </w:r>
      <w:r>
        <w:rPr>
          <w:rFonts w:ascii="Times New Roman" w:hAnsi="Times New Roman" w:cs="Times New Roman"/>
          <w:sz w:val="20"/>
          <w:szCs w:val="20"/>
        </w:rPr>
        <w:t>EL Rev.</w:t>
      </w:r>
      <w:r w:rsidRPr="0089051B">
        <w:rPr>
          <w:rFonts w:ascii="Times New Roman" w:hAnsi="Times New Roman" w:cs="Times New Roman"/>
          <w:sz w:val="20"/>
          <w:szCs w:val="20"/>
        </w:rPr>
        <w:t xml:space="preserve"> (2</w:t>
      </w:r>
      <w:r>
        <w:rPr>
          <w:rFonts w:ascii="Times New Roman" w:hAnsi="Times New Roman" w:cs="Times New Roman"/>
          <w:sz w:val="20"/>
          <w:szCs w:val="20"/>
        </w:rPr>
        <w:t xml:space="preserve">009), </w:t>
      </w:r>
      <w:r w:rsidRPr="0089051B">
        <w:rPr>
          <w:rFonts w:ascii="Times New Roman" w:hAnsi="Times New Roman" w:cs="Times New Roman"/>
          <w:sz w:val="20"/>
          <w:szCs w:val="20"/>
        </w:rPr>
        <w:t xml:space="preserve">866; </w:t>
      </w:r>
      <w:proofErr w:type="spellStart"/>
      <w:r w:rsidRPr="0089051B">
        <w:rPr>
          <w:rFonts w:ascii="Times New Roman" w:hAnsi="Times New Roman" w:cs="Times New Roman"/>
          <w:sz w:val="20"/>
          <w:szCs w:val="20"/>
        </w:rPr>
        <w:t>Payandeh</w:t>
      </w:r>
      <w:proofErr w:type="spellEnd"/>
      <w:r w:rsidRPr="0089051B">
        <w:rPr>
          <w:rFonts w:ascii="Times New Roman" w:hAnsi="Times New Roman" w:cs="Times New Roman"/>
          <w:sz w:val="20"/>
          <w:szCs w:val="20"/>
        </w:rPr>
        <w:t xml:space="preserve">, “Constitutional Review of EU Law After </w:t>
      </w:r>
      <w:r w:rsidRPr="0089051B">
        <w:rPr>
          <w:rFonts w:ascii="Times New Roman" w:hAnsi="Times New Roman" w:cs="Times New Roman"/>
          <w:i/>
          <w:sz w:val="20"/>
          <w:szCs w:val="20"/>
        </w:rPr>
        <w:t>Honeywell</w:t>
      </w:r>
      <w:r w:rsidRPr="0089051B">
        <w:rPr>
          <w:rFonts w:ascii="Times New Roman" w:hAnsi="Times New Roman" w:cs="Times New Roman"/>
          <w:sz w:val="20"/>
          <w:szCs w:val="20"/>
        </w:rPr>
        <w:t>: Contextualising the Relationship Between the German Constitutional Court and the EU Court of Justice”</w:t>
      </w:r>
      <w:r>
        <w:rPr>
          <w:rFonts w:ascii="Times New Roman" w:hAnsi="Times New Roman" w:cs="Times New Roman"/>
          <w:sz w:val="20"/>
          <w:szCs w:val="20"/>
        </w:rPr>
        <w:t>,</w:t>
      </w:r>
      <w:r w:rsidRPr="0089051B">
        <w:rPr>
          <w:rFonts w:ascii="Times New Roman" w:hAnsi="Times New Roman" w:cs="Times New Roman"/>
          <w:sz w:val="20"/>
          <w:szCs w:val="20"/>
        </w:rPr>
        <w:t xml:space="preserve"> 48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(2011), </w:t>
      </w:r>
      <w:r w:rsidRPr="0089051B">
        <w:rPr>
          <w:rFonts w:ascii="Times New Roman" w:hAnsi="Times New Roman" w:cs="Times New Roman"/>
          <w:sz w:val="20"/>
          <w:szCs w:val="20"/>
        </w:rPr>
        <w:t xml:space="preserve">9; </w:t>
      </w:r>
      <w:proofErr w:type="spellStart"/>
      <w:r w:rsidRPr="0089051B">
        <w:rPr>
          <w:rFonts w:ascii="Times New Roman" w:hAnsi="Times New Roman" w:cs="Times New Roman"/>
          <w:sz w:val="20"/>
          <w:szCs w:val="20"/>
        </w:rPr>
        <w:t>Pliakos</w:t>
      </w:r>
      <w:proofErr w:type="spellEnd"/>
      <w:r w:rsidRPr="0089051B">
        <w:rPr>
          <w:rFonts w:ascii="Times New Roman" w:hAnsi="Times New Roman" w:cs="Times New Roman"/>
          <w:sz w:val="20"/>
          <w:szCs w:val="20"/>
        </w:rPr>
        <w:t xml:space="preserve"> and </w:t>
      </w:r>
      <w:proofErr w:type="spellStart"/>
      <w:r w:rsidRPr="0089051B">
        <w:rPr>
          <w:rFonts w:ascii="Times New Roman" w:hAnsi="Times New Roman" w:cs="Times New Roman"/>
          <w:sz w:val="20"/>
          <w:szCs w:val="20"/>
        </w:rPr>
        <w:t>Anagnostaras</w:t>
      </w:r>
      <w:proofErr w:type="spellEnd"/>
      <w:r w:rsidRPr="0089051B">
        <w:rPr>
          <w:rFonts w:ascii="Times New Roman" w:hAnsi="Times New Roman" w:cs="Times New Roman"/>
          <w:sz w:val="20"/>
          <w:szCs w:val="20"/>
        </w:rPr>
        <w:t>, “Who is the ultimate arbiter?  The battle over judicial primacy in EU law”</w:t>
      </w:r>
      <w:r>
        <w:rPr>
          <w:rFonts w:ascii="Times New Roman" w:hAnsi="Times New Roman" w:cs="Times New Roman"/>
          <w:sz w:val="20"/>
          <w:szCs w:val="20"/>
        </w:rPr>
        <w:t>,</w:t>
      </w:r>
      <w:r w:rsidRPr="0089051B">
        <w:rPr>
          <w:rFonts w:ascii="Times New Roman" w:hAnsi="Times New Roman" w:cs="Times New Roman"/>
          <w:sz w:val="20"/>
          <w:szCs w:val="20"/>
        </w:rPr>
        <w:t xml:space="preserve"> 36 </w:t>
      </w:r>
      <w:r>
        <w:rPr>
          <w:rFonts w:ascii="Times New Roman" w:hAnsi="Times New Roman" w:cs="Times New Roman"/>
          <w:sz w:val="20"/>
          <w:szCs w:val="20"/>
        </w:rPr>
        <w:t>EL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(2011), </w:t>
      </w:r>
      <w:r w:rsidRPr="0089051B">
        <w:rPr>
          <w:rFonts w:ascii="Times New Roman" w:hAnsi="Times New Roman" w:cs="Times New Roman"/>
          <w:sz w:val="20"/>
          <w:szCs w:val="20"/>
        </w:rPr>
        <w:t xml:space="preserve">109; Borger, “Outright Monetary Transactions and the Stability Mandate of the ECB: </w:t>
      </w:r>
      <w:proofErr w:type="spellStart"/>
      <w:r w:rsidRPr="0089051B">
        <w:rPr>
          <w:rFonts w:ascii="Times New Roman" w:hAnsi="Times New Roman" w:cs="Times New Roman"/>
          <w:i/>
          <w:sz w:val="20"/>
          <w:szCs w:val="20"/>
        </w:rPr>
        <w:t>Gauweiler</w:t>
      </w:r>
      <w:proofErr w:type="spellEnd"/>
      <w:r w:rsidRPr="0089051B">
        <w:rPr>
          <w:rFonts w:ascii="Times New Roman" w:hAnsi="Times New Roman" w:cs="Times New Roman"/>
          <w:sz w:val="20"/>
          <w:szCs w:val="20"/>
        </w:rPr>
        <w:t>”</w:t>
      </w:r>
      <w:r>
        <w:rPr>
          <w:rFonts w:ascii="Times New Roman" w:hAnsi="Times New Roman" w:cs="Times New Roman"/>
          <w:sz w:val="20"/>
          <w:szCs w:val="20"/>
        </w:rPr>
        <w:t>,</w:t>
      </w:r>
      <w:r w:rsidRPr="0089051B">
        <w:rPr>
          <w:rFonts w:ascii="Times New Roman" w:hAnsi="Times New Roman" w:cs="Times New Roman"/>
          <w:sz w:val="20"/>
          <w:szCs w:val="20"/>
        </w:rPr>
        <w:t xml:space="preserve"> 53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(2016), </w:t>
      </w:r>
      <w:r w:rsidRPr="0089051B">
        <w:rPr>
          <w:rFonts w:ascii="Times New Roman" w:hAnsi="Times New Roman" w:cs="Times New Roman"/>
          <w:sz w:val="20"/>
          <w:szCs w:val="20"/>
        </w:rPr>
        <w:t>139; Lang, “</w:t>
      </w:r>
      <w:r w:rsidRPr="0089051B">
        <w:rPr>
          <w:rFonts w:ascii="Times New Roman" w:hAnsi="Times New Roman" w:cs="Times New Roman"/>
          <w:i/>
          <w:sz w:val="20"/>
          <w:szCs w:val="20"/>
        </w:rPr>
        <w:t>Ultra vires</w:t>
      </w:r>
      <w:r w:rsidRPr="0089051B">
        <w:rPr>
          <w:rFonts w:ascii="Times New Roman" w:hAnsi="Times New Roman" w:cs="Times New Roman"/>
          <w:sz w:val="20"/>
          <w:szCs w:val="20"/>
        </w:rPr>
        <w:t xml:space="preserve"> review of the ECB’s policy of quantitative easing: An analysis of the German Constitutional Court’s preliminary reference order in the </w:t>
      </w:r>
      <w:r w:rsidRPr="0089051B">
        <w:rPr>
          <w:rFonts w:ascii="Times New Roman" w:hAnsi="Times New Roman" w:cs="Times New Roman"/>
          <w:i/>
          <w:sz w:val="20"/>
          <w:szCs w:val="20"/>
        </w:rPr>
        <w:t xml:space="preserve">PSPP </w:t>
      </w:r>
      <w:r w:rsidRPr="0089051B">
        <w:rPr>
          <w:rFonts w:ascii="Times New Roman" w:hAnsi="Times New Roman" w:cs="Times New Roman"/>
          <w:sz w:val="20"/>
          <w:szCs w:val="20"/>
        </w:rPr>
        <w:t>case”</w:t>
      </w:r>
      <w:r>
        <w:rPr>
          <w:rFonts w:ascii="Times New Roman" w:hAnsi="Times New Roman" w:cs="Times New Roman"/>
          <w:sz w:val="20"/>
          <w:szCs w:val="20"/>
        </w:rPr>
        <w:t>,</w:t>
      </w:r>
      <w:r w:rsidRPr="0089051B">
        <w:rPr>
          <w:rFonts w:ascii="Times New Roman" w:hAnsi="Times New Roman" w:cs="Times New Roman"/>
          <w:sz w:val="20"/>
          <w:szCs w:val="20"/>
        </w:rPr>
        <w:t xml:space="preserve"> 55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(2018), </w:t>
      </w:r>
      <w:r w:rsidRPr="0089051B">
        <w:rPr>
          <w:rFonts w:ascii="Times New Roman" w:hAnsi="Times New Roman" w:cs="Times New Roman"/>
          <w:sz w:val="20"/>
          <w:szCs w:val="20"/>
        </w:rPr>
        <w:t xml:space="preserve">923.  And more broadly, e.g. </w:t>
      </w:r>
      <w:proofErr w:type="spellStart"/>
      <w:r w:rsidRPr="0089051B">
        <w:rPr>
          <w:rFonts w:ascii="Times New Roman" w:hAnsi="Times New Roman" w:cs="Times New Roman"/>
          <w:sz w:val="20"/>
          <w:szCs w:val="20"/>
        </w:rPr>
        <w:t>MacCormick</w:t>
      </w:r>
      <w:proofErr w:type="spellEnd"/>
      <w:r w:rsidRPr="0089051B">
        <w:rPr>
          <w:rFonts w:ascii="Times New Roman" w:hAnsi="Times New Roman" w:cs="Times New Roman"/>
          <w:sz w:val="20"/>
          <w:szCs w:val="20"/>
        </w:rPr>
        <w:t>, “The Maastricht-</w:t>
      </w:r>
      <w:proofErr w:type="spellStart"/>
      <w:r w:rsidRPr="0089051B">
        <w:rPr>
          <w:rFonts w:ascii="Times New Roman" w:hAnsi="Times New Roman" w:cs="Times New Roman"/>
          <w:sz w:val="20"/>
          <w:szCs w:val="20"/>
        </w:rPr>
        <w:t>Urteil</w:t>
      </w:r>
      <w:proofErr w:type="spellEnd"/>
      <w:r w:rsidRPr="0089051B">
        <w:rPr>
          <w:rFonts w:ascii="Times New Roman" w:hAnsi="Times New Roman" w:cs="Times New Roman"/>
          <w:sz w:val="20"/>
          <w:szCs w:val="20"/>
        </w:rPr>
        <w:t>: Sovereignty Now”</w:t>
      </w:r>
      <w:r>
        <w:rPr>
          <w:rFonts w:ascii="Times New Roman" w:hAnsi="Times New Roman" w:cs="Times New Roman"/>
          <w:sz w:val="20"/>
          <w:szCs w:val="20"/>
        </w:rPr>
        <w:t>,</w:t>
      </w:r>
      <w:r w:rsidRPr="0089051B">
        <w:rPr>
          <w:rFonts w:ascii="Times New Roman" w:hAnsi="Times New Roman" w:cs="Times New Roman"/>
          <w:sz w:val="20"/>
          <w:szCs w:val="20"/>
        </w:rPr>
        <w:t xml:space="preserve"> 1 ELJ </w:t>
      </w:r>
      <w:r>
        <w:rPr>
          <w:rFonts w:ascii="Times New Roman" w:hAnsi="Times New Roman" w:cs="Times New Roman"/>
          <w:sz w:val="20"/>
          <w:szCs w:val="20"/>
        </w:rPr>
        <w:t xml:space="preserve">(1995), </w:t>
      </w:r>
      <w:r w:rsidRPr="0089051B">
        <w:rPr>
          <w:rFonts w:ascii="Times New Roman" w:hAnsi="Times New Roman" w:cs="Times New Roman"/>
          <w:sz w:val="20"/>
          <w:szCs w:val="20"/>
        </w:rPr>
        <w:t xml:space="preserve">259; </w:t>
      </w:r>
      <w:proofErr w:type="spellStart"/>
      <w:r w:rsidRPr="0089051B">
        <w:rPr>
          <w:rFonts w:ascii="Times New Roman" w:hAnsi="Times New Roman" w:cs="Times New Roman"/>
          <w:sz w:val="20"/>
          <w:szCs w:val="20"/>
        </w:rPr>
        <w:t>Baquero</w:t>
      </w:r>
      <w:proofErr w:type="spellEnd"/>
      <w:r w:rsidRPr="0089051B">
        <w:rPr>
          <w:rFonts w:ascii="Times New Roman" w:hAnsi="Times New Roman" w:cs="Times New Roman"/>
          <w:sz w:val="20"/>
          <w:szCs w:val="20"/>
        </w:rPr>
        <w:t xml:space="preserve"> Cruz, “The Legacy of the Maastricht-</w:t>
      </w:r>
      <w:proofErr w:type="spellStart"/>
      <w:r w:rsidRPr="0089051B">
        <w:rPr>
          <w:rFonts w:ascii="Times New Roman" w:hAnsi="Times New Roman" w:cs="Times New Roman"/>
          <w:sz w:val="20"/>
          <w:szCs w:val="20"/>
        </w:rPr>
        <w:t>Urt</w:t>
      </w:r>
      <w:r>
        <w:rPr>
          <w:rFonts w:ascii="Times New Roman" w:hAnsi="Times New Roman" w:cs="Times New Roman"/>
          <w:sz w:val="20"/>
          <w:szCs w:val="20"/>
        </w:rPr>
        <w:t>eil</w:t>
      </w:r>
      <w:proofErr w:type="spellEnd"/>
      <w:r>
        <w:rPr>
          <w:rFonts w:ascii="Times New Roman" w:hAnsi="Times New Roman" w:cs="Times New Roman"/>
          <w:sz w:val="20"/>
          <w:szCs w:val="20"/>
        </w:rPr>
        <w:t xml:space="preserve"> and the Pluralist Movement”, </w:t>
      </w:r>
      <w:r w:rsidRPr="0089051B">
        <w:rPr>
          <w:rFonts w:ascii="Times New Roman" w:hAnsi="Times New Roman" w:cs="Times New Roman"/>
          <w:sz w:val="20"/>
          <w:szCs w:val="20"/>
        </w:rPr>
        <w:t xml:space="preserve">14 ELJ </w:t>
      </w:r>
      <w:r>
        <w:rPr>
          <w:rFonts w:ascii="Times New Roman" w:hAnsi="Times New Roman" w:cs="Times New Roman"/>
          <w:sz w:val="20"/>
          <w:szCs w:val="20"/>
        </w:rPr>
        <w:t xml:space="preserve">(2008), </w:t>
      </w:r>
      <w:r w:rsidRPr="0089051B">
        <w:rPr>
          <w:rFonts w:ascii="Times New Roman" w:hAnsi="Times New Roman" w:cs="Times New Roman"/>
          <w:sz w:val="20"/>
          <w:szCs w:val="20"/>
        </w:rPr>
        <w:t xml:space="preserve">389; </w:t>
      </w:r>
      <w:proofErr w:type="spellStart"/>
      <w:r w:rsidRPr="0089051B">
        <w:rPr>
          <w:rFonts w:ascii="Times New Roman" w:hAnsi="Times New Roman" w:cs="Times New Roman"/>
          <w:sz w:val="20"/>
          <w:szCs w:val="20"/>
        </w:rPr>
        <w:t>Tuominen</w:t>
      </w:r>
      <w:proofErr w:type="spellEnd"/>
      <w:r w:rsidRPr="0089051B">
        <w:rPr>
          <w:rFonts w:ascii="Times New Roman" w:hAnsi="Times New Roman" w:cs="Times New Roman"/>
          <w:sz w:val="20"/>
          <w:szCs w:val="20"/>
        </w:rPr>
        <w:t xml:space="preserve">, “Aspects of Constitutional Pluralism in the Light of the </w:t>
      </w:r>
      <w:proofErr w:type="spellStart"/>
      <w:r w:rsidRPr="0089051B">
        <w:rPr>
          <w:rFonts w:ascii="Times New Roman" w:hAnsi="Times New Roman" w:cs="Times New Roman"/>
          <w:i/>
          <w:sz w:val="20"/>
          <w:szCs w:val="20"/>
        </w:rPr>
        <w:t>Gauweiler</w:t>
      </w:r>
      <w:proofErr w:type="spellEnd"/>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Saga”</w:t>
      </w:r>
      <w:r>
        <w:rPr>
          <w:rFonts w:ascii="Times New Roman" w:hAnsi="Times New Roman" w:cs="Times New Roman"/>
          <w:sz w:val="20"/>
          <w:szCs w:val="20"/>
        </w:rPr>
        <w:t>,</w:t>
      </w:r>
      <w:r w:rsidRPr="0089051B">
        <w:rPr>
          <w:rFonts w:ascii="Times New Roman" w:hAnsi="Times New Roman" w:cs="Times New Roman"/>
          <w:sz w:val="20"/>
          <w:szCs w:val="20"/>
        </w:rPr>
        <w:t xml:space="preserve"> 43 </w:t>
      </w:r>
      <w:r>
        <w:rPr>
          <w:rFonts w:ascii="Times New Roman" w:hAnsi="Times New Roman" w:cs="Times New Roman"/>
          <w:sz w:val="20"/>
          <w:szCs w:val="20"/>
        </w:rPr>
        <w:t>EL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(2018), </w:t>
      </w:r>
      <w:r w:rsidRPr="0089051B">
        <w:rPr>
          <w:rFonts w:ascii="Times New Roman" w:hAnsi="Times New Roman" w:cs="Times New Roman"/>
          <w:sz w:val="20"/>
          <w:szCs w:val="20"/>
        </w:rPr>
        <w:t>186.</w:t>
      </w:r>
    </w:p>
  </w:footnote>
  <w:footnote w:id="41">
    <w:p w14:paraId="0A1A02A4" w14:textId="31A56E6B" w:rsidR="00F9432E" w:rsidRPr="0089051B" w:rsidRDefault="00F9432E" w:rsidP="00B81FD5">
      <w:pPr>
        <w:rPr>
          <w:rFonts w:ascii="Times New Roman" w:eastAsia="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Though nor should one overlook the potential frequency with which national courts do simply bypass their obligations under Union law – including the </w:t>
      </w:r>
      <w:r>
        <w:rPr>
          <w:rFonts w:ascii="Times New Roman" w:hAnsi="Times New Roman" w:cs="Times New Roman"/>
          <w:sz w:val="20"/>
          <w:szCs w:val="20"/>
          <w:lang w:val="en-US"/>
        </w:rPr>
        <w:t>obligation to submit preliminary references under Art 267 TFEU</w:t>
      </w:r>
      <w:r w:rsidRPr="0089051B">
        <w:rPr>
          <w:rFonts w:ascii="Times New Roman" w:hAnsi="Times New Roman" w:cs="Times New Roman"/>
          <w:sz w:val="20"/>
          <w:szCs w:val="20"/>
          <w:lang w:val="en-US"/>
        </w:rPr>
        <w:t>: for a recent example, consider O’Brien, “</w:t>
      </w:r>
      <w:r w:rsidRPr="0089051B">
        <w:rPr>
          <w:rFonts w:ascii="Times New Roman" w:eastAsia="Times New Roman" w:hAnsi="Times New Roman" w:cs="Times New Roman"/>
          <w:color w:val="000000"/>
          <w:sz w:val="20"/>
          <w:szCs w:val="20"/>
          <w:lang w:val="fr-FR"/>
        </w:rPr>
        <w:t>Acte Cryptique? </w:t>
      </w:r>
      <w:proofErr w:type="spellStart"/>
      <w:proofErr w:type="gramStart"/>
      <w:r w:rsidRPr="0089051B">
        <w:rPr>
          <w:rFonts w:ascii="Times New Roman" w:eastAsia="Times New Roman" w:hAnsi="Times New Roman" w:cs="Times New Roman"/>
          <w:i/>
          <w:color w:val="000000"/>
          <w:sz w:val="20"/>
          <w:szCs w:val="20"/>
          <w:lang w:val="en-US"/>
        </w:rPr>
        <w:t>Zambrano</w:t>
      </w:r>
      <w:proofErr w:type="spellEnd"/>
      <w:r w:rsidRPr="0089051B">
        <w:rPr>
          <w:rFonts w:ascii="Times New Roman" w:eastAsia="Times New Roman" w:hAnsi="Times New Roman" w:cs="Times New Roman"/>
          <w:color w:val="000000"/>
          <w:sz w:val="20"/>
          <w:szCs w:val="20"/>
          <w:lang w:val="en-US"/>
        </w:rPr>
        <w:t xml:space="preserve">, Welfare Rights and Underclass Citizenship in the Tale of the Missing Preliminary Reference” (forthcoming in </w:t>
      </w:r>
      <w:proofErr w:type="spellStart"/>
      <w:r>
        <w:rPr>
          <w:rFonts w:ascii="Times New Roman" w:eastAsia="Times New Roman" w:hAnsi="Times New Roman" w:cs="Times New Roman"/>
          <w:color w:val="000000"/>
          <w:sz w:val="20"/>
          <w:szCs w:val="20"/>
          <w:lang w:val="en-US"/>
        </w:rPr>
        <w:t>CMLRev</w:t>
      </w:r>
      <w:proofErr w:type="spellEnd"/>
      <w:r w:rsidRPr="0089051B">
        <w:rPr>
          <w:rFonts w:ascii="Times New Roman" w:eastAsia="Times New Roman" w:hAnsi="Times New Roman" w:cs="Times New Roman"/>
          <w:color w:val="000000"/>
          <w:sz w:val="20"/>
          <w:szCs w:val="20"/>
          <w:lang w:val="en-US"/>
        </w:rPr>
        <w:t>).</w:t>
      </w:r>
      <w:proofErr w:type="gramEnd"/>
    </w:p>
  </w:footnote>
  <w:footnote w:id="42">
    <w:p w14:paraId="686CF7EE" w14:textId="7B70CFA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C-376/98, </w:t>
      </w:r>
      <w:r w:rsidRPr="0089051B">
        <w:rPr>
          <w:rFonts w:ascii="Times New Roman" w:hAnsi="Times New Roman" w:cs="Times New Roman"/>
          <w:i/>
          <w:sz w:val="20"/>
          <w:szCs w:val="20"/>
        </w:rPr>
        <w:t>Germany</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European Parliament and Council</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:C:2000:544</w:t>
      </w:r>
      <w:proofErr w:type="gramEnd"/>
      <w:r w:rsidRPr="0089051B">
        <w:rPr>
          <w:rFonts w:ascii="Times New Roman" w:hAnsi="Times New Roman" w:cs="Times New Roman"/>
          <w:sz w:val="20"/>
          <w:szCs w:val="20"/>
        </w:rPr>
        <w:t xml:space="preserve">; Case 11/70, </w:t>
      </w:r>
      <w:proofErr w:type="spellStart"/>
      <w:r w:rsidRPr="0089051B">
        <w:rPr>
          <w:rFonts w:ascii="Times New Roman" w:hAnsi="Times New Roman" w:cs="Times New Roman"/>
          <w:i/>
          <w:sz w:val="20"/>
          <w:szCs w:val="20"/>
        </w:rPr>
        <w:t>Internationale</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Handelsgesellschaft</w:t>
      </w:r>
      <w:proofErr w:type="spellEnd"/>
      <w:r w:rsidRPr="0089051B">
        <w:rPr>
          <w:rFonts w:ascii="Times New Roman" w:hAnsi="Times New Roman" w:cs="Times New Roman"/>
          <w:sz w:val="20"/>
          <w:szCs w:val="20"/>
        </w:rPr>
        <w:t>, EU:C:1970:114.</w:t>
      </w:r>
    </w:p>
  </w:footnote>
  <w:footnote w:id="43">
    <w:p w14:paraId="1D7382F4" w14:textId="0E94E20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C-399/11, </w:t>
      </w:r>
      <w:proofErr w:type="spellStart"/>
      <w:r w:rsidRPr="0089051B">
        <w:rPr>
          <w:rFonts w:ascii="Times New Roman" w:hAnsi="Times New Roman" w:cs="Times New Roman"/>
          <w:i/>
          <w:sz w:val="20"/>
          <w:szCs w:val="20"/>
        </w:rPr>
        <w:t>Melloni</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:C:2013:107</w:t>
      </w:r>
      <w:proofErr w:type="gramEnd"/>
      <w:r w:rsidRPr="0089051B">
        <w:rPr>
          <w:rFonts w:ascii="Times New Roman" w:hAnsi="Times New Roman" w:cs="Times New Roman"/>
          <w:sz w:val="20"/>
          <w:szCs w:val="20"/>
        </w:rPr>
        <w:t xml:space="preserve">; Case C-617/10, </w:t>
      </w:r>
      <w:proofErr w:type="spellStart"/>
      <w:r w:rsidRPr="0089051B">
        <w:rPr>
          <w:rFonts w:ascii="Times New Roman" w:hAnsi="Times New Roman" w:cs="Times New Roman"/>
          <w:i/>
          <w:sz w:val="20"/>
          <w:szCs w:val="20"/>
        </w:rPr>
        <w:t>Fransson</w:t>
      </w:r>
      <w:proofErr w:type="spellEnd"/>
      <w:r w:rsidRPr="0089051B">
        <w:rPr>
          <w:rFonts w:ascii="Times New Roman" w:hAnsi="Times New Roman" w:cs="Times New Roman"/>
          <w:sz w:val="20"/>
          <w:szCs w:val="20"/>
        </w:rPr>
        <w:t>, EU:C:2013:105.</w:t>
      </w:r>
    </w:p>
  </w:footnote>
  <w:footnote w:id="44">
    <w:p w14:paraId="7D56FE90" w14:textId="00B036A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120/78, </w:t>
      </w:r>
      <w:r w:rsidRPr="0089051B">
        <w:rPr>
          <w:rFonts w:ascii="Times New Roman" w:hAnsi="Times New Roman" w:cs="Times New Roman"/>
          <w:i/>
          <w:sz w:val="20"/>
          <w:szCs w:val="20"/>
        </w:rPr>
        <w:t>“Cassis de Dijon”</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:C:1979:42</w:t>
      </w:r>
      <w:proofErr w:type="gramEnd"/>
      <w:r w:rsidRPr="0089051B">
        <w:rPr>
          <w:rFonts w:ascii="Times New Roman" w:hAnsi="Times New Roman" w:cs="Times New Roman"/>
          <w:sz w:val="20"/>
          <w:szCs w:val="20"/>
        </w:rPr>
        <w:t>.</w:t>
      </w:r>
    </w:p>
  </w:footnote>
  <w:footnote w:id="45">
    <w:p w14:paraId="4B3D57C8" w14:textId="08FB8993"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w:t>
      </w:r>
      <w:r w:rsidRPr="0089051B">
        <w:rPr>
          <w:rFonts w:ascii="Times New Roman" w:eastAsia="Times New Roman" w:hAnsi="Times New Roman" w:cs="Times New Roman"/>
          <w:color w:val="333333"/>
          <w:sz w:val="20"/>
          <w:szCs w:val="20"/>
          <w:shd w:val="clear" w:color="auto" w:fill="FFFFFF"/>
        </w:rPr>
        <w:t>C</w:t>
      </w:r>
      <w:r w:rsidRPr="0089051B">
        <w:rPr>
          <w:rFonts w:ascii="Times New Roman" w:eastAsia="Times New Roman" w:hAnsi="Times New Roman" w:cs="Times New Roman"/>
          <w:color w:val="333333"/>
          <w:sz w:val="20"/>
          <w:szCs w:val="20"/>
          <w:shd w:val="clear" w:color="auto" w:fill="FFFFFF"/>
        </w:rPr>
        <w:noBreakHyphen/>
        <w:t>404/15 &amp; C</w:t>
      </w:r>
      <w:r w:rsidRPr="0089051B">
        <w:rPr>
          <w:rFonts w:ascii="Times New Roman" w:eastAsia="Times New Roman" w:hAnsi="Times New Roman" w:cs="Times New Roman"/>
          <w:color w:val="333333"/>
          <w:sz w:val="20"/>
          <w:szCs w:val="20"/>
          <w:shd w:val="clear" w:color="auto" w:fill="FFFFFF"/>
        </w:rPr>
        <w:noBreakHyphen/>
        <w:t xml:space="preserve">659/15 PPU, </w:t>
      </w:r>
      <w:proofErr w:type="spellStart"/>
      <w:r w:rsidRPr="0089051B">
        <w:rPr>
          <w:rFonts w:ascii="Times New Roman" w:eastAsia="Times New Roman" w:hAnsi="Times New Roman" w:cs="Times New Roman"/>
          <w:i/>
          <w:iCs/>
          <w:color w:val="333333"/>
          <w:sz w:val="20"/>
          <w:szCs w:val="20"/>
        </w:rPr>
        <w:t>Aranyosi</w:t>
      </w:r>
      <w:proofErr w:type="spellEnd"/>
      <w:r w:rsidRPr="0089051B">
        <w:rPr>
          <w:rFonts w:ascii="Times New Roman" w:eastAsia="Times New Roman" w:hAnsi="Times New Roman" w:cs="Times New Roman"/>
          <w:i/>
          <w:iCs/>
          <w:color w:val="333333"/>
          <w:sz w:val="20"/>
          <w:szCs w:val="20"/>
        </w:rPr>
        <w:t xml:space="preserve"> and </w:t>
      </w:r>
      <w:proofErr w:type="spellStart"/>
      <w:r w:rsidRPr="0089051B">
        <w:rPr>
          <w:rFonts w:ascii="Times New Roman" w:eastAsia="Times New Roman" w:hAnsi="Times New Roman" w:cs="Times New Roman"/>
          <w:i/>
          <w:iCs/>
          <w:color w:val="333333"/>
          <w:sz w:val="20"/>
          <w:szCs w:val="20"/>
        </w:rPr>
        <w:t>Căldăraru</w:t>
      </w:r>
      <w:proofErr w:type="spellEnd"/>
      <w:r w:rsidRPr="0089051B">
        <w:rPr>
          <w:rFonts w:ascii="Times New Roman" w:eastAsia="Times New Roman" w:hAnsi="Times New Roman" w:cs="Times New Roman"/>
          <w:color w:val="333333"/>
          <w:sz w:val="20"/>
          <w:szCs w:val="20"/>
          <w:shd w:val="clear" w:color="auto" w:fill="FFFFFF"/>
        </w:rPr>
        <w:t>, EU</w:t>
      </w:r>
      <w:proofErr w:type="gramStart"/>
      <w:r w:rsidRPr="0089051B">
        <w:rPr>
          <w:rFonts w:ascii="Times New Roman" w:eastAsia="Times New Roman" w:hAnsi="Times New Roman" w:cs="Times New Roman"/>
          <w:color w:val="333333"/>
          <w:sz w:val="20"/>
          <w:szCs w:val="20"/>
          <w:shd w:val="clear" w:color="auto" w:fill="FFFFFF"/>
        </w:rPr>
        <w:t>:C:2016:198</w:t>
      </w:r>
      <w:proofErr w:type="gramEnd"/>
      <w:r w:rsidRPr="0089051B">
        <w:rPr>
          <w:rFonts w:ascii="Times New Roman" w:eastAsia="Times New Roman" w:hAnsi="Times New Roman" w:cs="Times New Roman"/>
          <w:color w:val="333333"/>
          <w:sz w:val="20"/>
          <w:szCs w:val="20"/>
          <w:shd w:val="clear" w:color="auto" w:fill="FFFFFF"/>
        </w:rPr>
        <w:t xml:space="preserve">; </w:t>
      </w:r>
      <w:r w:rsidRPr="0089051B">
        <w:rPr>
          <w:rFonts w:ascii="Times New Roman" w:hAnsi="Times New Roman" w:cs="Times New Roman"/>
          <w:sz w:val="20"/>
          <w:szCs w:val="20"/>
          <w:lang w:val="en-US"/>
        </w:rPr>
        <w:t xml:space="preserve">Case C-220/18 PPU, </w:t>
      </w:r>
      <w:r w:rsidRPr="0089051B">
        <w:rPr>
          <w:rFonts w:ascii="Times New Roman" w:hAnsi="Times New Roman" w:cs="Times New Roman"/>
          <w:i/>
          <w:sz w:val="20"/>
          <w:szCs w:val="20"/>
          <w:lang w:val="en-US"/>
        </w:rPr>
        <w:t>ML</w:t>
      </w:r>
      <w:r w:rsidRPr="0089051B">
        <w:rPr>
          <w:rFonts w:ascii="Times New Roman" w:hAnsi="Times New Roman" w:cs="Times New Roman"/>
          <w:sz w:val="20"/>
          <w:szCs w:val="20"/>
          <w:lang w:val="en-US"/>
        </w:rPr>
        <w:t>, EU:C:2018:589.</w:t>
      </w:r>
    </w:p>
  </w:footnote>
  <w:footnote w:id="46">
    <w:p w14:paraId="7B491C43" w14:textId="08F028D4"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If such efforts fail, there remains little option but for individuals to consider the possibility of seeking reparations against the Member State; and / or for the Commission to contemplate enforcement proceedings.  See further, e.g. </w:t>
      </w:r>
      <w:proofErr w:type="spellStart"/>
      <w:r w:rsidRPr="0089051B">
        <w:rPr>
          <w:rFonts w:ascii="Times New Roman" w:hAnsi="Times New Roman" w:cs="Times New Roman"/>
          <w:sz w:val="20"/>
          <w:szCs w:val="20"/>
        </w:rPr>
        <w:t>Taborowski</w:t>
      </w:r>
      <w:proofErr w:type="spellEnd"/>
      <w:r w:rsidRPr="0089051B">
        <w:rPr>
          <w:rFonts w:ascii="Times New Roman" w:hAnsi="Times New Roman" w:cs="Times New Roman"/>
          <w:sz w:val="20"/>
          <w:szCs w:val="20"/>
        </w:rPr>
        <w:t>, “Infringement Proceedings and Non-Compliant National Courts”</w:t>
      </w:r>
      <w:r>
        <w:rPr>
          <w:rFonts w:ascii="Times New Roman" w:hAnsi="Times New Roman" w:cs="Times New Roman"/>
          <w:sz w:val="20"/>
          <w:szCs w:val="20"/>
        </w:rPr>
        <w:t>,</w:t>
      </w:r>
      <w:r w:rsidRPr="0089051B">
        <w:rPr>
          <w:rFonts w:ascii="Times New Roman" w:hAnsi="Times New Roman" w:cs="Times New Roman"/>
          <w:sz w:val="20"/>
          <w:szCs w:val="20"/>
        </w:rPr>
        <w:t xml:space="preserve"> 49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(2012), </w:t>
      </w:r>
      <w:r w:rsidRPr="0089051B">
        <w:rPr>
          <w:rFonts w:ascii="Times New Roman" w:hAnsi="Times New Roman" w:cs="Times New Roman"/>
          <w:sz w:val="20"/>
          <w:szCs w:val="20"/>
        </w:rPr>
        <w:t xml:space="preserve">1881; </w:t>
      </w:r>
      <w:proofErr w:type="spellStart"/>
      <w:r w:rsidRPr="0089051B">
        <w:rPr>
          <w:rFonts w:ascii="Times New Roman" w:hAnsi="Times New Roman" w:cs="Times New Roman"/>
          <w:sz w:val="20"/>
          <w:szCs w:val="20"/>
        </w:rPr>
        <w:t>Varga</w:t>
      </w:r>
      <w:proofErr w:type="spellEnd"/>
      <w:r w:rsidRPr="0089051B">
        <w:rPr>
          <w:rFonts w:ascii="Times New Roman" w:hAnsi="Times New Roman" w:cs="Times New Roman"/>
          <w:sz w:val="20"/>
          <w:szCs w:val="20"/>
        </w:rPr>
        <w:t>, “National remedies in the case of violation of EU law by Member State courts”</w:t>
      </w:r>
      <w:r>
        <w:rPr>
          <w:rFonts w:ascii="Times New Roman" w:hAnsi="Times New Roman" w:cs="Times New Roman"/>
          <w:sz w:val="20"/>
          <w:szCs w:val="20"/>
        </w:rPr>
        <w:t>,</w:t>
      </w:r>
      <w:r w:rsidRPr="0089051B">
        <w:rPr>
          <w:rFonts w:ascii="Times New Roman" w:hAnsi="Times New Roman" w:cs="Times New Roman"/>
          <w:sz w:val="20"/>
          <w:szCs w:val="20"/>
        </w:rPr>
        <w:t xml:space="preserve"> 54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(2017), </w:t>
      </w:r>
      <w:r w:rsidRPr="0089051B">
        <w:rPr>
          <w:rFonts w:ascii="Times New Roman" w:hAnsi="Times New Roman" w:cs="Times New Roman"/>
          <w:sz w:val="20"/>
          <w:szCs w:val="20"/>
        </w:rPr>
        <w:t xml:space="preserve">51.  </w:t>
      </w:r>
    </w:p>
  </w:footnote>
  <w:footnote w:id="47">
    <w:p w14:paraId="030531AE" w14:textId="1FD4D682" w:rsidR="00F9432E" w:rsidRPr="0089051B" w:rsidRDefault="00F9432E" w:rsidP="00CC5FDA">
      <w:pPr>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the extensive study undertaken by </w:t>
      </w:r>
      <w:proofErr w:type="spellStart"/>
      <w:r w:rsidRPr="0089051B">
        <w:rPr>
          <w:rFonts w:ascii="Times New Roman" w:hAnsi="Times New Roman" w:cs="Times New Roman"/>
          <w:sz w:val="20"/>
          <w:szCs w:val="20"/>
        </w:rPr>
        <w:t>Sowery</w:t>
      </w:r>
      <w:proofErr w:type="spellEnd"/>
      <w:r w:rsidRPr="0089051B">
        <w:rPr>
          <w:rFonts w:ascii="Times New Roman" w:hAnsi="Times New Roman" w:cs="Times New Roman"/>
          <w:sz w:val="20"/>
          <w:szCs w:val="20"/>
        </w:rPr>
        <w:t xml:space="preserve">, </w:t>
      </w:r>
      <w:r w:rsidRPr="0089051B">
        <w:rPr>
          <w:rFonts w:ascii="Times New Roman" w:hAnsi="Times New Roman" w:cs="Times New Roman"/>
          <w:i/>
          <w:sz w:val="20"/>
          <w:szCs w:val="20"/>
          <w:shd w:val="clear" w:color="auto" w:fill="FFFFFF"/>
        </w:rPr>
        <w:t>The Relationship between the Primary Sources of EU Law: Is there a hierarchy of norms within Union primary law?</w:t>
      </w:r>
      <w:r w:rsidRPr="0089051B">
        <w:rPr>
          <w:rFonts w:ascii="Times New Roman" w:hAnsi="Times New Roman" w:cs="Times New Roman"/>
          <w:sz w:val="20"/>
          <w:szCs w:val="20"/>
          <w:shd w:val="clear" w:color="auto" w:fill="FFFFFF"/>
        </w:rPr>
        <w:t xml:space="preserve"> </w:t>
      </w:r>
      <w:proofErr w:type="gramStart"/>
      <w:r w:rsidRPr="0089051B">
        <w:rPr>
          <w:rFonts w:ascii="Times New Roman" w:hAnsi="Times New Roman" w:cs="Times New Roman"/>
          <w:sz w:val="20"/>
          <w:szCs w:val="20"/>
          <w:shd w:val="clear" w:color="auto" w:fill="FFFFFF"/>
        </w:rPr>
        <w:t>(PhD thesis, University of Liverpool, 2018).</w:t>
      </w:r>
      <w:proofErr w:type="gramEnd"/>
    </w:p>
  </w:footnote>
  <w:footnote w:id="48">
    <w:p w14:paraId="4BAA502F" w14:textId="21F94CEF"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As derived from Case 33/76, </w:t>
      </w:r>
      <w:proofErr w:type="spellStart"/>
      <w:r w:rsidRPr="0089051B">
        <w:rPr>
          <w:rFonts w:ascii="Times New Roman" w:hAnsi="Times New Roman" w:cs="Times New Roman"/>
          <w:i/>
          <w:sz w:val="20"/>
          <w:szCs w:val="20"/>
        </w:rPr>
        <w:t>Rewe-Zentralfinanz</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:C:1976:188</w:t>
      </w:r>
      <w:proofErr w:type="gramEnd"/>
      <w:r w:rsidRPr="0089051B">
        <w:rPr>
          <w:rFonts w:ascii="Times New Roman" w:hAnsi="Times New Roman" w:cs="Times New Roman"/>
          <w:sz w:val="20"/>
          <w:szCs w:val="20"/>
        </w:rPr>
        <w:t xml:space="preserve"> and Case 45/76, </w:t>
      </w:r>
      <w:r w:rsidRPr="0089051B">
        <w:rPr>
          <w:rFonts w:ascii="Times New Roman" w:hAnsi="Times New Roman" w:cs="Times New Roman"/>
          <w:i/>
          <w:iCs/>
          <w:sz w:val="20"/>
          <w:szCs w:val="20"/>
        </w:rPr>
        <w:t xml:space="preserve">Comet, </w:t>
      </w:r>
      <w:r w:rsidRPr="0089051B">
        <w:rPr>
          <w:rFonts w:ascii="Times New Roman" w:hAnsi="Times New Roman" w:cs="Times New Roman"/>
          <w:iCs/>
          <w:sz w:val="20"/>
          <w:szCs w:val="20"/>
        </w:rPr>
        <w:t>EU:C:1976:191.</w:t>
      </w:r>
    </w:p>
  </w:footnote>
  <w:footnote w:id="49">
    <w:p w14:paraId="1484DA85" w14:textId="6DE6DABA" w:rsidR="00F9432E" w:rsidRPr="0089051B" w:rsidRDefault="00F9432E">
      <w:pPr>
        <w:pStyle w:val="FootnoteText"/>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For a critical view on the Court’s understanding of legal certainty: Van </w:t>
      </w:r>
      <w:proofErr w:type="spellStart"/>
      <w:r w:rsidRPr="0089051B">
        <w:rPr>
          <w:rFonts w:ascii="Times New Roman" w:hAnsi="Times New Roman" w:cs="Times New Roman"/>
          <w:sz w:val="20"/>
          <w:szCs w:val="20"/>
          <w:lang w:val="en-US"/>
        </w:rPr>
        <w:t>Meerbeeck</w:t>
      </w:r>
      <w:proofErr w:type="spellEnd"/>
      <w:r w:rsidRPr="0089051B">
        <w:rPr>
          <w:rFonts w:ascii="Times New Roman" w:hAnsi="Times New Roman" w:cs="Times New Roman"/>
          <w:sz w:val="20"/>
          <w:szCs w:val="20"/>
          <w:lang w:val="en-US"/>
        </w:rPr>
        <w:t xml:space="preserve">, “The principle of legal certainty in the </w:t>
      </w:r>
      <w:proofErr w:type="spellStart"/>
      <w:r w:rsidRPr="0089051B">
        <w:rPr>
          <w:rFonts w:ascii="Times New Roman" w:hAnsi="Times New Roman" w:cs="Times New Roman"/>
          <w:sz w:val="20"/>
          <w:szCs w:val="20"/>
          <w:lang w:val="en-US"/>
        </w:rPr>
        <w:t>caselaw</w:t>
      </w:r>
      <w:proofErr w:type="spellEnd"/>
      <w:r w:rsidRPr="0089051B">
        <w:rPr>
          <w:rFonts w:ascii="Times New Roman" w:hAnsi="Times New Roman" w:cs="Times New Roman"/>
          <w:sz w:val="20"/>
          <w:szCs w:val="20"/>
          <w:lang w:val="en-US"/>
        </w:rPr>
        <w:t xml:space="preserve"> of the European Court of Justice: from certainty to trust”</w:t>
      </w:r>
      <w:r>
        <w:rPr>
          <w:rFonts w:ascii="Times New Roman" w:hAnsi="Times New Roman" w:cs="Times New Roman"/>
          <w:sz w:val="20"/>
          <w:szCs w:val="20"/>
          <w:lang w:val="en-US"/>
        </w:rPr>
        <w:t>,</w:t>
      </w:r>
      <w:r w:rsidRPr="0089051B">
        <w:rPr>
          <w:rFonts w:ascii="Times New Roman" w:hAnsi="Times New Roman" w:cs="Times New Roman"/>
          <w:sz w:val="20"/>
          <w:szCs w:val="20"/>
          <w:lang w:val="en-US"/>
        </w:rPr>
        <w:t xml:space="preserve"> 41 </w:t>
      </w:r>
      <w:r>
        <w:rPr>
          <w:rFonts w:ascii="Times New Roman" w:hAnsi="Times New Roman" w:cs="Times New Roman"/>
          <w:sz w:val="20"/>
          <w:szCs w:val="20"/>
          <w:lang w:val="en-US"/>
        </w:rPr>
        <w:t>EL Rev.</w:t>
      </w:r>
      <w:r w:rsidRPr="0089051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(2016), </w:t>
      </w:r>
      <w:r w:rsidRPr="0089051B">
        <w:rPr>
          <w:rFonts w:ascii="Times New Roman" w:hAnsi="Times New Roman" w:cs="Times New Roman"/>
          <w:sz w:val="20"/>
          <w:szCs w:val="20"/>
          <w:lang w:val="en-US"/>
        </w:rPr>
        <w:t>275.</w:t>
      </w:r>
    </w:p>
  </w:footnote>
  <w:footnote w:id="50">
    <w:p w14:paraId="29E2586C" w14:textId="1682ABD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61/79, </w:t>
      </w:r>
      <w:proofErr w:type="spellStart"/>
      <w:r w:rsidRPr="0089051B">
        <w:rPr>
          <w:rFonts w:ascii="Times New Roman" w:hAnsi="Times New Roman" w:cs="Times New Roman"/>
          <w:i/>
          <w:sz w:val="20"/>
          <w:szCs w:val="20"/>
        </w:rPr>
        <w:t>Denkavit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Italiana</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:C:1980:100</w:t>
      </w:r>
      <w:proofErr w:type="gramEnd"/>
      <w:r w:rsidRPr="0089051B">
        <w:rPr>
          <w:rFonts w:ascii="Times New Roman" w:hAnsi="Times New Roman" w:cs="Times New Roman"/>
          <w:sz w:val="20"/>
          <w:szCs w:val="20"/>
        </w:rPr>
        <w:t xml:space="preserve">.  Note also </w:t>
      </w:r>
      <w:proofErr w:type="spellStart"/>
      <w:r w:rsidRPr="0089051B">
        <w:rPr>
          <w:rFonts w:ascii="Times New Roman" w:hAnsi="Times New Roman" w:cs="Times New Roman"/>
          <w:sz w:val="20"/>
          <w:szCs w:val="20"/>
        </w:rPr>
        <w:t>caselaw</w:t>
      </w:r>
      <w:proofErr w:type="spellEnd"/>
      <w:r w:rsidRPr="0089051B">
        <w:rPr>
          <w:rFonts w:ascii="Times New Roman" w:hAnsi="Times New Roman" w:cs="Times New Roman"/>
          <w:sz w:val="20"/>
          <w:szCs w:val="20"/>
        </w:rPr>
        <w:t xml:space="preserve"> concerning the entry into force of Union measures and their application to existing situations, e.g. Case 21/81, </w:t>
      </w:r>
      <w:r w:rsidRPr="0089051B">
        <w:rPr>
          <w:rFonts w:ascii="Times New Roman" w:hAnsi="Times New Roman" w:cs="Times New Roman"/>
          <w:i/>
          <w:sz w:val="20"/>
          <w:szCs w:val="20"/>
        </w:rPr>
        <w:t>Bout</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:C:1982:47</w:t>
      </w:r>
      <w:proofErr w:type="gramEnd"/>
      <w:r w:rsidRPr="0089051B">
        <w:rPr>
          <w:rFonts w:ascii="Times New Roman" w:hAnsi="Times New Roman" w:cs="Times New Roman"/>
          <w:sz w:val="20"/>
          <w:szCs w:val="20"/>
        </w:rPr>
        <w:t xml:space="preserve">; Case C-162/00, </w:t>
      </w:r>
      <w:proofErr w:type="spellStart"/>
      <w:r w:rsidRPr="0089051B">
        <w:rPr>
          <w:rFonts w:ascii="Times New Roman" w:hAnsi="Times New Roman" w:cs="Times New Roman"/>
          <w:i/>
          <w:sz w:val="20"/>
          <w:szCs w:val="20"/>
        </w:rPr>
        <w:t>Pokrzeptowicz</w:t>
      </w:r>
      <w:proofErr w:type="spellEnd"/>
      <w:r w:rsidRPr="0089051B">
        <w:rPr>
          <w:rFonts w:ascii="Times New Roman" w:hAnsi="Times New Roman" w:cs="Times New Roman"/>
          <w:i/>
          <w:sz w:val="20"/>
          <w:szCs w:val="20"/>
        </w:rPr>
        <w:t>-Meyer</w:t>
      </w:r>
      <w:r w:rsidRPr="0089051B">
        <w:rPr>
          <w:rFonts w:ascii="Times New Roman" w:hAnsi="Times New Roman" w:cs="Times New Roman"/>
          <w:sz w:val="20"/>
          <w:szCs w:val="20"/>
        </w:rPr>
        <w:t>, EU:C:2002:57.</w:t>
      </w:r>
    </w:p>
  </w:footnote>
  <w:footnote w:id="51">
    <w:p w14:paraId="76CA2590" w14:textId="670924DA"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Under what is now </w:t>
      </w:r>
      <w:r>
        <w:rPr>
          <w:rFonts w:ascii="Times New Roman" w:hAnsi="Times New Roman" w:cs="Times New Roman"/>
          <w:sz w:val="20"/>
          <w:szCs w:val="20"/>
        </w:rPr>
        <w:t>Art</w:t>
      </w:r>
      <w:r w:rsidRPr="0089051B">
        <w:rPr>
          <w:rFonts w:ascii="Times New Roman" w:hAnsi="Times New Roman" w:cs="Times New Roman"/>
          <w:sz w:val="20"/>
          <w:szCs w:val="20"/>
        </w:rPr>
        <w:t xml:space="preserve"> 264 </w:t>
      </w:r>
      <w:proofErr w:type="gramStart"/>
      <w:r w:rsidRPr="0089051B">
        <w:rPr>
          <w:rFonts w:ascii="Times New Roman" w:hAnsi="Times New Roman" w:cs="Times New Roman"/>
          <w:sz w:val="20"/>
          <w:szCs w:val="20"/>
        </w:rPr>
        <w:t>TFEU.</w:t>
      </w:r>
      <w:proofErr w:type="gramEnd"/>
      <w:r w:rsidRPr="0089051B">
        <w:rPr>
          <w:rFonts w:ascii="Times New Roman" w:hAnsi="Times New Roman" w:cs="Times New Roman"/>
          <w:sz w:val="20"/>
          <w:szCs w:val="20"/>
        </w:rPr>
        <w:t xml:space="preserve">  </w:t>
      </w:r>
    </w:p>
  </w:footnote>
  <w:footnote w:id="52">
    <w:p w14:paraId="4FF099B2" w14:textId="4D12556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C-295/90, </w:t>
      </w:r>
      <w:r w:rsidRPr="0089051B">
        <w:rPr>
          <w:rFonts w:ascii="Times New Roman" w:hAnsi="Times New Roman" w:cs="Times New Roman"/>
          <w:i/>
          <w:sz w:val="20"/>
          <w:szCs w:val="20"/>
        </w:rPr>
        <w:t>Parliament</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Council</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:C:1992:294</w:t>
      </w:r>
      <w:proofErr w:type="gramEnd"/>
      <w:r w:rsidRPr="0089051B">
        <w:rPr>
          <w:rFonts w:ascii="Times New Roman" w:hAnsi="Times New Roman" w:cs="Times New Roman"/>
          <w:sz w:val="20"/>
          <w:szCs w:val="20"/>
        </w:rPr>
        <w:t xml:space="preserve">. </w:t>
      </w:r>
    </w:p>
  </w:footnote>
  <w:footnote w:id="53">
    <w:p w14:paraId="0C7B5876" w14:textId="34D98B7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4/79, </w:t>
      </w:r>
      <w:r w:rsidRPr="0089051B">
        <w:rPr>
          <w:rFonts w:ascii="Times New Roman" w:hAnsi="Times New Roman" w:cs="Times New Roman"/>
          <w:i/>
          <w:sz w:val="20"/>
          <w:szCs w:val="20"/>
        </w:rPr>
        <w:t xml:space="preserve">Providence </w:t>
      </w:r>
      <w:proofErr w:type="spellStart"/>
      <w:r w:rsidRPr="0089051B">
        <w:rPr>
          <w:rFonts w:ascii="Times New Roman" w:hAnsi="Times New Roman" w:cs="Times New Roman"/>
          <w:i/>
          <w:sz w:val="20"/>
          <w:szCs w:val="20"/>
        </w:rPr>
        <w:t>Agricole</w:t>
      </w:r>
      <w:proofErr w:type="spellEnd"/>
      <w:r w:rsidRPr="0089051B">
        <w:rPr>
          <w:rFonts w:ascii="Times New Roman" w:hAnsi="Times New Roman" w:cs="Times New Roman"/>
          <w:i/>
          <w:sz w:val="20"/>
          <w:szCs w:val="20"/>
        </w:rPr>
        <w:t xml:space="preserve"> de la Champagne</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:C:1980:232</w:t>
      </w:r>
      <w:proofErr w:type="gramEnd"/>
      <w:r w:rsidRPr="0089051B">
        <w:rPr>
          <w:rFonts w:ascii="Times New Roman" w:hAnsi="Times New Roman" w:cs="Times New Roman"/>
          <w:sz w:val="20"/>
          <w:szCs w:val="20"/>
        </w:rPr>
        <w:t xml:space="preserve">; Cases C-38/90 and C-151/90, </w:t>
      </w:r>
      <w:r w:rsidRPr="0089051B">
        <w:rPr>
          <w:rFonts w:ascii="Times New Roman" w:hAnsi="Times New Roman" w:cs="Times New Roman"/>
          <w:i/>
          <w:sz w:val="20"/>
          <w:szCs w:val="20"/>
        </w:rPr>
        <w:t>Lomas</w:t>
      </w:r>
      <w:r w:rsidRPr="0089051B">
        <w:rPr>
          <w:rFonts w:ascii="Times New Roman" w:hAnsi="Times New Roman" w:cs="Times New Roman"/>
          <w:sz w:val="20"/>
          <w:szCs w:val="20"/>
        </w:rPr>
        <w:t xml:space="preserve">, EU:C:1992:116; Case C-228/92, </w:t>
      </w:r>
      <w:proofErr w:type="spellStart"/>
      <w:r w:rsidRPr="0089051B">
        <w:rPr>
          <w:rFonts w:ascii="Times New Roman" w:hAnsi="Times New Roman" w:cs="Times New Roman"/>
          <w:i/>
          <w:sz w:val="20"/>
          <w:szCs w:val="20"/>
        </w:rPr>
        <w:t>Roquette</w:t>
      </w:r>
      <w:proofErr w:type="spellEnd"/>
      <w:r w:rsidRPr="0089051B">
        <w:rPr>
          <w:rFonts w:ascii="Times New Roman" w:hAnsi="Times New Roman" w:cs="Times New Roman"/>
          <w:i/>
          <w:sz w:val="20"/>
          <w:szCs w:val="20"/>
        </w:rPr>
        <w:t xml:space="preserve"> Frères</w:t>
      </w:r>
      <w:r w:rsidRPr="0089051B">
        <w:rPr>
          <w:rFonts w:ascii="Times New Roman" w:hAnsi="Times New Roman" w:cs="Times New Roman"/>
          <w:sz w:val="20"/>
          <w:szCs w:val="20"/>
        </w:rPr>
        <w:t xml:space="preserve">, EU:C:1994:168.  </w:t>
      </w:r>
    </w:p>
  </w:footnote>
  <w:footnote w:id="54">
    <w:p w14:paraId="6D7C0508" w14:textId="42A8AB4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43/75, </w:t>
      </w:r>
      <w:proofErr w:type="spellStart"/>
      <w:r w:rsidRPr="0089051B">
        <w:rPr>
          <w:rFonts w:ascii="Times New Roman" w:hAnsi="Times New Roman" w:cs="Times New Roman"/>
          <w:i/>
          <w:sz w:val="20"/>
          <w:szCs w:val="20"/>
        </w:rPr>
        <w:t>Defrenne</w:t>
      </w:r>
      <w:proofErr w:type="spellEnd"/>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Sabena</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:C:1976:56</w:t>
      </w:r>
      <w:proofErr w:type="gramEnd"/>
      <w:r w:rsidRPr="0089051B">
        <w:rPr>
          <w:rFonts w:ascii="Times New Roman" w:hAnsi="Times New Roman" w:cs="Times New Roman"/>
          <w:sz w:val="20"/>
          <w:szCs w:val="20"/>
        </w:rPr>
        <w:t xml:space="preserve">.  On the possibility of general temporal limitations on findings that national law is incompatible with Union law in the context of enforcement proceedings under </w:t>
      </w:r>
      <w:r>
        <w:rPr>
          <w:rFonts w:ascii="Times New Roman" w:hAnsi="Times New Roman" w:cs="Times New Roman"/>
          <w:sz w:val="20"/>
          <w:szCs w:val="20"/>
        </w:rPr>
        <w:t>Art</w:t>
      </w:r>
      <w:r w:rsidRPr="0089051B">
        <w:rPr>
          <w:rFonts w:ascii="Times New Roman" w:hAnsi="Times New Roman" w:cs="Times New Roman"/>
          <w:sz w:val="20"/>
          <w:szCs w:val="20"/>
        </w:rPr>
        <w:t xml:space="preserve"> 258 / 259 TFEU, e.g. Case C-178/05,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Greece</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:C:2007:317</w:t>
      </w:r>
      <w:proofErr w:type="gramEnd"/>
      <w:r w:rsidRPr="0089051B">
        <w:rPr>
          <w:rFonts w:ascii="Times New Roman" w:hAnsi="Times New Roman" w:cs="Times New Roman"/>
          <w:sz w:val="20"/>
          <w:szCs w:val="20"/>
        </w:rPr>
        <w:t xml:space="preserve">; Case C-475/07,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Poland</w:t>
      </w:r>
      <w:r w:rsidRPr="0089051B">
        <w:rPr>
          <w:rFonts w:ascii="Times New Roman" w:hAnsi="Times New Roman" w:cs="Times New Roman"/>
          <w:sz w:val="20"/>
          <w:szCs w:val="20"/>
        </w:rPr>
        <w:t xml:space="preserve">, EU:C:2009:86; Case C-82/10,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Ireland</w:t>
      </w:r>
      <w:r w:rsidRPr="0089051B">
        <w:rPr>
          <w:rFonts w:ascii="Times New Roman" w:hAnsi="Times New Roman" w:cs="Times New Roman"/>
          <w:sz w:val="20"/>
          <w:szCs w:val="20"/>
        </w:rPr>
        <w:t xml:space="preserve">, EU:C:2011:621; Case C-387/11,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Belgium</w:t>
      </w:r>
      <w:r w:rsidRPr="0089051B">
        <w:rPr>
          <w:rFonts w:ascii="Times New Roman" w:hAnsi="Times New Roman" w:cs="Times New Roman"/>
          <w:sz w:val="20"/>
          <w:szCs w:val="20"/>
        </w:rPr>
        <w:t>, EU:C:2012:670.</w:t>
      </w:r>
    </w:p>
  </w:footnote>
  <w:footnote w:id="55">
    <w:p w14:paraId="00D199C7" w14:textId="4993F2C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24/86, </w:t>
      </w:r>
      <w:proofErr w:type="spellStart"/>
      <w:r w:rsidRPr="0089051B">
        <w:rPr>
          <w:rFonts w:ascii="Times New Roman" w:hAnsi="Times New Roman" w:cs="Times New Roman"/>
          <w:i/>
          <w:sz w:val="20"/>
          <w:szCs w:val="20"/>
        </w:rPr>
        <w:t>Blaizot</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:C:1988:43</w:t>
      </w:r>
      <w:proofErr w:type="gramEnd"/>
      <w:r w:rsidRPr="0089051B">
        <w:rPr>
          <w:rFonts w:ascii="Times New Roman" w:hAnsi="Times New Roman" w:cs="Times New Roman"/>
          <w:sz w:val="20"/>
          <w:szCs w:val="20"/>
        </w:rPr>
        <w:t xml:space="preserve">; Case 106/77, </w:t>
      </w:r>
      <w:r w:rsidRPr="0089051B">
        <w:rPr>
          <w:rFonts w:ascii="Times New Roman" w:hAnsi="Times New Roman" w:cs="Times New Roman"/>
          <w:i/>
          <w:sz w:val="20"/>
          <w:szCs w:val="20"/>
        </w:rPr>
        <w:t>Barra</w:t>
      </w:r>
      <w:r w:rsidRPr="0089051B">
        <w:rPr>
          <w:rFonts w:ascii="Times New Roman" w:hAnsi="Times New Roman" w:cs="Times New Roman"/>
          <w:sz w:val="20"/>
          <w:szCs w:val="20"/>
        </w:rPr>
        <w:t xml:space="preserve">, EU:C:1988:42; Case C-262/88, </w:t>
      </w:r>
      <w:r w:rsidRPr="0089051B">
        <w:rPr>
          <w:rFonts w:ascii="Times New Roman" w:hAnsi="Times New Roman" w:cs="Times New Roman"/>
          <w:i/>
          <w:sz w:val="20"/>
          <w:szCs w:val="20"/>
        </w:rPr>
        <w:t>Barber</w:t>
      </w:r>
      <w:r w:rsidRPr="0089051B">
        <w:rPr>
          <w:rFonts w:ascii="Times New Roman" w:hAnsi="Times New Roman" w:cs="Times New Roman"/>
          <w:sz w:val="20"/>
          <w:szCs w:val="20"/>
        </w:rPr>
        <w:t xml:space="preserve">, EU:C:1990:209; Case C-163/90, </w:t>
      </w:r>
      <w:proofErr w:type="spellStart"/>
      <w:r w:rsidRPr="0089051B">
        <w:rPr>
          <w:rFonts w:ascii="Times New Roman" w:hAnsi="Times New Roman" w:cs="Times New Roman"/>
          <w:i/>
          <w:sz w:val="20"/>
          <w:szCs w:val="20"/>
        </w:rPr>
        <w:t>Legros</w:t>
      </w:r>
      <w:proofErr w:type="spellEnd"/>
      <w:r w:rsidRPr="0089051B">
        <w:rPr>
          <w:rFonts w:ascii="Times New Roman" w:hAnsi="Times New Roman" w:cs="Times New Roman"/>
          <w:sz w:val="20"/>
          <w:szCs w:val="20"/>
        </w:rPr>
        <w:t xml:space="preserve">, EU:C:1992:326; Case C-415/93, </w:t>
      </w:r>
      <w:proofErr w:type="spellStart"/>
      <w:r w:rsidRPr="0089051B">
        <w:rPr>
          <w:rFonts w:ascii="Times New Roman" w:hAnsi="Times New Roman" w:cs="Times New Roman"/>
          <w:i/>
          <w:sz w:val="20"/>
          <w:szCs w:val="20"/>
        </w:rPr>
        <w:t>Bosman</w:t>
      </w:r>
      <w:proofErr w:type="spellEnd"/>
      <w:r w:rsidRPr="0089051B">
        <w:rPr>
          <w:rFonts w:ascii="Times New Roman" w:hAnsi="Times New Roman" w:cs="Times New Roman"/>
          <w:sz w:val="20"/>
          <w:szCs w:val="20"/>
        </w:rPr>
        <w:t xml:space="preserve">, EU:C:1995:463; Case C-262/96, </w:t>
      </w:r>
      <w:proofErr w:type="spellStart"/>
      <w:r w:rsidRPr="0089051B">
        <w:rPr>
          <w:rFonts w:ascii="Times New Roman" w:hAnsi="Times New Roman" w:cs="Times New Roman"/>
          <w:i/>
          <w:sz w:val="20"/>
          <w:szCs w:val="20"/>
        </w:rPr>
        <w:t>Sürül</w:t>
      </w:r>
      <w:proofErr w:type="spellEnd"/>
      <w:r w:rsidRPr="0089051B">
        <w:rPr>
          <w:rFonts w:ascii="Times New Roman" w:hAnsi="Times New Roman" w:cs="Times New Roman"/>
          <w:sz w:val="20"/>
          <w:szCs w:val="20"/>
        </w:rPr>
        <w:t xml:space="preserve">, EU:C:1999:228; Case C-437/97, </w:t>
      </w:r>
      <w:proofErr w:type="spellStart"/>
      <w:r w:rsidRPr="0089051B">
        <w:rPr>
          <w:rFonts w:ascii="Times New Roman" w:hAnsi="Times New Roman" w:cs="Times New Roman"/>
          <w:i/>
          <w:sz w:val="20"/>
          <w:szCs w:val="20"/>
        </w:rPr>
        <w:t>Evangelischer</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Krankenhausverein</w:t>
      </w:r>
      <w:proofErr w:type="spellEnd"/>
      <w:r w:rsidRPr="0089051B">
        <w:rPr>
          <w:rFonts w:ascii="Times New Roman" w:hAnsi="Times New Roman" w:cs="Times New Roman"/>
          <w:i/>
          <w:sz w:val="20"/>
          <w:szCs w:val="20"/>
        </w:rPr>
        <w:t xml:space="preserve"> Wien</w:t>
      </w:r>
      <w:r w:rsidRPr="0089051B">
        <w:rPr>
          <w:rFonts w:ascii="Times New Roman" w:hAnsi="Times New Roman" w:cs="Times New Roman"/>
          <w:sz w:val="20"/>
          <w:szCs w:val="20"/>
        </w:rPr>
        <w:t xml:space="preserve">, EU:C:2000:110.  </w:t>
      </w:r>
      <w:proofErr w:type="gramStart"/>
      <w:r w:rsidRPr="0089051B">
        <w:rPr>
          <w:rFonts w:ascii="Times New Roman" w:hAnsi="Times New Roman" w:cs="Times New Roman"/>
          <w:sz w:val="20"/>
          <w:szCs w:val="20"/>
        </w:rPr>
        <w:t xml:space="preserve">See further, e.g. </w:t>
      </w:r>
      <w:proofErr w:type="spellStart"/>
      <w:r w:rsidRPr="0089051B">
        <w:rPr>
          <w:rFonts w:ascii="Times New Roman" w:hAnsi="Times New Roman" w:cs="Times New Roman"/>
          <w:sz w:val="20"/>
          <w:szCs w:val="20"/>
        </w:rPr>
        <w:t>Waldhoff</w:t>
      </w:r>
      <w:proofErr w:type="spellEnd"/>
      <w:r w:rsidRPr="0089051B">
        <w:rPr>
          <w:rFonts w:ascii="Times New Roman" w:hAnsi="Times New Roman" w:cs="Times New Roman"/>
          <w:sz w:val="20"/>
          <w:szCs w:val="20"/>
        </w:rPr>
        <w:t>, “Recent Developments Relating to the Retroactive Effect of Decisions of the ECJ”</w:t>
      </w:r>
      <w:r>
        <w:rPr>
          <w:rFonts w:ascii="Times New Roman" w:hAnsi="Times New Roman" w:cs="Times New Roman"/>
          <w:sz w:val="20"/>
          <w:szCs w:val="20"/>
        </w:rPr>
        <w:t>,</w:t>
      </w:r>
      <w:r w:rsidRPr="0089051B">
        <w:rPr>
          <w:rFonts w:ascii="Times New Roman" w:hAnsi="Times New Roman" w:cs="Times New Roman"/>
          <w:sz w:val="20"/>
          <w:szCs w:val="20"/>
        </w:rPr>
        <w:t xml:space="preserve"> 46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(2009), </w:t>
      </w:r>
      <w:r w:rsidRPr="0089051B">
        <w:rPr>
          <w:rFonts w:ascii="Times New Roman" w:hAnsi="Times New Roman" w:cs="Times New Roman"/>
          <w:sz w:val="20"/>
          <w:szCs w:val="20"/>
        </w:rPr>
        <w:t>173.</w:t>
      </w:r>
      <w:proofErr w:type="gramEnd"/>
      <w:r w:rsidRPr="0089051B">
        <w:rPr>
          <w:rFonts w:ascii="Times New Roman" w:hAnsi="Times New Roman" w:cs="Times New Roman"/>
          <w:sz w:val="20"/>
          <w:szCs w:val="20"/>
        </w:rPr>
        <w:t xml:space="preserve">  </w:t>
      </w:r>
    </w:p>
  </w:footnote>
  <w:footnote w:id="56">
    <w:p w14:paraId="32393BDD" w14:textId="452205F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98/78, </w:t>
      </w:r>
      <w:proofErr w:type="spellStart"/>
      <w:r w:rsidRPr="0089051B">
        <w:rPr>
          <w:rFonts w:ascii="Times New Roman" w:hAnsi="Times New Roman" w:cs="Times New Roman"/>
          <w:i/>
          <w:sz w:val="20"/>
          <w:szCs w:val="20"/>
        </w:rPr>
        <w:t>Racke</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:C:1979:14</w:t>
      </w:r>
      <w:proofErr w:type="gramEnd"/>
      <w:r w:rsidRPr="0089051B">
        <w:rPr>
          <w:rFonts w:ascii="Times New Roman" w:hAnsi="Times New Roman" w:cs="Times New Roman"/>
          <w:sz w:val="20"/>
          <w:szCs w:val="20"/>
        </w:rPr>
        <w:t xml:space="preserve">; Case C-108/01, </w:t>
      </w:r>
      <w:proofErr w:type="spellStart"/>
      <w:r w:rsidRPr="0089051B">
        <w:rPr>
          <w:rFonts w:ascii="Times New Roman" w:hAnsi="Times New Roman" w:cs="Times New Roman"/>
          <w:i/>
          <w:sz w:val="20"/>
          <w:szCs w:val="20"/>
        </w:rPr>
        <w:t>Asda</w:t>
      </w:r>
      <w:proofErr w:type="spellEnd"/>
      <w:r w:rsidRPr="0089051B">
        <w:rPr>
          <w:rFonts w:ascii="Times New Roman" w:hAnsi="Times New Roman" w:cs="Times New Roman"/>
          <w:i/>
          <w:sz w:val="20"/>
          <w:szCs w:val="20"/>
        </w:rPr>
        <w:t xml:space="preserve"> Stores</w:t>
      </w:r>
      <w:r w:rsidRPr="0089051B">
        <w:rPr>
          <w:rFonts w:ascii="Times New Roman" w:hAnsi="Times New Roman" w:cs="Times New Roman"/>
          <w:sz w:val="20"/>
          <w:szCs w:val="20"/>
        </w:rPr>
        <w:t xml:space="preserve">, EU:C:2003:296. </w:t>
      </w:r>
    </w:p>
  </w:footnote>
  <w:footnote w:id="57">
    <w:p w14:paraId="5D4482EA" w14:textId="58FC7B06"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C-228/99, </w:t>
      </w:r>
      <w:r w:rsidRPr="0089051B">
        <w:rPr>
          <w:rFonts w:ascii="Times New Roman" w:hAnsi="Times New Roman" w:cs="Times New Roman"/>
          <w:i/>
          <w:sz w:val="20"/>
          <w:szCs w:val="20"/>
        </w:rPr>
        <w:t xml:space="preserve">Silos e </w:t>
      </w:r>
      <w:proofErr w:type="spellStart"/>
      <w:r w:rsidRPr="0089051B">
        <w:rPr>
          <w:rFonts w:ascii="Times New Roman" w:hAnsi="Times New Roman" w:cs="Times New Roman"/>
          <w:i/>
          <w:sz w:val="20"/>
          <w:szCs w:val="20"/>
        </w:rPr>
        <w:t>Mangimi</w:t>
      </w:r>
      <w:proofErr w:type="spellEnd"/>
      <w:r w:rsidRPr="0089051B">
        <w:rPr>
          <w:rFonts w:ascii="Times New Roman" w:hAnsi="Times New Roman" w:cs="Times New Roman"/>
          <w:i/>
          <w:sz w:val="20"/>
          <w:szCs w:val="20"/>
        </w:rPr>
        <w:t xml:space="preserve"> Martini</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:C:2001:599</w:t>
      </w:r>
      <w:proofErr w:type="gramEnd"/>
      <w:r w:rsidRPr="0089051B">
        <w:rPr>
          <w:rFonts w:ascii="Times New Roman" w:hAnsi="Times New Roman" w:cs="Times New Roman"/>
          <w:sz w:val="20"/>
          <w:szCs w:val="20"/>
        </w:rPr>
        <w:t xml:space="preserve">; Case C-161/06, </w:t>
      </w:r>
      <w:proofErr w:type="spellStart"/>
      <w:r w:rsidRPr="0089051B">
        <w:rPr>
          <w:rFonts w:ascii="Times New Roman" w:hAnsi="Times New Roman" w:cs="Times New Roman"/>
          <w:i/>
          <w:sz w:val="20"/>
          <w:szCs w:val="20"/>
        </w:rPr>
        <w:t>Skoma</w:t>
      </w:r>
      <w:proofErr w:type="spellEnd"/>
      <w:r w:rsidRPr="0089051B">
        <w:rPr>
          <w:rFonts w:ascii="Times New Roman" w:hAnsi="Times New Roman" w:cs="Times New Roman"/>
          <w:i/>
          <w:sz w:val="20"/>
          <w:szCs w:val="20"/>
        </w:rPr>
        <w:t>-Lux</w:t>
      </w:r>
      <w:r w:rsidRPr="0089051B">
        <w:rPr>
          <w:rFonts w:ascii="Times New Roman" w:hAnsi="Times New Roman" w:cs="Times New Roman"/>
          <w:sz w:val="20"/>
          <w:szCs w:val="20"/>
        </w:rPr>
        <w:t xml:space="preserve">, EU:C:2007:773.  Note also, e.g. Case 160/84, </w:t>
      </w:r>
      <w:proofErr w:type="spellStart"/>
      <w:r w:rsidRPr="0089051B">
        <w:rPr>
          <w:rFonts w:ascii="Times New Roman" w:hAnsi="Times New Roman" w:cs="Times New Roman"/>
          <w:i/>
          <w:sz w:val="20"/>
          <w:szCs w:val="20"/>
        </w:rPr>
        <w:t>Oryzomyli</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Kavallas</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:C:1986:205</w:t>
      </w:r>
      <w:proofErr w:type="gramEnd"/>
      <w:r w:rsidRPr="0089051B">
        <w:rPr>
          <w:rFonts w:ascii="Times New Roman" w:hAnsi="Times New Roman" w:cs="Times New Roman"/>
          <w:sz w:val="20"/>
          <w:szCs w:val="20"/>
        </w:rPr>
        <w:t xml:space="preserve">; Case C-370/96, </w:t>
      </w:r>
      <w:proofErr w:type="spellStart"/>
      <w:r w:rsidRPr="0089051B">
        <w:rPr>
          <w:rFonts w:ascii="Times New Roman" w:hAnsi="Times New Roman" w:cs="Times New Roman"/>
          <w:i/>
          <w:sz w:val="20"/>
          <w:szCs w:val="20"/>
        </w:rPr>
        <w:t>Covita</w:t>
      </w:r>
      <w:proofErr w:type="spellEnd"/>
      <w:r w:rsidRPr="0089051B">
        <w:rPr>
          <w:rFonts w:ascii="Times New Roman" w:hAnsi="Times New Roman" w:cs="Times New Roman"/>
          <w:sz w:val="20"/>
          <w:szCs w:val="20"/>
        </w:rPr>
        <w:t xml:space="preserve">, EU:C:1998:567.  See further, e.g. </w:t>
      </w:r>
      <w:proofErr w:type="spellStart"/>
      <w:r w:rsidRPr="0089051B">
        <w:rPr>
          <w:rFonts w:ascii="Times New Roman" w:hAnsi="Times New Roman" w:cs="Times New Roman"/>
          <w:sz w:val="20"/>
          <w:szCs w:val="20"/>
        </w:rPr>
        <w:t>Lasiński-Sulecki</w:t>
      </w:r>
      <w:proofErr w:type="spellEnd"/>
      <w:r w:rsidRPr="0089051B">
        <w:rPr>
          <w:rFonts w:ascii="Times New Roman" w:hAnsi="Times New Roman" w:cs="Times New Roman"/>
          <w:sz w:val="20"/>
          <w:szCs w:val="20"/>
        </w:rPr>
        <w:t xml:space="preserve"> and </w:t>
      </w:r>
      <w:proofErr w:type="spellStart"/>
      <w:r w:rsidRPr="0089051B">
        <w:rPr>
          <w:rFonts w:ascii="Times New Roman" w:hAnsi="Times New Roman" w:cs="Times New Roman"/>
          <w:sz w:val="20"/>
          <w:szCs w:val="20"/>
        </w:rPr>
        <w:t>Morawski</w:t>
      </w:r>
      <w:proofErr w:type="spellEnd"/>
      <w:r w:rsidRPr="0089051B">
        <w:rPr>
          <w:rFonts w:ascii="Times New Roman" w:hAnsi="Times New Roman" w:cs="Times New Roman"/>
          <w:sz w:val="20"/>
          <w:szCs w:val="20"/>
        </w:rPr>
        <w:t xml:space="preserve">, “Late Publication of EC Law in languages of new Member States and its effects:  Obligations on individuals following the Court’s judgment in </w:t>
      </w:r>
      <w:proofErr w:type="spellStart"/>
      <w:r w:rsidRPr="0089051B">
        <w:rPr>
          <w:rFonts w:ascii="Times New Roman" w:hAnsi="Times New Roman" w:cs="Times New Roman"/>
          <w:i/>
          <w:sz w:val="20"/>
          <w:szCs w:val="20"/>
        </w:rPr>
        <w:t>Skoma</w:t>
      </w:r>
      <w:proofErr w:type="spellEnd"/>
      <w:r w:rsidRPr="0089051B">
        <w:rPr>
          <w:rFonts w:ascii="Times New Roman" w:hAnsi="Times New Roman" w:cs="Times New Roman"/>
          <w:i/>
          <w:sz w:val="20"/>
          <w:szCs w:val="20"/>
        </w:rPr>
        <w:t>-Lux</w:t>
      </w:r>
      <w:r w:rsidRPr="0089051B">
        <w:rPr>
          <w:rFonts w:ascii="Times New Roman" w:hAnsi="Times New Roman" w:cs="Times New Roman"/>
          <w:sz w:val="20"/>
          <w:szCs w:val="20"/>
        </w:rPr>
        <w:t>”</w:t>
      </w:r>
      <w:r>
        <w:rPr>
          <w:rFonts w:ascii="Times New Roman" w:hAnsi="Times New Roman" w:cs="Times New Roman"/>
          <w:sz w:val="20"/>
          <w:szCs w:val="20"/>
        </w:rPr>
        <w:t>,</w:t>
      </w:r>
      <w:r w:rsidRPr="0089051B">
        <w:rPr>
          <w:rFonts w:ascii="Times New Roman" w:hAnsi="Times New Roman" w:cs="Times New Roman"/>
          <w:sz w:val="20"/>
          <w:szCs w:val="20"/>
        </w:rPr>
        <w:t xml:space="preserve"> 45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(2008), </w:t>
      </w:r>
      <w:r w:rsidRPr="0089051B">
        <w:rPr>
          <w:rFonts w:ascii="Times New Roman" w:hAnsi="Times New Roman" w:cs="Times New Roman"/>
          <w:sz w:val="20"/>
          <w:szCs w:val="20"/>
        </w:rPr>
        <w:t xml:space="preserve">705.  </w:t>
      </w:r>
    </w:p>
  </w:footnote>
  <w:footnote w:id="58">
    <w:p w14:paraId="51E58D2C" w14:textId="61C2F7D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Not just the enforceability of the non-published Union act, but also that of national implementing measures, must be suspended: e.g. </w:t>
      </w:r>
      <w:r w:rsidRPr="0089051B">
        <w:rPr>
          <w:rFonts w:ascii="Times New Roman" w:hAnsi="Times New Roman" w:cs="Times New Roman"/>
          <w:sz w:val="20"/>
          <w:szCs w:val="20"/>
        </w:rPr>
        <w:t xml:space="preserve">Case C-345/06, </w:t>
      </w:r>
      <w:r w:rsidRPr="0089051B">
        <w:rPr>
          <w:rFonts w:ascii="Times New Roman" w:hAnsi="Times New Roman" w:cs="Times New Roman"/>
          <w:i/>
          <w:sz w:val="20"/>
          <w:szCs w:val="20"/>
        </w:rPr>
        <w:t>Heinrich</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:C:2009:140</w:t>
      </w:r>
      <w:proofErr w:type="gramEnd"/>
      <w:r w:rsidRPr="0089051B">
        <w:rPr>
          <w:rFonts w:ascii="Times New Roman" w:hAnsi="Times New Roman" w:cs="Times New Roman"/>
          <w:sz w:val="20"/>
          <w:szCs w:val="20"/>
        </w:rPr>
        <w:t>.</w:t>
      </w:r>
    </w:p>
  </w:footnote>
  <w:footnote w:id="59">
    <w:p w14:paraId="0CFF8586" w14:textId="6DB7B43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C-161/06, </w:t>
      </w:r>
      <w:proofErr w:type="spellStart"/>
      <w:r w:rsidRPr="0089051B">
        <w:rPr>
          <w:rFonts w:ascii="Times New Roman" w:hAnsi="Times New Roman" w:cs="Times New Roman"/>
          <w:i/>
          <w:sz w:val="20"/>
          <w:szCs w:val="20"/>
        </w:rPr>
        <w:t>Skoma</w:t>
      </w:r>
      <w:proofErr w:type="spellEnd"/>
      <w:r w:rsidRPr="0089051B">
        <w:rPr>
          <w:rFonts w:ascii="Times New Roman" w:hAnsi="Times New Roman" w:cs="Times New Roman"/>
          <w:i/>
          <w:sz w:val="20"/>
          <w:szCs w:val="20"/>
        </w:rPr>
        <w:t>-Lux</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:C:2007:773</w:t>
      </w:r>
      <w:proofErr w:type="gramEnd"/>
      <w:r w:rsidRPr="0089051B">
        <w:rPr>
          <w:rFonts w:ascii="Times New Roman" w:hAnsi="Times New Roman" w:cs="Times New Roman"/>
          <w:sz w:val="20"/>
          <w:szCs w:val="20"/>
        </w:rPr>
        <w:t>.</w:t>
      </w:r>
    </w:p>
  </w:footnote>
  <w:footnote w:id="60">
    <w:p w14:paraId="35EB9404" w14:textId="280ECE9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80/86, </w:t>
      </w:r>
      <w:proofErr w:type="spellStart"/>
      <w:r w:rsidRPr="0089051B">
        <w:rPr>
          <w:rFonts w:ascii="Times New Roman" w:hAnsi="Times New Roman" w:cs="Times New Roman"/>
          <w:i/>
          <w:sz w:val="20"/>
          <w:szCs w:val="20"/>
        </w:rPr>
        <w:t>Kolpinghuis</w:t>
      </w:r>
      <w:proofErr w:type="spellEnd"/>
      <w:r w:rsidRPr="0089051B">
        <w:rPr>
          <w:rFonts w:ascii="Times New Roman" w:hAnsi="Times New Roman" w:cs="Times New Roman"/>
          <w:i/>
          <w:sz w:val="20"/>
          <w:szCs w:val="20"/>
        </w:rPr>
        <w:t xml:space="preserve"> Nijmegen</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:C:1987:431</w:t>
      </w:r>
      <w:proofErr w:type="gramEnd"/>
      <w:r w:rsidRPr="0089051B">
        <w:rPr>
          <w:rFonts w:ascii="Times New Roman" w:hAnsi="Times New Roman" w:cs="Times New Roman"/>
          <w:sz w:val="20"/>
          <w:szCs w:val="20"/>
        </w:rPr>
        <w:t xml:space="preserve">; Case C-573/17, </w:t>
      </w:r>
      <w:proofErr w:type="spellStart"/>
      <w:r w:rsidRPr="0089051B">
        <w:rPr>
          <w:rFonts w:ascii="Times New Roman" w:hAnsi="Times New Roman" w:cs="Times New Roman"/>
          <w:i/>
          <w:sz w:val="20"/>
          <w:szCs w:val="20"/>
        </w:rPr>
        <w:t>Popławski</w:t>
      </w:r>
      <w:proofErr w:type="spellEnd"/>
      <w:r w:rsidRPr="0089051B">
        <w:rPr>
          <w:rFonts w:ascii="Times New Roman" w:hAnsi="Times New Roman" w:cs="Times New Roman"/>
          <w:sz w:val="20"/>
          <w:szCs w:val="20"/>
        </w:rPr>
        <w:t xml:space="preserve">, EU:C:2019:530.  </w:t>
      </w:r>
    </w:p>
  </w:footnote>
  <w:footnote w:id="61">
    <w:p w14:paraId="03BD3CDE" w14:textId="18C9385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C-60/02, </w:t>
      </w:r>
      <w:r w:rsidRPr="0089051B">
        <w:rPr>
          <w:rFonts w:ascii="Times New Roman" w:hAnsi="Times New Roman" w:cs="Times New Roman"/>
          <w:i/>
          <w:sz w:val="20"/>
          <w:szCs w:val="20"/>
        </w:rPr>
        <w:t>X</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:C:2004:10</w:t>
      </w:r>
      <w:proofErr w:type="gramEnd"/>
      <w:r w:rsidRPr="0089051B">
        <w:rPr>
          <w:rFonts w:ascii="Times New Roman" w:hAnsi="Times New Roman" w:cs="Times New Roman"/>
          <w:sz w:val="20"/>
          <w:szCs w:val="20"/>
        </w:rPr>
        <w:t xml:space="preserve">; Cases C-387/02, C-391/02 and C-403/02, </w:t>
      </w:r>
      <w:r w:rsidRPr="0089051B">
        <w:rPr>
          <w:rFonts w:ascii="Times New Roman" w:hAnsi="Times New Roman" w:cs="Times New Roman"/>
          <w:i/>
          <w:sz w:val="20"/>
          <w:szCs w:val="20"/>
        </w:rPr>
        <w:t>Berlusconi</w:t>
      </w:r>
      <w:r w:rsidRPr="0089051B">
        <w:rPr>
          <w:rFonts w:ascii="Times New Roman" w:hAnsi="Times New Roman" w:cs="Times New Roman"/>
          <w:sz w:val="20"/>
          <w:szCs w:val="20"/>
        </w:rPr>
        <w:t xml:space="preserve">, EU:C:2005:270.  </w:t>
      </w:r>
    </w:p>
  </w:footnote>
  <w:footnote w:id="62">
    <w:p w14:paraId="73D9B467" w14:textId="19C492A5"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C-105/03, </w:t>
      </w:r>
      <w:proofErr w:type="spellStart"/>
      <w:r w:rsidRPr="0089051B">
        <w:rPr>
          <w:rFonts w:ascii="Times New Roman" w:hAnsi="Times New Roman" w:cs="Times New Roman"/>
          <w:i/>
          <w:sz w:val="20"/>
          <w:szCs w:val="20"/>
        </w:rPr>
        <w:t>Pupino</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:C:2005:386</w:t>
      </w:r>
      <w:proofErr w:type="gramEnd"/>
      <w:r w:rsidRPr="0089051B">
        <w:rPr>
          <w:rFonts w:ascii="Times New Roman" w:hAnsi="Times New Roman" w:cs="Times New Roman"/>
          <w:sz w:val="20"/>
          <w:szCs w:val="20"/>
        </w:rPr>
        <w:t xml:space="preserve">; Case C-554/14, </w:t>
      </w:r>
      <w:proofErr w:type="spellStart"/>
      <w:r w:rsidRPr="0089051B">
        <w:rPr>
          <w:rFonts w:ascii="Times New Roman" w:hAnsi="Times New Roman" w:cs="Times New Roman"/>
          <w:i/>
          <w:sz w:val="20"/>
          <w:szCs w:val="20"/>
        </w:rPr>
        <w:t>Ognyanov</w:t>
      </w:r>
      <w:proofErr w:type="spellEnd"/>
      <w:r w:rsidRPr="0089051B">
        <w:rPr>
          <w:rFonts w:ascii="Times New Roman" w:hAnsi="Times New Roman" w:cs="Times New Roman"/>
          <w:sz w:val="20"/>
          <w:szCs w:val="20"/>
        </w:rPr>
        <w:t xml:space="preserve">, EU:C:2016:835.    See further, e.g. </w:t>
      </w:r>
      <w:proofErr w:type="spellStart"/>
      <w:r w:rsidRPr="0089051B">
        <w:rPr>
          <w:rFonts w:ascii="Times New Roman" w:hAnsi="Times New Roman" w:cs="Times New Roman"/>
          <w:sz w:val="20"/>
          <w:szCs w:val="20"/>
        </w:rPr>
        <w:t>Spaventa</w:t>
      </w:r>
      <w:proofErr w:type="spellEnd"/>
      <w:r w:rsidRPr="0089051B">
        <w:rPr>
          <w:rFonts w:ascii="Times New Roman" w:hAnsi="Times New Roman" w:cs="Times New Roman"/>
          <w:sz w:val="20"/>
          <w:szCs w:val="20"/>
        </w:rPr>
        <w:t xml:space="preserve">, “Opening Pandora’s </w:t>
      </w:r>
      <w:proofErr w:type="gramStart"/>
      <w:r w:rsidRPr="0089051B">
        <w:rPr>
          <w:rFonts w:ascii="Times New Roman" w:hAnsi="Times New Roman" w:cs="Times New Roman"/>
          <w:sz w:val="20"/>
          <w:szCs w:val="20"/>
        </w:rPr>
        <w:t>Box</w:t>
      </w:r>
      <w:proofErr w:type="gramEnd"/>
      <w:r w:rsidRPr="0089051B">
        <w:rPr>
          <w:rFonts w:ascii="Times New Roman" w:hAnsi="Times New Roman" w:cs="Times New Roman"/>
          <w:sz w:val="20"/>
          <w:szCs w:val="20"/>
        </w:rPr>
        <w:t xml:space="preserve">: Some Reflections on the Constitutional Effects of the Decision in </w:t>
      </w:r>
      <w:proofErr w:type="spellStart"/>
      <w:r w:rsidRPr="0089051B">
        <w:rPr>
          <w:rFonts w:ascii="Times New Roman" w:hAnsi="Times New Roman" w:cs="Times New Roman"/>
          <w:i/>
          <w:sz w:val="20"/>
          <w:szCs w:val="20"/>
        </w:rPr>
        <w:t>Pupino</w:t>
      </w:r>
      <w:proofErr w:type="spellEnd"/>
      <w:r w:rsidRPr="0089051B">
        <w:rPr>
          <w:rFonts w:ascii="Times New Roman" w:hAnsi="Times New Roman" w:cs="Times New Roman"/>
          <w:sz w:val="20"/>
          <w:szCs w:val="20"/>
        </w:rPr>
        <w:t>”</w:t>
      </w:r>
      <w:r>
        <w:rPr>
          <w:rFonts w:ascii="Times New Roman" w:hAnsi="Times New Roman" w:cs="Times New Roman"/>
          <w:sz w:val="20"/>
          <w:szCs w:val="20"/>
        </w:rPr>
        <w:t>,</w:t>
      </w:r>
      <w:r w:rsidRPr="0089051B">
        <w:rPr>
          <w:rFonts w:ascii="Times New Roman" w:hAnsi="Times New Roman" w:cs="Times New Roman"/>
          <w:sz w:val="20"/>
          <w:szCs w:val="20"/>
        </w:rPr>
        <w:t xml:space="preserve"> 3 </w:t>
      </w:r>
      <w:proofErr w:type="spellStart"/>
      <w:r w:rsidRPr="00CF3378">
        <w:rPr>
          <w:rFonts w:ascii="Times New Roman" w:hAnsi="Times New Roman" w:cs="Times New Roman"/>
          <w:sz w:val="20"/>
          <w:szCs w:val="20"/>
        </w:rPr>
        <w:t>EuConst</w:t>
      </w:r>
      <w:proofErr w:type="spellEnd"/>
      <w:r w:rsidRPr="00CF3378">
        <w:rPr>
          <w:rFonts w:ascii="Times New Roman" w:hAnsi="Times New Roman" w:cs="Times New Roman"/>
          <w:sz w:val="20"/>
          <w:szCs w:val="20"/>
        </w:rPr>
        <w:t xml:space="preserve"> </w:t>
      </w:r>
      <w:r>
        <w:rPr>
          <w:rFonts w:ascii="Times New Roman" w:hAnsi="Times New Roman" w:cs="Times New Roman"/>
          <w:sz w:val="20"/>
          <w:szCs w:val="20"/>
        </w:rPr>
        <w:t xml:space="preserve">(2006), </w:t>
      </w:r>
      <w:r w:rsidRPr="0089051B">
        <w:rPr>
          <w:rFonts w:ascii="Times New Roman" w:hAnsi="Times New Roman" w:cs="Times New Roman"/>
          <w:sz w:val="20"/>
          <w:szCs w:val="20"/>
        </w:rPr>
        <w:t>5.</w:t>
      </w:r>
    </w:p>
  </w:footnote>
  <w:footnote w:id="63">
    <w:p w14:paraId="70B447D3" w14:textId="5D455BF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C-198/01, </w:t>
      </w:r>
      <w:r w:rsidRPr="0089051B">
        <w:rPr>
          <w:rFonts w:ascii="Times New Roman" w:hAnsi="Times New Roman" w:cs="Times New Roman"/>
          <w:i/>
          <w:sz w:val="20"/>
          <w:szCs w:val="20"/>
        </w:rPr>
        <w:t>CIF</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:C:2003:430</w:t>
      </w:r>
      <w:proofErr w:type="gramEnd"/>
      <w:r w:rsidRPr="0089051B">
        <w:rPr>
          <w:rFonts w:ascii="Times New Roman" w:hAnsi="Times New Roman" w:cs="Times New Roman"/>
          <w:sz w:val="20"/>
          <w:szCs w:val="20"/>
        </w:rPr>
        <w:t xml:space="preserve">; Case C-495/00, </w:t>
      </w:r>
      <w:proofErr w:type="spellStart"/>
      <w:r w:rsidRPr="0089051B">
        <w:rPr>
          <w:rFonts w:ascii="Times New Roman" w:hAnsi="Times New Roman" w:cs="Times New Roman"/>
          <w:i/>
          <w:sz w:val="20"/>
          <w:szCs w:val="20"/>
        </w:rPr>
        <w:t>Azienda</w:t>
      </w:r>
      <w:proofErr w:type="spellEnd"/>
      <w:r w:rsidRPr="0089051B">
        <w:rPr>
          <w:rFonts w:ascii="Times New Roman" w:hAnsi="Times New Roman" w:cs="Times New Roman"/>
          <w:i/>
          <w:sz w:val="20"/>
          <w:szCs w:val="20"/>
        </w:rPr>
        <w:t xml:space="preserve"> Agricola Giorgio, Giovanni e Luciano </w:t>
      </w:r>
      <w:proofErr w:type="spellStart"/>
      <w:r w:rsidRPr="0089051B">
        <w:rPr>
          <w:rFonts w:ascii="Times New Roman" w:hAnsi="Times New Roman" w:cs="Times New Roman"/>
          <w:i/>
          <w:sz w:val="20"/>
          <w:szCs w:val="20"/>
        </w:rPr>
        <w:t>Visentin</w:t>
      </w:r>
      <w:proofErr w:type="spellEnd"/>
      <w:r w:rsidRPr="0089051B">
        <w:rPr>
          <w:rFonts w:ascii="Times New Roman" w:hAnsi="Times New Roman" w:cs="Times New Roman"/>
          <w:sz w:val="20"/>
          <w:szCs w:val="20"/>
        </w:rPr>
        <w:t xml:space="preserve">, EU:C:2004:180; Case C-158/06, </w:t>
      </w:r>
      <w:r w:rsidRPr="0089051B">
        <w:rPr>
          <w:rFonts w:ascii="Times New Roman" w:hAnsi="Times New Roman" w:cs="Times New Roman"/>
          <w:i/>
          <w:sz w:val="20"/>
          <w:szCs w:val="20"/>
        </w:rPr>
        <w:t>ROM-</w:t>
      </w:r>
      <w:proofErr w:type="spellStart"/>
      <w:r w:rsidRPr="0089051B">
        <w:rPr>
          <w:rFonts w:ascii="Times New Roman" w:hAnsi="Times New Roman" w:cs="Times New Roman"/>
          <w:i/>
          <w:sz w:val="20"/>
          <w:szCs w:val="20"/>
        </w:rPr>
        <w:t>projecten</w:t>
      </w:r>
      <w:proofErr w:type="spellEnd"/>
      <w:r w:rsidRPr="0089051B">
        <w:rPr>
          <w:rFonts w:ascii="Times New Roman" w:hAnsi="Times New Roman" w:cs="Times New Roman"/>
          <w:sz w:val="20"/>
          <w:szCs w:val="20"/>
        </w:rPr>
        <w:t xml:space="preserve">, EU:C:2007:370; Case C-606/10, </w:t>
      </w:r>
      <w:r w:rsidRPr="0089051B">
        <w:rPr>
          <w:rFonts w:ascii="Times New Roman" w:hAnsi="Times New Roman" w:cs="Times New Roman"/>
          <w:i/>
          <w:sz w:val="20"/>
          <w:szCs w:val="20"/>
        </w:rPr>
        <w:t>ANAFE</w:t>
      </w:r>
      <w:r w:rsidRPr="0089051B">
        <w:rPr>
          <w:rFonts w:ascii="Times New Roman" w:hAnsi="Times New Roman" w:cs="Times New Roman"/>
          <w:sz w:val="20"/>
          <w:szCs w:val="20"/>
        </w:rPr>
        <w:t>, EU:C:2012:348.</w:t>
      </w:r>
    </w:p>
  </w:footnote>
  <w:footnote w:id="64">
    <w:p w14:paraId="3E91FDDA" w14:textId="4C1D009A"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Starting with Case 33/76, </w:t>
      </w:r>
      <w:proofErr w:type="spellStart"/>
      <w:r w:rsidRPr="0089051B">
        <w:rPr>
          <w:rFonts w:ascii="Times New Roman" w:hAnsi="Times New Roman" w:cs="Times New Roman"/>
          <w:i/>
          <w:sz w:val="20"/>
          <w:szCs w:val="20"/>
        </w:rPr>
        <w:t>Rewe-Zentralfinanz</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:C:1976:188</w:t>
      </w:r>
      <w:proofErr w:type="gramEnd"/>
      <w:r w:rsidRPr="0089051B">
        <w:rPr>
          <w:rFonts w:ascii="Times New Roman" w:hAnsi="Times New Roman" w:cs="Times New Roman"/>
          <w:sz w:val="20"/>
          <w:szCs w:val="20"/>
        </w:rPr>
        <w:t xml:space="preserve">; Case 45/76, </w:t>
      </w:r>
      <w:r w:rsidRPr="0089051B">
        <w:rPr>
          <w:rFonts w:ascii="Times New Roman" w:hAnsi="Times New Roman" w:cs="Times New Roman"/>
          <w:i/>
          <w:iCs/>
          <w:sz w:val="20"/>
          <w:szCs w:val="20"/>
        </w:rPr>
        <w:t xml:space="preserve">Comet, </w:t>
      </w:r>
      <w:r w:rsidRPr="0089051B">
        <w:rPr>
          <w:rFonts w:ascii="Times New Roman" w:hAnsi="Times New Roman" w:cs="Times New Roman"/>
          <w:iCs/>
          <w:sz w:val="20"/>
          <w:szCs w:val="20"/>
        </w:rPr>
        <w:t>EU:C:1976:191.</w:t>
      </w:r>
    </w:p>
  </w:footnote>
  <w:footnote w:id="65">
    <w:p w14:paraId="799E5917" w14:textId="73A0DC1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C-261/95, </w:t>
      </w:r>
      <w:proofErr w:type="spellStart"/>
      <w:r w:rsidRPr="0089051B">
        <w:rPr>
          <w:rFonts w:ascii="Times New Roman" w:hAnsi="Times New Roman" w:cs="Times New Roman"/>
          <w:i/>
          <w:sz w:val="20"/>
          <w:szCs w:val="20"/>
        </w:rPr>
        <w:t>Palmisani</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:C:1997:351</w:t>
      </w:r>
      <w:proofErr w:type="gramEnd"/>
      <w:r w:rsidRPr="0089051B">
        <w:rPr>
          <w:rFonts w:ascii="Times New Roman" w:hAnsi="Times New Roman" w:cs="Times New Roman"/>
          <w:sz w:val="20"/>
          <w:szCs w:val="20"/>
        </w:rPr>
        <w:t xml:space="preserve">; Case C-231/96, </w:t>
      </w:r>
      <w:proofErr w:type="spellStart"/>
      <w:r w:rsidRPr="0089051B">
        <w:rPr>
          <w:rFonts w:ascii="Times New Roman" w:hAnsi="Times New Roman" w:cs="Times New Roman"/>
          <w:i/>
          <w:sz w:val="20"/>
          <w:szCs w:val="20"/>
        </w:rPr>
        <w:t>Edis</w:t>
      </w:r>
      <w:proofErr w:type="spellEnd"/>
      <w:r w:rsidRPr="0089051B">
        <w:rPr>
          <w:rFonts w:ascii="Times New Roman" w:hAnsi="Times New Roman" w:cs="Times New Roman"/>
          <w:sz w:val="20"/>
          <w:szCs w:val="20"/>
        </w:rPr>
        <w:t xml:space="preserve">, EU:C:1998:401; Case C-78/98, </w:t>
      </w:r>
      <w:r w:rsidRPr="0089051B">
        <w:rPr>
          <w:rFonts w:ascii="Times New Roman" w:hAnsi="Times New Roman" w:cs="Times New Roman"/>
          <w:i/>
          <w:sz w:val="20"/>
          <w:szCs w:val="20"/>
        </w:rPr>
        <w:t>Preston</w:t>
      </w:r>
      <w:r w:rsidRPr="0089051B">
        <w:rPr>
          <w:rFonts w:ascii="Times New Roman" w:hAnsi="Times New Roman" w:cs="Times New Roman"/>
          <w:sz w:val="20"/>
          <w:szCs w:val="20"/>
        </w:rPr>
        <w:t xml:space="preserve">, EU:C:2000:247; Case C-327/00, </w:t>
      </w:r>
      <w:proofErr w:type="spellStart"/>
      <w:r w:rsidRPr="0089051B">
        <w:rPr>
          <w:rFonts w:ascii="Times New Roman" w:hAnsi="Times New Roman" w:cs="Times New Roman"/>
          <w:i/>
          <w:sz w:val="20"/>
          <w:szCs w:val="20"/>
        </w:rPr>
        <w:t>Santex</w:t>
      </w:r>
      <w:proofErr w:type="spellEnd"/>
      <w:r w:rsidRPr="0089051B">
        <w:rPr>
          <w:rFonts w:ascii="Times New Roman" w:hAnsi="Times New Roman" w:cs="Times New Roman"/>
          <w:sz w:val="20"/>
          <w:szCs w:val="20"/>
        </w:rPr>
        <w:t xml:space="preserve">, EU:C:2003:109; Case C-542/08, </w:t>
      </w:r>
      <w:r w:rsidRPr="0089051B">
        <w:rPr>
          <w:rFonts w:ascii="Times New Roman" w:hAnsi="Times New Roman" w:cs="Times New Roman"/>
          <w:i/>
          <w:sz w:val="20"/>
          <w:szCs w:val="20"/>
        </w:rPr>
        <w:t>Barth</w:t>
      </w:r>
      <w:r w:rsidRPr="0089051B">
        <w:rPr>
          <w:rFonts w:ascii="Times New Roman" w:hAnsi="Times New Roman" w:cs="Times New Roman"/>
          <w:sz w:val="20"/>
          <w:szCs w:val="20"/>
        </w:rPr>
        <w:t xml:space="preserve">, EU:C:2010:193; Case C-387/17, </w:t>
      </w:r>
      <w:proofErr w:type="spellStart"/>
      <w:r w:rsidRPr="0089051B">
        <w:rPr>
          <w:rFonts w:ascii="Times New Roman" w:hAnsi="Times New Roman" w:cs="Times New Roman"/>
          <w:i/>
          <w:sz w:val="20"/>
          <w:szCs w:val="20"/>
        </w:rPr>
        <w:t>Fallimento</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Traghetti</w:t>
      </w:r>
      <w:proofErr w:type="spellEnd"/>
      <w:r w:rsidRPr="0089051B">
        <w:rPr>
          <w:rFonts w:ascii="Times New Roman" w:hAnsi="Times New Roman" w:cs="Times New Roman"/>
          <w:i/>
          <w:sz w:val="20"/>
          <w:szCs w:val="20"/>
        </w:rPr>
        <w:t xml:space="preserve"> del </w:t>
      </w:r>
      <w:proofErr w:type="spellStart"/>
      <w:r w:rsidRPr="0089051B">
        <w:rPr>
          <w:rFonts w:ascii="Times New Roman" w:hAnsi="Times New Roman" w:cs="Times New Roman"/>
          <w:i/>
          <w:sz w:val="20"/>
          <w:szCs w:val="20"/>
        </w:rPr>
        <w:t>Mediterraneo</w:t>
      </w:r>
      <w:proofErr w:type="spellEnd"/>
      <w:r w:rsidRPr="0089051B">
        <w:rPr>
          <w:rFonts w:ascii="Times New Roman" w:hAnsi="Times New Roman" w:cs="Times New Roman"/>
          <w:sz w:val="20"/>
          <w:szCs w:val="20"/>
        </w:rPr>
        <w:t xml:space="preserve">, EU:C:2019:51.  </w:t>
      </w:r>
    </w:p>
  </w:footnote>
  <w:footnote w:id="66">
    <w:p w14:paraId="77ED6163" w14:textId="7D279FB6"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C-2/06, </w:t>
      </w:r>
      <w:r w:rsidRPr="0089051B">
        <w:rPr>
          <w:rFonts w:ascii="Times New Roman" w:hAnsi="Times New Roman" w:cs="Times New Roman"/>
          <w:i/>
          <w:sz w:val="20"/>
          <w:szCs w:val="20"/>
        </w:rPr>
        <w:t xml:space="preserve">Willy </w:t>
      </w:r>
      <w:proofErr w:type="spellStart"/>
      <w:r w:rsidRPr="0089051B">
        <w:rPr>
          <w:rFonts w:ascii="Times New Roman" w:hAnsi="Times New Roman" w:cs="Times New Roman"/>
          <w:i/>
          <w:sz w:val="20"/>
          <w:szCs w:val="20"/>
        </w:rPr>
        <w:t>Kempter</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:C:2008:78</w:t>
      </w:r>
      <w:proofErr w:type="gramEnd"/>
      <w:r w:rsidRPr="0089051B">
        <w:rPr>
          <w:rFonts w:ascii="Times New Roman" w:hAnsi="Times New Roman" w:cs="Times New Roman"/>
          <w:sz w:val="20"/>
          <w:szCs w:val="20"/>
        </w:rPr>
        <w:t>.</w:t>
      </w:r>
    </w:p>
  </w:footnote>
  <w:footnote w:id="67">
    <w:p w14:paraId="2EA28CF3" w14:textId="4CD67F20"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Particularly in light of Case C-453/00, </w:t>
      </w:r>
      <w:proofErr w:type="spellStart"/>
      <w:r w:rsidRPr="0089051B">
        <w:rPr>
          <w:rFonts w:ascii="Times New Roman" w:hAnsi="Times New Roman" w:cs="Times New Roman"/>
          <w:i/>
          <w:sz w:val="20"/>
          <w:szCs w:val="20"/>
        </w:rPr>
        <w:t>Kühne</w:t>
      </w:r>
      <w:proofErr w:type="spellEnd"/>
      <w:r w:rsidRPr="0089051B">
        <w:rPr>
          <w:rFonts w:ascii="Times New Roman" w:hAnsi="Times New Roman" w:cs="Times New Roman"/>
          <w:i/>
          <w:sz w:val="20"/>
          <w:szCs w:val="20"/>
        </w:rPr>
        <w:t xml:space="preserve"> &amp; </w:t>
      </w:r>
      <w:proofErr w:type="spellStart"/>
      <w:r w:rsidRPr="0089051B">
        <w:rPr>
          <w:rFonts w:ascii="Times New Roman" w:hAnsi="Times New Roman" w:cs="Times New Roman"/>
          <w:i/>
          <w:sz w:val="20"/>
          <w:szCs w:val="20"/>
        </w:rPr>
        <w:t>Heitz</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:C:2004:17</w:t>
      </w:r>
      <w:proofErr w:type="gramEnd"/>
      <w:r w:rsidRPr="0089051B">
        <w:rPr>
          <w:rFonts w:ascii="Times New Roman" w:hAnsi="Times New Roman" w:cs="Times New Roman"/>
          <w:sz w:val="20"/>
          <w:szCs w:val="20"/>
        </w:rPr>
        <w:t xml:space="preserve"> (finality for administrative decisions) and Case C-234/04, </w:t>
      </w:r>
      <w:proofErr w:type="spellStart"/>
      <w:r w:rsidRPr="0089051B">
        <w:rPr>
          <w:rFonts w:ascii="Times New Roman" w:hAnsi="Times New Roman" w:cs="Times New Roman"/>
          <w:i/>
          <w:sz w:val="20"/>
          <w:szCs w:val="20"/>
        </w:rPr>
        <w:t>Kapferer</w:t>
      </w:r>
      <w:proofErr w:type="spellEnd"/>
      <w:r w:rsidRPr="0089051B">
        <w:rPr>
          <w:rFonts w:ascii="Times New Roman" w:hAnsi="Times New Roman" w:cs="Times New Roman"/>
          <w:sz w:val="20"/>
          <w:szCs w:val="20"/>
        </w:rPr>
        <w:t>, EU:C:2006:178 (</w:t>
      </w:r>
      <w:r w:rsidRPr="00CF3378">
        <w:rPr>
          <w:rFonts w:ascii="Times New Roman" w:hAnsi="Times New Roman" w:cs="Times New Roman"/>
          <w:i/>
          <w:sz w:val="20"/>
          <w:szCs w:val="20"/>
        </w:rPr>
        <w:t>res judicata</w:t>
      </w:r>
      <w:r w:rsidRPr="0089051B">
        <w:rPr>
          <w:rFonts w:ascii="Times New Roman" w:hAnsi="Times New Roman" w:cs="Times New Roman"/>
          <w:sz w:val="20"/>
          <w:szCs w:val="20"/>
        </w:rPr>
        <w:t xml:space="preserve"> for judicial decisions).  See further, e.g. Becker, “Application of Community Law by Member States’ Public Authorities: Between Autonomy and Effectiveness”</w:t>
      </w:r>
      <w:r>
        <w:rPr>
          <w:rFonts w:ascii="Times New Roman" w:hAnsi="Times New Roman" w:cs="Times New Roman"/>
          <w:sz w:val="20"/>
          <w:szCs w:val="20"/>
        </w:rPr>
        <w:t>,</w:t>
      </w:r>
      <w:r w:rsidRPr="0089051B">
        <w:rPr>
          <w:rFonts w:ascii="Times New Roman" w:hAnsi="Times New Roman" w:cs="Times New Roman"/>
          <w:sz w:val="20"/>
          <w:szCs w:val="20"/>
        </w:rPr>
        <w:t xml:space="preserve"> 44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(2007), </w:t>
      </w:r>
      <w:r w:rsidRPr="0089051B">
        <w:rPr>
          <w:rFonts w:ascii="Times New Roman" w:hAnsi="Times New Roman" w:cs="Times New Roman"/>
          <w:sz w:val="20"/>
          <w:szCs w:val="20"/>
        </w:rPr>
        <w:t xml:space="preserve">1035; </w:t>
      </w:r>
      <w:proofErr w:type="spellStart"/>
      <w:r w:rsidRPr="0089051B">
        <w:rPr>
          <w:rFonts w:ascii="Times New Roman" w:hAnsi="Times New Roman" w:cs="Times New Roman"/>
          <w:sz w:val="20"/>
          <w:szCs w:val="20"/>
        </w:rPr>
        <w:t>Kornezov</w:t>
      </w:r>
      <w:proofErr w:type="spellEnd"/>
      <w:r w:rsidRPr="0089051B">
        <w:rPr>
          <w:rFonts w:ascii="Times New Roman" w:hAnsi="Times New Roman" w:cs="Times New Roman"/>
          <w:sz w:val="20"/>
          <w:szCs w:val="20"/>
        </w:rPr>
        <w:t>, “</w:t>
      </w:r>
      <w:r w:rsidRPr="0089051B">
        <w:rPr>
          <w:rFonts w:ascii="Times New Roman" w:hAnsi="Times New Roman" w:cs="Times New Roman"/>
          <w:i/>
          <w:sz w:val="20"/>
          <w:szCs w:val="20"/>
        </w:rPr>
        <w:t>Res judicata</w:t>
      </w:r>
      <w:r w:rsidRPr="0089051B">
        <w:rPr>
          <w:rFonts w:ascii="Times New Roman" w:hAnsi="Times New Roman" w:cs="Times New Roman"/>
          <w:sz w:val="20"/>
          <w:szCs w:val="20"/>
        </w:rPr>
        <w:t xml:space="preserve"> of national judgments incompatible with EU Law: Time for a major rethink?</w:t>
      </w:r>
      <w:proofErr w:type="gramStart"/>
      <w:r w:rsidRPr="0089051B">
        <w:rPr>
          <w:rFonts w:ascii="Times New Roman" w:hAnsi="Times New Roman" w:cs="Times New Roman"/>
          <w:sz w:val="20"/>
          <w:szCs w:val="20"/>
        </w:rPr>
        <w:t>”</w:t>
      </w:r>
      <w:r>
        <w:rPr>
          <w:rFonts w:ascii="Times New Roman" w:hAnsi="Times New Roman" w:cs="Times New Roman"/>
          <w:sz w:val="20"/>
          <w:szCs w:val="20"/>
        </w:rPr>
        <w:t>,</w:t>
      </w:r>
      <w:proofErr w:type="gramEnd"/>
      <w:r w:rsidRPr="0089051B">
        <w:rPr>
          <w:rFonts w:ascii="Times New Roman" w:hAnsi="Times New Roman" w:cs="Times New Roman"/>
          <w:sz w:val="20"/>
          <w:szCs w:val="20"/>
        </w:rPr>
        <w:t xml:space="preserve"> 51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(2014), </w:t>
      </w:r>
      <w:r w:rsidRPr="0089051B">
        <w:rPr>
          <w:rFonts w:ascii="Times New Roman" w:hAnsi="Times New Roman" w:cs="Times New Roman"/>
          <w:sz w:val="20"/>
          <w:szCs w:val="20"/>
        </w:rPr>
        <w:t xml:space="preserve">809.  </w:t>
      </w:r>
    </w:p>
  </w:footnote>
  <w:footnote w:id="68">
    <w:p w14:paraId="73D1F63F" w14:textId="67DEF2F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C-392/04 and C-422/04, </w:t>
      </w:r>
      <w:r w:rsidRPr="0089051B">
        <w:rPr>
          <w:rFonts w:ascii="Times New Roman" w:hAnsi="Times New Roman" w:cs="Times New Roman"/>
          <w:i/>
          <w:sz w:val="20"/>
          <w:szCs w:val="20"/>
        </w:rPr>
        <w:t>i-21 Germany</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:C:2006:586</w:t>
      </w:r>
      <w:proofErr w:type="gramEnd"/>
      <w:r w:rsidRPr="0089051B">
        <w:rPr>
          <w:rFonts w:ascii="Times New Roman" w:hAnsi="Times New Roman" w:cs="Times New Roman"/>
          <w:sz w:val="20"/>
          <w:szCs w:val="20"/>
        </w:rPr>
        <w:t xml:space="preserve">; Case C-2/06, </w:t>
      </w:r>
      <w:r w:rsidRPr="0089051B">
        <w:rPr>
          <w:rFonts w:ascii="Times New Roman" w:hAnsi="Times New Roman" w:cs="Times New Roman"/>
          <w:i/>
          <w:sz w:val="20"/>
          <w:szCs w:val="20"/>
        </w:rPr>
        <w:t xml:space="preserve">Willy </w:t>
      </w:r>
      <w:proofErr w:type="spellStart"/>
      <w:r w:rsidRPr="0089051B">
        <w:rPr>
          <w:rFonts w:ascii="Times New Roman" w:hAnsi="Times New Roman" w:cs="Times New Roman"/>
          <w:i/>
          <w:sz w:val="20"/>
          <w:szCs w:val="20"/>
        </w:rPr>
        <w:t>Kempter</w:t>
      </w:r>
      <w:proofErr w:type="spellEnd"/>
      <w:r w:rsidRPr="0089051B">
        <w:rPr>
          <w:rFonts w:ascii="Times New Roman" w:hAnsi="Times New Roman" w:cs="Times New Roman"/>
          <w:sz w:val="20"/>
          <w:szCs w:val="20"/>
        </w:rPr>
        <w:t xml:space="preserve">, EU:C:2008:78; Case C-40/08, </w:t>
      </w:r>
      <w:proofErr w:type="spellStart"/>
      <w:r w:rsidRPr="0089051B">
        <w:rPr>
          <w:rFonts w:ascii="Times New Roman" w:hAnsi="Times New Roman" w:cs="Times New Roman"/>
          <w:i/>
          <w:sz w:val="20"/>
          <w:szCs w:val="20"/>
        </w:rPr>
        <w:t>Asturcom</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Telecommunicaciones</w:t>
      </w:r>
      <w:proofErr w:type="spellEnd"/>
      <w:r w:rsidRPr="0089051B">
        <w:rPr>
          <w:rFonts w:ascii="Times New Roman" w:hAnsi="Times New Roman" w:cs="Times New Roman"/>
          <w:sz w:val="20"/>
          <w:szCs w:val="20"/>
        </w:rPr>
        <w:t xml:space="preserve">, EU:C:2009:615; Case C-249/11, </w:t>
      </w:r>
      <w:proofErr w:type="spellStart"/>
      <w:r w:rsidRPr="0089051B">
        <w:rPr>
          <w:rFonts w:ascii="Times New Roman" w:hAnsi="Times New Roman" w:cs="Times New Roman"/>
          <w:i/>
          <w:sz w:val="20"/>
          <w:szCs w:val="20"/>
        </w:rPr>
        <w:t>Byankov</w:t>
      </w:r>
      <w:proofErr w:type="spellEnd"/>
      <w:r w:rsidRPr="0089051B">
        <w:rPr>
          <w:rFonts w:ascii="Times New Roman" w:hAnsi="Times New Roman" w:cs="Times New Roman"/>
          <w:sz w:val="20"/>
          <w:szCs w:val="20"/>
        </w:rPr>
        <w:t xml:space="preserve">, EU:C:2012:608; Case C-69/14, </w:t>
      </w:r>
      <w:proofErr w:type="spellStart"/>
      <w:r w:rsidRPr="0089051B">
        <w:rPr>
          <w:rFonts w:ascii="Times New Roman" w:hAnsi="Times New Roman" w:cs="Times New Roman"/>
          <w:i/>
          <w:sz w:val="20"/>
          <w:szCs w:val="20"/>
        </w:rPr>
        <w:t>Târşia</w:t>
      </w:r>
      <w:proofErr w:type="spellEnd"/>
      <w:r w:rsidRPr="0089051B">
        <w:rPr>
          <w:rFonts w:ascii="Times New Roman" w:hAnsi="Times New Roman" w:cs="Times New Roman"/>
          <w:sz w:val="20"/>
          <w:szCs w:val="20"/>
        </w:rPr>
        <w:t xml:space="preserve">, EU:C:2015:662; Case C-421/14, </w:t>
      </w:r>
      <w:proofErr w:type="spellStart"/>
      <w:r w:rsidRPr="0089051B">
        <w:rPr>
          <w:rFonts w:ascii="Times New Roman" w:hAnsi="Times New Roman" w:cs="Times New Roman"/>
          <w:i/>
          <w:sz w:val="20"/>
          <w:szCs w:val="20"/>
        </w:rPr>
        <w:t>Banco</w:t>
      </w:r>
      <w:proofErr w:type="spellEnd"/>
      <w:r w:rsidRPr="0089051B">
        <w:rPr>
          <w:rFonts w:ascii="Times New Roman" w:hAnsi="Times New Roman" w:cs="Times New Roman"/>
          <w:i/>
          <w:sz w:val="20"/>
          <w:szCs w:val="20"/>
        </w:rPr>
        <w:t xml:space="preserve"> Primus</w:t>
      </w:r>
      <w:r w:rsidRPr="0089051B">
        <w:rPr>
          <w:rFonts w:ascii="Times New Roman" w:hAnsi="Times New Roman" w:cs="Times New Roman"/>
          <w:sz w:val="20"/>
          <w:szCs w:val="20"/>
        </w:rPr>
        <w:t xml:space="preserve">, EU:C:2017:60; Case C-234/17, </w:t>
      </w:r>
      <w:r w:rsidRPr="0089051B">
        <w:rPr>
          <w:rFonts w:ascii="Times New Roman" w:hAnsi="Times New Roman" w:cs="Times New Roman"/>
          <w:i/>
          <w:sz w:val="20"/>
          <w:szCs w:val="20"/>
        </w:rPr>
        <w:t>XC</w:t>
      </w:r>
      <w:r w:rsidRPr="0089051B">
        <w:rPr>
          <w:rFonts w:ascii="Times New Roman" w:hAnsi="Times New Roman" w:cs="Times New Roman"/>
          <w:sz w:val="20"/>
          <w:szCs w:val="20"/>
        </w:rPr>
        <w:t xml:space="preserve">, EU:C:2018:853.  However, the Court continues to identify certain disputes subject to particular requirements as regards </w:t>
      </w:r>
      <w:r w:rsidRPr="00CF3378">
        <w:rPr>
          <w:rFonts w:ascii="Times New Roman" w:hAnsi="Times New Roman" w:cs="Times New Roman"/>
          <w:i/>
          <w:sz w:val="20"/>
          <w:szCs w:val="20"/>
        </w:rPr>
        <w:t>res judicata</w:t>
      </w:r>
      <w:r w:rsidRPr="0089051B">
        <w:rPr>
          <w:rFonts w:ascii="Times New Roman" w:hAnsi="Times New Roman" w:cs="Times New Roman"/>
          <w:sz w:val="20"/>
          <w:szCs w:val="20"/>
        </w:rPr>
        <w:t xml:space="preserve">: consider, e.g. Case C-119/05, </w:t>
      </w:r>
      <w:proofErr w:type="spellStart"/>
      <w:r w:rsidRPr="0089051B">
        <w:rPr>
          <w:rFonts w:ascii="Times New Roman" w:hAnsi="Times New Roman" w:cs="Times New Roman"/>
          <w:i/>
          <w:sz w:val="20"/>
          <w:szCs w:val="20"/>
        </w:rPr>
        <w:t>Lucchini</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:C:2007:434</w:t>
      </w:r>
      <w:proofErr w:type="gramEnd"/>
      <w:r w:rsidRPr="0089051B">
        <w:rPr>
          <w:rFonts w:ascii="Times New Roman" w:hAnsi="Times New Roman" w:cs="Times New Roman"/>
          <w:sz w:val="20"/>
          <w:szCs w:val="20"/>
        </w:rPr>
        <w:t xml:space="preserve">; cf. subsequent rulings, e.g. Case C-2/08, </w:t>
      </w:r>
      <w:proofErr w:type="spellStart"/>
      <w:r w:rsidRPr="0089051B">
        <w:rPr>
          <w:rFonts w:ascii="Times New Roman" w:hAnsi="Times New Roman" w:cs="Times New Roman"/>
          <w:i/>
          <w:sz w:val="20"/>
          <w:szCs w:val="20"/>
        </w:rPr>
        <w:t>Fallimento</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Olimpiclub</w:t>
      </w:r>
      <w:proofErr w:type="spellEnd"/>
      <w:r w:rsidRPr="0089051B">
        <w:rPr>
          <w:rFonts w:ascii="Times New Roman" w:hAnsi="Times New Roman" w:cs="Times New Roman"/>
          <w:sz w:val="20"/>
          <w:szCs w:val="20"/>
        </w:rPr>
        <w:t xml:space="preserve">, EU:C:2009:506; Case C-507/08,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Slovakia</w:t>
      </w:r>
      <w:r w:rsidRPr="0089051B">
        <w:rPr>
          <w:rFonts w:ascii="Times New Roman" w:hAnsi="Times New Roman" w:cs="Times New Roman"/>
          <w:sz w:val="20"/>
          <w:szCs w:val="20"/>
        </w:rPr>
        <w:t xml:space="preserve">, EU:C:2010:802; Case C-505/14, </w:t>
      </w:r>
      <w:proofErr w:type="spellStart"/>
      <w:r w:rsidRPr="0089051B">
        <w:rPr>
          <w:rFonts w:ascii="Times New Roman" w:hAnsi="Times New Roman" w:cs="Times New Roman"/>
          <w:i/>
          <w:sz w:val="20"/>
          <w:szCs w:val="20"/>
        </w:rPr>
        <w:t>Klausner</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Holz</w:t>
      </w:r>
      <w:proofErr w:type="spellEnd"/>
      <w:r w:rsidRPr="0089051B">
        <w:rPr>
          <w:rFonts w:ascii="Times New Roman" w:hAnsi="Times New Roman" w:cs="Times New Roman"/>
          <w:i/>
          <w:sz w:val="20"/>
          <w:szCs w:val="20"/>
        </w:rPr>
        <w:t xml:space="preserve"> Niedersachsen</w:t>
      </w:r>
      <w:r w:rsidRPr="0089051B">
        <w:rPr>
          <w:rFonts w:ascii="Times New Roman" w:hAnsi="Times New Roman" w:cs="Times New Roman"/>
          <w:sz w:val="20"/>
          <w:szCs w:val="20"/>
        </w:rPr>
        <w:t>, EU:C:2015:742.</w:t>
      </w:r>
    </w:p>
  </w:footnote>
  <w:footnote w:id="69">
    <w:p w14:paraId="7A3A40A7" w14:textId="15BD7C08"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C-126/97, </w:t>
      </w:r>
      <w:r w:rsidRPr="0089051B">
        <w:rPr>
          <w:rFonts w:ascii="Times New Roman" w:hAnsi="Times New Roman" w:cs="Times New Roman"/>
          <w:i/>
          <w:sz w:val="20"/>
          <w:szCs w:val="20"/>
        </w:rPr>
        <w:t>Eco Swiss China Time</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:C:1999:269</w:t>
      </w:r>
      <w:proofErr w:type="gramEnd"/>
      <w:r w:rsidRPr="0089051B">
        <w:rPr>
          <w:rFonts w:ascii="Times New Roman" w:hAnsi="Times New Roman" w:cs="Times New Roman"/>
          <w:sz w:val="20"/>
          <w:szCs w:val="20"/>
        </w:rPr>
        <w:t xml:space="preserve">; Case C-213/13, </w:t>
      </w:r>
      <w:proofErr w:type="spellStart"/>
      <w:r w:rsidRPr="0089051B">
        <w:rPr>
          <w:rFonts w:ascii="Times New Roman" w:hAnsi="Times New Roman" w:cs="Times New Roman"/>
          <w:i/>
          <w:sz w:val="20"/>
          <w:szCs w:val="20"/>
        </w:rPr>
        <w:t>Impresa</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Pizzarotti</w:t>
      </w:r>
      <w:proofErr w:type="spellEnd"/>
      <w:r w:rsidRPr="0089051B">
        <w:rPr>
          <w:rFonts w:ascii="Times New Roman" w:hAnsi="Times New Roman" w:cs="Times New Roman"/>
          <w:sz w:val="20"/>
          <w:szCs w:val="20"/>
        </w:rPr>
        <w:t xml:space="preserve">, EU:C:2014:2067.  </w:t>
      </w:r>
    </w:p>
  </w:footnote>
  <w:footnote w:id="70">
    <w:p w14:paraId="24605C1A" w14:textId="215BB0E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O</w:t>
      </w:r>
      <w:r>
        <w:rPr>
          <w:rFonts w:ascii="Times New Roman" w:hAnsi="Times New Roman" w:cs="Times New Roman"/>
          <w:sz w:val="20"/>
          <w:szCs w:val="20"/>
        </w:rPr>
        <w:t>.</w:t>
      </w:r>
      <w:r w:rsidRPr="0089051B">
        <w:rPr>
          <w:rFonts w:ascii="Times New Roman" w:hAnsi="Times New Roman" w:cs="Times New Roman"/>
          <w:sz w:val="20"/>
          <w:szCs w:val="20"/>
        </w:rPr>
        <w:t>J</w:t>
      </w:r>
      <w:r>
        <w:rPr>
          <w:rFonts w:ascii="Times New Roman" w:hAnsi="Times New Roman" w:cs="Times New Roman"/>
          <w:sz w:val="20"/>
          <w:szCs w:val="20"/>
        </w:rPr>
        <w:t>. 1993,</w:t>
      </w:r>
      <w:r w:rsidRPr="0089051B">
        <w:rPr>
          <w:rFonts w:ascii="Times New Roman" w:hAnsi="Times New Roman" w:cs="Times New Roman"/>
          <w:sz w:val="20"/>
          <w:szCs w:val="20"/>
        </w:rPr>
        <w:t xml:space="preserve"> L</w:t>
      </w:r>
      <w:r>
        <w:rPr>
          <w:rFonts w:ascii="Times New Roman" w:hAnsi="Times New Roman" w:cs="Times New Roman"/>
          <w:sz w:val="20"/>
          <w:szCs w:val="20"/>
        </w:rPr>
        <w:t xml:space="preserve"> </w:t>
      </w:r>
      <w:r w:rsidRPr="0089051B">
        <w:rPr>
          <w:rFonts w:ascii="Times New Roman" w:hAnsi="Times New Roman" w:cs="Times New Roman"/>
          <w:sz w:val="20"/>
          <w:szCs w:val="20"/>
        </w:rPr>
        <w:t xml:space="preserve">95/29.  </w:t>
      </w:r>
    </w:p>
  </w:footnote>
  <w:footnote w:id="71">
    <w:p w14:paraId="5F2EA942" w14:textId="42D902B6"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Cases C-154/15, C-307/15 and C-308/15, </w:t>
      </w:r>
      <w:r w:rsidRPr="0089051B">
        <w:rPr>
          <w:rFonts w:ascii="Times New Roman" w:hAnsi="Times New Roman" w:cs="Times New Roman"/>
          <w:i/>
          <w:sz w:val="20"/>
          <w:szCs w:val="20"/>
        </w:rPr>
        <w:t xml:space="preserve">Gutiérrez </w:t>
      </w:r>
      <w:proofErr w:type="spellStart"/>
      <w:r w:rsidRPr="0089051B">
        <w:rPr>
          <w:rFonts w:ascii="Times New Roman" w:hAnsi="Times New Roman" w:cs="Times New Roman"/>
          <w:i/>
          <w:sz w:val="20"/>
          <w:szCs w:val="20"/>
        </w:rPr>
        <w:t>Naranjo</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:C:2016:980</w:t>
      </w:r>
      <w:proofErr w:type="gramEnd"/>
      <w:r w:rsidRPr="0089051B">
        <w:rPr>
          <w:rFonts w:ascii="Times New Roman" w:hAnsi="Times New Roman" w:cs="Times New Roman"/>
          <w:sz w:val="20"/>
          <w:szCs w:val="20"/>
        </w:rPr>
        <w:t xml:space="preserve">.  See further, e.g. </w:t>
      </w:r>
      <w:proofErr w:type="spellStart"/>
      <w:r w:rsidRPr="0089051B">
        <w:rPr>
          <w:rFonts w:ascii="Times New Roman" w:hAnsi="Times New Roman" w:cs="Times New Roman"/>
          <w:sz w:val="20"/>
          <w:szCs w:val="20"/>
        </w:rPr>
        <w:t>Leskinen</w:t>
      </w:r>
      <w:proofErr w:type="spellEnd"/>
      <w:r w:rsidRPr="0089051B">
        <w:rPr>
          <w:rFonts w:ascii="Times New Roman" w:hAnsi="Times New Roman" w:cs="Times New Roman"/>
          <w:sz w:val="20"/>
          <w:szCs w:val="20"/>
        </w:rPr>
        <w:t xml:space="preserve"> and de </w:t>
      </w:r>
      <w:proofErr w:type="spellStart"/>
      <w:r w:rsidRPr="0089051B">
        <w:rPr>
          <w:rFonts w:ascii="Times New Roman" w:hAnsi="Times New Roman" w:cs="Times New Roman"/>
          <w:sz w:val="20"/>
          <w:szCs w:val="20"/>
        </w:rPr>
        <w:t>Elizalde</w:t>
      </w:r>
      <w:proofErr w:type="spellEnd"/>
      <w:r w:rsidRPr="0089051B">
        <w:rPr>
          <w:rFonts w:ascii="Times New Roman" w:hAnsi="Times New Roman" w:cs="Times New Roman"/>
          <w:sz w:val="20"/>
          <w:szCs w:val="20"/>
        </w:rPr>
        <w:t xml:space="preserve">, “The control of terms that define the essential obligations of the parties under the Unfair Contract Terms Directive: </w:t>
      </w:r>
      <w:r w:rsidRPr="0089051B">
        <w:rPr>
          <w:rFonts w:ascii="Times New Roman" w:hAnsi="Times New Roman" w:cs="Times New Roman"/>
          <w:i/>
          <w:sz w:val="20"/>
          <w:szCs w:val="20"/>
        </w:rPr>
        <w:t xml:space="preserve">Gutiérrez </w:t>
      </w:r>
      <w:proofErr w:type="spellStart"/>
      <w:r w:rsidRPr="0089051B">
        <w:rPr>
          <w:rFonts w:ascii="Times New Roman" w:hAnsi="Times New Roman" w:cs="Times New Roman"/>
          <w:i/>
          <w:sz w:val="20"/>
          <w:szCs w:val="20"/>
        </w:rPr>
        <w:t>Naranjo</w:t>
      </w:r>
      <w:proofErr w:type="spellEnd"/>
      <w:r w:rsidRPr="0089051B">
        <w:rPr>
          <w:rFonts w:ascii="Times New Roman" w:hAnsi="Times New Roman" w:cs="Times New Roman"/>
          <w:i/>
          <w:sz w:val="20"/>
          <w:szCs w:val="20"/>
        </w:rPr>
        <w:t>”</w:t>
      </w:r>
      <w:r w:rsidRPr="009E5694">
        <w:rPr>
          <w:rFonts w:ascii="Times New Roman" w:hAnsi="Times New Roman" w:cs="Times New Roman"/>
          <w:sz w:val="20"/>
          <w:szCs w:val="20"/>
        </w:rPr>
        <w:t xml:space="preserve">, </w:t>
      </w:r>
      <w:r w:rsidRPr="0089051B">
        <w:rPr>
          <w:rFonts w:ascii="Times New Roman" w:hAnsi="Times New Roman" w:cs="Times New Roman"/>
          <w:sz w:val="20"/>
          <w:szCs w:val="20"/>
        </w:rPr>
        <w:t xml:space="preserve">55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(2018), </w:t>
      </w:r>
      <w:r w:rsidRPr="0089051B">
        <w:rPr>
          <w:rFonts w:ascii="Times New Roman" w:hAnsi="Times New Roman" w:cs="Times New Roman"/>
          <w:sz w:val="20"/>
          <w:szCs w:val="20"/>
        </w:rPr>
        <w:t xml:space="preserve">1595.  Consider also, e.g. Case 106/77, </w:t>
      </w:r>
      <w:r w:rsidRPr="0089051B">
        <w:rPr>
          <w:rFonts w:ascii="Times New Roman" w:hAnsi="Times New Roman" w:cs="Times New Roman"/>
          <w:i/>
          <w:sz w:val="20"/>
          <w:szCs w:val="20"/>
        </w:rPr>
        <w:t>Barra</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:C:1988:42</w:t>
      </w:r>
      <w:proofErr w:type="gramEnd"/>
      <w:r w:rsidRPr="0089051B">
        <w:rPr>
          <w:rFonts w:ascii="Times New Roman" w:hAnsi="Times New Roman" w:cs="Times New Roman"/>
          <w:sz w:val="20"/>
          <w:szCs w:val="20"/>
        </w:rPr>
        <w:t xml:space="preserve">.  Contrast with, e.g. Case C-231/96, </w:t>
      </w:r>
      <w:proofErr w:type="spellStart"/>
      <w:r w:rsidRPr="0089051B">
        <w:rPr>
          <w:rFonts w:ascii="Times New Roman" w:hAnsi="Times New Roman" w:cs="Times New Roman"/>
          <w:i/>
          <w:sz w:val="20"/>
          <w:szCs w:val="20"/>
        </w:rPr>
        <w:t>Edis</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:C:1998:401</w:t>
      </w:r>
      <w:proofErr w:type="gramEnd"/>
      <w:r w:rsidRPr="0089051B">
        <w:rPr>
          <w:rFonts w:ascii="Times New Roman" w:hAnsi="Times New Roman" w:cs="Times New Roman"/>
          <w:sz w:val="20"/>
          <w:szCs w:val="20"/>
        </w:rPr>
        <w:t xml:space="preserve">; Case C-50/96, </w:t>
      </w:r>
      <w:proofErr w:type="spellStart"/>
      <w:r w:rsidRPr="0089051B">
        <w:rPr>
          <w:rFonts w:ascii="Times New Roman" w:hAnsi="Times New Roman" w:cs="Times New Roman"/>
          <w:i/>
          <w:sz w:val="20"/>
          <w:szCs w:val="20"/>
        </w:rPr>
        <w:t>Schröder</w:t>
      </w:r>
      <w:proofErr w:type="spellEnd"/>
      <w:r w:rsidRPr="0089051B">
        <w:rPr>
          <w:rFonts w:ascii="Times New Roman" w:hAnsi="Times New Roman" w:cs="Times New Roman"/>
          <w:sz w:val="20"/>
          <w:szCs w:val="20"/>
        </w:rPr>
        <w:t>, EU:C:2000:72.</w:t>
      </w:r>
    </w:p>
  </w:footnote>
  <w:footnote w:id="72">
    <w:p w14:paraId="5E661A11" w14:textId="7154DB4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C-105/14, </w:t>
      </w:r>
      <w:proofErr w:type="spellStart"/>
      <w:r w:rsidRPr="0089051B">
        <w:rPr>
          <w:rFonts w:ascii="Times New Roman" w:hAnsi="Times New Roman" w:cs="Times New Roman"/>
          <w:i/>
          <w:sz w:val="20"/>
          <w:szCs w:val="20"/>
        </w:rPr>
        <w:t>Taricco</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:C:2015:555</w:t>
      </w:r>
      <w:proofErr w:type="gramEnd"/>
      <w:r w:rsidRPr="0089051B">
        <w:rPr>
          <w:rFonts w:ascii="Times New Roman" w:hAnsi="Times New Roman" w:cs="Times New Roman"/>
          <w:sz w:val="20"/>
          <w:szCs w:val="20"/>
        </w:rPr>
        <w:t xml:space="preserve">.  See further, e.g. Timmerman, “Balancing effective criminal sanctions with effective fundamental rights protection in cases of VAT fraud: </w:t>
      </w:r>
      <w:proofErr w:type="spellStart"/>
      <w:r w:rsidRPr="0089051B">
        <w:rPr>
          <w:rFonts w:ascii="Times New Roman" w:hAnsi="Times New Roman" w:cs="Times New Roman"/>
          <w:i/>
          <w:sz w:val="20"/>
          <w:szCs w:val="20"/>
        </w:rPr>
        <w:t>Taricco</w:t>
      </w:r>
      <w:proofErr w:type="spellEnd"/>
      <w:r w:rsidRPr="0089051B">
        <w:rPr>
          <w:rFonts w:ascii="Times New Roman" w:hAnsi="Times New Roman" w:cs="Times New Roman"/>
          <w:sz w:val="20"/>
          <w:szCs w:val="20"/>
        </w:rPr>
        <w:t>”</w:t>
      </w:r>
      <w:r>
        <w:rPr>
          <w:rFonts w:ascii="Times New Roman" w:hAnsi="Times New Roman" w:cs="Times New Roman"/>
          <w:sz w:val="20"/>
          <w:szCs w:val="20"/>
        </w:rPr>
        <w:t>,</w:t>
      </w:r>
      <w:r w:rsidRPr="0089051B">
        <w:rPr>
          <w:rFonts w:ascii="Times New Roman" w:hAnsi="Times New Roman" w:cs="Times New Roman"/>
          <w:sz w:val="20"/>
          <w:szCs w:val="20"/>
        </w:rPr>
        <w:t xml:space="preserve"> 53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(2016), </w:t>
      </w:r>
      <w:r w:rsidRPr="0089051B">
        <w:rPr>
          <w:rFonts w:ascii="Times New Roman" w:hAnsi="Times New Roman" w:cs="Times New Roman"/>
          <w:sz w:val="20"/>
          <w:szCs w:val="20"/>
        </w:rPr>
        <w:t xml:space="preserve">779.  </w:t>
      </w:r>
    </w:p>
  </w:footnote>
  <w:footnote w:id="73">
    <w:p w14:paraId="144204C7" w14:textId="5638D7B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C-42/17, </w:t>
      </w:r>
      <w:r w:rsidRPr="0089051B">
        <w:rPr>
          <w:rFonts w:ascii="Times New Roman" w:hAnsi="Times New Roman" w:cs="Times New Roman"/>
          <w:i/>
          <w:sz w:val="20"/>
          <w:szCs w:val="20"/>
        </w:rPr>
        <w:t>M.A.S.</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:C:2017:936</w:t>
      </w:r>
      <w:proofErr w:type="gramEnd"/>
      <w:r w:rsidRPr="0089051B">
        <w:rPr>
          <w:rFonts w:ascii="Times New Roman" w:hAnsi="Times New Roman" w:cs="Times New Roman"/>
          <w:sz w:val="20"/>
          <w:szCs w:val="20"/>
        </w:rPr>
        <w:t xml:space="preserve">.  Consider also, e.g. Case C-310/16, </w:t>
      </w:r>
      <w:proofErr w:type="spellStart"/>
      <w:r w:rsidRPr="0089051B">
        <w:rPr>
          <w:rFonts w:ascii="Times New Roman" w:hAnsi="Times New Roman" w:cs="Times New Roman"/>
          <w:i/>
          <w:sz w:val="20"/>
          <w:szCs w:val="20"/>
        </w:rPr>
        <w:t>Dzivev</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:C:2019:30</w:t>
      </w:r>
      <w:proofErr w:type="gramEnd"/>
      <w:r w:rsidRPr="0089051B">
        <w:rPr>
          <w:rFonts w:ascii="Times New Roman" w:hAnsi="Times New Roman" w:cs="Times New Roman"/>
          <w:sz w:val="20"/>
          <w:szCs w:val="20"/>
        </w:rPr>
        <w:t xml:space="preserve">.  See further, e.g. </w:t>
      </w:r>
      <w:proofErr w:type="spellStart"/>
      <w:r w:rsidRPr="0089051B">
        <w:rPr>
          <w:rFonts w:ascii="Times New Roman" w:hAnsi="Times New Roman" w:cs="Times New Roman"/>
          <w:sz w:val="20"/>
          <w:szCs w:val="20"/>
        </w:rPr>
        <w:t>Rauchegger</w:t>
      </w:r>
      <w:proofErr w:type="spellEnd"/>
      <w:r w:rsidRPr="0089051B">
        <w:rPr>
          <w:rFonts w:ascii="Times New Roman" w:hAnsi="Times New Roman" w:cs="Times New Roman"/>
          <w:sz w:val="20"/>
          <w:szCs w:val="20"/>
        </w:rPr>
        <w:t xml:space="preserve">, “National constitutional rights and the primacy of EU law: </w:t>
      </w:r>
      <w:r w:rsidRPr="0089051B">
        <w:rPr>
          <w:rFonts w:ascii="Times New Roman" w:hAnsi="Times New Roman" w:cs="Times New Roman"/>
          <w:i/>
          <w:sz w:val="20"/>
          <w:szCs w:val="20"/>
        </w:rPr>
        <w:t>M.A.S.</w:t>
      </w:r>
      <w:r w:rsidRPr="0089051B">
        <w:rPr>
          <w:rFonts w:ascii="Times New Roman" w:hAnsi="Times New Roman" w:cs="Times New Roman"/>
          <w:sz w:val="20"/>
          <w:szCs w:val="20"/>
        </w:rPr>
        <w:t>”</w:t>
      </w:r>
      <w:r>
        <w:rPr>
          <w:rFonts w:ascii="Times New Roman" w:hAnsi="Times New Roman" w:cs="Times New Roman"/>
          <w:sz w:val="20"/>
          <w:szCs w:val="20"/>
        </w:rPr>
        <w:t>,</w:t>
      </w:r>
      <w:r w:rsidRPr="0089051B">
        <w:rPr>
          <w:rFonts w:ascii="Times New Roman" w:hAnsi="Times New Roman" w:cs="Times New Roman"/>
          <w:sz w:val="20"/>
          <w:szCs w:val="20"/>
        </w:rPr>
        <w:t xml:space="preserve"> 55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(2018), </w:t>
      </w:r>
      <w:r w:rsidRPr="0089051B">
        <w:rPr>
          <w:rFonts w:ascii="Times New Roman" w:hAnsi="Times New Roman" w:cs="Times New Roman"/>
          <w:sz w:val="20"/>
          <w:szCs w:val="20"/>
        </w:rPr>
        <w:t xml:space="preserve">1521.  </w:t>
      </w:r>
    </w:p>
  </w:footnote>
  <w:footnote w:id="74">
    <w:p w14:paraId="30BDD2E3" w14:textId="77C1BDCA"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C-441/14, </w:t>
      </w:r>
      <w:r w:rsidRPr="0089051B">
        <w:rPr>
          <w:rFonts w:ascii="Times New Roman" w:hAnsi="Times New Roman" w:cs="Times New Roman"/>
          <w:i/>
          <w:sz w:val="20"/>
          <w:szCs w:val="20"/>
        </w:rPr>
        <w:t xml:space="preserve">DI acting on behalf of </w:t>
      </w:r>
      <w:proofErr w:type="spellStart"/>
      <w:r w:rsidRPr="0089051B">
        <w:rPr>
          <w:rFonts w:ascii="Times New Roman" w:hAnsi="Times New Roman" w:cs="Times New Roman"/>
          <w:i/>
          <w:sz w:val="20"/>
          <w:szCs w:val="20"/>
        </w:rPr>
        <w:t>Ajos</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:C:2016:278</w:t>
      </w:r>
      <w:proofErr w:type="gramEnd"/>
      <w:r w:rsidRPr="0089051B">
        <w:rPr>
          <w:rFonts w:ascii="Times New Roman" w:hAnsi="Times New Roman" w:cs="Times New Roman"/>
          <w:sz w:val="20"/>
          <w:szCs w:val="20"/>
        </w:rPr>
        <w:t xml:space="preserve">.  </w:t>
      </w:r>
    </w:p>
  </w:footnote>
  <w:footnote w:id="75">
    <w:p w14:paraId="1809F3CE" w14:textId="094A2160" w:rsidR="00F9432E" w:rsidRPr="0089051B" w:rsidRDefault="00F9432E">
      <w:pPr>
        <w:pStyle w:val="FootnoteText"/>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Judgment of the Danish Supreme Court in </w:t>
      </w:r>
      <w:r w:rsidRPr="0089051B">
        <w:rPr>
          <w:rFonts w:ascii="Times New Roman" w:hAnsi="Times New Roman" w:cs="Times New Roman"/>
          <w:sz w:val="20"/>
          <w:szCs w:val="20"/>
          <w:lang w:val="en-US"/>
        </w:rPr>
        <w:t xml:space="preserve">Case 15/2014 </w:t>
      </w:r>
      <w:r w:rsidRPr="0089051B">
        <w:rPr>
          <w:rFonts w:ascii="Times New Roman" w:hAnsi="Times New Roman" w:cs="Times New Roman"/>
          <w:i/>
          <w:sz w:val="20"/>
          <w:szCs w:val="20"/>
          <w:lang w:val="en-US"/>
        </w:rPr>
        <w:t xml:space="preserve">DI acting on behalf of </w:t>
      </w:r>
      <w:proofErr w:type="spellStart"/>
      <w:r w:rsidRPr="0089051B">
        <w:rPr>
          <w:rFonts w:ascii="Times New Roman" w:hAnsi="Times New Roman" w:cs="Times New Roman"/>
          <w:i/>
          <w:sz w:val="20"/>
          <w:szCs w:val="20"/>
          <w:lang w:val="en-US"/>
        </w:rPr>
        <w:t>Ajos</w:t>
      </w:r>
      <w:proofErr w:type="spellEnd"/>
      <w:r w:rsidRPr="0089051B">
        <w:rPr>
          <w:rFonts w:ascii="Times New Roman" w:hAnsi="Times New Roman" w:cs="Times New Roman"/>
          <w:i/>
          <w:sz w:val="20"/>
          <w:szCs w:val="20"/>
          <w:lang w:val="en-US"/>
        </w:rPr>
        <w:t xml:space="preserve">, </w:t>
      </w:r>
      <w:r w:rsidRPr="009E5694">
        <w:rPr>
          <w:rFonts w:ascii="Times New Roman" w:hAnsi="Times New Roman" w:cs="Times New Roman"/>
          <w:sz w:val="20"/>
          <w:szCs w:val="20"/>
          <w:lang w:val="en-US"/>
        </w:rPr>
        <w:t xml:space="preserve">6 </w:t>
      </w:r>
      <w:r w:rsidRPr="0089051B">
        <w:rPr>
          <w:rFonts w:ascii="Times New Roman" w:hAnsi="Times New Roman" w:cs="Times New Roman"/>
          <w:sz w:val="20"/>
          <w:szCs w:val="20"/>
          <w:lang w:val="en-US"/>
        </w:rPr>
        <w:t xml:space="preserve">December 2016.  See further, e.g. </w:t>
      </w:r>
      <w:proofErr w:type="spellStart"/>
      <w:r w:rsidRPr="0089051B">
        <w:rPr>
          <w:rFonts w:ascii="Times New Roman" w:hAnsi="Times New Roman" w:cs="Times New Roman"/>
          <w:sz w:val="20"/>
          <w:szCs w:val="20"/>
          <w:lang w:val="en-US"/>
        </w:rPr>
        <w:t>Maciejewski</w:t>
      </w:r>
      <w:proofErr w:type="spellEnd"/>
      <w:r w:rsidRPr="0089051B">
        <w:rPr>
          <w:rFonts w:ascii="Times New Roman" w:hAnsi="Times New Roman" w:cs="Times New Roman"/>
          <w:sz w:val="20"/>
          <w:szCs w:val="20"/>
          <w:lang w:val="en-US"/>
        </w:rPr>
        <w:t xml:space="preserve"> and </w:t>
      </w:r>
      <w:proofErr w:type="spellStart"/>
      <w:r w:rsidRPr="0089051B">
        <w:rPr>
          <w:rFonts w:ascii="Times New Roman" w:hAnsi="Times New Roman" w:cs="Times New Roman"/>
          <w:sz w:val="20"/>
          <w:szCs w:val="20"/>
          <w:lang w:val="en-US"/>
        </w:rPr>
        <w:t>Theilen</w:t>
      </w:r>
      <w:proofErr w:type="spellEnd"/>
      <w:r w:rsidRPr="0089051B">
        <w:rPr>
          <w:rFonts w:ascii="Times New Roman" w:hAnsi="Times New Roman" w:cs="Times New Roman"/>
          <w:sz w:val="20"/>
          <w:szCs w:val="20"/>
          <w:lang w:val="en-US"/>
        </w:rPr>
        <w:t>, “Temporal aspects of the interaction between national and EU law: reintroducing the protection of legitimate expectation”</w:t>
      </w:r>
      <w:r>
        <w:rPr>
          <w:rFonts w:ascii="Times New Roman" w:hAnsi="Times New Roman" w:cs="Times New Roman"/>
          <w:sz w:val="20"/>
          <w:szCs w:val="20"/>
          <w:lang w:val="en-US"/>
        </w:rPr>
        <w:t>,</w:t>
      </w:r>
      <w:r w:rsidRPr="0089051B">
        <w:rPr>
          <w:rFonts w:ascii="Times New Roman" w:hAnsi="Times New Roman" w:cs="Times New Roman"/>
          <w:sz w:val="20"/>
          <w:szCs w:val="20"/>
          <w:lang w:val="en-US"/>
        </w:rPr>
        <w:t xml:space="preserve"> 42 </w:t>
      </w:r>
      <w:r>
        <w:rPr>
          <w:rFonts w:ascii="Times New Roman" w:hAnsi="Times New Roman" w:cs="Times New Roman"/>
          <w:sz w:val="20"/>
          <w:szCs w:val="20"/>
          <w:lang w:val="en-US"/>
        </w:rPr>
        <w:t>EL Rev.</w:t>
      </w:r>
      <w:r w:rsidRPr="0089051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(2017), </w:t>
      </w:r>
      <w:r w:rsidRPr="0089051B">
        <w:rPr>
          <w:rFonts w:ascii="Times New Roman" w:hAnsi="Times New Roman" w:cs="Times New Roman"/>
          <w:sz w:val="20"/>
          <w:szCs w:val="20"/>
          <w:lang w:val="en-US"/>
        </w:rPr>
        <w:t>706.</w:t>
      </w:r>
    </w:p>
  </w:footnote>
  <w:footnote w:id="76">
    <w:p w14:paraId="093EE061" w14:textId="7B259021"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further: </w:t>
      </w:r>
      <w:proofErr w:type="spellStart"/>
      <w:r w:rsidRPr="0089051B">
        <w:rPr>
          <w:rFonts w:ascii="Times New Roman" w:hAnsi="Times New Roman" w:cs="Times New Roman"/>
          <w:sz w:val="20"/>
          <w:szCs w:val="20"/>
          <w:lang w:val="en-US"/>
        </w:rPr>
        <w:t>Holdgaard</w:t>
      </w:r>
      <w:proofErr w:type="spellEnd"/>
      <w:r w:rsidRPr="0089051B">
        <w:rPr>
          <w:rFonts w:ascii="Times New Roman" w:hAnsi="Times New Roman" w:cs="Times New Roman"/>
          <w:sz w:val="20"/>
          <w:szCs w:val="20"/>
          <w:lang w:val="en-US"/>
        </w:rPr>
        <w:t xml:space="preserve">, </w:t>
      </w:r>
      <w:proofErr w:type="spellStart"/>
      <w:r w:rsidRPr="0089051B">
        <w:rPr>
          <w:rFonts w:ascii="Times New Roman" w:hAnsi="Times New Roman" w:cs="Times New Roman"/>
          <w:sz w:val="20"/>
          <w:szCs w:val="20"/>
          <w:lang w:val="en-US"/>
        </w:rPr>
        <w:t>Elkan</w:t>
      </w:r>
      <w:proofErr w:type="spellEnd"/>
      <w:r w:rsidRPr="0089051B">
        <w:rPr>
          <w:rFonts w:ascii="Times New Roman" w:hAnsi="Times New Roman" w:cs="Times New Roman"/>
          <w:sz w:val="20"/>
          <w:szCs w:val="20"/>
          <w:lang w:val="en-US"/>
        </w:rPr>
        <w:t xml:space="preserve"> and </w:t>
      </w:r>
      <w:proofErr w:type="spellStart"/>
      <w:r w:rsidRPr="0089051B">
        <w:rPr>
          <w:rFonts w:ascii="Times New Roman" w:hAnsi="Times New Roman" w:cs="Times New Roman"/>
          <w:sz w:val="20"/>
          <w:szCs w:val="20"/>
          <w:lang w:val="en-US"/>
        </w:rPr>
        <w:t>Krohn</w:t>
      </w:r>
      <w:proofErr w:type="spellEnd"/>
      <w:r w:rsidRPr="0089051B">
        <w:rPr>
          <w:rFonts w:ascii="Times New Roman" w:hAnsi="Times New Roman" w:cs="Times New Roman"/>
          <w:sz w:val="20"/>
          <w:szCs w:val="20"/>
          <w:lang w:val="en-US"/>
        </w:rPr>
        <w:t xml:space="preserve"> </w:t>
      </w:r>
      <w:proofErr w:type="spellStart"/>
      <w:r w:rsidRPr="0089051B">
        <w:rPr>
          <w:rFonts w:ascii="Times New Roman" w:hAnsi="Times New Roman" w:cs="Times New Roman"/>
          <w:sz w:val="20"/>
          <w:szCs w:val="20"/>
          <w:lang w:val="en-US"/>
        </w:rPr>
        <w:t>Schaldemose</w:t>
      </w:r>
      <w:proofErr w:type="spellEnd"/>
      <w:r w:rsidRPr="0089051B">
        <w:rPr>
          <w:rFonts w:ascii="Times New Roman" w:hAnsi="Times New Roman" w:cs="Times New Roman"/>
          <w:sz w:val="20"/>
          <w:szCs w:val="20"/>
          <w:lang w:val="en-US"/>
        </w:rPr>
        <w:t xml:space="preserve">, “From cooperation to collision: The ECJ’s </w:t>
      </w:r>
      <w:proofErr w:type="spellStart"/>
      <w:r w:rsidRPr="0089051B">
        <w:rPr>
          <w:rFonts w:ascii="Times New Roman" w:hAnsi="Times New Roman" w:cs="Times New Roman"/>
          <w:i/>
          <w:sz w:val="20"/>
          <w:szCs w:val="20"/>
          <w:lang w:val="en-US"/>
        </w:rPr>
        <w:t>Ajos</w:t>
      </w:r>
      <w:proofErr w:type="spellEnd"/>
      <w:r w:rsidRPr="0089051B">
        <w:rPr>
          <w:rFonts w:ascii="Times New Roman" w:hAnsi="Times New Roman" w:cs="Times New Roman"/>
          <w:sz w:val="20"/>
          <w:szCs w:val="20"/>
          <w:lang w:val="en-US"/>
        </w:rPr>
        <w:t xml:space="preserve"> ruling and the Danish Supreme Court’s refusal to comply”</w:t>
      </w:r>
      <w:r>
        <w:rPr>
          <w:rFonts w:ascii="Times New Roman" w:hAnsi="Times New Roman" w:cs="Times New Roman"/>
          <w:sz w:val="20"/>
          <w:szCs w:val="20"/>
          <w:lang w:val="en-US"/>
        </w:rPr>
        <w:t>,</w:t>
      </w:r>
      <w:r w:rsidRPr="0089051B">
        <w:rPr>
          <w:rFonts w:ascii="Times New Roman" w:hAnsi="Times New Roman" w:cs="Times New Roman"/>
          <w:sz w:val="20"/>
          <w:szCs w:val="20"/>
          <w:lang w:val="en-US"/>
        </w:rPr>
        <w:t xml:space="preserve"> 55 </w:t>
      </w:r>
      <w:r>
        <w:rPr>
          <w:rFonts w:ascii="Times New Roman" w:hAnsi="Times New Roman" w:cs="Times New Roman"/>
          <w:sz w:val="20"/>
          <w:szCs w:val="20"/>
          <w:lang w:val="en-US"/>
        </w:rPr>
        <w:t>CML Rev.</w:t>
      </w:r>
      <w:r w:rsidRPr="0089051B">
        <w:rPr>
          <w:rFonts w:ascii="Times New Roman" w:hAnsi="Times New Roman" w:cs="Times New Roman"/>
          <w:sz w:val="20"/>
          <w:szCs w:val="20"/>
          <w:lang w:val="en-US"/>
        </w:rPr>
        <w:t xml:space="preserve"> (2018)</w:t>
      </w:r>
      <w:r>
        <w:rPr>
          <w:rFonts w:ascii="Times New Roman" w:hAnsi="Times New Roman" w:cs="Times New Roman"/>
          <w:sz w:val="20"/>
          <w:szCs w:val="20"/>
          <w:lang w:val="en-US"/>
        </w:rPr>
        <w:t>,</w:t>
      </w:r>
      <w:r w:rsidRPr="0089051B">
        <w:rPr>
          <w:rFonts w:ascii="Times New Roman" w:hAnsi="Times New Roman" w:cs="Times New Roman"/>
          <w:sz w:val="20"/>
          <w:szCs w:val="20"/>
          <w:lang w:val="en-US"/>
        </w:rPr>
        <w:t xml:space="preserve"> 17.  </w:t>
      </w:r>
    </w:p>
  </w:footnote>
  <w:footnote w:id="77">
    <w:p w14:paraId="6F920F5F" w14:textId="5E9AEEF6"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C-262/88, </w:t>
      </w:r>
      <w:r w:rsidRPr="0089051B">
        <w:rPr>
          <w:rFonts w:ascii="Times New Roman" w:hAnsi="Times New Roman" w:cs="Times New Roman"/>
          <w:i/>
          <w:sz w:val="20"/>
          <w:szCs w:val="20"/>
        </w:rPr>
        <w:t>Barber</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:C:1990:209</w:t>
      </w:r>
      <w:proofErr w:type="gramEnd"/>
      <w:r w:rsidRPr="0089051B">
        <w:rPr>
          <w:rFonts w:ascii="Times New Roman" w:hAnsi="Times New Roman" w:cs="Times New Roman"/>
          <w:sz w:val="20"/>
          <w:szCs w:val="20"/>
        </w:rPr>
        <w:t xml:space="preserve">.  </w:t>
      </w:r>
    </w:p>
  </w:footnote>
  <w:footnote w:id="78">
    <w:p w14:paraId="336AE1CE" w14:textId="621AE89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81/72,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Council</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:C:1973:60</w:t>
      </w:r>
      <w:proofErr w:type="gramEnd"/>
      <w:r w:rsidRPr="0089051B">
        <w:rPr>
          <w:rFonts w:ascii="Times New Roman" w:hAnsi="Times New Roman" w:cs="Times New Roman"/>
          <w:sz w:val="20"/>
          <w:szCs w:val="20"/>
        </w:rPr>
        <w:t xml:space="preserve">; Case 59/81,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Council</w:t>
      </w:r>
      <w:r w:rsidRPr="0089051B">
        <w:rPr>
          <w:rFonts w:ascii="Times New Roman" w:hAnsi="Times New Roman" w:cs="Times New Roman"/>
          <w:sz w:val="20"/>
          <w:szCs w:val="20"/>
        </w:rPr>
        <w:t xml:space="preserve">, EU:C:1982:332; Cases C-402/05 and C-415/05, </w:t>
      </w:r>
      <w:proofErr w:type="spellStart"/>
      <w:r w:rsidRPr="0089051B">
        <w:rPr>
          <w:rFonts w:ascii="Times New Roman" w:hAnsi="Times New Roman" w:cs="Times New Roman"/>
          <w:i/>
          <w:sz w:val="20"/>
          <w:szCs w:val="20"/>
        </w:rPr>
        <w:t>Kadi</w:t>
      </w:r>
      <w:proofErr w:type="spellEnd"/>
      <w:r w:rsidRPr="0089051B">
        <w:rPr>
          <w:rFonts w:ascii="Times New Roman" w:hAnsi="Times New Roman" w:cs="Times New Roman"/>
          <w:sz w:val="20"/>
          <w:szCs w:val="20"/>
        </w:rPr>
        <w:t xml:space="preserve">, EU:C:2008:461; Case C-166/07, </w:t>
      </w:r>
      <w:r w:rsidRPr="0089051B">
        <w:rPr>
          <w:rFonts w:ascii="Times New Roman" w:hAnsi="Times New Roman" w:cs="Times New Roman"/>
          <w:i/>
          <w:sz w:val="20"/>
          <w:szCs w:val="20"/>
        </w:rPr>
        <w:t>Parliament</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Council</w:t>
      </w:r>
      <w:r w:rsidRPr="0089051B">
        <w:rPr>
          <w:rFonts w:ascii="Times New Roman" w:hAnsi="Times New Roman" w:cs="Times New Roman"/>
          <w:sz w:val="20"/>
          <w:szCs w:val="20"/>
        </w:rPr>
        <w:t>, EU:C:2009:499.</w:t>
      </w:r>
    </w:p>
  </w:footnote>
  <w:footnote w:id="79">
    <w:p w14:paraId="5B2CD614" w14:textId="041BEC16"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C-333/07, </w:t>
      </w:r>
      <w:proofErr w:type="spellStart"/>
      <w:r w:rsidRPr="0089051B">
        <w:rPr>
          <w:rFonts w:ascii="Times New Roman" w:hAnsi="Times New Roman" w:cs="Times New Roman"/>
          <w:i/>
          <w:sz w:val="20"/>
          <w:szCs w:val="20"/>
        </w:rPr>
        <w:t>Société</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Régie</w:t>
      </w:r>
      <w:proofErr w:type="spellEnd"/>
      <w:r w:rsidRPr="0089051B">
        <w:rPr>
          <w:rFonts w:ascii="Times New Roman" w:hAnsi="Times New Roman" w:cs="Times New Roman"/>
          <w:i/>
          <w:sz w:val="20"/>
          <w:szCs w:val="20"/>
        </w:rPr>
        <w:t xml:space="preserve"> Networks</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:C:2008:764</w:t>
      </w:r>
      <w:proofErr w:type="gramEnd"/>
      <w:r w:rsidRPr="0089051B">
        <w:rPr>
          <w:rFonts w:ascii="Times New Roman" w:hAnsi="Times New Roman" w:cs="Times New Roman"/>
          <w:sz w:val="20"/>
          <w:szCs w:val="20"/>
        </w:rPr>
        <w:t>.</w:t>
      </w:r>
    </w:p>
  </w:footnote>
  <w:footnote w:id="80">
    <w:p w14:paraId="5C35FE9E" w14:textId="3E3CACDB"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e.g. Case C-157/02, </w:t>
      </w:r>
      <w:proofErr w:type="spellStart"/>
      <w:r w:rsidRPr="0089051B">
        <w:rPr>
          <w:rFonts w:ascii="Times New Roman" w:hAnsi="Times New Roman" w:cs="Times New Roman"/>
          <w:i/>
          <w:sz w:val="20"/>
          <w:szCs w:val="20"/>
        </w:rPr>
        <w:t>Rieser</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Internationale</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Transporte</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:C:2004:76</w:t>
      </w:r>
      <w:proofErr w:type="gramEnd"/>
      <w:r w:rsidRPr="0089051B">
        <w:rPr>
          <w:rFonts w:ascii="Times New Roman" w:hAnsi="Times New Roman" w:cs="Times New Roman"/>
          <w:sz w:val="20"/>
          <w:szCs w:val="20"/>
        </w:rPr>
        <w:t xml:space="preserve">.  </w:t>
      </w:r>
    </w:p>
  </w:footnote>
  <w:footnote w:id="81">
    <w:p w14:paraId="6483F1DE" w14:textId="29D302F6"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C-213/06 to C-233/06, </w:t>
      </w:r>
      <w:proofErr w:type="spellStart"/>
      <w:r w:rsidRPr="0089051B">
        <w:rPr>
          <w:rFonts w:ascii="Times New Roman" w:hAnsi="Times New Roman" w:cs="Times New Roman"/>
          <w:i/>
          <w:sz w:val="20"/>
          <w:szCs w:val="20"/>
        </w:rPr>
        <w:t>Jonkman</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:C:2007:373</w:t>
      </w:r>
      <w:proofErr w:type="gramEnd"/>
      <w:r w:rsidRPr="0089051B">
        <w:rPr>
          <w:rFonts w:ascii="Times New Roman" w:hAnsi="Times New Roman" w:cs="Times New Roman"/>
          <w:sz w:val="20"/>
          <w:szCs w:val="20"/>
        </w:rPr>
        <w:t xml:space="preserve">.  </w:t>
      </w:r>
    </w:p>
  </w:footnote>
  <w:footnote w:id="82">
    <w:p w14:paraId="516F6F5D" w14:textId="1F256E23"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C-186/11 and C-209/11, </w:t>
      </w:r>
      <w:proofErr w:type="spellStart"/>
      <w:r w:rsidRPr="0089051B">
        <w:rPr>
          <w:rFonts w:ascii="Times New Roman" w:hAnsi="Times New Roman" w:cs="Times New Roman"/>
          <w:i/>
          <w:sz w:val="20"/>
          <w:szCs w:val="20"/>
        </w:rPr>
        <w:t>Stanleybet</w:t>
      </w:r>
      <w:proofErr w:type="spellEnd"/>
      <w:r w:rsidRPr="0089051B">
        <w:rPr>
          <w:rFonts w:ascii="Times New Roman" w:hAnsi="Times New Roman" w:cs="Times New Roman"/>
          <w:i/>
          <w:sz w:val="20"/>
          <w:szCs w:val="20"/>
        </w:rPr>
        <w:t xml:space="preserve"> International</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:C:2013:33</w:t>
      </w:r>
      <w:proofErr w:type="gramEnd"/>
      <w:r w:rsidRPr="0089051B">
        <w:rPr>
          <w:rFonts w:ascii="Times New Roman" w:hAnsi="Times New Roman" w:cs="Times New Roman"/>
          <w:sz w:val="20"/>
          <w:szCs w:val="20"/>
        </w:rPr>
        <w:t xml:space="preserve">; Case C-612/15, </w:t>
      </w:r>
      <w:proofErr w:type="spellStart"/>
      <w:r w:rsidRPr="0089051B">
        <w:rPr>
          <w:rFonts w:ascii="Times New Roman" w:hAnsi="Times New Roman" w:cs="Times New Roman"/>
          <w:i/>
          <w:sz w:val="20"/>
          <w:szCs w:val="20"/>
        </w:rPr>
        <w:t>Kolev</w:t>
      </w:r>
      <w:proofErr w:type="spellEnd"/>
      <w:r w:rsidRPr="0089051B">
        <w:rPr>
          <w:rFonts w:ascii="Times New Roman" w:hAnsi="Times New Roman" w:cs="Times New Roman"/>
          <w:sz w:val="20"/>
          <w:szCs w:val="20"/>
        </w:rPr>
        <w:t xml:space="preserve">, EU:C:2018:392; Case C-310/16, </w:t>
      </w:r>
      <w:proofErr w:type="spellStart"/>
      <w:r w:rsidRPr="0089051B">
        <w:rPr>
          <w:rFonts w:ascii="Times New Roman" w:hAnsi="Times New Roman" w:cs="Times New Roman"/>
          <w:i/>
          <w:sz w:val="20"/>
          <w:szCs w:val="20"/>
        </w:rPr>
        <w:t>Dzivev</w:t>
      </w:r>
      <w:proofErr w:type="spellEnd"/>
      <w:r w:rsidRPr="0089051B">
        <w:rPr>
          <w:rFonts w:ascii="Times New Roman" w:hAnsi="Times New Roman" w:cs="Times New Roman"/>
          <w:sz w:val="20"/>
          <w:szCs w:val="20"/>
        </w:rPr>
        <w:t>, EU:C:2019:30.</w:t>
      </w:r>
    </w:p>
  </w:footnote>
  <w:footnote w:id="83">
    <w:p w14:paraId="102933B1" w14:textId="52ECAC5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E.g. </w:t>
      </w:r>
      <w:r w:rsidRPr="0089051B">
        <w:rPr>
          <w:rFonts w:ascii="Times New Roman" w:hAnsi="Times New Roman" w:cs="Times New Roman"/>
          <w:sz w:val="20"/>
          <w:szCs w:val="20"/>
        </w:rPr>
        <w:t xml:space="preserve">Case C-147/08, </w:t>
      </w:r>
      <w:proofErr w:type="spellStart"/>
      <w:r w:rsidRPr="0089051B">
        <w:rPr>
          <w:rFonts w:ascii="Times New Roman" w:hAnsi="Times New Roman" w:cs="Times New Roman"/>
          <w:i/>
          <w:sz w:val="20"/>
          <w:szCs w:val="20"/>
        </w:rPr>
        <w:t>Römer</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:C:2011:286</w:t>
      </w:r>
      <w:proofErr w:type="gramEnd"/>
      <w:r w:rsidRPr="0089051B">
        <w:rPr>
          <w:rFonts w:ascii="Times New Roman" w:hAnsi="Times New Roman" w:cs="Times New Roman"/>
          <w:sz w:val="20"/>
          <w:szCs w:val="20"/>
        </w:rPr>
        <w:t>.</w:t>
      </w:r>
    </w:p>
  </w:footnote>
  <w:footnote w:id="84">
    <w:p w14:paraId="3BF69165" w14:textId="28A3BB3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S</w:t>
      </w:r>
      <w:r w:rsidRPr="0089051B">
        <w:rPr>
          <w:rFonts w:ascii="Times New Roman" w:hAnsi="Times New Roman" w:cs="Times New Roman"/>
          <w:sz w:val="20"/>
          <w:szCs w:val="20"/>
        </w:rPr>
        <w:t xml:space="preserve">ection 2 (above).  Note also Case C-533/13, </w:t>
      </w:r>
      <w:r w:rsidRPr="0089051B">
        <w:rPr>
          <w:rFonts w:ascii="Times New Roman" w:hAnsi="Times New Roman" w:cs="Times New Roman"/>
          <w:i/>
          <w:sz w:val="20"/>
          <w:szCs w:val="20"/>
        </w:rPr>
        <w:t>AKT</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:C:2015:173</w:t>
      </w:r>
      <w:proofErr w:type="gramEnd"/>
      <w:r w:rsidRPr="0089051B">
        <w:rPr>
          <w:rFonts w:ascii="Times New Roman" w:hAnsi="Times New Roman" w:cs="Times New Roman"/>
          <w:sz w:val="20"/>
          <w:szCs w:val="20"/>
        </w:rPr>
        <w:t xml:space="preserve"> (on inter-institutional obligations to review national law which are not directly enforceable against allegedly incompatible domestic provisions).  </w:t>
      </w:r>
    </w:p>
  </w:footnote>
  <w:footnote w:id="85">
    <w:p w14:paraId="6BD21FB1" w14:textId="79D4DE3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Indeed: national law, shorn of its specific non-compliant elements, might itself provide a fully operational legal regime in conformity with the Treaties, e.g. Case C-462/99, </w:t>
      </w:r>
      <w:r w:rsidRPr="0089051B">
        <w:rPr>
          <w:rFonts w:ascii="Times New Roman" w:hAnsi="Times New Roman" w:cs="Times New Roman"/>
          <w:i/>
          <w:sz w:val="20"/>
          <w:szCs w:val="20"/>
        </w:rPr>
        <w:t>Connect Austria</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:C:2003:297</w:t>
      </w:r>
      <w:proofErr w:type="gramEnd"/>
      <w:r w:rsidRPr="0089051B">
        <w:rPr>
          <w:rFonts w:ascii="Times New Roman" w:hAnsi="Times New Roman" w:cs="Times New Roman"/>
          <w:sz w:val="20"/>
          <w:szCs w:val="20"/>
        </w:rPr>
        <w:t xml:space="preserve">.  </w:t>
      </w:r>
    </w:p>
  </w:footnote>
  <w:footnote w:id="86">
    <w:p w14:paraId="300A8E5F" w14:textId="45129AF8"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C-453/02 and C-462/02, </w:t>
      </w:r>
      <w:proofErr w:type="spellStart"/>
      <w:r w:rsidRPr="0089051B">
        <w:rPr>
          <w:rFonts w:ascii="Times New Roman" w:hAnsi="Times New Roman" w:cs="Times New Roman"/>
          <w:i/>
          <w:sz w:val="20"/>
          <w:szCs w:val="20"/>
        </w:rPr>
        <w:t>Linneweber</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:C:2005:92</w:t>
      </w:r>
      <w:proofErr w:type="gramEnd"/>
      <w:r w:rsidRPr="0089051B">
        <w:rPr>
          <w:rFonts w:ascii="Times New Roman" w:hAnsi="Times New Roman" w:cs="Times New Roman"/>
          <w:sz w:val="20"/>
          <w:szCs w:val="20"/>
        </w:rPr>
        <w:t xml:space="preserve">; Case C-243/09, </w:t>
      </w:r>
      <w:r w:rsidRPr="0089051B">
        <w:rPr>
          <w:rFonts w:ascii="Times New Roman" w:hAnsi="Times New Roman" w:cs="Times New Roman"/>
          <w:i/>
          <w:sz w:val="20"/>
          <w:szCs w:val="20"/>
        </w:rPr>
        <w:t>Fuβ</w:t>
      </w:r>
      <w:r w:rsidRPr="0089051B">
        <w:rPr>
          <w:rFonts w:ascii="Times New Roman" w:hAnsi="Times New Roman" w:cs="Times New Roman"/>
          <w:sz w:val="20"/>
          <w:szCs w:val="20"/>
        </w:rPr>
        <w:t xml:space="preserve">, EU:C:2010:609; Cases C-621/10 and C-129/11, </w:t>
      </w:r>
      <w:r w:rsidRPr="0089051B">
        <w:rPr>
          <w:rFonts w:ascii="Times New Roman" w:hAnsi="Times New Roman" w:cs="Times New Roman"/>
          <w:i/>
          <w:sz w:val="20"/>
          <w:szCs w:val="20"/>
        </w:rPr>
        <w:t>Balkan and Sea Properties</w:t>
      </w:r>
      <w:r w:rsidRPr="0089051B">
        <w:rPr>
          <w:rFonts w:ascii="Times New Roman" w:hAnsi="Times New Roman" w:cs="Times New Roman"/>
          <w:sz w:val="20"/>
          <w:szCs w:val="20"/>
        </w:rPr>
        <w:t xml:space="preserve">, EU:C:2012:248; Case C-684/16, </w:t>
      </w:r>
      <w:r w:rsidRPr="0089051B">
        <w:rPr>
          <w:rFonts w:ascii="Times New Roman" w:hAnsi="Times New Roman" w:cs="Times New Roman"/>
          <w:i/>
          <w:sz w:val="20"/>
          <w:szCs w:val="20"/>
        </w:rPr>
        <w:t>Max-Planck-</w:t>
      </w:r>
      <w:proofErr w:type="spellStart"/>
      <w:r w:rsidRPr="0089051B">
        <w:rPr>
          <w:rFonts w:ascii="Times New Roman" w:hAnsi="Times New Roman" w:cs="Times New Roman"/>
          <w:i/>
          <w:sz w:val="20"/>
          <w:szCs w:val="20"/>
        </w:rPr>
        <w:t>Gesellschaft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zur</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Förderung</w:t>
      </w:r>
      <w:proofErr w:type="spellEnd"/>
      <w:r w:rsidRPr="0089051B">
        <w:rPr>
          <w:rFonts w:ascii="Times New Roman" w:hAnsi="Times New Roman" w:cs="Times New Roman"/>
          <w:i/>
          <w:sz w:val="20"/>
          <w:szCs w:val="20"/>
        </w:rPr>
        <w:t xml:space="preserve"> der </w:t>
      </w:r>
      <w:proofErr w:type="spellStart"/>
      <w:r w:rsidRPr="0089051B">
        <w:rPr>
          <w:rFonts w:ascii="Times New Roman" w:hAnsi="Times New Roman" w:cs="Times New Roman"/>
          <w:i/>
          <w:sz w:val="20"/>
          <w:szCs w:val="20"/>
        </w:rPr>
        <w:t>Wissenschaften</w:t>
      </w:r>
      <w:proofErr w:type="spellEnd"/>
      <w:r w:rsidRPr="0089051B">
        <w:rPr>
          <w:rFonts w:ascii="Times New Roman" w:hAnsi="Times New Roman" w:cs="Times New Roman"/>
          <w:sz w:val="20"/>
          <w:szCs w:val="20"/>
        </w:rPr>
        <w:t xml:space="preserve">, EU:C:2018:874.  </w:t>
      </w:r>
    </w:p>
  </w:footnote>
  <w:footnote w:id="87">
    <w:p w14:paraId="1D4F0C1A" w14:textId="6E83CEC5"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Treaty / legislative regimes on equal treatment, e.g. Case C-184/89, </w:t>
      </w:r>
      <w:proofErr w:type="spellStart"/>
      <w:r w:rsidRPr="0089051B">
        <w:rPr>
          <w:rFonts w:ascii="Times New Roman" w:hAnsi="Times New Roman" w:cs="Times New Roman"/>
          <w:i/>
          <w:sz w:val="20"/>
          <w:szCs w:val="20"/>
        </w:rPr>
        <w:t>Nimz</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:C:1991:50</w:t>
      </w:r>
      <w:proofErr w:type="gramEnd"/>
      <w:r w:rsidRPr="0089051B">
        <w:rPr>
          <w:rFonts w:ascii="Times New Roman" w:hAnsi="Times New Roman" w:cs="Times New Roman"/>
          <w:sz w:val="20"/>
          <w:szCs w:val="20"/>
        </w:rPr>
        <w:t xml:space="preserve">; Case C-200/91, </w:t>
      </w:r>
      <w:proofErr w:type="spellStart"/>
      <w:r w:rsidRPr="0089051B">
        <w:rPr>
          <w:rFonts w:ascii="Times New Roman" w:hAnsi="Times New Roman" w:cs="Times New Roman"/>
          <w:i/>
          <w:sz w:val="20"/>
          <w:szCs w:val="20"/>
        </w:rPr>
        <w:t>Coloroll</w:t>
      </w:r>
      <w:proofErr w:type="spellEnd"/>
      <w:r w:rsidRPr="0089051B">
        <w:rPr>
          <w:rFonts w:ascii="Times New Roman" w:hAnsi="Times New Roman" w:cs="Times New Roman"/>
          <w:i/>
          <w:sz w:val="20"/>
          <w:szCs w:val="20"/>
        </w:rPr>
        <w:t xml:space="preserve"> Pension Trustees</w:t>
      </w:r>
      <w:r w:rsidRPr="0089051B">
        <w:rPr>
          <w:rFonts w:ascii="Times New Roman" w:hAnsi="Times New Roman" w:cs="Times New Roman"/>
          <w:sz w:val="20"/>
          <w:szCs w:val="20"/>
        </w:rPr>
        <w:t xml:space="preserve">, EU:C:1994:348; Case C-187/15, </w:t>
      </w:r>
      <w:proofErr w:type="spellStart"/>
      <w:r w:rsidRPr="0089051B">
        <w:rPr>
          <w:rFonts w:ascii="Times New Roman" w:hAnsi="Times New Roman" w:cs="Times New Roman"/>
          <w:i/>
          <w:sz w:val="20"/>
          <w:szCs w:val="20"/>
        </w:rPr>
        <w:t>Pöpperl</w:t>
      </w:r>
      <w:proofErr w:type="spellEnd"/>
      <w:r w:rsidRPr="0089051B">
        <w:rPr>
          <w:rFonts w:ascii="Times New Roman" w:hAnsi="Times New Roman" w:cs="Times New Roman"/>
          <w:sz w:val="20"/>
          <w:szCs w:val="20"/>
        </w:rPr>
        <w:t xml:space="preserve">, EU:C:2016:550).  General principles of Union law / Charter of Fundamental Rights, e.g. Case C-442/00, </w:t>
      </w:r>
      <w:r w:rsidRPr="0089051B">
        <w:rPr>
          <w:rFonts w:ascii="Times New Roman" w:hAnsi="Times New Roman" w:cs="Times New Roman"/>
          <w:i/>
          <w:sz w:val="20"/>
          <w:szCs w:val="20"/>
        </w:rPr>
        <w:t>Rodríguez Caballero</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:C:2002:752</w:t>
      </w:r>
      <w:proofErr w:type="gramEnd"/>
      <w:r w:rsidRPr="0089051B">
        <w:rPr>
          <w:rFonts w:ascii="Times New Roman" w:hAnsi="Times New Roman" w:cs="Times New Roman"/>
          <w:sz w:val="20"/>
          <w:szCs w:val="20"/>
        </w:rPr>
        <w:t xml:space="preserve">; Case C-81/05, </w:t>
      </w:r>
      <w:r w:rsidRPr="0089051B">
        <w:rPr>
          <w:rFonts w:ascii="Times New Roman" w:hAnsi="Times New Roman" w:cs="Times New Roman"/>
          <w:i/>
          <w:sz w:val="20"/>
          <w:szCs w:val="20"/>
        </w:rPr>
        <w:t>Cordero Alonso</w:t>
      </w:r>
      <w:r w:rsidRPr="0089051B">
        <w:rPr>
          <w:rFonts w:ascii="Times New Roman" w:hAnsi="Times New Roman" w:cs="Times New Roman"/>
          <w:sz w:val="20"/>
          <w:szCs w:val="20"/>
        </w:rPr>
        <w:t xml:space="preserve">, EU:C:2006:529.  However, the requirement to “level up” does not apply where there is no valid reference point, e.g. Cases C-501/12 to C-506/12, C-540/12 and C-541/12, </w:t>
      </w:r>
      <w:proofErr w:type="spellStart"/>
      <w:r w:rsidRPr="0089051B">
        <w:rPr>
          <w:rFonts w:ascii="Times New Roman" w:hAnsi="Times New Roman" w:cs="Times New Roman"/>
          <w:i/>
          <w:sz w:val="20"/>
          <w:szCs w:val="20"/>
        </w:rPr>
        <w:t>Specht</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:C:2014:2005</w:t>
      </w:r>
      <w:proofErr w:type="gramEnd"/>
      <w:r w:rsidRPr="0089051B">
        <w:rPr>
          <w:rFonts w:ascii="Times New Roman" w:hAnsi="Times New Roman" w:cs="Times New Roman"/>
          <w:sz w:val="20"/>
          <w:szCs w:val="20"/>
        </w:rPr>
        <w:t xml:space="preserve">.  Moreover, “levelling up” may be prohibited where it would extend or amplify a breach of Union law, e.g. Case C-28/99, </w:t>
      </w:r>
      <w:proofErr w:type="spellStart"/>
      <w:r w:rsidRPr="0089051B">
        <w:rPr>
          <w:rFonts w:ascii="Times New Roman" w:hAnsi="Times New Roman" w:cs="Times New Roman"/>
          <w:i/>
          <w:sz w:val="20"/>
          <w:szCs w:val="20"/>
        </w:rPr>
        <w:t>Verdonck</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:C:2001:238</w:t>
      </w:r>
      <w:proofErr w:type="gramEnd"/>
      <w:r w:rsidRPr="0089051B">
        <w:rPr>
          <w:rFonts w:ascii="Times New Roman" w:hAnsi="Times New Roman" w:cs="Times New Roman"/>
          <w:sz w:val="20"/>
          <w:szCs w:val="20"/>
        </w:rPr>
        <w:t xml:space="preserve">; Case C-368/04, </w:t>
      </w:r>
      <w:r w:rsidRPr="0089051B">
        <w:rPr>
          <w:rFonts w:ascii="Times New Roman" w:hAnsi="Times New Roman" w:cs="Times New Roman"/>
          <w:i/>
          <w:sz w:val="20"/>
          <w:szCs w:val="20"/>
        </w:rPr>
        <w:t xml:space="preserve">Transalpine </w:t>
      </w:r>
      <w:proofErr w:type="spellStart"/>
      <w:r w:rsidRPr="0089051B">
        <w:rPr>
          <w:rFonts w:ascii="Times New Roman" w:hAnsi="Times New Roman" w:cs="Times New Roman"/>
          <w:i/>
          <w:sz w:val="20"/>
          <w:szCs w:val="20"/>
        </w:rPr>
        <w:t>Ölleitung</w:t>
      </w:r>
      <w:proofErr w:type="spellEnd"/>
      <w:r w:rsidRPr="0089051B">
        <w:rPr>
          <w:rFonts w:ascii="Times New Roman" w:hAnsi="Times New Roman" w:cs="Times New Roman"/>
          <w:i/>
          <w:sz w:val="20"/>
          <w:szCs w:val="20"/>
        </w:rPr>
        <w:t xml:space="preserve"> in </w:t>
      </w:r>
      <w:proofErr w:type="spellStart"/>
      <w:r w:rsidRPr="0089051B">
        <w:rPr>
          <w:rFonts w:ascii="Times New Roman" w:hAnsi="Times New Roman" w:cs="Times New Roman"/>
          <w:i/>
          <w:sz w:val="20"/>
          <w:szCs w:val="20"/>
        </w:rPr>
        <w:t>Österreich</w:t>
      </w:r>
      <w:proofErr w:type="spellEnd"/>
      <w:r w:rsidRPr="0089051B">
        <w:rPr>
          <w:rFonts w:ascii="Times New Roman" w:hAnsi="Times New Roman" w:cs="Times New Roman"/>
          <w:sz w:val="20"/>
          <w:szCs w:val="20"/>
        </w:rPr>
        <w:t xml:space="preserve">, EU:C:2006:644.  </w:t>
      </w:r>
    </w:p>
  </w:footnote>
  <w:footnote w:id="88">
    <w:p w14:paraId="69F8372C" w14:textId="559E7A81"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C-408/92, </w:t>
      </w:r>
      <w:proofErr w:type="spellStart"/>
      <w:r w:rsidRPr="0089051B">
        <w:rPr>
          <w:rFonts w:ascii="Times New Roman" w:hAnsi="Times New Roman" w:cs="Times New Roman"/>
          <w:i/>
          <w:sz w:val="20"/>
          <w:szCs w:val="20"/>
        </w:rPr>
        <w:t>Avdel</w:t>
      </w:r>
      <w:proofErr w:type="spellEnd"/>
      <w:r w:rsidRPr="0089051B">
        <w:rPr>
          <w:rFonts w:ascii="Times New Roman" w:hAnsi="Times New Roman" w:cs="Times New Roman"/>
          <w:i/>
          <w:sz w:val="20"/>
          <w:szCs w:val="20"/>
        </w:rPr>
        <w:t xml:space="preserve"> Systems</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:C:1994:349</w:t>
      </w:r>
      <w:proofErr w:type="gramEnd"/>
      <w:r w:rsidRPr="0089051B">
        <w:rPr>
          <w:rFonts w:ascii="Times New Roman" w:hAnsi="Times New Roman" w:cs="Times New Roman"/>
          <w:sz w:val="20"/>
          <w:szCs w:val="20"/>
        </w:rPr>
        <w:t xml:space="preserve">; Case C-193/17, </w:t>
      </w:r>
      <w:r w:rsidRPr="0089051B">
        <w:rPr>
          <w:rFonts w:ascii="Times New Roman" w:hAnsi="Times New Roman" w:cs="Times New Roman"/>
          <w:i/>
          <w:sz w:val="20"/>
          <w:szCs w:val="20"/>
        </w:rPr>
        <w:t>Cresco Investigation</w:t>
      </w:r>
      <w:r w:rsidRPr="0089051B">
        <w:rPr>
          <w:rFonts w:ascii="Times New Roman" w:hAnsi="Times New Roman" w:cs="Times New Roman"/>
          <w:sz w:val="20"/>
          <w:szCs w:val="20"/>
        </w:rPr>
        <w:t xml:space="preserve">, EU:C:2019:43; Case C-396/17, </w:t>
      </w:r>
      <w:proofErr w:type="spellStart"/>
      <w:r w:rsidRPr="0089051B">
        <w:rPr>
          <w:rFonts w:ascii="Times New Roman" w:hAnsi="Times New Roman" w:cs="Times New Roman"/>
          <w:i/>
          <w:sz w:val="20"/>
          <w:szCs w:val="20"/>
        </w:rPr>
        <w:t>Leitner</w:t>
      </w:r>
      <w:proofErr w:type="spellEnd"/>
      <w:r w:rsidRPr="0089051B">
        <w:rPr>
          <w:rFonts w:ascii="Times New Roman" w:hAnsi="Times New Roman" w:cs="Times New Roman"/>
          <w:sz w:val="20"/>
          <w:szCs w:val="20"/>
        </w:rPr>
        <w:t xml:space="preserve">, EU:C:2019:375.  </w:t>
      </w:r>
    </w:p>
  </w:footnote>
  <w:footnote w:id="89">
    <w:p w14:paraId="54316139" w14:textId="5BD0B6B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C-612/15, </w:t>
      </w:r>
      <w:proofErr w:type="spellStart"/>
      <w:r w:rsidRPr="0089051B">
        <w:rPr>
          <w:rFonts w:ascii="Times New Roman" w:hAnsi="Times New Roman" w:cs="Times New Roman"/>
          <w:i/>
          <w:sz w:val="20"/>
          <w:szCs w:val="20"/>
        </w:rPr>
        <w:t>Kolev</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:C:2018:392</w:t>
      </w:r>
      <w:proofErr w:type="gramEnd"/>
      <w:r w:rsidRPr="0089051B">
        <w:rPr>
          <w:rFonts w:ascii="Times New Roman" w:hAnsi="Times New Roman" w:cs="Times New Roman"/>
          <w:sz w:val="20"/>
          <w:szCs w:val="20"/>
        </w:rPr>
        <w:t xml:space="preserve">.  Also, e.g. Cases C-213/06 to C-233/06, </w:t>
      </w:r>
      <w:proofErr w:type="spellStart"/>
      <w:r w:rsidRPr="0089051B">
        <w:rPr>
          <w:rFonts w:ascii="Times New Roman" w:hAnsi="Times New Roman" w:cs="Times New Roman"/>
          <w:i/>
          <w:sz w:val="20"/>
          <w:szCs w:val="20"/>
        </w:rPr>
        <w:t>Jonkman</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:C:2007:373</w:t>
      </w:r>
      <w:proofErr w:type="gramEnd"/>
      <w:r w:rsidRPr="0089051B">
        <w:rPr>
          <w:rFonts w:ascii="Times New Roman" w:hAnsi="Times New Roman" w:cs="Times New Roman"/>
          <w:sz w:val="20"/>
          <w:szCs w:val="20"/>
        </w:rPr>
        <w:t xml:space="preserve">; Case C-174/16, </w:t>
      </w:r>
      <w:r w:rsidRPr="0089051B">
        <w:rPr>
          <w:rFonts w:ascii="Times New Roman" w:hAnsi="Times New Roman" w:cs="Times New Roman"/>
          <w:i/>
          <w:sz w:val="20"/>
          <w:szCs w:val="20"/>
        </w:rPr>
        <w:t>H</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Land Berlin</w:t>
      </w:r>
      <w:r w:rsidRPr="0089051B">
        <w:rPr>
          <w:rFonts w:ascii="Times New Roman" w:hAnsi="Times New Roman" w:cs="Times New Roman"/>
          <w:sz w:val="20"/>
          <w:szCs w:val="20"/>
        </w:rPr>
        <w:t>, EU:C:2017:637.</w:t>
      </w:r>
    </w:p>
  </w:footnote>
  <w:footnote w:id="90">
    <w:p w14:paraId="79101F27" w14:textId="00CDF810"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C-186/11 and C-209/11, </w:t>
      </w:r>
      <w:proofErr w:type="spellStart"/>
      <w:r w:rsidRPr="0089051B">
        <w:rPr>
          <w:rFonts w:ascii="Times New Roman" w:hAnsi="Times New Roman" w:cs="Times New Roman"/>
          <w:i/>
          <w:sz w:val="20"/>
          <w:szCs w:val="20"/>
        </w:rPr>
        <w:t>Stanleybet</w:t>
      </w:r>
      <w:proofErr w:type="spellEnd"/>
      <w:r w:rsidRPr="0089051B">
        <w:rPr>
          <w:rFonts w:ascii="Times New Roman" w:hAnsi="Times New Roman" w:cs="Times New Roman"/>
          <w:i/>
          <w:sz w:val="20"/>
          <w:szCs w:val="20"/>
        </w:rPr>
        <w:t xml:space="preserve"> International</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:C:2013:33</w:t>
      </w:r>
      <w:proofErr w:type="gramEnd"/>
      <w:r w:rsidRPr="0089051B">
        <w:rPr>
          <w:rFonts w:ascii="Times New Roman" w:hAnsi="Times New Roman" w:cs="Times New Roman"/>
          <w:sz w:val="20"/>
          <w:szCs w:val="20"/>
        </w:rPr>
        <w:t>.</w:t>
      </w:r>
    </w:p>
  </w:footnote>
  <w:footnote w:id="91">
    <w:p w14:paraId="71CF68E8" w14:textId="7BFAE575"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E.g.</w:t>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Case C-112/00, </w:t>
      </w:r>
      <w:proofErr w:type="spellStart"/>
      <w:r w:rsidRPr="0089051B">
        <w:rPr>
          <w:rFonts w:ascii="Times New Roman" w:hAnsi="Times New Roman" w:cs="Times New Roman"/>
          <w:i/>
          <w:sz w:val="20"/>
          <w:szCs w:val="20"/>
          <w:lang w:val="en-US"/>
        </w:rPr>
        <w:t>Schmidberger</w:t>
      </w:r>
      <w:proofErr w:type="spellEnd"/>
      <w:r w:rsidRPr="0089051B">
        <w:rPr>
          <w:rFonts w:ascii="Times New Roman" w:hAnsi="Times New Roman" w:cs="Times New Roman"/>
          <w:sz w:val="20"/>
          <w:szCs w:val="20"/>
          <w:lang w:val="en-US"/>
        </w:rPr>
        <w:t>, EU</w:t>
      </w:r>
      <w:proofErr w:type="gramStart"/>
      <w:r w:rsidRPr="0089051B">
        <w:rPr>
          <w:rFonts w:ascii="Times New Roman" w:hAnsi="Times New Roman" w:cs="Times New Roman"/>
          <w:sz w:val="20"/>
          <w:szCs w:val="20"/>
          <w:lang w:val="en-US"/>
        </w:rPr>
        <w:t>:C:2003:333</w:t>
      </w:r>
      <w:proofErr w:type="gramEnd"/>
      <w:r w:rsidRPr="0089051B">
        <w:rPr>
          <w:rFonts w:ascii="Times New Roman" w:hAnsi="Times New Roman" w:cs="Times New Roman"/>
          <w:sz w:val="20"/>
          <w:szCs w:val="20"/>
          <w:lang w:val="en-US"/>
        </w:rPr>
        <w:t xml:space="preserve">; </w:t>
      </w:r>
      <w:r w:rsidRPr="0089051B">
        <w:rPr>
          <w:rFonts w:ascii="Times New Roman" w:hAnsi="Times New Roman" w:cs="Times New Roman"/>
          <w:sz w:val="20"/>
          <w:szCs w:val="20"/>
        </w:rPr>
        <w:t xml:space="preserve">Case C-309/02, </w:t>
      </w:r>
      <w:proofErr w:type="spellStart"/>
      <w:r w:rsidRPr="0089051B">
        <w:rPr>
          <w:rFonts w:ascii="Times New Roman" w:hAnsi="Times New Roman" w:cs="Times New Roman"/>
          <w:i/>
          <w:iCs/>
          <w:sz w:val="20"/>
          <w:szCs w:val="20"/>
        </w:rPr>
        <w:t>Radberger</w:t>
      </w:r>
      <w:proofErr w:type="spellEnd"/>
      <w:r w:rsidRPr="0089051B">
        <w:rPr>
          <w:rFonts w:ascii="Times New Roman" w:hAnsi="Times New Roman" w:cs="Times New Roman"/>
          <w:i/>
          <w:iCs/>
          <w:sz w:val="20"/>
          <w:szCs w:val="20"/>
        </w:rPr>
        <w:t xml:space="preserve"> </w:t>
      </w:r>
      <w:proofErr w:type="spellStart"/>
      <w:r w:rsidRPr="0089051B">
        <w:rPr>
          <w:rFonts w:ascii="Times New Roman" w:hAnsi="Times New Roman" w:cs="Times New Roman"/>
          <w:i/>
          <w:iCs/>
          <w:sz w:val="20"/>
          <w:szCs w:val="20"/>
        </w:rPr>
        <w:t>Getränkegesellschaft</w:t>
      </w:r>
      <w:proofErr w:type="spellEnd"/>
      <w:r w:rsidRPr="0089051B">
        <w:rPr>
          <w:rFonts w:ascii="Times New Roman" w:hAnsi="Times New Roman" w:cs="Times New Roman"/>
          <w:iCs/>
          <w:sz w:val="20"/>
          <w:szCs w:val="20"/>
        </w:rPr>
        <w:t>, EU:C:</w:t>
      </w:r>
      <w:r w:rsidRPr="0089051B">
        <w:rPr>
          <w:rFonts w:ascii="Times New Roman" w:hAnsi="Times New Roman" w:cs="Times New Roman"/>
          <w:sz w:val="20"/>
          <w:szCs w:val="20"/>
        </w:rPr>
        <w:t xml:space="preserve">2004:799; Case C-320/03, </w:t>
      </w:r>
      <w:r w:rsidRPr="0089051B">
        <w:rPr>
          <w:rFonts w:ascii="Times New Roman" w:hAnsi="Times New Roman" w:cs="Times New Roman"/>
          <w:i/>
          <w:sz w:val="20"/>
          <w:szCs w:val="20"/>
        </w:rPr>
        <w:t>Commission</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Austria</w:t>
      </w:r>
      <w:r w:rsidRPr="0089051B">
        <w:rPr>
          <w:rFonts w:ascii="Times New Roman" w:hAnsi="Times New Roman" w:cs="Times New Roman"/>
          <w:sz w:val="20"/>
          <w:szCs w:val="20"/>
        </w:rPr>
        <w:t xml:space="preserve">, EU:C:2005:684; Case C-73/08, </w:t>
      </w:r>
      <w:proofErr w:type="spellStart"/>
      <w:r w:rsidRPr="0089051B">
        <w:rPr>
          <w:rFonts w:ascii="Times New Roman" w:hAnsi="Times New Roman" w:cs="Times New Roman"/>
          <w:i/>
          <w:sz w:val="20"/>
          <w:szCs w:val="20"/>
        </w:rPr>
        <w:t>Bressol</w:t>
      </w:r>
      <w:proofErr w:type="spellEnd"/>
      <w:r w:rsidRPr="0089051B">
        <w:rPr>
          <w:rFonts w:ascii="Times New Roman" w:hAnsi="Times New Roman" w:cs="Times New Roman"/>
          <w:sz w:val="20"/>
          <w:szCs w:val="20"/>
        </w:rPr>
        <w:t xml:space="preserve">, EU:C:2010:181; Case C-98/14, </w:t>
      </w:r>
      <w:proofErr w:type="spellStart"/>
      <w:r w:rsidRPr="0089051B">
        <w:rPr>
          <w:rFonts w:ascii="Times New Roman" w:hAnsi="Times New Roman" w:cs="Times New Roman"/>
          <w:i/>
          <w:sz w:val="20"/>
          <w:szCs w:val="20"/>
        </w:rPr>
        <w:t>Berlington</w:t>
      </w:r>
      <w:proofErr w:type="spellEnd"/>
      <w:r w:rsidRPr="0089051B">
        <w:rPr>
          <w:rFonts w:ascii="Times New Roman" w:hAnsi="Times New Roman" w:cs="Times New Roman"/>
          <w:i/>
          <w:sz w:val="20"/>
          <w:szCs w:val="20"/>
        </w:rPr>
        <w:t xml:space="preserve"> Hungary</w:t>
      </w:r>
      <w:r w:rsidRPr="0089051B">
        <w:rPr>
          <w:rFonts w:ascii="Times New Roman" w:hAnsi="Times New Roman" w:cs="Times New Roman"/>
          <w:sz w:val="20"/>
          <w:szCs w:val="20"/>
        </w:rPr>
        <w:t xml:space="preserve">, EU:C:2015:386; Case C-333/14, </w:t>
      </w:r>
      <w:r w:rsidRPr="0089051B">
        <w:rPr>
          <w:rFonts w:ascii="Times New Roman" w:hAnsi="Times New Roman" w:cs="Times New Roman"/>
          <w:i/>
          <w:sz w:val="20"/>
          <w:szCs w:val="20"/>
        </w:rPr>
        <w:t xml:space="preserve">Scotch Whisky Association, </w:t>
      </w:r>
      <w:r w:rsidRPr="0089051B">
        <w:rPr>
          <w:rFonts w:ascii="Times New Roman" w:hAnsi="Times New Roman" w:cs="Times New Roman"/>
          <w:sz w:val="20"/>
          <w:szCs w:val="20"/>
        </w:rPr>
        <w:t xml:space="preserve">EU:C:2015:845.  See further, e.g. Barnard, “Derogations, Justifications and the Four Freedoms: Is State Interest Really Protected?” in Barnard and </w:t>
      </w:r>
      <w:proofErr w:type="spellStart"/>
      <w:r w:rsidRPr="0089051B">
        <w:rPr>
          <w:rFonts w:ascii="Times New Roman" w:hAnsi="Times New Roman" w:cs="Times New Roman"/>
          <w:sz w:val="20"/>
          <w:szCs w:val="20"/>
        </w:rPr>
        <w:t>Odudu</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eds</w:t>
      </w:r>
      <w:proofErr w:type="spellEnd"/>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The Outer Limits of European Union Law </w:t>
      </w:r>
      <w:r w:rsidRPr="0089051B">
        <w:rPr>
          <w:rFonts w:ascii="Times New Roman" w:hAnsi="Times New Roman" w:cs="Times New Roman"/>
          <w:sz w:val="20"/>
          <w:szCs w:val="20"/>
        </w:rPr>
        <w:t xml:space="preserve">(Hart, 2009); </w:t>
      </w:r>
      <w:proofErr w:type="spellStart"/>
      <w:r w:rsidRPr="0089051B">
        <w:rPr>
          <w:rFonts w:ascii="Times New Roman" w:hAnsi="Times New Roman" w:cs="Times New Roman"/>
          <w:sz w:val="20"/>
          <w:szCs w:val="20"/>
        </w:rPr>
        <w:t>Mathisen</w:t>
      </w:r>
      <w:proofErr w:type="spellEnd"/>
      <w:r w:rsidRPr="0089051B">
        <w:rPr>
          <w:rFonts w:ascii="Times New Roman" w:hAnsi="Times New Roman" w:cs="Times New Roman"/>
          <w:sz w:val="20"/>
          <w:szCs w:val="20"/>
        </w:rPr>
        <w:t>, “Consistency and coherence as conditions for justification of Member State measures restricting free movement”</w:t>
      </w:r>
      <w:r>
        <w:rPr>
          <w:rFonts w:ascii="Times New Roman" w:hAnsi="Times New Roman" w:cs="Times New Roman"/>
          <w:sz w:val="20"/>
          <w:szCs w:val="20"/>
        </w:rPr>
        <w:t>,</w:t>
      </w:r>
      <w:r w:rsidRPr="0089051B">
        <w:rPr>
          <w:rFonts w:ascii="Times New Roman" w:hAnsi="Times New Roman" w:cs="Times New Roman"/>
          <w:sz w:val="20"/>
          <w:szCs w:val="20"/>
        </w:rPr>
        <w:t xml:space="preserve"> 47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(2010), </w:t>
      </w:r>
      <w:r w:rsidRPr="0089051B">
        <w:rPr>
          <w:rFonts w:ascii="Times New Roman" w:hAnsi="Times New Roman" w:cs="Times New Roman"/>
          <w:sz w:val="20"/>
          <w:szCs w:val="20"/>
        </w:rPr>
        <w:t xml:space="preserve">1021; </w:t>
      </w:r>
      <w:proofErr w:type="spellStart"/>
      <w:r w:rsidRPr="0089051B">
        <w:rPr>
          <w:rFonts w:ascii="Times New Roman" w:hAnsi="Times New Roman" w:cs="Times New Roman"/>
          <w:sz w:val="20"/>
          <w:szCs w:val="20"/>
        </w:rPr>
        <w:t>Nic</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Shuibhne</w:t>
      </w:r>
      <w:proofErr w:type="spellEnd"/>
      <w:r w:rsidRPr="0089051B">
        <w:rPr>
          <w:rFonts w:ascii="Times New Roman" w:hAnsi="Times New Roman" w:cs="Times New Roman"/>
          <w:sz w:val="20"/>
          <w:szCs w:val="20"/>
        </w:rPr>
        <w:t xml:space="preserve"> and </w:t>
      </w:r>
      <w:proofErr w:type="spellStart"/>
      <w:r w:rsidRPr="0089051B">
        <w:rPr>
          <w:rFonts w:ascii="Times New Roman" w:hAnsi="Times New Roman" w:cs="Times New Roman"/>
          <w:sz w:val="20"/>
          <w:szCs w:val="20"/>
        </w:rPr>
        <w:t>Maci</w:t>
      </w:r>
      <w:proofErr w:type="spellEnd"/>
      <w:r w:rsidRPr="0089051B">
        <w:rPr>
          <w:rFonts w:ascii="Times New Roman" w:hAnsi="Times New Roman" w:cs="Times New Roman"/>
          <w:sz w:val="20"/>
          <w:szCs w:val="20"/>
        </w:rPr>
        <w:t xml:space="preserve">, “Proving Public Interest: The Growing Impact of Evidence in Free Movement </w:t>
      </w:r>
      <w:proofErr w:type="spellStart"/>
      <w:r w:rsidRPr="0089051B">
        <w:rPr>
          <w:rFonts w:ascii="Times New Roman" w:hAnsi="Times New Roman" w:cs="Times New Roman"/>
          <w:sz w:val="20"/>
          <w:szCs w:val="20"/>
        </w:rPr>
        <w:t>Caselaw</w:t>
      </w:r>
      <w:proofErr w:type="spellEnd"/>
      <w:r w:rsidRPr="0089051B">
        <w:rPr>
          <w:rFonts w:ascii="Times New Roman" w:hAnsi="Times New Roman" w:cs="Times New Roman"/>
          <w:sz w:val="20"/>
          <w:szCs w:val="20"/>
        </w:rPr>
        <w:t>”</w:t>
      </w:r>
      <w:r>
        <w:rPr>
          <w:rFonts w:ascii="Times New Roman" w:hAnsi="Times New Roman" w:cs="Times New Roman"/>
          <w:sz w:val="20"/>
          <w:szCs w:val="20"/>
        </w:rPr>
        <w:t>,</w:t>
      </w:r>
      <w:r w:rsidRPr="0089051B">
        <w:rPr>
          <w:rFonts w:ascii="Times New Roman" w:hAnsi="Times New Roman" w:cs="Times New Roman"/>
          <w:sz w:val="20"/>
          <w:szCs w:val="20"/>
        </w:rPr>
        <w:t xml:space="preserve"> 50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(2013), </w:t>
      </w:r>
      <w:r w:rsidRPr="0089051B">
        <w:rPr>
          <w:rFonts w:ascii="Times New Roman" w:hAnsi="Times New Roman" w:cs="Times New Roman"/>
          <w:sz w:val="20"/>
          <w:szCs w:val="20"/>
        </w:rPr>
        <w:t xml:space="preserve">965.  </w:t>
      </w:r>
    </w:p>
  </w:footnote>
  <w:footnote w:id="92">
    <w:p w14:paraId="581B1805" w14:textId="1D4E700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lang w:val="en-US"/>
        </w:rPr>
        <w:t xml:space="preserve">E.g. </w:t>
      </w:r>
      <w:proofErr w:type="spellStart"/>
      <w:r w:rsidRPr="0089051B">
        <w:rPr>
          <w:rFonts w:ascii="Times New Roman" w:hAnsi="Times New Roman" w:cs="Times New Roman"/>
          <w:i/>
          <w:sz w:val="20"/>
          <w:szCs w:val="20"/>
        </w:rPr>
        <w:t>Stanleybet</w:t>
      </w:r>
      <w:proofErr w:type="spellEnd"/>
      <w:r w:rsidRPr="0089051B">
        <w:rPr>
          <w:rFonts w:ascii="Times New Roman" w:hAnsi="Times New Roman" w:cs="Times New Roman"/>
          <w:i/>
          <w:sz w:val="20"/>
          <w:szCs w:val="20"/>
        </w:rPr>
        <w:t xml:space="preserve"> International</w:t>
      </w:r>
      <w:r w:rsidRPr="0089051B">
        <w:rPr>
          <w:rFonts w:ascii="Times New Roman" w:hAnsi="Times New Roman" w:cs="Times New Roman"/>
          <w:sz w:val="20"/>
          <w:szCs w:val="20"/>
        </w:rPr>
        <w:t>.</w:t>
      </w:r>
      <w:proofErr w:type="gramEnd"/>
    </w:p>
  </w:footnote>
  <w:footnote w:id="93">
    <w:p w14:paraId="2D59D9CE" w14:textId="647BF3B0"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C-13/91 and C-113/91, </w:t>
      </w:r>
      <w:r w:rsidRPr="0089051B">
        <w:rPr>
          <w:rFonts w:ascii="Times New Roman" w:hAnsi="Times New Roman" w:cs="Times New Roman"/>
          <w:i/>
          <w:sz w:val="20"/>
          <w:szCs w:val="20"/>
        </w:rPr>
        <w:t>Debus</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:C:1992:247</w:t>
      </w:r>
      <w:proofErr w:type="gramEnd"/>
      <w:r w:rsidRPr="0089051B">
        <w:rPr>
          <w:rFonts w:ascii="Times New Roman" w:hAnsi="Times New Roman" w:cs="Times New Roman"/>
          <w:sz w:val="20"/>
          <w:szCs w:val="20"/>
        </w:rPr>
        <w:t>.</w:t>
      </w:r>
    </w:p>
  </w:footnote>
  <w:footnote w:id="94">
    <w:p w14:paraId="1C75A7F2" w14:textId="740FC82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380/87, </w:t>
      </w:r>
      <w:proofErr w:type="spellStart"/>
      <w:r w:rsidRPr="0089051B">
        <w:rPr>
          <w:rFonts w:ascii="Times New Roman" w:hAnsi="Times New Roman" w:cs="Times New Roman"/>
          <w:i/>
          <w:sz w:val="20"/>
          <w:szCs w:val="20"/>
        </w:rPr>
        <w:t>Enichem</w:t>
      </w:r>
      <w:proofErr w:type="spellEnd"/>
      <w:r w:rsidRPr="0089051B">
        <w:rPr>
          <w:rFonts w:ascii="Times New Roman" w:hAnsi="Times New Roman" w:cs="Times New Roman"/>
          <w:i/>
          <w:sz w:val="20"/>
          <w:szCs w:val="20"/>
        </w:rPr>
        <w:t xml:space="preserve"> Base</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:C:1989:318</w:t>
      </w:r>
      <w:proofErr w:type="gramEnd"/>
      <w:r w:rsidRPr="0089051B">
        <w:rPr>
          <w:rFonts w:ascii="Times New Roman" w:hAnsi="Times New Roman" w:cs="Times New Roman"/>
          <w:sz w:val="20"/>
          <w:szCs w:val="20"/>
        </w:rPr>
        <w:t xml:space="preserve">; Case C-533/13, </w:t>
      </w:r>
      <w:r w:rsidRPr="0089051B">
        <w:rPr>
          <w:rFonts w:ascii="Times New Roman" w:hAnsi="Times New Roman" w:cs="Times New Roman"/>
          <w:i/>
          <w:sz w:val="20"/>
          <w:szCs w:val="20"/>
        </w:rPr>
        <w:t>AKT</w:t>
      </w:r>
      <w:r w:rsidRPr="0089051B">
        <w:rPr>
          <w:rFonts w:ascii="Times New Roman" w:hAnsi="Times New Roman" w:cs="Times New Roman"/>
          <w:sz w:val="20"/>
          <w:szCs w:val="20"/>
        </w:rPr>
        <w:t>, EU:C:2015:173.</w:t>
      </w:r>
    </w:p>
  </w:footnote>
  <w:footnote w:id="95">
    <w:p w14:paraId="5C7123AF" w14:textId="675D5A8C"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O</w:t>
      </w:r>
      <w:r>
        <w:rPr>
          <w:rFonts w:ascii="Times New Roman" w:hAnsi="Times New Roman" w:cs="Times New Roman"/>
          <w:sz w:val="20"/>
          <w:szCs w:val="20"/>
        </w:rPr>
        <w:t>.</w:t>
      </w:r>
      <w:r w:rsidRPr="0089051B">
        <w:rPr>
          <w:rFonts w:ascii="Times New Roman" w:hAnsi="Times New Roman" w:cs="Times New Roman"/>
          <w:sz w:val="20"/>
          <w:szCs w:val="20"/>
        </w:rPr>
        <w:t>J</w:t>
      </w:r>
      <w:r>
        <w:rPr>
          <w:rFonts w:ascii="Times New Roman" w:hAnsi="Times New Roman" w:cs="Times New Roman"/>
          <w:sz w:val="20"/>
          <w:szCs w:val="20"/>
        </w:rPr>
        <w:t>.</w:t>
      </w:r>
      <w:r w:rsidRPr="0089051B">
        <w:rPr>
          <w:rFonts w:ascii="Times New Roman" w:hAnsi="Times New Roman" w:cs="Times New Roman"/>
          <w:sz w:val="20"/>
          <w:szCs w:val="20"/>
        </w:rPr>
        <w:t xml:space="preserve"> 2015</w:t>
      </w:r>
      <w:r>
        <w:rPr>
          <w:rFonts w:ascii="Times New Roman" w:hAnsi="Times New Roman" w:cs="Times New Roman"/>
          <w:sz w:val="20"/>
          <w:szCs w:val="20"/>
        </w:rPr>
        <w:t>, L</w:t>
      </w:r>
      <w:r w:rsidRPr="0089051B">
        <w:rPr>
          <w:rFonts w:ascii="Times New Roman" w:hAnsi="Times New Roman" w:cs="Times New Roman"/>
          <w:sz w:val="20"/>
          <w:szCs w:val="20"/>
        </w:rPr>
        <w:t xml:space="preserve"> 241/1.  </w:t>
      </w:r>
      <w:proofErr w:type="gramStart"/>
      <w:r w:rsidRPr="0089051B">
        <w:rPr>
          <w:rFonts w:ascii="Times New Roman" w:hAnsi="Times New Roman" w:cs="Times New Roman"/>
          <w:sz w:val="20"/>
          <w:szCs w:val="20"/>
        </w:rPr>
        <w:t>Previously Directive 98/34, O</w:t>
      </w:r>
      <w:r>
        <w:rPr>
          <w:rFonts w:ascii="Times New Roman" w:hAnsi="Times New Roman" w:cs="Times New Roman"/>
          <w:sz w:val="20"/>
          <w:szCs w:val="20"/>
        </w:rPr>
        <w:t>.</w:t>
      </w:r>
      <w:r w:rsidRPr="0089051B">
        <w:rPr>
          <w:rFonts w:ascii="Times New Roman" w:hAnsi="Times New Roman" w:cs="Times New Roman"/>
          <w:sz w:val="20"/>
          <w:szCs w:val="20"/>
        </w:rPr>
        <w:t>J</w:t>
      </w:r>
      <w:r>
        <w:rPr>
          <w:rFonts w:ascii="Times New Roman" w:hAnsi="Times New Roman" w:cs="Times New Roman"/>
          <w:sz w:val="20"/>
          <w:szCs w:val="20"/>
        </w:rPr>
        <w:t>.</w:t>
      </w:r>
      <w:r w:rsidRPr="0089051B">
        <w:rPr>
          <w:rFonts w:ascii="Times New Roman" w:hAnsi="Times New Roman" w:cs="Times New Roman"/>
          <w:sz w:val="20"/>
          <w:szCs w:val="20"/>
        </w:rPr>
        <w:t xml:space="preserve"> 1998</w:t>
      </w:r>
      <w:r>
        <w:rPr>
          <w:rFonts w:ascii="Times New Roman" w:hAnsi="Times New Roman" w:cs="Times New Roman"/>
          <w:sz w:val="20"/>
          <w:szCs w:val="20"/>
        </w:rPr>
        <w:t>,</w:t>
      </w:r>
      <w:r w:rsidRPr="0089051B">
        <w:rPr>
          <w:rFonts w:ascii="Times New Roman" w:hAnsi="Times New Roman" w:cs="Times New Roman"/>
          <w:sz w:val="20"/>
          <w:szCs w:val="20"/>
        </w:rPr>
        <w:t xml:space="preserve"> L 204/37; Directive 83/189, O</w:t>
      </w:r>
      <w:r>
        <w:rPr>
          <w:rFonts w:ascii="Times New Roman" w:hAnsi="Times New Roman" w:cs="Times New Roman"/>
          <w:sz w:val="20"/>
          <w:szCs w:val="20"/>
        </w:rPr>
        <w:t>.</w:t>
      </w:r>
      <w:r w:rsidRPr="0089051B">
        <w:rPr>
          <w:rFonts w:ascii="Times New Roman" w:hAnsi="Times New Roman" w:cs="Times New Roman"/>
          <w:sz w:val="20"/>
          <w:szCs w:val="20"/>
        </w:rPr>
        <w:t>J</w:t>
      </w:r>
      <w:r>
        <w:rPr>
          <w:rFonts w:ascii="Times New Roman" w:hAnsi="Times New Roman" w:cs="Times New Roman"/>
          <w:sz w:val="20"/>
          <w:szCs w:val="20"/>
        </w:rPr>
        <w:t>.</w:t>
      </w:r>
      <w:r w:rsidRPr="0089051B">
        <w:rPr>
          <w:rFonts w:ascii="Times New Roman" w:hAnsi="Times New Roman" w:cs="Times New Roman"/>
          <w:sz w:val="20"/>
          <w:szCs w:val="20"/>
        </w:rPr>
        <w:t xml:space="preserve"> 1983</w:t>
      </w:r>
      <w:r>
        <w:rPr>
          <w:rFonts w:ascii="Times New Roman" w:hAnsi="Times New Roman" w:cs="Times New Roman"/>
          <w:sz w:val="20"/>
          <w:szCs w:val="20"/>
        </w:rPr>
        <w:t>,</w:t>
      </w:r>
      <w:r w:rsidRPr="0089051B">
        <w:rPr>
          <w:rFonts w:ascii="Times New Roman" w:hAnsi="Times New Roman" w:cs="Times New Roman"/>
          <w:sz w:val="20"/>
          <w:szCs w:val="20"/>
        </w:rPr>
        <w:t xml:space="preserve"> L 109/8.</w:t>
      </w:r>
      <w:proofErr w:type="gramEnd"/>
      <w:r w:rsidRPr="0089051B">
        <w:rPr>
          <w:rFonts w:ascii="Times New Roman" w:hAnsi="Times New Roman" w:cs="Times New Roman"/>
          <w:sz w:val="20"/>
          <w:szCs w:val="20"/>
        </w:rPr>
        <w:t xml:space="preserve"> </w:t>
      </w:r>
    </w:p>
  </w:footnote>
  <w:footnote w:id="96">
    <w:p w14:paraId="6BDBDE4A" w14:textId="45996B86" w:rsidR="00F9432E" w:rsidRPr="0089051B" w:rsidRDefault="00F9432E" w:rsidP="0061452E">
      <w:pPr>
        <w:pStyle w:val="FootnoteText"/>
        <w:jc w:val="both"/>
        <w:rPr>
          <w:rFonts w:ascii="Times New Roman" w:hAnsi="Times New Roman" w:cs="Times New Roman"/>
          <w:sz w:val="20"/>
          <w:szCs w:val="20"/>
          <w:highlight w:val="yellow"/>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C-194/94, </w:t>
      </w:r>
      <w:r w:rsidRPr="0089051B">
        <w:rPr>
          <w:rFonts w:ascii="Times New Roman" w:hAnsi="Times New Roman" w:cs="Times New Roman"/>
          <w:i/>
          <w:sz w:val="20"/>
          <w:szCs w:val="20"/>
        </w:rPr>
        <w:t>CIA Security,</w:t>
      </w:r>
      <w:r w:rsidRPr="0089051B">
        <w:rPr>
          <w:rFonts w:ascii="Times New Roman" w:hAnsi="Times New Roman" w:cs="Times New Roman"/>
          <w:sz w:val="20"/>
          <w:szCs w:val="20"/>
        </w:rPr>
        <w:t xml:space="preserve"> EU</w:t>
      </w:r>
      <w:proofErr w:type="gramStart"/>
      <w:r w:rsidRPr="0089051B">
        <w:rPr>
          <w:rFonts w:ascii="Times New Roman" w:hAnsi="Times New Roman" w:cs="Times New Roman"/>
          <w:sz w:val="20"/>
          <w:szCs w:val="20"/>
        </w:rPr>
        <w:t>:C:1996:172</w:t>
      </w:r>
      <w:proofErr w:type="gramEnd"/>
      <w:r w:rsidRPr="0089051B">
        <w:rPr>
          <w:rFonts w:ascii="Times New Roman" w:hAnsi="Times New Roman" w:cs="Times New Roman"/>
          <w:sz w:val="20"/>
          <w:szCs w:val="20"/>
        </w:rPr>
        <w:t xml:space="preserve">; Case C-443/98, </w:t>
      </w:r>
      <w:r w:rsidRPr="0089051B">
        <w:rPr>
          <w:rFonts w:ascii="Times New Roman" w:hAnsi="Times New Roman" w:cs="Times New Roman"/>
          <w:i/>
          <w:sz w:val="20"/>
          <w:szCs w:val="20"/>
        </w:rPr>
        <w:t>Unilever Italia</w:t>
      </w:r>
      <w:r w:rsidRPr="0089051B">
        <w:rPr>
          <w:rFonts w:ascii="Times New Roman" w:hAnsi="Times New Roman" w:cs="Times New Roman"/>
          <w:sz w:val="20"/>
          <w:szCs w:val="20"/>
        </w:rPr>
        <w:t xml:space="preserve">, EU:C:2000:496.  </w:t>
      </w:r>
    </w:p>
  </w:footnote>
  <w:footnote w:id="97">
    <w:p w14:paraId="7A3D72B6" w14:textId="3819F68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See </w:t>
      </w:r>
      <w:r>
        <w:rPr>
          <w:rFonts w:ascii="Times New Roman" w:hAnsi="Times New Roman" w:cs="Times New Roman"/>
          <w:sz w:val="20"/>
          <w:szCs w:val="20"/>
          <w:lang w:val="en-US"/>
        </w:rPr>
        <w:t>Art</w:t>
      </w:r>
      <w:r w:rsidRPr="0089051B">
        <w:rPr>
          <w:rFonts w:ascii="Times New Roman" w:hAnsi="Times New Roman" w:cs="Times New Roman"/>
          <w:sz w:val="20"/>
          <w:szCs w:val="20"/>
          <w:lang w:val="en-US"/>
        </w:rPr>
        <w:t xml:space="preserve"> 6(7).</w:t>
      </w:r>
    </w:p>
  </w:footnote>
  <w:footnote w:id="98">
    <w:p w14:paraId="0457CDFA" w14:textId="4B5CB124"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See further, e.g. Dougan</w:t>
      </w:r>
      <w:r>
        <w:rPr>
          <w:rFonts w:ascii="Times New Roman" w:hAnsi="Times New Roman" w:cs="Times New Roman"/>
          <w:sz w:val="20"/>
          <w:szCs w:val="20"/>
        </w:rPr>
        <w:t>,</w:t>
      </w:r>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 xml:space="preserve">40 </w:t>
      </w:r>
      <w:r w:rsidRPr="009E5694">
        <w:rPr>
          <w:rFonts w:ascii="Times New Roman" w:hAnsi="Times New Roman" w:cs="Times New Roman"/>
          <w:sz w:val="20"/>
          <w:szCs w:val="20"/>
        </w:rPr>
        <w:t xml:space="preserve">CML Rev. </w:t>
      </w:r>
      <w:r>
        <w:rPr>
          <w:rFonts w:ascii="Times New Roman" w:hAnsi="Times New Roman" w:cs="Times New Roman"/>
          <w:sz w:val="20"/>
          <w:szCs w:val="20"/>
        </w:rPr>
        <w:t xml:space="preserve">(2003), </w:t>
      </w:r>
      <w:r w:rsidRPr="0089051B">
        <w:rPr>
          <w:rFonts w:ascii="Times New Roman" w:hAnsi="Times New Roman" w:cs="Times New Roman"/>
          <w:sz w:val="20"/>
          <w:szCs w:val="20"/>
        </w:rPr>
        <w:t>193.</w:t>
      </w:r>
      <w:proofErr w:type="gramEnd"/>
    </w:p>
  </w:footnote>
  <w:footnote w:id="99">
    <w:p w14:paraId="42F22FC6" w14:textId="320D653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in particular, </w:t>
      </w:r>
      <w:r>
        <w:rPr>
          <w:rFonts w:ascii="Times New Roman" w:hAnsi="Times New Roman" w:cs="Times New Roman"/>
          <w:sz w:val="20"/>
          <w:szCs w:val="20"/>
        </w:rPr>
        <w:t xml:space="preserve">Arts </w:t>
      </w:r>
      <w:r w:rsidRPr="0089051B">
        <w:rPr>
          <w:rFonts w:ascii="Times New Roman" w:hAnsi="Times New Roman" w:cs="Times New Roman"/>
          <w:sz w:val="20"/>
          <w:szCs w:val="20"/>
        </w:rPr>
        <w:t xml:space="preserve">2 and 3 TEU and </w:t>
      </w:r>
      <w:r>
        <w:rPr>
          <w:rFonts w:ascii="Times New Roman" w:hAnsi="Times New Roman" w:cs="Times New Roman"/>
          <w:sz w:val="20"/>
          <w:szCs w:val="20"/>
        </w:rPr>
        <w:t xml:space="preserve">Arts </w:t>
      </w:r>
      <w:r w:rsidRPr="0089051B">
        <w:rPr>
          <w:rFonts w:ascii="Times New Roman" w:hAnsi="Times New Roman" w:cs="Times New Roman"/>
          <w:sz w:val="20"/>
          <w:szCs w:val="20"/>
        </w:rPr>
        <w:t>7-17 TFEU.</w:t>
      </w:r>
    </w:p>
  </w:footnote>
  <w:footnote w:id="100">
    <w:p w14:paraId="178C3F49" w14:textId="49377824"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Section 5.1 (above).  </w:t>
      </w:r>
    </w:p>
  </w:footnote>
  <w:footnote w:id="101">
    <w:p w14:paraId="7AE990E1" w14:textId="22D63EE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Cp. Case C-650/13, </w:t>
      </w:r>
      <w:proofErr w:type="spellStart"/>
      <w:r w:rsidRPr="0089051B">
        <w:rPr>
          <w:rFonts w:ascii="Times New Roman" w:hAnsi="Times New Roman" w:cs="Times New Roman"/>
          <w:i/>
          <w:sz w:val="20"/>
          <w:szCs w:val="20"/>
          <w:lang w:val="en-US"/>
        </w:rPr>
        <w:t>Delvigne</w:t>
      </w:r>
      <w:proofErr w:type="spellEnd"/>
      <w:r w:rsidRPr="0089051B">
        <w:rPr>
          <w:rFonts w:ascii="Times New Roman" w:hAnsi="Times New Roman" w:cs="Times New Roman"/>
          <w:sz w:val="20"/>
          <w:szCs w:val="20"/>
          <w:lang w:val="en-US"/>
        </w:rPr>
        <w:t>, EU</w:t>
      </w:r>
      <w:proofErr w:type="gramStart"/>
      <w:r w:rsidRPr="0089051B">
        <w:rPr>
          <w:rFonts w:ascii="Times New Roman" w:hAnsi="Times New Roman" w:cs="Times New Roman"/>
          <w:sz w:val="20"/>
          <w:szCs w:val="20"/>
          <w:lang w:val="en-US"/>
        </w:rPr>
        <w:t>:C:2015:648</w:t>
      </w:r>
      <w:proofErr w:type="gramEnd"/>
      <w:r w:rsidRPr="0089051B">
        <w:rPr>
          <w:rFonts w:ascii="Times New Roman" w:hAnsi="Times New Roman" w:cs="Times New Roman"/>
          <w:sz w:val="20"/>
          <w:szCs w:val="20"/>
          <w:lang w:val="en-US"/>
        </w:rPr>
        <w:t>.</w:t>
      </w:r>
    </w:p>
  </w:footnote>
  <w:footnote w:id="102">
    <w:p w14:paraId="7469AF6D" w14:textId="6702B25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[2013] UKSC 63.</w:t>
      </w:r>
      <w:proofErr w:type="gramEnd"/>
    </w:p>
  </w:footnote>
  <w:footnote w:id="103">
    <w:p w14:paraId="4DA2F0DE" w14:textId="0B565276"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lang w:val="en-US"/>
        </w:rPr>
        <w:t xml:space="preserve">Ibid,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69-74.</w:t>
      </w:r>
      <w:proofErr w:type="gramEnd"/>
      <w:r w:rsidRPr="0089051B">
        <w:rPr>
          <w:rFonts w:ascii="Times New Roman" w:hAnsi="Times New Roman" w:cs="Times New Roman"/>
          <w:sz w:val="20"/>
          <w:szCs w:val="20"/>
          <w:lang w:val="en-US"/>
        </w:rPr>
        <w:t xml:space="preserve">  </w:t>
      </w:r>
    </w:p>
  </w:footnote>
  <w:footnote w:id="104">
    <w:p w14:paraId="0838110D" w14:textId="02408D1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Cases C-186/11 and C-209/11, </w:t>
      </w:r>
      <w:proofErr w:type="spellStart"/>
      <w:r w:rsidRPr="0089051B">
        <w:rPr>
          <w:rFonts w:ascii="Times New Roman" w:hAnsi="Times New Roman" w:cs="Times New Roman"/>
          <w:i/>
          <w:sz w:val="20"/>
          <w:szCs w:val="20"/>
        </w:rPr>
        <w:t>Stanleybet</w:t>
      </w:r>
      <w:proofErr w:type="spellEnd"/>
      <w:r w:rsidRPr="0089051B">
        <w:rPr>
          <w:rFonts w:ascii="Times New Roman" w:hAnsi="Times New Roman" w:cs="Times New Roman"/>
          <w:i/>
          <w:sz w:val="20"/>
          <w:szCs w:val="20"/>
        </w:rPr>
        <w:t xml:space="preserve"> International</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:C:2013:33</w:t>
      </w:r>
      <w:proofErr w:type="gramEnd"/>
      <w:r w:rsidRPr="0089051B">
        <w:rPr>
          <w:rFonts w:ascii="Times New Roman" w:hAnsi="Times New Roman" w:cs="Times New Roman"/>
          <w:sz w:val="20"/>
          <w:szCs w:val="20"/>
        </w:rPr>
        <w:t>.</w:t>
      </w:r>
    </w:p>
  </w:footnote>
  <w:footnote w:id="105">
    <w:p w14:paraId="7599A2C1" w14:textId="65CAF0B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On the issue of judicial and / or administrative activism in substituting replacement solutions for incompatible national rules pending the latter’s replacement by the legislature, consider also the (rather peculiar) ruling </w:t>
      </w:r>
      <w:r w:rsidRPr="0089051B">
        <w:rPr>
          <w:rFonts w:ascii="Times New Roman" w:hAnsi="Times New Roman" w:cs="Times New Roman"/>
          <w:sz w:val="20"/>
          <w:szCs w:val="20"/>
        </w:rPr>
        <w:t xml:space="preserve">in Case C-384/17, </w:t>
      </w:r>
      <w:proofErr w:type="spellStart"/>
      <w:r w:rsidRPr="0089051B">
        <w:rPr>
          <w:rFonts w:ascii="Times New Roman" w:hAnsi="Times New Roman" w:cs="Times New Roman"/>
          <w:i/>
          <w:sz w:val="20"/>
          <w:szCs w:val="20"/>
        </w:rPr>
        <w:t>Dooel</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Uvoz-Izvoz</w:t>
      </w:r>
      <w:proofErr w:type="spellEnd"/>
      <w:r w:rsidRPr="0089051B">
        <w:rPr>
          <w:rFonts w:ascii="Times New Roman" w:hAnsi="Times New Roman" w:cs="Times New Roman"/>
          <w:i/>
          <w:sz w:val="20"/>
          <w:szCs w:val="20"/>
        </w:rPr>
        <w:t xml:space="preserve"> Skopje Link Logistic</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:C:2018:810</w:t>
      </w:r>
      <w:proofErr w:type="gramEnd"/>
      <w:r w:rsidRPr="0089051B">
        <w:rPr>
          <w:rFonts w:ascii="Times New Roman" w:hAnsi="Times New Roman" w:cs="Times New Roman"/>
          <w:sz w:val="20"/>
          <w:szCs w:val="20"/>
        </w:rPr>
        <w:t>.</w:t>
      </w:r>
    </w:p>
  </w:footnote>
  <w:footnote w:id="106">
    <w:p w14:paraId="4E98D47E" w14:textId="2C52FB63"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The only exception, according to AG Bot, being the grant of interim relief against allegedly invalid Union act</w:t>
      </w:r>
      <w:r>
        <w:rPr>
          <w:rFonts w:ascii="Times New Roman" w:hAnsi="Times New Roman" w:cs="Times New Roman"/>
          <w:sz w:val="20"/>
          <w:szCs w:val="20"/>
        </w:rPr>
        <w:t>s</w:t>
      </w:r>
      <w:r w:rsidRPr="0089051B">
        <w:rPr>
          <w:rFonts w:ascii="Times New Roman" w:hAnsi="Times New Roman" w:cs="Times New Roman"/>
          <w:sz w:val="20"/>
          <w:szCs w:val="20"/>
        </w:rPr>
        <w:t xml:space="preserve"> under conditions laid down by the Court analogous to those applicable in the case of direct actions for annulment: see Case C-409/06,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:C:2010:38</w:t>
      </w:r>
      <w:proofErr w:type="gram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88.  </w:t>
      </w:r>
    </w:p>
  </w:footnote>
  <w:footnote w:id="107">
    <w:p w14:paraId="5A11E3BA" w14:textId="7302926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Ibid,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94-109.</w:t>
      </w:r>
      <w:proofErr w:type="gramEnd"/>
    </w:p>
  </w:footnote>
  <w:footnote w:id="108">
    <w:p w14:paraId="6DCE0BF2" w14:textId="243E3DE6" w:rsidR="00F9432E" w:rsidRPr="0089051B" w:rsidRDefault="00F9432E">
      <w:pPr>
        <w:pStyle w:val="FootnoteText"/>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See Section 4 (above).</w:t>
      </w:r>
    </w:p>
  </w:footnote>
  <w:footnote w:id="109">
    <w:p w14:paraId="183E2724" w14:textId="7B63ECD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The broader question of EU scrutiny over national autonomy as regards remedies and procedural rules obviously provides a wealth of examples.</w:t>
      </w:r>
    </w:p>
  </w:footnote>
  <w:footnote w:id="110">
    <w:p w14:paraId="03919A96" w14:textId="2BFA40A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41/84, </w:t>
      </w:r>
      <w:r w:rsidRPr="0089051B">
        <w:rPr>
          <w:rFonts w:ascii="Times New Roman" w:hAnsi="Times New Roman" w:cs="Times New Roman"/>
          <w:i/>
          <w:sz w:val="20"/>
          <w:szCs w:val="20"/>
        </w:rPr>
        <w:t>Pinna</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:C:1986:1</w:t>
      </w:r>
      <w:proofErr w:type="gramEnd"/>
      <w:r w:rsidRPr="0089051B">
        <w:rPr>
          <w:rFonts w:ascii="Times New Roman" w:hAnsi="Times New Roman" w:cs="Times New Roman"/>
          <w:sz w:val="20"/>
          <w:szCs w:val="20"/>
        </w:rPr>
        <w:t xml:space="preserve">.  </w:t>
      </w:r>
    </w:p>
  </w:footnote>
  <w:footnote w:id="111">
    <w:p w14:paraId="49640B8C" w14:textId="4604528C"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Under </w:t>
      </w:r>
      <w:r>
        <w:rPr>
          <w:rFonts w:ascii="Times New Roman" w:hAnsi="Times New Roman" w:cs="Times New Roman"/>
          <w:sz w:val="20"/>
          <w:szCs w:val="20"/>
        </w:rPr>
        <w:t>Art</w:t>
      </w:r>
      <w:r w:rsidRPr="0089051B">
        <w:rPr>
          <w:rFonts w:ascii="Times New Roman" w:hAnsi="Times New Roman" w:cs="Times New Roman"/>
          <w:sz w:val="20"/>
          <w:szCs w:val="20"/>
        </w:rPr>
        <w:t xml:space="preserve"> 264 TFEU (or the equivalent powers available in respect of </w:t>
      </w:r>
      <w:r>
        <w:rPr>
          <w:rFonts w:ascii="Times New Roman" w:hAnsi="Times New Roman" w:cs="Times New Roman"/>
          <w:sz w:val="20"/>
          <w:szCs w:val="20"/>
        </w:rPr>
        <w:t>Art</w:t>
      </w:r>
      <w:r w:rsidRPr="0089051B">
        <w:rPr>
          <w:rFonts w:ascii="Times New Roman" w:hAnsi="Times New Roman" w:cs="Times New Roman"/>
          <w:sz w:val="20"/>
          <w:szCs w:val="20"/>
        </w:rPr>
        <w:t xml:space="preserve"> 267 TFEU). </w:t>
      </w:r>
    </w:p>
  </w:footnote>
  <w:footnote w:id="112">
    <w:p w14:paraId="186FE85C" w14:textId="10382E2A"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C-402/05 and C-415/05, </w:t>
      </w:r>
      <w:proofErr w:type="spellStart"/>
      <w:r w:rsidRPr="0089051B">
        <w:rPr>
          <w:rFonts w:ascii="Times New Roman" w:hAnsi="Times New Roman" w:cs="Times New Roman"/>
          <w:i/>
          <w:sz w:val="20"/>
          <w:szCs w:val="20"/>
        </w:rPr>
        <w:t>Kadi</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:C:2008:461</w:t>
      </w:r>
      <w:proofErr w:type="gramEnd"/>
      <w:r w:rsidRPr="0089051B">
        <w:rPr>
          <w:rFonts w:ascii="Times New Roman" w:hAnsi="Times New Roman" w:cs="Times New Roman"/>
          <w:sz w:val="20"/>
          <w:szCs w:val="20"/>
        </w:rPr>
        <w:t>.</w:t>
      </w:r>
    </w:p>
  </w:footnote>
  <w:footnote w:id="113">
    <w:p w14:paraId="71C0EFBF" w14:textId="514128B0"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Section 5.1 (above).  </w:t>
      </w:r>
    </w:p>
  </w:footnote>
  <w:footnote w:id="114">
    <w:p w14:paraId="7B2AAC65" w14:textId="5070D10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See further, e.g. Dougan, </w:t>
      </w:r>
      <w:r w:rsidRPr="0089051B">
        <w:rPr>
          <w:rFonts w:ascii="Times New Roman" w:eastAsia="Times New Roman" w:hAnsi="Times New Roman" w:cs="Times New Roman"/>
          <w:sz w:val="20"/>
          <w:szCs w:val="20"/>
          <w:lang w:eastAsia="en-GB"/>
        </w:rPr>
        <w:t xml:space="preserve">“Addressing Issues of Protective Scope within the </w:t>
      </w:r>
      <w:proofErr w:type="spellStart"/>
      <w:r w:rsidRPr="0089051B">
        <w:rPr>
          <w:rFonts w:ascii="Times New Roman" w:eastAsia="Times New Roman" w:hAnsi="Times New Roman" w:cs="Times New Roman"/>
          <w:i/>
          <w:sz w:val="20"/>
          <w:szCs w:val="20"/>
          <w:lang w:eastAsia="en-GB"/>
        </w:rPr>
        <w:t>Francovich</w:t>
      </w:r>
      <w:proofErr w:type="spellEnd"/>
      <w:r w:rsidRPr="0089051B">
        <w:rPr>
          <w:rFonts w:ascii="Times New Roman" w:eastAsia="Times New Roman" w:hAnsi="Times New Roman" w:cs="Times New Roman"/>
          <w:sz w:val="20"/>
          <w:szCs w:val="20"/>
          <w:lang w:eastAsia="en-GB"/>
        </w:rPr>
        <w:t xml:space="preserve"> Right to Reparation”</w:t>
      </w:r>
      <w:r>
        <w:rPr>
          <w:rFonts w:ascii="Times New Roman" w:eastAsia="Times New Roman" w:hAnsi="Times New Roman" w:cs="Times New Roman"/>
          <w:sz w:val="20"/>
          <w:szCs w:val="20"/>
          <w:lang w:eastAsia="en-GB"/>
        </w:rPr>
        <w:t>,</w:t>
      </w:r>
      <w:r w:rsidRPr="0089051B">
        <w:rPr>
          <w:rFonts w:ascii="Times New Roman" w:eastAsia="Times New Roman" w:hAnsi="Times New Roman" w:cs="Times New Roman"/>
          <w:sz w:val="20"/>
          <w:szCs w:val="20"/>
          <w:lang w:eastAsia="en-GB"/>
        </w:rPr>
        <w:t xml:space="preserve"> 13 </w:t>
      </w:r>
      <w:proofErr w:type="spellStart"/>
      <w:r w:rsidRPr="009E5694">
        <w:rPr>
          <w:rFonts w:ascii="Times New Roman" w:eastAsia="Times New Roman" w:hAnsi="Times New Roman" w:cs="Times New Roman"/>
          <w:sz w:val="20"/>
          <w:szCs w:val="20"/>
          <w:lang w:eastAsia="en-GB"/>
        </w:rPr>
        <w:t>EUConst</w:t>
      </w:r>
      <w:proofErr w:type="spellEnd"/>
      <w:r w:rsidRPr="009E5694">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(2017), </w:t>
      </w:r>
      <w:r w:rsidRPr="0089051B">
        <w:rPr>
          <w:rFonts w:ascii="Times New Roman" w:eastAsia="Times New Roman" w:hAnsi="Times New Roman" w:cs="Times New Roman"/>
          <w:sz w:val="20"/>
          <w:szCs w:val="20"/>
          <w:lang w:eastAsia="en-GB"/>
        </w:rPr>
        <w:t>124.</w:t>
      </w:r>
      <w:proofErr w:type="gramEnd"/>
    </w:p>
  </w:footnote>
  <w:footnote w:id="115">
    <w:p w14:paraId="4C1C9206" w14:textId="56216A31"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Cases C-6/90 &amp; C-9/90, </w:t>
      </w:r>
      <w:proofErr w:type="spellStart"/>
      <w:r w:rsidRPr="0089051B">
        <w:rPr>
          <w:rFonts w:ascii="Times New Roman" w:hAnsi="Times New Roman" w:cs="Times New Roman"/>
          <w:i/>
          <w:sz w:val="20"/>
          <w:szCs w:val="20"/>
        </w:rPr>
        <w:t>Francovich</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:C:1991:428</w:t>
      </w:r>
      <w:proofErr w:type="gramEnd"/>
      <w:r w:rsidRPr="0089051B">
        <w:rPr>
          <w:rFonts w:ascii="Times New Roman" w:hAnsi="Times New Roman" w:cs="Times New Roman"/>
          <w:sz w:val="20"/>
          <w:szCs w:val="20"/>
        </w:rPr>
        <w:t>.</w:t>
      </w:r>
    </w:p>
  </w:footnote>
  <w:footnote w:id="116">
    <w:p w14:paraId="418DA304" w14:textId="2B225D3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Indeed: that is true in all situations where the intended beneficiaries of Union law are unable to rely on its direct effect and thence primacy, e.g. Cases C-6/90 &amp; C-9/90, </w:t>
      </w:r>
      <w:proofErr w:type="spellStart"/>
      <w:r w:rsidRPr="0089051B">
        <w:rPr>
          <w:rFonts w:ascii="Times New Roman" w:hAnsi="Times New Roman" w:cs="Times New Roman"/>
          <w:i/>
          <w:sz w:val="20"/>
          <w:szCs w:val="20"/>
        </w:rPr>
        <w:t>Francovich</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:C:1991:428</w:t>
      </w:r>
      <w:proofErr w:type="gramEnd"/>
      <w:r w:rsidRPr="0089051B">
        <w:rPr>
          <w:rFonts w:ascii="Times New Roman" w:hAnsi="Times New Roman" w:cs="Times New Roman"/>
          <w:sz w:val="20"/>
          <w:szCs w:val="20"/>
        </w:rPr>
        <w:t xml:space="preserve">; Case C-91/92, </w:t>
      </w:r>
      <w:proofErr w:type="spellStart"/>
      <w:r w:rsidRPr="0089051B">
        <w:rPr>
          <w:rFonts w:ascii="Times New Roman" w:hAnsi="Times New Roman" w:cs="Times New Roman"/>
          <w:i/>
          <w:sz w:val="20"/>
          <w:szCs w:val="20"/>
        </w:rPr>
        <w:t>Faccini</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Dori</w:t>
      </w:r>
      <w:proofErr w:type="spellEnd"/>
      <w:r w:rsidRPr="0089051B">
        <w:rPr>
          <w:rFonts w:ascii="Times New Roman" w:hAnsi="Times New Roman" w:cs="Times New Roman"/>
          <w:sz w:val="20"/>
          <w:szCs w:val="20"/>
        </w:rPr>
        <w:t>, EU:C:1994:292.</w:t>
      </w:r>
    </w:p>
  </w:footnote>
  <w:footnote w:id="117">
    <w:p w14:paraId="139481FD" w14:textId="25C81C0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C-409/06,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:C:2010:503</w:t>
      </w:r>
      <w:proofErr w:type="gramEnd"/>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See further, e.g. </w:t>
      </w:r>
      <w:proofErr w:type="spellStart"/>
      <w:r w:rsidRPr="0089051B">
        <w:rPr>
          <w:rFonts w:ascii="Times New Roman" w:hAnsi="Times New Roman" w:cs="Times New Roman"/>
          <w:sz w:val="20"/>
          <w:szCs w:val="20"/>
        </w:rPr>
        <w:t>Beukers</w:t>
      </w:r>
      <w:proofErr w:type="spellEnd"/>
      <w:r>
        <w:rPr>
          <w:rFonts w:ascii="Times New Roman" w:hAnsi="Times New Roman" w:cs="Times New Roman"/>
          <w:sz w:val="20"/>
          <w:szCs w:val="20"/>
        </w:rPr>
        <w:t>,</w:t>
      </w:r>
      <w:r w:rsidRPr="0089051B">
        <w:rPr>
          <w:rFonts w:ascii="Times New Roman" w:hAnsi="Times New Roman" w:cs="Times New Roman"/>
          <w:sz w:val="20"/>
          <w:szCs w:val="20"/>
        </w:rPr>
        <w:t xml:space="preserve"> 48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(2011), </w:t>
      </w:r>
      <w:r w:rsidRPr="0089051B">
        <w:rPr>
          <w:rFonts w:ascii="Times New Roman" w:hAnsi="Times New Roman" w:cs="Times New Roman"/>
          <w:sz w:val="20"/>
          <w:szCs w:val="20"/>
        </w:rPr>
        <w:t>1985.</w:t>
      </w:r>
      <w:proofErr w:type="gramEnd"/>
      <w:r w:rsidRPr="0089051B">
        <w:rPr>
          <w:rFonts w:ascii="Times New Roman" w:hAnsi="Times New Roman" w:cs="Times New Roman"/>
          <w:sz w:val="20"/>
          <w:szCs w:val="20"/>
        </w:rPr>
        <w:t xml:space="preserve">  </w:t>
      </w:r>
    </w:p>
  </w:footnote>
  <w:footnote w:id="118">
    <w:p w14:paraId="53F5E27B" w14:textId="0D780D7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C-41/11,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:C:2012:103</w:t>
      </w:r>
      <w:proofErr w:type="gramEnd"/>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See further, e.g. Lock</w:t>
      </w:r>
      <w:r>
        <w:rPr>
          <w:rFonts w:ascii="Times New Roman" w:hAnsi="Times New Roman" w:cs="Times New Roman"/>
          <w:sz w:val="20"/>
          <w:szCs w:val="20"/>
        </w:rPr>
        <w:t>,</w:t>
      </w:r>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 xml:space="preserve">50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(2013), </w:t>
      </w:r>
      <w:r w:rsidRPr="0089051B">
        <w:rPr>
          <w:rFonts w:ascii="Times New Roman" w:hAnsi="Times New Roman" w:cs="Times New Roman"/>
          <w:sz w:val="20"/>
          <w:szCs w:val="20"/>
        </w:rPr>
        <w:t>217.</w:t>
      </w:r>
      <w:proofErr w:type="gramEnd"/>
      <w:r w:rsidRPr="0089051B">
        <w:rPr>
          <w:rFonts w:ascii="Times New Roman" w:hAnsi="Times New Roman" w:cs="Times New Roman"/>
          <w:sz w:val="20"/>
          <w:szCs w:val="20"/>
        </w:rPr>
        <w:t xml:space="preserve">  </w:t>
      </w:r>
    </w:p>
  </w:footnote>
  <w:footnote w:id="119">
    <w:p w14:paraId="7DD6CF52" w14:textId="3CCF9204"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The Court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did not even refer to its previous ruling in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However, potential differences in approach / interpretation were explicitly considered / suggested by AG </w:t>
      </w:r>
      <w:proofErr w:type="spellStart"/>
      <w:r w:rsidRPr="0089051B">
        <w:rPr>
          <w:rFonts w:ascii="Times New Roman" w:hAnsi="Times New Roman" w:cs="Times New Roman"/>
          <w:sz w:val="20"/>
          <w:szCs w:val="20"/>
        </w:rPr>
        <w:t>Kokott</w:t>
      </w:r>
      <w:proofErr w:type="spellEnd"/>
      <w:r w:rsidRPr="0089051B">
        <w:rPr>
          <w:rFonts w:ascii="Times New Roman" w:hAnsi="Times New Roman" w:cs="Times New Roman"/>
          <w:sz w:val="20"/>
          <w:szCs w:val="20"/>
        </w:rPr>
        <w:t xml:space="preserve"> in both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:C:2011:822</w:t>
      </w:r>
      <w:proofErr w:type="gramEnd"/>
      <w:r w:rsidRPr="0089051B">
        <w:rPr>
          <w:rFonts w:ascii="Times New Roman" w:hAnsi="Times New Roman" w:cs="Times New Roman"/>
          <w:sz w:val="20"/>
          <w:szCs w:val="20"/>
        </w:rPr>
        <w:t xml:space="preserve"> and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EU:C:2016:309.  </w:t>
      </w:r>
    </w:p>
  </w:footnote>
  <w:footnote w:id="120">
    <w:p w14:paraId="0BB43E61" w14:textId="35AC43B7"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C-379/15,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:C:2016:603</w:t>
      </w:r>
      <w:proofErr w:type="gramEnd"/>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See further, e.g. </w:t>
      </w:r>
      <w:proofErr w:type="spellStart"/>
      <w:r w:rsidRPr="0089051B">
        <w:rPr>
          <w:rFonts w:ascii="Times New Roman" w:hAnsi="Times New Roman" w:cs="Times New Roman"/>
          <w:sz w:val="20"/>
          <w:szCs w:val="20"/>
        </w:rPr>
        <w:t>Sowery</w:t>
      </w:r>
      <w:proofErr w:type="spellEnd"/>
      <w:r>
        <w:rPr>
          <w:rFonts w:ascii="Times New Roman" w:hAnsi="Times New Roman" w:cs="Times New Roman"/>
          <w:sz w:val="20"/>
          <w:szCs w:val="20"/>
        </w:rPr>
        <w:t>,</w:t>
      </w:r>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 xml:space="preserve">54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(2017), </w:t>
      </w:r>
      <w:r w:rsidRPr="0089051B">
        <w:rPr>
          <w:rFonts w:ascii="Times New Roman" w:hAnsi="Times New Roman" w:cs="Times New Roman"/>
          <w:sz w:val="20"/>
          <w:szCs w:val="20"/>
        </w:rPr>
        <w:t>1157.</w:t>
      </w:r>
      <w:proofErr w:type="gramEnd"/>
      <w:r w:rsidRPr="0089051B">
        <w:rPr>
          <w:rFonts w:ascii="Times New Roman" w:hAnsi="Times New Roman" w:cs="Times New Roman"/>
          <w:sz w:val="20"/>
          <w:szCs w:val="20"/>
        </w:rPr>
        <w:t xml:space="preserve">  </w:t>
      </w:r>
    </w:p>
  </w:footnote>
  <w:footnote w:id="121">
    <w:p w14:paraId="231C6A9E" w14:textId="76568456"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63.  See also AG Bot in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79-82 Opinion.  </w:t>
      </w:r>
    </w:p>
  </w:footnote>
  <w:footnote w:id="122">
    <w:p w14:paraId="5AE50361" w14:textId="76594FE9"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lang w:val="en-US"/>
        </w:rPr>
        <w:t>para</w:t>
      </w:r>
      <w:proofErr w:type="spellEnd"/>
      <w:r w:rsidRPr="0089051B">
        <w:rPr>
          <w:rFonts w:ascii="Times New Roman" w:hAnsi="Times New Roman" w:cs="Times New Roman"/>
          <w:sz w:val="20"/>
          <w:szCs w:val="20"/>
          <w:lang w:val="en-US"/>
        </w:rPr>
        <w:t xml:space="preserve"> 67.</w:t>
      </w:r>
    </w:p>
  </w:footnote>
  <w:footnote w:id="123">
    <w:p w14:paraId="03A23560" w14:textId="77777777"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Note AG </w:t>
      </w:r>
      <w:proofErr w:type="spellStart"/>
      <w:r w:rsidRPr="0089051B">
        <w:rPr>
          <w:rFonts w:ascii="Times New Roman" w:hAnsi="Times New Roman" w:cs="Times New Roman"/>
          <w:sz w:val="20"/>
          <w:szCs w:val="20"/>
        </w:rPr>
        <w:t>Kokott</w:t>
      </w:r>
      <w:proofErr w:type="spellEnd"/>
      <w:r w:rsidRPr="0089051B">
        <w:rPr>
          <w:rFonts w:ascii="Times New Roman" w:hAnsi="Times New Roman" w:cs="Times New Roman"/>
          <w:sz w:val="20"/>
          <w:szCs w:val="20"/>
        </w:rPr>
        <w:t xml:space="preserve">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20-21 Opinion.  </w:t>
      </w:r>
      <w:r w:rsidRPr="0089051B">
        <w:rPr>
          <w:rFonts w:ascii="Times New Roman" w:hAnsi="Times New Roman" w:cs="Times New Roman"/>
          <w:sz w:val="20"/>
          <w:szCs w:val="20"/>
          <w:lang w:val="en-US"/>
        </w:rPr>
        <w:t xml:space="preserve">Consider also the ruling in </w:t>
      </w:r>
    </w:p>
    <w:p w14:paraId="4A15D6E5" w14:textId="5612B772" w:rsidR="00F9432E" w:rsidRPr="0089051B" w:rsidRDefault="00F9432E" w:rsidP="0061452E">
      <w:pPr>
        <w:pStyle w:val="FootnoteText"/>
        <w:jc w:val="both"/>
        <w:rPr>
          <w:rFonts w:ascii="Times New Roman" w:hAnsi="Times New Roman" w:cs="Times New Roman"/>
          <w:sz w:val="20"/>
          <w:szCs w:val="20"/>
          <w:lang w:val="en-US"/>
        </w:rPr>
      </w:pPr>
      <w:proofErr w:type="spellStart"/>
      <w:r w:rsidRPr="0089051B">
        <w:rPr>
          <w:rFonts w:ascii="Times New Roman" w:hAnsi="Times New Roman" w:cs="Times New Roman"/>
          <w:i/>
          <w:sz w:val="20"/>
          <w:szCs w:val="20"/>
        </w:rPr>
        <w:t>Stanleybet</w:t>
      </w:r>
      <w:proofErr w:type="spellEnd"/>
      <w:r w:rsidRPr="0089051B">
        <w:rPr>
          <w:rFonts w:ascii="Times New Roman" w:hAnsi="Times New Roman" w:cs="Times New Roman"/>
          <w:i/>
          <w:sz w:val="20"/>
          <w:szCs w:val="20"/>
        </w:rPr>
        <w:t xml:space="preserve"> International</w:t>
      </w:r>
      <w:r w:rsidRPr="0089051B">
        <w:rPr>
          <w:rFonts w:ascii="Times New Roman" w:hAnsi="Times New Roman" w:cs="Times New Roman"/>
          <w:sz w:val="20"/>
          <w:szCs w:val="20"/>
        </w:rPr>
        <w:t>: the national court’s suggestion to suspend disapplication on a temporary basis was dismissed out of hand by the Court</w:t>
      </w:r>
      <w:proofErr w:type="gramStart"/>
      <w:r w:rsidRPr="0089051B">
        <w:rPr>
          <w:rFonts w:ascii="Times New Roman" w:hAnsi="Times New Roman" w:cs="Times New Roman"/>
          <w:sz w:val="20"/>
          <w:szCs w:val="20"/>
        </w:rPr>
        <w:t>;</w:t>
      </w:r>
      <w:proofErr w:type="gramEnd"/>
      <w:r w:rsidRPr="0089051B">
        <w:rPr>
          <w:rFonts w:ascii="Times New Roman" w:hAnsi="Times New Roman" w:cs="Times New Roman"/>
          <w:sz w:val="20"/>
          <w:szCs w:val="20"/>
        </w:rPr>
        <w:t xml:space="preserve"> but without further consideration of the possibility that the Court itself might directly authorise a “stay of execution” for the disputed national rules.</w:t>
      </w:r>
    </w:p>
  </w:footnote>
  <w:footnote w:id="124">
    <w:p w14:paraId="61FC6829" w14:textId="4A0EA59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p</w:t>
      </w:r>
      <w:proofErr w:type="spellStart"/>
      <w:r w:rsidRPr="0089051B">
        <w:rPr>
          <w:rFonts w:ascii="Times New Roman" w:hAnsi="Times New Roman" w:cs="Times New Roman"/>
          <w:sz w:val="20"/>
          <w:szCs w:val="20"/>
          <w:lang w:val="en-US"/>
        </w:rPr>
        <w:t>ara</w:t>
      </w:r>
      <w:proofErr w:type="spellEnd"/>
      <w:r w:rsidRPr="0089051B">
        <w:rPr>
          <w:rFonts w:ascii="Times New Roman" w:hAnsi="Times New Roman" w:cs="Times New Roman"/>
          <w:sz w:val="20"/>
          <w:szCs w:val="20"/>
          <w:lang w:val="en-US"/>
        </w:rPr>
        <w:t xml:space="preserve"> 33.</w:t>
      </w:r>
    </w:p>
  </w:footnote>
  <w:footnote w:id="125">
    <w:p w14:paraId="512CE620" w14:textId="74FA86F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64 and 67.  Also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p</w:t>
      </w:r>
      <w:proofErr w:type="spellStart"/>
      <w:r w:rsidRPr="0089051B">
        <w:rPr>
          <w:rFonts w:ascii="Times New Roman" w:hAnsi="Times New Roman" w:cs="Times New Roman"/>
          <w:sz w:val="20"/>
          <w:szCs w:val="20"/>
          <w:lang w:val="en-US"/>
        </w:rPr>
        <w:t>ara</w:t>
      </w:r>
      <w:proofErr w:type="spellEnd"/>
      <w:r w:rsidRPr="0089051B">
        <w:rPr>
          <w:rFonts w:ascii="Times New Roman" w:hAnsi="Times New Roman" w:cs="Times New Roman"/>
          <w:sz w:val="20"/>
          <w:szCs w:val="20"/>
          <w:lang w:val="en-US"/>
        </w:rPr>
        <w:t xml:space="preserve"> 33 </w:t>
      </w:r>
    </w:p>
  </w:footnote>
  <w:footnote w:id="126">
    <w:p w14:paraId="4D38E751" w14:textId="71B9D2E3"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65 and 66.</w:t>
      </w:r>
    </w:p>
  </w:footnote>
  <w:footnote w:id="127">
    <w:p w14:paraId="25C17F8E" w14:textId="41FC13C5"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Ibid,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66 and 67.</w:t>
      </w:r>
      <w:proofErr w:type="gramEnd"/>
      <w:r w:rsidRPr="0089051B">
        <w:rPr>
          <w:rFonts w:ascii="Times New Roman" w:hAnsi="Times New Roman" w:cs="Times New Roman"/>
          <w:sz w:val="20"/>
          <w:szCs w:val="20"/>
          <w:lang w:val="en-US"/>
        </w:rPr>
        <w:t xml:space="preserve">  Also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lang w:val="en-US"/>
        </w:rPr>
        <w:t>para</w:t>
      </w:r>
      <w:proofErr w:type="spellEnd"/>
      <w:r w:rsidRPr="0089051B">
        <w:rPr>
          <w:rFonts w:ascii="Times New Roman" w:hAnsi="Times New Roman" w:cs="Times New Roman"/>
          <w:sz w:val="20"/>
          <w:szCs w:val="20"/>
          <w:lang w:val="en-US"/>
        </w:rPr>
        <w:t xml:space="preserve"> 33.</w:t>
      </w:r>
    </w:p>
  </w:footnote>
  <w:footnote w:id="128">
    <w:p w14:paraId="69B3C028" w14:textId="414B5D95"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65 and 66.  Also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lang w:val="en-US"/>
        </w:rPr>
        <w:t>para</w:t>
      </w:r>
      <w:proofErr w:type="spellEnd"/>
      <w:r w:rsidRPr="0089051B">
        <w:rPr>
          <w:rFonts w:ascii="Times New Roman" w:hAnsi="Times New Roman" w:cs="Times New Roman"/>
          <w:sz w:val="20"/>
          <w:szCs w:val="20"/>
          <w:lang w:val="en-US"/>
        </w:rPr>
        <w:t xml:space="preserve"> 33.</w:t>
      </w:r>
    </w:p>
  </w:footnote>
  <w:footnote w:id="129">
    <w:p w14:paraId="59F0C401" w14:textId="342900E6"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 C-137/94, </w:t>
      </w:r>
      <w:r w:rsidRPr="0089051B">
        <w:rPr>
          <w:rFonts w:ascii="Times New Roman" w:hAnsi="Times New Roman" w:cs="Times New Roman"/>
          <w:i/>
          <w:sz w:val="20"/>
          <w:szCs w:val="20"/>
        </w:rPr>
        <w:t>Richardson</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:C:1995:342</w:t>
      </w:r>
      <w:proofErr w:type="gramEnd"/>
      <w:r w:rsidRPr="0089051B">
        <w:rPr>
          <w:rFonts w:ascii="Times New Roman" w:hAnsi="Times New Roman" w:cs="Times New Roman"/>
          <w:sz w:val="20"/>
          <w:szCs w:val="20"/>
        </w:rPr>
        <w:t xml:space="preserve">.  </w:t>
      </w:r>
    </w:p>
  </w:footnote>
  <w:footnote w:id="130">
    <w:p w14:paraId="714626F6" w14:textId="37364763"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On the Court’s general scepticism towards national policy claims not already accommodated within the relevant Union regulatory regime, e.g. Case C-184/12, </w:t>
      </w:r>
      <w:proofErr w:type="spellStart"/>
      <w:r w:rsidRPr="0089051B">
        <w:rPr>
          <w:rFonts w:ascii="Times New Roman" w:hAnsi="Times New Roman" w:cs="Times New Roman"/>
          <w:i/>
          <w:sz w:val="20"/>
          <w:szCs w:val="20"/>
        </w:rPr>
        <w:t>Unamar</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:C:2013:663</w:t>
      </w:r>
      <w:proofErr w:type="gramEnd"/>
      <w:r w:rsidRPr="0089051B">
        <w:rPr>
          <w:rFonts w:ascii="Times New Roman" w:hAnsi="Times New Roman" w:cs="Times New Roman"/>
          <w:sz w:val="20"/>
          <w:szCs w:val="20"/>
        </w:rPr>
        <w:t xml:space="preserve">; Case C-273/15, </w:t>
      </w:r>
      <w:r w:rsidRPr="0089051B">
        <w:rPr>
          <w:rFonts w:ascii="Times New Roman" w:hAnsi="Times New Roman" w:cs="Times New Roman"/>
          <w:i/>
          <w:sz w:val="20"/>
          <w:szCs w:val="20"/>
        </w:rPr>
        <w:t xml:space="preserve">ZS </w:t>
      </w:r>
      <w:proofErr w:type="spellStart"/>
      <w:r w:rsidRPr="0089051B">
        <w:rPr>
          <w:rFonts w:ascii="Times New Roman" w:hAnsi="Times New Roman" w:cs="Times New Roman"/>
          <w:i/>
          <w:sz w:val="20"/>
          <w:szCs w:val="20"/>
        </w:rPr>
        <w:t>Ezernieki</w:t>
      </w:r>
      <w:proofErr w:type="spellEnd"/>
      <w:r w:rsidRPr="0089051B">
        <w:rPr>
          <w:rFonts w:ascii="Times New Roman" w:hAnsi="Times New Roman" w:cs="Times New Roman"/>
          <w:sz w:val="20"/>
          <w:szCs w:val="20"/>
        </w:rPr>
        <w:t>, EU:C:2016:364.</w:t>
      </w:r>
    </w:p>
  </w:footnote>
  <w:footnote w:id="131">
    <w:p w14:paraId="536D9BD0" w14:textId="5A27B911"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Though </w:t>
      </w:r>
      <w:proofErr w:type="gramStart"/>
      <w:r w:rsidRPr="0089051B">
        <w:rPr>
          <w:rFonts w:ascii="Times New Roman" w:hAnsi="Times New Roman" w:cs="Times New Roman"/>
          <w:sz w:val="20"/>
          <w:szCs w:val="20"/>
          <w:lang w:val="en-US"/>
        </w:rPr>
        <w:t>note</w:t>
      </w:r>
      <w:proofErr w:type="gramEnd"/>
      <w:r w:rsidRPr="0089051B">
        <w:rPr>
          <w:rFonts w:ascii="Times New Roman" w:hAnsi="Times New Roman" w:cs="Times New Roman"/>
          <w:sz w:val="20"/>
          <w:szCs w:val="20"/>
          <w:lang w:val="en-US"/>
        </w:rPr>
        <w:t xml:space="preserve"> AG </w:t>
      </w:r>
      <w:proofErr w:type="spellStart"/>
      <w:r w:rsidRPr="0089051B">
        <w:rPr>
          <w:rFonts w:ascii="Times New Roman" w:hAnsi="Times New Roman" w:cs="Times New Roman"/>
          <w:sz w:val="20"/>
          <w:szCs w:val="20"/>
          <w:lang w:val="en-US"/>
        </w:rPr>
        <w:t>Kokott</w:t>
      </w:r>
      <w:proofErr w:type="spellEnd"/>
      <w:r w:rsidRPr="0089051B">
        <w:rPr>
          <w:rFonts w:ascii="Times New Roman" w:hAnsi="Times New Roman" w:cs="Times New Roman"/>
          <w:sz w:val="20"/>
          <w:szCs w:val="20"/>
          <w:lang w:val="en-US"/>
        </w:rPr>
        <w:t xml:space="preserve">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37-38 Opinion: many procedural obligations exist precisely on the assumption that compliance could make a difference to the final outcome.   </w:t>
      </w:r>
    </w:p>
  </w:footnote>
  <w:footnote w:id="132">
    <w:p w14:paraId="50313B0E" w14:textId="2245044C" w:rsidR="00F9432E" w:rsidRPr="0089051B" w:rsidRDefault="00F9432E" w:rsidP="0061452E">
      <w:pPr>
        <w:pStyle w:val="FootnoteText"/>
        <w:jc w:val="both"/>
        <w:rPr>
          <w:rFonts w:ascii="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68.</w:t>
      </w:r>
    </w:p>
  </w:footnote>
  <w:footnote w:id="133">
    <w:p w14:paraId="65819439" w14:textId="15A9F39B"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An </w:t>
      </w:r>
      <w:proofErr w:type="gramStart"/>
      <w:r w:rsidRPr="0089051B">
        <w:rPr>
          <w:rFonts w:ascii="Times New Roman" w:hAnsi="Times New Roman" w:cs="Times New Roman"/>
          <w:sz w:val="20"/>
          <w:szCs w:val="20"/>
        </w:rPr>
        <w:t>interpretation which</w:t>
      </w:r>
      <w:proofErr w:type="gramEnd"/>
      <w:r w:rsidRPr="0089051B">
        <w:rPr>
          <w:rFonts w:ascii="Times New Roman" w:hAnsi="Times New Roman" w:cs="Times New Roman"/>
          <w:sz w:val="20"/>
          <w:szCs w:val="20"/>
        </w:rPr>
        <w:t xml:space="preserve"> might also be reflected in the Court’s conclusion: see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69.  </w:t>
      </w:r>
      <w:r w:rsidRPr="0089051B">
        <w:rPr>
          <w:rFonts w:ascii="Times New Roman" w:hAnsi="Times New Roman" w:cs="Times New Roman"/>
          <w:sz w:val="20"/>
          <w:szCs w:val="20"/>
          <w:lang w:val="en-US"/>
        </w:rPr>
        <w:t xml:space="preserve">The same conclusion was replicated in </w:t>
      </w:r>
      <w:proofErr w:type="spellStart"/>
      <w:r w:rsidRPr="0089051B">
        <w:rPr>
          <w:rFonts w:ascii="Times New Roman" w:hAnsi="Times New Roman" w:cs="Times New Roman"/>
          <w:i/>
          <w:sz w:val="20"/>
          <w:szCs w:val="20"/>
        </w:rPr>
        <w:t>Stanleybet</w:t>
      </w:r>
      <w:proofErr w:type="spellEnd"/>
      <w:r w:rsidRPr="0089051B">
        <w:rPr>
          <w:rFonts w:ascii="Times New Roman" w:hAnsi="Times New Roman" w:cs="Times New Roman"/>
          <w:i/>
          <w:sz w:val="20"/>
          <w:szCs w:val="20"/>
        </w:rPr>
        <w:t xml:space="preserve"> International</w:t>
      </w:r>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37-39 – but this should be handled with care, since the Court did not explicitly engage with the question of its own centralised jurisdiction to authorise temporary maintenance of incompatible national rules.  </w:t>
      </w:r>
    </w:p>
  </w:footnote>
  <w:footnote w:id="134">
    <w:p w14:paraId="5B7F7240" w14:textId="10557824"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Section 5.1 (above).</w:t>
      </w:r>
    </w:p>
  </w:footnote>
  <w:footnote w:id="135">
    <w:p w14:paraId="6962558A" w14:textId="4794774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113.</w:t>
      </w:r>
    </w:p>
  </w:footnote>
  <w:footnote w:id="136">
    <w:p w14:paraId="2431F9E7" w14:textId="1DD00524"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A factor also stressed by AG Bot: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114 Opinion.</w:t>
      </w:r>
    </w:p>
  </w:footnote>
  <w:footnote w:id="137">
    <w:p w14:paraId="2FF141AC" w14:textId="417F157B"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E.G. </w:t>
      </w:r>
      <w:r w:rsidRPr="0089051B">
        <w:rPr>
          <w:rFonts w:ascii="Times New Roman" w:hAnsi="Times New Roman" w:cs="Times New Roman"/>
          <w:sz w:val="20"/>
          <w:szCs w:val="20"/>
        </w:rPr>
        <w:t xml:space="preserve">Case C-292/04, </w:t>
      </w:r>
      <w:proofErr w:type="spellStart"/>
      <w:r w:rsidRPr="0089051B">
        <w:rPr>
          <w:rFonts w:ascii="Times New Roman" w:hAnsi="Times New Roman" w:cs="Times New Roman"/>
          <w:i/>
          <w:sz w:val="20"/>
          <w:szCs w:val="20"/>
        </w:rPr>
        <w:t>Meilicke</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:C:2007:132</w:t>
      </w:r>
      <w:proofErr w:type="gramEnd"/>
      <w:r w:rsidRPr="0089051B">
        <w:rPr>
          <w:rFonts w:ascii="Times New Roman" w:hAnsi="Times New Roman" w:cs="Times New Roman"/>
          <w:sz w:val="20"/>
          <w:szCs w:val="20"/>
        </w:rPr>
        <w:t xml:space="preserve">.  </w:t>
      </w:r>
    </w:p>
  </w:footnote>
  <w:footnote w:id="138">
    <w:p w14:paraId="0EFA1610" w14:textId="50E1743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also AG Bot in </w:t>
      </w:r>
      <w:r w:rsidRPr="0089051B">
        <w:rPr>
          <w:rFonts w:ascii="Times New Roman" w:hAnsi="Times New Roman" w:cs="Times New Roman"/>
          <w:i/>
          <w:sz w:val="20"/>
          <w:szCs w:val="20"/>
        </w:rPr>
        <w:t xml:space="preserve">Winner </w:t>
      </w:r>
      <w:proofErr w:type="spellStart"/>
      <w:r w:rsidRPr="0089051B">
        <w:rPr>
          <w:rFonts w:ascii="Times New Roman" w:hAnsi="Times New Roman" w:cs="Times New Roman"/>
          <w:i/>
          <w:sz w:val="20"/>
          <w:szCs w:val="20"/>
        </w:rPr>
        <w:t>Wetten</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116-119 Opinion.</w:t>
      </w:r>
    </w:p>
  </w:footnote>
  <w:footnote w:id="139">
    <w:p w14:paraId="3A745D22" w14:textId="30FC511F"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E.g. Cases C-367/93 to C-377/93, </w:t>
      </w:r>
      <w:proofErr w:type="spellStart"/>
      <w:r w:rsidRPr="0089051B">
        <w:rPr>
          <w:rFonts w:ascii="Times New Roman" w:hAnsi="Times New Roman" w:cs="Times New Roman"/>
          <w:i/>
          <w:sz w:val="20"/>
          <w:szCs w:val="20"/>
        </w:rPr>
        <w:t>Roders</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:C:1995:261</w:t>
      </w:r>
      <w:proofErr w:type="gramEnd"/>
      <w:r w:rsidRPr="0089051B">
        <w:rPr>
          <w:rFonts w:ascii="Times New Roman" w:hAnsi="Times New Roman" w:cs="Times New Roman"/>
          <w:sz w:val="20"/>
          <w:szCs w:val="20"/>
        </w:rPr>
        <w:t xml:space="preserve">; Case C-104/98, </w:t>
      </w:r>
      <w:r w:rsidRPr="0089051B">
        <w:rPr>
          <w:rFonts w:ascii="Times New Roman" w:hAnsi="Times New Roman" w:cs="Times New Roman"/>
          <w:i/>
          <w:sz w:val="20"/>
          <w:szCs w:val="20"/>
        </w:rPr>
        <w:t>Buchner</w:t>
      </w:r>
      <w:r w:rsidRPr="0089051B">
        <w:rPr>
          <w:rFonts w:ascii="Times New Roman" w:hAnsi="Times New Roman" w:cs="Times New Roman"/>
          <w:sz w:val="20"/>
          <w:szCs w:val="20"/>
        </w:rPr>
        <w:t xml:space="preserve">, EU:C:2000:276; Case C-347/00, </w:t>
      </w:r>
      <w:proofErr w:type="spellStart"/>
      <w:r w:rsidRPr="0089051B">
        <w:rPr>
          <w:rFonts w:ascii="Times New Roman" w:hAnsi="Times New Roman" w:cs="Times New Roman"/>
          <w:i/>
          <w:sz w:val="20"/>
          <w:szCs w:val="20"/>
        </w:rPr>
        <w:t>Barreira</w:t>
      </w:r>
      <w:proofErr w:type="spellEnd"/>
      <w:r w:rsidRPr="0089051B">
        <w:rPr>
          <w:rFonts w:ascii="Times New Roman" w:hAnsi="Times New Roman" w:cs="Times New Roman"/>
          <w:i/>
          <w:sz w:val="20"/>
          <w:szCs w:val="20"/>
        </w:rPr>
        <w:t xml:space="preserve"> Pérez</w:t>
      </w:r>
      <w:r w:rsidRPr="0089051B">
        <w:rPr>
          <w:rFonts w:ascii="Times New Roman" w:hAnsi="Times New Roman" w:cs="Times New Roman"/>
          <w:sz w:val="20"/>
          <w:szCs w:val="20"/>
        </w:rPr>
        <w:t xml:space="preserve">, EU:C:2002:560.  </w:t>
      </w:r>
    </w:p>
  </w:footnote>
  <w:footnote w:id="140">
    <w:p w14:paraId="6D0AD072" w14:textId="3F8BBED8" w:rsidR="00F9432E" w:rsidRPr="0089051B" w:rsidRDefault="00F9432E" w:rsidP="0061452E">
      <w:pPr>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Note that the Court in </w:t>
      </w:r>
      <w:r w:rsidRPr="0089051B">
        <w:rPr>
          <w:rFonts w:ascii="Times New Roman" w:hAnsi="Times New Roman" w:cs="Times New Roman"/>
          <w:sz w:val="20"/>
          <w:szCs w:val="20"/>
        </w:rPr>
        <w:t>both</w:t>
      </w:r>
      <w:r w:rsidRPr="0089051B">
        <w:rPr>
          <w:rFonts w:ascii="Times New Roman" w:hAnsi="Times New Roman" w:cs="Times New Roman"/>
          <w:i/>
          <w:sz w:val="20"/>
          <w:szCs w:val="20"/>
        </w:rPr>
        <w:t xml:space="preserve"> 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a</w:t>
      </w:r>
      <w:proofErr w:type="spellStart"/>
      <w:r w:rsidRPr="0089051B">
        <w:rPr>
          <w:rFonts w:ascii="Times New Roman" w:hAnsi="Times New Roman" w:cs="Times New Roman"/>
          <w:sz w:val="20"/>
          <w:szCs w:val="20"/>
          <w:lang w:val="en-US"/>
        </w:rPr>
        <w:t>nd</w:t>
      </w:r>
      <w:proofErr w:type="spellEnd"/>
      <w:r w:rsidRPr="0089051B">
        <w:rPr>
          <w:rFonts w:ascii="Times New Roman" w:hAnsi="Times New Roman" w:cs="Times New Roman"/>
          <w:sz w:val="20"/>
          <w:szCs w:val="20"/>
          <w:lang w:val="en-US"/>
        </w:rPr>
        <w:t xml:space="preserve">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talks about the “annulment” of non-compliant national rules.  That reflects the fact that the relevant Union and national legal frameworks </w:t>
      </w:r>
      <w:r>
        <w:rPr>
          <w:rFonts w:ascii="Times New Roman" w:hAnsi="Times New Roman" w:cs="Times New Roman"/>
          <w:sz w:val="20"/>
          <w:szCs w:val="20"/>
        </w:rPr>
        <w:t xml:space="preserve">together </w:t>
      </w:r>
      <w:r w:rsidRPr="0089051B">
        <w:rPr>
          <w:rFonts w:ascii="Times New Roman" w:hAnsi="Times New Roman" w:cs="Times New Roman"/>
          <w:sz w:val="20"/>
          <w:szCs w:val="20"/>
        </w:rPr>
        <w:t>provided for the annulment of measures adopted in breach of the obligation to conduct an environmental impact assessment.  However, the general principles developed in both rulings should be equally applicable to situations involving the mere disapplication of incompatible national measures as is usually expected / required under Union law</w:t>
      </w:r>
      <w:r>
        <w:rPr>
          <w:rFonts w:ascii="Times New Roman" w:hAnsi="Times New Roman" w:cs="Times New Roman"/>
          <w:sz w:val="20"/>
          <w:szCs w:val="20"/>
        </w:rPr>
        <w:t xml:space="preserve"> per se</w:t>
      </w:r>
      <w:r w:rsidRPr="0089051B">
        <w:rPr>
          <w:rFonts w:ascii="Times New Roman" w:hAnsi="Times New Roman" w:cs="Times New Roman"/>
          <w:sz w:val="20"/>
          <w:szCs w:val="20"/>
        </w:rPr>
        <w:t xml:space="preserve">.  On the general legal effects of non-compliance with Union requirements relating to environmental impact assessments, see Case C-201/02, </w:t>
      </w:r>
      <w:r w:rsidRPr="0089051B">
        <w:rPr>
          <w:rFonts w:ascii="Times New Roman" w:hAnsi="Times New Roman" w:cs="Times New Roman"/>
          <w:i/>
          <w:sz w:val="20"/>
          <w:szCs w:val="20"/>
        </w:rPr>
        <w:t>Wells</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:C:2004:12</w:t>
      </w:r>
      <w:proofErr w:type="gramEnd"/>
      <w:r w:rsidRPr="0089051B">
        <w:rPr>
          <w:rFonts w:ascii="Times New Roman" w:hAnsi="Times New Roman" w:cs="Times New Roman"/>
          <w:sz w:val="20"/>
          <w:szCs w:val="20"/>
        </w:rPr>
        <w:t>.</w:t>
      </w:r>
    </w:p>
  </w:footnote>
  <w:footnote w:id="141">
    <w:p w14:paraId="6DD5F2B6" w14:textId="02995AF1"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lang w:val="en-US"/>
        </w:rPr>
        <w:t>para</w:t>
      </w:r>
      <w:proofErr w:type="spellEnd"/>
      <w:r w:rsidRPr="0089051B">
        <w:rPr>
          <w:rFonts w:ascii="Times New Roman" w:hAnsi="Times New Roman" w:cs="Times New Roman"/>
          <w:sz w:val="20"/>
          <w:szCs w:val="20"/>
          <w:lang w:val="en-US"/>
        </w:rPr>
        <w:t xml:space="preserve"> 34.</w:t>
      </w:r>
    </w:p>
  </w:footnote>
  <w:footnote w:id="142">
    <w:p w14:paraId="0918E9C4" w14:textId="58A1200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Ibid,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34 and 43.</w:t>
      </w:r>
      <w:proofErr w:type="gramEnd"/>
      <w:r w:rsidRPr="0089051B">
        <w:rPr>
          <w:rFonts w:ascii="Times New Roman" w:hAnsi="Times New Roman" w:cs="Times New Roman"/>
          <w:sz w:val="20"/>
          <w:szCs w:val="20"/>
        </w:rPr>
        <w:t xml:space="preserve">  The same was true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see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39, 48, 58 and 63.  </w:t>
      </w:r>
    </w:p>
  </w:footnote>
  <w:footnote w:id="143">
    <w:p w14:paraId="0F7E3C24" w14:textId="09154754"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lang w:val="en-US"/>
        </w:rPr>
        <w:t xml:space="preserve">As suggested by AG </w:t>
      </w:r>
      <w:proofErr w:type="spellStart"/>
      <w:r w:rsidRPr="0089051B">
        <w:rPr>
          <w:rFonts w:ascii="Times New Roman" w:hAnsi="Times New Roman" w:cs="Times New Roman"/>
          <w:sz w:val="20"/>
          <w:szCs w:val="20"/>
          <w:lang w:val="en-US"/>
        </w:rPr>
        <w:t>Kokott</w:t>
      </w:r>
      <w:proofErr w:type="spellEnd"/>
      <w:r w:rsidRPr="0089051B">
        <w:rPr>
          <w:rFonts w:ascii="Times New Roman" w:hAnsi="Times New Roman" w:cs="Times New Roman"/>
          <w:sz w:val="20"/>
          <w:szCs w:val="20"/>
          <w:lang w:val="en-US"/>
        </w:rPr>
        <w:t xml:space="preserve">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27-43 Opinion.</w:t>
      </w:r>
      <w:proofErr w:type="gramEnd"/>
      <w:r w:rsidRPr="0089051B">
        <w:rPr>
          <w:rFonts w:ascii="Times New Roman" w:hAnsi="Times New Roman" w:cs="Times New Roman"/>
          <w:sz w:val="20"/>
          <w:szCs w:val="20"/>
        </w:rPr>
        <w:t xml:space="preserve">  </w:t>
      </w:r>
    </w:p>
  </w:footnote>
  <w:footnote w:id="144">
    <w:p w14:paraId="4173D090" w14:textId="05B9B60B"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34-43.  </w:t>
      </w:r>
    </w:p>
  </w:footnote>
  <w:footnote w:id="145">
    <w:p w14:paraId="66659D76" w14:textId="17412B02"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Ibid, p</w:t>
      </w:r>
      <w:proofErr w:type="spellStart"/>
      <w:r w:rsidRPr="0089051B">
        <w:rPr>
          <w:rFonts w:ascii="Times New Roman" w:hAnsi="Times New Roman" w:cs="Times New Roman"/>
          <w:sz w:val="20"/>
          <w:szCs w:val="20"/>
          <w:lang w:val="en-US"/>
        </w:rPr>
        <w:t>aras</w:t>
      </w:r>
      <w:proofErr w:type="spellEnd"/>
      <w:r w:rsidRPr="0089051B">
        <w:rPr>
          <w:rFonts w:ascii="Times New Roman" w:hAnsi="Times New Roman" w:cs="Times New Roman"/>
          <w:sz w:val="20"/>
          <w:szCs w:val="20"/>
          <w:lang w:val="en-US"/>
        </w:rPr>
        <w:t xml:space="preserve"> 34, 37, 40 and 43.</w:t>
      </w:r>
      <w:proofErr w:type="gramEnd"/>
    </w:p>
  </w:footnote>
  <w:footnote w:id="146">
    <w:p w14:paraId="2EA4137F" w14:textId="7867DBBC"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Ibid, p</w:t>
      </w:r>
      <w:proofErr w:type="spellStart"/>
      <w:r w:rsidRPr="0089051B">
        <w:rPr>
          <w:rFonts w:ascii="Times New Roman" w:hAnsi="Times New Roman" w:cs="Times New Roman"/>
          <w:sz w:val="20"/>
          <w:szCs w:val="20"/>
          <w:lang w:val="en-US"/>
        </w:rPr>
        <w:t>aras</w:t>
      </w:r>
      <w:proofErr w:type="spellEnd"/>
      <w:r w:rsidRPr="0089051B">
        <w:rPr>
          <w:rFonts w:ascii="Times New Roman" w:hAnsi="Times New Roman" w:cs="Times New Roman"/>
          <w:sz w:val="20"/>
          <w:szCs w:val="20"/>
          <w:lang w:val="en-US"/>
        </w:rPr>
        <w:t xml:space="preserve"> 34 and 43.</w:t>
      </w:r>
      <w:proofErr w:type="gramEnd"/>
    </w:p>
  </w:footnote>
  <w:footnote w:id="147">
    <w:p w14:paraId="7E466FF4" w14:textId="2DF4308F"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Ibid, p</w:t>
      </w:r>
      <w:proofErr w:type="spellStart"/>
      <w:r w:rsidRPr="0089051B">
        <w:rPr>
          <w:rFonts w:ascii="Times New Roman" w:hAnsi="Times New Roman" w:cs="Times New Roman"/>
          <w:sz w:val="20"/>
          <w:szCs w:val="20"/>
          <w:lang w:val="en-US"/>
        </w:rPr>
        <w:t>aras</w:t>
      </w:r>
      <w:proofErr w:type="spellEnd"/>
      <w:r w:rsidRPr="0089051B">
        <w:rPr>
          <w:rFonts w:ascii="Times New Roman" w:hAnsi="Times New Roman" w:cs="Times New Roman"/>
          <w:sz w:val="20"/>
          <w:szCs w:val="20"/>
          <w:lang w:val="en-US"/>
        </w:rPr>
        <w:t xml:space="preserve"> 35-36.</w:t>
      </w:r>
      <w:proofErr w:type="gramEnd"/>
    </w:p>
  </w:footnote>
  <w:footnote w:id="148">
    <w:p w14:paraId="762D7C66" w14:textId="391634C5"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Ibid,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34, 37, 41 and 43.</w:t>
      </w:r>
      <w:proofErr w:type="gramEnd"/>
      <w:r w:rsidRPr="0089051B">
        <w:rPr>
          <w:rFonts w:ascii="Times New Roman" w:hAnsi="Times New Roman" w:cs="Times New Roman"/>
          <w:sz w:val="20"/>
          <w:szCs w:val="20"/>
          <w:lang w:val="en-US"/>
        </w:rPr>
        <w:t xml:space="preserve">  </w:t>
      </w:r>
    </w:p>
  </w:footnote>
  <w:footnote w:id="149">
    <w:p w14:paraId="6EABEE26" w14:textId="64C40F1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Note that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had concerned, and was phrased in terms limited to, correct implementation of the Nitrates Directive 91/676</w:t>
      </w:r>
      <w:r>
        <w:rPr>
          <w:rFonts w:ascii="Times New Roman" w:hAnsi="Times New Roman" w:cs="Times New Roman"/>
          <w:sz w:val="20"/>
          <w:szCs w:val="20"/>
        </w:rPr>
        <w:t>,</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O.J. </w:t>
      </w:r>
      <w:r w:rsidRPr="0089051B">
        <w:rPr>
          <w:rFonts w:ascii="Times New Roman" w:hAnsi="Times New Roman" w:cs="Times New Roman"/>
          <w:sz w:val="20"/>
          <w:szCs w:val="20"/>
        </w:rPr>
        <w:t>1991</w:t>
      </w:r>
      <w:r>
        <w:rPr>
          <w:rFonts w:ascii="Times New Roman" w:hAnsi="Times New Roman" w:cs="Times New Roman"/>
          <w:sz w:val="20"/>
          <w:szCs w:val="20"/>
        </w:rPr>
        <w:t xml:space="preserve">, </w:t>
      </w:r>
      <w:r w:rsidRPr="0089051B">
        <w:rPr>
          <w:rFonts w:ascii="Times New Roman" w:hAnsi="Times New Roman" w:cs="Times New Roman"/>
          <w:sz w:val="20"/>
          <w:szCs w:val="20"/>
        </w:rPr>
        <w:t xml:space="preserve">L 375/1.  However, the Court in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expanded this condition to cover any measure of Union environmental legislation: see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39.  Note the more cautious advice of AG </w:t>
      </w:r>
      <w:proofErr w:type="spellStart"/>
      <w:r w:rsidRPr="0089051B">
        <w:rPr>
          <w:rFonts w:ascii="Times New Roman" w:hAnsi="Times New Roman" w:cs="Times New Roman"/>
          <w:sz w:val="20"/>
          <w:szCs w:val="20"/>
        </w:rPr>
        <w:t>Kokott</w:t>
      </w:r>
      <w:proofErr w:type="spellEnd"/>
      <w:r w:rsidRPr="0089051B">
        <w:rPr>
          <w:rFonts w:ascii="Times New Roman" w:hAnsi="Times New Roman" w:cs="Times New Roman"/>
          <w:sz w:val="20"/>
          <w:szCs w:val="20"/>
        </w:rPr>
        <w:t xml:space="preserve"> in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51-57 Opinion.  </w:t>
      </w:r>
    </w:p>
  </w:footnote>
  <w:footnote w:id="150">
    <w:p w14:paraId="27720988" w14:textId="47D50E4A"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proofErr w:type="gramStart"/>
      <w:r w:rsidRPr="0089051B">
        <w:rPr>
          <w:rFonts w:ascii="Times New Roman" w:hAnsi="Times New Roman" w:cs="Times New Roman"/>
          <w:sz w:val="20"/>
          <w:szCs w:val="20"/>
        </w:rPr>
        <w:t>, ,</w:t>
      </w:r>
      <w:proofErr w:type="gram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38-39 and 43.  </w:t>
      </w:r>
    </w:p>
  </w:footnote>
  <w:footnote w:id="151">
    <w:p w14:paraId="5417ED6B" w14:textId="2191F5FB"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rPr>
        <w:t xml:space="preserve">Ibid,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41 and 42.</w:t>
      </w:r>
      <w:proofErr w:type="gramEnd"/>
    </w:p>
  </w:footnote>
  <w:footnote w:id="152">
    <w:p w14:paraId="017DC6B0" w14:textId="27A0713B"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In </w:t>
      </w:r>
      <w:r w:rsidRPr="0089051B">
        <w:rPr>
          <w:rFonts w:ascii="Times New Roman" w:hAnsi="Times New Roman" w:cs="Times New Roman"/>
          <w:i/>
          <w:sz w:val="20"/>
          <w:szCs w:val="20"/>
        </w:rPr>
        <w:t xml:space="preserve">Association France </w:t>
      </w:r>
      <w:r w:rsidRPr="0089051B">
        <w:rPr>
          <w:rFonts w:ascii="Times New Roman" w:hAnsi="Times New Roman" w:cs="Times New Roman"/>
          <w:sz w:val="20"/>
          <w:szCs w:val="20"/>
        </w:rPr>
        <w:t>itself</w:t>
      </w:r>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 xml:space="preserve">it is arguable that the dispute could have been resolved through the exercise of either centralised or decentralised jurisdiction.  </w:t>
      </w:r>
    </w:p>
  </w:footnote>
  <w:footnote w:id="153">
    <w:p w14:paraId="721AF1D9" w14:textId="2E93F1DE" w:rsidR="00F9432E" w:rsidRPr="0089051B" w:rsidRDefault="00F9432E">
      <w:pPr>
        <w:pStyle w:val="FootnoteText"/>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proofErr w:type="gramStart"/>
      <w:r w:rsidRPr="0089051B">
        <w:rPr>
          <w:rFonts w:ascii="Times New Roman" w:hAnsi="Times New Roman" w:cs="Times New Roman"/>
          <w:sz w:val="20"/>
          <w:szCs w:val="20"/>
          <w:lang w:val="en-US"/>
        </w:rPr>
        <w:t xml:space="preserve">See further, e.g. </w:t>
      </w:r>
      <w:r w:rsidRPr="0089051B">
        <w:rPr>
          <w:rFonts w:ascii="Times New Roman" w:hAnsi="Times New Roman" w:cs="Times New Roman"/>
          <w:sz w:val="20"/>
          <w:szCs w:val="20"/>
        </w:rPr>
        <w:t>Lock</w:t>
      </w:r>
      <w:r>
        <w:rPr>
          <w:rFonts w:ascii="Times New Roman" w:hAnsi="Times New Roman" w:cs="Times New Roman"/>
          <w:sz w:val="20"/>
          <w:szCs w:val="20"/>
        </w:rPr>
        <w:t>,</w:t>
      </w:r>
      <w:r w:rsidRPr="0089051B">
        <w:rPr>
          <w:rFonts w:ascii="Times New Roman" w:hAnsi="Times New Roman" w:cs="Times New Roman"/>
          <w:i/>
          <w:sz w:val="20"/>
          <w:szCs w:val="20"/>
        </w:rPr>
        <w:t xml:space="preserve"> </w:t>
      </w:r>
      <w:r w:rsidRPr="0089051B">
        <w:rPr>
          <w:rFonts w:ascii="Times New Roman" w:hAnsi="Times New Roman" w:cs="Times New Roman"/>
          <w:sz w:val="20"/>
          <w:szCs w:val="20"/>
        </w:rPr>
        <w:t xml:space="preserve">50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(2013), </w:t>
      </w:r>
      <w:r w:rsidRPr="0089051B">
        <w:rPr>
          <w:rFonts w:ascii="Times New Roman" w:hAnsi="Times New Roman" w:cs="Times New Roman"/>
          <w:sz w:val="20"/>
          <w:szCs w:val="20"/>
        </w:rPr>
        <w:t xml:space="preserve">217; </w:t>
      </w:r>
      <w:proofErr w:type="spellStart"/>
      <w:r w:rsidRPr="0089051B">
        <w:rPr>
          <w:rFonts w:ascii="Times New Roman" w:hAnsi="Times New Roman" w:cs="Times New Roman"/>
          <w:sz w:val="20"/>
          <w:szCs w:val="20"/>
        </w:rPr>
        <w:t>Sowery</w:t>
      </w:r>
      <w:proofErr w:type="spellEnd"/>
      <w:r>
        <w:rPr>
          <w:rFonts w:ascii="Times New Roman" w:hAnsi="Times New Roman" w:cs="Times New Roman"/>
          <w:sz w:val="20"/>
          <w:szCs w:val="20"/>
        </w:rPr>
        <w:t>,</w:t>
      </w:r>
      <w:r w:rsidRPr="0089051B">
        <w:rPr>
          <w:rFonts w:ascii="Times New Roman" w:hAnsi="Times New Roman" w:cs="Times New Roman"/>
          <w:sz w:val="20"/>
          <w:szCs w:val="20"/>
        </w:rPr>
        <w:t xml:space="preserve"> 54 </w:t>
      </w:r>
      <w:r>
        <w:rPr>
          <w:rFonts w:ascii="Times New Roman" w:hAnsi="Times New Roman" w:cs="Times New Roman"/>
          <w:sz w:val="20"/>
          <w:szCs w:val="20"/>
        </w:rPr>
        <w:t>CML Rev.</w:t>
      </w:r>
      <w:r w:rsidRPr="0089051B">
        <w:rPr>
          <w:rFonts w:ascii="Times New Roman" w:hAnsi="Times New Roman" w:cs="Times New Roman"/>
          <w:sz w:val="20"/>
          <w:szCs w:val="20"/>
        </w:rPr>
        <w:t xml:space="preserve"> </w:t>
      </w:r>
      <w:r>
        <w:rPr>
          <w:rFonts w:ascii="Times New Roman" w:hAnsi="Times New Roman" w:cs="Times New Roman"/>
          <w:sz w:val="20"/>
          <w:szCs w:val="20"/>
        </w:rPr>
        <w:t xml:space="preserve">(2017), </w:t>
      </w:r>
      <w:r w:rsidRPr="0089051B">
        <w:rPr>
          <w:rFonts w:ascii="Times New Roman" w:hAnsi="Times New Roman" w:cs="Times New Roman"/>
          <w:sz w:val="20"/>
          <w:szCs w:val="20"/>
        </w:rPr>
        <w:t>1157.</w:t>
      </w:r>
      <w:proofErr w:type="gramEnd"/>
    </w:p>
  </w:footnote>
  <w:footnote w:id="154">
    <w:p w14:paraId="58685CB1" w14:textId="5382F0C8"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A factor highlighted also by AG </w:t>
      </w:r>
      <w:proofErr w:type="spellStart"/>
      <w:r w:rsidRPr="0089051B">
        <w:rPr>
          <w:rFonts w:ascii="Times New Roman" w:hAnsi="Times New Roman" w:cs="Times New Roman"/>
          <w:sz w:val="20"/>
          <w:szCs w:val="20"/>
          <w:lang w:val="en-US"/>
        </w:rPr>
        <w:t>Kokott</w:t>
      </w:r>
      <w:proofErr w:type="spellEnd"/>
      <w:r w:rsidRPr="0089051B">
        <w:rPr>
          <w:rFonts w:ascii="Times New Roman" w:hAnsi="Times New Roman" w:cs="Times New Roman"/>
          <w:sz w:val="20"/>
          <w:szCs w:val="20"/>
          <w:lang w:val="en-US"/>
        </w:rPr>
        <w:t xml:space="preserve">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25 Opinion.  </w:t>
      </w:r>
    </w:p>
  </w:footnote>
  <w:footnote w:id="155">
    <w:p w14:paraId="3160686A" w14:textId="45E23F0E"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Note that AG </w:t>
      </w:r>
      <w:proofErr w:type="spellStart"/>
      <w:r w:rsidRPr="0089051B">
        <w:rPr>
          <w:rFonts w:ascii="Times New Roman" w:hAnsi="Times New Roman" w:cs="Times New Roman"/>
          <w:sz w:val="20"/>
          <w:szCs w:val="20"/>
        </w:rPr>
        <w:t>Kokott</w:t>
      </w:r>
      <w:proofErr w:type="spellEnd"/>
      <w:r w:rsidRPr="0089051B">
        <w:rPr>
          <w:rFonts w:ascii="Times New Roman" w:hAnsi="Times New Roman" w:cs="Times New Roman"/>
          <w:sz w:val="20"/>
          <w:szCs w:val="20"/>
        </w:rPr>
        <w:t xml:space="preserve">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seemed to place particular emphasis on the substantive-procedural distinction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23-24 Opinion); and in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emphasised that the national court’s power to suspend disapplication should be limited to procedural obligations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37 Opinion).  </w:t>
      </w:r>
    </w:p>
  </w:footnote>
  <w:footnote w:id="156">
    <w:p w14:paraId="2624044D" w14:textId="1AEE158D"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See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24-26.  Contrast with the emphasis attached to this factor by AG </w:t>
      </w:r>
      <w:proofErr w:type="spellStart"/>
      <w:r w:rsidRPr="0089051B">
        <w:rPr>
          <w:rFonts w:ascii="Times New Roman" w:hAnsi="Times New Roman" w:cs="Times New Roman"/>
          <w:sz w:val="20"/>
          <w:szCs w:val="20"/>
        </w:rPr>
        <w:t>Kokott</w:t>
      </w:r>
      <w:proofErr w:type="spellEnd"/>
      <w:r w:rsidRPr="0089051B">
        <w:rPr>
          <w:rFonts w:ascii="Times New Roman" w:hAnsi="Times New Roman" w:cs="Times New Roman"/>
          <w:sz w:val="20"/>
          <w:szCs w:val="20"/>
        </w:rPr>
        <w:t xml:space="preserve"> at </w:t>
      </w:r>
      <w:proofErr w:type="spellStart"/>
      <w:r w:rsidRPr="0089051B">
        <w:rPr>
          <w:rFonts w:ascii="Times New Roman" w:hAnsi="Times New Roman" w:cs="Times New Roman"/>
          <w:sz w:val="20"/>
          <w:szCs w:val="20"/>
        </w:rPr>
        <w:t>paras</w:t>
      </w:r>
      <w:proofErr w:type="spellEnd"/>
      <w:r w:rsidRPr="0089051B">
        <w:rPr>
          <w:rFonts w:ascii="Times New Roman" w:hAnsi="Times New Roman" w:cs="Times New Roman"/>
          <w:sz w:val="20"/>
          <w:szCs w:val="20"/>
        </w:rPr>
        <w:t xml:space="preserve"> 34-36 Opinion. </w:t>
      </w:r>
    </w:p>
  </w:footnote>
  <w:footnote w:id="157">
    <w:p w14:paraId="55A2AE44" w14:textId="7E50B5CF"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Note that AG </w:t>
      </w:r>
      <w:proofErr w:type="spellStart"/>
      <w:r w:rsidRPr="0089051B">
        <w:rPr>
          <w:rFonts w:ascii="Times New Roman" w:hAnsi="Times New Roman" w:cs="Times New Roman"/>
          <w:sz w:val="20"/>
          <w:szCs w:val="20"/>
        </w:rPr>
        <w:t>Kokott</w:t>
      </w:r>
      <w:proofErr w:type="spellEnd"/>
      <w:r w:rsidRPr="0089051B">
        <w:rPr>
          <w:rFonts w:ascii="Times New Roman" w:hAnsi="Times New Roman" w:cs="Times New Roman"/>
          <w:sz w:val="20"/>
          <w:szCs w:val="20"/>
        </w:rPr>
        <w:t xml:space="preserve">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(at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44 Opinion) explicitly left open the question whether Union law should positively require the national courts to enjoy a power to suspend disapplication. </w:t>
      </w:r>
    </w:p>
  </w:footnote>
  <w:footnote w:id="158">
    <w:p w14:paraId="75AA391D" w14:textId="5263DD51"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In which regard, note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53.  Cp. </w:t>
      </w:r>
      <w:proofErr w:type="spellStart"/>
      <w:r w:rsidRPr="0089051B">
        <w:rPr>
          <w:rFonts w:ascii="Times New Roman" w:hAnsi="Times New Roman" w:cs="Times New Roman"/>
          <w:sz w:val="20"/>
          <w:szCs w:val="20"/>
        </w:rPr>
        <w:t>caselaw</w:t>
      </w:r>
      <w:proofErr w:type="spellEnd"/>
      <w:r w:rsidRPr="0089051B">
        <w:rPr>
          <w:rFonts w:ascii="Times New Roman" w:hAnsi="Times New Roman" w:cs="Times New Roman"/>
          <w:sz w:val="20"/>
          <w:szCs w:val="20"/>
        </w:rPr>
        <w:t xml:space="preserve"> from other fields concerning the scope for judicial intervention in the event of partial incompatibility with Union law, e.g. Case C-377/14, </w:t>
      </w:r>
      <w:proofErr w:type="spellStart"/>
      <w:r w:rsidRPr="0089051B">
        <w:rPr>
          <w:rFonts w:ascii="Times New Roman" w:hAnsi="Times New Roman" w:cs="Times New Roman"/>
          <w:i/>
          <w:sz w:val="20"/>
          <w:szCs w:val="20"/>
        </w:rPr>
        <w:t>Radlinger</w:t>
      </w:r>
      <w:proofErr w:type="spellEnd"/>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:C:2016:283</w:t>
      </w:r>
      <w:proofErr w:type="gramEnd"/>
      <w:r w:rsidRPr="0089051B">
        <w:rPr>
          <w:rFonts w:ascii="Times New Roman" w:hAnsi="Times New Roman" w:cs="Times New Roman"/>
          <w:sz w:val="20"/>
          <w:szCs w:val="20"/>
        </w:rPr>
        <w:t xml:space="preserve">; Case C-421/14, </w:t>
      </w:r>
      <w:proofErr w:type="spellStart"/>
      <w:r w:rsidRPr="0089051B">
        <w:rPr>
          <w:rFonts w:ascii="Times New Roman" w:hAnsi="Times New Roman" w:cs="Times New Roman"/>
          <w:i/>
          <w:sz w:val="20"/>
          <w:szCs w:val="20"/>
        </w:rPr>
        <w:t>Banco</w:t>
      </w:r>
      <w:proofErr w:type="spellEnd"/>
      <w:r w:rsidRPr="0089051B">
        <w:rPr>
          <w:rFonts w:ascii="Times New Roman" w:hAnsi="Times New Roman" w:cs="Times New Roman"/>
          <w:i/>
          <w:sz w:val="20"/>
          <w:szCs w:val="20"/>
        </w:rPr>
        <w:t xml:space="preserve"> Primus</w:t>
      </w:r>
      <w:r w:rsidRPr="0089051B">
        <w:rPr>
          <w:rFonts w:ascii="Times New Roman" w:hAnsi="Times New Roman" w:cs="Times New Roman"/>
          <w:sz w:val="20"/>
          <w:szCs w:val="20"/>
        </w:rPr>
        <w:t>, EU:C:2017:60.</w:t>
      </w:r>
    </w:p>
  </w:footnote>
  <w:footnote w:id="159">
    <w:p w14:paraId="4012B4FB" w14:textId="72ABB0CF"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Case 314/85, </w:t>
      </w:r>
      <w:proofErr w:type="spellStart"/>
      <w:r w:rsidRPr="0089051B">
        <w:rPr>
          <w:rFonts w:ascii="Times New Roman" w:hAnsi="Times New Roman" w:cs="Times New Roman"/>
          <w:i/>
          <w:sz w:val="20"/>
          <w:szCs w:val="20"/>
        </w:rPr>
        <w:t>Foto</w:t>
      </w:r>
      <w:proofErr w:type="spellEnd"/>
      <w:r w:rsidRPr="0089051B">
        <w:rPr>
          <w:rFonts w:ascii="Times New Roman" w:hAnsi="Times New Roman" w:cs="Times New Roman"/>
          <w:i/>
          <w:sz w:val="20"/>
          <w:szCs w:val="20"/>
        </w:rPr>
        <w:t>-Frost</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:C:1987:452</w:t>
      </w:r>
      <w:proofErr w:type="gramEnd"/>
      <w:r w:rsidRPr="0089051B">
        <w:rPr>
          <w:rFonts w:ascii="Times New Roman" w:hAnsi="Times New Roman" w:cs="Times New Roman"/>
          <w:sz w:val="20"/>
          <w:szCs w:val="20"/>
        </w:rPr>
        <w:t>.</w:t>
      </w:r>
    </w:p>
  </w:footnote>
  <w:footnote w:id="160">
    <w:p w14:paraId="2AB9D4FA" w14:textId="58BA8EFE" w:rsidR="00F9432E" w:rsidRPr="0089051B" w:rsidRDefault="00F9432E" w:rsidP="00674278">
      <w:pPr>
        <w:rPr>
          <w:rFonts w:ascii="Times New Roman" w:eastAsia="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Though for which purpose, </w:t>
      </w:r>
      <w:r w:rsidRPr="0089051B">
        <w:rPr>
          <w:rFonts w:ascii="Times New Roman" w:hAnsi="Times New Roman" w:cs="Times New Roman"/>
          <w:sz w:val="20"/>
          <w:szCs w:val="20"/>
          <w:lang w:val="en-US"/>
        </w:rPr>
        <w:t xml:space="preserve">the Court in </w:t>
      </w:r>
      <w:r w:rsidRPr="0089051B">
        <w:rPr>
          <w:rFonts w:ascii="Times New Roman" w:hAnsi="Times New Roman" w:cs="Times New Roman"/>
          <w:i/>
          <w:sz w:val="20"/>
          <w:szCs w:val="20"/>
        </w:rPr>
        <w:t xml:space="preserve">Association France Nature </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stressed the exceptional nature of the domestic judicial power, and the relative scarcity of relevant Union </w:t>
      </w:r>
      <w:proofErr w:type="spellStart"/>
      <w:r w:rsidRPr="0089051B">
        <w:rPr>
          <w:rFonts w:ascii="Times New Roman" w:hAnsi="Times New Roman" w:cs="Times New Roman"/>
          <w:sz w:val="20"/>
          <w:szCs w:val="20"/>
          <w:lang w:val="en-US"/>
        </w:rPr>
        <w:t>caselaw</w:t>
      </w:r>
      <w:proofErr w:type="spellEnd"/>
      <w:r w:rsidRPr="0089051B">
        <w:rPr>
          <w:rFonts w:ascii="Times New Roman" w:hAnsi="Times New Roman" w:cs="Times New Roman"/>
          <w:sz w:val="20"/>
          <w:szCs w:val="20"/>
          <w:lang w:val="en-US"/>
        </w:rPr>
        <w:t xml:space="preserve">, as relevant factors to be taken into account by courts against whose decisions there is no longer any remedy: see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44-53 and especially </w:t>
      </w:r>
      <w:proofErr w:type="spellStart"/>
      <w:r w:rsidRPr="0089051B">
        <w:rPr>
          <w:rFonts w:ascii="Times New Roman" w:hAnsi="Times New Roman" w:cs="Times New Roman"/>
          <w:sz w:val="20"/>
          <w:szCs w:val="20"/>
          <w:lang w:val="en-US"/>
        </w:rPr>
        <w:t>paras</w:t>
      </w:r>
      <w:proofErr w:type="spellEnd"/>
      <w:r w:rsidRPr="0089051B">
        <w:rPr>
          <w:rFonts w:ascii="Times New Roman" w:hAnsi="Times New Roman" w:cs="Times New Roman"/>
          <w:sz w:val="20"/>
          <w:szCs w:val="20"/>
          <w:lang w:val="en-US"/>
        </w:rPr>
        <w:t xml:space="preserve"> 51-52.  However, note the judgment of the </w:t>
      </w:r>
      <w:proofErr w:type="spellStart"/>
      <w:r w:rsidRPr="0089051B">
        <w:rPr>
          <w:rFonts w:ascii="Times New Roman" w:hAnsi="Times New Roman" w:cs="Times New Roman"/>
          <w:sz w:val="20"/>
          <w:szCs w:val="20"/>
          <w:lang w:val="en-US"/>
        </w:rPr>
        <w:t>Conseil</w:t>
      </w:r>
      <w:proofErr w:type="spellEnd"/>
      <w:r w:rsidRPr="0089051B">
        <w:rPr>
          <w:rFonts w:ascii="Times New Roman" w:hAnsi="Times New Roman" w:cs="Times New Roman"/>
          <w:sz w:val="20"/>
          <w:szCs w:val="20"/>
          <w:lang w:val="en-US"/>
        </w:rPr>
        <w:t xml:space="preserve"> </w:t>
      </w:r>
      <w:proofErr w:type="spellStart"/>
      <w:r w:rsidRPr="0089051B">
        <w:rPr>
          <w:rFonts w:ascii="Times New Roman" w:hAnsi="Times New Roman" w:cs="Times New Roman"/>
          <w:sz w:val="20"/>
          <w:szCs w:val="20"/>
          <w:lang w:val="en-US"/>
        </w:rPr>
        <w:t>d’État</w:t>
      </w:r>
      <w:proofErr w:type="spellEnd"/>
      <w:r w:rsidRPr="0089051B">
        <w:rPr>
          <w:rFonts w:ascii="Times New Roman" w:hAnsi="Times New Roman" w:cs="Times New Roman"/>
          <w:sz w:val="20"/>
          <w:szCs w:val="20"/>
          <w:lang w:val="en-US"/>
        </w:rPr>
        <w:t xml:space="preserve"> in </w:t>
      </w:r>
      <w:r w:rsidRPr="0089051B">
        <w:rPr>
          <w:rFonts w:ascii="Times New Roman" w:hAnsi="Times New Roman" w:cs="Times New Roman"/>
          <w:i/>
          <w:sz w:val="20"/>
          <w:szCs w:val="20"/>
          <w:lang w:val="en-US"/>
        </w:rPr>
        <w:t>ANODE</w:t>
      </w:r>
      <w:r w:rsidRPr="0089051B">
        <w:rPr>
          <w:rFonts w:ascii="Times New Roman" w:hAnsi="Times New Roman" w:cs="Times New Roman"/>
          <w:sz w:val="20"/>
          <w:szCs w:val="20"/>
          <w:lang w:val="en-US"/>
        </w:rPr>
        <w:t xml:space="preserve"> (</w:t>
      </w:r>
      <w:r w:rsidRPr="0089051B">
        <w:rPr>
          <w:rFonts w:ascii="Times New Roman" w:eastAsia="Times New Roman" w:hAnsi="Times New Roman" w:cs="Times New Roman"/>
          <w:color w:val="000000"/>
          <w:sz w:val="20"/>
          <w:szCs w:val="20"/>
          <w:shd w:val="clear" w:color="auto" w:fill="FFFFFF"/>
        </w:rPr>
        <w:t>ECLI</w:t>
      </w:r>
      <w:proofErr w:type="gramStart"/>
      <w:r w:rsidRPr="0089051B">
        <w:rPr>
          <w:rFonts w:ascii="Times New Roman" w:eastAsia="Times New Roman" w:hAnsi="Times New Roman" w:cs="Times New Roman"/>
          <w:color w:val="000000"/>
          <w:sz w:val="20"/>
          <w:szCs w:val="20"/>
          <w:shd w:val="clear" w:color="auto" w:fill="FFFFFF"/>
        </w:rPr>
        <w:t>:FR:CEASS:2017:370321.20170719</w:t>
      </w:r>
      <w:proofErr w:type="gramEnd"/>
      <w:r w:rsidRPr="0089051B">
        <w:rPr>
          <w:rFonts w:ascii="Times New Roman" w:eastAsia="Times New Roman" w:hAnsi="Times New Roman" w:cs="Times New Roman"/>
          <w:color w:val="000000"/>
          <w:sz w:val="20"/>
          <w:szCs w:val="20"/>
          <w:shd w:val="clear" w:color="auto" w:fill="FFFFFF"/>
        </w:rPr>
        <w:t>).</w:t>
      </w:r>
    </w:p>
  </w:footnote>
  <w:footnote w:id="161">
    <w:p w14:paraId="038EC1A2" w14:textId="4D48B490"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In which context, note that the Court has been unwilling to impose any fixed time limit for the Union institutions to act, where the prospective effects of annulment / invalidity are suspended in the case of Union measures, e.g. </w:t>
      </w:r>
      <w:r w:rsidRPr="0089051B">
        <w:rPr>
          <w:rFonts w:ascii="Times New Roman" w:hAnsi="Times New Roman" w:cs="Times New Roman"/>
          <w:sz w:val="20"/>
          <w:szCs w:val="20"/>
        </w:rPr>
        <w:t xml:space="preserve">Case C-21/94, </w:t>
      </w:r>
      <w:r w:rsidRPr="0089051B">
        <w:rPr>
          <w:rFonts w:ascii="Times New Roman" w:hAnsi="Times New Roman" w:cs="Times New Roman"/>
          <w:i/>
          <w:sz w:val="20"/>
          <w:szCs w:val="20"/>
        </w:rPr>
        <w:t>Parliament</w:t>
      </w:r>
      <w:r w:rsidRPr="0083747D">
        <w:rPr>
          <w:rFonts w:ascii="Times New Roman" w:hAnsi="Times New Roman" w:cs="Times New Roman"/>
          <w:sz w:val="20"/>
          <w:szCs w:val="20"/>
        </w:rPr>
        <w:t xml:space="preserve"> v. </w:t>
      </w:r>
      <w:r w:rsidRPr="0089051B">
        <w:rPr>
          <w:rFonts w:ascii="Times New Roman" w:hAnsi="Times New Roman" w:cs="Times New Roman"/>
          <w:i/>
          <w:sz w:val="20"/>
          <w:szCs w:val="20"/>
        </w:rPr>
        <w:t>Council</w:t>
      </w:r>
      <w:r w:rsidRPr="0089051B">
        <w:rPr>
          <w:rFonts w:ascii="Times New Roman" w:hAnsi="Times New Roman" w:cs="Times New Roman"/>
          <w:sz w:val="20"/>
          <w:szCs w:val="20"/>
        </w:rPr>
        <w:t>, EU</w:t>
      </w:r>
      <w:proofErr w:type="gramStart"/>
      <w:r w:rsidRPr="0089051B">
        <w:rPr>
          <w:rFonts w:ascii="Times New Roman" w:hAnsi="Times New Roman" w:cs="Times New Roman"/>
          <w:sz w:val="20"/>
          <w:szCs w:val="20"/>
        </w:rPr>
        <w:t>:C:1995:220</w:t>
      </w:r>
      <w:proofErr w:type="gramEnd"/>
      <w:r w:rsidRPr="0089051B">
        <w:rPr>
          <w:rFonts w:ascii="Times New Roman" w:hAnsi="Times New Roman" w:cs="Times New Roman"/>
          <w:sz w:val="20"/>
          <w:szCs w:val="20"/>
        </w:rPr>
        <w:t xml:space="preserve">; though consider also, e.g. Case C-333/07, </w:t>
      </w:r>
      <w:proofErr w:type="spellStart"/>
      <w:r w:rsidRPr="0089051B">
        <w:rPr>
          <w:rFonts w:ascii="Times New Roman" w:hAnsi="Times New Roman" w:cs="Times New Roman"/>
          <w:i/>
          <w:sz w:val="20"/>
          <w:szCs w:val="20"/>
        </w:rPr>
        <w:t>Société</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Régie</w:t>
      </w:r>
      <w:proofErr w:type="spellEnd"/>
      <w:r w:rsidRPr="0089051B">
        <w:rPr>
          <w:rFonts w:ascii="Times New Roman" w:hAnsi="Times New Roman" w:cs="Times New Roman"/>
          <w:i/>
          <w:sz w:val="20"/>
          <w:szCs w:val="20"/>
        </w:rPr>
        <w:t xml:space="preserve"> Networks</w:t>
      </w:r>
      <w:r w:rsidRPr="0089051B">
        <w:rPr>
          <w:rFonts w:ascii="Times New Roman" w:hAnsi="Times New Roman" w:cs="Times New Roman"/>
          <w:sz w:val="20"/>
          <w:szCs w:val="20"/>
        </w:rPr>
        <w:t xml:space="preserve">, EU:C:2008:764.  </w:t>
      </w:r>
    </w:p>
  </w:footnote>
  <w:footnote w:id="162">
    <w:p w14:paraId="2BF4B0AC" w14:textId="1399CFEF" w:rsidR="00F9432E" w:rsidRPr="0089051B" w:rsidRDefault="00F9432E" w:rsidP="0061452E">
      <w:pPr>
        <w:pStyle w:val="FootnoteText"/>
        <w:jc w:val="both"/>
        <w:rPr>
          <w:rFonts w:ascii="Times New Roman" w:hAnsi="Times New Roman" w:cs="Times New Roman"/>
          <w:sz w:val="20"/>
          <w:szCs w:val="20"/>
          <w:lang w:val="en-US"/>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w:t>
      </w:r>
      <w:r w:rsidRPr="0089051B">
        <w:rPr>
          <w:rFonts w:ascii="Times New Roman" w:hAnsi="Times New Roman" w:cs="Times New Roman"/>
          <w:sz w:val="20"/>
          <w:szCs w:val="20"/>
          <w:lang w:val="en-US"/>
        </w:rPr>
        <w:t xml:space="preserve">A question raised and left hanging by AG </w:t>
      </w:r>
      <w:proofErr w:type="spellStart"/>
      <w:r w:rsidRPr="0089051B">
        <w:rPr>
          <w:rFonts w:ascii="Times New Roman" w:hAnsi="Times New Roman" w:cs="Times New Roman"/>
          <w:sz w:val="20"/>
          <w:szCs w:val="20"/>
          <w:lang w:val="en-US"/>
        </w:rPr>
        <w:t>Kokott</w:t>
      </w:r>
      <w:proofErr w:type="spellEnd"/>
      <w:r w:rsidRPr="0089051B">
        <w:rPr>
          <w:rFonts w:ascii="Times New Roman" w:hAnsi="Times New Roman" w:cs="Times New Roman"/>
          <w:sz w:val="20"/>
          <w:szCs w:val="20"/>
          <w:lang w:val="en-US"/>
        </w:rPr>
        <w:t xml:space="preserve"> in </w:t>
      </w:r>
      <w:r w:rsidRPr="0089051B">
        <w:rPr>
          <w:rFonts w:ascii="Times New Roman" w:hAnsi="Times New Roman" w:cs="Times New Roman"/>
          <w:i/>
          <w:sz w:val="20"/>
          <w:szCs w:val="20"/>
        </w:rPr>
        <w:t>Inter-</w:t>
      </w:r>
      <w:proofErr w:type="spellStart"/>
      <w:r w:rsidRPr="0089051B">
        <w:rPr>
          <w:rFonts w:ascii="Times New Roman" w:hAnsi="Times New Roman" w:cs="Times New Roman"/>
          <w:i/>
          <w:sz w:val="20"/>
          <w:szCs w:val="20"/>
        </w:rPr>
        <w:t>Environnement</w:t>
      </w:r>
      <w:proofErr w:type="spellEnd"/>
      <w:r w:rsidRPr="0089051B">
        <w:rPr>
          <w:rFonts w:ascii="Times New Roman" w:hAnsi="Times New Roman" w:cs="Times New Roman"/>
          <w:i/>
          <w:sz w:val="20"/>
          <w:szCs w:val="20"/>
        </w:rPr>
        <w:t xml:space="preserve"> </w:t>
      </w:r>
      <w:proofErr w:type="spellStart"/>
      <w:r w:rsidRPr="0089051B">
        <w:rPr>
          <w:rFonts w:ascii="Times New Roman" w:hAnsi="Times New Roman" w:cs="Times New Roman"/>
          <w:i/>
          <w:sz w:val="20"/>
          <w:szCs w:val="20"/>
        </w:rPr>
        <w:t>Wallonie</w:t>
      </w:r>
      <w:proofErr w:type="spellEnd"/>
      <w:r w:rsidRPr="0089051B">
        <w:rPr>
          <w:rFonts w:ascii="Times New Roman" w:hAnsi="Times New Roman" w:cs="Times New Roman"/>
          <w:sz w:val="20"/>
          <w:szCs w:val="20"/>
        </w:rPr>
        <w:t xml:space="preserve">, </w:t>
      </w:r>
      <w:proofErr w:type="spellStart"/>
      <w:r w:rsidRPr="0089051B">
        <w:rPr>
          <w:rFonts w:ascii="Times New Roman" w:hAnsi="Times New Roman" w:cs="Times New Roman"/>
          <w:sz w:val="20"/>
          <w:szCs w:val="20"/>
        </w:rPr>
        <w:t>para</w:t>
      </w:r>
      <w:proofErr w:type="spellEnd"/>
      <w:r w:rsidRPr="0089051B">
        <w:rPr>
          <w:rFonts w:ascii="Times New Roman" w:hAnsi="Times New Roman" w:cs="Times New Roman"/>
          <w:sz w:val="20"/>
          <w:szCs w:val="20"/>
        </w:rPr>
        <w:t xml:space="preserve"> 45 Opinion.  </w:t>
      </w:r>
    </w:p>
  </w:footnote>
  <w:footnote w:id="163">
    <w:p w14:paraId="17074740" w14:textId="12B910EF" w:rsidR="00F9432E" w:rsidRPr="0089051B" w:rsidRDefault="00F9432E" w:rsidP="0089051B">
      <w:pPr>
        <w:rPr>
          <w:rFonts w:ascii="Times New Roman" w:eastAsia="Times New Roman" w:hAnsi="Times New Roman" w:cs="Times New Roman"/>
          <w:sz w:val="20"/>
          <w:szCs w:val="20"/>
        </w:rPr>
      </w:pPr>
      <w:r w:rsidRPr="0089051B">
        <w:rPr>
          <w:rStyle w:val="FootnoteReference"/>
          <w:rFonts w:ascii="Times New Roman" w:hAnsi="Times New Roman" w:cs="Times New Roman"/>
          <w:sz w:val="20"/>
          <w:szCs w:val="20"/>
        </w:rPr>
        <w:footnoteRef/>
      </w:r>
      <w:r w:rsidRPr="0089051B">
        <w:rPr>
          <w:rFonts w:ascii="Times New Roman" w:hAnsi="Times New Roman" w:cs="Times New Roman"/>
          <w:sz w:val="20"/>
          <w:szCs w:val="20"/>
        </w:rPr>
        <w:t xml:space="preserve"> Judgment of the </w:t>
      </w:r>
      <w:proofErr w:type="spellStart"/>
      <w:r w:rsidRPr="0089051B">
        <w:rPr>
          <w:rFonts w:ascii="Times New Roman" w:hAnsi="Times New Roman" w:cs="Times New Roman"/>
          <w:sz w:val="20"/>
          <w:szCs w:val="20"/>
        </w:rPr>
        <w:t>Conseil</w:t>
      </w:r>
      <w:proofErr w:type="spellEnd"/>
      <w:r w:rsidRPr="0089051B">
        <w:rPr>
          <w:rFonts w:ascii="Times New Roman" w:hAnsi="Times New Roman" w:cs="Times New Roman"/>
          <w:sz w:val="20"/>
          <w:szCs w:val="20"/>
        </w:rPr>
        <w:t xml:space="preserve"> d’</w:t>
      </w:r>
      <w:proofErr w:type="spellStart"/>
      <w:r w:rsidRPr="0089051B">
        <w:rPr>
          <w:rFonts w:ascii="Times New Roman" w:hAnsi="Times New Roman" w:cs="Times New Roman"/>
          <w:sz w:val="20"/>
          <w:szCs w:val="20"/>
          <w:lang w:val="en-US"/>
        </w:rPr>
        <w:t>État</w:t>
      </w:r>
      <w:proofErr w:type="spellEnd"/>
      <w:r w:rsidRPr="0089051B">
        <w:rPr>
          <w:rFonts w:ascii="Times New Roman" w:hAnsi="Times New Roman" w:cs="Times New Roman"/>
          <w:sz w:val="20"/>
          <w:szCs w:val="20"/>
        </w:rPr>
        <w:t xml:space="preserve"> in </w:t>
      </w:r>
      <w:r w:rsidRPr="0089051B">
        <w:rPr>
          <w:rFonts w:ascii="Times New Roman" w:hAnsi="Times New Roman" w:cs="Times New Roman"/>
          <w:i/>
          <w:sz w:val="20"/>
          <w:szCs w:val="20"/>
          <w:lang w:val="en-US"/>
        </w:rPr>
        <w:t>ANODE</w:t>
      </w:r>
      <w:r w:rsidRPr="0089051B">
        <w:rPr>
          <w:rFonts w:ascii="Times New Roman" w:hAnsi="Times New Roman" w:cs="Times New Roman"/>
          <w:sz w:val="20"/>
          <w:szCs w:val="20"/>
          <w:lang w:val="en-US"/>
        </w:rPr>
        <w:t xml:space="preserve">, </w:t>
      </w:r>
      <w:r w:rsidRPr="0089051B">
        <w:rPr>
          <w:rFonts w:ascii="Times New Roman" w:eastAsia="Times New Roman" w:hAnsi="Times New Roman" w:cs="Times New Roman"/>
          <w:color w:val="000000"/>
          <w:sz w:val="20"/>
          <w:szCs w:val="20"/>
          <w:shd w:val="clear" w:color="auto" w:fill="FFFFFF"/>
        </w:rPr>
        <w:t>ECLI</w:t>
      </w:r>
      <w:proofErr w:type="gramStart"/>
      <w:r w:rsidRPr="0089051B">
        <w:rPr>
          <w:rFonts w:ascii="Times New Roman" w:eastAsia="Times New Roman" w:hAnsi="Times New Roman" w:cs="Times New Roman"/>
          <w:color w:val="000000"/>
          <w:sz w:val="20"/>
          <w:szCs w:val="20"/>
          <w:shd w:val="clear" w:color="auto" w:fill="FFFFFF"/>
        </w:rPr>
        <w:t>:FR:CEASS:2017:370321.20170719</w:t>
      </w:r>
      <w:proofErr w:type="gramEnd"/>
      <w:r w:rsidRPr="0089051B">
        <w:rPr>
          <w:rFonts w:ascii="Times New Roman" w:eastAsia="Times New Roman" w:hAnsi="Times New Roman" w:cs="Times New Roman"/>
          <w:color w:val="000000"/>
          <w:sz w:val="20"/>
          <w:szCs w:val="20"/>
          <w:shd w:val="clear" w:color="auto" w:fill="FFFFFF"/>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1833"/>
    <w:multiLevelType w:val="hybridMultilevel"/>
    <w:tmpl w:val="EEA4A996"/>
    <w:lvl w:ilvl="0" w:tplc="E60E5D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77"/>
    <w:rsid w:val="00000F5D"/>
    <w:rsid w:val="000031BD"/>
    <w:rsid w:val="000047FD"/>
    <w:rsid w:val="00015618"/>
    <w:rsid w:val="00024078"/>
    <w:rsid w:val="00030C57"/>
    <w:rsid w:val="00035C54"/>
    <w:rsid w:val="00037D42"/>
    <w:rsid w:val="0004125B"/>
    <w:rsid w:val="00042CBC"/>
    <w:rsid w:val="00045B7F"/>
    <w:rsid w:val="0004610B"/>
    <w:rsid w:val="000474FD"/>
    <w:rsid w:val="000538C5"/>
    <w:rsid w:val="00055D21"/>
    <w:rsid w:val="00057E0C"/>
    <w:rsid w:val="0006785C"/>
    <w:rsid w:val="00071835"/>
    <w:rsid w:val="00077848"/>
    <w:rsid w:val="00080A9F"/>
    <w:rsid w:val="00082142"/>
    <w:rsid w:val="00085C25"/>
    <w:rsid w:val="00086BC3"/>
    <w:rsid w:val="000926FD"/>
    <w:rsid w:val="0009596D"/>
    <w:rsid w:val="000A247D"/>
    <w:rsid w:val="000A4565"/>
    <w:rsid w:val="000B1040"/>
    <w:rsid w:val="000B1160"/>
    <w:rsid w:val="000B499B"/>
    <w:rsid w:val="000C6036"/>
    <w:rsid w:val="000C6C2C"/>
    <w:rsid w:val="000D0465"/>
    <w:rsid w:val="000D24B9"/>
    <w:rsid w:val="000D40A2"/>
    <w:rsid w:val="000D46ED"/>
    <w:rsid w:val="000F067C"/>
    <w:rsid w:val="000F20F3"/>
    <w:rsid w:val="000F7043"/>
    <w:rsid w:val="000F75CE"/>
    <w:rsid w:val="001008CD"/>
    <w:rsid w:val="00103B25"/>
    <w:rsid w:val="001112C7"/>
    <w:rsid w:val="001144B9"/>
    <w:rsid w:val="00114B6B"/>
    <w:rsid w:val="001152DA"/>
    <w:rsid w:val="00115D22"/>
    <w:rsid w:val="00120359"/>
    <w:rsid w:val="00130CB1"/>
    <w:rsid w:val="001334BF"/>
    <w:rsid w:val="00136601"/>
    <w:rsid w:val="001439F2"/>
    <w:rsid w:val="00146A52"/>
    <w:rsid w:val="00147DF4"/>
    <w:rsid w:val="001507BC"/>
    <w:rsid w:val="00150AD6"/>
    <w:rsid w:val="00157FA0"/>
    <w:rsid w:val="0016087E"/>
    <w:rsid w:val="001704E7"/>
    <w:rsid w:val="00170616"/>
    <w:rsid w:val="00177EF0"/>
    <w:rsid w:val="001807FE"/>
    <w:rsid w:val="00182312"/>
    <w:rsid w:val="00186C86"/>
    <w:rsid w:val="001954A3"/>
    <w:rsid w:val="001A0F7C"/>
    <w:rsid w:val="001A5BBC"/>
    <w:rsid w:val="001B20DA"/>
    <w:rsid w:val="001B77B7"/>
    <w:rsid w:val="001C20CA"/>
    <w:rsid w:val="001C3116"/>
    <w:rsid w:val="001C513D"/>
    <w:rsid w:val="001D7812"/>
    <w:rsid w:val="001E6CC7"/>
    <w:rsid w:val="001E751C"/>
    <w:rsid w:val="001F4BA1"/>
    <w:rsid w:val="001F6529"/>
    <w:rsid w:val="001F78E2"/>
    <w:rsid w:val="002017CD"/>
    <w:rsid w:val="002059CE"/>
    <w:rsid w:val="00210AC0"/>
    <w:rsid w:val="00211A8A"/>
    <w:rsid w:val="00212AE6"/>
    <w:rsid w:val="0021712F"/>
    <w:rsid w:val="00223462"/>
    <w:rsid w:val="002252B5"/>
    <w:rsid w:val="00225E7D"/>
    <w:rsid w:val="00226622"/>
    <w:rsid w:val="00235708"/>
    <w:rsid w:val="002371AB"/>
    <w:rsid w:val="00243276"/>
    <w:rsid w:val="00244F26"/>
    <w:rsid w:val="00253643"/>
    <w:rsid w:val="002564A4"/>
    <w:rsid w:val="00256D3A"/>
    <w:rsid w:val="002601CD"/>
    <w:rsid w:val="00264B58"/>
    <w:rsid w:val="00266FDE"/>
    <w:rsid w:val="0026751E"/>
    <w:rsid w:val="0028240C"/>
    <w:rsid w:val="002843CD"/>
    <w:rsid w:val="00286B95"/>
    <w:rsid w:val="00292305"/>
    <w:rsid w:val="00292947"/>
    <w:rsid w:val="002965F8"/>
    <w:rsid w:val="00297E98"/>
    <w:rsid w:val="002A04FF"/>
    <w:rsid w:val="002B0276"/>
    <w:rsid w:val="002B4CC5"/>
    <w:rsid w:val="002D4B72"/>
    <w:rsid w:val="002D50D5"/>
    <w:rsid w:val="002D6340"/>
    <w:rsid w:val="002D78B4"/>
    <w:rsid w:val="002E10C1"/>
    <w:rsid w:val="002E1971"/>
    <w:rsid w:val="002E2B6A"/>
    <w:rsid w:val="002E4622"/>
    <w:rsid w:val="002E5D63"/>
    <w:rsid w:val="002F042A"/>
    <w:rsid w:val="002F37A2"/>
    <w:rsid w:val="002F7520"/>
    <w:rsid w:val="003036CD"/>
    <w:rsid w:val="00304C2A"/>
    <w:rsid w:val="00324F93"/>
    <w:rsid w:val="00330D1D"/>
    <w:rsid w:val="00330EB0"/>
    <w:rsid w:val="00333A66"/>
    <w:rsid w:val="003420F3"/>
    <w:rsid w:val="00356C94"/>
    <w:rsid w:val="00361EAD"/>
    <w:rsid w:val="00367995"/>
    <w:rsid w:val="0037341C"/>
    <w:rsid w:val="003753B6"/>
    <w:rsid w:val="00377286"/>
    <w:rsid w:val="003829DF"/>
    <w:rsid w:val="003848C8"/>
    <w:rsid w:val="00393624"/>
    <w:rsid w:val="003943E3"/>
    <w:rsid w:val="0039561E"/>
    <w:rsid w:val="003972B2"/>
    <w:rsid w:val="003A7B77"/>
    <w:rsid w:val="003B1F4C"/>
    <w:rsid w:val="003B3204"/>
    <w:rsid w:val="003B3CF3"/>
    <w:rsid w:val="003B570F"/>
    <w:rsid w:val="003B74F6"/>
    <w:rsid w:val="003E1811"/>
    <w:rsid w:val="003F0931"/>
    <w:rsid w:val="003F23C5"/>
    <w:rsid w:val="003F2DCA"/>
    <w:rsid w:val="0040198B"/>
    <w:rsid w:val="00411B6C"/>
    <w:rsid w:val="004152BA"/>
    <w:rsid w:val="0041727D"/>
    <w:rsid w:val="00425F9B"/>
    <w:rsid w:val="00427301"/>
    <w:rsid w:val="00434D8B"/>
    <w:rsid w:val="00440FF5"/>
    <w:rsid w:val="004503D6"/>
    <w:rsid w:val="00450C65"/>
    <w:rsid w:val="0045168A"/>
    <w:rsid w:val="004537B5"/>
    <w:rsid w:val="00456DB0"/>
    <w:rsid w:val="004615B0"/>
    <w:rsid w:val="004627B1"/>
    <w:rsid w:val="00472432"/>
    <w:rsid w:val="00473C1F"/>
    <w:rsid w:val="004747B4"/>
    <w:rsid w:val="00475360"/>
    <w:rsid w:val="00484382"/>
    <w:rsid w:val="0048514C"/>
    <w:rsid w:val="00486D05"/>
    <w:rsid w:val="00486D3D"/>
    <w:rsid w:val="004933A5"/>
    <w:rsid w:val="00493AFB"/>
    <w:rsid w:val="00494296"/>
    <w:rsid w:val="004963D4"/>
    <w:rsid w:val="0049777B"/>
    <w:rsid w:val="004B03C7"/>
    <w:rsid w:val="004B1C06"/>
    <w:rsid w:val="004B36D6"/>
    <w:rsid w:val="004B41B8"/>
    <w:rsid w:val="004B7732"/>
    <w:rsid w:val="004C32A6"/>
    <w:rsid w:val="004C75BB"/>
    <w:rsid w:val="004D154F"/>
    <w:rsid w:val="004D44AE"/>
    <w:rsid w:val="004D58B9"/>
    <w:rsid w:val="004E4A30"/>
    <w:rsid w:val="004E66A0"/>
    <w:rsid w:val="004F52E6"/>
    <w:rsid w:val="005004D0"/>
    <w:rsid w:val="0050785C"/>
    <w:rsid w:val="00511EDF"/>
    <w:rsid w:val="00512DCE"/>
    <w:rsid w:val="00513F49"/>
    <w:rsid w:val="005150F8"/>
    <w:rsid w:val="00515D81"/>
    <w:rsid w:val="0052109D"/>
    <w:rsid w:val="00525C36"/>
    <w:rsid w:val="00533E9F"/>
    <w:rsid w:val="00535E02"/>
    <w:rsid w:val="00535EF2"/>
    <w:rsid w:val="00550B13"/>
    <w:rsid w:val="00550F92"/>
    <w:rsid w:val="00551F82"/>
    <w:rsid w:val="0056007F"/>
    <w:rsid w:val="00565DFD"/>
    <w:rsid w:val="00566387"/>
    <w:rsid w:val="005672F9"/>
    <w:rsid w:val="0057784A"/>
    <w:rsid w:val="00583762"/>
    <w:rsid w:val="005952FD"/>
    <w:rsid w:val="00595592"/>
    <w:rsid w:val="005A1759"/>
    <w:rsid w:val="005C0B96"/>
    <w:rsid w:val="005C4336"/>
    <w:rsid w:val="005D397A"/>
    <w:rsid w:val="005D6949"/>
    <w:rsid w:val="005D7DEB"/>
    <w:rsid w:val="005E0D8C"/>
    <w:rsid w:val="005F0A34"/>
    <w:rsid w:val="005F2211"/>
    <w:rsid w:val="005F2D75"/>
    <w:rsid w:val="005F3F04"/>
    <w:rsid w:val="005F431A"/>
    <w:rsid w:val="005F5557"/>
    <w:rsid w:val="0060041D"/>
    <w:rsid w:val="006024A9"/>
    <w:rsid w:val="006065FB"/>
    <w:rsid w:val="006073AC"/>
    <w:rsid w:val="00612AC6"/>
    <w:rsid w:val="00612B14"/>
    <w:rsid w:val="0061452E"/>
    <w:rsid w:val="00614A21"/>
    <w:rsid w:val="006207B0"/>
    <w:rsid w:val="0062753C"/>
    <w:rsid w:val="006314F4"/>
    <w:rsid w:val="00637301"/>
    <w:rsid w:val="00643D1E"/>
    <w:rsid w:val="00644BD3"/>
    <w:rsid w:val="006471A6"/>
    <w:rsid w:val="006512D8"/>
    <w:rsid w:val="00651DE6"/>
    <w:rsid w:val="006554ED"/>
    <w:rsid w:val="00657D88"/>
    <w:rsid w:val="0066654D"/>
    <w:rsid w:val="00672F1E"/>
    <w:rsid w:val="00674278"/>
    <w:rsid w:val="00690BDA"/>
    <w:rsid w:val="006923B6"/>
    <w:rsid w:val="0069408D"/>
    <w:rsid w:val="006A10A6"/>
    <w:rsid w:val="006A4B21"/>
    <w:rsid w:val="006B2F25"/>
    <w:rsid w:val="006B57F4"/>
    <w:rsid w:val="006B66C6"/>
    <w:rsid w:val="006B7F32"/>
    <w:rsid w:val="006C2448"/>
    <w:rsid w:val="006C2FE9"/>
    <w:rsid w:val="006C50DC"/>
    <w:rsid w:val="006C7B43"/>
    <w:rsid w:val="006D1EA7"/>
    <w:rsid w:val="006D4853"/>
    <w:rsid w:val="006E3993"/>
    <w:rsid w:val="006E5D11"/>
    <w:rsid w:val="006E5E55"/>
    <w:rsid w:val="006F259D"/>
    <w:rsid w:val="006F7CA1"/>
    <w:rsid w:val="006F7EB5"/>
    <w:rsid w:val="00701A1C"/>
    <w:rsid w:val="00701E36"/>
    <w:rsid w:val="00702F34"/>
    <w:rsid w:val="007034FE"/>
    <w:rsid w:val="00705FC5"/>
    <w:rsid w:val="0070628A"/>
    <w:rsid w:val="00706CE5"/>
    <w:rsid w:val="00710859"/>
    <w:rsid w:val="0071406C"/>
    <w:rsid w:val="00721E08"/>
    <w:rsid w:val="0072219F"/>
    <w:rsid w:val="007253B4"/>
    <w:rsid w:val="007271AE"/>
    <w:rsid w:val="00727228"/>
    <w:rsid w:val="00727EDA"/>
    <w:rsid w:val="00736106"/>
    <w:rsid w:val="0073754F"/>
    <w:rsid w:val="00740D09"/>
    <w:rsid w:val="00742862"/>
    <w:rsid w:val="0075000C"/>
    <w:rsid w:val="007507CE"/>
    <w:rsid w:val="007535D4"/>
    <w:rsid w:val="007547E6"/>
    <w:rsid w:val="0075617B"/>
    <w:rsid w:val="00764B27"/>
    <w:rsid w:val="007651E6"/>
    <w:rsid w:val="0076733B"/>
    <w:rsid w:val="00771865"/>
    <w:rsid w:val="00772A9C"/>
    <w:rsid w:val="00773EB6"/>
    <w:rsid w:val="00776375"/>
    <w:rsid w:val="0077658A"/>
    <w:rsid w:val="00785A26"/>
    <w:rsid w:val="0078621E"/>
    <w:rsid w:val="00794CAF"/>
    <w:rsid w:val="007A0FBB"/>
    <w:rsid w:val="007A2440"/>
    <w:rsid w:val="007A74D6"/>
    <w:rsid w:val="007A7D11"/>
    <w:rsid w:val="007B0E8D"/>
    <w:rsid w:val="007B1B27"/>
    <w:rsid w:val="007B3E99"/>
    <w:rsid w:val="007B6F48"/>
    <w:rsid w:val="007C1C47"/>
    <w:rsid w:val="007C444C"/>
    <w:rsid w:val="007C5A9B"/>
    <w:rsid w:val="007C5E09"/>
    <w:rsid w:val="007D1472"/>
    <w:rsid w:val="007D3812"/>
    <w:rsid w:val="007E5AF6"/>
    <w:rsid w:val="007E76E0"/>
    <w:rsid w:val="007F64E9"/>
    <w:rsid w:val="00806007"/>
    <w:rsid w:val="00811E17"/>
    <w:rsid w:val="00813611"/>
    <w:rsid w:val="0082011D"/>
    <w:rsid w:val="00823A85"/>
    <w:rsid w:val="00826508"/>
    <w:rsid w:val="008269D1"/>
    <w:rsid w:val="00831DB9"/>
    <w:rsid w:val="00833353"/>
    <w:rsid w:val="008333EB"/>
    <w:rsid w:val="00835512"/>
    <w:rsid w:val="0083747D"/>
    <w:rsid w:val="0084096A"/>
    <w:rsid w:val="00840A97"/>
    <w:rsid w:val="00846324"/>
    <w:rsid w:val="00850FEB"/>
    <w:rsid w:val="008512BA"/>
    <w:rsid w:val="008517B3"/>
    <w:rsid w:val="00853DBD"/>
    <w:rsid w:val="00854712"/>
    <w:rsid w:val="00860E63"/>
    <w:rsid w:val="008613BF"/>
    <w:rsid w:val="00861524"/>
    <w:rsid w:val="00870753"/>
    <w:rsid w:val="00870D6E"/>
    <w:rsid w:val="008766F2"/>
    <w:rsid w:val="00881040"/>
    <w:rsid w:val="0089051B"/>
    <w:rsid w:val="00893083"/>
    <w:rsid w:val="008930B4"/>
    <w:rsid w:val="0089374F"/>
    <w:rsid w:val="008942F9"/>
    <w:rsid w:val="00895AF8"/>
    <w:rsid w:val="00896349"/>
    <w:rsid w:val="00896AB6"/>
    <w:rsid w:val="00897DC7"/>
    <w:rsid w:val="008A0183"/>
    <w:rsid w:val="008A3E2E"/>
    <w:rsid w:val="008B1F1A"/>
    <w:rsid w:val="008B2C78"/>
    <w:rsid w:val="008B34A3"/>
    <w:rsid w:val="008B613D"/>
    <w:rsid w:val="008C454F"/>
    <w:rsid w:val="008E0353"/>
    <w:rsid w:val="008E685B"/>
    <w:rsid w:val="008E6D51"/>
    <w:rsid w:val="008F3541"/>
    <w:rsid w:val="008F39C3"/>
    <w:rsid w:val="008F3B98"/>
    <w:rsid w:val="008F4FC8"/>
    <w:rsid w:val="00900424"/>
    <w:rsid w:val="0090091A"/>
    <w:rsid w:val="009020BC"/>
    <w:rsid w:val="0091122F"/>
    <w:rsid w:val="0091427D"/>
    <w:rsid w:val="00921D5D"/>
    <w:rsid w:val="00923EF2"/>
    <w:rsid w:val="00925697"/>
    <w:rsid w:val="00925954"/>
    <w:rsid w:val="009279FE"/>
    <w:rsid w:val="00936D6B"/>
    <w:rsid w:val="009434EF"/>
    <w:rsid w:val="00944CC5"/>
    <w:rsid w:val="0094690A"/>
    <w:rsid w:val="00956316"/>
    <w:rsid w:val="009604E7"/>
    <w:rsid w:val="00963034"/>
    <w:rsid w:val="00976D48"/>
    <w:rsid w:val="00977804"/>
    <w:rsid w:val="009808A8"/>
    <w:rsid w:val="00993630"/>
    <w:rsid w:val="00994EA9"/>
    <w:rsid w:val="009968BA"/>
    <w:rsid w:val="009972AD"/>
    <w:rsid w:val="00997606"/>
    <w:rsid w:val="009A5369"/>
    <w:rsid w:val="009A56F5"/>
    <w:rsid w:val="009C4571"/>
    <w:rsid w:val="009C6E42"/>
    <w:rsid w:val="009D116A"/>
    <w:rsid w:val="009D1965"/>
    <w:rsid w:val="009D3E1E"/>
    <w:rsid w:val="009D7027"/>
    <w:rsid w:val="009D7864"/>
    <w:rsid w:val="009E4C20"/>
    <w:rsid w:val="009E5694"/>
    <w:rsid w:val="009F2504"/>
    <w:rsid w:val="009F392A"/>
    <w:rsid w:val="009F40DB"/>
    <w:rsid w:val="009F51EC"/>
    <w:rsid w:val="009F57EA"/>
    <w:rsid w:val="009F638F"/>
    <w:rsid w:val="009F6C7A"/>
    <w:rsid w:val="00A01CE2"/>
    <w:rsid w:val="00A025EF"/>
    <w:rsid w:val="00A02DC4"/>
    <w:rsid w:val="00A0494C"/>
    <w:rsid w:val="00A077FC"/>
    <w:rsid w:val="00A0786C"/>
    <w:rsid w:val="00A15D5C"/>
    <w:rsid w:val="00A17E8D"/>
    <w:rsid w:val="00A209A0"/>
    <w:rsid w:val="00A211D0"/>
    <w:rsid w:val="00A2524D"/>
    <w:rsid w:val="00A26CBF"/>
    <w:rsid w:val="00A31CFC"/>
    <w:rsid w:val="00A328F5"/>
    <w:rsid w:val="00A37341"/>
    <w:rsid w:val="00A425E6"/>
    <w:rsid w:val="00A45EE7"/>
    <w:rsid w:val="00A54117"/>
    <w:rsid w:val="00A5697A"/>
    <w:rsid w:val="00A570B8"/>
    <w:rsid w:val="00A57676"/>
    <w:rsid w:val="00A60E4E"/>
    <w:rsid w:val="00A61162"/>
    <w:rsid w:val="00A66180"/>
    <w:rsid w:val="00A701BB"/>
    <w:rsid w:val="00A85E71"/>
    <w:rsid w:val="00A91B40"/>
    <w:rsid w:val="00A96C28"/>
    <w:rsid w:val="00AA0FDE"/>
    <w:rsid w:val="00AA1BE3"/>
    <w:rsid w:val="00AB4E8B"/>
    <w:rsid w:val="00AB6945"/>
    <w:rsid w:val="00AC084D"/>
    <w:rsid w:val="00AC2A6A"/>
    <w:rsid w:val="00AC5E35"/>
    <w:rsid w:val="00AC74CB"/>
    <w:rsid w:val="00AD01A3"/>
    <w:rsid w:val="00AD1509"/>
    <w:rsid w:val="00AD4C54"/>
    <w:rsid w:val="00AD5601"/>
    <w:rsid w:val="00AD68B7"/>
    <w:rsid w:val="00AE0347"/>
    <w:rsid w:val="00AE679F"/>
    <w:rsid w:val="00AE68DE"/>
    <w:rsid w:val="00AF63A4"/>
    <w:rsid w:val="00B03B87"/>
    <w:rsid w:val="00B046E6"/>
    <w:rsid w:val="00B0595B"/>
    <w:rsid w:val="00B07FB7"/>
    <w:rsid w:val="00B1080D"/>
    <w:rsid w:val="00B13574"/>
    <w:rsid w:val="00B2118E"/>
    <w:rsid w:val="00B261C8"/>
    <w:rsid w:val="00B33493"/>
    <w:rsid w:val="00B354F1"/>
    <w:rsid w:val="00B375CC"/>
    <w:rsid w:val="00B46348"/>
    <w:rsid w:val="00B47F20"/>
    <w:rsid w:val="00B573EA"/>
    <w:rsid w:val="00B63579"/>
    <w:rsid w:val="00B644A9"/>
    <w:rsid w:val="00B704DE"/>
    <w:rsid w:val="00B81FD5"/>
    <w:rsid w:val="00B842C7"/>
    <w:rsid w:val="00B86275"/>
    <w:rsid w:val="00B90427"/>
    <w:rsid w:val="00B91762"/>
    <w:rsid w:val="00B91B0B"/>
    <w:rsid w:val="00B925CD"/>
    <w:rsid w:val="00B950B0"/>
    <w:rsid w:val="00B97155"/>
    <w:rsid w:val="00BA6570"/>
    <w:rsid w:val="00BA704F"/>
    <w:rsid w:val="00BA79C9"/>
    <w:rsid w:val="00BB380E"/>
    <w:rsid w:val="00BB53C4"/>
    <w:rsid w:val="00BB6DF8"/>
    <w:rsid w:val="00BB7B7C"/>
    <w:rsid w:val="00BC270A"/>
    <w:rsid w:val="00BC3226"/>
    <w:rsid w:val="00BC6A5C"/>
    <w:rsid w:val="00BE0A68"/>
    <w:rsid w:val="00BE5AC2"/>
    <w:rsid w:val="00BE5DF8"/>
    <w:rsid w:val="00BF192F"/>
    <w:rsid w:val="00C02621"/>
    <w:rsid w:val="00C057F4"/>
    <w:rsid w:val="00C07660"/>
    <w:rsid w:val="00C10E8F"/>
    <w:rsid w:val="00C127C4"/>
    <w:rsid w:val="00C17CA1"/>
    <w:rsid w:val="00C2033D"/>
    <w:rsid w:val="00C31BFE"/>
    <w:rsid w:val="00C33514"/>
    <w:rsid w:val="00C33999"/>
    <w:rsid w:val="00C36D5D"/>
    <w:rsid w:val="00C436BA"/>
    <w:rsid w:val="00C4386D"/>
    <w:rsid w:val="00C441D5"/>
    <w:rsid w:val="00C54624"/>
    <w:rsid w:val="00C55D69"/>
    <w:rsid w:val="00C67F3E"/>
    <w:rsid w:val="00C72889"/>
    <w:rsid w:val="00C819AE"/>
    <w:rsid w:val="00C82797"/>
    <w:rsid w:val="00C9569F"/>
    <w:rsid w:val="00CA06DB"/>
    <w:rsid w:val="00CB08A5"/>
    <w:rsid w:val="00CB683C"/>
    <w:rsid w:val="00CB7C1C"/>
    <w:rsid w:val="00CC1F6F"/>
    <w:rsid w:val="00CC344B"/>
    <w:rsid w:val="00CC439D"/>
    <w:rsid w:val="00CC5FDA"/>
    <w:rsid w:val="00CC652F"/>
    <w:rsid w:val="00CC7E5F"/>
    <w:rsid w:val="00CD42BD"/>
    <w:rsid w:val="00CD5386"/>
    <w:rsid w:val="00CD5DAE"/>
    <w:rsid w:val="00CD5DEF"/>
    <w:rsid w:val="00CD6C70"/>
    <w:rsid w:val="00CD7BE7"/>
    <w:rsid w:val="00CE4989"/>
    <w:rsid w:val="00CE4E4D"/>
    <w:rsid w:val="00CE6B2E"/>
    <w:rsid w:val="00CF2D31"/>
    <w:rsid w:val="00CF3378"/>
    <w:rsid w:val="00D016ED"/>
    <w:rsid w:val="00D12CE0"/>
    <w:rsid w:val="00D13D66"/>
    <w:rsid w:val="00D151C1"/>
    <w:rsid w:val="00D16AA8"/>
    <w:rsid w:val="00D2679B"/>
    <w:rsid w:val="00D43E4C"/>
    <w:rsid w:val="00D4442C"/>
    <w:rsid w:val="00D535C0"/>
    <w:rsid w:val="00D617C6"/>
    <w:rsid w:val="00D65288"/>
    <w:rsid w:val="00D66130"/>
    <w:rsid w:val="00D66614"/>
    <w:rsid w:val="00D7062B"/>
    <w:rsid w:val="00D71F9A"/>
    <w:rsid w:val="00D749EE"/>
    <w:rsid w:val="00D74DFE"/>
    <w:rsid w:val="00D82B48"/>
    <w:rsid w:val="00D8433A"/>
    <w:rsid w:val="00D85CF9"/>
    <w:rsid w:val="00D87DF0"/>
    <w:rsid w:val="00D9222D"/>
    <w:rsid w:val="00DA283E"/>
    <w:rsid w:val="00DA4F33"/>
    <w:rsid w:val="00DA6283"/>
    <w:rsid w:val="00DB4753"/>
    <w:rsid w:val="00DB4AD8"/>
    <w:rsid w:val="00DB4B0B"/>
    <w:rsid w:val="00DB774F"/>
    <w:rsid w:val="00DC0D71"/>
    <w:rsid w:val="00DC4787"/>
    <w:rsid w:val="00DC53C3"/>
    <w:rsid w:val="00DD5FC8"/>
    <w:rsid w:val="00DE5ABA"/>
    <w:rsid w:val="00DF2F70"/>
    <w:rsid w:val="00DF2FA1"/>
    <w:rsid w:val="00DF55E4"/>
    <w:rsid w:val="00DF5BB6"/>
    <w:rsid w:val="00DF6622"/>
    <w:rsid w:val="00DF78D3"/>
    <w:rsid w:val="00E00444"/>
    <w:rsid w:val="00E01C5E"/>
    <w:rsid w:val="00E023DB"/>
    <w:rsid w:val="00E07018"/>
    <w:rsid w:val="00E07BE3"/>
    <w:rsid w:val="00E161C7"/>
    <w:rsid w:val="00E173BD"/>
    <w:rsid w:val="00E35868"/>
    <w:rsid w:val="00E41234"/>
    <w:rsid w:val="00E46748"/>
    <w:rsid w:val="00E55BE5"/>
    <w:rsid w:val="00E62161"/>
    <w:rsid w:val="00E63181"/>
    <w:rsid w:val="00E70624"/>
    <w:rsid w:val="00E721D3"/>
    <w:rsid w:val="00E76965"/>
    <w:rsid w:val="00E8346D"/>
    <w:rsid w:val="00E85882"/>
    <w:rsid w:val="00E90652"/>
    <w:rsid w:val="00E90785"/>
    <w:rsid w:val="00E92F8A"/>
    <w:rsid w:val="00EA2F68"/>
    <w:rsid w:val="00EA3E07"/>
    <w:rsid w:val="00EA4910"/>
    <w:rsid w:val="00EA61F9"/>
    <w:rsid w:val="00EB2895"/>
    <w:rsid w:val="00EB2E05"/>
    <w:rsid w:val="00EC2A77"/>
    <w:rsid w:val="00EC2D48"/>
    <w:rsid w:val="00EC51FF"/>
    <w:rsid w:val="00ED2E8E"/>
    <w:rsid w:val="00ED5AD2"/>
    <w:rsid w:val="00ED6631"/>
    <w:rsid w:val="00EE2488"/>
    <w:rsid w:val="00EE381D"/>
    <w:rsid w:val="00EE586E"/>
    <w:rsid w:val="00EF0A90"/>
    <w:rsid w:val="00EF12AC"/>
    <w:rsid w:val="00EF249F"/>
    <w:rsid w:val="00EF3EED"/>
    <w:rsid w:val="00EF575F"/>
    <w:rsid w:val="00F03B17"/>
    <w:rsid w:val="00F079E7"/>
    <w:rsid w:val="00F157B0"/>
    <w:rsid w:val="00F217C7"/>
    <w:rsid w:val="00F23B5C"/>
    <w:rsid w:val="00F26047"/>
    <w:rsid w:val="00F27A58"/>
    <w:rsid w:val="00F27B02"/>
    <w:rsid w:val="00F3552C"/>
    <w:rsid w:val="00F37717"/>
    <w:rsid w:val="00F45213"/>
    <w:rsid w:val="00F46877"/>
    <w:rsid w:val="00F522D3"/>
    <w:rsid w:val="00F53A62"/>
    <w:rsid w:val="00F56784"/>
    <w:rsid w:val="00F6387F"/>
    <w:rsid w:val="00F63E9A"/>
    <w:rsid w:val="00F71D35"/>
    <w:rsid w:val="00F80A3B"/>
    <w:rsid w:val="00F864E0"/>
    <w:rsid w:val="00F87C25"/>
    <w:rsid w:val="00F9432E"/>
    <w:rsid w:val="00F9481F"/>
    <w:rsid w:val="00FA2B09"/>
    <w:rsid w:val="00FB09D5"/>
    <w:rsid w:val="00FB528F"/>
    <w:rsid w:val="00FB617F"/>
    <w:rsid w:val="00FC0871"/>
    <w:rsid w:val="00FC0E76"/>
    <w:rsid w:val="00FC66EA"/>
    <w:rsid w:val="00FD18B8"/>
    <w:rsid w:val="00FD1A6D"/>
    <w:rsid w:val="00FD2148"/>
    <w:rsid w:val="00FD3012"/>
    <w:rsid w:val="00FE4E44"/>
    <w:rsid w:val="00FF0136"/>
    <w:rsid w:val="00FF102A"/>
    <w:rsid w:val="00FF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8C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FC8"/>
    <w:pPr>
      <w:ind w:left="720"/>
      <w:contextualSpacing/>
    </w:pPr>
  </w:style>
  <w:style w:type="paragraph" w:styleId="Footer">
    <w:name w:val="footer"/>
    <w:basedOn w:val="Normal"/>
    <w:link w:val="FooterChar"/>
    <w:uiPriority w:val="99"/>
    <w:unhideWhenUsed/>
    <w:rsid w:val="008766F2"/>
    <w:pPr>
      <w:tabs>
        <w:tab w:val="center" w:pos="4320"/>
        <w:tab w:val="right" w:pos="8640"/>
      </w:tabs>
    </w:pPr>
  </w:style>
  <w:style w:type="character" w:customStyle="1" w:styleId="FooterChar">
    <w:name w:val="Footer Char"/>
    <w:basedOn w:val="DefaultParagraphFont"/>
    <w:link w:val="Footer"/>
    <w:uiPriority w:val="99"/>
    <w:rsid w:val="008766F2"/>
    <w:rPr>
      <w:lang w:val="en-GB"/>
    </w:rPr>
  </w:style>
  <w:style w:type="character" w:styleId="PageNumber">
    <w:name w:val="page number"/>
    <w:basedOn w:val="DefaultParagraphFont"/>
    <w:uiPriority w:val="99"/>
    <w:semiHidden/>
    <w:unhideWhenUsed/>
    <w:rsid w:val="008766F2"/>
  </w:style>
  <w:style w:type="paragraph" w:styleId="FootnoteText">
    <w:name w:val="footnote text"/>
    <w:basedOn w:val="Normal"/>
    <w:link w:val="FootnoteTextChar"/>
    <w:unhideWhenUsed/>
    <w:rsid w:val="00130CB1"/>
  </w:style>
  <w:style w:type="character" w:customStyle="1" w:styleId="FootnoteTextChar">
    <w:name w:val="Footnote Text Char"/>
    <w:basedOn w:val="DefaultParagraphFont"/>
    <w:link w:val="FootnoteText"/>
    <w:rsid w:val="00130CB1"/>
    <w:rPr>
      <w:lang w:val="en-GB"/>
    </w:rPr>
  </w:style>
  <w:style w:type="character" w:styleId="FootnoteReference">
    <w:name w:val="footnote reference"/>
    <w:basedOn w:val="DefaultParagraphFont"/>
    <w:unhideWhenUsed/>
    <w:rsid w:val="00130CB1"/>
    <w:rPr>
      <w:vertAlign w:val="superscript"/>
    </w:rPr>
  </w:style>
  <w:style w:type="character" w:customStyle="1" w:styleId="apple-converted-space">
    <w:name w:val="apple-converted-space"/>
    <w:basedOn w:val="DefaultParagraphFont"/>
    <w:rsid w:val="00A01C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FC8"/>
    <w:pPr>
      <w:ind w:left="720"/>
      <w:contextualSpacing/>
    </w:pPr>
  </w:style>
  <w:style w:type="paragraph" w:styleId="Footer">
    <w:name w:val="footer"/>
    <w:basedOn w:val="Normal"/>
    <w:link w:val="FooterChar"/>
    <w:uiPriority w:val="99"/>
    <w:unhideWhenUsed/>
    <w:rsid w:val="008766F2"/>
    <w:pPr>
      <w:tabs>
        <w:tab w:val="center" w:pos="4320"/>
        <w:tab w:val="right" w:pos="8640"/>
      </w:tabs>
    </w:pPr>
  </w:style>
  <w:style w:type="character" w:customStyle="1" w:styleId="FooterChar">
    <w:name w:val="Footer Char"/>
    <w:basedOn w:val="DefaultParagraphFont"/>
    <w:link w:val="Footer"/>
    <w:uiPriority w:val="99"/>
    <w:rsid w:val="008766F2"/>
    <w:rPr>
      <w:lang w:val="en-GB"/>
    </w:rPr>
  </w:style>
  <w:style w:type="character" w:styleId="PageNumber">
    <w:name w:val="page number"/>
    <w:basedOn w:val="DefaultParagraphFont"/>
    <w:uiPriority w:val="99"/>
    <w:semiHidden/>
    <w:unhideWhenUsed/>
    <w:rsid w:val="008766F2"/>
  </w:style>
  <w:style w:type="paragraph" w:styleId="FootnoteText">
    <w:name w:val="footnote text"/>
    <w:basedOn w:val="Normal"/>
    <w:link w:val="FootnoteTextChar"/>
    <w:unhideWhenUsed/>
    <w:rsid w:val="00130CB1"/>
  </w:style>
  <w:style w:type="character" w:customStyle="1" w:styleId="FootnoteTextChar">
    <w:name w:val="Footnote Text Char"/>
    <w:basedOn w:val="DefaultParagraphFont"/>
    <w:link w:val="FootnoteText"/>
    <w:rsid w:val="00130CB1"/>
    <w:rPr>
      <w:lang w:val="en-GB"/>
    </w:rPr>
  </w:style>
  <w:style w:type="character" w:styleId="FootnoteReference">
    <w:name w:val="footnote reference"/>
    <w:basedOn w:val="DefaultParagraphFont"/>
    <w:unhideWhenUsed/>
    <w:rsid w:val="00130CB1"/>
    <w:rPr>
      <w:vertAlign w:val="superscript"/>
    </w:rPr>
  </w:style>
  <w:style w:type="character" w:customStyle="1" w:styleId="apple-converted-space">
    <w:name w:val="apple-converted-space"/>
    <w:basedOn w:val="DefaultParagraphFont"/>
    <w:rsid w:val="00A0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0204">
      <w:bodyDiv w:val="1"/>
      <w:marLeft w:val="0"/>
      <w:marRight w:val="0"/>
      <w:marTop w:val="0"/>
      <w:marBottom w:val="0"/>
      <w:divBdr>
        <w:top w:val="none" w:sz="0" w:space="0" w:color="auto"/>
        <w:left w:val="none" w:sz="0" w:space="0" w:color="auto"/>
        <w:bottom w:val="none" w:sz="0" w:space="0" w:color="auto"/>
        <w:right w:val="none" w:sz="0" w:space="0" w:color="auto"/>
      </w:divBdr>
    </w:div>
    <w:div w:id="651177669">
      <w:bodyDiv w:val="1"/>
      <w:marLeft w:val="0"/>
      <w:marRight w:val="0"/>
      <w:marTop w:val="0"/>
      <w:marBottom w:val="0"/>
      <w:divBdr>
        <w:top w:val="none" w:sz="0" w:space="0" w:color="auto"/>
        <w:left w:val="none" w:sz="0" w:space="0" w:color="auto"/>
        <w:bottom w:val="none" w:sz="0" w:space="0" w:color="auto"/>
        <w:right w:val="none" w:sz="0" w:space="0" w:color="auto"/>
      </w:divBdr>
    </w:div>
    <w:div w:id="773477080">
      <w:bodyDiv w:val="1"/>
      <w:marLeft w:val="0"/>
      <w:marRight w:val="0"/>
      <w:marTop w:val="0"/>
      <w:marBottom w:val="0"/>
      <w:divBdr>
        <w:top w:val="none" w:sz="0" w:space="0" w:color="auto"/>
        <w:left w:val="none" w:sz="0" w:space="0" w:color="auto"/>
        <w:bottom w:val="none" w:sz="0" w:space="0" w:color="auto"/>
        <w:right w:val="none" w:sz="0" w:space="0" w:color="auto"/>
      </w:divBdr>
    </w:div>
    <w:div w:id="1378817609">
      <w:bodyDiv w:val="1"/>
      <w:marLeft w:val="0"/>
      <w:marRight w:val="0"/>
      <w:marTop w:val="0"/>
      <w:marBottom w:val="0"/>
      <w:divBdr>
        <w:top w:val="none" w:sz="0" w:space="0" w:color="auto"/>
        <w:left w:val="none" w:sz="0" w:space="0" w:color="auto"/>
        <w:bottom w:val="none" w:sz="0" w:space="0" w:color="auto"/>
        <w:right w:val="none" w:sz="0" w:space="0" w:color="auto"/>
      </w:divBdr>
    </w:div>
    <w:div w:id="1470324244">
      <w:bodyDiv w:val="1"/>
      <w:marLeft w:val="0"/>
      <w:marRight w:val="0"/>
      <w:marTop w:val="0"/>
      <w:marBottom w:val="0"/>
      <w:divBdr>
        <w:top w:val="none" w:sz="0" w:space="0" w:color="auto"/>
        <w:left w:val="none" w:sz="0" w:space="0" w:color="auto"/>
        <w:bottom w:val="none" w:sz="0" w:space="0" w:color="auto"/>
        <w:right w:val="none" w:sz="0" w:space="0" w:color="auto"/>
      </w:divBdr>
    </w:div>
    <w:div w:id="1562906664">
      <w:bodyDiv w:val="1"/>
      <w:marLeft w:val="0"/>
      <w:marRight w:val="0"/>
      <w:marTop w:val="0"/>
      <w:marBottom w:val="0"/>
      <w:divBdr>
        <w:top w:val="none" w:sz="0" w:space="0" w:color="auto"/>
        <w:left w:val="none" w:sz="0" w:space="0" w:color="auto"/>
        <w:bottom w:val="none" w:sz="0" w:space="0" w:color="auto"/>
        <w:right w:val="none" w:sz="0" w:space="0" w:color="auto"/>
      </w:divBdr>
    </w:div>
    <w:div w:id="1909532955">
      <w:bodyDiv w:val="1"/>
      <w:marLeft w:val="0"/>
      <w:marRight w:val="0"/>
      <w:marTop w:val="0"/>
      <w:marBottom w:val="0"/>
      <w:divBdr>
        <w:top w:val="none" w:sz="0" w:space="0" w:color="auto"/>
        <w:left w:val="none" w:sz="0" w:space="0" w:color="auto"/>
        <w:bottom w:val="none" w:sz="0" w:space="0" w:color="auto"/>
        <w:right w:val="none" w:sz="0" w:space="0" w:color="auto"/>
      </w:divBdr>
    </w:div>
    <w:div w:id="1997490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EC8932-0350-E646-989F-8E8A00E5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36</Pages>
  <Words>16561</Words>
  <Characters>94402</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Dougan</dc:creator>
  <cp:keywords/>
  <dc:description/>
  <cp:lastModifiedBy>Michael Dougan</cp:lastModifiedBy>
  <cp:revision>16</cp:revision>
  <dcterms:created xsi:type="dcterms:W3CDTF">2019-09-09T09:40:00Z</dcterms:created>
  <dcterms:modified xsi:type="dcterms:W3CDTF">2019-09-09T14:02:00Z</dcterms:modified>
</cp:coreProperties>
</file>