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9197" w14:textId="74EA4316" w:rsidR="00A355F9" w:rsidRPr="009422C2" w:rsidRDefault="00A355F9" w:rsidP="00EB603F">
      <w:pPr>
        <w:spacing w:line="480" w:lineRule="auto"/>
        <w:jc w:val="both"/>
      </w:pPr>
      <w:bookmarkStart w:id="0" w:name="_GoBack"/>
      <w:bookmarkEnd w:id="0"/>
      <w:r w:rsidRPr="009422C2">
        <w:rPr>
          <w:b/>
        </w:rPr>
        <w:t xml:space="preserve">Working with </w:t>
      </w:r>
      <w:r w:rsidR="00D22295">
        <w:rPr>
          <w:b/>
        </w:rPr>
        <w:t xml:space="preserve">and negotiating </w:t>
      </w:r>
      <w:r w:rsidR="00505488">
        <w:rPr>
          <w:b/>
        </w:rPr>
        <w:t>‘</w:t>
      </w:r>
      <w:r w:rsidRPr="00505488">
        <w:rPr>
          <w:b/>
          <w:iCs/>
        </w:rPr>
        <w:t>risk</w:t>
      </w:r>
      <w:r w:rsidR="00505488">
        <w:rPr>
          <w:b/>
          <w:iCs/>
        </w:rPr>
        <w:t>’</w:t>
      </w:r>
      <w:r w:rsidR="00D22295">
        <w:rPr>
          <w:b/>
        </w:rPr>
        <w:t>:</w:t>
      </w:r>
      <w:r w:rsidRPr="009422C2">
        <w:rPr>
          <w:b/>
        </w:rPr>
        <w:t xml:space="preserve"> Examining the effects of awareness raising interventions designed to prevent</w:t>
      </w:r>
      <w:r w:rsidR="00713D95">
        <w:rPr>
          <w:b/>
        </w:rPr>
        <w:t xml:space="preserve"> </w:t>
      </w:r>
      <w:r w:rsidRPr="009422C2">
        <w:rPr>
          <w:b/>
        </w:rPr>
        <w:t xml:space="preserve">Child Sexual Exploitation </w:t>
      </w:r>
    </w:p>
    <w:p w14:paraId="40E56822" w14:textId="77777777" w:rsidR="00132111" w:rsidRPr="00710716" w:rsidRDefault="00132111" w:rsidP="00132111">
      <w:pPr>
        <w:spacing w:before="100" w:beforeAutospacing="1" w:after="100" w:afterAutospacing="1"/>
        <w:outlineLvl w:val="1"/>
        <w:rPr>
          <w:rFonts w:ascii="Times" w:hAnsi="Times"/>
          <w:b/>
          <w:bCs/>
        </w:rPr>
      </w:pPr>
      <w:r w:rsidRPr="00710716">
        <w:rPr>
          <w:rFonts w:ascii="Times" w:hAnsi="Times"/>
          <w:b/>
          <w:bCs/>
        </w:rPr>
        <w:t xml:space="preserve">Funding </w:t>
      </w:r>
      <w:r w:rsidRPr="006952B4">
        <w:rPr>
          <w:rFonts w:ascii="Times" w:hAnsi="Times"/>
          <w:bCs/>
        </w:rPr>
        <w:t>(</w:t>
      </w:r>
      <w:r w:rsidRPr="00401A85">
        <w:rPr>
          <w:rFonts w:ascii="Times" w:hAnsi="Times"/>
          <w:bCs/>
          <w:i/>
        </w:rPr>
        <w:t>to be held as confidential to protect anonymity</w:t>
      </w:r>
      <w:r w:rsidRPr="006952B4">
        <w:rPr>
          <w:rFonts w:ascii="Times" w:hAnsi="Times"/>
          <w:bCs/>
        </w:rPr>
        <w:t>)</w:t>
      </w:r>
    </w:p>
    <w:p w14:paraId="3BD8B4CC" w14:textId="77777777" w:rsidR="00132111" w:rsidRPr="00710716" w:rsidRDefault="00132111" w:rsidP="00132111">
      <w:pPr>
        <w:spacing w:before="100" w:beforeAutospacing="1" w:after="100" w:afterAutospacing="1"/>
        <w:outlineLvl w:val="1"/>
        <w:rPr>
          <w:rFonts w:ascii="Times" w:hAnsi="Times"/>
          <w:b/>
          <w:bCs/>
        </w:rPr>
      </w:pPr>
      <w:r w:rsidRPr="00710716">
        <w:rPr>
          <w:rFonts w:ascii="Times" w:hAnsi="Times"/>
        </w:rPr>
        <w:t>This work was supported by</w:t>
      </w:r>
      <w:r>
        <w:rPr>
          <w:rFonts w:ascii="Times" w:hAnsi="Times"/>
        </w:rPr>
        <w:t xml:space="preserve"> funding provided by the Office of the Police and Crime Commissioner, Staffordshire.</w:t>
      </w:r>
    </w:p>
    <w:p w14:paraId="039CC4CA" w14:textId="77777777" w:rsidR="00132111" w:rsidRPr="00710716" w:rsidRDefault="00132111" w:rsidP="00132111">
      <w:pPr>
        <w:spacing w:before="100" w:beforeAutospacing="1" w:after="100" w:afterAutospacing="1"/>
        <w:outlineLvl w:val="1"/>
        <w:rPr>
          <w:rFonts w:ascii="Times" w:hAnsi="Times"/>
          <w:b/>
          <w:bCs/>
        </w:rPr>
      </w:pPr>
      <w:r w:rsidRPr="00710716">
        <w:rPr>
          <w:rFonts w:ascii="Times" w:hAnsi="Times"/>
          <w:b/>
          <w:bCs/>
        </w:rPr>
        <w:t>Acknowledgements</w:t>
      </w:r>
    </w:p>
    <w:p w14:paraId="30362238" w14:textId="77777777" w:rsidR="00132111" w:rsidRPr="00710716" w:rsidRDefault="00132111" w:rsidP="00132111">
      <w:pPr>
        <w:spacing w:before="100" w:beforeAutospacing="1" w:after="100" w:afterAutospacing="1"/>
        <w:outlineLvl w:val="1"/>
        <w:rPr>
          <w:rFonts w:ascii="Times" w:hAnsi="Times"/>
          <w:bCs/>
        </w:rPr>
      </w:pPr>
      <w:r w:rsidRPr="00710716">
        <w:rPr>
          <w:rFonts w:ascii="Times" w:hAnsi="Times"/>
          <w:bCs/>
        </w:rPr>
        <w:t>None.</w:t>
      </w:r>
    </w:p>
    <w:p w14:paraId="1FDA2998" w14:textId="77777777" w:rsidR="00066BAE" w:rsidRPr="00945857" w:rsidRDefault="00066BAE" w:rsidP="00EB603F">
      <w:pPr>
        <w:spacing w:after="120" w:line="480" w:lineRule="auto"/>
        <w:jc w:val="both"/>
        <w:rPr>
          <w:b/>
        </w:rPr>
      </w:pPr>
    </w:p>
    <w:p w14:paraId="272DF43E" w14:textId="77777777" w:rsidR="00A355F9" w:rsidRPr="009422C2" w:rsidRDefault="00A355F9" w:rsidP="00EB603F">
      <w:pPr>
        <w:spacing w:after="120" w:line="480" w:lineRule="auto"/>
        <w:jc w:val="both"/>
        <w:rPr>
          <w:b/>
        </w:rPr>
      </w:pPr>
      <w:r w:rsidRPr="009422C2">
        <w:rPr>
          <w:b/>
        </w:rPr>
        <w:t>Introduction</w:t>
      </w:r>
    </w:p>
    <w:p w14:paraId="1EE9778C" w14:textId="78B1CAE0" w:rsidR="00412C2D" w:rsidRPr="00E32068" w:rsidRDefault="00D22295" w:rsidP="00E32068">
      <w:pPr>
        <w:spacing w:after="120" w:line="480" w:lineRule="auto"/>
        <w:jc w:val="both"/>
      </w:pPr>
      <w:r>
        <w:t>P</w:t>
      </w:r>
      <w:r w:rsidR="001B6A16" w:rsidRPr="009422C2">
        <w:t xml:space="preserve">ublic health approaches to crime prevention are </w:t>
      </w:r>
      <w:r>
        <w:t xml:space="preserve">currently </w:t>
      </w:r>
      <w:r w:rsidR="001B6A16" w:rsidRPr="009422C2">
        <w:t>being applied across a</w:t>
      </w:r>
      <w:r w:rsidR="00300613">
        <w:t xml:space="preserve"> range of </w:t>
      </w:r>
      <w:r w:rsidR="001B6A16" w:rsidRPr="009422C2">
        <w:t xml:space="preserve">criminological </w:t>
      </w:r>
      <w:r w:rsidR="00C25135">
        <w:t xml:space="preserve">areas of </w:t>
      </w:r>
      <w:r w:rsidR="001B6A16" w:rsidRPr="009422C2">
        <w:t>concern. Harm reduction</w:t>
      </w:r>
      <w:r w:rsidR="00300613">
        <w:t xml:space="preserve"> methods</w:t>
      </w:r>
      <w:r w:rsidR="001B6A16" w:rsidRPr="009422C2">
        <w:t xml:space="preserve"> rooted in </w:t>
      </w:r>
      <w:r w:rsidR="00300613">
        <w:t xml:space="preserve">a </w:t>
      </w:r>
      <w:r w:rsidR="001B6A16" w:rsidRPr="009422C2">
        <w:t xml:space="preserve">public health </w:t>
      </w:r>
      <w:r w:rsidR="00300613">
        <w:t xml:space="preserve">model </w:t>
      </w:r>
      <w:r w:rsidR="001B6A16" w:rsidRPr="009422C2">
        <w:t xml:space="preserve">(Newcombe, 1992; Stimson, 1992), </w:t>
      </w:r>
      <w:r w:rsidR="00300613">
        <w:t xml:space="preserve">became popular </w:t>
      </w:r>
      <w:r w:rsidR="001B6A16" w:rsidRPr="009422C2">
        <w:t>during the 1980s for adults with substance abuse problems and ha</w:t>
      </w:r>
      <w:r w:rsidR="00300613">
        <w:t>ve</w:t>
      </w:r>
      <w:r w:rsidR="001B6A16" w:rsidRPr="009422C2">
        <w:t xml:space="preserve"> been effective in reducing morbidity and mortality among these populations (Stimson, 1</w:t>
      </w:r>
      <w:r>
        <w:t xml:space="preserve">995; Stevens and Hughes, 2010). </w:t>
      </w:r>
      <w:r w:rsidR="001B6A16" w:rsidRPr="009422C2">
        <w:t xml:space="preserve">More recently, harm reduction </w:t>
      </w:r>
      <w:r w:rsidR="00300613">
        <w:t xml:space="preserve">initiatives </w:t>
      </w:r>
      <w:r w:rsidR="001B6A16" w:rsidRPr="009422C2">
        <w:t xml:space="preserve">have been successfully applied to street markets in an attempt to keep sex workers safe and to reduce </w:t>
      </w:r>
      <w:r>
        <w:t xml:space="preserve">the prevalence of </w:t>
      </w:r>
      <w:r w:rsidR="001B6A16" w:rsidRPr="009422C2">
        <w:t xml:space="preserve">sexually transmitted diseases (Cusick, 2006). It is perhaps of no surprise then that </w:t>
      </w:r>
      <w:r w:rsidR="00300613">
        <w:t>harm reduction strategies informed by the public health model</w:t>
      </w:r>
      <w:r w:rsidR="00300613" w:rsidRPr="009422C2">
        <w:t xml:space="preserve"> </w:t>
      </w:r>
      <w:r w:rsidR="001B6A16" w:rsidRPr="009422C2">
        <w:t>are now being used to address issues suc</w:t>
      </w:r>
      <w:r>
        <w:t xml:space="preserve">h as youth violence, </w:t>
      </w:r>
      <w:r w:rsidR="00300613">
        <w:t xml:space="preserve">radicalisation </w:t>
      </w:r>
      <w:r w:rsidR="001B6A16" w:rsidRPr="009422C2">
        <w:t xml:space="preserve">and </w:t>
      </w:r>
      <w:r w:rsidR="00300613">
        <w:t xml:space="preserve">child sexual exploitation </w:t>
      </w:r>
      <w:r w:rsidR="001B6A16" w:rsidRPr="009422C2">
        <w:t>(</w:t>
      </w:r>
      <w:r w:rsidR="00300613">
        <w:t xml:space="preserve">see </w:t>
      </w:r>
      <w:r w:rsidR="00F71C1D" w:rsidRPr="009422C2">
        <w:t xml:space="preserve">Levy, 2007; Bhui, et al. 2012; </w:t>
      </w:r>
      <w:r w:rsidR="00F71C1D" w:rsidRPr="009422C2">
        <w:rPr>
          <w:color w:val="000000"/>
        </w:rPr>
        <w:t>Public Health England, 2017</w:t>
      </w:r>
      <w:r w:rsidR="001B6A16" w:rsidRPr="009422C2">
        <w:t xml:space="preserve">). </w:t>
      </w:r>
      <w:r w:rsidR="00300613">
        <w:t xml:space="preserve">In </w:t>
      </w:r>
      <w:r w:rsidR="001B6A16" w:rsidRPr="009422C2">
        <w:t>October 2018</w:t>
      </w:r>
      <w:r w:rsidR="00A62B4C">
        <w:t xml:space="preserve">, the </w:t>
      </w:r>
      <w:r>
        <w:t xml:space="preserve">UK </w:t>
      </w:r>
      <w:r w:rsidR="001B6A16" w:rsidRPr="009422C2">
        <w:t>Home Secretary announce</w:t>
      </w:r>
      <w:r w:rsidR="00A62B4C">
        <w:t xml:space="preserve">d a consultation process intended to inform </w:t>
      </w:r>
      <w:r w:rsidR="001B6A16" w:rsidRPr="009422C2">
        <w:t>a new legal duty underpin</w:t>
      </w:r>
      <w:r w:rsidR="00FB46F0">
        <w:t>ned by</w:t>
      </w:r>
      <w:r w:rsidR="001B6A16" w:rsidRPr="009422C2">
        <w:t xml:space="preserve"> a public health approach to tackling serious violence</w:t>
      </w:r>
      <w:r w:rsidR="00412C2D" w:rsidRPr="009422C2">
        <w:t xml:space="preserve"> </w:t>
      </w:r>
      <w:r w:rsidR="001B6A16" w:rsidRPr="009422C2">
        <w:t xml:space="preserve">(Home Office and Javid, 2018). </w:t>
      </w:r>
      <w:r w:rsidR="00E32068">
        <w:t>Similarly, c</w:t>
      </w:r>
      <w:r w:rsidR="00A62B4C">
        <w:t>onsecutive UK Government</w:t>
      </w:r>
      <w:r w:rsidR="00A355F9" w:rsidRPr="009422C2">
        <w:t xml:space="preserve"> Action Plan</w:t>
      </w:r>
      <w:r w:rsidR="00573D6D" w:rsidRPr="009422C2">
        <w:t>s</w:t>
      </w:r>
      <w:r w:rsidR="00A62B4C">
        <w:t xml:space="preserve"> to tackle </w:t>
      </w:r>
      <w:r w:rsidR="00300613">
        <w:t>child sexual exploitation (</w:t>
      </w:r>
      <w:r w:rsidR="00A62B4C">
        <w:t>CSE</w:t>
      </w:r>
      <w:r w:rsidR="00300613">
        <w:t>)</w:t>
      </w:r>
      <w:r w:rsidR="00A62B4C">
        <w:t xml:space="preserve"> </w:t>
      </w:r>
      <w:r w:rsidR="00412C2D" w:rsidRPr="009422C2">
        <w:t xml:space="preserve">have </w:t>
      </w:r>
      <w:r w:rsidR="00A62B4C">
        <w:t>encouraged adoption of risk</w:t>
      </w:r>
      <w:r w:rsidR="007E27E4">
        <w:t>-</w:t>
      </w:r>
      <w:r w:rsidR="00A62B4C">
        <w:t xml:space="preserve">focused preventative interventions that are consistent with the </w:t>
      </w:r>
      <w:r w:rsidR="00A62B4C" w:rsidRPr="009422C2">
        <w:t xml:space="preserve">public </w:t>
      </w:r>
      <w:r w:rsidR="00A62B4C" w:rsidRPr="009422C2">
        <w:lastRenderedPageBreak/>
        <w:t>health approach</w:t>
      </w:r>
      <w:r w:rsidR="003A2E18">
        <w:t xml:space="preserve"> and </w:t>
      </w:r>
      <w:r w:rsidR="00E32068">
        <w:t>channelled toward rais</w:t>
      </w:r>
      <w:r w:rsidR="003A2E18">
        <w:t>ing</w:t>
      </w:r>
      <w:r w:rsidR="00E32068">
        <w:t xml:space="preserve"> awareness of the risk of CSE </w:t>
      </w:r>
      <w:r w:rsidR="00A355F9" w:rsidRPr="009422C2">
        <w:t>among young people, parents, carers and potential perpetrators</w:t>
      </w:r>
      <w:r w:rsidR="00E32068">
        <w:t>.</w:t>
      </w:r>
      <w:r w:rsidR="00573D6D" w:rsidRPr="009422C2">
        <w:t xml:space="preserve"> </w:t>
      </w:r>
      <w:r w:rsidR="00505488">
        <w:rPr>
          <w:color w:val="000000" w:themeColor="text1"/>
        </w:rPr>
        <w:t xml:space="preserve"> A </w:t>
      </w:r>
      <w:r w:rsidR="00B956BE" w:rsidRPr="009422C2">
        <w:rPr>
          <w:color w:val="000000" w:themeColor="text1"/>
        </w:rPr>
        <w:t xml:space="preserve">number of positive outcomes </w:t>
      </w:r>
      <w:r w:rsidR="00300613">
        <w:rPr>
          <w:color w:val="000000" w:themeColor="text1"/>
        </w:rPr>
        <w:t>deriving from</w:t>
      </w:r>
      <w:r w:rsidR="00B956BE" w:rsidRPr="009422C2">
        <w:rPr>
          <w:color w:val="000000" w:themeColor="text1"/>
        </w:rPr>
        <w:t xml:space="preserve"> </w:t>
      </w:r>
      <w:r w:rsidR="003A2E18">
        <w:rPr>
          <w:color w:val="000000" w:themeColor="text1"/>
        </w:rPr>
        <w:t xml:space="preserve">these types of </w:t>
      </w:r>
      <w:r w:rsidR="00B956BE" w:rsidRPr="009422C2">
        <w:rPr>
          <w:color w:val="000000" w:themeColor="text1"/>
        </w:rPr>
        <w:t xml:space="preserve">interventions </w:t>
      </w:r>
      <w:r w:rsidR="00E32068">
        <w:rPr>
          <w:color w:val="000000" w:themeColor="text1"/>
        </w:rPr>
        <w:t xml:space="preserve">have been documented. </w:t>
      </w:r>
      <w:r w:rsidR="003A2E18">
        <w:rPr>
          <w:color w:val="000000" w:themeColor="text1"/>
        </w:rPr>
        <w:t>F</w:t>
      </w:r>
      <w:r w:rsidR="00300613">
        <w:rPr>
          <w:color w:val="000000" w:themeColor="text1"/>
        </w:rPr>
        <w:t xml:space="preserve">ocusing on </w:t>
      </w:r>
      <w:r w:rsidR="00B956BE" w:rsidRPr="009422C2">
        <w:rPr>
          <w:color w:val="000000" w:themeColor="text1"/>
        </w:rPr>
        <w:t>the outcomes of an educational initiative</w:t>
      </w:r>
      <w:r w:rsidR="003A2E18">
        <w:rPr>
          <w:color w:val="000000" w:themeColor="text1"/>
        </w:rPr>
        <w:t>,</w:t>
      </w:r>
      <w:r w:rsidR="00B956BE" w:rsidRPr="009422C2">
        <w:rPr>
          <w:color w:val="000000" w:themeColor="text1"/>
        </w:rPr>
        <w:t xml:space="preserve"> </w:t>
      </w:r>
      <w:r w:rsidR="00E32068">
        <w:rPr>
          <w:color w:val="000000" w:themeColor="text1"/>
        </w:rPr>
        <w:t xml:space="preserve">Berry et al., (2017) </w:t>
      </w:r>
      <w:r w:rsidR="00505488">
        <w:rPr>
          <w:color w:val="000000" w:themeColor="text1"/>
        </w:rPr>
        <w:t xml:space="preserve">present </w:t>
      </w:r>
      <w:r w:rsidR="00E32068">
        <w:rPr>
          <w:color w:val="000000" w:themeColor="text1"/>
        </w:rPr>
        <w:t>evidence of increased</w:t>
      </w:r>
      <w:r w:rsidR="00B956BE" w:rsidRPr="009422C2">
        <w:rPr>
          <w:color w:val="000000" w:themeColor="text1"/>
        </w:rPr>
        <w:t xml:space="preserve"> self-esteem, prosocial behaviours and a reduction in risk-taking behaviours. Yet studies of </w:t>
      </w:r>
      <w:r w:rsidR="003A2E18">
        <w:rPr>
          <w:color w:val="000000" w:themeColor="text1"/>
        </w:rPr>
        <w:t xml:space="preserve">awareness raising </w:t>
      </w:r>
      <w:r w:rsidR="00B956BE" w:rsidRPr="009422C2">
        <w:rPr>
          <w:color w:val="000000" w:themeColor="text1"/>
        </w:rPr>
        <w:t xml:space="preserve">initiatives </w:t>
      </w:r>
      <w:r w:rsidR="00300613">
        <w:rPr>
          <w:color w:val="000000" w:themeColor="text1"/>
        </w:rPr>
        <w:t xml:space="preserve">oriented towards preventing CSE </w:t>
      </w:r>
      <w:r w:rsidR="003A2E18">
        <w:rPr>
          <w:color w:val="000000" w:themeColor="text1"/>
        </w:rPr>
        <w:t xml:space="preserve">but </w:t>
      </w:r>
      <w:r w:rsidR="00300613">
        <w:rPr>
          <w:color w:val="000000" w:themeColor="text1"/>
        </w:rPr>
        <w:t xml:space="preserve">geared </w:t>
      </w:r>
      <w:r w:rsidR="00E32068">
        <w:rPr>
          <w:color w:val="000000" w:themeColor="text1"/>
        </w:rPr>
        <w:t xml:space="preserve">toward </w:t>
      </w:r>
      <w:r w:rsidR="00B956BE" w:rsidRPr="009422C2">
        <w:rPr>
          <w:color w:val="000000" w:themeColor="text1"/>
        </w:rPr>
        <w:t>the sharing of sexual images</w:t>
      </w:r>
      <w:r w:rsidR="00E32068">
        <w:rPr>
          <w:color w:val="000000" w:themeColor="text1"/>
        </w:rPr>
        <w:t xml:space="preserve"> specifically,</w:t>
      </w:r>
      <w:r w:rsidR="00B956BE" w:rsidRPr="009422C2">
        <w:rPr>
          <w:color w:val="000000" w:themeColor="text1"/>
        </w:rPr>
        <w:t xml:space="preserve"> suggest that such interventions </w:t>
      </w:r>
      <w:r w:rsidR="00E32068">
        <w:rPr>
          <w:color w:val="000000" w:themeColor="text1"/>
        </w:rPr>
        <w:t xml:space="preserve">may </w:t>
      </w:r>
      <w:r w:rsidR="00B956BE" w:rsidRPr="009422C2">
        <w:rPr>
          <w:color w:val="000000" w:themeColor="text1"/>
        </w:rPr>
        <w:t xml:space="preserve">overlook the </w:t>
      </w:r>
      <w:r w:rsidR="00E32068">
        <w:rPr>
          <w:color w:val="000000" w:themeColor="text1"/>
        </w:rPr>
        <w:t xml:space="preserve">distinct </w:t>
      </w:r>
      <w:r w:rsidR="00B956BE" w:rsidRPr="009422C2">
        <w:rPr>
          <w:color w:val="000000" w:themeColor="text1"/>
        </w:rPr>
        <w:t xml:space="preserve">relationship issues </w:t>
      </w:r>
      <w:r w:rsidR="00E32068">
        <w:rPr>
          <w:color w:val="000000" w:themeColor="text1"/>
        </w:rPr>
        <w:t xml:space="preserve">experienced </w:t>
      </w:r>
      <w:r w:rsidR="00B956BE" w:rsidRPr="009422C2">
        <w:rPr>
          <w:color w:val="000000" w:themeColor="text1"/>
        </w:rPr>
        <w:t>by young people</w:t>
      </w:r>
      <w:r w:rsidR="00E32068">
        <w:rPr>
          <w:color w:val="000000" w:themeColor="text1"/>
        </w:rPr>
        <w:t xml:space="preserve"> in general</w:t>
      </w:r>
      <w:r w:rsidR="00B956BE" w:rsidRPr="009422C2">
        <w:rPr>
          <w:color w:val="000000" w:themeColor="text1"/>
        </w:rPr>
        <w:t xml:space="preserve"> (</w:t>
      </w:r>
      <w:r w:rsidR="00B956BE" w:rsidRPr="009422C2">
        <w:rPr>
          <w:rStyle w:val="authors"/>
          <w:color w:val="000000" w:themeColor="text1"/>
        </w:rPr>
        <w:t xml:space="preserve">Jørgensen, et al., 2018) and the </w:t>
      </w:r>
      <w:r w:rsidR="00E32068">
        <w:rPr>
          <w:rStyle w:val="authors"/>
          <w:color w:val="000000" w:themeColor="text1"/>
        </w:rPr>
        <w:t xml:space="preserve">particular </w:t>
      </w:r>
      <w:r w:rsidR="00B956BE" w:rsidRPr="009422C2">
        <w:rPr>
          <w:rStyle w:val="authors"/>
          <w:color w:val="000000" w:themeColor="text1"/>
        </w:rPr>
        <w:t xml:space="preserve">sociocultural landscapes that shape </w:t>
      </w:r>
      <w:r w:rsidR="00B956BE" w:rsidRPr="009422C2">
        <w:rPr>
          <w:color w:val="000000" w:themeColor="text1"/>
        </w:rPr>
        <w:t xml:space="preserve">young women’s interpersonal experiences </w:t>
      </w:r>
      <w:r w:rsidR="00300613">
        <w:rPr>
          <w:color w:val="000000" w:themeColor="text1"/>
        </w:rPr>
        <w:t xml:space="preserve">in particular </w:t>
      </w:r>
      <w:r w:rsidR="00B956BE" w:rsidRPr="009422C2">
        <w:rPr>
          <w:color w:val="000000" w:themeColor="text1"/>
        </w:rPr>
        <w:t xml:space="preserve">(Setty, 2018). </w:t>
      </w:r>
      <w:r w:rsidR="008415E1" w:rsidRPr="009422C2">
        <w:rPr>
          <w:color w:val="000000" w:themeColor="text1"/>
        </w:rPr>
        <w:t>Similarly, t</w:t>
      </w:r>
      <w:r w:rsidR="00B956BE" w:rsidRPr="009422C2">
        <w:rPr>
          <w:color w:val="000000" w:themeColor="text1"/>
        </w:rPr>
        <w:t>he focus in educational raising awareness sessions on how to deal with peer pressure and coercion to prevent image sharing</w:t>
      </w:r>
      <w:r w:rsidR="00B956BE" w:rsidRPr="009422C2">
        <w:rPr>
          <w:rStyle w:val="authors"/>
          <w:color w:val="000000" w:themeColor="text1"/>
        </w:rPr>
        <w:t xml:space="preserve"> does not appear to reflect the motivations for </w:t>
      </w:r>
      <w:r w:rsidR="000A1633">
        <w:rPr>
          <w:rStyle w:val="authors"/>
          <w:color w:val="000000" w:themeColor="text1"/>
        </w:rPr>
        <w:t xml:space="preserve">consensual </w:t>
      </w:r>
      <w:r w:rsidR="00B956BE" w:rsidRPr="009422C2">
        <w:rPr>
          <w:rStyle w:val="authors"/>
          <w:color w:val="000000" w:themeColor="text1"/>
        </w:rPr>
        <w:t xml:space="preserve">sharing </w:t>
      </w:r>
      <w:r w:rsidR="000A1633">
        <w:rPr>
          <w:rStyle w:val="authors"/>
          <w:color w:val="000000" w:themeColor="text1"/>
        </w:rPr>
        <w:t xml:space="preserve">of </w:t>
      </w:r>
      <w:r w:rsidR="00B956BE" w:rsidRPr="009422C2">
        <w:rPr>
          <w:rStyle w:val="authors"/>
          <w:color w:val="000000" w:themeColor="text1"/>
        </w:rPr>
        <w:t xml:space="preserve">images among </w:t>
      </w:r>
      <w:r w:rsidR="000A1633">
        <w:rPr>
          <w:rStyle w:val="authors"/>
          <w:color w:val="000000" w:themeColor="text1"/>
        </w:rPr>
        <w:t xml:space="preserve">some </w:t>
      </w:r>
      <w:r w:rsidR="00B956BE" w:rsidRPr="009422C2">
        <w:rPr>
          <w:rStyle w:val="authors"/>
          <w:color w:val="000000" w:themeColor="text1"/>
        </w:rPr>
        <w:t xml:space="preserve">young people, </w:t>
      </w:r>
      <w:r w:rsidR="00300613">
        <w:rPr>
          <w:rStyle w:val="authors"/>
          <w:color w:val="000000" w:themeColor="text1"/>
        </w:rPr>
        <w:t xml:space="preserve">the latter having </w:t>
      </w:r>
      <w:r w:rsidR="00E459F5" w:rsidRPr="009422C2">
        <w:rPr>
          <w:rStyle w:val="authors"/>
          <w:color w:val="000000" w:themeColor="text1"/>
        </w:rPr>
        <w:t>been identified as</w:t>
      </w:r>
      <w:r w:rsidR="000A1633">
        <w:rPr>
          <w:rStyle w:val="authors"/>
          <w:color w:val="000000" w:themeColor="text1"/>
        </w:rPr>
        <w:t xml:space="preserve"> an enjoyable aspect </w:t>
      </w:r>
      <w:r w:rsidR="00B956BE" w:rsidRPr="009422C2">
        <w:rPr>
          <w:rStyle w:val="authors"/>
          <w:color w:val="000000" w:themeColor="text1"/>
        </w:rPr>
        <w:t>of</w:t>
      </w:r>
      <w:r w:rsidR="000A1633">
        <w:rPr>
          <w:rStyle w:val="authors"/>
          <w:color w:val="000000" w:themeColor="text1"/>
        </w:rPr>
        <w:t xml:space="preserve"> contemporary</w:t>
      </w:r>
      <w:r w:rsidR="00B956BE" w:rsidRPr="009422C2">
        <w:rPr>
          <w:rStyle w:val="authors"/>
          <w:color w:val="000000" w:themeColor="text1"/>
        </w:rPr>
        <w:t xml:space="preserve"> intimate relationships (Lee and Crofts, 2015).</w:t>
      </w:r>
      <w:r w:rsidR="004B0276" w:rsidRPr="009422C2">
        <w:rPr>
          <w:rStyle w:val="authors"/>
          <w:color w:val="000000" w:themeColor="text1"/>
        </w:rPr>
        <w:t xml:space="preserve"> </w:t>
      </w:r>
    </w:p>
    <w:p w14:paraId="2BF886E5" w14:textId="60D15DD8" w:rsidR="00A355F9" w:rsidRPr="009422C2" w:rsidRDefault="008415E1" w:rsidP="00EB603F">
      <w:pPr>
        <w:spacing w:after="120" w:line="480" w:lineRule="auto"/>
        <w:jc w:val="both"/>
      </w:pPr>
      <w:r w:rsidRPr="009422C2">
        <w:t xml:space="preserve">In </w:t>
      </w:r>
      <w:r w:rsidR="00300613">
        <w:t xml:space="preserve">order to contribute toward </w:t>
      </w:r>
      <w:r w:rsidR="003A2E18">
        <w:t xml:space="preserve">this </w:t>
      </w:r>
      <w:r w:rsidR="00300613">
        <w:t xml:space="preserve">growing body of knowledge, </w:t>
      </w:r>
      <w:r w:rsidRPr="009422C2">
        <w:t xml:space="preserve">this </w:t>
      </w:r>
      <w:r w:rsidR="00300613">
        <w:t xml:space="preserve">article </w:t>
      </w:r>
      <w:r w:rsidRPr="009422C2">
        <w:t xml:space="preserve">focuses </w:t>
      </w:r>
      <w:r w:rsidR="000A1633">
        <w:t>on the effects of a targeted</w:t>
      </w:r>
      <w:r w:rsidRPr="009422C2">
        <w:t xml:space="preserve"> intervention </w:t>
      </w:r>
      <w:r w:rsidR="000A1633">
        <w:t xml:space="preserve">designed </w:t>
      </w:r>
      <w:r w:rsidRPr="009422C2">
        <w:t>to reduce the risk of</w:t>
      </w:r>
      <w:r w:rsidR="00300613">
        <w:t xml:space="preserve"> exploitation amongst young people. </w:t>
      </w:r>
      <w:r w:rsidR="000A1633">
        <w:t xml:space="preserve">Considering </w:t>
      </w:r>
      <w:r w:rsidRPr="009422C2">
        <w:t xml:space="preserve">processes of </w:t>
      </w:r>
      <w:r w:rsidRPr="009422C2">
        <w:rPr>
          <w:i/>
        </w:rPr>
        <w:t>engagement</w:t>
      </w:r>
      <w:r w:rsidR="00896CC8">
        <w:rPr>
          <w:i/>
        </w:rPr>
        <w:t xml:space="preserve"> </w:t>
      </w:r>
      <w:r w:rsidR="00896CC8">
        <w:t>with narratives of risk</w:t>
      </w:r>
      <w:r w:rsidRPr="009422C2">
        <w:t xml:space="preserve">, the </w:t>
      </w:r>
      <w:r w:rsidR="00E01E32">
        <w:rPr>
          <w:i/>
        </w:rPr>
        <w:t>relevance</w:t>
      </w:r>
      <w:r w:rsidRPr="009422C2">
        <w:t xml:space="preserve"> of the </w:t>
      </w:r>
      <w:r w:rsidRPr="00E55939">
        <w:t>strategy</w:t>
      </w:r>
      <w:r w:rsidRPr="009422C2">
        <w:rPr>
          <w:i/>
        </w:rPr>
        <w:t xml:space="preserve"> </w:t>
      </w:r>
      <w:r w:rsidRPr="009422C2">
        <w:t xml:space="preserve">adopted by the CSE team </w:t>
      </w:r>
      <w:r w:rsidR="00E01E32">
        <w:t xml:space="preserve">to those </w:t>
      </w:r>
      <w:r w:rsidR="00AD6734">
        <w:t xml:space="preserve">targeted by </w:t>
      </w:r>
      <w:r w:rsidR="00E01E32">
        <w:t xml:space="preserve">the intervention </w:t>
      </w:r>
      <w:r w:rsidRPr="009422C2">
        <w:t xml:space="preserve">and the </w:t>
      </w:r>
      <w:r w:rsidRPr="009422C2">
        <w:rPr>
          <w:i/>
        </w:rPr>
        <w:t>impacts</w:t>
      </w:r>
      <w:r w:rsidRPr="009422C2">
        <w:t xml:space="preserve"> in terms of the perspectives of young people involved in the initiative</w:t>
      </w:r>
      <w:r w:rsidR="00E459F5" w:rsidRPr="009422C2">
        <w:t>, th</w:t>
      </w:r>
      <w:r w:rsidR="00AD6734">
        <w:t>is</w:t>
      </w:r>
      <w:r w:rsidR="00E459F5" w:rsidRPr="009422C2">
        <w:t xml:space="preserve"> paper identifies </w:t>
      </w:r>
      <w:r w:rsidR="00E55939">
        <w:t xml:space="preserve">both </w:t>
      </w:r>
      <w:r w:rsidR="00E459F5" w:rsidRPr="009422C2">
        <w:t xml:space="preserve">connections </w:t>
      </w:r>
      <w:r w:rsidR="000A1633">
        <w:t xml:space="preserve">and </w:t>
      </w:r>
      <w:r w:rsidR="004B39F6">
        <w:t xml:space="preserve">caesura </w:t>
      </w:r>
      <w:r w:rsidR="00E459F5" w:rsidRPr="009422C2">
        <w:t xml:space="preserve">between these </w:t>
      </w:r>
      <w:r w:rsidR="00896CC8">
        <w:t xml:space="preserve">mutually constituting </w:t>
      </w:r>
      <w:r w:rsidR="000A1633">
        <w:t>elements</w:t>
      </w:r>
      <w:r w:rsidR="00896CC8">
        <w:t xml:space="preserve">. </w:t>
      </w:r>
      <w:r w:rsidRPr="009422C2">
        <w:t>Drawing</w:t>
      </w:r>
      <w:r w:rsidR="004B39F6">
        <w:t xml:space="preserve"> on qualitative empirical data - </w:t>
      </w:r>
      <w:r w:rsidRPr="009422C2">
        <w:t xml:space="preserve">including </w:t>
      </w:r>
      <w:r w:rsidR="00A355F9" w:rsidRPr="009422C2">
        <w:t xml:space="preserve">field observations, in-depth interviews with members of a multi-agency team and focus groups with young people </w:t>
      </w:r>
      <w:r w:rsidR="00505488">
        <w:t xml:space="preserve">involved in the </w:t>
      </w:r>
      <w:r w:rsidR="00A355F9" w:rsidRPr="009422C2">
        <w:t>CSE</w:t>
      </w:r>
      <w:r w:rsidR="004B39F6">
        <w:t xml:space="preserve"> awareness raising initiatives - </w:t>
      </w:r>
      <w:r w:rsidR="00300613">
        <w:t>we posit that the interplay between these three elements s</w:t>
      </w:r>
      <w:r w:rsidR="00300613" w:rsidRPr="009422C2">
        <w:t xml:space="preserve">hould be taken into account </w:t>
      </w:r>
      <w:r w:rsidR="00300613">
        <w:lastRenderedPageBreak/>
        <w:t>in the design and delivery of future</w:t>
      </w:r>
      <w:r w:rsidR="00300613" w:rsidRPr="009422C2">
        <w:t xml:space="preserve"> risk-based awareness initiatives aimed at informing and influencing the behaviour of young people. </w:t>
      </w:r>
      <w:r w:rsidR="00300613">
        <w:t>It</w:t>
      </w:r>
      <w:r w:rsidR="0072768C">
        <w:t xml:space="preserve"> will </w:t>
      </w:r>
      <w:r w:rsidR="00300613">
        <w:t xml:space="preserve">be </w:t>
      </w:r>
      <w:r w:rsidR="0072768C">
        <w:t>argue</w:t>
      </w:r>
      <w:r w:rsidR="00300613">
        <w:t>d</w:t>
      </w:r>
      <w:r w:rsidR="0072768C">
        <w:t xml:space="preserve"> that, whilst intending to</w:t>
      </w:r>
      <w:r w:rsidR="0072768C" w:rsidRPr="009422C2">
        <w:t xml:space="preserve"> inform young people about the </w:t>
      </w:r>
      <w:r w:rsidR="0072768C">
        <w:t xml:space="preserve">harms of </w:t>
      </w:r>
      <w:r w:rsidR="0072768C" w:rsidRPr="009422C2">
        <w:t>CSE</w:t>
      </w:r>
      <w:r w:rsidR="0072768C">
        <w:t xml:space="preserve">, such initiatives can </w:t>
      </w:r>
      <w:r w:rsidRPr="009422C2">
        <w:t>reinforce dominant</w:t>
      </w:r>
      <w:r w:rsidR="0072768C">
        <w:t xml:space="preserve"> </w:t>
      </w:r>
      <w:r w:rsidR="004B39F6">
        <w:t xml:space="preserve">- </w:t>
      </w:r>
      <w:r w:rsidR="0072768C">
        <w:t>but erroneous</w:t>
      </w:r>
      <w:r w:rsidRPr="009422C2">
        <w:t xml:space="preserve"> </w:t>
      </w:r>
      <w:r w:rsidR="004B39F6">
        <w:t xml:space="preserve">- </w:t>
      </w:r>
      <w:r w:rsidR="00A355F9" w:rsidRPr="009422C2">
        <w:t xml:space="preserve">understandings of the nature and sources of </w:t>
      </w:r>
      <w:r w:rsidR="002F26A2">
        <w:t xml:space="preserve">‘risk’. </w:t>
      </w:r>
      <w:r w:rsidR="0072768C">
        <w:t xml:space="preserve">On the basis of our findings, we further contend that </w:t>
      </w:r>
      <w:r w:rsidR="004B39F6">
        <w:t>risk</w:t>
      </w:r>
      <w:r w:rsidR="00EA42EA">
        <w:t>-</w:t>
      </w:r>
      <w:r w:rsidR="004B39F6">
        <w:t>focused, deterrence</w:t>
      </w:r>
      <w:r w:rsidR="00363B1E">
        <w:t>-</w:t>
      </w:r>
      <w:r w:rsidR="004B39F6">
        <w:t xml:space="preserve">based educational interventions </w:t>
      </w:r>
      <w:r w:rsidR="00300613">
        <w:t xml:space="preserve">such as the one under examination are set </w:t>
      </w:r>
      <w:r w:rsidRPr="009422C2">
        <w:t xml:space="preserve">within a </w:t>
      </w:r>
      <w:r w:rsidR="00A355F9" w:rsidRPr="009422C2">
        <w:t xml:space="preserve">hermeneutic framework </w:t>
      </w:r>
      <w:r w:rsidRPr="009422C2">
        <w:t xml:space="preserve">that simultaneously prescribes and proscribes </w:t>
      </w:r>
      <w:r w:rsidR="00A355F9" w:rsidRPr="009422C2">
        <w:t>acceptable sexual practices.</w:t>
      </w:r>
      <w:r w:rsidR="00E37606">
        <w:t xml:space="preserve"> </w:t>
      </w:r>
      <w:r w:rsidR="006C208F">
        <w:t xml:space="preserve">Our </w:t>
      </w:r>
      <w:r w:rsidR="00A355F9" w:rsidRPr="009422C2">
        <w:t xml:space="preserve">critical assessment of the strategies and techniques used by the multi-agency </w:t>
      </w:r>
      <w:r w:rsidR="004B39F6">
        <w:t xml:space="preserve">CSE </w:t>
      </w:r>
      <w:r w:rsidR="00A355F9" w:rsidRPr="009422C2">
        <w:t xml:space="preserve">team </w:t>
      </w:r>
      <w:r w:rsidR="006C208F">
        <w:t xml:space="preserve">revolves around </w:t>
      </w:r>
      <w:r w:rsidR="00A355F9" w:rsidRPr="009422C2">
        <w:t xml:space="preserve">three salient </w:t>
      </w:r>
      <w:r w:rsidR="004B39F6">
        <w:t xml:space="preserve">axes </w:t>
      </w:r>
      <w:r w:rsidR="00A355F9" w:rsidRPr="009422C2">
        <w:t xml:space="preserve">of analysis. </w:t>
      </w:r>
      <w:r w:rsidR="00FB46F0">
        <w:t>First</w:t>
      </w:r>
      <w:r w:rsidR="00A355F9" w:rsidRPr="009422C2">
        <w:t xml:space="preserve">, we contend that </w:t>
      </w:r>
      <w:r w:rsidR="006722E6">
        <w:t xml:space="preserve">dominant narratives and </w:t>
      </w:r>
      <w:r w:rsidR="004B39F6">
        <w:t>(re)</w:t>
      </w:r>
      <w:r w:rsidR="00A355F9" w:rsidRPr="009422C2">
        <w:t>presentation</w:t>
      </w:r>
      <w:r w:rsidR="006722E6">
        <w:t>s</w:t>
      </w:r>
      <w:r w:rsidR="00A355F9" w:rsidRPr="009422C2">
        <w:t xml:space="preserve"> </w:t>
      </w:r>
      <w:r w:rsidR="006722E6">
        <w:t xml:space="preserve">of </w:t>
      </w:r>
      <w:r w:rsidR="00A355F9" w:rsidRPr="009422C2">
        <w:t>CSE</w:t>
      </w:r>
      <w:r w:rsidR="006722E6">
        <w:t xml:space="preserve"> that underpin such </w:t>
      </w:r>
      <w:r w:rsidR="00FB46F0">
        <w:t xml:space="preserve">preventative </w:t>
      </w:r>
      <w:r w:rsidR="006722E6">
        <w:t xml:space="preserve">interventions may inadvertently reproduce </w:t>
      </w:r>
      <w:r w:rsidR="00A355F9" w:rsidRPr="009422C2">
        <w:t>a victim</w:t>
      </w:r>
      <w:r w:rsidR="001044CE" w:rsidRPr="009422C2">
        <w:t>-</w:t>
      </w:r>
      <w:r w:rsidR="00A355F9" w:rsidRPr="009422C2">
        <w:t>centred discourse</w:t>
      </w:r>
      <w:r w:rsidR="006722E6">
        <w:t>. Not only does this discourse both</w:t>
      </w:r>
      <w:r w:rsidR="00E37606">
        <w:t xml:space="preserve"> responsibilise and individualis</w:t>
      </w:r>
      <w:r w:rsidR="006722E6">
        <w:t>e</w:t>
      </w:r>
      <w:r w:rsidR="00A355F9" w:rsidRPr="009422C2">
        <w:t xml:space="preserve"> young people</w:t>
      </w:r>
      <w:r w:rsidR="006722E6">
        <w:t xml:space="preserve">, it also reduces </w:t>
      </w:r>
      <w:r w:rsidR="00A355F9" w:rsidRPr="009422C2">
        <w:t xml:space="preserve">the emphasis placed on perpetrators of sexual abuse and </w:t>
      </w:r>
      <w:r w:rsidR="00E37606">
        <w:t xml:space="preserve">mutes </w:t>
      </w:r>
      <w:r w:rsidR="00A355F9" w:rsidRPr="009422C2">
        <w:t xml:space="preserve">the </w:t>
      </w:r>
      <w:r w:rsidR="006722E6">
        <w:t xml:space="preserve">role of the </w:t>
      </w:r>
      <w:r w:rsidR="00A355F9" w:rsidRPr="009422C2">
        <w:t>State in managing the behavio</w:t>
      </w:r>
      <w:r w:rsidR="00573D6D" w:rsidRPr="009422C2">
        <w:t>u</w:t>
      </w:r>
      <w:r w:rsidR="00A355F9" w:rsidRPr="009422C2">
        <w:t>r of offende</w:t>
      </w:r>
      <w:r w:rsidR="00E37606">
        <w:t xml:space="preserve">rs. </w:t>
      </w:r>
      <w:r w:rsidR="00FB46F0">
        <w:t xml:space="preserve">Second, </w:t>
      </w:r>
      <w:r w:rsidR="00FB46F0" w:rsidRPr="009422C2">
        <w:t xml:space="preserve">it will be </w:t>
      </w:r>
      <w:r w:rsidR="00FB46F0">
        <w:t xml:space="preserve">demonstrated </w:t>
      </w:r>
      <w:r w:rsidR="00FB46F0" w:rsidRPr="009422C2">
        <w:t xml:space="preserve">that ambiguity amongst practitioners regarding the </w:t>
      </w:r>
      <w:r w:rsidR="00FB46F0">
        <w:t xml:space="preserve">scope and boundaries </w:t>
      </w:r>
      <w:r w:rsidR="00FB46F0" w:rsidRPr="009422C2">
        <w:t xml:space="preserve">of </w:t>
      </w:r>
      <w:r w:rsidR="00FB46F0">
        <w:t xml:space="preserve">delivery </w:t>
      </w:r>
      <w:r w:rsidR="00FB46F0" w:rsidRPr="009422C2">
        <w:t>impacts upon the depth</w:t>
      </w:r>
      <w:r w:rsidR="00FB46F0">
        <w:t xml:space="preserve"> and effectiveness</w:t>
      </w:r>
      <w:r w:rsidR="00FB46F0" w:rsidRPr="009422C2">
        <w:t xml:space="preserve"> of preventative intervention. </w:t>
      </w:r>
      <w:r w:rsidR="00E37606">
        <w:t xml:space="preserve">Third, we </w:t>
      </w:r>
      <w:r w:rsidR="002F26A2">
        <w:t xml:space="preserve">argue </w:t>
      </w:r>
      <w:r w:rsidR="00E37606">
        <w:t>that</w:t>
      </w:r>
      <w:r w:rsidR="002F26A2">
        <w:t xml:space="preserve"> </w:t>
      </w:r>
      <w:r w:rsidR="00E37606">
        <w:t>moralis</w:t>
      </w:r>
      <w:r w:rsidR="00A355F9" w:rsidRPr="009422C2">
        <w:t xml:space="preserve">ing respectable fears about young people’s sexual behaviour </w:t>
      </w:r>
      <w:r w:rsidR="002F26A2">
        <w:t xml:space="preserve">can promote inflexible </w:t>
      </w:r>
      <w:r w:rsidR="00E37606">
        <w:t xml:space="preserve">boundary demarcation that </w:t>
      </w:r>
      <w:r w:rsidR="00A355F9" w:rsidRPr="009422C2">
        <w:t xml:space="preserve">unduly reduces the complexity of intimate relationships and designs out </w:t>
      </w:r>
      <w:r w:rsidR="00900F47">
        <w:t xml:space="preserve">significant </w:t>
      </w:r>
      <w:r w:rsidR="00A355F9" w:rsidRPr="009422C2">
        <w:t>ambiguities</w:t>
      </w:r>
      <w:r w:rsidR="002F26A2">
        <w:t xml:space="preserve"> that young people routinely grapple with in making decisions about </w:t>
      </w:r>
      <w:r w:rsidR="003A2E18">
        <w:t xml:space="preserve">their </w:t>
      </w:r>
      <w:r w:rsidR="002F26A2">
        <w:t>relationships.</w:t>
      </w:r>
    </w:p>
    <w:p w14:paraId="1A94A144" w14:textId="6B4F90B2" w:rsidR="00291306" w:rsidRDefault="00A355F9" w:rsidP="00F071D4">
      <w:pPr>
        <w:spacing w:after="240" w:line="480" w:lineRule="auto"/>
        <w:jc w:val="both"/>
      </w:pPr>
      <w:r w:rsidRPr="009422C2">
        <w:t xml:space="preserve">In sum, we </w:t>
      </w:r>
      <w:r w:rsidR="002F26A2">
        <w:t>aver</w:t>
      </w:r>
      <w:r w:rsidR="00896CC8">
        <w:t xml:space="preserve"> </w:t>
      </w:r>
      <w:r w:rsidRPr="009422C2">
        <w:t xml:space="preserve">that current approaches derived from </w:t>
      </w:r>
      <w:r w:rsidR="00896CC8">
        <w:t xml:space="preserve">successive </w:t>
      </w:r>
      <w:r w:rsidR="00E37606">
        <w:t>UK Government</w:t>
      </w:r>
      <w:r w:rsidRPr="009422C2">
        <w:t xml:space="preserve"> Action Plan</w:t>
      </w:r>
      <w:r w:rsidR="001044CE" w:rsidRPr="009422C2">
        <w:t>s</w:t>
      </w:r>
      <w:r w:rsidRPr="009422C2">
        <w:t xml:space="preserve"> </w:t>
      </w:r>
      <w:r w:rsidR="00E37606">
        <w:t xml:space="preserve">may </w:t>
      </w:r>
      <w:r w:rsidRPr="009422C2">
        <w:t>promote form</w:t>
      </w:r>
      <w:r w:rsidR="002F26A2">
        <w:t>s</w:t>
      </w:r>
      <w:r w:rsidRPr="009422C2">
        <w:t xml:space="preserve"> of dramaturgical governance that </w:t>
      </w:r>
      <w:r w:rsidR="00E37606">
        <w:t>obscure</w:t>
      </w:r>
      <w:r w:rsidR="00573D6D" w:rsidRPr="009422C2">
        <w:t xml:space="preserve"> the underlying conditions that give rise to CSE</w:t>
      </w:r>
      <w:r w:rsidR="002F26A2">
        <w:t xml:space="preserve">. Further, we </w:t>
      </w:r>
      <w:r w:rsidR="00300613">
        <w:t xml:space="preserve">maintain </w:t>
      </w:r>
      <w:r w:rsidR="002F26A2">
        <w:t>that such modes of governance</w:t>
      </w:r>
      <w:r w:rsidR="00573D6D" w:rsidRPr="009422C2">
        <w:t xml:space="preserve"> a</w:t>
      </w:r>
      <w:r w:rsidR="005B7B78">
        <w:t>re</w:t>
      </w:r>
      <w:r w:rsidR="00363B1E">
        <w:t xml:space="preserve"> symptomatic of</w:t>
      </w:r>
      <w:r w:rsidR="002F26A2">
        <w:t xml:space="preserve"> a state of</w:t>
      </w:r>
      <w:r w:rsidR="00363B1E">
        <w:t xml:space="preserve"> </w:t>
      </w:r>
      <w:r w:rsidR="00E37606">
        <w:t>intransigence in</w:t>
      </w:r>
      <w:r w:rsidR="002F26A2">
        <w:t xml:space="preserve"> relation to</w:t>
      </w:r>
      <w:r w:rsidR="00E37606">
        <w:t xml:space="preserve"> </w:t>
      </w:r>
      <w:r w:rsidR="00DA029F">
        <w:t xml:space="preserve">stimulating </w:t>
      </w:r>
      <w:r w:rsidRPr="009422C2">
        <w:t xml:space="preserve">a </w:t>
      </w:r>
      <w:r w:rsidR="00DA029F" w:rsidRPr="009422C2">
        <w:t xml:space="preserve">progressive discussion about contemporary sexual practices </w:t>
      </w:r>
      <w:r w:rsidR="00DA029F">
        <w:t xml:space="preserve">that </w:t>
      </w:r>
      <w:r w:rsidR="002F26A2">
        <w:t xml:space="preserve">could </w:t>
      </w:r>
      <w:r w:rsidR="00DA029F">
        <w:t xml:space="preserve">inform the </w:t>
      </w:r>
      <w:r w:rsidR="00DA029F">
        <w:lastRenderedPageBreak/>
        <w:t xml:space="preserve">development a more </w:t>
      </w:r>
      <w:r w:rsidR="00DA029F" w:rsidRPr="00DA029F">
        <w:t>apposite</w:t>
      </w:r>
      <w:r w:rsidR="00DA029F">
        <w:t xml:space="preserve"> legislative framework. </w:t>
      </w:r>
      <w:r w:rsidRPr="009422C2">
        <w:t>A</w:t>
      </w:r>
      <w:r w:rsidR="006C208F">
        <w:t>s we will elucidate, the mobilis</w:t>
      </w:r>
      <w:r w:rsidRPr="009422C2">
        <w:t xml:space="preserve">ation of </w:t>
      </w:r>
      <w:r w:rsidR="00E37606">
        <w:t xml:space="preserve">contestable </w:t>
      </w:r>
      <w:r w:rsidRPr="009422C2">
        <w:t xml:space="preserve">risk </w:t>
      </w:r>
      <w:r w:rsidR="006C208F">
        <w:t xml:space="preserve">indicators </w:t>
      </w:r>
      <w:r w:rsidR="00E37606">
        <w:t xml:space="preserve">in </w:t>
      </w:r>
      <w:r w:rsidR="006C208F">
        <w:t>policy and</w:t>
      </w:r>
      <w:r w:rsidRPr="009422C2">
        <w:t xml:space="preserve"> practice </w:t>
      </w:r>
      <w:r w:rsidR="006C208F">
        <w:t xml:space="preserve">reinforces </w:t>
      </w:r>
      <w:r w:rsidR="002F26A2">
        <w:t xml:space="preserve">rigid </w:t>
      </w:r>
      <w:r w:rsidR="006C208F" w:rsidRPr="009422C2">
        <w:t xml:space="preserve">binaries between appropriate and inappropriate sexual conduct </w:t>
      </w:r>
      <w:r w:rsidR="006C208F">
        <w:t xml:space="preserve">that </w:t>
      </w:r>
      <w:r w:rsidRPr="009422C2">
        <w:t xml:space="preserve">include and exclude, such that only young people </w:t>
      </w:r>
      <w:r w:rsidR="00896CC8">
        <w:t xml:space="preserve">strictly </w:t>
      </w:r>
      <w:r w:rsidR="006C208F">
        <w:t xml:space="preserve">adhering to </w:t>
      </w:r>
      <w:r w:rsidRPr="009422C2">
        <w:t xml:space="preserve">advice </w:t>
      </w:r>
      <w:r w:rsidR="00896CC8">
        <w:t>are included, while</w:t>
      </w:r>
      <w:r w:rsidRPr="009422C2">
        <w:t xml:space="preserve"> those who do not are effectively silenced. As we shall see, the closing off of dialogue about sexuality and </w:t>
      </w:r>
      <w:r w:rsidR="002F26A2">
        <w:t xml:space="preserve">physical </w:t>
      </w:r>
      <w:r w:rsidRPr="009422C2">
        <w:t xml:space="preserve">pleasure harnesses the agency of young people and negates consideration of alternative sexual experiences that do not align with the </w:t>
      </w:r>
      <w:r w:rsidR="006C208F">
        <w:t xml:space="preserve">prevailing </w:t>
      </w:r>
      <w:r w:rsidRPr="009422C2">
        <w:t>normative framework.</w:t>
      </w:r>
      <w:r w:rsidR="002F26A2">
        <w:t xml:space="preserve"> Finally, we extrapolate </w:t>
      </w:r>
      <w:r w:rsidR="00DF72D4">
        <w:t xml:space="preserve">from </w:t>
      </w:r>
      <w:r w:rsidR="00291306">
        <w:t xml:space="preserve">the example of awareness raising interventions designed to prevent CSE, </w:t>
      </w:r>
      <w:r w:rsidR="00EA42EA">
        <w:t>offer</w:t>
      </w:r>
      <w:r w:rsidR="00DF72D4">
        <w:t>ing</w:t>
      </w:r>
      <w:r w:rsidR="00EA42EA">
        <w:t xml:space="preserve"> insight</w:t>
      </w:r>
      <w:r w:rsidR="001423EA">
        <w:t>s</w:t>
      </w:r>
      <w:r w:rsidR="00291306">
        <w:t xml:space="preserve"> </w:t>
      </w:r>
      <w:r w:rsidR="001423EA">
        <w:t xml:space="preserve">into </w:t>
      </w:r>
      <w:r w:rsidR="00291306">
        <w:t xml:space="preserve">the complexities of implementing </w:t>
      </w:r>
      <w:r w:rsidR="00EA42EA">
        <w:t>public health approach</w:t>
      </w:r>
      <w:r w:rsidR="001423EA">
        <w:t>es</w:t>
      </w:r>
      <w:r w:rsidR="00EA42EA">
        <w:t xml:space="preserve"> </w:t>
      </w:r>
      <w:r w:rsidR="00E87C69">
        <w:t>in areas of criminological concern</w:t>
      </w:r>
      <w:r w:rsidR="001423EA">
        <w:t xml:space="preserve">. In </w:t>
      </w:r>
      <w:r w:rsidR="00DF72D4">
        <w:t xml:space="preserve">so </w:t>
      </w:r>
      <w:r w:rsidR="001423EA">
        <w:t>doing</w:t>
      </w:r>
      <w:r w:rsidR="00DF72D4">
        <w:t>,</w:t>
      </w:r>
      <w:r w:rsidR="001423EA">
        <w:t xml:space="preserve"> we </w:t>
      </w:r>
      <w:r w:rsidR="00DF72D4">
        <w:t xml:space="preserve">argue that attention must be paid to the crucial role of </w:t>
      </w:r>
      <w:r w:rsidR="001423EA">
        <w:t xml:space="preserve">social structures and networks </w:t>
      </w:r>
      <w:r w:rsidR="00DF72D4">
        <w:t xml:space="preserve">in shaping </w:t>
      </w:r>
      <w:r w:rsidR="001423EA">
        <w:t>behaviour and action</w:t>
      </w:r>
      <w:r w:rsidR="00E87C69">
        <w:t xml:space="preserve">. </w:t>
      </w:r>
    </w:p>
    <w:p w14:paraId="7C2624B7" w14:textId="2376FD2B" w:rsidR="00EA42EA" w:rsidRPr="009422C2" w:rsidRDefault="00EA42EA" w:rsidP="006C208F">
      <w:pPr>
        <w:spacing w:after="240" w:line="480" w:lineRule="auto"/>
        <w:jc w:val="both"/>
      </w:pPr>
    </w:p>
    <w:p w14:paraId="63C928FE" w14:textId="188FFE9B" w:rsidR="00A355F9" w:rsidRPr="009422C2" w:rsidRDefault="00A355F9" w:rsidP="00EB603F">
      <w:pPr>
        <w:spacing w:after="120" w:line="480" w:lineRule="auto"/>
        <w:jc w:val="both"/>
        <w:rPr>
          <w:b/>
        </w:rPr>
      </w:pPr>
      <w:r w:rsidRPr="009422C2">
        <w:rPr>
          <w:b/>
        </w:rPr>
        <w:t xml:space="preserve">Contextualising the Study </w:t>
      </w:r>
    </w:p>
    <w:p w14:paraId="716AA066" w14:textId="274E602F" w:rsidR="00A26E95" w:rsidRDefault="00A355F9" w:rsidP="00EB603F">
      <w:pPr>
        <w:autoSpaceDE w:val="0"/>
        <w:autoSpaceDN w:val="0"/>
        <w:adjustRightInd w:val="0"/>
        <w:spacing w:line="480" w:lineRule="auto"/>
        <w:jc w:val="both"/>
        <w:rPr>
          <w:color w:val="000000"/>
        </w:rPr>
      </w:pPr>
      <w:r w:rsidRPr="009422C2">
        <w:rPr>
          <w:color w:val="000000"/>
        </w:rPr>
        <w:t xml:space="preserve">Fuelled by a series of historical revelations and </w:t>
      </w:r>
      <w:r w:rsidR="00300613">
        <w:rPr>
          <w:color w:val="000000"/>
        </w:rPr>
        <w:t xml:space="preserve">subsequent </w:t>
      </w:r>
      <w:r w:rsidRPr="009422C2">
        <w:rPr>
          <w:color w:val="000000"/>
        </w:rPr>
        <w:t>prosecutions, in the UK there has recently been a spike in regulatory activity a</w:t>
      </w:r>
      <w:r w:rsidR="00896CC8">
        <w:rPr>
          <w:color w:val="000000"/>
        </w:rPr>
        <w:t>d</w:t>
      </w:r>
      <w:r w:rsidR="00363B1E">
        <w:rPr>
          <w:color w:val="000000"/>
        </w:rPr>
        <w:t>d</w:t>
      </w:r>
      <w:r w:rsidR="00896CC8">
        <w:rPr>
          <w:color w:val="000000"/>
        </w:rPr>
        <w:t>ressing</w:t>
      </w:r>
      <w:r w:rsidRPr="009422C2">
        <w:rPr>
          <w:color w:val="000000"/>
        </w:rPr>
        <w:t xml:space="preserve"> CSE and a series of policy imperatives </w:t>
      </w:r>
      <w:r w:rsidR="00300613">
        <w:rPr>
          <w:color w:val="000000"/>
        </w:rPr>
        <w:t xml:space="preserve">promoting </w:t>
      </w:r>
      <w:r w:rsidRPr="009422C2">
        <w:rPr>
          <w:color w:val="000000"/>
        </w:rPr>
        <w:t>pr</w:t>
      </w:r>
      <w:r w:rsidR="00300613">
        <w:rPr>
          <w:color w:val="000000"/>
        </w:rPr>
        <w:t>e-emptive</w:t>
      </w:r>
      <w:r w:rsidRPr="009422C2">
        <w:rPr>
          <w:color w:val="000000"/>
        </w:rPr>
        <w:t xml:space="preserve"> action. The Independent Inquiry into multiple CSE cases in Rotherham catalogued a range of individual and institutional failures</w:t>
      </w:r>
      <w:r w:rsidR="00A26E95">
        <w:rPr>
          <w:color w:val="000000"/>
        </w:rPr>
        <w:t xml:space="preserve"> (Jay, 2014)</w:t>
      </w:r>
      <w:r w:rsidRPr="009422C2">
        <w:rPr>
          <w:color w:val="000000"/>
        </w:rPr>
        <w:t xml:space="preserve">. Despite growing evidence from youth workers and those working in residential care that child sexual exploitation was a serious problem in Rotherham, the police service and local council failed to act on vital information and did not respond appropriately to safeguard young people. The scale and seriousness of the problem was also underplayed by senior managers in care and welfare services. </w:t>
      </w:r>
    </w:p>
    <w:p w14:paraId="49F432C7" w14:textId="77777777" w:rsidR="00A26E95" w:rsidRDefault="00A26E95" w:rsidP="00EB603F">
      <w:pPr>
        <w:autoSpaceDE w:val="0"/>
        <w:autoSpaceDN w:val="0"/>
        <w:adjustRightInd w:val="0"/>
        <w:spacing w:line="480" w:lineRule="auto"/>
        <w:jc w:val="both"/>
        <w:rPr>
          <w:color w:val="000000"/>
        </w:rPr>
      </w:pPr>
    </w:p>
    <w:p w14:paraId="0E1E3945" w14:textId="6E0E029B" w:rsidR="00412C2D" w:rsidRPr="009422C2" w:rsidRDefault="00A355F9" w:rsidP="00EB603F">
      <w:pPr>
        <w:autoSpaceDE w:val="0"/>
        <w:autoSpaceDN w:val="0"/>
        <w:adjustRightInd w:val="0"/>
        <w:spacing w:line="480" w:lineRule="auto"/>
        <w:jc w:val="both"/>
        <w:rPr>
          <w:color w:val="000000"/>
        </w:rPr>
      </w:pPr>
      <w:r w:rsidRPr="009422C2">
        <w:rPr>
          <w:color w:val="000000"/>
        </w:rPr>
        <w:lastRenderedPageBreak/>
        <w:t xml:space="preserve">Running in tandem with these events, </w:t>
      </w:r>
      <w:r w:rsidR="00827111" w:rsidRPr="009422C2">
        <w:rPr>
          <w:color w:val="000000"/>
        </w:rPr>
        <w:t xml:space="preserve">the </w:t>
      </w:r>
      <w:r w:rsidRPr="009422C2">
        <w:rPr>
          <w:color w:val="000000"/>
        </w:rPr>
        <w:t xml:space="preserve">rapid expansion and adoption of online digital technologies has </w:t>
      </w:r>
      <w:r w:rsidR="00AE3FDC" w:rsidRPr="009422C2">
        <w:rPr>
          <w:color w:val="000000"/>
        </w:rPr>
        <w:t xml:space="preserve">impacted dramatically on </w:t>
      </w:r>
      <w:r w:rsidRPr="009422C2">
        <w:rPr>
          <w:color w:val="000000"/>
        </w:rPr>
        <w:t xml:space="preserve">the way that young people </w:t>
      </w:r>
      <w:r w:rsidR="00AE3FDC" w:rsidRPr="009422C2">
        <w:rPr>
          <w:color w:val="000000"/>
        </w:rPr>
        <w:t>interact and conduct their relationships (Lee, et al. 2015).</w:t>
      </w:r>
      <w:r w:rsidRPr="009422C2">
        <w:rPr>
          <w:color w:val="000000"/>
        </w:rPr>
        <w:t xml:space="preserve"> The use of social networking sites among </w:t>
      </w:r>
      <w:r w:rsidR="00250AF4">
        <w:rPr>
          <w:color w:val="000000"/>
        </w:rPr>
        <w:t xml:space="preserve">adolescents </w:t>
      </w:r>
      <w:r w:rsidRPr="009422C2">
        <w:rPr>
          <w:color w:val="000000"/>
        </w:rPr>
        <w:t>has risen significantly</w:t>
      </w:r>
      <w:r w:rsidR="00300613">
        <w:rPr>
          <w:color w:val="000000"/>
        </w:rPr>
        <w:t>,</w:t>
      </w:r>
      <w:r w:rsidRPr="009422C2">
        <w:rPr>
          <w:color w:val="000000"/>
        </w:rPr>
        <w:t xml:space="preserve"> with the internet </w:t>
      </w:r>
      <w:r w:rsidR="00250AF4">
        <w:rPr>
          <w:color w:val="000000"/>
        </w:rPr>
        <w:t>becoming</w:t>
      </w:r>
      <w:r w:rsidR="00896CC8">
        <w:rPr>
          <w:color w:val="000000"/>
        </w:rPr>
        <w:t xml:space="preserve"> focal in teenage lifestyles and culture</w:t>
      </w:r>
      <w:r w:rsidR="00250AF4">
        <w:rPr>
          <w:color w:val="000000"/>
        </w:rPr>
        <w:t xml:space="preserve"> (</w:t>
      </w:r>
      <w:r w:rsidR="00896CC8">
        <w:rPr>
          <w:color w:val="000000"/>
        </w:rPr>
        <w:t xml:space="preserve">see </w:t>
      </w:r>
      <w:r w:rsidR="00250AF4">
        <w:rPr>
          <w:color w:val="000000"/>
        </w:rPr>
        <w:t>Lenhart, et al., 2010: 5). For young people, t</w:t>
      </w:r>
      <w:r w:rsidRPr="009422C2">
        <w:rPr>
          <w:color w:val="000000"/>
        </w:rPr>
        <w:t>he benefits of online technologies have been widely acknowledged</w:t>
      </w:r>
      <w:r w:rsidR="00DA029F">
        <w:rPr>
          <w:color w:val="000000"/>
        </w:rPr>
        <w:t>,</w:t>
      </w:r>
      <w:r w:rsidRPr="009422C2">
        <w:rPr>
          <w:color w:val="000000"/>
        </w:rPr>
        <w:t xml:space="preserve"> in terms of expanded opportunities for communication and community involvement as well as increased exposure to a variety of views and opinions (O’Keeffe, et al.</w:t>
      </w:r>
      <w:r w:rsidR="00896CC8">
        <w:rPr>
          <w:color w:val="000000"/>
        </w:rPr>
        <w:t>, 2011). O</w:t>
      </w:r>
      <w:r w:rsidRPr="009422C2">
        <w:rPr>
          <w:color w:val="000000"/>
        </w:rPr>
        <w:t xml:space="preserve">nline forums and social network sites have been identified as providing safe spaces for young people to explore </w:t>
      </w:r>
      <w:r w:rsidR="00250AF4">
        <w:rPr>
          <w:color w:val="000000"/>
        </w:rPr>
        <w:t xml:space="preserve">sensitive </w:t>
      </w:r>
      <w:r w:rsidRPr="009422C2">
        <w:rPr>
          <w:color w:val="000000"/>
        </w:rPr>
        <w:t xml:space="preserve">questions and issues, particularly </w:t>
      </w:r>
      <w:r w:rsidR="00300613">
        <w:rPr>
          <w:color w:val="000000"/>
        </w:rPr>
        <w:t xml:space="preserve">those concerning </w:t>
      </w:r>
      <w:r w:rsidRPr="009422C2">
        <w:rPr>
          <w:color w:val="000000"/>
        </w:rPr>
        <w:t xml:space="preserve">identity and sexual practices (Brown, et al. 2009). Nevertheless, despite studies reporting on the positive learning experiences associated with internet use amongst young people, </w:t>
      </w:r>
      <w:r w:rsidR="001B6A16" w:rsidRPr="009422C2">
        <w:rPr>
          <w:color w:val="000000"/>
        </w:rPr>
        <w:t>organisations such as the NSPCC (2019),</w:t>
      </w:r>
      <w:r w:rsidR="005E63FE">
        <w:rPr>
          <w:color w:val="000000"/>
        </w:rPr>
        <w:t xml:space="preserve"> National Crime Agency (2017) and</w:t>
      </w:r>
      <w:r w:rsidR="001B6A16" w:rsidRPr="009422C2">
        <w:rPr>
          <w:color w:val="000000"/>
        </w:rPr>
        <w:t xml:space="preserve"> Know About CSE (2015), have </w:t>
      </w:r>
      <w:r w:rsidRPr="009422C2">
        <w:rPr>
          <w:color w:val="000000"/>
        </w:rPr>
        <w:t xml:space="preserve">conversely presented </w:t>
      </w:r>
      <w:r w:rsidR="001B6A16" w:rsidRPr="009422C2">
        <w:rPr>
          <w:color w:val="000000"/>
        </w:rPr>
        <w:t xml:space="preserve">the </w:t>
      </w:r>
      <w:r w:rsidRPr="009422C2">
        <w:rPr>
          <w:color w:val="000000"/>
        </w:rPr>
        <w:t xml:space="preserve">technological environment </w:t>
      </w:r>
      <w:r w:rsidR="001B6A16" w:rsidRPr="009422C2">
        <w:rPr>
          <w:color w:val="000000"/>
        </w:rPr>
        <w:t xml:space="preserve">as </w:t>
      </w:r>
      <w:r w:rsidR="00DF72D4">
        <w:rPr>
          <w:color w:val="000000"/>
        </w:rPr>
        <w:t xml:space="preserve">one which is </w:t>
      </w:r>
      <w:r w:rsidRPr="009422C2">
        <w:rPr>
          <w:color w:val="000000"/>
        </w:rPr>
        <w:t>saturated with risk</w:t>
      </w:r>
      <w:r w:rsidR="00DF72D4">
        <w:rPr>
          <w:color w:val="000000"/>
        </w:rPr>
        <w:t>s</w:t>
      </w:r>
      <w:r w:rsidRPr="009422C2">
        <w:rPr>
          <w:color w:val="000000"/>
        </w:rPr>
        <w:t xml:space="preserve">, from </w:t>
      </w:r>
      <w:r w:rsidR="00300613">
        <w:rPr>
          <w:color w:val="000000"/>
        </w:rPr>
        <w:t xml:space="preserve">internet </w:t>
      </w:r>
      <w:r w:rsidRPr="009422C2">
        <w:rPr>
          <w:color w:val="000000"/>
        </w:rPr>
        <w:t xml:space="preserve">trolls and confidence tricksters to opportunistic paedophiles. </w:t>
      </w:r>
      <w:r w:rsidR="005E63FE">
        <w:rPr>
          <w:color w:val="000000"/>
        </w:rPr>
        <w:t xml:space="preserve">This </w:t>
      </w:r>
      <w:r w:rsidRPr="009422C2">
        <w:rPr>
          <w:color w:val="000000"/>
        </w:rPr>
        <w:t>‘culture of fear</w:t>
      </w:r>
      <w:r w:rsidR="005E63FE">
        <w:rPr>
          <w:color w:val="000000"/>
        </w:rPr>
        <w:t>’</w:t>
      </w:r>
      <w:r w:rsidRPr="009422C2">
        <w:rPr>
          <w:color w:val="000000"/>
        </w:rPr>
        <w:t xml:space="preserve"> around the online environment</w:t>
      </w:r>
      <w:r w:rsidR="005E63FE">
        <w:rPr>
          <w:color w:val="000000"/>
        </w:rPr>
        <w:t xml:space="preserve"> in general and social media in particular </w:t>
      </w:r>
      <w:r w:rsidRPr="009422C2">
        <w:rPr>
          <w:color w:val="000000"/>
        </w:rPr>
        <w:t xml:space="preserve">has been </w:t>
      </w:r>
      <w:r w:rsidR="00896CC8">
        <w:rPr>
          <w:color w:val="000000"/>
        </w:rPr>
        <w:t xml:space="preserve">a common feature </w:t>
      </w:r>
      <w:r w:rsidRPr="009422C2">
        <w:rPr>
          <w:color w:val="000000"/>
        </w:rPr>
        <w:t>in political, media and public debate</w:t>
      </w:r>
      <w:r w:rsidR="00DF72D4">
        <w:rPr>
          <w:color w:val="000000"/>
        </w:rPr>
        <w:t xml:space="preserve"> in recent years</w:t>
      </w:r>
      <w:r w:rsidRPr="009422C2">
        <w:rPr>
          <w:color w:val="000000"/>
        </w:rPr>
        <w:t xml:space="preserve"> </w:t>
      </w:r>
      <w:r w:rsidRPr="005E63FE">
        <w:rPr>
          <w:color w:val="000000"/>
        </w:rPr>
        <w:t>(Furedi</w:t>
      </w:r>
      <w:r w:rsidR="005E63FE" w:rsidRPr="005E63FE">
        <w:rPr>
          <w:color w:val="000000"/>
        </w:rPr>
        <w:t>, 2018: 6</w:t>
      </w:r>
      <w:r w:rsidRPr="005E63FE">
        <w:rPr>
          <w:color w:val="000000"/>
        </w:rPr>
        <w:t>).</w:t>
      </w:r>
      <w:r w:rsidRPr="009422C2">
        <w:rPr>
          <w:color w:val="000000"/>
        </w:rPr>
        <w:t xml:space="preserve"> </w:t>
      </w:r>
    </w:p>
    <w:p w14:paraId="2B39087F" w14:textId="77777777" w:rsidR="00A355F9" w:rsidRPr="009422C2" w:rsidRDefault="00A355F9" w:rsidP="00EB603F">
      <w:pPr>
        <w:autoSpaceDE w:val="0"/>
        <w:autoSpaceDN w:val="0"/>
        <w:adjustRightInd w:val="0"/>
        <w:spacing w:line="480" w:lineRule="auto"/>
        <w:jc w:val="both"/>
      </w:pPr>
    </w:p>
    <w:p w14:paraId="4607CC86" w14:textId="4D775DFD" w:rsidR="00A355F9" w:rsidRPr="009422C2" w:rsidRDefault="005E63FE" w:rsidP="00EB603F">
      <w:pPr>
        <w:autoSpaceDE w:val="0"/>
        <w:autoSpaceDN w:val="0"/>
        <w:adjustRightInd w:val="0"/>
        <w:spacing w:line="480" w:lineRule="auto"/>
        <w:jc w:val="both"/>
        <w:rPr>
          <w:color w:val="000000"/>
        </w:rPr>
      </w:pPr>
      <w:r>
        <w:rPr>
          <w:color w:val="000000"/>
        </w:rPr>
        <w:t>A</w:t>
      </w:r>
      <w:r w:rsidR="00A355F9" w:rsidRPr="009422C2">
        <w:rPr>
          <w:color w:val="000000"/>
        </w:rPr>
        <w:t>nxieties about the risk that ‘new technologies’ pose</w:t>
      </w:r>
      <w:r>
        <w:rPr>
          <w:color w:val="000000"/>
        </w:rPr>
        <w:t xml:space="preserve">, exposure </w:t>
      </w:r>
      <w:r w:rsidRPr="009422C2">
        <w:rPr>
          <w:color w:val="000000"/>
        </w:rPr>
        <w:t>of high-</w:t>
      </w:r>
      <w:r>
        <w:rPr>
          <w:color w:val="000000"/>
        </w:rPr>
        <w:t xml:space="preserve">profile cases of CSE </w:t>
      </w:r>
      <w:r w:rsidR="00A355F9" w:rsidRPr="009422C2">
        <w:rPr>
          <w:color w:val="000000"/>
        </w:rPr>
        <w:t>and transmuting sexual practices amongst young people have placed risk regulating institutions and agencies under increasing p</w:t>
      </w:r>
      <w:r>
        <w:rPr>
          <w:color w:val="000000"/>
        </w:rPr>
        <w:t>ressure to</w:t>
      </w:r>
      <w:r w:rsidR="00DF72D4">
        <w:rPr>
          <w:color w:val="000000"/>
        </w:rPr>
        <w:t xml:space="preserve"> develop pre-emptive strategies. </w:t>
      </w:r>
      <w:r>
        <w:rPr>
          <w:color w:val="000000"/>
        </w:rPr>
        <w:t xml:space="preserve">Post </w:t>
      </w:r>
      <w:r w:rsidR="00A355F9" w:rsidRPr="009422C2">
        <w:rPr>
          <w:color w:val="000000"/>
        </w:rPr>
        <w:t>th</w:t>
      </w:r>
      <w:r>
        <w:rPr>
          <w:color w:val="000000"/>
        </w:rPr>
        <w:t xml:space="preserve">e publication of the Jay </w:t>
      </w:r>
      <w:r w:rsidR="00300613">
        <w:rPr>
          <w:color w:val="000000"/>
        </w:rPr>
        <w:t>R</w:t>
      </w:r>
      <w:r>
        <w:rPr>
          <w:color w:val="000000"/>
        </w:rPr>
        <w:t>eport</w:t>
      </w:r>
      <w:r w:rsidR="00300613">
        <w:rPr>
          <w:color w:val="000000"/>
        </w:rPr>
        <w:t xml:space="preserve"> (2014)</w:t>
      </w:r>
      <w:r>
        <w:rPr>
          <w:color w:val="000000"/>
        </w:rPr>
        <w:t xml:space="preserve">, </w:t>
      </w:r>
      <w:r w:rsidR="00A355F9" w:rsidRPr="009422C2">
        <w:rPr>
          <w:color w:val="000000"/>
        </w:rPr>
        <w:t>the Prime Minister formally categorized CSE as a ‘national threat’</w:t>
      </w:r>
      <w:r w:rsidR="00896CC8">
        <w:rPr>
          <w:color w:val="000000"/>
        </w:rPr>
        <w:t>,</w:t>
      </w:r>
      <w:r w:rsidR="00A355F9" w:rsidRPr="009422C2">
        <w:rPr>
          <w:color w:val="000000"/>
        </w:rPr>
        <w:t xml:space="preserve"> directing police forces to collaborate more effectively across regional boundaries </w:t>
      </w:r>
      <w:r w:rsidR="00300613">
        <w:rPr>
          <w:color w:val="000000"/>
        </w:rPr>
        <w:t>in order to better</w:t>
      </w:r>
      <w:r w:rsidR="00A355F9" w:rsidRPr="009422C2">
        <w:rPr>
          <w:color w:val="000000"/>
        </w:rPr>
        <w:t xml:space="preserve"> safeguard children (HM </w:t>
      </w:r>
      <w:r w:rsidR="00A355F9" w:rsidRPr="009422C2">
        <w:rPr>
          <w:color w:val="000000"/>
        </w:rPr>
        <w:lastRenderedPageBreak/>
        <w:t xml:space="preserve">Government, 2015). Following </w:t>
      </w:r>
      <w:r>
        <w:rPr>
          <w:color w:val="000000"/>
        </w:rPr>
        <w:t xml:space="preserve">on from </w:t>
      </w:r>
      <w:r w:rsidR="00A355F9" w:rsidRPr="009422C2">
        <w:rPr>
          <w:color w:val="000000"/>
        </w:rPr>
        <w:t>this, national guidance for practitioners, loca</w:t>
      </w:r>
      <w:r>
        <w:rPr>
          <w:color w:val="000000"/>
        </w:rPr>
        <w:t>l leaders and decision makers was introduced to raise</w:t>
      </w:r>
      <w:r w:rsidR="00A355F9" w:rsidRPr="009422C2">
        <w:rPr>
          <w:color w:val="000000"/>
        </w:rPr>
        <w:t xml:space="preserve"> awareness of </w:t>
      </w:r>
      <w:r>
        <w:rPr>
          <w:color w:val="000000"/>
        </w:rPr>
        <w:t xml:space="preserve">the </w:t>
      </w:r>
      <w:r w:rsidR="00A355F9" w:rsidRPr="009422C2">
        <w:rPr>
          <w:color w:val="000000"/>
        </w:rPr>
        <w:t>consequences</w:t>
      </w:r>
      <w:r>
        <w:rPr>
          <w:color w:val="000000"/>
        </w:rPr>
        <w:t xml:space="preserve"> of CSE</w:t>
      </w:r>
      <w:r w:rsidR="00A355F9" w:rsidRPr="009422C2">
        <w:rPr>
          <w:color w:val="000000"/>
        </w:rPr>
        <w:t xml:space="preserve">. </w:t>
      </w:r>
      <w:r>
        <w:rPr>
          <w:color w:val="000000"/>
        </w:rPr>
        <w:t xml:space="preserve">Informed by </w:t>
      </w:r>
      <w:r w:rsidR="00412C2D" w:rsidRPr="009422C2">
        <w:rPr>
          <w:color w:val="000000"/>
        </w:rPr>
        <w:t>a public health approach</w:t>
      </w:r>
      <w:r>
        <w:rPr>
          <w:color w:val="000000"/>
        </w:rPr>
        <w:t>,</w:t>
      </w:r>
      <w:r w:rsidR="00412C2D" w:rsidRPr="009422C2">
        <w:rPr>
          <w:color w:val="000000"/>
        </w:rPr>
        <w:t xml:space="preserve"> t</w:t>
      </w:r>
      <w:r w:rsidR="00A355F9" w:rsidRPr="009422C2">
        <w:rPr>
          <w:color w:val="000000"/>
        </w:rPr>
        <w:t>hese guidelines</w:t>
      </w:r>
      <w:r w:rsidR="00412C2D" w:rsidRPr="009422C2">
        <w:rPr>
          <w:color w:val="000000"/>
        </w:rPr>
        <w:t xml:space="preserve"> </w:t>
      </w:r>
      <w:r w:rsidR="00A355F9" w:rsidRPr="009422C2">
        <w:rPr>
          <w:color w:val="000000"/>
        </w:rPr>
        <w:t xml:space="preserve">determine that an effective response to CSE is one that: </w:t>
      </w:r>
    </w:p>
    <w:p w14:paraId="68B62A78" w14:textId="77777777" w:rsidR="00412C2D" w:rsidRPr="009422C2" w:rsidRDefault="00412C2D" w:rsidP="00EB603F">
      <w:pPr>
        <w:autoSpaceDE w:val="0"/>
        <w:autoSpaceDN w:val="0"/>
        <w:adjustRightInd w:val="0"/>
        <w:spacing w:line="480" w:lineRule="auto"/>
        <w:ind w:left="720" w:right="515"/>
        <w:jc w:val="both"/>
        <w:rPr>
          <w:color w:val="000000"/>
        </w:rPr>
      </w:pPr>
    </w:p>
    <w:p w14:paraId="343E0919" w14:textId="5A8F7728" w:rsidR="00A355F9" w:rsidRPr="009422C2" w:rsidRDefault="00A355F9" w:rsidP="00EB603F">
      <w:pPr>
        <w:autoSpaceDE w:val="0"/>
        <w:autoSpaceDN w:val="0"/>
        <w:adjustRightInd w:val="0"/>
        <w:spacing w:line="480" w:lineRule="auto"/>
        <w:ind w:left="720" w:right="515"/>
        <w:jc w:val="both"/>
        <w:rPr>
          <w:color w:val="000000"/>
        </w:rPr>
      </w:pPr>
      <w:r w:rsidRPr="009422C2">
        <w:rPr>
          <w:color w:val="000000"/>
        </w:rPr>
        <w:t>Educates all children and young people about the nature and risks of child sexual exploitation and other forms of related harm (both online and offline) and how to access support; promotes the resilience of children and young people and their families and strengthens the protective factors around them; and provides complementary messages to parents and carers about risks to their children (online and offline) and how to access support if they have concerns (Department for Education, 2017:</w:t>
      </w:r>
      <w:r w:rsidR="00DA029F">
        <w:rPr>
          <w:color w:val="000000"/>
        </w:rPr>
        <w:t xml:space="preserve"> </w:t>
      </w:r>
      <w:r w:rsidRPr="009422C2">
        <w:rPr>
          <w:color w:val="000000"/>
        </w:rPr>
        <w:t>18).</w:t>
      </w:r>
    </w:p>
    <w:p w14:paraId="1672E6E8" w14:textId="77777777" w:rsidR="00412C2D" w:rsidRPr="009422C2" w:rsidRDefault="00412C2D" w:rsidP="00EB603F">
      <w:pPr>
        <w:autoSpaceDE w:val="0"/>
        <w:autoSpaceDN w:val="0"/>
        <w:adjustRightInd w:val="0"/>
        <w:spacing w:line="480" w:lineRule="auto"/>
        <w:jc w:val="both"/>
        <w:rPr>
          <w:color w:val="000000"/>
        </w:rPr>
      </w:pPr>
    </w:p>
    <w:p w14:paraId="6B502460" w14:textId="3AB39DA1" w:rsidR="00A355F9" w:rsidRPr="009422C2" w:rsidRDefault="00A26E95" w:rsidP="00EB603F">
      <w:pPr>
        <w:autoSpaceDE w:val="0"/>
        <w:autoSpaceDN w:val="0"/>
        <w:adjustRightInd w:val="0"/>
        <w:spacing w:line="480" w:lineRule="auto"/>
        <w:jc w:val="both"/>
        <w:rPr>
          <w:color w:val="000000"/>
        </w:rPr>
      </w:pPr>
      <w:r>
        <w:rPr>
          <w:color w:val="000000"/>
        </w:rPr>
        <w:t xml:space="preserve">More specifically, the guidance proposes </w:t>
      </w:r>
      <w:r w:rsidR="00D653CF">
        <w:rPr>
          <w:color w:val="000000"/>
        </w:rPr>
        <w:t xml:space="preserve">that </w:t>
      </w:r>
      <w:r w:rsidR="00A355F9" w:rsidRPr="009422C2">
        <w:rPr>
          <w:color w:val="000000"/>
        </w:rPr>
        <w:t xml:space="preserve">all education and awareness raising initiatives should </w:t>
      </w:r>
      <w:r w:rsidR="00C43699">
        <w:rPr>
          <w:color w:val="000000"/>
        </w:rPr>
        <w:t xml:space="preserve">directly address </w:t>
      </w:r>
      <w:r w:rsidR="00A355F9" w:rsidRPr="009422C2">
        <w:rPr>
          <w:color w:val="000000"/>
        </w:rPr>
        <w:t>myths and misconceptions about who is perpetrating and experiencing</w:t>
      </w:r>
      <w:r w:rsidR="000D16EE">
        <w:rPr>
          <w:color w:val="000000"/>
        </w:rPr>
        <w:t xml:space="preserve"> CSE</w:t>
      </w:r>
      <w:r w:rsidR="00A355F9" w:rsidRPr="009422C2">
        <w:rPr>
          <w:color w:val="000000"/>
        </w:rPr>
        <w:t>; challenge any victim-blaming</w:t>
      </w:r>
      <w:r w:rsidR="00C43699">
        <w:rPr>
          <w:color w:val="000000"/>
        </w:rPr>
        <w:t xml:space="preserve"> </w:t>
      </w:r>
      <w:r w:rsidR="00A355F9" w:rsidRPr="009422C2">
        <w:rPr>
          <w:color w:val="000000"/>
        </w:rPr>
        <w:t>and promote the rights of all victims to protection and support (Department for Education, 2017:18). Moreover, directions to public bodies stipulate that these interventions should be delivered within a legislative framework that determines sixteen as the age of consent for any form of sexual activity (S9-13, Sexu</w:t>
      </w:r>
      <w:r w:rsidR="00C43699">
        <w:rPr>
          <w:color w:val="000000"/>
        </w:rPr>
        <w:t>al Offences Act, 2003) and make</w:t>
      </w:r>
      <w:r w:rsidR="00D653CF">
        <w:rPr>
          <w:color w:val="000000"/>
        </w:rPr>
        <w:t>s</w:t>
      </w:r>
      <w:r w:rsidR="00A355F9" w:rsidRPr="009422C2">
        <w:rPr>
          <w:color w:val="000000"/>
        </w:rPr>
        <w:t xml:space="preserve"> it an offence for a person to be in possession of an indecent image of a person under the age of eighteen (S1 Protection of Children Act, 1978).</w:t>
      </w:r>
      <w:r w:rsidR="00C43699">
        <w:rPr>
          <w:color w:val="000000"/>
        </w:rPr>
        <w:t xml:space="preserve"> Against this backdrop, in 2016</w:t>
      </w:r>
      <w:r w:rsidR="00A355F9" w:rsidRPr="009422C2">
        <w:rPr>
          <w:color w:val="000000"/>
        </w:rPr>
        <w:t xml:space="preserve"> ‘Outcome 21’ codes were introduced which enable the police to record a crime as having happened without formal criminal justice action be</w:t>
      </w:r>
      <w:r w:rsidR="00DF72D4">
        <w:rPr>
          <w:color w:val="000000"/>
        </w:rPr>
        <w:t>ing</w:t>
      </w:r>
      <w:r w:rsidR="00A355F9" w:rsidRPr="009422C2">
        <w:rPr>
          <w:color w:val="000000"/>
        </w:rPr>
        <w:t xml:space="preserve"> taken. It is proposed by </w:t>
      </w:r>
      <w:r w:rsidR="00A355F9" w:rsidRPr="009422C2">
        <w:rPr>
          <w:color w:val="000000"/>
        </w:rPr>
        <w:lastRenderedPageBreak/>
        <w:t>the College of Policing (2016: 5) that an Outcome 21 is the ‘most appropriate resolution in youth produced sexual imagery cases where the making and sharing is considered non-abusive and there is no evidence of exploitation, grooming, profit motive, malicious intent or it being persistent behavio</w:t>
      </w:r>
      <w:r w:rsidR="0027227E">
        <w:rPr>
          <w:color w:val="000000"/>
        </w:rPr>
        <w:t>u</w:t>
      </w:r>
      <w:r w:rsidR="00A355F9" w:rsidRPr="009422C2">
        <w:rPr>
          <w:color w:val="000000"/>
        </w:rPr>
        <w:t>r’. In the following sections we will draw on e</w:t>
      </w:r>
      <w:r w:rsidR="00896CC8">
        <w:rPr>
          <w:color w:val="000000"/>
        </w:rPr>
        <w:t xml:space="preserve">mpirical data to elicit how the </w:t>
      </w:r>
      <w:r w:rsidR="00DF72D4">
        <w:rPr>
          <w:color w:val="000000"/>
        </w:rPr>
        <w:t xml:space="preserve">UK Government’s </w:t>
      </w:r>
      <w:r w:rsidR="00896CC8">
        <w:rPr>
          <w:color w:val="000000"/>
        </w:rPr>
        <w:t>statutory</w:t>
      </w:r>
      <w:r w:rsidR="00A355F9" w:rsidRPr="009422C2">
        <w:rPr>
          <w:color w:val="000000"/>
        </w:rPr>
        <w:t xml:space="preserve"> guidance is </w:t>
      </w:r>
      <w:r w:rsidR="00DF72D4">
        <w:rPr>
          <w:color w:val="000000"/>
        </w:rPr>
        <w:t xml:space="preserve">being </w:t>
      </w:r>
      <w:r w:rsidR="0027227E">
        <w:rPr>
          <w:color w:val="000000"/>
        </w:rPr>
        <w:t xml:space="preserve">translated and </w:t>
      </w:r>
      <w:r w:rsidR="00A355F9" w:rsidRPr="009422C2">
        <w:rPr>
          <w:color w:val="000000"/>
        </w:rPr>
        <w:t>implemented by practitioners</w:t>
      </w:r>
      <w:r w:rsidR="00DF72D4">
        <w:rPr>
          <w:color w:val="000000"/>
        </w:rPr>
        <w:t>,</w:t>
      </w:r>
      <w:r w:rsidR="00A355F9" w:rsidRPr="009422C2">
        <w:rPr>
          <w:color w:val="000000"/>
        </w:rPr>
        <w:t xml:space="preserve"> as well as </w:t>
      </w:r>
      <w:r w:rsidR="0027227E">
        <w:rPr>
          <w:color w:val="000000"/>
        </w:rPr>
        <w:t xml:space="preserve">exploring </w:t>
      </w:r>
      <w:r w:rsidR="00430C96">
        <w:rPr>
          <w:color w:val="000000"/>
        </w:rPr>
        <w:t xml:space="preserve">the extent to which young people engage with </w:t>
      </w:r>
      <w:r w:rsidR="0027227E" w:rsidRPr="009422C2">
        <w:rPr>
          <w:color w:val="000000"/>
        </w:rPr>
        <w:t>education and awareness raising initiatives</w:t>
      </w:r>
      <w:r w:rsidR="00A355F9" w:rsidRPr="009422C2">
        <w:rPr>
          <w:color w:val="000000"/>
        </w:rPr>
        <w:t xml:space="preserve">. Before </w:t>
      </w:r>
      <w:r w:rsidR="0027227E">
        <w:rPr>
          <w:color w:val="000000"/>
        </w:rPr>
        <w:t xml:space="preserve">grappling </w:t>
      </w:r>
      <w:r w:rsidR="00A355F9" w:rsidRPr="009422C2">
        <w:rPr>
          <w:color w:val="000000"/>
        </w:rPr>
        <w:t>with these issues</w:t>
      </w:r>
      <w:r w:rsidR="0027227E">
        <w:rPr>
          <w:color w:val="000000"/>
        </w:rPr>
        <w:t>,</w:t>
      </w:r>
      <w:r w:rsidR="00A355F9" w:rsidRPr="009422C2">
        <w:rPr>
          <w:color w:val="000000"/>
        </w:rPr>
        <w:t xml:space="preserve"> it is first necessary to ex</w:t>
      </w:r>
      <w:r w:rsidR="00C41492">
        <w:rPr>
          <w:color w:val="000000"/>
        </w:rPr>
        <w:t>plicate</w:t>
      </w:r>
      <w:r w:rsidR="00A355F9" w:rsidRPr="009422C2">
        <w:rPr>
          <w:color w:val="000000"/>
        </w:rPr>
        <w:t xml:space="preserve"> the study design and methodology.</w:t>
      </w:r>
    </w:p>
    <w:p w14:paraId="17D62FC4" w14:textId="77777777" w:rsidR="00412C2D" w:rsidRPr="009422C2" w:rsidRDefault="00412C2D" w:rsidP="00EB603F">
      <w:pPr>
        <w:spacing w:after="120" w:line="480" w:lineRule="auto"/>
        <w:jc w:val="both"/>
        <w:rPr>
          <w:b/>
        </w:rPr>
      </w:pPr>
    </w:p>
    <w:p w14:paraId="7C906458" w14:textId="690B3462" w:rsidR="00A355F9" w:rsidRPr="009422C2" w:rsidRDefault="00A355F9" w:rsidP="00EB603F">
      <w:pPr>
        <w:spacing w:after="120" w:line="480" w:lineRule="auto"/>
        <w:jc w:val="both"/>
        <w:rPr>
          <w:b/>
        </w:rPr>
      </w:pPr>
      <w:r w:rsidRPr="009422C2">
        <w:rPr>
          <w:b/>
        </w:rPr>
        <w:t>Methodology</w:t>
      </w:r>
    </w:p>
    <w:p w14:paraId="63A4D3FB" w14:textId="2C096AA4" w:rsidR="00F71C1D" w:rsidRPr="009422C2" w:rsidRDefault="00A355F9" w:rsidP="00713D95">
      <w:pPr>
        <w:autoSpaceDE w:val="0"/>
        <w:autoSpaceDN w:val="0"/>
        <w:adjustRightInd w:val="0"/>
        <w:spacing w:line="480" w:lineRule="auto"/>
        <w:jc w:val="both"/>
        <w:rPr>
          <w:color w:val="000000"/>
        </w:rPr>
      </w:pPr>
      <w:r w:rsidRPr="009422C2">
        <w:rPr>
          <w:color w:val="000000"/>
        </w:rPr>
        <w:t xml:space="preserve">The data presented below is drawn from a qualitative study </w:t>
      </w:r>
      <w:r w:rsidR="0027227E" w:rsidRPr="009422C2">
        <w:rPr>
          <w:color w:val="000000"/>
        </w:rPr>
        <w:t>involving 65 participants</w:t>
      </w:r>
      <w:r w:rsidR="0027227E">
        <w:rPr>
          <w:color w:val="000000"/>
        </w:rPr>
        <w:t xml:space="preserve"> </w:t>
      </w:r>
      <w:r w:rsidR="000D16EE">
        <w:rPr>
          <w:color w:val="000000"/>
        </w:rPr>
        <w:t xml:space="preserve">that </w:t>
      </w:r>
      <w:r w:rsidRPr="009422C2">
        <w:rPr>
          <w:color w:val="000000"/>
        </w:rPr>
        <w:t>evaluate</w:t>
      </w:r>
      <w:r w:rsidR="0027227E">
        <w:rPr>
          <w:color w:val="000000"/>
        </w:rPr>
        <w:t>d</w:t>
      </w:r>
      <w:r w:rsidRPr="009422C2">
        <w:rPr>
          <w:color w:val="000000"/>
        </w:rPr>
        <w:t xml:space="preserve"> the effectiveness of a CSE prevention programme implemented by a large police force area - referred </w:t>
      </w:r>
      <w:r w:rsidR="0027227E">
        <w:rPr>
          <w:color w:val="000000"/>
        </w:rPr>
        <w:t xml:space="preserve">to </w:t>
      </w:r>
      <w:r w:rsidRPr="009422C2">
        <w:rPr>
          <w:color w:val="000000"/>
        </w:rPr>
        <w:t xml:space="preserve">hereafter as </w:t>
      </w:r>
      <w:r w:rsidR="0027227E">
        <w:rPr>
          <w:color w:val="000000"/>
        </w:rPr>
        <w:t>Shireland</w:t>
      </w:r>
      <w:r w:rsidRPr="009422C2">
        <w:rPr>
          <w:color w:val="000000"/>
        </w:rPr>
        <w:t>. Rooted in a public health approach (</w:t>
      </w:r>
      <w:r w:rsidR="00F71C1D" w:rsidRPr="009422C2">
        <w:rPr>
          <w:color w:val="000000"/>
        </w:rPr>
        <w:t>Public Health England, 2017</w:t>
      </w:r>
      <w:r w:rsidRPr="009422C2">
        <w:rPr>
          <w:color w:val="000000"/>
        </w:rPr>
        <w:t xml:space="preserve">), </w:t>
      </w:r>
      <w:r w:rsidR="00F71C1D" w:rsidRPr="009422C2">
        <w:rPr>
          <w:color w:val="000000"/>
        </w:rPr>
        <w:t>t</w:t>
      </w:r>
      <w:r w:rsidRPr="009422C2">
        <w:rPr>
          <w:color w:val="000000"/>
        </w:rPr>
        <w:t>he ke</w:t>
      </w:r>
      <w:r w:rsidR="0027227E">
        <w:rPr>
          <w:color w:val="000000"/>
        </w:rPr>
        <w:t>y objective of the programme was</w:t>
      </w:r>
      <w:r w:rsidRPr="009422C2">
        <w:rPr>
          <w:color w:val="000000"/>
        </w:rPr>
        <w:t xml:space="preserve"> to raise awareness of CSE among young people, parents and </w:t>
      </w:r>
      <w:r w:rsidR="0027227E">
        <w:rPr>
          <w:color w:val="000000"/>
        </w:rPr>
        <w:t xml:space="preserve">possible </w:t>
      </w:r>
      <w:r w:rsidRPr="009422C2">
        <w:rPr>
          <w:color w:val="000000"/>
        </w:rPr>
        <w:t>perpetra</w:t>
      </w:r>
      <w:r w:rsidR="0027227E">
        <w:rPr>
          <w:color w:val="000000"/>
        </w:rPr>
        <w:t xml:space="preserve">tors via </w:t>
      </w:r>
      <w:r w:rsidRPr="009422C2">
        <w:rPr>
          <w:color w:val="000000"/>
        </w:rPr>
        <w:t>education, targeted prevention and support for victims and offenders. Deploying age appropriate content, adapted from materials designed by CEOP (Child Exploitation and Online Protection) and children’s charities such as the NSPCC (National Society for the Protection of Children) and Barnados, a universal education and prevention programme was delivered across a variety of settings including schools, colleges and a</w:t>
      </w:r>
      <w:r w:rsidR="0027227E">
        <w:rPr>
          <w:color w:val="000000"/>
        </w:rPr>
        <w:t>lternative educational providers</w:t>
      </w:r>
      <w:r w:rsidRPr="009422C2">
        <w:rPr>
          <w:color w:val="000000"/>
        </w:rPr>
        <w:t xml:space="preserve">. Large group presentations were undertaken in schools, focused on keeping safe online and raising risk awareness among potential victims of CSE. These general presentations were combined with more targeted work with smaller groups of young people identified as being ‘at risk’ of becoming a victim </w:t>
      </w:r>
      <w:r w:rsidRPr="009422C2">
        <w:rPr>
          <w:color w:val="000000"/>
        </w:rPr>
        <w:lastRenderedPageBreak/>
        <w:t xml:space="preserve">or perpetrator of CSE. The universal and specific interventions were delivered in tandem by the </w:t>
      </w:r>
      <w:r w:rsidR="00E55939">
        <w:rPr>
          <w:color w:val="000000"/>
        </w:rPr>
        <w:t xml:space="preserve">multi-agency </w:t>
      </w:r>
      <w:r w:rsidRPr="009422C2">
        <w:rPr>
          <w:color w:val="000000"/>
        </w:rPr>
        <w:t xml:space="preserve">team across </w:t>
      </w:r>
      <w:r w:rsidR="00F71C1D" w:rsidRPr="009422C2">
        <w:rPr>
          <w:color w:val="000000"/>
        </w:rPr>
        <w:t>Shireland</w:t>
      </w:r>
      <w:r w:rsidRPr="009422C2">
        <w:rPr>
          <w:color w:val="000000"/>
        </w:rPr>
        <w:t xml:space="preserve">. The purpose of the </w:t>
      </w:r>
      <w:r w:rsidR="00713D95">
        <w:rPr>
          <w:color w:val="000000"/>
        </w:rPr>
        <w:t xml:space="preserve">research project </w:t>
      </w:r>
      <w:r w:rsidRPr="009422C2">
        <w:rPr>
          <w:color w:val="000000"/>
        </w:rPr>
        <w:t xml:space="preserve">was to provide an </w:t>
      </w:r>
      <w:r w:rsidR="00713D95">
        <w:rPr>
          <w:color w:val="000000"/>
        </w:rPr>
        <w:t xml:space="preserve">evaluation </w:t>
      </w:r>
      <w:r w:rsidRPr="009422C2">
        <w:rPr>
          <w:color w:val="000000"/>
        </w:rPr>
        <w:t>of the programme as a w</w:t>
      </w:r>
      <w:r w:rsidR="00713D95">
        <w:rPr>
          <w:color w:val="000000"/>
        </w:rPr>
        <w:t xml:space="preserve">hole </w:t>
      </w:r>
      <w:r w:rsidR="00A66425" w:rsidRPr="009422C2">
        <w:rPr>
          <w:color w:val="000000"/>
        </w:rPr>
        <w:t xml:space="preserve">and to </w:t>
      </w:r>
      <w:r w:rsidRPr="009422C2">
        <w:rPr>
          <w:color w:val="000000"/>
        </w:rPr>
        <w:t xml:space="preserve">conduct a more detailed </w:t>
      </w:r>
      <w:r w:rsidR="00713D95">
        <w:rPr>
          <w:color w:val="000000"/>
        </w:rPr>
        <w:t xml:space="preserve">assessment </w:t>
      </w:r>
      <w:r w:rsidRPr="009422C2">
        <w:rPr>
          <w:color w:val="000000"/>
        </w:rPr>
        <w:t>of practice focusing on the feasibility and effectiveness of the prevention techniques used. The data was collected using semi-structured interviews, field observations of the delivery of prevention methods</w:t>
      </w:r>
      <w:r w:rsidR="00C41492">
        <w:rPr>
          <w:color w:val="000000"/>
        </w:rPr>
        <w:t>,</w:t>
      </w:r>
      <w:r w:rsidRPr="009422C2">
        <w:rPr>
          <w:color w:val="000000"/>
        </w:rPr>
        <w:t xml:space="preserve"> and focus groups with young people engaging with the programme. To capture the dynamics of the process of implementation during the span of the programme, a longitudinal follow-up design was adopted. In total, 17 participants involved in delivering the programme were selected, comprising nine members of the multi-agency team and eight members of the steering group. All participants were interviewed within six months of the programme’s implementation </w:t>
      </w:r>
      <w:r w:rsidR="00713D95">
        <w:rPr>
          <w:color w:val="000000"/>
        </w:rPr>
        <w:t xml:space="preserve">and again </w:t>
      </w:r>
      <w:r w:rsidRPr="009422C2">
        <w:rPr>
          <w:color w:val="000000"/>
        </w:rPr>
        <w:t xml:space="preserve">twelve months later. Interviews lasted between 45-90 minutes and </w:t>
      </w:r>
      <w:r w:rsidR="00713D95">
        <w:rPr>
          <w:color w:val="000000"/>
        </w:rPr>
        <w:t xml:space="preserve">followed </w:t>
      </w:r>
      <w:r w:rsidRPr="009422C2">
        <w:rPr>
          <w:color w:val="000000"/>
        </w:rPr>
        <w:t xml:space="preserve">a semi-structured topic guide about the CSE initiative and the participant’s role within it. Interviews </w:t>
      </w:r>
      <w:r w:rsidR="00713D95">
        <w:rPr>
          <w:color w:val="000000"/>
        </w:rPr>
        <w:t xml:space="preserve">were conducted </w:t>
      </w:r>
      <w:r w:rsidRPr="009422C2">
        <w:rPr>
          <w:color w:val="000000"/>
        </w:rPr>
        <w:t xml:space="preserve">at </w:t>
      </w:r>
      <w:r w:rsidR="00713D95">
        <w:rPr>
          <w:color w:val="000000"/>
        </w:rPr>
        <w:t xml:space="preserve">either </w:t>
      </w:r>
      <w:r w:rsidRPr="009422C2">
        <w:rPr>
          <w:color w:val="000000"/>
        </w:rPr>
        <w:t>the office of the interviewer or</w:t>
      </w:r>
      <w:r w:rsidR="00C41492">
        <w:rPr>
          <w:color w:val="000000"/>
        </w:rPr>
        <w:t xml:space="preserve"> that of the</w:t>
      </w:r>
      <w:r w:rsidRPr="009422C2">
        <w:rPr>
          <w:color w:val="000000"/>
        </w:rPr>
        <w:t xml:space="preserve"> interviewees.</w:t>
      </w:r>
    </w:p>
    <w:p w14:paraId="58CF5DB4" w14:textId="3515A8C6" w:rsidR="00F71C1D" w:rsidRPr="009422C2" w:rsidRDefault="00A355F9" w:rsidP="00EB603F">
      <w:pPr>
        <w:pStyle w:val="NormalWeb"/>
        <w:spacing w:before="0" w:after="0" w:line="480" w:lineRule="auto"/>
        <w:jc w:val="both"/>
        <w:textAlignment w:val="baseline"/>
        <w:rPr>
          <w:rFonts w:ascii="Times New Roman" w:eastAsia="Times New Roman" w:hAnsi="Times New Roman" w:cs="Times New Roman"/>
          <w:color w:val="000000"/>
          <w:sz w:val="24"/>
          <w:szCs w:val="24"/>
        </w:rPr>
      </w:pPr>
      <w:r w:rsidRPr="009422C2">
        <w:rPr>
          <w:rFonts w:ascii="Times New Roman" w:eastAsia="Times New Roman" w:hAnsi="Times New Roman" w:cs="Times New Roman"/>
          <w:color w:val="000000"/>
          <w:sz w:val="24"/>
          <w:szCs w:val="24"/>
        </w:rPr>
        <w:t>To assess the feasibility</w:t>
      </w:r>
      <w:r w:rsidR="00A66425" w:rsidRPr="009422C2">
        <w:rPr>
          <w:rFonts w:ascii="Times New Roman" w:eastAsia="Times New Roman" w:hAnsi="Times New Roman" w:cs="Times New Roman"/>
          <w:color w:val="000000"/>
          <w:sz w:val="24"/>
          <w:szCs w:val="24"/>
        </w:rPr>
        <w:t xml:space="preserve"> </w:t>
      </w:r>
      <w:r w:rsidRPr="009422C2">
        <w:rPr>
          <w:rFonts w:ascii="Times New Roman" w:eastAsia="Times New Roman" w:hAnsi="Times New Roman" w:cs="Times New Roman"/>
          <w:color w:val="000000"/>
          <w:sz w:val="24"/>
          <w:szCs w:val="24"/>
        </w:rPr>
        <w:t xml:space="preserve">and effectiveness of the prevention methods used by the team, three </w:t>
      </w:r>
      <w:r w:rsidR="000D16EE">
        <w:rPr>
          <w:rFonts w:ascii="Times New Roman" w:eastAsia="Times New Roman" w:hAnsi="Times New Roman" w:cs="Times New Roman"/>
          <w:color w:val="000000"/>
          <w:sz w:val="24"/>
          <w:szCs w:val="24"/>
        </w:rPr>
        <w:t xml:space="preserve">forms </w:t>
      </w:r>
      <w:r w:rsidRPr="009422C2">
        <w:rPr>
          <w:rFonts w:ascii="Times New Roman" w:eastAsia="Times New Roman" w:hAnsi="Times New Roman" w:cs="Times New Roman"/>
          <w:color w:val="000000"/>
          <w:sz w:val="24"/>
          <w:szCs w:val="24"/>
        </w:rPr>
        <w:t>of data col</w:t>
      </w:r>
      <w:r w:rsidR="001C6E3B">
        <w:rPr>
          <w:rFonts w:ascii="Times New Roman" w:eastAsia="Times New Roman" w:hAnsi="Times New Roman" w:cs="Times New Roman"/>
          <w:color w:val="000000"/>
          <w:sz w:val="24"/>
          <w:szCs w:val="24"/>
        </w:rPr>
        <w:t>lection were</w:t>
      </w:r>
      <w:r w:rsidR="000D16EE">
        <w:rPr>
          <w:rFonts w:ascii="Times New Roman" w:eastAsia="Times New Roman" w:hAnsi="Times New Roman" w:cs="Times New Roman"/>
          <w:color w:val="000000"/>
          <w:sz w:val="24"/>
          <w:szCs w:val="24"/>
        </w:rPr>
        <w:t xml:space="preserve"> undertaken</w:t>
      </w:r>
      <w:r w:rsidR="001C6E3B">
        <w:rPr>
          <w:rFonts w:ascii="Times New Roman" w:eastAsia="Times New Roman" w:hAnsi="Times New Roman" w:cs="Times New Roman"/>
          <w:color w:val="000000"/>
          <w:sz w:val="24"/>
          <w:szCs w:val="24"/>
        </w:rPr>
        <w:t xml:space="preserve">: </w:t>
      </w:r>
      <w:r w:rsidRPr="009422C2">
        <w:rPr>
          <w:rFonts w:ascii="Times New Roman" w:eastAsia="Times New Roman" w:hAnsi="Times New Roman" w:cs="Times New Roman"/>
          <w:color w:val="000000"/>
          <w:sz w:val="24"/>
          <w:szCs w:val="24"/>
        </w:rPr>
        <w:t xml:space="preserve">observations, focus groups and semi-structured telephone interviews. Firstly, three secondary schools from across </w:t>
      </w:r>
      <w:r w:rsidR="00F71C1D" w:rsidRPr="009422C2">
        <w:rPr>
          <w:rFonts w:ascii="Times New Roman" w:eastAsia="Times New Roman" w:hAnsi="Times New Roman" w:cs="Times New Roman"/>
          <w:color w:val="000000"/>
          <w:sz w:val="24"/>
          <w:szCs w:val="24"/>
        </w:rPr>
        <w:t>Shireland</w:t>
      </w:r>
      <w:r w:rsidRPr="009422C2">
        <w:rPr>
          <w:rFonts w:ascii="Times New Roman" w:eastAsia="Times New Roman" w:hAnsi="Times New Roman" w:cs="Times New Roman"/>
          <w:color w:val="000000"/>
          <w:sz w:val="24"/>
          <w:szCs w:val="24"/>
        </w:rPr>
        <w:t xml:space="preserve"> where universal education about CSE had been provided were approached and access was granted. Thereafter, field observations of the team delivering the education awareness were conducted. Additionally, the young people who had participated in the awareness raising session were approached and asked to participate in a focus group discussion about the advice they had received from the Preventing CSE team. As a result of this process, four focus groups comprising 43 young people aged between 15-18 were carried out. Focus groups took place at the participants’ </w:t>
      </w:r>
      <w:r w:rsidRPr="009422C2">
        <w:rPr>
          <w:rFonts w:ascii="Times New Roman" w:eastAsia="Times New Roman" w:hAnsi="Times New Roman" w:cs="Times New Roman"/>
          <w:color w:val="000000"/>
          <w:sz w:val="24"/>
          <w:szCs w:val="24"/>
        </w:rPr>
        <w:lastRenderedPageBreak/>
        <w:t xml:space="preserve">educational facility and lasted between 45-60 minutes. Further, five semi-structured telephone interviews were conducted with parents whose children had received a targeted brief intervention. </w:t>
      </w:r>
      <w:r w:rsidR="00A66425" w:rsidRPr="009422C2">
        <w:rPr>
          <w:rFonts w:ascii="Times New Roman" w:eastAsia="Times New Roman" w:hAnsi="Times New Roman" w:cs="Times New Roman"/>
          <w:color w:val="000000"/>
          <w:sz w:val="24"/>
          <w:szCs w:val="24"/>
        </w:rPr>
        <w:t xml:space="preserve">Ethical </w:t>
      </w:r>
      <w:r w:rsidR="004B7543">
        <w:rPr>
          <w:rFonts w:ascii="Times New Roman" w:eastAsia="Times New Roman" w:hAnsi="Times New Roman" w:cs="Times New Roman"/>
          <w:color w:val="000000"/>
          <w:sz w:val="24"/>
          <w:szCs w:val="24"/>
        </w:rPr>
        <w:t>principles establi</w:t>
      </w:r>
      <w:r w:rsidR="001C6E3B">
        <w:rPr>
          <w:rFonts w:ascii="Times New Roman" w:eastAsia="Times New Roman" w:hAnsi="Times New Roman" w:cs="Times New Roman"/>
          <w:color w:val="000000"/>
          <w:sz w:val="24"/>
          <w:szCs w:val="24"/>
        </w:rPr>
        <w:t>shed in the code for research endorsed by</w:t>
      </w:r>
      <w:r w:rsidR="004B7543">
        <w:rPr>
          <w:rFonts w:ascii="Times New Roman" w:eastAsia="Times New Roman" w:hAnsi="Times New Roman" w:cs="Times New Roman"/>
          <w:color w:val="000000"/>
          <w:sz w:val="24"/>
          <w:szCs w:val="24"/>
        </w:rPr>
        <w:t xml:space="preserve"> the British Society of Criminology were adhered to and </w:t>
      </w:r>
      <w:r w:rsidR="00E55939">
        <w:rPr>
          <w:rFonts w:ascii="Times New Roman" w:eastAsia="Times New Roman" w:hAnsi="Times New Roman" w:cs="Times New Roman"/>
          <w:color w:val="000000"/>
          <w:sz w:val="24"/>
          <w:szCs w:val="24"/>
        </w:rPr>
        <w:t xml:space="preserve">formal </w:t>
      </w:r>
      <w:r w:rsidR="00A66425" w:rsidRPr="009422C2">
        <w:rPr>
          <w:rFonts w:ascii="Times New Roman" w:eastAsia="Times New Roman" w:hAnsi="Times New Roman" w:cs="Times New Roman"/>
          <w:color w:val="000000"/>
          <w:sz w:val="24"/>
          <w:szCs w:val="24"/>
        </w:rPr>
        <w:t xml:space="preserve">approval for the study was </w:t>
      </w:r>
      <w:r w:rsidR="004B7543">
        <w:rPr>
          <w:rFonts w:ascii="Times New Roman" w:eastAsia="Times New Roman" w:hAnsi="Times New Roman" w:cs="Times New Roman"/>
          <w:color w:val="000000"/>
          <w:sz w:val="24"/>
          <w:szCs w:val="24"/>
        </w:rPr>
        <w:t xml:space="preserve">granted </w:t>
      </w:r>
      <w:r w:rsidR="00A66425" w:rsidRPr="009422C2">
        <w:rPr>
          <w:rFonts w:ascii="Times New Roman" w:eastAsia="Times New Roman" w:hAnsi="Times New Roman" w:cs="Times New Roman"/>
          <w:color w:val="000000"/>
          <w:sz w:val="24"/>
          <w:szCs w:val="24"/>
        </w:rPr>
        <w:t xml:space="preserve">by the </w:t>
      </w:r>
      <w:r w:rsidR="00896CC8">
        <w:rPr>
          <w:rFonts w:ascii="Times New Roman" w:eastAsia="Times New Roman" w:hAnsi="Times New Roman" w:cs="Times New Roman"/>
          <w:color w:val="000000"/>
          <w:sz w:val="24"/>
          <w:szCs w:val="24"/>
        </w:rPr>
        <w:t xml:space="preserve">home </w:t>
      </w:r>
      <w:r w:rsidR="00E55939">
        <w:rPr>
          <w:rFonts w:ascii="Times New Roman" w:eastAsia="Times New Roman" w:hAnsi="Times New Roman" w:cs="Times New Roman"/>
          <w:color w:val="000000"/>
          <w:sz w:val="24"/>
          <w:szCs w:val="24"/>
        </w:rPr>
        <w:t>University committee.</w:t>
      </w:r>
    </w:p>
    <w:p w14:paraId="372EF9DF" w14:textId="2E33A636" w:rsidR="00A355F9" w:rsidRPr="009422C2" w:rsidRDefault="00A355F9" w:rsidP="00EB603F">
      <w:pPr>
        <w:spacing w:line="480" w:lineRule="auto"/>
        <w:jc w:val="both"/>
        <w:rPr>
          <w:color w:val="000000"/>
        </w:rPr>
      </w:pPr>
      <w:r w:rsidRPr="009422C2">
        <w:rPr>
          <w:color w:val="000000"/>
        </w:rPr>
        <w:t>Post data gathering, all interviews and focus groups were recorded and transcribed</w:t>
      </w:r>
      <w:r w:rsidR="000D16EE">
        <w:rPr>
          <w:color w:val="000000"/>
        </w:rPr>
        <w:t xml:space="preserve"> verbatim</w:t>
      </w:r>
      <w:r w:rsidRPr="009422C2">
        <w:rPr>
          <w:color w:val="000000"/>
        </w:rPr>
        <w:t>. T</w:t>
      </w:r>
      <w:r w:rsidRPr="009422C2">
        <w:rPr>
          <w:bCs/>
        </w:rPr>
        <w:t xml:space="preserve">he broad principles of grounded theory were followed throughout the process of data analysis (see Glaser and Strauss, 1967; </w:t>
      </w:r>
      <w:r w:rsidRPr="009422C2">
        <w:t>Strauss and Corbin, 1990)</w:t>
      </w:r>
      <w:r w:rsidRPr="009422C2">
        <w:rPr>
          <w:bCs/>
        </w:rPr>
        <w:t xml:space="preserve">. The </w:t>
      </w:r>
      <w:r w:rsidRPr="009422C2">
        <w:rPr>
          <w:color w:val="000000"/>
        </w:rPr>
        <w:t>first phase of analysis involved the researchers independently becoming familiar with the content of the data set and scanning for emergent patterns and themes. Initial codes were attached to the interview and focus</w:t>
      </w:r>
      <w:r w:rsidR="00E55939">
        <w:rPr>
          <w:color w:val="000000"/>
        </w:rPr>
        <w:t xml:space="preserve"> group transcriptions to organis</w:t>
      </w:r>
      <w:r w:rsidRPr="009422C2">
        <w:rPr>
          <w:color w:val="000000"/>
        </w:rPr>
        <w:t xml:space="preserve">e and structure the data. The second phase of data analysis consisted of a more refined analysis of the data designed to determine key themes and to cluster sub themes. The third phase of negotiation </w:t>
      </w:r>
      <w:r w:rsidR="000D16EE">
        <w:rPr>
          <w:color w:val="000000"/>
        </w:rPr>
        <w:t xml:space="preserve">involved close </w:t>
      </w:r>
      <w:r w:rsidRPr="009422C2">
        <w:rPr>
          <w:color w:val="000000"/>
        </w:rPr>
        <w:t xml:space="preserve">collaboration between the researchers </w:t>
      </w:r>
      <w:r w:rsidR="000D16EE">
        <w:rPr>
          <w:color w:val="000000"/>
        </w:rPr>
        <w:t xml:space="preserve">to </w:t>
      </w:r>
      <w:r w:rsidRPr="009422C2">
        <w:rPr>
          <w:color w:val="000000"/>
        </w:rPr>
        <w:t xml:space="preserve">compare and contrast </w:t>
      </w:r>
      <w:r w:rsidR="000D16EE" w:rsidRPr="009422C2">
        <w:rPr>
          <w:color w:val="000000"/>
        </w:rPr>
        <w:t xml:space="preserve">prevalent themes and sub themes </w:t>
      </w:r>
      <w:r w:rsidRPr="009422C2">
        <w:rPr>
          <w:color w:val="000000"/>
        </w:rPr>
        <w:t xml:space="preserve">and </w:t>
      </w:r>
      <w:r w:rsidR="000D16EE">
        <w:rPr>
          <w:color w:val="000000"/>
        </w:rPr>
        <w:t xml:space="preserve">to determine </w:t>
      </w:r>
      <w:r w:rsidRPr="009422C2">
        <w:rPr>
          <w:color w:val="000000"/>
        </w:rPr>
        <w:t xml:space="preserve">dominant themes. </w:t>
      </w:r>
      <w:r w:rsidRPr="009422C2">
        <w:t xml:space="preserve">Following the principles of grounded theory, axial encoding was conducted during </w:t>
      </w:r>
      <w:r w:rsidR="000D16EE">
        <w:t xml:space="preserve">throughout, </w:t>
      </w:r>
      <w:r w:rsidRPr="009422C2">
        <w:t>enabling</w:t>
      </w:r>
      <w:r w:rsidR="001F5FA8">
        <w:t xml:space="preserve"> a process of</w:t>
      </w:r>
      <w:r w:rsidRPr="009422C2">
        <w:t xml:space="preserve"> iterative and dynamic data analysis (</w:t>
      </w:r>
      <w:r w:rsidR="001C6E3B">
        <w:t xml:space="preserve">see </w:t>
      </w:r>
      <w:r w:rsidRPr="009422C2">
        <w:t xml:space="preserve">Ralph, Birks and Chapman, 2015). </w:t>
      </w:r>
    </w:p>
    <w:p w14:paraId="2034B38F" w14:textId="77777777" w:rsidR="00A355F9" w:rsidRPr="009422C2" w:rsidRDefault="00A355F9" w:rsidP="00EB603F">
      <w:pPr>
        <w:spacing w:after="120" w:line="480" w:lineRule="auto"/>
        <w:jc w:val="both"/>
      </w:pPr>
    </w:p>
    <w:p w14:paraId="48FBAC39" w14:textId="0E7C3798" w:rsidR="00A355F9" w:rsidRPr="00E55939" w:rsidRDefault="00A355F9" w:rsidP="00E55939">
      <w:pPr>
        <w:spacing w:after="120" w:line="480" w:lineRule="auto"/>
        <w:jc w:val="both"/>
        <w:rPr>
          <w:b/>
        </w:rPr>
      </w:pPr>
      <w:r w:rsidRPr="009422C2">
        <w:rPr>
          <w:b/>
        </w:rPr>
        <w:t xml:space="preserve">Thematic Analysis: </w:t>
      </w:r>
      <w:r w:rsidR="009837E2">
        <w:rPr>
          <w:b/>
        </w:rPr>
        <w:t xml:space="preserve">Engagement, </w:t>
      </w:r>
      <w:r w:rsidR="00E01E32">
        <w:rPr>
          <w:b/>
        </w:rPr>
        <w:t xml:space="preserve">Relevance </w:t>
      </w:r>
      <w:r w:rsidR="009837E2">
        <w:rPr>
          <w:b/>
        </w:rPr>
        <w:t>and Impact</w:t>
      </w:r>
    </w:p>
    <w:p w14:paraId="7A0ADBD3" w14:textId="1C4C243D" w:rsidR="00A355F9" w:rsidRPr="009422C2" w:rsidRDefault="00A355F9" w:rsidP="00EB603F">
      <w:pPr>
        <w:spacing w:line="480" w:lineRule="auto"/>
        <w:jc w:val="both"/>
        <w:rPr>
          <w:color w:val="000000"/>
        </w:rPr>
      </w:pPr>
      <w:r w:rsidRPr="009422C2">
        <w:rPr>
          <w:color w:val="000000"/>
        </w:rPr>
        <w:t>Having outlined the political and policy context for the stu</w:t>
      </w:r>
      <w:r w:rsidR="00E55939">
        <w:rPr>
          <w:color w:val="000000"/>
        </w:rPr>
        <w:t xml:space="preserve">dy and articulated the </w:t>
      </w:r>
      <w:r w:rsidRPr="009422C2">
        <w:rPr>
          <w:color w:val="000000"/>
        </w:rPr>
        <w:t xml:space="preserve">methods utilised, in this section we </w:t>
      </w:r>
      <w:r w:rsidR="00E55939">
        <w:rPr>
          <w:color w:val="000000"/>
        </w:rPr>
        <w:t xml:space="preserve">elaborate </w:t>
      </w:r>
      <w:r w:rsidR="00A66425" w:rsidRPr="009422C2">
        <w:rPr>
          <w:color w:val="000000"/>
        </w:rPr>
        <w:t>three</w:t>
      </w:r>
      <w:r w:rsidRPr="009422C2">
        <w:rPr>
          <w:color w:val="000000"/>
        </w:rPr>
        <w:t xml:space="preserve"> key themes </w:t>
      </w:r>
      <w:r w:rsidR="00E55939">
        <w:rPr>
          <w:color w:val="000000"/>
        </w:rPr>
        <w:t xml:space="preserve">which emerged </w:t>
      </w:r>
      <w:r w:rsidRPr="009422C2">
        <w:rPr>
          <w:color w:val="000000"/>
        </w:rPr>
        <w:t>in data analysis</w:t>
      </w:r>
      <w:r w:rsidR="001C6E3B">
        <w:rPr>
          <w:color w:val="000000"/>
        </w:rPr>
        <w:t xml:space="preserve"> and </w:t>
      </w:r>
      <w:r w:rsidR="000D16EE">
        <w:rPr>
          <w:color w:val="000000"/>
        </w:rPr>
        <w:t xml:space="preserve">which </w:t>
      </w:r>
      <w:r w:rsidR="001C6E3B">
        <w:rPr>
          <w:color w:val="000000"/>
        </w:rPr>
        <w:t>act as heuristic devices for the discussion below</w:t>
      </w:r>
      <w:r w:rsidR="00896CC8">
        <w:rPr>
          <w:color w:val="000000"/>
        </w:rPr>
        <w:t xml:space="preserve">. </w:t>
      </w:r>
      <w:r w:rsidR="000D16EE">
        <w:rPr>
          <w:color w:val="000000"/>
        </w:rPr>
        <w:t>Put simply, t</w:t>
      </w:r>
      <w:r w:rsidR="00896CC8">
        <w:rPr>
          <w:color w:val="000000"/>
        </w:rPr>
        <w:t xml:space="preserve">hese themes </w:t>
      </w:r>
      <w:r w:rsidR="000D16EE">
        <w:rPr>
          <w:color w:val="000000"/>
        </w:rPr>
        <w:t xml:space="preserve">address </w:t>
      </w:r>
      <w:r w:rsidR="001F249F" w:rsidRPr="009422C2">
        <w:rPr>
          <w:color w:val="000000"/>
        </w:rPr>
        <w:t xml:space="preserve">what the </w:t>
      </w:r>
      <w:r w:rsidR="001F249F">
        <w:rPr>
          <w:color w:val="000000"/>
        </w:rPr>
        <w:t xml:space="preserve">CSE </w:t>
      </w:r>
      <w:r w:rsidR="001F249F" w:rsidRPr="009422C2">
        <w:rPr>
          <w:color w:val="000000"/>
        </w:rPr>
        <w:t>team do, how they</w:t>
      </w:r>
      <w:r w:rsidR="001F249F">
        <w:rPr>
          <w:color w:val="000000"/>
        </w:rPr>
        <w:t xml:space="preserve"> do it and what the effects of the </w:t>
      </w:r>
      <w:r w:rsidR="001F249F">
        <w:rPr>
          <w:color w:val="000000"/>
        </w:rPr>
        <w:lastRenderedPageBreak/>
        <w:t>initiative are</w:t>
      </w:r>
      <w:r w:rsidR="00E55939">
        <w:rPr>
          <w:color w:val="000000"/>
        </w:rPr>
        <w:t xml:space="preserve">. </w:t>
      </w:r>
      <w:r w:rsidR="00896CC8">
        <w:rPr>
          <w:color w:val="000000"/>
        </w:rPr>
        <w:t xml:space="preserve">They </w:t>
      </w:r>
      <w:r w:rsidR="00E55939">
        <w:rPr>
          <w:color w:val="000000"/>
        </w:rPr>
        <w:t>relate</w:t>
      </w:r>
      <w:r w:rsidR="001F249F">
        <w:rPr>
          <w:color w:val="000000"/>
        </w:rPr>
        <w:t>, respectively,</w:t>
      </w:r>
      <w:r w:rsidR="00A66425" w:rsidRPr="009422C2">
        <w:rPr>
          <w:color w:val="000000"/>
        </w:rPr>
        <w:t xml:space="preserve"> to </w:t>
      </w:r>
      <w:r w:rsidRPr="009422C2">
        <w:rPr>
          <w:color w:val="000000"/>
        </w:rPr>
        <w:t>processes</w:t>
      </w:r>
      <w:r w:rsidR="00E55939">
        <w:rPr>
          <w:color w:val="000000"/>
        </w:rPr>
        <w:t xml:space="preserve"> of audience </w:t>
      </w:r>
      <w:r w:rsidR="00E55939" w:rsidRPr="00E55939">
        <w:rPr>
          <w:i/>
          <w:color w:val="000000"/>
        </w:rPr>
        <w:t>engagement</w:t>
      </w:r>
      <w:r w:rsidR="00E55939">
        <w:rPr>
          <w:color w:val="000000"/>
        </w:rPr>
        <w:t xml:space="preserve">, </w:t>
      </w:r>
      <w:r w:rsidR="00E55939" w:rsidRPr="009422C2">
        <w:t xml:space="preserve">the </w:t>
      </w:r>
      <w:r w:rsidR="00E01E32">
        <w:rPr>
          <w:i/>
        </w:rPr>
        <w:t>relevance</w:t>
      </w:r>
      <w:r w:rsidR="00E55939" w:rsidRPr="009422C2">
        <w:t xml:space="preserve"> of the </w:t>
      </w:r>
      <w:r w:rsidR="00E55939" w:rsidRPr="00E55939">
        <w:t>strategy</w:t>
      </w:r>
      <w:r w:rsidR="00E55939" w:rsidRPr="009422C2">
        <w:rPr>
          <w:i/>
        </w:rPr>
        <w:t xml:space="preserve"> </w:t>
      </w:r>
      <w:r w:rsidR="00E55939" w:rsidRPr="009422C2">
        <w:t xml:space="preserve">adopted </w:t>
      </w:r>
      <w:r w:rsidR="001F5FA8">
        <w:t xml:space="preserve">for those targeted by the </w:t>
      </w:r>
      <w:r w:rsidR="00E01E32">
        <w:t xml:space="preserve">intervention </w:t>
      </w:r>
      <w:r w:rsidR="00E55939" w:rsidRPr="009422C2">
        <w:t xml:space="preserve">and the </w:t>
      </w:r>
      <w:r w:rsidR="00E55939" w:rsidRPr="009422C2">
        <w:rPr>
          <w:i/>
        </w:rPr>
        <w:t>impacts</w:t>
      </w:r>
      <w:r w:rsidR="00E55939" w:rsidRPr="009422C2">
        <w:t xml:space="preserve"> </w:t>
      </w:r>
      <w:r w:rsidR="00E55939">
        <w:t xml:space="preserve">on </w:t>
      </w:r>
      <w:r w:rsidR="00E55939" w:rsidRPr="009422C2">
        <w:t>the perspectives of young people</w:t>
      </w:r>
      <w:r w:rsidR="001F249F">
        <w:t xml:space="preserve">. </w:t>
      </w:r>
      <w:r w:rsidRPr="009422C2">
        <w:rPr>
          <w:color w:val="000000"/>
        </w:rPr>
        <w:t xml:space="preserve">To be clear from the outset, there are </w:t>
      </w:r>
      <w:r w:rsidR="001F249F">
        <w:rPr>
          <w:color w:val="000000"/>
        </w:rPr>
        <w:t xml:space="preserve">intersection </w:t>
      </w:r>
      <w:r w:rsidRPr="009422C2">
        <w:rPr>
          <w:color w:val="000000"/>
        </w:rPr>
        <w:t xml:space="preserve">lines between </w:t>
      </w:r>
      <w:r w:rsidR="001F249F">
        <w:rPr>
          <w:color w:val="000000"/>
        </w:rPr>
        <w:t>the themes above</w:t>
      </w:r>
      <w:r w:rsidR="000D16EE">
        <w:rPr>
          <w:color w:val="000000"/>
        </w:rPr>
        <w:t>,</w:t>
      </w:r>
      <w:r w:rsidR="00896CC8">
        <w:rPr>
          <w:color w:val="000000"/>
        </w:rPr>
        <w:t xml:space="preserve"> which are </w:t>
      </w:r>
      <w:r w:rsidR="003D2853" w:rsidRPr="003D2853">
        <w:rPr>
          <w:color w:val="000000"/>
        </w:rPr>
        <w:t>reciprocally</w:t>
      </w:r>
      <w:r w:rsidR="00896CC8">
        <w:rPr>
          <w:color w:val="000000"/>
        </w:rPr>
        <w:t xml:space="preserve"> constitutive</w:t>
      </w:r>
      <w:r w:rsidR="001F249F">
        <w:rPr>
          <w:color w:val="000000"/>
        </w:rPr>
        <w:t xml:space="preserve"> rather than free floating. </w:t>
      </w:r>
      <w:r w:rsidR="001F5FA8">
        <w:rPr>
          <w:color w:val="000000"/>
        </w:rPr>
        <w:t>H</w:t>
      </w:r>
      <w:r w:rsidR="00896CC8">
        <w:rPr>
          <w:color w:val="000000"/>
        </w:rPr>
        <w:t>aving presented the data</w:t>
      </w:r>
      <w:r w:rsidR="001F5FA8">
        <w:rPr>
          <w:color w:val="000000"/>
        </w:rPr>
        <w:t>,</w:t>
      </w:r>
      <w:r w:rsidR="00896CC8">
        <w:rPr>
          <w:color w:val="000000"/>
        </w:rPr>
        <w:t xml:space="preserve"> we </w:t>
      </w:r>
      <w:r w:rsidR="003D2853">
        <w:rPr>
          <w:color w:val="000000"/>
        </w:rPr>
        <w:t xml:space="preserve">wish to offer some </w:t>
      </w:r>
      <w:r w:rsidRPr="009422C2">
        <w:rPr>
          <w:color w:val="000000"/>
        </w:rPr>
        <w:t>critical reflections on current policy and practice</w:t>
      </w:r>
      <w:r w:rsidR="003D2853">
        <w:rPr>
          <w:color w:val="000000"/>
        </w:rPr>
        <w:t xml:space="preserve"> which underline the mutually conditioning nature of the processes observed</w:t>
      </w:r>
      <w:r w:rsidRPr="009422C2">
        <w:rPr>
          <w:color w:val="000000"/>
        </w:rPr>
        <w:t xml:space="preserve">. Where extracts from interviews are presented - and consistent with ethical protocol - pseudonyms have been used to protect the identity of participants. Before presenting the key themes, it is first important to narrate the broad dimensions of the forms of intervention that we </w:t>
      </w:r>
      <w:r w:rsidR="000D16EE">
        <w:rPr>
          <w:color w:val="000000"/>
        </w:rPr>
        <w:t xml:space="preserve">witnessed </w:t>
      </w:r>
      <w:r w:rsidRPr="009422C2">
        <w:rPr>
          <w:color w:val="000000"/>
        </w:rPr>
        <w:t>in field observations.</w:t>
      </w:r>
    </w:p>
    <w:p w14:paraId="05AECD1C" w14:textId="77777777" w:rsidR="00F71C1D" w:rsidRPr="009422C2" w:rsidRDefault="00F71C1D" w:rsidP="00EB603F">
      <w:pPr>
        <w:spacing w:line="480" w:lineRule="auto"/>
        <w:jc w:val="both"/>
        <w:rPr>
          <w:color w:val="000000"/>
        </w:rPr>
      </w:pPr>
    </w:p>
    <w:p w14:paraId="7FF7B603" w14:textId="3AFBD128" w:rsidR="00467269" w:rsidRPr="009422C2" w:rsidRDefault="00A355F9" w:rsidP="00467269">
      <w:pPr>
        <w:autoSpaceDE w:val="0"/>
        <w:autoSpaceDN w:val="0"/>
        <w:adjustRightInd w:val="0"/>
        <w:spacing w:after="200" w:line="480" w:lineRule="auto"/>
        <w:jc w:val="both"/>
        <w:rPr>
          <w:color w:val="000000"/>
        </w:rPr>
      </w:pPr>
      <w:r w:rsidRPr="009422C2">
        <w:rPr>
          <w:color w:val="000000"/>
        </w:rPr>
        <w:t xml:space="preserve">While the precise content of the CSE awareness raising methods differed according to the </w:t>
      </w:r>
      <w:r w:rsidR="001F5FA8">
        <w:rPr>
          <w:color w:val="000000"/>
        </w:rPr>
        <w:t xml:space="preserve">locale and </w:t>
      </w:r>
      <w:r w:rsidRPr="009422C2">
        <w:rPr>
          <w:color w:val="000000"/>
        </w:rPr>
        <w:t xml:space="preserve">personnel delivering them, a common protocol was followed. Bound within the legislative guidelines, the presentations and discussions began </w:t>
      </w:r>
      <w:r w:rsidR="001F249F">
        <w:rPr>
          <w:color w:val="000000"/>
        </w:rPr>
        <w:t xml:space="preserve">with a </w:t>
      </w:r>
      <w:r w:rsidRPr="009422C2">
        <w:rPr>
          <w:color w:val="000000"/>
        </w:rPr>
        <w:t xml:space="preserve">caution that </w:t>
      </w:r>
      <w:r w:rsidR="00A66425" w:rsidRPr="009422C2">
        <w:rPr>
          <w:color w:val="000000"/>
        </w:rPr>
        <w:t xml:space="preserve">the distribution and possession of an </w:t>
      </w:r>
      <w:r w:rsidRPr="009422C2">
        <w:rPr>
          <w:color w:val="000000"/>
        </w:rPr>
        <w:t xml:space="preserve">indecent image of a person under the age of 18 was illegal and that those </w:t>
      </w:r>
      <w:r w:rsidR="00A66425" w:rsidRPr="009422C2">
        <w:rPr>
          <w:color w:val="000000"/>
        </w:rPr>
        <w:t xml:space="preserve">sharing and in </w:t>
      </w:r>
      <w:r w:rsidRPr="009422C2">
        <w:rPr>
          <w:color w:val="000000"/>
        </w:rPr>
        <w:t xml:space="preserve">possession of such images were committing a chargeable offence. A short presentation </w:t>
      </w:r>
      <w:r w:rsidR="001761BF">
        <w:rPr>
          <w:color w:val="000000"/>
        </w:rPr>
        <w:t xml:space="preserve">warning that, if used inappropriately, social media sites can be dangerous and </w:t>
      </w:r>
      <w:r w:rsidRPr="009422C2">
        <w:rPr>
          <w:color w:val="000000"/>
        </w:rPr>
        <w:t xml:space="preserve">present </w:t>
      </w:r>
      <w:r w:rsidR="001761BF">
        <w:rPr>
          <w:color w:val="000000"/>
        </w:rPr>
        <w:t xml:space="preserve">as </w:t>
      </w:r>
      <w:r w:rsidRPr="009422C2">
        <w:rPr>
          <w:color w:val="000000"/>
        </w:rPr>
        <w:t xml:space="preserve">opportunities for perpetrators of CSE to befriend young people and eventually exploit them. Subsequent to this, a short film involving a real-life case of a child or young person being exploited was shown. One of the films commonly used </w:t>
      </w:r>
      <w:r w:rsidR="003D2853">
        <w:rPr>
          <w:color w:val="000000"/>
        </w:rPr>
        <w:t xml:space="preserve">was </w:t>
      </w:r>
      <w:r w:rsidRPr="009422C2">
        <w:rPr>
          <w:color w:val="000000"/>
        </w:rPr>
        <w:t xml:space="preserve">‘Kayleigh’s </w:t>
      </w:r>
      <w:r w:rsidR="001F249F">
        <w:rPr>
          <w:color w:val="000000"/>
        </w:rPr>
        <w:t>Love Story’</w:t>
      </w:r>
      <w:r w:rsidR="000D16EE">
        <w:rPr>
          <w:color w:val="000000"/>
        </w:rPr>
        <w:t xml:space="preserve"> (KLS)</w:t>
      </w:r>
      <w:r w:rsidR="003D2853">
        <w:rPr>
          <w:color w:val="000000"/>
        </w:rPr>
        <w:t xml:space="preserve">. It </w:t>
      </w:r>
      <w:r w:rsidR="001F249F">
        <w:rPr>
          <w:color w:val="000000"/>
        </w:rPr>
        <w:t>involves</w:t>
      </w:r>
      <w:r w:rsidRPr="009422C2">
        <w:rPr>
          <w:color w:val="000000"/>
        </w:rPr>
        <w:t xml:space="preserve"> a young girl called Kayleigh who ‘friended’ a stranger that had approached her on Facebook. </w:t>
      </w:r>
      <w:r w:rsidR="001F249F">
        <w:rPr>
          <w:color w:val="000000"/>
        </w:rPr>
        <w:t xml:space="preserve">Within thirteen days, </w:t>
      </w:r>
      <w:r w:rsidRPr="009422C2">
        <w:rPr>
          <w:color w:val="000000"/>
        </w:rPr>
        <w:t xml:space="preserve">Kayleigh exchanged 2,643 messages with the man and agreed to meet him at his flat. The following day, the man </w:t>
      </w:r>
      <w:r w:rsidR="00E05EA3">
        <w:rPr>
          <w:color w:val="000000"/>
        </w:rPr>
        <w:t xml:space="preserve">who </w:t>
      </w:r>
      <w:r w:rsidRPr="009422C2">
        <w:rPr>
          <w:color w:val="000000"/>
        </w:rPr>
        <w:t>approached Kayleigh online invi</w:t>
      </w:r>
      <w:r w:rsidR="001F249F">
        <w:rPr>
          <w:color w:val="000000"/>
        </w:rPr>
        <w:t>ted his neighbo</w:t>
      </w:r>
      <w:r w:rsidR="00D653CF">
        <w:rPr>
          <w:color w:val="000000"/>
        </w:rPr>
        <w:t>u</w:t>
      </w:r>
      <w:r w:rsidR="001F249F">
        <w:rPr>
          <w:color w:val="000000"/>
        </w:rPr>
        <w:t>r to join them. When s</w:t>
      </w:r>
      <w:r w:rsidRPr="009422C2">
        <w:rPr>
          <w:color w:val="000000"/>
        </w:rPr>
        <w:t xml:space="preserve">he </w:t>
      </w:r>
      <w:r w:rsidR="001F249F">
        <w:rPr>
          <w:color w:val="000000"/>
        </w:rPr>
        <w:lastRenderedPageBreak/>
        <w:t xml:space="preserve">arrived Kayleigh </w:t>
      </w:r>
      <w:r w:rsidRPr="009422C2">
        <w:rPr>
          <w:color w:val="000000"/>
        </w:rPr>
        <w:t xml:space="preserve">was plied with alcohol and both </w:t>
      </w:r>
      <w:r w:rsidR="00E05EA3">
        <w:rPr>
          <w:color w:val="000000"/>
        </w:rPr>
        <w:t xml:space="preserve">of the </w:t>
      </w:r>
      <w:r w:rsidRPr="009422C2">
        <w:rPr>
          <w:color w:val="000000"/>
        </w:rPr>
        <w:t xml:space="preserve">men sexually assaulted her. When </w:t>
      </w:r>
      <w:r w:rsidR="001F249F">
        <w:rPr>
          <w:color w:val="000000"/>
        </w:rPr>
        <w:t>trying to flee</w:t>
      </w:r>
      <w:r w:rsidR="003D2853">
        <w:rPr>
          <w:color w:val="000000"/>
        </w:rPr>
        <w:t>,</w:t>
      </w:r>
      <w:r w:rsidR="001F249F">
        <w:rPr>
          <w:color w:val="000000"/>
        </w:rPr>
        <w:t xml:space="preserve"> Kayleigh</w:t>
      </w:r>
      <w:r w:rsidRPr="009422C2">
        <w:rPr>
          <w:color w:val="000000"/>
        </w:rPr>
        <w:t xml:space="preserve"> was seized by the neighbo</w:t>
      </w:r>
      <w:r w:rsidR="001F249F">
        <w:rPr>
          <w:color w:val="000000"/>
        </w:rPr>
        <w:t>u</w:t>
      </w:r>
      <w:r w:rsidRPr="009422C2">
        <w:rPr>
          <w:color w:val="000000"/>
        </w:rPr>
        <w:t>r who subsequently raped and murdered her. Kayleigh’s use of so</w:t>
      </w:r>
      <w:r w:rsidR="001F249F">
        <w:rPr>
          <w:color w:val="000000"/>
        </w:rPr>
        <w:t>cial media is likened to that of th</w:t>
      </w:r>
      <w:r w:rsidR="00E05EA3">
        <w:rPr>
          <w:color w:val="000000"/>
        </w:rPr>
        <w:t>e</w:t>
      </w:r>
      <w:r w:rsidR="001F249F">
        <w:rPr>
          <w:color w:val="000000"/>
        </w:rPr>
        <w:t xml:space="preserve"> audience</w:t>
      </w:r>
      <w:r w:rsidR="00E05EA3">
        <w:rPr>
          <w:color w:val="000000"/>
        </w:rPr>
        <w:t xml:space="preserve"> who</w:t>
      </w:r>
      <w:r w:rsidR="001F249F">
        <w:rPr>
          <w:color w:val="000000"/>
        </w:rPr>
        <w:t xml:space="preserve"> </w:t>
      </w:r>
      <w:r w:rsidR="009837E2">
        <w:rPr>
          <w:color w:val="000000"/>
        </w:rPr>
        <w:t xml:space="preserve">are </w:t>
      </w:r>
      <w:r w:rsidR="00E05EA3">
        <w:rPr>
          <w:color w:val="000000"/>
        </w:rPr>
        <w:t xml:space="preserve">advised </w:t>
      </w:r>
      <w:r w:rsidR="009837E2">
        <w:rPr>
          <w:color w:val="000000"/>
        </w:rPr>
        <w:t xml:space="preserve">to </w:t>
      </w:r>
      <w:r w:rsidRPr="009422C2">
        <w:rPr>
          <w:color w:val="000000"/>
        </w:rPr>
        <w:t>manage their online behavio</w:t>
      </w:r>
      <w:r w:rsidR="009837E2">
        <w:rPr>
          <w:color w:val="000000"/>
        </w:rPr>
        <w:t>ur carefully to avoid becoming a victim in</w:t>
      </w:r>
      <w:r w:rsidRPr="009422C2">
        <w:rPr>
          <w:color w:val="000000"/>
        </w:rPr>
        <w:t xml:space="preserve"> similar circumstances.</w:t>
      </w:r>
      <w:r w:rsidR="009837E2">
        <w:rPr>
          <w:color w:val="000000"/>
        </w:rPr>
        <w:t xml:space="preserve"> </w:t>
      </w:r>
      <w:r w:rsidRPr="009422C2">
        <w:rPr>
          <w:color w:val="000000"/>
        </w:rPr>
        <w:t xml:space="preserve">As we illustrate in the sections that follow, while well intentioned, the approach deployed by the CSE team is </w:t>
      </w:r>
      <w:r w:rsidR="009837E2">
        <w:rPr>
          <w:color w:val="000000"/>
        </w:rPr>
        <w:t>predominantly structured around deterrence</w:t>
      </w:r>
      <w:r w:rsidRPr="009422C2">
        <w:rPr>
          <w:color w:val="000000"/>
        </w:rPr>
        <w:t xml:space="preserve">. In as much as it is understandable that such a strategy might be adopted in order to alert young people to the seriousness of the issue, as we shall see, the </w:t>
      </w:r>
      <w:r w:rsidR="009837E2">
        <w:rPr>
          <w:color w:val="000000"/>
        </w:rPr>
        <w:t>eff</w:t>
      </w:r>
      <w:r w:rsidR="0082464E">
        <w:rPr>
          <w:color w:val="000000"/>
        </w:rPr>
        <w:t>ectiveness</w:t>
      </w:r>
      <w:r w:rsidR="009837E2">
        <w:rPr>
          <w:color w:val="000000"/>
        </w:rPr>
        <w:t xml:space="preserve"> </w:t>
      </w:r>
      <w:r w:rsidRPr="009422C2">
        <w:rPr>
          <w:color w:val="000000"/>
        </w:rPr>
        <w:t xml:space="preserve">of this strategy </w:t>
      </w:r>
      <w:r w:rsidR="009837E2">
        <w:rPr>
          <w:color w:val="000000"/>
        </w:rPr>
        <w:t xml:space="preserve">in terms of </w:t>
      </w:r>
      <w:r w:rsidR="00E05EA3">
        <w:rPr>
          <w:color w:val="000000"/>
        </w:rPr>
        <w:t xml:space="preserve">both </w:t>
      </w:r>
      <w:r w:rsidR="000D16EE">
        <w:rPr>
          <w:color w:val="000000"/>
        </w:rPr>
        <w:t xml:space="preserve">securing </w:t>
      </w:r>
      <w:r w:rsidR="00E05EA3">
        <w:rPr>
          <w:color w:val="000000"/>
        </w:rPr>
        <w:t xml:space="preserve">engagement and </w:t>
      </w:r>
      <w:r w:rsidR="000D16EE">
        <w:rPr>
          <w:color w:val="000000"/>
        </w:rPr>
        <w:t xml:space="preserve">aiding </w:t>
      </w:r>
      <w:r w:rsidR="009837E2">
        <w:rPr>
          <w:color w:val="000000"/>
        </w:rPr>
        <w:t xml:space="preserve">prevention </w:t>
      </w:r>
      <w:r w:rsidRPr="009422C2">
        <w:rPr>
          <w:color w:val="000000"/>
        </w:rPr>
        <w:t xml:space="preserve">is contestable. </w:t>
      </w:r>
    </w:p>
    <w:p w14:paraId="339E7FB6" w14:textId="58111F6F" w:rsidR="00A355F9" w:rsidRPr="00467269" w:rsidRDefault="00382799" w:rsidP="00EB603F">
      <w:pPr>
        <w:autoSpaceDE w:val="0"/>
        <w:autoSpaceDN w:val="0"/>
        <w:adjustRightInd w:val="0"/>
        <w:spacing w:line="480" w:lineRule="auto"/>
        <w:jc w:val="both"/>
        <w:rPr>
          <w:i/>
        </w:rPr>
      </w:pPr>
      <w:r w:rsidRPr="00467269">
        <w:rPr>
          <w:i/>
        </w:rPr>
        <w:t>Engagement</w:t>
      </w:r>
      <w:r w:rsidR="00467269">
        <w:rPr>
          <w:i/>
        </w:rPr>
        <w:t xml:space="preserve"> with </w:t>
      </w:r>
      <w:r w:rsidR="00E05EA3">
        <w:rPr>
          <w:i/>
        </w:rPr>
        <w:t>‘</w:t>
      </w:r>
      <w:r w:rsidR="00467269">
        <w:rPr>
          <w:i/>
        </w:rPr>
        <w:t>R</w:t>
      </w:r>
      <w:r w:rsidR="00A355F9" w:rsidRPr="00467269">
        <w:rPr>
          <w:i/>
        </w:rPr>
        <w:t>isk</w:t>
      </w:r>
      <w:r w:rsidR="00E05EA3">
        <w:rPr>
          <w:i/>
        </w:rPr>
        <w:t>’</w:t>
      </w:r>
      <w:r w:rsidR="00A355F9" w:rsidRPr="00467269">
        <w:rPr>
          <w:i/>
        </w:rPr>
        <w:t xml:space="preserve"> Narratives: Strangers, Dangers and Shock Tactics </w:t>
      </w:r>
    </w:p>
    <w:p w14:paraId="39AA81A4" w14:textId="6421A987" w:rsidR="00A355F9" w:rsidRPr="009422C2" w:rsidRDefault="00A355F9" w:rsidP="00EB603F">
      <w:pPr>
        <w:spacing w:line="480" w:lineRule="auto"/>
        <w:jc w:val="both"/>
      </w:pPr>
      <w:r w:rsidRPr="009422C2">
        <w:t xml:space="preserve">In order to ascertain </w:t>
      </w:r>
      <w:r w:rsidR="009837E2">
        <w:t xml:space="preserve">levels of engagement with </w:t>
      </w:r>
      <w:r w:rsidRPr="009422C2">
        <w:t xml:space="preserve">the headline messages </w:t>
      </w:r>
      <w:r w:rsidR="009837E2">
        <w:t xml:space="preserve">presented in </w:t>
      </w:r>
      <w:r w:rsidR="00E05EA3">
        <w:t xml:space="preserve">awareness raising </w:t>
      </w:r>
      <w:r w:rsidRPr="009422C2">
        <w:t xml:space="preserve">sessions, we asked </w:t>
      </w:r>
      <w:r w:rsidR="000D16EE">
        <w:t xml:space="preserve">young people </w:t>
      </w:r>
      <w:r w:rsidRPr="009422C2">
        <w:t>directly what they had learnt</w:t>
      </w:r>
      <w:r w:rsidR="003D2853">
        <w:t>. P</w:t>
      </w:r>
      <w:r w:rsidRPr="009422C2">
        <w:t xml:space="preserve">articipants </w:t>
      </w:r>
      <w:r w:rsidR="003D2853">
        <w:t xml:space="preserve">commonly </w:t>
      </w:r>
      <w:r w:rsidRPr="009422C2">
        <w:t>identified the necessity for adopting risk avoidance strategies, including being guarded in online conversations and cautious about making connections with strangers:</w:t>
      </w:r>
    </w:p>
    <w:p w14:paraId="5D3C4F5C" w14:textId="77777777" w:rsidR="00A355F9" w:rsidRPr="009422C2" w:rsidRDefault="00A355F9" w:rsidP="00EB603F">
      <w:pPr>
        <w:spacing w:line="480" w:lineRule="auto"/>
        <w:jc w:val="both"/>
      </w:pPr>
    </w:p>
    <w:p w14:paraId="6DBD7401" w14:textId="77777777" w:rsidR="00A355F9" w:rsidRPr="009422C2" w:rsidRDefault="00A355F9" w:rsidP="00EB603F">
      <w:pPr>
        <w:spacing w:line="480" w:lineRule="auto"/>
        <w:ind w:left="567" w:right="571"/>
        <w:jc w:val="both"/>
      </w:pPr>
      <w:r w:rsidRPr="009422C2">
        <w:t xml:space="preserve">Carys: ‘To not speak to strangers online…’ </w:t>
      </w:r>
    </w:p>
    <w:p w14:paraId="181846AC" w14:textId="77777777" w:rsidR="00A355F9" w:rsidRPr="009422C2" w:rsidRDefault="00A355F9" w:rsidP="00EB603F">
      <w:pPr>
        <w:spacing w:line="480" w:lineRule="auto"/>
        <w:ind w:left="567" w:right="571"/>
        <w:jc w:val="both"/>
      </w:pPr>
      <w:r w:rsidRPr="009422C2">
        <w:t>Hannah: ‘To not talk to strangers online…’</w:t>
      </w:r>
    </w:p>
    <w:p w14:paraId="765BF525" w14:textId="77777777" w:rsidR="00A355F9" w:rsidRPr="009422C2" w:rsidRDefault="00A355F9" w:rsidP="00EB603F">
      <w:pPr>
        <w:spacing w:line="480" w:lineRule="auto"/>
        <w:ind w:left="567" w:right="571"/>
        <w:jc w:val="both"/>
      </w:pPr>
      <w:r w:rsidRPr="009422C2">
        <w:t>Keira: ‘Don’t add people, like… that you don’t know’.</w:t>
      </w:r>
    </w:p>
    <w:p w14:paraId="40D88347" w14:textId="0AD33C9F" w:rsidR="00A355F9" w:rsidRPr="009422C2" w:rsidRDefault="003D2853" w:rsidP="00EB603F">
      <w:pPr>
        <w:spacing w:line="480" w:lineRule="auto"/>
        <w:ind w:left="567" w:right="571"/>
        <w:jc w:val="right"/>
      </w:pPr>
      <w:r>
        <w:t>(Focus G</w:t>
      </w:r>
      <w:r w:rsidR="00A355F9" w:rsidRPr="009422C2">
        <w:t xml:space="preserve">roup </w:t>
      </w:r>
      <w:r w:rsidR="006F7D97" w:rsidRPr="009422C2">
        <w:t>3</w:t>
      </w:r>
      <w:r w:rsidR="00A355F9" w:rsidRPr="009422C2">
        <w:t>)</w:t>
      </w:r>
    </w:p>
    <w:p w14:paraId="4D3117EE" w14:textId="77777777" w:rsidR="00A355F9" w:rsidRPr="009422C2" w:rsidRDefault="00A355F9" w:rsidP="00EB603F">
      <w:pPr>
        <w:spacing w:line="480" w:lineRule="auto"/>
        <w:ind w:left="567" w:right="571"/>
        <w:jc w:val="right"/>
      </w:pPr>
    </w:p>
    <w:p w14:paraId="6F6FD6D5" w14:textId="45B88983" w:rsidR="00A355F9" w:rsidRPr="009422C2" w:rsidRDefault="00A355F9" w:rsidP="00EB603F">
      <w:pPr>
        <w:spacing w:line="480" w:lineRule="auto"/>
        <w:jc w:val="both"/>
      </w:pPr>
      <w:r w:rsidRPr="009422C2">
        <w:t xml:space="preserve">To this extent, </w:t>
      </w:r>
      <w:r w:rsidR="000D16EE">
        <w:t xml:space="preserve">KLS </w:t>
      </w:r>
      <w:r w:rsidRPr="009422C2">
        <w:t>had served to enabl</w:t>
      </w:r>
      <w:r w:rsidR="00E05EA3">
        <w:t>e the audience</w:t>
      </w:r>
      <w:r w:rsidRPr="009422C2">
        <w:t xml:space="preserve"> to reflect on some of the issues raised regarding the risk of CSE, particularly that instigated by predatory older male strangers:</w:t>
      </w:r>
    </w:p>
    <w:p w14:paraId="30918D42" w14:textId="77777777" w:rsidR="00A355F9" w:rsidRPr="009422C2" w:rsidRDefault="00A355F9" w:rsidP="00EB603F">
      <w:pPr>
        <w:spacing w:line="480" w:lineRule="auto"/>
        <w:jc w:val="both"/>
      </w:pPr>
    </w:p>
    <w:p w14:paraId="5AE4FBC2" w14:textId="77777777" w:rsidR="00A355F9" w:rsidRPr="009422C2" w:rsidRDefault="00A355F9" w:rsidP="00EB603F">
      <w:pPr>
        <w:spacing w:line="480" w:lineRule="auto"/>
        <w:ind w:left="567" w:right="571"/>
        <w:jc w:val="both"/>
      </w:pPr>
      <w:r w:rsidRPr="009422C2">
        <w:t xml:space="preserve">Sara: ‘Was it a young man?’ </w:t>
      </w:r>
    </w:p>
    <w:p w14:paraId="1D9B3911" w14:textId="77777777" w:rsidR="00A355F9" w:rsidRPr="009422C2" w:rsidRDefault="00A355F9" w:rsidP="00EB603F">
      <w:pPr>
        <w:spacing w:line="480" w:lineRule="auto"/>
        <w:ind w:left="567" w:right="571"/>
        <w:jc w:val="both"/>
      </w:pPr>
      <w:r w:rsidRPr="009422C2">
        <w:t>Kim: ‘No, but that’s why I thought weren’t it a younger man that was messaging her for the older man and the older man was the neighbour.  That I didn’t know’.</w:t>
      </w:r>
    </w:p>
    <w:p w14:paraId="66E8F0C1" w14:textId="05ED63C1" w:rsidR="00A355F9" w:rsidRPr="009422C2" w:rsidRDefault="00A355F9" w:rsidP="00EB603F">
      <w:pPr>
        <w:spacing w:line="480" w:lineRule="auto"/>
        <w:ind w:left="567" w:right="571"/>
        <w:jc w:val="both"/>
      </w:pPr>
      <w:r w:rsidRPr="009422C2">
        <w:t>Sara: ‘I don’t know, but I think it makes it look like it’s only old men that are going to do it to girls when actually it can be anyone, like any age’.</w:t>
      </w:r>
    </w:p>
    <w:p w14:paraId="7F189816" w14:textId="77777777" w:rsidR="006F7D97" w:rsidRPr="009422C2" w:rsidRDefault="006F7D97" w:rsidP="00EB603F">
      <w:pPr>
        <w:spacing w:line="480" w:lineRule="auto"/>
        <w:ind w:left="567" w:right="571"/>
        <w:jc w:val="both"/>
      </w:pPr>
    </w:p>
    <w:p w14:paraId="11690311" w14:textId="26A14A31" w:rsidR="00A355F9" w:rsidRPr="009422C2" w:rsidRDefault="003D2853" w:rsidP="00EB603F">
      <w:pPr>
        <w:spacing w:line="480" w:lineRule="auto"/>
        <w:ind w:left="567" w:right="571"/>
        <w:jc w:val="right"/>
      </w:pPr>
      <w:r>
        <w:t>(Focus G</w:t>
      </w:r>
      <w:r w:rsidR="00A355F9" w:rsidRPr="009422C2">
        <w:t>roup 1)</w:t>
      </w:r>
    </w:p>
    <w:p w14:paraId="04A76CAF" w14:textId="77777777" w:rsidR="00A355F9" w:rsidRPr="009422C2" w:rsidRDefault="00A355F9" w:rsidP="00EB603F">
      <w:pPr>
        <w:spacing w:line="480" w:lineRule="auto"/>
        <w:jc w:val="both"/>
      </w:pPr>
    </w:p>
    <w:p w14:paraId="26013052" w14:textId="0B5F93B0" w:rsidR="00A355F9" w:rsidRPr="009422C2" w:rsidRDefault="00713254" w:rsidP="00EB603F">
      <w:pPr>
        <w:spacing w:line="480" w:lineRule="auto"/>
        <w:jc w:val="both"/>
      </w:pPr>
      <w:r>
        <w:t>Mirroring Sara and Kim’s conversation above, t</w:t>
      </w:r>
      <w:r w:rsidRPr="009422C2">
        <w:t>he focus groups were punctuated by attempts to gr</w:t>
      </w:r>
      <w:r>
        <w:t>apple with the meaning of KLS. As this</w:t>
      </w:r>
      <w:r w:rsidR="00A355F9" w:rsidRPr="009422C2">
        <w:t xml:space="preserve"> exchange shows, </w:t>
      </w:r>
      <w:r w:rsidR="0055314A">
        <w:t xml:space="preserve">the story generated </w:t>
      </w:r>
      <w:r w:rsidR="00A355F9" w:rsidRPr="009422C2">
        <w:t>some confusion in terms of the narrative itself and exactly who and what young people should be on guard against. As Sara suggests</w:t>
      </w:r>
      <w:r w:rsidR="0055314A">
        <w:t>,</w:t>
      </w:r>
      <w:r w:rsidR="00A355F9" w:rsidRPr="009422C2">
        <w:t xml:space="preserve"> the foregrounding of this case reproduces the notion that there is a specific offender profile that young people should be alert to. This message is </w:t>
      </w:r>
      <w:r>
        <w:t xml:space="preserve">being </w:t>
      </w:r>
      <w:r w:rsidR="0055314A">
        <w:t xml:space="preserve">clearly </w:t>
      </w:r>
      <w:r w:rsidR="00A355F9" w:rsidRPr="009422C2">
        <w:t>delivered and received</w:t>
      </w:r>
      <w:r w:rsidR="0055314A">
        <w:t>,</w:t>
      </w:r>
      <w:r w:rsidR="00A355F9" w:rsidRPr="009422C2">
        <w:t xml:space="preserve"> despite </w:t>
      </w:r>
      <w:r>
        <w:t>a longstanding body of research indicat</w:t>
      </w:r>
      <w:r w:rsidR="00440D3C">
        <w:t>ing that</w:t>
      </w:r>
      <w:r>
        <w:t xml:space="preserve"> </w:t>
      </w:r>
      <w:r w:rsidR="00A355F9" w:rsidRPr="009422C2">
        <w:t xml:space="preserve">the majority of children who are sexually assaulted </w:t>
      </w:r>
      <w:r w:rsidR="00440D3C">
        <w:t xml:space="preserve">know their </w:t>
      </w:r>
      <w:r w:rsidR="00A355F9" w:rsidRPr="009422C2">
        <w:t>perpetrator (</w:t>
      </w:r>
      <w:r w:rsidR="0055314A">
        <w:t xml:space="preserve">see </w:t>
      </w:r>
      <w:r w:rsidR="00A355F9" w:rsidRPr="009422C2">
        <w:t xml:space="preserve">Grubin, 1998; Thomas, 2005; Jewkes, 2012; Chenier, 2012). Consistent with young people’s responses to </w:t>
      </w:r>
      <w:r w:rsidR="0055314A">
        <w:t xml:space="preserve">other </w:t>
      </w:r>
      <w:r w:rsidR="00A355F9" w:rsidRPr="009422C2">
        <w:t xml:space="preserve">public health campaigns designed to shock - such as those </w:t>
      </w:r>
      <w:r w:rsidR="000D16EE">
        <w:t xml:space="preserve">highlighting </w:t>
      </w:r>
      <w:r w:rsidR="00A355F9" w:rsidRPr="009422C2">
        <w:t xml:space="preserve">the risks of alcohol consumption (de Visser, et al. 2012) - our data illustrates a general distancing by the audience and a lack of purchase around the ‘stranger </w:t>
      </w:r>
      <w:r w:rsidR="0055314A">
        <w:t>danger’ message</w:t>
      </w:r>
      <w:r w:rsidR="00A355F9" w:rsidRPr="009422C2">
        <w:t xml:space="preserve">. </w:t>
      </w:r>
      <w:r w:rsidR="00440D3C">
        <w:t>Additionally, s</w:t>
      </w:r>
      <w:r w:rsidR="00A355F9" w:rsidRPr="009422C2">
        <w:t xml:space="preserve">ome of the observations </w:t>
      </w:r>
      <w:r w:rsidR="006C1204">
        <w:t xml:space="preserve">we listened to </w:t>
      </w:r>
      <w:r w:rsidR="00A355F9" w:rsidRPr="009422C2">
        <w:t xml:space="preserve">indicated </w:t>
      </w:r>
      <w:r w:rsidR="0085224D">
        <w:t xml:space="preserve">a </w:t>
      </w:r>
      <w:r w:rsidR="00A355F9" w:rsidRPr="009422C2">
        <w:t>‘clash of risk cultures’ (Beck, 2016</w:t>
      </w:r>
      <w:r w:rsidR="00A355F9" w:rsidRPr="00DB640D">
        <w:t>:</w:t>
      </w:r>
      <w:r w:rsidR="00DB640D" w:rsidRPr="00DB640D">
        <w:t xml:space="preserve"> 193) </w:t>
      </w:r>
      <w:r w:rsidR="00A355F9" w:rsidRPr="009422C2">
        <w:t>where</w:t>
      </w:r>
      <w:r w:rsidR="00E05EA3">
        <w:t>by</w:t>
      </w:r>
      <w:r w:rsidR="00A355F9" w:rsidRPr="009422C2">
        <w:t xml:space="preserve"> the messages being delivered </w:t>
      </w:r>
      <w:r w:rsidR="006C1204">
        <w:t xml:space="preserve">by elders </w:t>
      </w:r>
      <w:r w:rsidR="00E05EA3">
        <w:t xml:space="preserve">were </w:t>
      </w:r>
      <w:r w:rsidR="00A355F9" w:rsidRPr="009422C2">
        <w:t xml:space="preserve">counter-intuitive to </w:t>
      </w:r>
      <w:r w:rsidR="00A355F9" w:rsidRPr="009422C2">
        <w:lastRenderedPageBreak/>
        <w:t>young people’s own risk landscapes and the dangers that they and their friends routinely negotiated:</w:t>
      </w:r>
    </w:p>
    <w:p w14:paraId="16A77CDA" w14:textId="77777777" w:rsidR="00A355F9" w:rsidRPr="009422C2" w:rsidRDefault="00A355F9" w:rsidP="00EB603F">
      <w:pPr>
        <w:spacing w:line="480" w:lineRule="auto"/>
        <w:jc w:val="both"/>
      </w:pPr>
    </w:p>
    <w:p w14:paraId="326D807A" w14:textId="4A97219A" w:rsidR="00A355F9" w:rsidRPr="009422C2" w:rsidRDefault="00FC1C45" w:rsidP="00EB603F">
      <w:pPr>
        <w:autoSpaceDE w:val="0"/>
        <w:autoSpaceDN w:val="0"/>
        <w:adjustRightInd w:val="0"/>
        <w:spacing w:line="480" w:lineRule="auto"/>
        <w:ind w:left="567" w:right="571"/>
        <w:jc w:val="both"/>
      </w:pPr>
      <w:r w:rsidRPr="009422C2">
        <w:t>Jamie</w:t>
      </w:r>
      <w:r w:rsidR="00A355F9" w:rsidRPr="009422C2">
        <w:t xml:space="preserve">: ‘I don’t think… I think at this age, I think we shouldn’t focus on strangers as such, I think it’s more like at this age, like people going out, and like up clubs and stuff…’ </w:t>
      </w:r>
    </w:p>
    <w:p w14:paraId="2DE69486" w14:textId="77777777" w:rsidR="00A355F9" w:rsidRPr="009422C2" w:rsidRDefault="00A355F9" w:rsidP="00EB603F">
      <w:pPr>
        <w:autoSpaceDE w:val="0"/>
        <w:autoSpaceDN w:val="0"/>
        <w:adjustRightInd w:val="0"/>
        <w:spacing w:line="480" w:lineRule="auto"/>
        <w:ind w:left="567" w:right="571"/>
        <w:jc w:val="both"/>
      </w:pPr>
    </w:p>
    <w:p w14:paraId="01DCA81C" w14:textId="65336E9E" w:rsidR="00A355F9" w:rsidRPr="009422C2" w:rsidRDefault="00A355F9" w:rsidP="00EB603F">
      <w:pPr>
        <w:autoSpaceDE w:val="0"/>
        <w:autoSpaceDN w:val="0"/>
        <w:adjustRightInd w:val="0"/>
        <w:spacing w:line="480" w:lineRule="auto"/>
        <w:ind w:left="567" w:right="571"/>
        <w:jc w:val="both"/>
        <w:rPr>
          <w:color w:val="000000"/>
        </w:rPr>
      </w:pPr>
      <w:r w:rsidRPr="009422C2">
        <w:t>Lexi:</w:t>
      </w:r>
      <w:r w:rsidRPr="009422C2">
        <w:rPr>
          <w:color w:val="0B5AB2"/>
        </w:rPr>
        <w:t xml:space="preserve"> </w:t>
      </w:r>
      <w:r w:rsidRPr="009422C2">
        <w:rPr>
          <w:color w:val="000000"/>
        </w:rPr>
        <w:t>‘Not just that, even when you were younger, and you were going to like your friend’s house, lik</w:t>
      </w:r>
      <w:r w:rsidR="00713254">
        <w:rPr>
          <w:color w:val="000000"/>
        </w:rPr>
        <w:t>e you’ve gone round your friend’</w:t>
      </w:r>
      <w:r w:rsidRPr="009422C2">
        <w:rPr>
          <w:color w:val="000000"/>
        </w:rPr>
        <w:t>s house for a house party. How many different like guys try to get you drunk? Or you’ve got drunk, and then they tried it on with you, and think that it’s okay’.</w:t>
      </w:r>
    </w:p>
    <w:p w14:paraId="0929DBF8" w14:textId="77777777" w:rsidR="00A355F9" w:rsidRPr="009422C2" w:rsidRDefault="00A355F9" w:rsidP="00EB603F">
      <w:pPr>
        <w:autoSpaceDE w:val="0"/>
        <w:autoSpaceDN w:val="0"/>
        <w:adjustRightInd w:val="0"/>
        <w:spacing w:line="480" w:lineRule="auto"/>
        <w:ind w:left="567" w:right="571"/>
        <w:jc w:val="both"/>
        <w:rPr>
          <w:color w:val="000000"/>
        </w:rPr>
      </w:pPr>
    </w:p>
    <w:p w14:paraId="25E86980" w14:textId="63AE96D0" w:rsidR="00A355F9" w:rsidRPr="009422C2" w:rsidRDefault="00713254" w:rsidP="00EB603F">
      <w:pPr>
        <w:autoSpaceDE w:val="0"/>
        <w:autoSpaceDN w:val="0"/>
        <w:adjustRightInd w:val="0"/>
        <w:spacing w:line="480" w:lineRule="auto"/>
        <w:ind w:left="567" w:right="571"/>
        <w:jc w:val="right"/>
        <w:rPr>
          <w:color w:val="000000"/>
        </w:rPr>
      </w:pPr>
      <w:r>
        <w:rPr>
          <w:color w:val="000000"/>
        </w:rPr>
        <w:t>(Focus G</w:t>
      </w:r>
      <w:r w:rsidR="00A355F9" w:rsidRPr="009422C2">
        <w:rPr>
          <w:color w:val="000000"/>
        </w:rPr>
        <w:t xml:space="preserve">roup </w:t>
      </w:r>
      <w:r w:rsidR="006F7D97" w:rsidRPr="009422C2">
        <w:rPr>
          <w:color w:val="000000"/>
        </w:rPr>
        <w:t>3</w:t>
      </w:r>
      <w:r w:rsidR="00A355F9" w:rsidRPr="009422C2">
        <w:rPr>
          <w:color w:val="000000"/>
        </w:rPr>
        <w:t>)</w:t>
      </w:r>
    </w:p>
    <w:p w14:paraId="60242B01" w14:textId="77777777" w:rsidR="00A355F9" w:rsidRPr="009422C2" w:rsidRDefault="00A355F9" w:rsidP="00EB603F">
      <w:pPr>
        <w:autoSpaceDE w:val="0"/>
        <w:autoSpaceDN w:val="0"/>
        <w:adjustRightInd w:val="0"/>
        <w:spacing w:line="480" w:lineRule="auto"/>
        <w:jc w:val="both"/>
      </w:pPr>
    </w:p>
    <w:p w14:paraId="264F1D49" w14:textId="14AE7B39" w:rsidR="00A355F9" w:rsidRDefault="00A355F9" w:rsidP="00EB603F">
      <w:pPr>
        <w:autoSpaceDE w:val="0"/>
        <w:autoSpaceDN w:val="0"/>
        <w:adjustRightInd w:val="0"/>
        <w:spacing w:line="480" w:lineRule="auto"/>
        <w:jc w:val="both"/>
        <w:rPr>
          <w:color w:val="000000"/>
        </w:rPr>
      </w:pPr>
      <w:r w:rsidRPr="009422C2">
        <w:t>The lack of fit between the narrative presented in KLS</w:t>
      </w:r>
      <w:r w:rsidR="000C1E1E" w:rsidRPr="009422C2">
        <w:t>,</w:t>
      </w:r>
      <w:r w:rsidRPr="009422C2">
        <w:t xml:space="preserve"> and the lived experiences of </w:t>
      </w:r>
      <w:r w:rsidR="00E05EA3">
        <w:t xml:space="preserve">young people </w:t>
      </w:r>
      <w:r w:rsidRPr="009422C2">
        <w:t xml:space="preserve">negotiating situations where the potential of sexual exploitation is tangible, may serve to reduce the impact of the intervention. </w:t>
      </w:r>
      <w:r w:rsidR="00440D3C">
        <w:t xml:space="preserve">Despite </w:t>
      </w:r>
      <w:r w:rsidR="00440D3C" w:rsidRPr="009422C2">
        <w:rPr>
          <w:color w:val="000000"/>
        </w:rPr>
        <w:t xml:space="preserve">the </w:t>
      </w:r>
      <w:r w:rsidR="00440D3C">
        <w:rPr>
          <w:color w:val="000000"/>
        </w:rPr>
        <w:t xml:space="preserve">mandate set in </w:t>
      </w:r>
      <w:r w:rsidR="00440D3C" w:rsidRPr="009422C2">
        <w:rPr>
          <w:color w:val="000000"/>
        </w:rPr>
        <w:t>national guidance to challenge myths and misconceptions about who is perpetrating and experiencing</w:t>
      </w:r>
      <w:r w:rsidR="00440D3C">
        <w:rPr>
          <w:color w:val="000000"/>
        </w:rPr>
        <w:t xml:space="preserve"> CSE, </w:t>
      </w:r>
      <w:r w:rsidRPr="009422C2">
        <w:t>the</w:t>
      </w:r>
      <w:r w:rsidR="00713254">
        <w:t xml:space="preserve"> KLS</w:t>
      </w:r>
      <w:r w:rsidRPr="009422C2">
        <w:t xml:space="preserve"> ‘horror story’ arguably </w:t>
      </w:r>
      <w:r w:rsidR="00D33FB8">
        <w:t xml:space="preserve">ignores the everyday risks that young people face and instead </w:t>
      </w:r>
      <w:r w:rsidRPr="009422C2">
        <w:t xml:space="preserve">prepares </w:t>
      </w:r>
      <w:r w:rsidR="00D33FB8">
        <w:t xml:space="preserve">them </w:t>
      </w:r>
      <w:r w:rsidRPr="009422C2">
        <w:t xml:space="preserve">for a worst-case situation that </w:t>
      </w:r>
      <w:r w:rsidR="00713254">
        <w:t>is unlikely to eventuate</w:t>
      </w:r>
      <w:r w:rsidRPr="009422C2">
        <w:t xml:space="preserve">. </w:t>
      </w:r>
      <w:r w:rsidRPr="009422C2">
        <w:rPr>
          <w:color w:val="000000"/>
        </w:rPr>
        <w:t>It would seem that this juxtaposition arises largely because these are the types of resources which are made available for the team</w:t>
      </w:r>
      <w:r w:rsidR="00713254">
        <w:rPr>
          <w:color w:val="000000"/>
        </w:rPr>
        <w:t xml:space="preserve"> involved in delivery</w:t>
      </w:r>
      <w:r w:rsidRPr="009422C2">
        <w:rPr>
          <w:color w:val="000000"/>
        </w:rPr>
        <w:t>. As Janet</w:t>
      </w:r>
      <w:r w:rsidR="00DB640D">
        <w:rPr>
          <w:color w:val="000000"/>
        </w:rPr>
        <w:t>,</w:t>
      </w:r>
      <w:r w:rsidRPr="009422C2">
        <w:rPr>
          <w:color w:val="000000"/>
        </w:rPr>
        <w:t xml:space="preserve"> </w:t>
      </w:r>
      <w:r w:rsidR="00DB640D">
        <w:rPr>
          <w:color w:val="000000"/>
        </w:rPr>
        <w:t xml:space="preserve">a </w:t>
      </w:r>
      <w:r w:rsidR="00DB640D" w:rsidRPr="009422C2">
        <w:rPr>
          <w:color w:val="000000"/>
        </w:rPr>
        <w:t xml:space="preserve">Prevent CSE worker </w:t>
      </w:r>
      <w:r w:rsidRPr="009422C2">
        <w:rPr>
          <w:color w:val="000000"/>
        </w:rPr>
        <w:t xml:space="preserve">explains:  </w:t>
      </w:r>
    </w:p>
    <w:p w14:paraId="16A9F43D" w14:textId="77777777" w:rsidR="00950FE1" w:rsidRPr="009422C2" w:rsidRDefault="00950FE1" w:rsidP="00EB603F">
      <w:pPr>
        <w:autoSpaceDE w:val="0"/>
        <w:autoSpaceDN w:val="0"/>
        <w:adjustRightInd w:val="0"/>
        <w:spacing w:line="480" w:lineRule="auto"/>
        <w:jc w:val="both"/>
        <w:rPr>
          <w:color w:val="000000"/>
        </w:rPr>
      </w:pPr>
    </w:p>
    <w:p w14:paraId="4423334A" w14:textId="6E2B7A75" w:rsidR="00A355F9" w:rsidRPr="009422C2" w:rsidRDefault="00A355F9" w:rsidP="00EB603F">
      <w:pPr>
        <w:autoSpaceDE w:val="0"/>
        <w:autoSpaceDN w:val="0"/>
        <w:adjustRightInd w:val="0"/>
        <w:spacing w:line="480" w:lineRule="auto"/>
        <w:ind w:left="567" w:right="571"/>
        <w:jc w:val="both"/>
        <w:rPr>
          <w:color w:val="000000"/>
        </w:rPr>
      </w:pPr>
      <w:r w:rsidRPr="009422C2">
        <w:rPr>
          <w:color w:val="000000"/>
        </w:rPr>
        <w:lastRenderedPageBreak/>
        <w:t>‘I think certainly the packages that we have got are very substandard in the sense of it’s kind of a one size fits all which I don’t agree with… I think that</w:t>
      </w:r>
      <w:r w:rsidR="00F9205B">
        <w:rPr>
          <w:color w:val="000000"/>
        </w:rPr>
        <w:t>,</w:t>
      </w:r>
      <w:r w:rsidRPr="009422C2">
        <w:rPr>
          <w:color w:val="000000"/>
        </w:rPr>
        <w:t xml:space="preserve"> you know</w:t>
      </w:r>
      <w:r w:rsidR="00F9205B">
        <w:rPr>
          <w:color w:val="000000"/>
        </w:rPr>
        <w:t>,</w:t>
      </w:r>
      <w:r w:rsidRPr="009422C2">
        <w:rPr>
          <w:color w:val="000000"/>
        </w:rPr>
        <w:t xml:space="preserve"> if we look at children in different geographical areas, di</w:t>
      </w:r>
      <w:r w:rsidR="00713254">
        <w:rPr>
          <w:color w:val="000000"/>
        </w:rPr>
        <w:t xml:space="preserve">fferent issues will affect them. </w:t>
      </w:r>
      <w:r w:rsidRPr="009422C2">
        <w:rPr>
          <w:color w:val="000000"/>
        </w:rPr>
        <w:t>Their risk taking behaviours or things that they might be at risk of in that area of the community might differ from another area. So I think I’m a very firm believer in adapting it to suit the needs of the areas.</w:t>
      </w:r>
      <w:r w:rsidR="00F9205B">
        <w:rPr>
          <w:color w:val="000000"/>
        </w:rPr>
        <w:t xml:space="preserve"> </w:t>
      </w:r>
      <w:r w:rsidRPr="009422C2">
        <w:rPr>
          <w:color w:val="000000"/>
        </w:rPr>
        <w:t>I’m not saying totally chang</w:t>
      </w:r>
      <w:r w:rsidR="00F9205B">
        <w:rPr>
          <w:color w:val="000000"/>
        </w:rPr>
        <w:t>e</w:t>
      </w:r>
      <w:r w:rsidRPr="009422C2">
        <w:rPr>
          <w:color w:val="000000"/>
        </w:rPr>
        <w:t xml:space="preserve"> it, but just sometimes we need to implement different strands in order to m</w:t>
      </w:r>
      <w:r w:rsidR="00DB640D">
        <w:rPr>
          <w:color w:val="000000"/>
        </w:rPr>
        <w:t>ake it specific to their needs’.</w:t>
      </w:r>
    </w:p>
    <w:p w14:paraId="15737973" w14:textId="77777777" w:rsidR="00A355F9" w:rsidRPr="009422C2" w:rsidRDefault="00A355F9" w:rsidP="00EB603F">
      <w:pPr>
        <w:spacing w:line="480" w:lineRule="auto"/>
        <w:jc w:val="both"/>
      </w:pPr>
    </w:p>
    <w:p w14:paraId="0A06E2E8" w14:textId="05438C6B" w:rsidR="00A355F9" w:rsidRPr="009422C2" w:rsidRDefault="00A355F9" w:rsidP="00EB603F">
      <w:pPr>
        <w:spacing w:line="480" w:lineRule="auto"/>
        <w:jc w:val="both"/>
      </w:pPr>
      <w:r w:rsidRPr="009422C2">
        <w:t xml:space="preserve">Janet’s observations about the limits of universal awareness raising are consistent with public health </w:t>
      </w:r>
      <w:r w:rsidR="000C1E1E" w:rsidRPr="009422C2">
        <w:t xml:space="preserve">guidance </w:t>
      </w:r>
      <w:r w:rsidRPr="009422C2">
        <w:t>emphasi</w:t>
      </w:r>
      <w:r w:rsidR="00321F4E">
        <w:t>s</w:t>
      </w:r>
      <w:r w:rsidR="000C1E1E" w:rsidRPr="009422C2">
        <w:t>ing the need to</w:t>
      </w:r>
      <w:r w:rsidRPr="009422C2">
        <w:t xml:space="preserve"> adapt tools and techniques to enhance engagement</w:t>
      </w:r>
      <w:r w:rsidR="000C1E1E" w:rsidRPr="009422C2">
        <w:t xml:space="preserve"> (Public Health England, 2017)</w:t>
      </w:r>
      <w:r w:rsidR="005B5491">
        <w:t xml:space="preserve">. In </w:t>
      </w:r>
      <w:r w:rsidR="006C1204">
        <w:t xml:space="preserve">this instance, the use of </w:t>
      </w:r>
      <w:r w:rsidRPr="009422C2">
        <w:t xml:space="preserve">KLS </w:t>
      </w:r>
      <w:r w:rsidR="005B5491">
        <w:t>as a ‘fear vignette’</w:t>
      </w:r>
      <w:r w:rsidR="006C1204">
        <w:t xml:space="preserve"> was </w:t>
      </w:r>
      <w:r w:rsidR="00F9205B">
        <w:t xml:space="preserve">deliberately </w:t>
      </w:r>
      <w:r w:rsidR="006C1204">
        <w:t xml:space="preserve">intended </w:t>
      </w:r>
      <w:r w:rsidRPr="009422C2">
        <w:t>to shock in order to generate reflection</w:t>
      </w:r>
      <w:r w:rsidR="005B5491">
        <w:t xml:space="preserve"> that </w:t>
      </w:r>
      <w:r w:rsidR="006C1204">
        <w:t xml:space="preserve">may stimulate </w:t>
      </w:r>
      <w:r w:rsidR="005B5491">
        <w:t>modification of</w:t>
      </w:r>
      <w:r w:rsidRPr="009422C2">
        <w:t xml:space="preserve"> risky behaviours where they might exist. While the underpinning logic is consistent with preceding risk awareness campaigns - such as those around HIV/AIDS, drink driving, alcohol consumption and recreational drug taking - asi</w:t>
      </w:r>
      <w:r w:rsidR="005B5491">
        <w:t xml:space="preserve">de from the jarring between KLS </w:t>
      </w:r>
      <w:r w:rsidRPr="009422C2">
        <w:t>and participants’ lifeworlds, there are issues of magnitude and balance to consider. Indeed, these issues were discussed by young people in focus groups, as the three-way exchange below illustrates:</w:t>
      </w:r>
    </w:p>
    <w:p w14:paraId="453BA59D" w14:textId="77777777" w:rsidR="00A355F9" w:rsidRPr="009422C2" w:rsidRDefault="00A355F9" w:rsidP="00EB603F">
      <w:pPr>
        <w:spacing w:line="480" w:lineRule="auto"/>
        <w:jc w:val="both"/>
      </w:pPr>
    </w:p>
    <w:p w14:paraId="1C4D4EE1" w14:textId="77777777" w:rsidR="00A355F9" w:rsidRPr="009422C2" w:rsidRDefault="00A355F9" w:rsidP="00EB603F">
      <w:pPr>
        <w:autoSpaceDE w:val="0"/>
        <w:autoSpaceDN w:val="0"/>
        <w:adjustRightInd w:val="0"/>
        <w:spacing w:line="480" w:lineRule="auto"/>
        <w:ind w:left="567" w:right="571"/>
        <w:jc w:val="both"/>
        <w:rPr>
          <w:color w:val="000000" w:themeColor="text1"/>
        </w:rPr>
      </w:pPr>
      <w:r w:rsidRPr="009422C2">
        <w:rPr>
          <w:color w:val="000000" w:themeColor="text1"/>
        </w:rPr>
        <w:t>Charlie: ‘I think sometimes the stories that you get told are not believable…’</w:t>
      </w:r>
    </w:p>
    <w:p w14:paraId="5CD7D538" w14:textId="77777777" w:rsidR="00A355F9" w:rsidRPr="009422C2" w:rsidRDefault="00A355F9" w:rsidP="00EB603F">
      <w:pPr>
        <w:autoSpaceDE w:val="0"/>
        <w:autoSpaceDN w:val="0"/>
        <w:adjustRightInd w:val="0"/>
        <w:spacing w:line="480" w:lineRule="auto"/>
        <w:ind w:left="567" w:right="571"/>
        <w:jc w:val="both"/>
        <w:rPr>
          <w:color w:val="000000" w:themeColor="text1"/>
        </w:rPr>
      </w:pPr>
      <w:r w:rsidRPr="009422C2">
        <w:rPr>
          <w:color w:val="000000" w:themeColor="text1"/>
        </w:rPr>
        <w:t>Lucy: ‘They’re extreme cases’.</w:t>
      </w:r>
    </w:p>
    <w:p w14:paraId="5F1BAA1F" w14:textId="77777777" w:rsidR="00A355F9" w:rsidRPr="009422C2" w:rsidRDefault="00A355F9" w:rsidP="00EB603F">
      <w:pPr>
        <w:autoSpaceDE w:val="0"/>
        <w:autoSpaceDN w:val="0"/>
        <w:adjustRightInd w:val="0"/>
        <w:spacing w:line="480" w:lineRule="auto"/>
        <w:ind w:left="567" w:right="571"/>
        <w:jc w:val="both"/>
        <w:rPr>
          <w:color w:val="000000" w:themeColor="text1"/>
        </w:rPr>
      </w:pPr>
      <w:r w:rsidRPr="009422C2">
        <w:rPr>
          <w:color w:val="000000" w:themeColor="text1"/>
        </w:rPr>
        <w:t>Charlie: ‘Yes, they’re very extreme, so…’</w:t>
      </w:r>
    </w:p>
    <w:p w14:paraId="435A4CDD" w14:textId="77777777" w:rsidR="00A355F9" w:rsidRPr="009422C2" w:rsidRDefault="00A355F9" w:rsidP="00EB603F">
      <w:pPr>
        <w:autoSpaceDE w:val="0"/>
        <w:autoSpaceDN w:val="0"/>
        <w:adjustRightInd w:val="0"/>
        <w:spacing w:line="480" w:lineRule="auto"/>
        <w:ind w:left="567" w:right="571"/>
        <w:jc w:val="both"/>
        <w:rPr>
          <w:color w:val="000000" w:themeColor="text1"/>
        </w:rPr>
      </w:pPr>
      <w:r w:rsidRPr="009422C2">
        <w:rPr>
          <w:color w:val="000000" w:themeColor="text1"/>
        </w:rPr>
        <w:lastRenderedPageBreak/>
        <w:t>Lucy: ‘Yes, so you can’t always relate to them maybe’.</w:t>
      </w:r>
    </w:p>
    <w:p w14:paraId="7A439FCF" w14:textId="77777777" w:rsidR="00A355F9" w:rsidRPr="009422C2" w:rsidRDefault="00A355F9" w:rsidP="00EB603F">
      <w:pPr>
        <w:autoSpaceDE w:val="0"/>
        <w:autoSpaceDN w:val="0"/>
        <w:adjustRightInd w:val="0"/>
        <w:spacing w:line="480" w:lineRule="auto"/>
        <w:ind w:left="567" w:right="571"/>
        <w:jc w:val="both"/>
        <w:rPr>
          <w:color w:val="000000" w:themeColor="text1"/>
        </w:rPr>
      </w:pPr>
      <w:r w:rsidRPr="009422C2">
        <w:rPr>
          <w:color w:val="000000" w:themeColor="text1"/>
        </w:rPr>
        <w:t>Terri: ‘Yes, so maybe if like they were made a bit more to something that would happen every single day you’d sort of think about it a bit more rather than it being like…’</w:t>
      </w:r>
    </w:p>
    <w:p w14:paraId="0F56CD20" w14:textId="29EA5856" w:rsidR="00A355F9" w:rsidRPr="009422C2" w:rsidRDefault="00A355F9" w:rsidP="00EB603F">
      <w:pPr>
        <w:autoSpaceDE w:val="0"/>
        <w:autoSpaceDN w:val="0"/>
        <w:adjustRightInd w:val="0"/>
        <w:spacing w:line="480" w:lineRule="auto"/>
        <w:ind w:left="567" w:right="571"/>
        <w:jc w:val="both"/>
        <w:rPr>
          <w:color w:val="000000" w:themeColor="text1"/>
        </w:rPr>
      </w:pPr>
      <w:r w:rsidRPr="009422C2">
        <w:rPr>
          <w:color w:val="000000" w:themeColor="text1"/>
        </w:rPr>
        <w:t>Charlie: ‘It’s a bit far away from you, isn’t it?  It’s like oh, I don’t really</w:t>
      </w:r>
      <w:r w:rsidR="00F9205B">
        <w:rPr>
          <w:color w:val="000000" w:themeColor="text1"/>
        </w:rPr>
        <w:t xml:space="preserve"> </w:t>
      </w:r>
      <w:r w:rsidRPr="009422C2">
        <w:rPr>
          <w:color w:val="000000" w:themeColor="text1"/>
        </w:rPr>
        <w:t>… I can’t relate to that’.</w:t>
      </w:r>
    </w:p>
    <w:p w14:paraId="10080118" w14:textId="1720FBBF" w:rsidR="00A355F9" w:rsidRPr="009422C2" w:rsidRDefault="00A355F9" w:rsidP="00EB603F">
      <w:pPr>
        <w:autoSpaceDE w:val="0"/>
        <w:autoSpaceDN w:val="0"/>
        <w:adjustRightInd w:val="0"/>
        <w:spacing w:line="480" w:lineRule="auto"/>
        <w:ind w:left="567" w:right="571"/>
        <w:jc w:val="both"/>
        <w:rPr>
          <w:color w:val="000000" w:themeColor="text1"/>
        </w:rPr>
      </w:pPr>
      <w:r w:rsidRPr="009422C2">
        <w:rPr>
          <w:color w:val="000000" w:themeColor="text1"/>
        </w:rPr>
        <w:t xml:space="preserve">Terri: ‘Yes, because some… </w:t>
      </w:r>
      <w:r w:rsidR="006C1204">
        <w:rPr>
          <w:color w:val="000000" w:themeColor="text1"/>
        </w:rPr>
        <w:t>i</w:t>
      </w:r>
      <w:r w:rsidRPr="009422C2">
        <w:rPr>
          <w:color w:val="000000" w:themeColor="text1"/>
        </w:rPr>
        <w:t>t sounds a bit bad</w:t>
      </w:r>
      <w:r w:rsidR="006C1204">
        <w:rPr>
          <w:color w:val="000000" w:themeColor="text1"/>
        </w:rPr>
        <w:t xml:space="preserve">… </w:t>
      </w:r>
      <w:r w:rsidRPr="009422C2">
        <w:rPr>
          <w:color w:val="000000" w:themeColor="text1"/>
        </w:rPr>
        <w:t>but sometimes the stories that we get told you question whether they’re just made up to…’</w:t>
      </w:r>
    </w:p>
    <w:p w14:paraId="1CA92E2C" w14:textId="4F5CECA8" w:rsidR="00A355F9" w:rsidRPr="009422C2" w:rsidRDefault="00A355F9" w:rsidP="00704DBA">
      <w:pPr>
        <w:autoSpaceDE w:val="0"/>
        <w:autoSpaceDN w:val="0"/>
        <w:adjustRightInd w:val="0"/>
        <w:spacing w:line="480" w:lineRule="auto"/>
        <w:ind w:left="567" w:right="571"/>
        <w:jc w:val="both"/>
        <w:rPr>
          <w:color w:val="000000"/>
        </w:rPr>
      </w:pPr>
      <w:r w:rsidRPr="009422C2">
        <w:rPr>
          <w:color w:val="000000" w:themeColor="text1"/>
        </w:rPr>
        <w:t xml:space="preserve">Lucy: ‘To scare </w:t>
      </w:r>
      <w:r w:rsidRPr="009422C2">
        <w:rPr>
          <w:color w:val="000000"/>
        </w:rPr>
        <w:t xml:space="preserve">you or something’. </w:t>
      </w:r>
    </w:p>
    <w:p w14:paraId="215CFC71" w14:textId="2E772678" w:rsidR="00A355F9" w:rsidRPr="009422C2" w:rsidRDefault="005B5491" w:rsidP="00EB603F">
      <w:pPr>
        <w:autoSpaceDE w:val="0"/>
        <w:autoSpaceDN w:val="0"/>
        <w:adjustRightInd w:val="0"/>
        <w:spacing w:line="480" w:lineRule="auto"/>
        <w:ind w:left="567" w:right="571" w:hanging="730"/>
        <w:jc w:val="right"/>
        <w:rPr>
          <w:color w:val="000000"/>
        </w:rPr>
      </w:pPr>
      <w:r>
        <w:rPr>
          <w:color w:val="000000"/>
        </w:rPr>
        <w:t>(Focus G</w:t>
      </w:r>
      <w:r w:rsidR="00A355F9" w:rsidRPr="009422C2">
        <w:rPr>
          <w:color w:val="000000"/>
        </w:rPr>
        <w:t>roup 1)</w:t>
      </w:r>
    </w:p>
    <w:p w14:paraId="074D4635" w14:textId="77777777" w:rsidR="00A355F9" w:rsidRPr="009422C2" w:rsidRDefault="00A355F9" w:rsidP="00EB603F">
      <w:pPr>
        <w:spacing w:line="480" w:lineRule="auto"/>
        <w:jc w:val="both"/>
      </w:pPr>
    </w:p>
    <w:p w14:paraId="3A8B19D9" w14:textId="789091FD" w:rsidR="00A355F9" w:rsidRPr="009422C2" w:rsidRDefault="00D33FB8" w:rsidP="00EB603F">
      <w:pPr>
        <w:spacing w:line="480" w:lineRule="auto"/>
        <w:jc w:val="both"/>
      </w:pPr>
      <w:r>
        <w:t xml:space="preserve">This discussion illustrates both a degree of </w:t>
      </w:r>
      <w:r w:rsidR="00A355F9" w:rsidRPr="009422C2">
        <w:rPr>
          <w:color w:val="000000"/>
        </w:rPr>
        <w:t xml:space="preserve">self-reflexivity and risk consciousness moulded within the ambit of </w:t>
      </w:r>
      <w:r w:rsidR="006C1204">
        <w:rPr>
          <w:color w:val="000000"/>
        </w:rPr>
        <w:t xml:space="preserve">both </w:t>
      </w:r>
      <w:r w:rsidR="00A355F9" w:rsidRPr="009422C2">
        <w:rPr>
          <w:color w:val="000000"/>
        </w:rPr>
        <w:t>personal</w:t>
      </w:r>
      <w:r w:rsidR="00F9205B">
        <w:rPr>
          <w:color w:val="000000"/>
        </w:rPr>
        <w:t xml:space="preserve"> and shared</w:t>
      </w:r>
      <w:r w:rsidR="00A355F9" w:rsidRPr="009422C2">
        <w:rPr>
          <w:color w:val="000000"/>
        </w:rPr>
        <w:t xml:space="preserve"> lifeworlds. </w:t>
      </w:r>
      <w:r w:rsidR="00A355F9" w:rsidRPr="009422C2">
        <w:t xml:space="preserve">At a practical level, </w:t>
      </w:r>
      <w:r>
        <w:t>it</w:t>
      </w:r>
      <w:r w:rsidRPr="009422C2">
        <w:t xml:space="preserve"> </w:t>
      </w:r>
      <w:r w:rsidR="00A355F9" w:rsidRPr="009422C2">
        <w:t>suggest</w:t>
      </w:r>
      <w:r>
        <w:t>s</w:t>
      </w:r>
      <w:r w:rsidR="00A355F9" w:rsidRPr="009422C2">
        <w:t xml:space="preserve"> awareness that KLS is an ‘extreme case’ and that the probability of being involved in such a </w:t>
      </w:r>
      <w:r w:rsidR="00F9205B">
        <w:t xml:space="preserve">dramatic </w:t>
      </w:r>
      <w:r w:rsidR="00A355F9" w:rsidRPr="009422C2">
        <w:t xml:space="preserve">episode is low. It is also appreciated that the narrative is intended to shock. Nonetheless, Charlie’s observation that the story is ‘a bit far away from you’, coupled with Terri’s concern that the </w:t>
      </w:r>
      <w:r w:rsidR="005B5491">
        <w:t xml:space="preserve">appalling </w:t>
      </w:r>
      <w:r w:rsidR="00A355F9" w:rsidRPr="009422C2">
        <w:t xml:space="preserve">nature of the case may lead some to question whether </w:t>
      </w:r>
      <w:r w:rsidR="005B5491">
        <w:t>it was fictional</w:t>
      </w:r>
      <w:r w:rsidR="00A355F9" w:rsidRPr="009422C2">
        <w:t xml:space="preserve">, suggest that there are limitations </w:t>
      </w:r>
      <w:r w:rsidR="006C1204">
        <w:t xml:space="preserve">to the shock tactic </w:t>
      </w:r>
      <w:r w:rsidR="00A355F9" w:rsidRPr="009422C2">
        <w:t>approach adopted</w:t>
      </w:r>
      <w:r w:rsidR="00F9205B">
        <w:t xml:space="preserve"> by practitioners</w:t>
      </w:r>
      <w:r w:rsidR="00A355F9" w:rsidRPr="009422C2">
        <w:t>. What is potentially</w:t>
      </w:r>
      <w:r w:rsidR="005B5491">
        <w:t xml:space="preserve"> being</w:t>
      </w:r>
      <w:r w:rsidR="00A355F9" w:rsidRPr="009422C2">
        <w:t xml:space="preserve"> </w:t>
      </w:r>
      <w:r w:rsidR="005B5491">
        <w:t xml:space="preserve">elided is </w:t>
      </w:r>
      <w:r w:rsidR="00A355F9" w:rsidRPr="009422C2">
        <w:t xml:space="preserve">the complexities and the dynamics of more </w:t>
      </w:r>
      <w:r w:rsidR="00F9205B">
        <w:t xml:space="preserve">routine </w:t>
      </w:r>
      <w:r w:rsidR="00A355F9" w:rsidRPr="009422C2">
        <w:t>forms of sexual exploitation experienced by young people and advice regarding how they might best negotiate t</w:t>
      </w:r>
      <w:r w:rsidR="006C1204">
        <w:t>angible ambiguities</w:t>
      </w:r>
      <w:r w:rsidR="00A355F9" w:rsidRPr="009422C2">
        <w:t>. In as much as ‘extreme cases’ are designed to capture attention and generate reflection on personal practices, they may also produce iatrogenic effects in terms of young people expressing experiential ‘distance’ and questioning their credibility.</w:t>
      </w:r>
    </w:p>
    <w:p w14:paraId="056B7553" w14:textId="77777777" w:rsidR="00A355F9" w:rsidRPr="009422C2" w:rsidRDefault="00A355F9" w:rsidP="00EB603F">
      <w:pPr>
        <w:spacing w:line="480" w:lineRule="auto"/>
        <w:jc w:val="both"/>
      </w:pPr>
    </w:p>
    <w:p w14:paraId="0EF97485" w14:textId="6B591D71" w:rsidR="00A355F9" w:rsidRPr="00467269" w:rsidRDefault="00A355F9" w:rsidP="00EB603F">
      <w:pPr>
        <w:autoSpaceDE w:val="0"/>
        <w:autoSpaceDN w:val="0"/>
        <w:adjustRightInd w:val="0"/>
        <w:spacing w:line="480" w:lineRule="auto"/>
        <w:jc w:val="both"/>
        <w:rPr>
          <w:i/>
        </w:rPr>
      </w:pPr>
      <w:r w:rsidRPr="00950FE1">
        <w:rPr>
          <w:i/>
        </w:rPr>
        <w:t>‘</w:t>
      </w:r>
      <w:r w:rsidR="00100E2E" w:rsidRPr="00950FE1">
        <w:rPr>
          <w:i/>
        </w:rPr>
        <w:t xml:space="preserve">Just </w:t>
      </w:r>
      <w:r w:rsidR="006C1204">
        <w:rPr>
          <w:i/>
        </w:rPr>
        <w:t>D</w:t>
      </w:r>
      <w:r w:rsidRPr="00950FE1">
        <w:rPr>
          <w:i/>
        </w:rPr>
        <w:t xml:space="preserve">on’t </w:t>
      </w:r>
      <w:r w:rsidR="006C1204">
        <w:rPr>
          <w:i/>
        </w:rPr>
        <w:t>D</w:t>
      </w:r>
      <w:r w:rsidRPr="00950FE1">
        <w:rPr>
          <w:i/>
        </w:rPr>
        <w:t xml:space="preserve">o </w:t>
      </w:r>
      <w:r w:rsidR="006C1204">
        <w:rPr>
          <w:i/>
        </w:rPr>
        <w:t>I</w:t>
      </w:r>
      <w:r w:rsidRPr="00950FE1">
        <w:rPr>
          <w:i/>
        </w:rPr>
        <w:t>t’:</w:t>
      </w:r>
      <w:r w:rsidRPr="00467269">
        <w:rPr>
          <w:i/>
        </w:rPr>
        <w:t xml:space="preserve"> </w:t>
      </w:r>
      <w:r w:rsidR="00382799" w:rsidRPr="00467269">
        <w:rPr>
          <w:i/>
        </w:rPr>
        <w:t xml:space="preserve">Considering the </w:t>
      </w:r>
      <w:r w:rsidR="0082464E">
        <w:rPr>
          <w:i/>
        </w:rPr>
        <w:t xml:space="preserve">Relevance </w:t>
      </w:r>
      <w:r w:rsidR="00382799" w:rsidRPr="00467269">
        <w:rPr>
          <w:i/>
        </w:rPr>
        <w:t>of Strategies</w:t>
      </w:r>
      <w:r w:rsidR="00AD269E" w:rsidRPr="00467269">
        <w:rPr>
          <w:i/>
        </w:rPr>
        <w:t xml:space="preserve"> of Deterrence</w:t>
      </w:r>
      <w:r w:rsidRPr="00467269">
        <w:rPr>
          <w:i/>
        </w:rPr>
        <w:t xml:space="preserve"> </w:t>
      </w:r>
      <w:r w:rsidR="0082464E">
        <w:rPr>
          <w:i/>
        </w:rPr>
        <w:t>to the Lifeworlds of Young People</w:t>
      </w:r>
    </w:p>
    <w:p w14:paraId="45EA743D" w14:textId="447A0E31" w:rsidR="00A355F9" w:rsidRDefault="00A355F9" w:rsidP="00EB603F">
      <w:pPr>
        <w:autoSpaceDE w:val="0"/>
        <w:autoSpaceDN w:val="0"/>
        <w:adjustRightInd w:val="0"/>
        <w:spacing w:line="480" w:lineRule="auto"/>
        <w:jc w:val="both"/>
        <w:rPr>
          <w:color w:val="000000"/>
        </w:rPr>
      </w:pPr>
      <w:r w:rsidRPr="009422C2">
        <w:t>The utilisation of KLS as a central plank in delivering the message to the audience can be indexed to a broader strategy of deterrence, designed to discourage ‘risky practices’</w:t>
      </w:r>
      <w:r w:rsidR="00BE63D0" w:rsidRPr="009422C2">
        <w:t>,</w:t>
      </w:r>
      <w:r w:rsidRPr="009422C2">
        <w:t xml:space="preserve"> through instilling fear of social and </w:t>
      </w:r>
      <w:r w:rsidR="00100E2E">
        <w:t xml:space="preserve">criminal </w:t>
      </w:r>
      <w:r w:rsidRPr="009422C2">
        <w:t xml:space="preserve">consequences. </w:t>
      </w:r>
      <w:r w:rsidRPr="009422C2">
        <w:rPr>
          <w:color w:val="000000"/>
        </w:rPr>
        <w:t xml:space="preserve">While practitioners delivering activities were </w:t>
      </w:r>
      <w:r w:rsidR="006C1204">
        <w:rPr>
          <w:color w:val="000000"/>
        </w:rPr>
        <w:t xml:space="preserve">clearly </w:t>
      </w:r>
      <w:r w:rsidRPr="009422C2">
        <w:rPr>
          <w:color w:val="000000"/>
        </w:rPr>
        <w:t xml:space="preserve">committed to the policy aims of dispelling prevalent myths about CSE and raising awareness among young people about the nature of the problem, their communications were bound not only by the resources and materials available, but also by the strictures of legislation. To this end, </w:t>
      </w:r>
      <w:r w:rsidR="00100E2E">
        <w:rPr>
          <w:color w:val="000000"/>
        </w:rPr>
        <w:t xml:space="preserve">the communications of </w:t>
      </w:r>
      <w:r w:rsidRPr="009422C2">
        <w:rPr>
          <w:color w:val="000000"/>
        </w:rPr>
        <w:t xml:space="preserve">practitioners were deliberately bracing in terms of spelling out the </w:t>
      </w:r>
      <w:r w:rsidR="00100E2E" w:rsidRPr="00100E2E">
        <w:rPr>
          <w:color w:val="000000"/>
        </w:rPr>
        <w:t>penalties</w:t>
      </w:r>
      <w:r w:rsidRPr="009422C2">
        <w:rPr>
          <w:color w:val="000000"/>
        </w:rPr>
        <w:t xml:space="preserve"> for young people</w:t>
      </w:r>
      <w:r w:rsidR="0073262F">
        <w:rPr>
          <w:color w:val="000000"/>
        </w:rPr>
        <w:t xml:space="preserve"> under </w:t>
      </w:r>
      <w:r w:rsidR="003E2C04">
        <w:rPr>
          <w:color w:val="000000"/>
        </w:rPr>
        <w:t xml:space="preserve">the age of </w:t>
      </w:r>
      <w:r w:rsidR="0073262F">
        <w:rPr>
          <w:color w:val="000000"/>
        </w:rPr>
        <w:t>18</w:t>
      </w:r>
      <w:r w:rsidRPr="009422C2">
        <w:rPr>
          <w:color w:val="000000"/>
        </w:rPr>
        <w:t xml:space="preserve"> involved in peer-to-peer practices such as </w:t>
      </w:r>
      <w:r w:rsidR="00F56195">
        <w:rPr>
          <w:color w:val="000000"/>
        </w:rPr>
        <w:t xml:space="preserve">sharing </w:t>
      </w:r>
      <w:r w:rsidRPr="009422C2">
        <w:rPr>
          <w:color w:val="000000"/>
        </w:rPr>
        <w:t xml:space="preserve">graphic pictures: </w:t>
      </w:r>
    </w:p>
    <w:p w14:paraId="014525DF" w14:textId="77777777" w:rsidR="00950FE1" w:rsidRPr="00C238BE" w:rsidRDefault="00950FE1" w:rsidP="00EB603F">
      <w:pPr>
        <w:autoSpaceDE w:val="0"/>
        <w:autoSpaceDN w:val="0"/>
        <w:adjustRightInd w:val="0"/>
        <w:spacing w:line="480" w:lineRule="auto"/>
        <w:jc w:val="both"/>
      </w:pPr>
    </w:p>
    <w:p w14:paraId="4E7A1B2E" w14:textId="310901EB" w:rsidR="00A355F9" w:rsidRPr="009422C2" w:rsidRDefault="00A355F9" w:rsidP="00EB603F">
      <w:pPr>
        <w:autoSpaceDE w:val="0"/>
        <w:autoSpaceDN w:val="0"/>
        <w:adjustRightInd w:val="0"/>
        <w:spacing w:line="480" w:lineRule="auto"/>
        <w:ind w:left="567" w:right="571"/>
        <w:jc w:val="both"/>
        <w:rPr>
          <w:color w:val="000000" w:themeColor="text1"/>
        </w:rPr>
      </w:pPr>
      <w:r w:rsidRPr="009422C2">
        <w:rPr>
          <w:color w:val="000000" w:themeColor="text1"/>
        </w:rPr>
        <w:t>‘I mean certainly with the education packages when we’re talking about indecent images, we obviously make the young people aware that potentially they could be committing offences if they’re sending indecent images or receiving indecent images of themselves, which potentially co</w:t>
      </w:r>
      <w:r w:rsidR="00C238BE">
        <w:rPr>
          <w:color w:val="000000" w:themeColor="text1"/>
        </w:rPr>
        <w:t>uld make them an offender’ (Claire</w:t>
      </w:r>
      <w:r w:rsidRPr="009422C2">
        <w:rPr>
          <w:color w:val="000000" w:themeColor="text1"/>
        </w:rPr>
        <w:t xml:space="preserve">, PCSO worker). </w:t>
      </w:r>
    </w:p>
    <w:p w14:paraId="3D719771" w14:textId="77777777" w:rsidR="00A355F9" w:rsidRPr="009422C2" w:rsidRDefault="00A355F9" w:rsidP="00EB603F">
      <w:pPr>
        <w:autoSpaceDE w:val="0"/>
        <w:autoSpaceDN w:val="0"/>
        <w:adjustRightInd w:val="0"/>
        <w:spacing w:line="480" w:lineRule="auto"/>
        <w:ind w:left="567" w:right="571"/>
        <w:jc w:val="both"/>
        <w:rPr>
          <w:color w:val="000000" w:themeColor="text1"/>
        </w:rPr>
      </w:pPr>
    </w:p>
    <w:p w14:paraId="49CB9AD3" w14:textId="425F1CEA" w:rsidR="00A355F9" w:rsidRPr="009422C2" w:rsidRDefault="00A355F9" w:rsidP="00EB603F">
      <w:pPr>
        <w:autoSpaceDE w:val="0"/>
        <w:autoSpaceDN w:val="0"/>
        <w:adjustRightInd w:val="0"/>
        <w:spacing w:line="480" w:lineRule="auto"/>
        <w:jc w:val="both"/>
        <w:rPr>
          <w:color w:val="000000" w:themeColor="text1"/>
        </w:rPr>
      </w:pPr>
      <w:r w:rsidRPr="009422C2">
        <w:rPr>
          <w:color w:val="000000" w:themeColor="text1"/>
        </w:rPr>
        <w:t xml:space="preserve">In as much as such information is consistent with current legislation, it places a clear weight of responsibility on young people to avoid ‘risky’ practices that break the law. Zara, explains her understanding of the key messages </w:t>
      </w:r>
      <w:r w:rsidR="00100E2E">
        <w:rPr>
          <w:color w:val="000000" w:themeColor="text1"/>
        </w:rPr>
        <w:t xml:space="preserve">regarding circulation of unclothed images </w:t>
      </w:r>
      <w:r w:rsidRPr="009422C2">
        <w:rPr>
          <w:color w:val="000000" w:themeColor="text1"/>
        </w:rPr>
        <w:t xml:space="preserve">below: </w:t>
      </w:r>
    </w:p>
    <w:p w14:paraId="22FF6327" w14:textId="77777777" w:rsidR="00A355F9" w:rsidRPr="009422C2" w:rsidRDefault="00A355F9" w:rsidP="00EB603F">
      <w:pPr>
        <w:autoSpaceDE w:val="0"/>
        <w:autoSpaceDN w:val="0"/>
        <w:adjustRightInd w:val="0"/>
        <w:spacing w:line="480" w:lineRule="auto"/>
        <w:jc w:val="both"/>
        <w:rPr>
          <w:color w:val="000000" w:themeColor="text1"/>
        </w:rPr>
      </w:pPr>
    </w:p>
    <w:p w14:paraId="500D88C5" w14:textId="41C8391F" w:rsidR="00100E2E" w:rsidRDefault="00A355F9" w:rsidP="00EB603F">
      <w:pPr>
        <w:autoSpaceDE w:val="0"/>
        <w:autoSpaceDN w:val="0"/>
        <w:adjustRightInd w:val="0"/>
        <w:spacing w:line="480" w:lineRule="auto"/>
        <w:ind w:left="567" w:right="713"/>
        <w:jc w:val="both"/>
        <w:rPr>
          <w:color w:val="000000" w:themeColor="text1"/>
        </w:rPr>
      </w:pPr>
      <w:r w:rsidRPr="009422C2">
        <w:rPr>
          <w:color w:val="000000" w:themeColor="text1"/>
        </w:rPr>
        <w:lastRenderedPageBreak/>
        <w:t>‘Pictures? Don’t send them of yourself and don’t receive them. If you receive them, get rid of them because even if you see it by accident, you could still get in trouble for it’</w:t>
      </w:r>
      <w:r w:rsidR="00100E2E">
        <w:rPr>
          <w:color w:val="000000" w:themeColor="text1"/>
        </w:rPr>
        <w:t>.</w:t>
      </w:r>
      <w:r w:rsidRPr="009422C2">
        <w:rPr>
          <w:color w:val="000000" w:themeColor="text1"/>
        </w:rPr>
        <w:t xml:space="preserve"> </w:t>
      </w:r>
    </w:p>
    <w:p w14:paraId="3A8B821F" w14:textId="27F3747A" w:rsidR="00A355F9" w:rsidRPr="009422C2" w:rsidRDefault="00100E2E" w:rsidP="00100E2E">
      <w:pPr>
        <w:autoSpaceDE w:val="0"/>
        <w:autoSpaceDN w:val="0"/>
        <w:adjustRightInd w:val="0"/>
        <w:spacing w:line="480" w:lineRule="auto"/>
        <w:ind w:left="5760" w:right="713"/>
        <w:jc w:val="both"/>
        <w:rPr>
          <w:color w:val="000000" w:themeColor="text1"/>
        </w:rPr>
      </w:pPr>
      <w:r>
        <w:rPr>
          <w:color w:val="000000" w:themeColor="text1"/>
        </w:rPr>
        <w:t xml:space="preserve">    (</w:t>
      </w:r>
      <w:r w:rsidR="006F7D97" w:rsidRPr="009422C2">
        <w:rPr>
          <w:color w:val="000000" w:themeColor="text1"/>
        </w:rPr>
        <w:t>F</w:t>
      </w:r>
      <w:r>
        <w:rPr>
          <w:color w:val="000000" w:themeColor="text1"/>
        </w:rPr>
        <w:t>ocus G</w:t>
      </w:r>
      <w:r w:rsidR="00A355F9" w:rsidRPr="009422C2">
        <w:rPr>
          <w:color w:val="000000" w:themeColor="text1"/>
        </w:rPr>
        <w:t xml:space="preserve">roup </w:t>
      </w:r>
      <w:r w:rsidR="006F7D97" w:rsidRPr="009422C2">
        <w:rPr>
          <w:color w:val="000000" w:themeColor="text1"/>
        </w:rPr>
        <w:t>4</w:t>
      </w:r>
      <w:r>
        <w:rPr>
          <w:color w:val="000000" w:themeColor="text1"/>
        </w:rPr>
        <w:t>)</w:t>
      </w:r>
    </w:p>
    <w:p w14:paraId="150BA685" w14:textId="77777777" w:rsidR="00A355F9" w:rsidRPr="009422C2" w:rsidRDefault="00A355F9" w:rsidP="00EB603F">
      <w:pPr>
        <w:autoSpaceDE w:val="0"/>
        <w:autoSpaceDN w:val="0"/>
        <w:adjustRightInd w:val="0"/>
        <w:spacing w:line="480" w:lineRule="auto"/>
        <w:ind w:right="713"/>
        <w:jc w:val="both"/>
        <w:rPr>
          <w:color w:val="000000" w:themeColor="text1"/>
        </w:rPr>
      </w:pPr>
    </w:p>
    <w:p w14:paraId="7B000C30" w14:textId="2634F200" w:rsidR="00A355F9" w:rsidRPr="009422C2" w:rsidRDefault="00100E2E" w:rsidP="00EB603F">
      <w:pPr>
        <w:autoSpaceDE w:val="0"/>
        <w:autoSpaceDN w:val="0"/>
        <w:adjustRightInd w:val="0"/>
        <w:spacing w:line="480" w:lineRule="auto"/>
        <w:ind w:right="4"/>
        <w:jc w:val="both"/>
        <w:rPr>
          <w:color w:val="000000" w:themeColor="text1"/>
        </w:rPr>
      </w:pPr>
      <w:r>
        <w:rPr>
          <w:color w:val="000000" w:themeColor="text1"/>
        </w:rPr>
        <w:t>These messages of deterre</w:t>
      </w:r>
      <w:r w:rsidR="00A355F9" w:rsidRPr="009422C2">
        <w:rPr>
          <w:color w:val="000000" w:themeColor="text1"/>
        </w:rPr>
        <w:t>nce were also communicated to parents of children found to be in pos</w:t>
      </w:r>
      <w:r>
        <w:rPr>
          <w:color w:val="000000" w:themeColor="text1"/>
        </w:rPr>
        <w:t>session of sexual images. A</w:t>
      </w:r>
      <w:r w:rsidR="00A355F9" w:rsidRPr="009422C2">
        <w:rPr>
          <w:color w:val="000000" w:themeColor="text1"/>
        </w:rPr>
        <w:t xml:space="preserve">s Emma </w:t>
      </w:r>
      <w:r>
        <w:rPr>
          <w:color w:val="000000" w:themeColor="text1"/>
        </w:rPr>
        <w:t xml:space="preserve">explains, after </w:t>
      </w:r>
      <w:r w:rsidR="00A355F9" w:rsidRPr="009422C2">
        <w:rPr>
          <w:color w:val="000000" w:themeColor="text1"/>
        </w:rPr>
        <w:t>reporting her daughter for sending a sexual image to a boy she knew, the communication from the police pulled no punches:</w:t>
      </w:r>
    </w:p>
    <w:p w14:paraId="4BE07F67" w14:textId="77777777" w:rsidR="00A355F9" w:rsidRPr="009422C2" w:rsidRDefault="00A355F9" w:rsidP="00EB603F">
      <w:pPr>
        <w:autoSpaceDE w:val="0"/>
        <w:autoSpaceDN w:val="0"/>
        <w:adjustRightInd w:val="0"/>
        <w:spacing w:line="480" w:lineRule="auto"/>
        <w:ind w:right="713"/>
        <w:jc w:val="both"/>
        <w:rPr>
          <w:color w:val="000000" w:themeColor="text1"/>
        </w:rPr>
      </w:pPr>
    </w:p>
    <w:p w14:paraId="3AD21F49" w14:textId="55E51AAB" w:rsidR="00A355F9" w:rsidRDefault="00A355F9" w:rsidP="00C238BE">
      <w:pPr>
        <w:autoSpaceDE w:val="0"/>
        <w:autoSpaceDN w:val="0"/>
        <w:adjustRightInd w:val="0"/>
        <w:spacing w:line="480" w:lineRule="auto"/>
        <w:ind w:left="567" w:right="571"/>
        <w:jc w:val="both"/>
        <w:rPr>
          <w:color w:val="000000" w:themeColor="text1"/>
        </w:rPr>
      </w:pPr>
      <w:r w:rsidRPr="009422C2">
        <w:rPr>
          <w:color w:val="000000" w:themeColor="text1"/>
        </w:rPr>
        <w:t>‘The police said to her: “Do you realise what you’ve done? If the image goes any further, you need to appreciate your actions</w:t>
      </w:r>
      <w:r w:rsidR="00732B47">
        <w:rPr>
          <w:color w:val="000000" w:themeColor="text1"/>
        </w:rPr>
        <w:t>”</w:t>
      </w:r>
      <w:r w:rsidRPr="009422C2">
        <w:rPr>
          <w:color w:val="000000" w:themeColor="text1"/>
        </w:rPr>
        <w:t>’</w:t>
      </w:r>
      <w:r w:rsidR="00732B47">
        <w:rPr>
          <w:color w:val="000000" w:themeColor="text1"/>
        </w:rPr>
        <w:t>.</w:t>
      </w:r>
    </w:p>
    <w:p w14:paraId="720C0A93" w14:textId="77777777" w:rsidR="00C238BE" w:rsidRPr="009422C2" w:rsidRDefault="00C238BE" w:rsidP="00C238BE">
      <w:pPr>
        <w:autoSpaceDE w:val="0"/>
        <w:autoSpaceDN w:val="0"/>
        <w:adjustRightInd w:val="0"/>
        <w:spacing w:line="480" w:lineRule="auto"/>
        <w:ind w:left="567" w:right="571"/>
        <w:jc w:val="both"/>
        <w:rPr>
          <w:color w:val="000000" w:themeColor="text1"/>
        </w:rPr>
      </w:pPr>
    </w:p>
    <w:p w14:paraId="2A07032C" w14:textId="268F302E" w:rsidR="00A355F9" w:rsidRPr="009422C2" w:rsidRDefault="00A355F9" w:rsidP="00EB603F">
      <w:pPr>
        <w:autoSpaceDE w:val="0"/>
        <w:autoSpaceDN w:val="0"/>
        <w:adjustRightInd w:val="0"/>
        <w:spacing w:line="480" w:lineRule="auto"/>
        <w:ind w:right="4"/>
        <w:jc w:val="both"/>
        <w:rPr>
          <w:color w:val="000000" w:themeColor="text1"/>
        </w:rPr>
      </w:pPr>
      <w:r w:rsidRPr="009422C2">
        <w:rPr>
          <w:color w:val="000000" w:themeColor="text1"/>
        </w:rPr>
        <w:t xml:space="preserve">As these observations show, messages regarding the deleterious consequences of being involved in the sharing of </w:t>
      </w:r>
      <w:r w:rsidR="00FC7D00" w:rsidRPr="009422C2">
        <w:rPr>
          <w:color w:val="000000" w:themeColor="text1"/>
        </w:rPr>
        <w:t>sexual</w:t>
      </w:r>
      <w:r w:rsidRPr="009422C2">
        <w:rPr>
          <w:color w:val="000000" w:themeColor="text1"/>
        </w:rPr>
        <w:t xml:space="preserve"> images are unambiguous and, moreover, resoundingly understood. Thus, from </w:t>
      </w:r>
      <w:r w:rsidR="00950FE1">
        <w:rPr>
          <w:color w:val="000000" w:themeColor="text1"/>
        </w:rPr>
        <w:t>one</w:t>
      </w:r>
      <w:r w:rsidR="00100E2E">
        <w:rPr>
          <w:color w:val="000000" w:themeColor="text1"/>
        </w:rPr>
        <w:t xml:space="preserve"> </w:t>
      </w:r>
      <w:r w:rsidR="00950FE1">
        <w:rPr>
          <w:color w:val="000000" w:themeColor="text1"/>
        </w:rPr>
        <w:t>perspective</w:t>
      </w:r>
      <w:r w:rsidRPr="009422C2">
        <w:rPr>
          <w:color w:val="000000" w:themeColor="text1"/>
        </w:rPr>
        <w:t xml:space="preserve">, the ambitions of the initiative to raise consciousness around the dangers of sharing </w:t>
      </w:r>
      <w:r w:rsidR="00FC7D00" w:rsidRPr="009422C2">
        <w:rPr>
          <w:color w:val="000000" w:themeColor="text1"/>
        </w:rPr>
        <w:t xml:space="preserve">sexual </w:t>
      </w:r>
      <w:r w:rsidRPr="009422C2">
        <w:rPr>
          <w:color w:val="000000" w:themeColor="text1"/>
        </w:rPr>
        <w:t xml:space="preserve">images were </w:t>
      </w:r>
      <w:r w:rsidR="00C238BE" w:rsidRPr="00C238BE">
        <w:rPr>
          <w:color w:val="000000" w:themeColor="text1"/>
        </w:rPr>
        <w:t>effective</w:t>
      </w:r>
      <w:r w:rsidRPr="009422C2">
        <w:rPr>
          <w:color w:val="000000" w:themeColor="text1"/>
        </w:rPr>
        <w:t xml:space="preserve">. Nevertheless, </w:t>
      </w:r>
      <w:r w:rsidR="00100E2E">
        <w:rPr>
          <w:color w:val="000000" w:themeColor="text1"/>
        </w:rPr>
        <w:t xml:space="preserve">the </w:t>
      </w:r>
      <w:r w:rsidR="00732B47">
        <w:rPr>
          <w:color w:val="000000" w:themeColor="text1"/>
        </w:rPr>
        <w:t xml:space="preserve">musings </w:t>
      </w:r>
      <w:r w:rsidR="00100E2E">
        <w:rPr>
          <w:color w:val="000000" w:themeColor="text1"/>
        </w:rPr>
        <w:t xml:space="preserve">of </w:t>
      </w:r>
      <w:r w:rsidRPr="009422C2">
        <w:rPr>
          <w:color w:val="000000" w:themeColor="text1"/>
        </w:rPr>
        <w:t xml:space="preserve">young people that we spoke with indicate that further support and </w:t>
      </w:r>
      <w:r w:rsidRPr="009422C2">
        <w:t xml:space="preserve">greater </w:t>
      </w:r>
      <w:r w:rsidR="006C1204">
        <w:t xml:space="preserve">post factum </w:t>
      </w:r>
      <w:r w:rsidRPr="009422C2">
        <w:t xml:space="preserve">details about how to </w:t>
      </w:r>
      <w:r w:rsidR="00100E2E">
        <w:t xml:space="preserve">practically </w:t>
      </w:r>
      <w:r w:rsidRPr="009422C2">
        <w:t>manage tricky situations in which sexual images have b</w:t>
      </w:r>
      <w:r w:rsidR="00100E2E">
        <w:t xml:space="preserve">een circulated would </w:t>
      </w:r>
      <w:r w:rsidR="00732B47">
        <w:t xml:space="preserve">have </w:t>
      </w:r>
      <w:r w:rsidR="00100E2E">
        <w:t>be</w:t>
      </w:r>
      <w:r w:rsidR="00732B47">
        <w:t>en</w:t>
      </w:r>
      <w:r w:rsidR="00100E2E">
        <w:t xml:space="preserve"> useful:</w:t>
      </w:r>
    </w:p>
    <w:p w14:paraId="6A1165AE" w14:textId="77777777" w:rsidR="00A355F9" w:rsidRPr="009422C2" w:rsidRDefault="00A355F9" w:rsidP="00EB603F">
      <w:pPr>
        <w:autoSpaceDE w:val="0"/>
        <w:autoSpaceDN w:val="0"/>
        <w:adjustRightInd w:val="0"/>
        <w:spacing w:line="480" w:lineRule="auto"/>
        <w:ind w:right="713"/>
        <w:jc w:val="both"/>
        <w:rPr>
          <w:color w:val="000000" w:themeColor="text1"/>
        </w:rPr>
      </w:pPr>
    </w:p>
    <w:p w14:paraId="2A40F2A5" w14:textId="08211A5B" w:rsidR="00704DBA" w:rsidRDefault="00A355F9" w:rsidP="00EB603F">
      <w:pPr>
        <w:spacing w:line="480" w:lineRule="auto"/>
        <w:ind w:left="567" w:right="713"/>
        <w:jc w:val="both"/>
      </w:pPr>
      <w:r w:rsidRPr="009422C2">
        <w:t xml:space="preserve">‘The advice they gave about sharing photos. The advice was to just not do it. But I think they should be advising you about if you had done it … for whatever reasons … how you could get around it, what you could do </w:t>
      </w:r>
      <w:r w:rsidRPr="009422C2">
        <w:lastRenderedPageBreak/>
        <w:t>to stop it being sprea</w:t>
      </w:r>
      <w:r w:rsidR="00100E2E">
        <w:t>d instead of just being like: “Just d</w:t>
      </w:r>
      <w:r w:rsidRPr="009422C2">
        <w:t>on’t do it”. We sho</w:t>
      </w:r>
      <w:r w:rsidR="00704DBA">
        <w:t>uld have had more information’</w:t>
      </w:r>
      <w:r w:rsidR="00732B47">
        <w:t>.</w:t>
      </w:r>
      <w:r w:rsidR="00704DBA">
        <w:t xml:space="preserve"> </w:t>
      </w:r>
    </w:p>
    <w:p w14:paraId="3876B4FB" w14:textId="5E382CAD" w:rsidR="00A355F9" w:rsidRPr="009422C2" w:rsidRDefault="00704DBA" w:rsidP="00704DBA">
      <w:pPr>
        <w:spacing w:line="480" w:lineRule="auto"/>
        <w:ind w:left="5040" w:right="713"/>
        <w:jc w:val="both"/>
      </w:pPr>
      <w:r>
        <w:t xml:space="preserve">     </w:t>
      </w:r>
      <w:r w:rsidR="00732B47">
        <w:t xml:space="preserve"> </w:t>
      </w:r>
      <w:r>
        <w:t>(</w:t>
      </w:r>
      <w:r w:rsidR="00A355F9" w:rsidRPr="009422C2">
        <w:t xml:space="preserve">Sara, </w:t>
      </w:r>
      <w:r w:rsidR="006F7D97" w:rsidRPr="009422C2">
        <w:t>F</w:t>
      </w:r>
      <w:r>
        <w:t>ocus G</w:t>
      </w:r>
      <w:r w:rsidR="00A355F9" w:rsidRPr="009422C2">
        <w:t xml:space="preserve">roup </w:t>
      </w:r>
      <w:r w:rsidR="006F7D97" w:rsidRPr="009422C2">
        <w:t>1</w:t>
      </w:r>
      <w:r>
        <w:t>)</w:t>
      </w:r>
    </w:p>
    <w:p w14:paraId="66BDF87B" w14:textId="77777777" w:rsidR="006F7D97" w:rsidRPr="009422C2" w:rsidRDefault="006F7D97" w:rsidP="00EB603F">
      <w:pPr>
        <w:spacing w:line="480" w:lineRule="auto"/>
        <w:ind w:left="567" w:right="713"/>
        <w:jc w:val="both"/>
      </w:pPr>
    </w:p>
    <w:p w14:paraId="3D09C2D2" w14:textId="7035812D" w:rsidR="00A355F9" w:rsidRPr="009422C2" w:rsidRDefault="00A355F9" w:rsidP="00EB603F">
      <w:pPr>
        <w:autoSpaceDE w:val="0"/>
        <w:autoSpaceDN w:val="0"/>
        <w:adjustRightInd w:val="0"/>
        <w:spacing w:line="480" w:lineRule="auto"/>
        <w:jc w:val="both"/>
        <w:rPr>
          <w:color w:val="000000"/>
        </w:rPr>
      </w:pPr>
      <w:r w:rsidRPr="009422C2">
        <w:rPr>
          <w:color w:val="000000"/>
        </w:rPr>
        <w:t xml:space="preserve">The strong inflection toward developing strategies of personal safeguarding and </w:t>
      </w:r>
      <w:r w:rsidR="00905221">
        <w:rPr>
          <w:color w:val="000000"/>
        </w:rPr>
        <w:t xml:space="preserve">avoiding ‘risky’ practices </w:t>
      </w:r>
      <w:r w:rsidRPr="009422C2">
        <w:rPr>
          <w:color w:val="000000"/>
        </w:rPr>
        <w:t xml:space="preserve">places emphasis on the ways in which young people should take responsibility for </w:t>
      </w:r>
      <w:r w:rsidR="00905221">
        <w:rPr>
          <w:color w:val="000000"/>
        </w:rPr>
        <w:t>preventing</w:t>
      </w:r>
      <w:r w:rsidR="00905221" w:rsidRPr="009422C2">
        <w:rPr>
          <w:color w:val="000000"/>
        </w:rPr>
        <w:t xml:space="preserve"> </w:t>
      </w:r>
      <w:r w:rsidRPr="009422C2">
        <w:rPr>
          <w:color w:val="000000"/>
        </w:rPr>
        <w:t xml:space="preserve">CSE through monitoring and modifying </w:t>
      </w:r>
      <w:r w:rsidR="00905221">
        <w:rPr>
          <w:color w:val="000000"/>
        </w:rPr>
        <w:t xml:space="preserve">their own </w:t>
      </w:r>
      <w:r w:rsidRPr="009422C2">
        <w:rPr>
          <w:color w:val="000000"/>
        </w:rPr>
        <w:t xml:space="preserve">behaviour. For some of the young people participating in the study, the initiative was too </w:t>
      </w:r>
      <w:r w:rsidR="00732B47">
        <w:rPr>
          <w:color w:val="000000"/>
        </w:rPr>
        <w:t xml:space="preserve">tightly </w:t>
      </w:r>
      <w:r w:rsidRPr="009422C2">
        <w:rPr>
          <w:color w:val="000000"/>
        </w:rPr>
        <w:t xml:space="preserve">focused on internet safety and how to appropriately conduct sexual relationships with others, rather than problematizing the behaviours of offenders. As Holly, a 16 year old girl, commented: </w:t>
      </w:r>
    </w:p>
    <w:p w14:paraId="3A83D0A0" w14:textId="77777777" w:rsidR="00A355F9" w:rsidRPr="009422C2" w:rsidRDefault="00A355F9" w:rsidP="00EB603F">
      <w:pPr>
        <w:autoSpaceDE w:val="0"/>
        <w:autoSpaceDN w:val="0"/>
        <w:adjustRightInd w:val="0"/>
        <w:spacing w:line="480" w:lineRule="auto"/>
        <w:jc w:val="both"/>
        <w:rPr>
          <w:color w:val="000000"/>
        </w:rPr>
      </w:pPr>
    </w:p>
    <w:p w14:paraId="2CE014AE" w14:textId="49363767" w:rsidR="00704DBA" w:rsidRDefault="00A355F9" w:rsidP="00EB603F">
      <w:pPr>
        <w:autoSpaceDE w:val="0"/>
        <w:autoSpaceDN w:val="0"/>
        <w:adjustRightInd w:val="0"/>
        <w:spacing w:line="480" w:lineRule="auto"/>
        <w:ind w:left="567" w:right="571"/>
        <w:jc w:val="both"/>
        <w:rPr>
          <w:color w:val="000000"/>
        </w:rPr>
      </w:pPr>
      <w:r w:rsidRPr="009422C2">
        <w:rPr>
          <w:color w:val="000000"/>
        </w:rPr>
        <w:t xml:space="preserve">‘It’s so wrong that like … the thing we’re being taught is to not put ourselves in situations, or speak to people that rape. Well, </w:t>
      </w:r>
      <w:r w:rsidRPr="009422C2">
        <w:rPr>
          <w:i/>
          <w:color w:val="000000"/>
        </w:rPr>
        <w:t>they</w:t>
      </w:r>
      <w:r w:rsidRPr="009422C2">
        <w:rPr>
          <w:color w:val="000000"/>
        </w:rPr>
        <w:t xml:space="preserve"> just shouldn’t rape’</w:t>
      </w:r>
      <w:r w:rsidR="00F62BAA">
        <w:rPr>
          <w:color w:val="000000"/>
        </w:rPr>
        <w:t>.</w:t>
      </w:r>
      <w:r w:rsidRPr="009422C2">
        <w:rPr>
          <w:color w:val="000000"/>
        </w:rPr>
        <w:t xml:space="preserve"> </w:t>
      </w:r>
    </w:p>
    <w:p w14:paraId="6DE757E6" w14:textId="3228CC1B" w:rsidR="00A355F9" w:rsidRPr="009422C2" w:rsidRDefault="00704DBA" w:rsidP="00704DBA">
      <w:pPr>
        <w:autoSpaceDE w:val="0"/>
        <w:autoSpaceDN w:val="0"/>
        <w:adjustRightInd w:val="0"/>
        <w:spacing w:line="480" w:lineRule="auto"/>
        <w:ind w:left="5607" w:right="571" w:firstLine="153"/>
        <w:jc w:val="both"/>
        <w:rPr>
          <w:color w:val="000000"/>
        </w:rPr>
      </w:pPr>
      <w:r>
        <w:rPr>
          <w:color w:val="000000"/>
        </w:rPr>
        <w:t xml:space="preserve">     </w:t>
      </w:r>
      <w:r w:rsidR="00F62BAA">
        <w:rPr>
          <w:color w:val="000000"/>
        </w:rPr>
        <w:t xml:space="preserve"> </w:t>
      </w:r>
      <w:r w:rsidR="00A355F9" w:rsidRPr="009422C2">
        <w:rPr>
          <w:color w:val="000000"/>
        </w:rPr>
        <w:t>(</w:t>
      </w:r>
      <w:r w:rsidR="006F7D97" w:rsidRPr="009422C2">
        <w:rPr>
          <w:color w:val="000000"/>
        </w:rPr>
        <w:t>F</w:t>
      </w:r>
      <w:r>
        <w:rPr>
          <w:color w:val="000000"/>
        </w:rPr>
        <w:t>ocus G</w:t>
      </w:r>
      <w:r w:rsidR="00A355F9" w:rsidRPr="009422C2">
        <w:rPr>
          <w:color w:val="000000"/>
        </w:rPr>
        <w:t xml:space="preserve">roup </w:t>
      </w:r>
      <w:r w:rsidR="006F7D97" w:rsidRPr="009422C2">
        <w:rPr>
          <w:color w:val="000000"/>
        </w:rPr>
        <w:t>3</w:t>
      </w:r>
      <w:r w:rsidR="00A355F9" w:rsidRPr="009422C2">
        <w:rPr>
          <w:color w:val="000000"/>
        </w:rPr>
        <w:t>)</w:t>
      </w:r>
    </w:p>
    <w:p w14:paraId="5F240139" w14:textId="77777777" w:rsidR="00A355F9" w:rsidRPr="009422C2" w:rsidRDefault="00A355F9" w:rsidP="00EB603F">
      <w:pPr>
        <w:autoSpaceDE w:val="0"/>
        <w:autoSpaceDN w:val="0"/>
        <w:adjustRightInd w:val="0"/>
        <w:spacing w:line="480" w:lineRule="auto"/>
        <w:jc w:val="both"/>
        <w:rPr>
          <w:color w:val="000000"/>
        </w:rPr>
      </w:pPr>
    </w:p>
    <w:p w14:paraId="276496A7" w14:textId="6507DB23" w:rsidR="00A355F9" w:rsidRDefault="00A355F9" w:rsidP="00EB603F">
      <w:pPr>
        <w:autoSpaceDE w:val="0"/>
        <w:autoSpaceDN w:val="0"/>
        <w:adjustRightInd w:val="0"/>
        <w:spacing w:line="480" w:lineRule="auto"/>
        <w:jc w:val="both"/>
      </w:pPr>
      <w:r w:rsidRPr="009422C2">
        <w:rPr>
          <w:color w:val="000000"/>
        </w:rPr>
        <w:t>While one of the formal objectives of the CSE prevention team was to target (potential) offenders</w:t>
      </w:r>
      <w:r w:rsidRPr="009422C2">
        <w:t>, in reality, this was a lesser part of the role. Furthermore</w:t>
      </w:r>
      <w:r w:rsidR="0061416E">
        <w:t>,</w:t>
      </w:r>
      <w:r w:rsidRPr="009422C2">
        <w:t xml:space="preserve"> the approach adopted was</w:t>
      </w:r>
      <w:r w:rsidR="0061416E">
        <w:t xml:space="preserve"> </w:t>
      </w:r>
      <w:r w:rsidRPr="009422C2">
        <w:t>individual</w:t>
      </w:r>
      <w:r w:rsidR="00FC7D00" w:rsidRPr="009422C2">
        <w:t>-</w:t>
      </w:r>
      <w:r w:rsidRPr="009422C2">
        <w:t xml:space="preserve">centric and oriented toward warning against future transgressions, rather than broaching some of the root causes of the problem. In particular, there was a palpable absence of discussion about the wider context in which incidents of CSE take place and the role of networks and structures - such as family life, educational experiences, material resources, mentors and peer groups - in either disinhibiting offending or </w:t>
      </w:r>
      <w:r w:rsidR="0061416E">
        <w:t xml:space="preserve">enabling </w:t>
      </w:r>
      <w:r w:rsidR="006C1204">
        <w:t xml:space="preserve">protective factors to guard against </w:t>
      </w:r>
      <w:r w:rsidRPr="009422C2">
        <w:lastRenderedPageBreak/>
        <w:t xml:space="preserve">victimization.  As such, several of the young people that we spoke to described the initiative as being abstract and </w:t>
      </w:r>
      <w:r w:rsidR="006C1204">
        <w:t>remote</w:t>
      </w:r>
      <w:r w:rsidRPr="009422C2">
        <w:t xml:space="preserve"> from personal experience. There was thus a </w:t>
      </w:r>
      <w:r w:rsidR="005951F6">
        <w:t xml:space="preserve">palpable </w:t>
      </w:r>
      <w:r w:rsidRPr="009422C2">
        <w:t>disconnection between the deterrence</w:t>
      </w:r>
      <w:r w:rsidR="00905221">
        <w:t>-</w:t>
      </w:r>
      <w:r w:rsidRPr="009422C2">
        <w:t>focused approach designed to use fear to condition behaviour and the everyday lives of young people, juggling with various decisions, risks and choices. The sequestering of context from action is apparent in the ‘intervention’ below raised by Helen</w:t>
      </w:r>
      <w:r w:rsidR="00A127DE">
        <w:t xml:space="preserve">, </w:t>
      </w:r>
      <w:r w:rsidR="00C238BE">
        <w:t xml:space="preserve">a Prevent CSE worker, </w:t>
      </w:r>
      <w:r w:rsidRPr="009422C2">
        <w:t>involving three boys who had been asking girls to send them unclothed photographs:</w:t>
      </w:r>
    </w:p>
    <w:p w14:paraId="13A075FF" w14:textId="77777777" w:rsidR="00950FE1" w:rsidRPr="00704DBA" w:rsidRDefault="00950FE1" w:rsidP="00EB603F">
      <w:pPr>
        <w:autoSpaceDE w:val="0"/>
        <w:autoSpaceDN w:val="0"/>
        <w:adjustRightInd w:val="0"/>
        <w:spacing w:line="480" w:lineRule="auto"/>
        <w:jc w:val="both"/>
      </w:pPr>
    </w:p>
    <w:p w14:paraId="3DDA13C6" w14:textId="619408BA" w:rsidR="00704DBA" w:rsidRDefault="00A355F9" w:rsidP="00704DBA">
      <w:pPr>
        <w:tabs>
          <w:tab w:val="left" w:pos="8789"/>
        </w:tabs>
        <w:spacing w:line="480" w:lineRule="auto"/>
        <w:ind w:left="567" w:right="571"/>
        <w:jc w:val="both"/>
      </w:pPr>
      <w:r w:rsidRPr="009422C2">
        <w:t>‘I have done a group of work with three boys and those boys were boys that were asking girls for naked pictures. They shouldn’t have been doing it, but I went in to say to them: “This is some information around what could happen to you if you continue to do this. And do you know that this could be classed as grooming? Do you know that the law says that this isn’t right?” And I went in and did some really brief intervention around giving them more information so that some of the choices that they made were better. And certainly, the way that I delivered that was, if we have an issue where the police are called because you’ve been asking for indecent images of children, you’ve been asking for indecent images of girls, or whatever that might be, you will already know the answers because I’ve been in and delivered it to you. So in a way, you won’t be able to say, well I didn’t know, and you won’t be able to use that as an excuse because you did kno</w:t>
      </w:r>
      <w:r w:rsidR="00704DBA">
        <w:t xml:space="preserve">w, you had the intervention’. </w:t>
      </w:r>
    </w:p>
    <w:p w14:paraId="502F2CEA" w14:textId="77777777" w:rsidR="00C238BE" w:rsidRDefault="00C238BE" w:rsidP="00704DBA">
      <w:pPr>
        <w:tabs>
          <w:tab w:val="left" w:pos="8789"/>
        </w:tabs>
        <w:spacing w:line="480" w:lineRule="auto"/>
        <w:ind w:left="567" w:right="571"/>
        <w:jc w:val="both"/>
      </w:pPr>
    </w:p>
    <w:p w14:paraId="4DFDF22A" w14:textId="1974E5B1" w:rsidR="00A355F9" w:rsidRPr="009422C2" w:rsidRDefault="00A355F9" w:rsidP="00EB603F">
      <w:pPr>
        <w:spacing w:line="480" w:lineRule="auto"/>
        <w:jc w:val="both"/>
      </w:pPr>
      <w:r w:rsidRPr="009422C2">
        <w:t>In line with the deterrence</w:t>
      </w:r>
      <w:r w:rsidR="00FC7D00" w:rsidRPr="009422C2">
        <w:t>-</w:t>
      </w:r>
      <w:r w:rsidRPr="009422C2">
        <w:t xml:space="preserve">oriented approach, Helen’s description is underpinned by the assumption that corrective behaviour should follow a warning. Notwithstanding </w:t>
      </w:r>
      <w:r w:rsidRPr="009422C2">
        <w:lastRenderedPageBreak/>
        <w:t>the efficacy of this approach, the structures and networks within which young people are socialized are elided. The blanket message received by both potential victims and potential offenders is to avoid engaging in activities that could result in a criminal conviction. In order to deliver this message</w:t>
      </w:r>
      <w:r w:rsidR="00A127DE">
        <w:t>,</w:t>
      </w:r>
      <w:r w:rsidRPr="009422C2">
        <w:t xml:space="preserve"> practitioners drew on legislation developed to protect children from abuse. Yet, somewhat paradoxically, this very legislation may itself be producing a ‘law of inverse consequences’, whereby the opposite of the intended</w:t>
      </w:r>
      <w:r w:rsidR="00693E70">
        <w:t xml:space="preserve"> effect</w:t>
      </w:r>
      <w:r w:rsidRPr="009422C2">
        <w:t xml:space="preserve"> </w:t>
      </w:r>
      <w:r w:rsidR="005F4206">
        <w:t xml:space="preserve">materialises </w:t>
      </w:r>
      <w:r w:rsidRPr="009422C2">
        <w:t>(see Walklate</w:t>
      </w:r>
      <w:r w:rsidR="00C32942">
        <w:t xml:space="preserve"> and Mythen</w:t>
      </w:r>
      <w:r w:rsidRPr="009422C2">
        <w:t>, 2015). Rather than protecting young people, legislation</w:t>
      </w:r>
      <w:r w:rsidR="00693E70">
        <w:t xml:space="preserve"> </w:t>
      </w:r>
      <w:r w:rsidR="00DD385C">
        <w:t>covering</w:t>
      </w:r>
      <w:r w:rsidR="00693E70">
        <w:t xml:space="preserve"> the production and distribution of</w:t>
      </w:r>
      <w:r w:rsidR="00693E70" w:rsidRPr="009422C2">
        <w:t xml:space="preserve"> indecent images of children</w:t>
      </w:r>
      <w:r w:rsidRPr="009422C2">
        <w:t xml:space="preserve"> has led to convictions</w:t>
      </w:r>
      <w:r w:rsidR="00A546CA" w:rsidRPr="009422C2">
        <w:t xml:space="preserve"> </w:t>
      </w:r>
      <w:r w:rsidRPr="009422C2">
        <w:t xml:space="preserve">for a sizeable number of young people under eighteen years of age </w:t>
      </w:r>
      <w:r w:rsidR="006C1204">
        <w:t xml:space="preserve">sharing images </w:t>
      </w:r>
      <w:r w:rsidRPr="009422C2">
        <w:t>within</w:t>
      </w:r>
      <w:r w:rsidR="00693E70">
        <w:t xml:space="preserve"> the context of stable</w:t>
      </w:r>
      <w:r w:rsidRPr="009422C2">
        <w:t xml:space="preserve"> relationships</w:t>
      </w:r>
      <w:r w:rsidR="00693E70">
        <w:t xml:space="preserve">. Holding a criminal record for such an offence </w:t>
      </w:r>
      <w:r w:rsidRPr="009422C2">
        <w:t>may have damaging and long-term consequences on future employment</w:t>
      </w:r>
      <w:r w:rsidR="00693E70">
        <w:t xml:space="preserve"> prospects</w:t>
      </w:r>
      <w:r w:rsidRPr="009422C2">
        <w:t xml:space="preserve"> and</w:t>
      </w:r>
      <w:r w:rsidR="00693E70">
        <w:t xml:space="preserve"> the formation of</w:t>
      </w:r>
      <w:r w:rsidRPr="009422C2">
        <w:t xml:space="preserve"> interpersonal relationships. A case raised by Hatty </w:t>
      </w:r>
      <w:r w:rsidR="00693E70">
        <w:t xml:space="preserve">concerning </w:t>
      </w:r>
      <w:r w:rsidRPr="009422C2">
        <w:t xml:space="preserve">two friends who had been </w:t>
      </w:r>
      <w:r w:rsidR="00693E70">
        <w:t xml:space="preserve">subject to </w:t>
      </w:r>
      <w:r w:rsidRPr="009422C2">
        <w:t xml:space="preserve">an intervention identifies the somewhat perverse </w:t>
      </w:r>
      <w:r w:rsidR="00693E70">
        <w:t xml:space="preserve">legal </w:t>
      </w:r>
      <w:r w:rsidRPr="009422C2">
        <w:t xml:space="preserve">outcome of </w:t>
      </w:r>
      <w:r w:rsidR="00693E70">
        <w:t xml:space="preserve">the </w:t>
      </w:r>
      <w:r w:rsidRPr="009422C2">
        <w:t xml:space="preserve">sharing </w:t>
      </w:r>
      <w:r w:rsidR="00693E70">
        <w:t xml:space="preserve">of </w:t>
      </w:r>
      <w:r w:rsidRPr="009422C2">
        <w:t>sexual images between upper age teenagers within what might otherwise be described as a mature relationship:</w:t>
      </w:r>
    </w:p>
    <w:p w14:paraId="22401864" w14:textId="77777777" w:rsidR="00A355F9" w:rsidRPr="009422C2" w:rsidRDefault="00A355F9" w:rsidP="00EB603F">
      <w:pPr>
        <w:spacing w:line="480" w:lineRule="auto"/>
        <w:jc w:val="both"/>
      </w:pPr>
    </w:p>
    <w:p w14:paraId="26B62910" w14:textId="70D89908" w:rsidR="00622E4C" w:rsidRDefault="00A355F9" w:rsidP="00EB603F">
      <w:pPr>
        <w:spacing w:line="480" w:lineRule="auto"/>
        <w:ind w:left="567" w:right="571"/>
        <w:jc w:val="both"/>
      </w:pPr>
      <w:r w:rsidRPr="009422C2">
        <w:t>‘My mates were both 17, just about to turn 18. One of them was in care, bu</w:t>
      </w:r>
      <w:r w:rsidR="00A127DE">
        <w:t xml:space="preserve">t they were in a relationship. </w:t>
      </w:r>
      <w:r w:rsidRPr="009422C2">
        <w:t>So, they were sending pictures and they just thought it was all normal, just what people tend to do in relationships.  It was only when the carer - because she was in care - saw it [the picture] that he ended up getting done</w:t>
      </w:r>
      <w:r w:rsidR="00693E70">
        <w:t>. S</w:t>
      </w:r>
      <w:r w:rsidRPr="009422C2">
        <w:t>he was classed as a vulnerable person because she was in</w:t>
      </w:r>
      <w:r w:rsidR="00622E4C">
        <w:t xml:space="preserve"> care and he’d just turned 18. </w:t>
      </w:r>
      <w:r w:rsidRPr="009422C2">
        <w:t xml:space="preserve">Because it was </w:t>
      </w:r>
      <w:r w:rsidR="00693E70">
        <w:t>two</w:t>
      </w:r>
      <w:r w:rsidRPr="009422C2">
        <w:t xml:space="preserve"> day</w:t>
      </w:r>
      <w:r w:rsidR="00693E70">
        <w:t>s</w:t>
      </w:r>
      <w:r w:rsidRPr="009422C2">
        <w:t xml:space="preserve"> after his birthday when the carers had seen it ... So, he was classed as being an adult and she was 17. There was only a month in the middle of </w:t>
      </w:r>
      <w:r w:rsidRPr="009422C2">
        <w:lastRenderedPageBreak/>
        <w:t>them ... but he ended up getting</w:t>
      </w:r>
      <w:r w:rsidR="00622E4C">
        <w:t xml:space="preserve"> done because she was in care. </w:t>
      </w:r>
      <w:r w:rsidRPr="009422C2">
        <w:t>So, she was classed as a vulnerable child whereas he was classed as an adult, because it was two day</w:t>
      </w:r>
      <w:r w:rsidR="00622E4C">
        <w:t xml:space="preserve">s after his eighteenth’. </w:t>
      </w:r>
    </w:p>
    <w:p w14:paraId="0FF473B9" w14:textId="232E5117" w:rsidR="00A355F9" w:rsidRPr="009422C2" w:rsidRDefault="00622E4C" w:rsidP="00EB603F">
      <w:pPr>
        <w:spacing w:line="480" w:lineRule="auto"/>
        <w:ind w:left="567" w:right="571"/>
        <w:jc w:val="both"/>
      </w:pPr>
      <w:r>
        <w:t xml:space="preserve">                                                                                            (</w:t>
      </w:r>
      <w:r w:rsidR="006F7D97" w:rsidRPr="009422C2">
        <w:t>F</w:t>
      </w:r>
      <w:r>
        <w:t>ocus G</w:t>
      </w:r>
      <w:r w:rsidR="00A355F9" w:rsidRPr="009422C2">
        <w:t xml:space="preserve">roup </w:t>
      </w:r>
      <w:r w:rsidR="006F7D97" w:rsidRPr="009422C2">
        <w:t>4</w:t>
      </w:r>
      <w:r>
        <w:t>)</w:t>
      </w:r>
    </w:p>
    <w:p w14:paraId="39943C13" w14:textId="77777777" w:rsidR="00950FE1" w:rsidRDefault="00950FE1" w:rsidP="00EB603F">
      <w:pPr>
        <w:spacing w:line="480" w:lineRule="auto"/>
        <w:jc w:val="both"/>
      </w:pPr>
    </w:p>
    <w:p w14:paraId="43CAE83B" w14:textId="0AFB9C49" w:rsidR="00A355F9" w:rsidRPr="009422C2" w:rsidRDefault="00A355F9" w:rsidP="00EB603F">
      <w:pPr>
        <w:spacing w:line="480" w:lineRule="auto"/>
        <w:jc w:val="both"/>
      </w:pPr>
      <w:r w:rsidRPr="009422C2">
        <w:t xml:space="preserve">This example </w:t>
      </w:r>
      <w:r w:rsidR="00295DC5">
        <w:t xml:space="preserve">instantiates </w:t>
      </w:r>
      <w:r w:rsidRPr="009422C2">
        <w:t>some of the contradictions and dilemmas inv</w:t>
      </w:r>
      <w:r w:rsidR="00C238BE">
        <w:t>olved in legal regulation in this</w:t>
      </w:r>
      <w:r w:rsidRPr="009422C2">
        <w:t xml:space="preserve"> area. </w:t>
      </w:r>
      <w:r w:rsidR="00DD385C">
        <w:t>I</w:t>
      </w:r>
      <w:r w:rsidRPr="009422C2">
        <w:t>n some</w:t>
      </w:r>
      <w:r w:rsidR="00295DC5">
        <w:t xml:space="preserve"> cases</w:t>
      </w:r>
      <w:r w:rsidRPr="009422C2">
        <w:t xml:space="preserve">, such as that described by Hatty, young people </w:t>
      </w:r>
      <w:r w:rsidR="00693E70">
        <w:t xml:space="preserve">risk </w:t>
      </w:r>
      <w:r w:rsidRPr="009422C2">
        <w:t xml:space="preserve">being convicted of </w:t>
      </w:r>
      <w:r w:rsidR="00693E70">
        <w:t>s</w:t>
      </w:r>
      <w:r w:rsidRPr="009422C2">
        <w:t xml:space="preserve">exual </w:t>
      </w:r>
      <w:r w:rsidR="00693E70">
        <w:t>e</w:t>
      </w:r>
      <w:r w:rsidRPr="009422C2">
        <w:t>xploitation</w:t>
      </w:r>
      <w:r w:rsidR="00693E70">
        <w:t xml:space="preserve"> of a minor</w:t>
      </w:r>
      <w:r w:rsidRPr="009422C2">
        <w:t xml:space="preserve"> in specious circumstances. Given the stigma that </w:t>
      </w:r>
      <w:r w:rsidR="006C1204">
        <w:t xml:space="preserve">holding </w:t>
      </w:r>
      <w:r w:rsidRPr="009422C2">
        <w:t xml:space="preserve">a criminal record for </w:t>
      </w:r>
      <w:r w:rsidR="00693E70">
        <w:t xml:space="preserve">a sexual offence </w:t>
      </w:r>
      <w:r w:rsidRPr="009422C2">
        <w:t xml:space="preserve">carries and its impact on life opportunities, this illustration flags the need for greater flexibility in considering </w:t>
      </w:r>
      <w:r w:rsidR="00295DC5">
        <w:t xml:space="preserve">incidents </w:t>
      </w:r>
      <w:r w:rsidRPr="009422C2">
        <w:t xml:space="preserve">of </w:t>
      </w:r>
      <w:r w:rsidR="00C238BE">
        <w:t xml:space="preserve">possible </w:t>
      </w:r>
      <w:r w:rsidRPr="009422C2">
        <w:t>abuse. While the non-criminal Outcome 21 flag introduced in 2016 may be a welcome addition to the toolbox of police officers - in that it affords them greater discretion to use an ostensibly informal sanction - both the Outcome 21 and the associated investigation are recorded on the young person’s police file and this may be disclosed at a later date. As Suzanne</w:t>
      </w:r>
      <w:r w:rsidR="00DB640D">
        <w:t>, a Prevent CSE worker</w:t>
      </w:r>
      <w:r w:rsidR="00C238BE">
        <w:t>,</w:t>
      </w:r>
      <w:r w:rsidRPr="009422C2">
        <w:t xml:space="preserve"> suggests:</w:t>
      </w:r>
    </w:p>
    <w:p w14:paraId="5A3C02DD" w14:textId="77777777" w:rsidR="00A355F9" w:rsidRPr="009422C2" w:rsidRDefault="00A355F9" w:rsidP="00EB603F">
      <w:pPr>
        <w:spacing w:line="480" w:lineRule="auto"/>
        <w:jc w:val="both"/>
      </w:pPr>
    </w:p>
    <w:p w14:paraId="4B46B38C" w14:textId="38EE8FBE" w:rsidR="00A355F9" w:rsidRPr="009422C2" w:rsidRDefault="00A355F9" w:rsidP="00EB603F">
      <w:pPr>
        <w:tabs>
          <w:tab w:val="left" w:pos="8789"/>
        </w:tabs>
        <w:spacing w:line="480" w:lineRule="auto"/>
        <w:ind w:left="567" w:right="571"/>
        <w:jc w:val="both"/>
      </w:pPr>
      <w:r w:rsidRPr="009422C2">
        <w:t>‘I’ve had a young boy who’s been issued with a warning for continuously asking girls for indecent images. So, the police officer said to him</w:t>
      </w:r>
      <w:r w:rsidR="006C1204">
        <w:t>: “T</w:t>
      </w:r>
      <w:r w:rsidRPr="009422C2">
        <w:t>hat’s your yellow card, you’ve had your warning now</w:t>
      </w:r>
      <w:r w:rsidR="006C1204">
        <w:t>”</w:t>
      </w:r>
      <w:r w:rsidRPr="009422C2">
        <w:t>.  So I’ve said to him</w:t>
      </w:r>
      <w:r w:rsidR="006C1204">
        <w:t>: “Y</w:t>
      </w:r>
      <w:r w:rsidRPr="009422C2">
        <w:t>ou remember I said, I’m writing your stuff on the system, they’re going to know you’ve received your warning and you’ve worked with me. So if you do this again they’re going to come down a lot harder on you because it’s evidence that you’ve had support</w:t>
      </w:r>
      <w:r w:rsidR="006C1204">
        <w:t>”</w:t>
      </w:r>
      <w:r w:rsidRPr="009422C2">
        <w:t xml:space="preserve">. If a young person comes </w:t>
      </w:r>
      <w:r w:rsidRPr="009422C2">
        <w:lastRenderedPageBreak/>
        <w:t>in again we need to now skip preventing, straight to [a more serious</w:t>
      </w:r>
      <w:r w:rsidR="00C238BE">
        <w:t xml:space="preserve"> institutional</w:t>
      </w:r>
      <w:r w:rsidRPr="009422C2">
        <w:t xml:space="preserve"> intervention]’</w:t>
      </w:r>
      <w:r w:rsidR="00C238BE">
        <w:t>.</w:t>
      </w:r>
      <w:r w:rsidRPr="009422C2">
        <w:t xml:space="preserve"> </w:t>
      </w:r>
    </w:p>
    <w:p w14:paraId="7262E4D6" w14:textId="77777777" w:rsidR="00A355F9" w:rsidRPr="009422C2" w:rsidRDefault="00A355F9" w:rsidP="00EB603F">
      <w:pPr>
        <w:tabs>
          <w:tab w:val="left" w:pos="8789"/>
        </w:tabs>
        <w:spacing w:line="480" w:lineRule="auto"/>
        <w:ind w:left="567" w:right="571"/>
        <w:jc w:val="both"/>
      </w:pPr>
    </w:p>
    <w:p w14:paraId="56F1E3EC" w14:textId="161C7563" w:rsidR="00A355F9" w:rsidRPr="009422C2" w:rsidRDefault="00A355F9" w:rsidP="00EB603F">
      <w:pPr>
        <w:autoSpaceDE w:val="0"/>
        <w:autoSpaceDN w:val="0"/>
        <w:adjustRightInd w:val="0"/>
        <w:spacing w:line="480" w:lineRule="auto"/>
        <w:jc w:val="both"/>
      </w:pPr>
      <w:r w:rsidRPr="009422C2">
        <w:t xml:space="preserve">Setting aside what might constitute ‘support’ in these kinds of incidents, it is clear that Outcome 21 </w:t>
      </w:r>
      <w:r w:rsidR="00FC7D00" w:rsidRPr="009422C2">
        <w:t>codes</w:t>
      </w:r>
      <w:r w:rsidRPr="009422C2">
        <w:t xml:space="preserve"> have been widely used, particular in instances of </w:t>
      </w:r>
      <w:r w:rsidR="00C238BE">
        <w:t xml:space="preserve">image </w:t>
      </w:r>
      <w:r w:rsidRPr="009422C2">
        <w:t xml:space="preserve">sharing. In recent times, the number of young people </w:t>
      </w:r>
      <w:r w:rsidR="00C238BE">
        <w:t xml:space="preserve">formally </w:t>
      </w:r>
      <w:r w:rsidRPr="009422C2">
        <w:t xml:space="preserve">charged with sharing indecent images has reduced by nearly 60%, from 150 in 2014/15 to 63 in 2016/17. Concomitantly, the use of Outcome 21 has increased dramatically from 34 cases to 2079 cases (National Police Chief’s Council, 2017). The focus - rendered explicit in Suzanne’s account - on information dissemination and expectation of subsequent behavioural adaption </w:t>
      </w:r>
      <w:r w:rsidR="00693E70">
        <w:t xml:space="preserve">may well be </w:t>
      </w:r>
      <w:r w:rsidRPr="009422C2">
        <w:t>silenc</w:t>
      </w:r>
      <w:r w:rsidR="00693E70">
        <w:t>ing</w:t>
      </w:r>
      <w:r w:rsidRPr="009422C2">
        <w:t xml:space="preserve"> discussion about the nature of modern relationships</w:t>
      </w:r>
      <w:r w:rsidR="00467269">
        <w:t xml:space="preserve">. </w:t>
      </w:r>
      <w:r w:rsidRPr="009422C2">
        <w:rPr>
          <w:color w:val="000000"/>
        </w:rPr>
        <w:t xml:space="preserve">Rather than facilitating dialogue about the underlying conditions that give rise to CSE, distinct binaries between appropriate and inappropriate conduct are reinforced, such that only young people that </w:t>
      </w:r>
      <w:r w:rsidR="00693E70">
        <w:rPr>
          <w:color w:val="000000"/>
        </w:rPr>
        <w:t xml:space="preserve">obey </w:t>
      </w:r>
      <w:r w:rsidRPr="009422C2">
        <w:rPr>
          <w:color w:val="000000"/>
        </w:rPr>
        <w:t xml:space="preserve">the advice provided are included and those who do not are deemed to be placing themselves at risk of criminal sanction. </w:t>
      </w:r>
      <w:r w:rsidR="00437FE2">
        <w:rPr>
          <w:color w:val="000000"/>
        </w:rPr>
        <w:t>Although</w:t>
      </w:r>
      <w:r w:rsidR="00467269">
        <w:t xml:space="preserve"> </w:t>
      </w:r>
      <w:r w:rsidR="00437FE2">
        <w:t xml:space="preserve">difficult to quantify exactly, estimates suggest that between one quarter to two-thirds of </w:t>
      </w:r>
      <w:r w:rsidRPr="009422C2">
        <w:t>young people between the ages of 13-18 send and receiv</w:t>
      </w:r>
      <w:r w:rsidR="00437FE2">
        <w:t>e</w:t>
      </w:r>
      <w:r w:rsidRPr="009422C2">
        <w:t xml:space="preserve"> sexual images (see CEOP, 2013; Lee, </w:t>
      </w:r>
      <w:r w:rsidR="00AE3FDC" w:rsidRPr="009422C2">
        <w:t xml:space="preserve">et al. </w:t>
      </w:r>
      <w:r w:rsidRPr="009422C2">
        <w:t>2015). Even assuming that the lower estimate is closer to the mark, the issues raised in our study</w:t>
      </w:r>
      <w:r w:rsidR="00ED630C">
        <w:t xml:space="preserve"> by young people</w:t>
      </w:r>
      <w:r w:rsidRPr="009422C2">
        <w:t xml:space="preserve"> regarding </w:t>
      </w:r>
      <w:r w:rsidR="00467269">
        <w:t xml:space="preserve">a </w:t>
      </w:r>
      <w:r w:rsidRPr="009422C2">
        <w:t>lack of advice about how to manage situations where sexual images have already been shared is</w:t>
      </w:r>
      <w:r w:rsidR="00ED630C">
        <w:t xml:space="preserve"> notable. At a wider level, our data </w:t>
      </w:r>
      <w:r w:rsidRPr="009422C2">
        <w:t>suggests that deterrent</w:t>
      </w:r>
      <w:r w:rsidR="00FC7D00" w:rsidRPr="009422C2">
        <w:t>-</w:t>
      </w:r>
      <w:r w:rsidRPr="009422C2">
        <w:t>centric strategies, like those adopted by the CSE team, do not sufficiently key into the complexity of relationships forged by young people</w:t>
      </w:r>
      <w:r w:rsidR="00ED630C">
        <w:t xml:space="preserve"> in the modern world nor</w:t>
      </w:r>
      <w:r w:rsidRPr="009422C2">
        <w:t xml:space="preserve"> </w:t>
      </w:r>
      <w:r w:rsidR="00ED630C">
        <w:t xml:space="preserve">do they speak to their </w:t>
      </w:r>
      <w:r w:rsidRPr="009422C2">
        <w:t xml:space="preserve">immediate lifeworlds. As we shall see, a detailed understanding of the ways in which young people use and navigate technology and the modes and means </w:t>
      </w:r>
      <w:r w:rsidRPr="009422C2">
        <w:lastRenderedPageBreak/>
        <w:t>by which they establish social networks is vital in shaping a</w:t>
      </w:r>
      <w:r w:rsidR="00ED630C">
        <w:t xml:space="preserve"> more </w:t>
      </w:r>
      <w:r w:rsidRPr="009422C2">
        <w:t xml:space="preserve">nuanced approach to engaging young people around the issue of CSE. </w:t>
      </w:r>
    </w:p>
    <w:p w14:paraId="18C1AA15" w14:textId="77777777" w:rsidR="00A355F9" w:rsidRPr="009422C2" w:rsidRDefault="00A355F9" w:rsidP="00EB603F">
      <w:pPr>
        <w:autoSpaceDE w:val="0"/>
        <w:autoSpaceDN w:val="0"/>
        <w:adjustRightInd w:val="0"/>
        <w:spacing w:line="480" w:lineRule="auto"/>
        <w:jc w:val="both"/>
        <w:rPr>
          <w:color w:val="000000"/>
        </w:rPr>
      </w:pPr>
    </w:p>
    <w:p w14:paraId="58A696D5" w14:textId="14DF4BFE" w:rsidR="00A355F9" w:rsidRPr="00467269" w:rsidRDefault="00AD269E" w:rsidP="00EB603F">
      <w:pPr>
        <w:spacing w:line="480" w:lineRule="auto"/>
        <w:jc w:val="both"/>
        <w:rPr>
          <w:i/>
        </w:rPr>
      </w:pPr>
      <w:r w:rsidRPr="00467269">
        <w:rPr>
          <w:i/>
        </w:rPr>
        <w:t xml:space="preserve">Impacts: </w:t>
      </w:r>
      <w:r w:rsidR="00467269" w:rsidRPr="00467269">
        <w:rPr>
          <w:i/>
        </w:rPr>
        <w:t xml:space="preserve">Muted </w:t>
      </w:r>
      <w:r w:rsidR="006C1204">
        <w:rPr>
          <w:i/>
        </w:rPr>
        <w:t>S</w:t>
      </w:r>
      <w:r w:rsidR="00467269" w:rsidRPr="00467269">
        <w:rPr>
          <w:i/>
        </w:rPr>
        <w:t xml:space="preserve">ubjects and </w:t>
      </w:r>
      <w:r w:rsidR="006C1204">
        <w:rPr>
          <w:i/>
        </w:rPr>
        <w:t>N</w:t>
      </w:r>
      <w:r w:rsidR="00A355F9" w:rsidRPr="00467269">
        <w:rPr>
          <w:i/>
        </w:rPr>
        <w:t xml:space="preserve">egotiating </w:t>
      </w:r>
      <w:r w:rsidR="006C1204">
        <w:rPr>
          <w:i/>
        </w:rPr>
        <w:t>C</w:t>
      </w:r>
      <w:r w:rsidRPr="00467269">
        <w:rPr>
          <w:i/>
        </w:rPr>
        <w:t>omplexities</w:t>
      </w:r>
      <w:r w:rsidR="00467269" w:rsidRPr="00467269">
        <w:rPr>
          <w:i/>
        </w:rPr>
        <w:t xml:space="preserve"> </w:t>
      </w:r>
    </w:p>
    <w:p w14:paraId="09F553DB" w14:textId="0C68A99D" w:rsidR="00A355F9" w:rsidRPr="009422C2" w:rsidRDefault="00A355F9" w:rsidP="00EB603F">
      <w:pPr>
        <w:spacing w:line="480" w:lineRule="auto"/>
        <w:jc w:val="both"/>
      </w:pPr>
      <w:r w:rsidRPr="009422C2">
        <w:t>As the observations of pupils and students above illustrate, the messages communicated by the CSE te</w:t>
      </w:r>
      <w:r w:rsidR="00DD385C">
        <w:t>a</w:t>
      </w:r>
      <w:r w:rsidRPr="009422C2">
        <w:t>m were clearly received. However, in peer-to-peer conversation</w:t>
      </w:r>
      <w:r w:rsidR="00ED630C">
        <w:t>s</w:t>
      </w:r>
      <w:r w:rsidRPr="009422C2">
        <w:t xml:space="preserve"> it was noticeable that</w:t>
      </w:r>
      <w:r w:rsidR="00F9306B">
        <w:t xml:space="preserve"> </w:t>
      </w:r>
      <w:r w:rsidRPr="009422C2">
        <w:t xml:space="preserve">attempts were made to contextualize and interpret the headline information offered by practitioners in relation to embedded </w:t>
      </w:r>
      <w:r w:rsidR="00ED630C">
        <w:t xml:space="preserve">lived </w:t>
      </w:r>
      <w:r w:rsidRPr="009422C2">
        <w:t xml:space="preserve">experiences. During focus group discussions about the initiative, </w:t>
      </w:r>
      <w:r w:rsidR="00ED630C">
        <w:t xml:space="preserve">young </w:t>
      </w:r>
      <w:r w:rsidRPr="009422C2">
        <w:t>p</w:t>
      </w:r>
      <w:r w:rsidR="00ED630C">
        <w:t xml:space="preserve">eople </w:t>
      </w:r>
      <w:r w:rsidRPr="009422C2">
        <w:t xml:space="preserve">were </w:t>
      </w:r>
      <w:r w:rsidR="00ED630C">
        <w:t xml:space="preserve">striving </w:t>
      </w:r>
      <w:r w:rsidRPr="009422C2">
        <w:t>to make sense of the information</w:t>
      </w:r>
      <w:r w:rsidR="00ED630C">
        <w:t xml:space="preserve"> </w:t>
      </w:r>
      <w:r w:rsidR="006C1204">
        <w:t xml:space="preserve">that </w:t>
      </w:r>
      <w:r w:rsidR="00ED630C">
        <w:t xml:space="preserve">they had </w:t>
      </w:r>
      <w:r w:rsidR="00F9306B">
        <w:t xml:space="preserve">received </w:t>
      </w:r>
      <w:r w:rsidR="00ED630C">
        <w:t>and to situate this in</w:t>
      </w:r>
      <w:r w:rsidRPr="009422C2">
        <w:t xml:space="preserve"> relation to contemporary cultur</w:t>
      </w:r>
      <w:r w:rsidR="00ED630C">
        <w:t>al trends</w:t>
      </w:r>
      <w:r w:rsidRPr="009422C2">
        <w:t xml:space="preserve"> and their everyday lifeworlds. Here, discussion of the complexities of managing social media and the </w:t>
      </w:r>
      <w:r w:rsidR="00ED630C">
        <w:t xml:space="preserve">issue of representing an idealised self </w:t>
      </w:r>
      <w:r w:rsidRPr="009422C2">
        <w:t xml:space="preserve">- both of which were largely absent in the awareness raising initiative - were brought into the spotlight. In particular, young people raised concerns about the borderlines of acceptable </w:t>
      </w:r>
      <w:r w:rsidR="00ED630C">
        <w:t xml:space="preserve">images </w:t>
      </w:r>
      <w:r w:rsidRPr="009422C2">
        <w:t xml:space="preserve">and how </w:t>
      </w:r>
      <w:r w:rsidR="00ED630C">
        <w:t xml:space="preserve">these </w:t>
      </w:r>
      <w:r w:rsidRPr="009422C2">
        <w:t>might be interpreted by others:</w:t>
      </w:r>
    </w:p>
    <w:p w14:paraId="239EB04F" w14:textId="77777777" w:rsidR="00A355F9" w:rsidRPr="009422C2" w:rsidRDefault="00A355F9" w:rsidP="00EB603F">
      <w:pPr>
        <w:spacing w:line="480" w:lineRule="auto"/>
        <w:jc w:val="both"/>
      </w:pPr>
    </w:p>
    <w:p w14:paraId="19DE7F93" w14:textId="510CDB73" w:rsidR="00A355F9" w:rsidRPr="009422C2" w:rsidRDefault="00A355F9" w:rsidP="00EB603F">
      <w:pPr>
        <w:spacing w:line="480" w:lineRule="auto"/>
        <w:ind w:left="567" w:right="571"/>
        <w:jc w:val="both"/>
      </w:pPr>
      <w:r w:rsidRPr="009422C2">
        <w:t>‘There’s another thing about younger children, well, even older, our age</w:t>
      </w:r>
      <w:r w:rsidR="000C1E1E" w:rsidRPr="009422C2">
        <w:t xml:space="preserve"> [15]</w:t>
      </w:r>
      <w:r w:rsidR="00F62BAA">
        <w:t xml:space="preserve">. </w:t>
      </w:r>
      <w:r w:rsidRPr="009422C2">
        <w:t xml:space="preserve">With people putting pictures on Instagram.  I’m seeing this girl’s photo, just in underwear, she’s our age and </w:t>
      </w:r>
      <w:r w:rsidR="00ED630C">
        <w:t xml:space="preserve">she’s </w:t>
      </w:r>
      <w:r w:rsidRPr="009422C2">
        <w:t xml:space="preserve">showing everything off.  It’s like, you don’t know who you’ve got on there’ (Kim, </w:t>
      </w:r>
      <w:r w:rsidR="000C1E1E" w:rsidRPr="009422C2">
        <w:t>F</w:t>
      </w:r>
      <w:r w:rsidR="00F62BAA">
        <w:t>ocus G</w:t>
      </w:r>
      <w:r w:rsidRPr="009422C2">
        <w:t xml:space="preserve">roup </w:t>
      </w:r>
      <w:r w:rsidR="006F7D97" w:rsidRPr="009422C2">
        <w:t>4</w:t>
      </w:r>
      <w:r w:rsidRPr="009422C2">
        <w:t>).</w:t>
      </w:r>
    </w:p>
    <w:p w14:paraId="07D0D8B6" w14:textId="77777777" w:rsidR="00A355F9" w:rsidRPr="009422C2" w:rsidRDefault="00A355F9" w:rsidP="00EB603F">
      <w:pPr>
        <w:spacing w:line="480" w:lineRule="auto"/>
        <w:ind w:left="567" w:right="571"/>
        <w:jc w:val="both"/>
      </w:pPr>
    </w:p>
    <w:p w14:paraId="72167B55" w14:textId="6210E754" w:rsidR="00A355F9" w:rsidRPr="009422C2" w:rsidRDefault="00A355F9" w:rsidP="00EB603F">
      <w:pPr>
        <w:spacing w:line="480" w:lineRule="auto"/>
        <w:ind w:left="567" w:right="571"/>
        <w:jc w:val="both"/>
      </w:pPr>
      <w:r w:rsidRPr="009422C2">
        <w:t xml:space="preserve">‘Guys are doing it as well, always topless and showing off.  Even the young ones. </w:t>
      </w:r>
      <w:r w:rsidR="00F62BAA">
        <w:t xml:space="preserve"> I’ve got a little brother who’s</w:t>
      </w:r>
      <w:r w:rsidRPr="009422C2">
        <w:t xml:space="preserve"> 12.  I’ve seen all his mates on his Facebook and all the guys are standing there, in shorts, showing off their muscles, with a can of beer - and they’re 12. And they </w:t>
      </w:r>
      <w:r w:rsidR="00F62BAA">
        <w:t xml:space="preserve">think that’s </w:t>
      </w:r>
      <w:r w:rsidR="00F62BAA">
        <w:lastRenderedPageBreak/>
        <w:t>cool. T</w:t>
      </w:r>
      <w:r w:rsidRPr="009422C2">
        <w:t>hen they’re adding everybody they can find on Faceboo</w:t>
      </w:r>
      <w:r w:rsidR="00F62BAA">
        <w:t>k to get a little bit popular.</w:t>
      </w:r>
      <w:r w:rsidRPr="009422C2">
        <w:t xml:space="preserve">’ (Jayden, </w:t>
      </w:r>
      <w:r w:rsidR="000C1E1E" w:rsidRPr="009422C2">
        <w:t>F</w:t>
      </w:r>
      <w:r w:rsidR="00F62BAA">
        <w:t>ocus G</w:t>
      </w:r>
      <w:r w:rsidRPr="009422C2">
        <w:t xml:space="preserve">roup </w:t>
      </w:r>
      <w:r w:rsidR="006F7D97" w:rsidRPr="009422C2">
        <w:t>4</w:t>
      </w:r>
      <w:r w:rsidRPr="009422C2">
        <w:t>)</w:t>
      </w:r>
    </w:p>
    <w:p w14:paraId="63865514" w14:textId="77777777" w:rsidR="00A355F9" w:rsidRPr="009422C2" w:rsidRDefault="00A355F9" w:rsidP="00EB603F">
      <w:pPr>
        <w:spacing w:line="480" w:lineRule="auto"/>
        <w:ind w:left="567" w:right="571"/>
        <w:jc w:val="both"/>
      </w:pPr>
    </w:p>
    <w:p w14:paraId="690891C2" w14:textId="668109C0" w:rsidR="00A355F9" w:rsidRPr="009422C2" w:rsidRDefault="00A355F9" w:rsidP="00EB603F">
      <w:pPr>
        <w:spacing w:line="480" w:lineRule="auto"/>
        <w:jc w:val="both"/>
      </w:pPr>
      <w:r w:rsidRPr="009422C2">
        <w:t xml:space="preserve">In </w:t>
      </w:r>
      <w:r w:rsidR="00F9306B">
        <w:t xml:space="preserve">these </w:t>
      </w:r>
      <w:r w:rsidRPr="009422C2">
        <w:t>reflections</w:t>
      </w:r>
      <w:r w:rsidR="00ED630C">
        <w:t>,</w:t>
      </w:r>
      <w:r w:rsidRPr="009422C2">
        <w:t xml:space="preserve"> it becomes apparent that the sending of images </w:t>
      </w:r>
      <w:r w:rsidR="00ED630C">
        <w:t xml:space="preserve">- be they of a sexual nature or otherwise - </w:t>
      </w:r>
      <w:r w:rsidRPr="009422C2">
        <w:t>needs to be understood within a context in which online practi</w:t>
      </w:r>
      <w:r w:rsidR="00860F0D">
        <w:t>ces of self-curation and idealis</w:t>
      </w:r>
      <w:r w:rsidRPr="009422C2">
        <w:t>ed portraya</w:t>
      </w:r>
      <w:r w:rsidR="00860F0D">
        <w:t>ls of the body/self are normalis</w:t>
      </w:r>
      <w:r w:rsidRPr="009422C2">
        <w:t>ed</w:t>
      </w:r>
      <w:r w:rsidR="00ED630C">
        <w:t xml:space="preserve">. </w:t>
      </w:r>
      <w:r w:rsidRPr="009422C2">
        <w:t xml:space="preserve">While there are obvious differences between the sharing of </w:t>
      </w:r>
      <w:r w:rsidR="00ED630C">
        <w:t xml:space="preserve">nude </w:t>
      </w:r>
      <w:r w:rsidRPr="009422C2">
        <w:t xml:space="preserve">images and </w:t>
      </w:r>
      <w:r w:rsidR="00ED630C">
        <w:t xml:space="preserve">(semi) clothed images </w:t>
      </w:r>
      <w:r w:rsidR="00974FE5">
        <w:t xml:space="preserve">- </w:t>
      </w:r>
      <w:r w:rsidR="00ED630C">
        <w:t xml:space="preserve">which may be </w:t>
      </w:r>
      <w:r w:rsidRPr="009422C2">
        <w:t>provocative but not sexually explicit</w:t>
      </w:r>
      <w:r w:rsidR="00974FE5">
        <w:t xml:space="preserve"> -</w:t>
      </w:r>
      <w:r w:rsidRPr="009422C2">
        <w:t xml:space="preserve"> it is clear that a culture of display </w:t>
      </w:r>
      <w:r w:rsidR="007B1DAC">
        <w:t xml:space="preserve">has become </w:t>
      </w:r>
      <w:r w:rsidRPr="009422C2">
        <w:t xml:space="preserve">entrenched. Furthermore, this </w:t>
      </w:r>
      <w:r w:rsidR="00145C1A">
        <w:t xml:space="preserve">culture of display </w:t>
      </w:r>
      <w:r w:rsidRPr="009422C2">
        <w:t xml:space="preserve">is </w:t>
      </w:r>
      <w:r w:rsidR="00145C1A">
        <w:t xml:space="preserve">itself </w:t>
      </w:r>
      <w:r w:rsidRPr="009422C2">
        <w:t xml:space="preserve">indexed to </w:t>
      </w:r>
      <w:r w:rsidR="007B1DAC">
        <w:t xml:space="preserve">modern </w:t>
      </w:r>
      <w:r w:rsidR="00145C1A">
        <w:t xml:space="preserve">modes </w:t>
      </w:r>
      <w:r w:rsidR="007B1DAC">
        <w:t xml:space="preserve">of </w:t>
      </w:r>
      <w:r w:rsidRPr="009422C2">
        <w:t>identity</w:t>
      </w:r>
      <w:r w:rsidR="007B1DAC">
        <w:t xml:space="preserve"> formation and </w:t>
      </w:r>
      <w:r w:rsidR="00145C1A">
        <w:t xml:space="preserve">changing forms of </w:t>
      </w:r>
      <w:r w:rsidRPr="009422C2">
        <w:t xml:space="preserve">validation of the self by others (see Bauman, 2011). Aside from raising important questions about the changing nature of privacy and intimacy in the modern world, the </w:t>
      </w:r>
      <w:r w:rsidR="00145C1A">
        <w:t xml:space="preserve">identification </w:t>
      </w:r>
      <w:r w:rsidRPr="009422C2">
        <w:t xml:space="preserve">of </w:t>
      </w:r>
      <w:r w:rsidR="00145C1A">
        <w:t xml:space="preserve">ambiguous </w:t>
      </w:r>
      <w:r w:rsidRPr="009422C2">
        <w:t xml:space="preserve">grey areas </w:t>
      </w:r>
      <w:r w:rsidR="00145C1A">
        <w:t xml:space="preserve">of practice </w:t>
      </w:r>
      <w:r w:rsidR="00974FE5">
        <w:t xml:space="preserve">palpably </w:t>
      </w:r>
      <w:r w:rsidR="00145C1A" w:rsidRPr="00145C1A">
        <w:t>jarred</w:t>
      </w:r>
      <w:r w:rsidR="00145C1A">
        <w:t xml:space="preserve"> with </w:t>
      </w:r>
      <w:r w:rsidRPr="009422C2">
        <w:t>the absolute lines drawn by practitioners. While the risks of CSE were understood and largely accepted, for some, legal codes on the sending and sharing of sexual images were out of kilter with contemporary intimate relationships:</w:t>
      </w:r>
    </w:p>
    <w:p w14:paraId="08CCB890" w14:textId="77777777" w:rsidR="00A355F9" w:rsidRPr="009422C2" w:rsidRDefault="00A355F9" w:rsidP="00EB603F">
      <w:pPr>
        <w:spacing w:line="480" w:lineRule="auto"/>
        <w:jc w:val="both"/>
      </w:pPr>
    </w:p>
    <w:p w14:paraId="30D1342C" w14:textId="02627BF0" w:rsidR="00A355F9" w:rsidRPr="009422C2" w:rsidRDefault="00A355F9" w:rsidP="00EB603F">
      <w:pPr>
        <w:spacing w:line="480" w:lineRule="auto"/>
        <w:ind w:left="567" w:right="571"/>
        <w:jc w:val="both"/>
      </w:pPr>
      <w:r w:rsidRPr="009422C2">
        <w:t xml:space="preserve">‘I understand why you shouldn’t send [indecent images] and why it’s classed as an indecent image because even if you send it to your boyfriend you don’t know what they might do with it. But it is part of our relationships now’ (Megan, </w:t>
      </w:r>
      <w:r w:rsidR="000C1E1E" w:rsidRPr="009422C2">
        <w:t>F</w:t>
      </w:r>
      <w:r w:rsidRPr="009422C2">
        <w:t xml:space="preserve">ocus group </w:t>
      </w:r>
      <w:r w:rsidR="006F7D97" w:rsidRPr="009422C2">
        <w:t>2</w:t>
      </w:r>
      <w:r w:rsidRPr="009422C2">
        <w:t>).</w:t>
      </w:r>
    </w:p>
    <w:p w14:paraId="64CB36E0" w14:textId="77777777" w:rsidR="00A355F9" w:rsidRPr="009422C2" w:rsidRDefault="00A355F9" w:rsidP="00EB603F">
      <w:pPr>
        <w:spacing w:line="480" w:lineRule="auto"/>
        <w:ind w:left="567" w:right="571"/>
        <w:jc w:val="both"/>
      </w:pPr>
    </w:p>
    <w:p w14:paraId="630526BC" w14:textId="54988448" w:rsidR="00A355F9" w:rsidRPr="009422C2" w:rsidRDefault="00145C1A" w:rsidP="00EB603F">
      <w:pPr>
        <w:spacing w:line="480" w:lineRule="auto"/>
        <w:jc w:val="both"/>
        <w:rPr>
          <w:color w:val="2A2A2A"/>
          <w:shd w:val="clear" w:color="auto" w:fill="FFFFFF"/>
        </w:rPr>
      </w:pPr>
      <w:r>
        <w:t xml:space="preserve">Megan’s </w:t>
      </w:r>
      <w:r w:rsidR="00A355F9" w:rsidRPr="009422C2">
        <w:t xml:space="preserve">observation </w:t>
      </w:r>
      <w:r>
        <w:t xml:space="preserve">highlights a </w:t>
      </w:r>
      <w:r w:rsidR="00A355F9" w:rsidRPr="009422C2">
        <w:t>disjuncture between rigid legal frameworks and fl</w:t>
      </w:r>
      <w:r>
        <w:t xml:space="preserve">uid cultural contexts of action. This raises </w:t>
      </w:r>
      <w:r w:rsidR="00A355F9" w:rsidRPr="009422C2">
        <w:t xml:space="preserve">a conundrum not </w:t>
      </w:r>
      <w:r w:rsidR="00C87A16">
        <w:t xml:space="preserve">articulated </w:t>
      </w:r>
      <w:r w:rsidR="00A355F9" w:rsidRPr="009422C2">
        <w:t>by those delivering the programme</w:t>
      </w:r>
      <w:r>
        <w:t xml:space="preserve"> around contemporary intimacy rituals and the </w:t>
      </w:r>
      <w:r w:rsidRPr="009422C2">
        <w:t xml:space="preserve">sharing of </w:t>
      </w:r>
      <w:r w:rsidRPr="009422C2">
        <w:lastRenderedPageBreak/>
        <w:t>explicit body images</w:t>
      </w:r>
      <w:r>
        <w:t>. For many young people</w:t>
      </w:r>
      <w:r w:rsidRPr="009422C2">
        <w:t xml:space="preserve"> </w:t>
      </w:r>
      <w:r w:rsidR="00A355F9" w:rsidRPr="009422C2">
        <w:t>‘</w:t>
      </w:r>
      <w:r w:rsidR="00A355F9" w:rsidRPr="009422C2" w:rsidDel="001745E8">
        <w:t>s</w:t>
      </w:r>
      <w:r>
        <w:t xml:space="preserve">exting’ has become </w:t>
      </w:r>
      <w:r w:rsidR="00A355F9" w:rsidRPr="009422C2">
        <w:t xml:space="preserve">a stage of courtship and </w:t>
      </w:r>
      <w:r w:rsidR="003010A0">
        <w:t xml:space="preserve">integral to </w:t>
      </w:r>
      <w:r w:rsidR="00A355F9" w:rsidRPr="009422C2">
        <w:t>the forming of sexual relationships. As Lee and Crofts (2015</w:t>
      </w:r>
      <w:r>
        <w:t>: 469</w:t>
      </w:r>
      <w:r w:rsidR="00A355F9" w:rsidRPr="009422C2">
        <w:t>) suggest, the</w:t>
      </w:r>
      <w:r>
        <w:t>re are assorted</w:t>
      </w:r>
      <w:r w:rsidR="00A355F9" w:rsidRPr="009422C2">
        <w:t xml:space="preserve"> motivations for such practices amongst young people, including </w:t>
      </w:r>
      <w:r>
        <w:t xml:space="preserve">‘feeling </w:t>
      </w:r>
      <w:r w:rsidR="00A355F9" w:rsidRPr="009422C2">
        <w:t>fun and flirtatious’</w:t>
      </w:r>
      <w:r w:rsidR="00A355F9" w:rsidRPr="009422C2" w:rsidDel="00CC5686">
        <w:t xml:space="preserve"> </w:t>
      </w:r>
      <w:r w:rsidR="00A355F9" w:rsidRPr="009422C2">
        <w:rPr>
          <w:color w:val="2A2A2A"/>
          <w:shd w:val="clear" w:color="auto" w:fill="FFFFFF"/>
        </w:rPr>
        <w:t>or ‘gifting’ a present to a partner. While the research findings of Ringrose, et al (2012) suggest that sexting predominantly arises as a consequence of coercion</w:t>
      </w:r>
      <w:r w:rsidR="00C87A16">
        <w:rPr>
          <w:color w:val="2A2A2A"/>
          <w:shd w:val="clear" w:color="auto" w:fill="FFFFFF"/>
        </w:rPr>
        <w:t>, thus invoking</w:t>
      </w:r>
      <w:r w:rsidR="00A355F9" w:rsidRPr="009422C2">
        <w:rPr>
          <w:color w:val="2A2A2A"/>
          <w:shd w:val="clear" w:color="auto" w:fill="FFFFFF"/>
        </w:rPr>
        <w:t xml:space="preserve"> ‘new sexual risks’ (</w:t>
      </w:r>
      <w:r w:rsidR="00A355F9" w:rsidRPr="009422C2">
        <w:rPr>
          <w:color w:val="000000"/>
          <w:shd w:val="clear" w:color="auto" w:fill="FFFFFF"/>
        </w:rPr>
        <w:t>Benotsch, et al. 2013:</w:t>
      </w:r>
      <w:r w:rsidR="003010A0">
        <w:rPr>
          <w:color w:val="000000"/>
          <w:shd w:val="clear" w:color="auto" w:fill="FFFFFF"/>
        </w:rPr>
        <w:t xml:space="preserve"> </w:t>
      </w:r>
      <w:r w:rsidR="00A355F9" w:rsidRPr="009422C2">
        <w:rPr>
          <w:color w:val="000000"/>
          <w:shd w:val="clear" w:color="auto" w:fill="FFFFFF"/>
        </w:rPr>
        <w:t>307)</w:t>
      </w:r>
      <w:r w:rsidR="00A355F9" w:rsidRPr="009422C2">
        <w:rPr>
          <w:color w:val="2A2A2A"/>
          <w:shd w:val="clear" w:color="auto" w:fill="FFFFFF"/>
        </w:rPr>
        <w:t>, the findings of our study suggest a much more complex and varied set of dynamics</w:t>
      </w:r>
      <w:r>
        <w:rPr>
          <w:color w:val="2A2A2A"/>
          <w:shd w:val="clear" w:color="auto" w:fill="FFFFFF"/>
        </w:rPr>
        <w:t xml:space="preserve"> </w:t>
      </w:r>
      <w:r w:rsidR="003010A0">
        <w:rPr>
          <w:color w:val="2A2A2A"/>
          <w:shd w:val="clear" w:color="auto" w:fill="FFFFFF"/>
        </w:rPr>
        <w:t xml:space="preserve">are at play. </w:t>
      </w:r>
      <w:r w:rsidR="00A355F9" w:rsidRPr="009422C2">
        <w:rPr>
          <w:color w:val="2A2A2A"/>
          <w:shd w:val="clear" w:color="auto" w:fill="FFFFFF"/>
        </w:rPr>
        <w:t xml:space="preserve">Mirroring the findings of Lee and Crofts (2015), we would concur that the sharing of sexual images amongst young people can be mutually gratifying and sometimes serves as a ‘holding stage’ for those wishing to delay a physical relationship. While this was not formally acknowledged by practitioners during presentations it was, nonetheless, informally appreciated. As Audrey, a safeguarding lead, remarked: </w:t>
      </w:r>
    </w:p>
    <w:p w14:paraId="57ABE1B2" w14:textId="77777777" w:rsidR="00A355F9" w:rsidRPr="009422C2" w:rsidRDefault="00A355F9" w:rsidP="00EB603F">
      <w:pPr>
        <w:spacing w:line="480" w:lineRule="auto"/>
        <w:jc w:val="both"/>
      </w:pPr>
    </w:p>
    <w:p w14:paraId="77FE5CFA" w14:textId="0DC3112E" w:rsidR="00A355F9" w:rsidRPr="009422C2" w:rsidRDefault="00A355F9" w:rsidP="00EB603F">
      <w:pPr>
        <w:spacing w:line="480" w:lineRule="auto"/>
        <w:ind w:left="567" w:right="571"/>
        <w:jc w:val="both"/>
      </w:pPr>
      <w:r w:rsidRPr="009422C2">
        <w:t>‘Sending images can often act as a protective factor, rather than a risk factor - particularly for those who might not be ready f</w:t>
      </w:r>
      <w:r w:rsidR="00C87A16">
        <w:t>or a sexual relationship’.</w:t>
      </w:r>
    </w:p>
    <w:p w14:paraId="7441D190" w14:textId="2C450B8E" w:rsidR="00A355F9" w:rsidRPr="009422C2" w:rsidRDefault="00A355F9" w:rsidP="00EB603F">
      <w:pPr>
        <w:pStyle w:val="NormalWeb"/>
        <w:spacing w:line="480" w:lineRule="auto"/>
        <w:ind w:right="4"/>
        <w:jc w:val="both"/>
        <w:rPr>
          <w:rFonts w:ascii="Times New Roman" w:hAnsi="Times New Roman" w:cs="Times New Roman"/>
          <w:sz w:val="24"/>
          <w:szCs w:val="24"/>
        </w:rPr>
      </w:pPr>
      <w:r w:rsidRPr="009422C2">
        <w:rPr>
          <w:rFonts w:ascii="Times New Roman" w:eastAsia="Times New Roman" w:hAnsi="Times New Roman" w:cs="Times New Roman"/>
          <w:sz w:val="24"/>
          <w:szCs w:val="24"/>
        </w:rPr>
        <w:t xml:space="preserve">It is </w:t>
      </w:r>
      <w:r w:rsidR="00C87A16">
        <w:rPr>
          <w:rFonts w:ascii="Times New Roman" w:eastAsia="Times New Roman" w:hAnsi="Times New Roman" w:cs="Times New Roman"/>
          <w:sz w:val="24"/>
          <w:szCs w:val="24"/>
        </w:rPr>
        <w:t>at this junct</w:t>
      </w:r>
      <w:r w:rsidR="003010A0">
        <w:rPr>
          <w:rFonts w:ascii="Times New Roman" w:eastAsia="Times New Roman" w:hAnsi="Times New Roman" w:cs="Times New Roman"/>
          <w:sz w:val="24"/>
          <w:szCs w:val="24"/>
        </w:rPr>
        <w:t>ure</w:t>
      </w:r>
      <w:r w:rsidR="00C87A16">
        <w:rPr>
          <w:rFonts w:ascii="Times New Roman" w:eastAsia="Times New Roman" w:hAnsi="Times New Roman" w:cs="Times New Roman"/>
          <w:sz w:val="24"/>
          <w:szCs w:val="24"/>
        </w:rPr>
        <w:t xml:space="preserve"> that a </w:t>
      </w:r>
      <w:r w:rsidR="003010A0">
        <w:rPr>
          <w:rFonts w:ascii="Times New Roman" w:eastAsia="Times New Roman" w:hAnsi="Times New Roman" w:cs="Times New Roman"/>
          <w:sz w:val="24"/>
          <w:szCs w:val="24"/>
        </w:rPr>
        <w:t xml:space="preserve">clash </w:t>
      </w:r>
      <w:r w:rsidRPr="009422C2">
        <w:rPr>
          <w:rFonts w:ascii="Times New Roman" w:eastAsia="Times New Roman" w:hAnsi="Times New Roman" w:cs="Times New Roman"/>
          <w:sz w:val="24"/>
          <w:szCs w:val="24"/>
        </w:rPr>
        <w:t xml:space="preserve">occurs between </w:t>
      </w:r>
      <w:r w:rsidR="00C87A16">
        <w:rPr>
          <w:rFonts w:ascii="Times New Roman" w:eastAsia="Times New Roman" w:hAnsi="Times New Roman" w:cs="Times New Roman"/>
          <w:sz w:val="24"/>
          <w:szCs w:val="24"/>
        </w:rPr>
        <w:t xml:space="preserve">a </w:t>
      </w:r>
      <w:r w:rsidRPr="009422C2">
        <w:rPr>
          <w:rFonts w:ascii="Times New Roman" w:eastAsia="Times New Roman" w:hAnsi="Times New Roman" w:cs="Times New Roman"/>
          <w:sz w:val="24"/>
          <w:szCs w:val="24"/>
        </w:rPr>
        <w:t>deterrence oriented</w:t>
      </w:r>
      <w:r w:rsidR="00FC7D00" w:rsidRPr="009422C2">
        <w:rPr>
          <w:rFonts w:ascii="Times New Roman" w:eastAsia="Times New Roman" w:hAnsi="Times New Roman" w:cs="Times New Roman"/>
          <w:sz w:val="24"/>
          <w:szCs w:val="24"/>
        </w:rPr>
        <w:t>-</w:t>
      </w:r>
      <w:r w:rsidRPr="009422C2">
        <w:rPr>
          <w:rFonts w:ascii="Times New Roman" w:eastAsia="Times New Roman" w:hAnsi="Times New Roman" w:cs="Times New Roman"/>
          <w:sz w:val="24"/>
          <w:szCs w:val="24"/>
        </w:rPr>
        <w:t xml:space="preserve">approach </w:t>
      </w:r>
      <w:r w:rsidR="00857458">
        <w:rPr>
          <w:rFonts w:ascii="Times New Roman" w:eastAsia="Times New Roman" w:hAnsi="Times New Roman" w:cs="Times New Roman"/>
          <w:sz w:val="24"/>
          <w:szCs w:val="24"/>
        </w:rPr>
        <w:t>directed</w:t>
      </w:r>
      <w:r w:rsidR="003010A0">
        <w:rPr>
          <w:rFonts w:ascii="Times New Roman" w:eastAsia="Times New Roman" w:hAnsi="Times New Roman" w:cs="Times New Roman"/>
          <w:sz w:val="24"/>
          <w:szCs w:val="24"/>
        </w:rPr>
        <w:t xml:space="preserve"> toward reducing risk </w:t>
      </w:r>
      <w:r w:rsidRPr="009422C2">
        <w:rPr>
          <w:rFonts w:ascii="Times New Roman" w:eastAsia="Times New Roman" w:hAnsi="Times New Roman" w:cs="Times New Roman"/>
          <w:sz w:val="24"/>
          <w:szCs w:val="24"/>
        </w:rPr>
        <w:t>and the complicated business of</w:t>
      </w:r>
      <w:r w:rsidR="003010A0">
        <w:rPr>
          <w:rFonts w:ascii="Times New Roman" w:eastAsia="Times New Roman" w:hAnsi="Times New Roman" w:cs="Times New Roman"/>
          <w:sz w:val="24"/>
          <w:szCs w:val="24"/>
        </w:rPr>
        <w:t xml:space="preserve"> forming</w:t>
      </w:r>
      <w:r w:rsidRPr="009422C2">
        <w:rPr>
          <w:rFonts w:ascii="Times New Roman" w:eastAsia="Times New Roman" w:hAnsi="Times New Roman" w:cs="Times New Roman"/>
          <w:sz w:val="24"/>
          <w:szCs w:val="24"/>
        </w:rPr>
        <w:t xml:space="preserve"> intimate relati</w:t>
      </w:r>
      <w:r w:rsidR="00C87A16">
        <w:rPr>
          <w:rFonts w:ascii="Times New Roman" w:eastAsia="Times New Roman" w:hAnsi="Times New Roman" w:cs="Times New Roman"/>
          <w:sz w:val="24"/>
          <w:szCs w:val="24"/>
        </w:rPr>
        <w:t>onships in</w:t>
      </w:r>
      <w:r w:rsidR="00974FE5">
        <w:rPr>
          <w:rFonts w:ascii="Times New Roman" w:eastAsia="Times New Roman" w:hAnsi="Times New Roman" w:cs="Times New Roman"/>
          <w:sz w:val="24"/>
          <w:szCs w:val="24"/>
        </w:rPr>
        <w:t xml:space="preserve"> a fast evolving world. We would assert that</w:t>
      </w:r>
      <w:r w:rsidR="003010A0">
        <w:rPr>
          <w:rFonts w:ascii="Times New Roman" w:eastAsia="Times New Roman" w:hAnsi="Times New Roman" w:cs="Times New Roman"/>
          <w:sz w:val="24"/>
          <w:szCs w:val="24"/>
        </w:rPr>
        <w:t xml:space="preserve"> the current parameters under which practitioners must operate leads to </w:t>
      </w:r>
      <w:r w:rsidR="00C87A16">
        <w:rPr>
          <w:rFonts w:ascii="Times New Roman" w:eastAsia="Times New Roman" w:hAnsi="Times New Roman" w:cs="Times New Roman"/>
          <w:sz w:val="24"/>
          <w:szCs w:val="24"/>
        </w:rPr>
        <w:t xml:space="preserve">complexity reduction and the muting of certain subjects. Our </w:t>
      </w:r>
      <w:r w:rsidRPr="009422C2">
        <w:rPr>
          <w:rFonts w:ascii="Times New Roman" w:eastAsia="Times New Roman" w:hAnsi="Times New Roman" w:cs="Times New Roman"/>
          <w:sz w:val="24"/>
          <w:szCs w:val="24"/>
        </w:rPr>
        <w:t xml:space="preserve">focus group discussions revealed </w:t>
      </w:r>
      <w:r w:rsidR="003010A0">
        <w:rPr>
          <w:rFonts w:ascii="Times New Roman" w:eastAsia="Times New Roman" w:hAnsi="Times New Roman" w:cs="Times New Roman"/>
          <w:sz w:val="24"/>
          <w:szCs w:val="24"/>
        </w:rPr>
        <w:t xml:space="preserve">a range of ways in which </w:t>
      </w:r>
      <w:r w:rsidR="00C87A16">
        <w:rPr>
          <w:rFonts w:ascii="Times New Roman" w:eastAsia="Times New Roman" w:hAnsi="Times New Roman" w:cs="Times New Roman"/>
          <w:sz w:val="24"/>
          <w:szCs w:val="24"/>
        </w:rPr>
        <w:t xml:space="preserve">the sharing of images - sexual or otherwise </w:t>
      </w:r>
      <w:r w:rsidR="003010A0">
        <w:rPr>
          <w:rFonts w:ascii="Times New Roman" w:eastAsia="Times New Roman" w:hAnsi="Times New Roman" w:cs="Times New Roman"/>
          <w:sz w:val="24"/>
          <w:szCs w:val="24"/>
        </w:rPr>
        <w:t>-</w:t>
      </w:r>
      <w:r w:rsidR="00C87A16">
        <w:rPr>
          <w:rFonts w:ascii="Times New Roman" w:eastAsia="Times New Roman" w:hAnsi="Times New Roman" w:cs="Times New Roman"/>
          <w:sz w:val="24"/>
          <w:szCs w:val="24"/>
        </w:rPr>
        <w:t xml:space="preserve"> </w:t>
      </w:r>
      <w:r w:rsidR="003010A0">
        <w:rPr>
          <w:rFonts w:ascii="Times New Roman" w:eastAsia="Times New Roman" w:hAnsi="Times New Roman" w:cs="Times New Roman"/>
          <w:sz w:val="24"/>
          <w:szCs w:val="24"/>
        </w:rPr>
        <w:t xml:space="preserve">can support </w:t>
      </w:r>
      <w:r w:rsidRPr="009422C2">
        <w:rPr>
          <w:rFonts w:ascii="Times New Roman" w:eastAsia="Times New Roman" w:hAnsi="Times New Roman" w:cs="Times New Roman"/>
          <w:sz w:val="24"/>
          <w:szCs w:val="24"/>
        </w:rPr>
        <w:t xml:space="preserve">body confidence and </w:t>
      </w:r>
      <w:r w:rsidR="003010A0">
        <w:rPr>
          <w:rFonts w:ascii="Times New Roman" w:eastAsia="Times New Roman" w:hAnsi="Times New Roman" w:cs="Times New Roman"/>
          <w:sz w:val="24"/>
          <w:szCs w:val="24"/>
        </w:rPr>
        <w:t xml:space="preserve">enhance </w:t>
      </w:r>
      <w:r w:rsidRPr="009422C2">
        <w:rPr>
          <w:rFonts w:ascii="Times New Roman" w:eastAsia="Times New Roman" w:hAnsi="Times New Roman" w:cs="Times New Roman"/>
          <w:sz w:val="24"/>
          <w:szCs w:val="24"/>
        </w:rPr>
        <w:t xml:space="preserve">self-esteem. While some have suggested that </w:t>
      </w:r>
      <w:r w:rsidRPr="009422C2">
        <w:rPr>
          <w:rFonts w:ascii="Times New Roman" w:hAnsi="Times New Roman" w:cs="Times New Roman"/>
          <w:sz w:val="24"/>
          <w:szCs w:val="24"/>
        </w:rPr>
        <w:t xml:space="preserve">body confidence and empowerment might involve choosing to participate in body display as a public exercise of sexual </w:t>
      </w:r>
      <w:r w:rsidRPr="009422C2">
        <w:rPr>
          <w:rFonts w:ascii="Times New Roman" w:hAnsi="Times New Roman" w:cs="Times New Roman"/>
          <w:sz w:val="24"/>
          <w:szCs w:val="24"/>
        </w:rPr>
        <w:lastRenderedPageBreak/>
        <w:t xml:space="preserve">agency </w:t>
      </w:r>
      <w:r w:rsidRPr="009422C2">
        <w:rPr>
          <w:rFonts w:ascii="Times New Roman" w:eastAsia="Times New Roman" w:hAnsi="Times New Roman" w:cs="Times New Roman"/>
          <w:sz w:val="24"/>
          <w:szCs w:val="24"/>
        </w:rPr>
        <w:t xml:space="preserve">(Albury, 2015), our data revealed that body confidence can also be derived from </w:t>
      </w:r>
      <w:r w:rsidR="00974FE5">
        <w:rPr>
          <w:rFonts w:ascii="Times New Roman" w:eastAsia="Times New Roman" w:hAnsi="Times New Roman" w:cs="Times New Roman"/>
          <w:sz w:val="24"/>
          <w:szCs w:val="24"/>
        </w:rPr>
        <w:t xml:space="preserve">external </w:t>
      </w:r>
      <w:r w:rsidRPr="009422C2">
        <w:rPr>
          <w:rFonts w:ascii="Times New Roman" w:eastAsia="Times New Roman" w:hAnsi="Times New Roman" w:cs="Times New Roman"/>
          <w:sz w:val="24"/>
          <w:szCs w:val="24"/>
        </w:rPr>
        <w:t>affirmation of</w:t>
      </w:r>
      <w:r w:rsidR="00974FE5">
        <w:rPr>
          <w:rFonts w:ascii="Times New Roman" w:eastAsia="Times New Roman" w:hAnsi="Times New Roman" w:cs="Times New Roman"/>
          <w:sz w:val="24"/>
          <w:szCs w:val="24"/>
        </w:rPr>
        <w:t xml:space="preserve"> shared</w:t>
      </w:r>
      <w:r w:rsidRPr="009422C2">
        <w:rPr>
          <w:rFonts w:ascii="Times New Roman" w:eastAsia="Times New Roman" w:hAnsi="Times New Roman" w:cs="Times New Roman"/>
          <w:sz w:val="24"/>
          <w:szCs w:val="24"/>
        </w:rPr>
        <w:t xml:space="preserve"> images: </w:t>
      </w:r>
    </w:p>
    <w:p w14:paraId="1C116D23" w14:textId="6FD9090B" w:rsidR="00A355F9" w:rsidRPr="009422C2" w:rsidRDefault="00A355F9" w:rsidP="00EB603F">
      <w:pPr>
        <w:spacing w:line="480" w:lineRule="auto"/>
        <w:ind w:left="567" w:right="571"/>
        <w:jc w:val="both"/>
      </w:pPr>
      <w:r w:rsidRPr="009422C2">
        <w:t>‘Yes, because I think it’s personally the idea of</w:t>
      </w:r>
      <w:r w:rsidR="00974FE5">
        <w:t>: “O</w:t>
      </w:r>
      <w:r w:rsidRPr="009422C2">
        <w:t>h, I just took a picture of myself.  That’s my better-looking self.  So, I’ll post that for everyone to see my better half</w:t>
      </w:r>
      <w:r w:rsidR="00974FE5">
        <w:t>”</w:t>
      </w:r>
      <w:r w:rsidRPr="009422C2">
        <w:t xml:space="preserve">.  So, you’re just showing the best side of you, online.  Some people will like it and those people, you want to see and like your picture. </w:t>
      </w:r>
      <w:r w:rsidR="00C87A16">
        <w:t>It’s a confidence boost’ (Cassandra</w:t>
      </w:r>
      <w:r w:rsidRPr="009422C2">
        <w:t xml:space="preserve">, </w:t>
      </w:r>
      <w:r w:rsidR="00C87A16">
        <w:t>Focus G</w:t>
      </w:r>
      <w:r w:rsidRPr="009422C2">
        <w:t xml:space="preserve">roup </w:t>
      </w:r>
      <w:r w:rsidR="006F7D97" w:rsidRPr="009422C2">
        <w:t>4</w:t>
      </w:r>
      <w:r w:rsidRPr="009422C2">
        <w:t>).</w:t>
      </w:r>
    </w:p>
    <w:p w14:paraId="639499E0" w14:textId="77777777" w:rsidR="00A355F9" w:rsidRPr="009422C2" w:rsidRDefault="00A355F9" w:rsidP="00EB603F">
      <w:pPr>
        <w:spacing w:line="480" w:lineRule="auto"/>
        <w:ind w:left="567" w:right="571"/>
        <w:jc w:val="both"/>
      </w:pPr>
    </w:p>
    <w:p w14:paraId="56E00F20" w14:textId="743CEF9E" w:rsidR="00A355F9" w:rsidRPr="009422C2" w:rsidRDefault="00A355F9" w:rsidP="00EB603F">
      <w:pPr>
        <w:spacing w:line="480" w:lineRule="auto"/>
        <w:ind w:left="567" w:right="571"/>
        <w:jc w:val="both"/>
      </w:pPr>
      <w:r w:rsidRPr="009422C2">
        <w:t xml:space="preserve">‘It [Instagram likes] boosts your confidence. Not mine, personally, but people that have got, what, 500 likes? They seem so much more confident than someone that’s only got 10 or something. And friends. It’s the same for friends’. (Jessica, </w:t>
      </w:r>
      <w:r w:rsidR="00C87A16">
        <w:t>Focus G</w:t>
      </w:r>
      <w:r w:rsidRPr="009422C2">
        <w:t xml:space="preserve">roup </w:t>
      </w:r>
      <w:r w:rsidR="006F7D97" w:rsidRPr="009422C2">
        <w:t>4</w:t>
      </w:r>
      <w:r w:rsidRPr="009422C2">
        <w:t>).</w:t>
      </w:r>
    </w:p>
    <w:p w14:paraId="6CB115EA" w14:textId="77777777" w:rsidR="00A355F9" w:rsidRPr="009422C2" w:rsidRDefault="00A355F9" w:rsidP="00EB603F">
      <w:pPr>
        <w:spacing w:line="480" w:lineRule="auto"/>
        <w:ind w:left="567" w:right="571"/>
        <w:jc w:val="both"/>
      </w:pPr>
    </w:p>
    <w:p w14:paraId="1EB20708" w14:textId="74DA5041" w:rsidR="00A355F9" w:rsidRPr="009422C2" w:rsidRDefault="00A355F9" w:rsidP="005F4206">
      <w:pPr>
        <w:spacing w:line="480" w:lineRule="auto"/>
        <w:jc w:val="both"/>
      </w:pPr>
      <w:r w:rsidRPr="009422C2">
        <w:t>Despite the</w:t>
      </w:r>
      <w:r w:rsidR="00974FE5">
        <w:t xml:space="preserve"> potentially positive and affirmative dimensions of</w:t>
      </w:r>
      <w:r w:rsidRPr="009422C2">
        <w:t xml:space="preserve"> experiences and interactions </w:t>
      </w:r>
      <w:r w:rsidR="00F52BDE">
        <w:t xml:space="preserve">associated with </w:t>
      </w:r>
      <w:r w:rsidRPr="009422C2">
        <w:t xml:space="preserve">image sharing, the </w:t>
      </w:r>
      <w:r w:rsidR="00F52BDE">
        <w:t xml:space="preserve">advice of </w:t>
      </w:r>
      <w:r w:rsidRPr="009422C2">
        <w:t xml:space="preserve">the CSE team </w:t>
      </w:r>
      <w:r w:rsidR="00F52BDE">
        <w:t xml:space="preserve">to </w:t>
      </w:r>
      <w:r w:rsidRPr="009422C2">
        <w:t xml:space="preserve">young people </w:t>
      </w:r>
      <w:r w:rsidR="00497198">
        <w:t xml:space="preserve">is </w:t>
      </w:r>
      <w:r w:rsidRPr="009422C2">
        <w:t>to simply abstain from the activity. As the c</w:t>
      </w:r>
      <w:r w:rsidR="00C87A16">
        <w:t>onversations above suggest, the</w:t>
      </w:r>
      <w:r w:rsidRPr="009422C2">
        <w:t xml:space="preserve"> </w:t>
      </w:r>
      <w:r w:rsidR="00295DC5" w:rsidRPr="00295DC5">
        <w:t>inelasticity</w:t>
      </w:r>
      <w:r w:rsidR="00C87A16">
        <w:t xml:space="preserve"> of this</w:t>
      </w:r>
      <w:r w:rsidRPr="009422C2">
        <w:t xml:space="preserve"> approach </w:t>
      </w:r>
      <w:r w:rsidR="00066BAE">
        <w:t xml:space="preserve">negates the complexity of </w:t>
      </w:r>
      <w:r w:rsidRPr="009422C2">
        <w:t xml:space="preserve">young people’s relationships and their </w:t>
      </w:r>
      <w:r w:rsidR="00295DC5">
        <w:t>motivations for image sharing. Further, t</w:t>
      </w:r>
      <w:r w:rsidRPr="009422C2">
        <w:t xml:space="preserve">he </w:t>
      </w:r>
      <w:r w:rsidR="000B2331">
        <w:t>focus on deterrence</w:t>
      </w:r>
      <w:r w:rsidRPr="009422C2">
        <w:t xml:space="preserve"> runs somewhat contrary to the harm reduction approach suggested by Lunceford (2011:</w:t>
      </w:r>
      <w:r w:rsidR="000B2331">
        <w:t xml:space="preserve"> </w:t>
      </w:r>
      <w:r w:rsidRPr="009422C2">
        <w:t>111)</w:t>
      </w:r>
      <w:r w:rsidR="00497198">
        <w:t>,</w:t>
      </w:r>
      <w:r w:rsidR="00EB603F" w:rsidRPr="009422C2">
        <w:t xml:space="preserve"> </w:t>
      </w:r>
      <w:r w:rsidRPr="009422C2">
        <w:t>who propose</w:t>
      </w:r>
      <w:r w:rsidR="00295DC5">
        <w:t>s</w:t>
      </w:r>
      <w:r w:rsidRPr="009422C2">
        <w:t xml:space="preserve"> that education methods should teach young people ‘how to minimise the harm to themselves, as well as others, as they perform their sexuality’.</w:t>
      </w:r>
      <w:r w:rsidR="005F4206">
        <w:t xml:space="preserve"> </w:t>
      </w:r>
      <w:r w:rsidRPr="009422C2">
        <w:t>While the primary</w:t>
      </w:r>
      <w:r w:rsidR="00321F4E">
        <w:t xml:space="preserve"> objective</w:t>
      </w:r>
      <w:r w:rsidRPr="009422C2">
        <w:t xml:space="preserve"> of the initiative </w:t>
      </w:r>
      <w:r w:rsidR="00321F4E">
        <w:t xml:space="preserve">we evaluated </w:t>
      </w:r>
      <w:r w:rsidRPr="009422C2">
        <w:t>was to alert young people to the risk of CSE</w:t>
      </w:r>
      <w:r w:rsidR="00F9306B">
        <w:t xml:space="preserve">, </w:t>
      </w:r>
      <w:r w:rsidR="000B2331">
        <w:t xml:space="preserve">the </w:t>
      </w:r>
      <w:r w:rsidR="00F52BDE">
        <w:t xml:space="preserve">post hoc </w:t>
      </w:r>
      <w:r w:rsidR="000B2331">
        <w:t>dialogue</w:t>
      </w:r>
      <w:r w:rsidRPr="009422C2">
        <w:t xml:space="preserve"> </w:t>
      </w:r>
      <w:r w:rsidR="000B2331">
        <w:t xml:space="preserve">between </w:t>
      </w:r>
      <w:r w:rsidRPr="009422C2">
        <w:t>young people</w:t>
      </w:r>
      <w:r w:rsidR="00321F4E">
        <w:t xml:space="preserve"> that we listened to</w:t>
      </w:r>
      <w:r w:rsidRPr="009422C2">
        <w:t xml:space="preserve"> indicate</w:t>
      </w:r>
      <w:r w:rsidR="00321F4E">
        <w:t>s</w:t>
      </w:r>
      <w:r w:rsidRPr="009422C2">
        <w:t xml:space="preserve"> both </w:t>
      </w:r>
      <w:r w:rsidR="00321F4E">
        <w:t>self-</w:t>
      </w:r>
      <w:r w:rsidRPr="009422C2">
        <w:t>reflexivity in terms of sexual preferences and maturity in terms of managing potential threats.</w:t>
      </w:r>
      <w:r w:rsidRPr="009422C2">
        <w:rPr>
          <w:color w:val="000000"/>
        </w:rPr>
        <w:t xml:space="preserve"> </w:t>
      </w:r>
      <w:r w:rsidR="00321F4E">
        <w:t>The c</w:t>
      </w:r>
      <w:r w:rsidR="005F4206">
        <w:t xml:space="preserve">onversations </w:t>
      </w:r>
      <w:r w:rsidR="00321F4E">
        <w:t xml:space="preserve">we facilitated </w:t>
      </w:r>
      <w:r w:rsidRPr="009422C2">
        <w:t xml:space="preserve">across focus groups </w:t>
      </w:r>
      <w:r w:rsidR="00321F4E">
        <w:lastRenderedPageBreak/>
        <w:t xml:space="preserve">suggests that this group of teenagers exhibited </w:t>
      </w:r>
      <w:r w:rsidRPr="009422C2">
        <w:t>not only high levels of</w:t>
      </w:r>
      <w:r w:rsidR="005F4206">
        <w:t xml:space="preserve"> risk awareness</w:t>
      </w:r>
      <w:r w:rsidRPr="009422C2">
        <w:t xml:space="preserve">, but </w:t>
      </w:r>
      <w:r w:rsidR="00321F4E">
        <w:t xml:space="preserve">were </w:t>
      </w:r>
      <w:r w:rsidR="00497198">
        <w:t xml:space="preserve">also </w:t>
      </w:r>
      <w:r w:rsidR="00321F4E">
        <w:t xml:space="preserve">involved in </w:t>
      </w:r>
      <w:r w:rsidRPr="009422C2">
        <w:t>active an</w:t>
      </w:r>
      <w:r w:rsidR="005F4206">
        <w:t xml:space="preserve">d grounded forms of regulation. These forms of regulation were suggestive of </w:t>
      </w:r>
      <w:r w:rsidRPr="009422C2">
        <w:t>sophistication in managing online interactions, such as those involving contact requests from unknown individuals</w:t>
      </w:r>
      <w:r w:rsidR="005F4206">
        <w:t>,</w:t>
      </w:r>
      <w:r w:rsidRPr="009422C2">
        <w:t xml:space="preserve"> as the exchange between Cora and Jemma shows:</w:t>
      </w:r>
    </w:p>
    <w:p w14:paraId="2EC48E4E" w14:textId="77777777" w:rsidR="00A355F9" w:rsidRPr="009422C2" w:rsidRDefault="00A355F9" w:rsidP="00EB603F">
      <w:pPr>
        <w:autoSpaceDE w:val="0"/>
        <w:autoSpaceDN w:val="0"/>
        <w:adjustRightInd w:val="0"/>
        <w:spacing w:line="480" w:lineRule="auto"/>
        <w:jc w:val="both"/>
        <w:rPr>
          <w:color w:val="000000"/>
        </w:rPr>
      </w:pPr>
    </w:p>
    <w:p w14:paraId="45941C5B" w14:textId="7645D621" w:rsidR="00A355F9" w:rsidRPr="009422C2" w:rsidRDefault="00A355F9" w:rsidP="00EB603F">
      <w:pPr>
        <w:spacing w:line="480" w:lineRule="auto"/>
        <w:ind w:left="567" w:right="571"/>
        <w:jc w:val="both"/>
      </w:pPr>
      <w:r w:rsidRPr="009422C2">
        <w:t>Cora: ‘Yes, like how many people add you from like Africa or something, and start messaging you</w:t>
      </w:r>
      <w:r w:rsidR="00321F4E">
        <w:t>.</w:t>
      </w:r>
      <w:r w:rsidRPr="009422C2">
        <w:t xml:space="preserve">’ </w:t>
      </w:r>
    </w:p>
    <w:p w14:paraId="5E10969D" w14:textId="30131CA7" w:rsidR="00A355F9" w:rsidRPr="009422C2" w:rsidRDefault="00A355F9" w:rsidP="00EB603F">
      <w:pPr>
        <w:spacing w:line="480" w:lineRule="auto"/>
        <w:ind w:left="567" w:right="571"/>
        <w:jc w:val="both"/>
      </w:pPr>
      <w:r w:rsidRPr="009422C2">
        <w:t>Jemma: ‘And it comes up saying, you have no mutual connections with these people, you can still</w:t>
      </w:r>
      <w:r w:rsidR="00321F4E">
        <w:t xml:space="preserve"> …</w:t>
      </w:r>
      <w:r w:rsidRPr="009422C2">
        <w:t xml:space="preserve">’ </w:t>
      </w:r>
    </w:p>
    <w:p w14:paraId="3D6EF0C8" w14:textId="77777777" w:rsidR="00A355F9" w:rsidRPr="009422C2" w:rsidRDefault="00A355F9" w:rsidP="00EB603F">
      <w:pPr>
        <w:spacing w:line="480" w:lineRule="auto"/>
        <w:ind w:left="567" w:right="571"/>
        <w:jc w:val="both"/>
      </w:pPr>
      <w:r w:rsidRPr="009422C2">
        <w:t xml:space="preserve">Cora: ‘I’m like, reject…’ </w:t>
      </w:r>
    </w:p>
    <w:p w14:paraId="64180A23" w14:textId="545FB974" w:rsidR="00A355F9" w:rsidRPr="009422C2" w:rsidRDefault="00A355F9" w:rsidP="00EB603F">
      <w:pPr>
        <w:spacing w:line="480" w:lineRule="auto"/>
        <w:ind w:left="567" w:right="571"/>
        <w:jc w:val="both"/>
      </w:pPr>
      <w:r w:rsidRPr="009422C2">
        <w:t>Jemma: ‘I’ve got loads of them</w:t>
      </w:r>
      <w:r w:rsidR="00321F4E">
        <w:t xml:space="preserve">. </w:t>
      </w:r>
      <w:r w:rsidRPr="009422C2">
        <w:t>I just ignore them all’</w:t>
      </w:r>
      <w:r w:rsidR="005F4206">
        <w:t>.</w:t>
      </w:r>
      <w:r w:rsidRPr="009422C2">
        <w:t xml:space="preserve"> </w:t>
      </w:r>
    </w:p>
    <w:p w14:paraId="0949C69F" w14:textId="42E169C7" w:rsidR="00A355F9" w:rsidRPr="009422C2" w:rsidRDefault="005F4206" w:rsidP="00EB603F">
      <w:pPr>
        <w:spacing w:line="480" w:lineRule="auto"/>
        <w:ind w:left="567" w:right="571"/>
        <w:jc w:val="right"/>
      </w:pPr>
      <w:r>
        <w:t xml:space="preserve">       </w:t>
      </w:r>
      <w:r w:rsidR="00A355F9" w:rsidRPr="009422C2">
        <w:t>(</w:t>
      </w:r>
      <w:r w:rsidR="006F7D97" w:rsidRPr="009422C2">
        <w:t>F</w:t>
      </w:r>
      <w:r>
        <w:t>ocus G</w:t>
      </w:r>
      <w:r w:rsidR="00A355F9" w:rsidRPr="009422C2">
        <w:t xml:space="preserve">roup </w:t>
      </w:r>
      <w:r w:rsidR="006F7D97" w:rsidRPr="009422C2">
        <w:t>3</w:t>
      </w:r>
      <w:r w:rsidR="00A355F9" w:rsidRPr="009422C2">
        <w:t>)</w:t>
      </w:r>
    </w:p>
    <w:p w14:paraId="0AC4C0E1" w14:textId="77777777" w:rsidR="006F7D97" w:rsidRPr="009422C2" w:rsidRDefault="006F7D97" w:rsidP="00EB603F">
      <w:pPr>
        <w:spacing w:line="480" w:lineRule="auto"/>
        <w:ind w:left="567" w:right="571"/>
        <w:jc w:val="right"/>
      </w:pPr>
    </w:p>
    <w:p w14:paraId="6E55766F" w14:textId="775A66F0" w:rsidR="00A355F9" w:rsidRPr="009422C2" w:rsidRDefault="00A355F9" w:rsidP="00EB603F">
      <w:pPr>
        <w:spacing w:line="480" w:lineRule="auto"/>
        <w:jc w:val="both"/>
      </w:pPr>
      <w:r w:rsidRPr="009422C2">
        <w:t xml:space="preserve">Further, </w:t>
      </w:r>
      <w:r w:rsidR="00321F4E">
        <w:t xml:space="preserve">other young people </w:t>
      </w:r>
      <w:r w:rsidRPr="009422C2">
        <w:t>such as Ruby, gave examples of pre-emptive risk mitigation in relation to contact made online by strangers:</w:t>
      </w:r>
    </w:p>
    <w:p w14:paraId="5FAD74C3" w14:textId="77777777" w:rsidR="00A355F9" w:rsidRPr="009422C2" w:rsidRDefault="00A355F9" w:rsidP="00EB603F">
      <w:pPr>
        <w:spacing w:line="480" w:lineRule="auto"/>
        <w:jc w:val="both"/>
      </w:pPr>
    </w:p>
    <w:p w14:paraId="1C65412C" w14:textId="622BF02F" w:rsidR="00A355F9" w:rsidRPr="009422C2" w:rsidRDefault="00A355F9" w:rsidP="00EB603F">
      <w:pPr>
        <w:spacing w:line="480" w:lineRule="auto"/>
        <w:ind w:left="567" w:right="571"/>
        <w:jc w:val="both"/>
      </w:pPr>
      <w:r w:rsidRPr="009422C2">
        <w:t>Ruby: ‘I’ve been on it [Facebook] before, gone on my message requests and I’ve had about five, and I’ve just deleted them all</w:t>
      </w:r>
      <w:r w:rsidR="00321F4E">
        <w:t xml:space="preserve">. </w:t>
      </w:r>
      <w:r w:rsidRPr="009422C2">
        <w:t xml:space="preserve">And </w:t>
      </w:r>
      <w:r w:rsidR="00321F4E">
        <w:t xml:space="preserve">then </w:t>
      </w:r>
      <w:r w:rsidRPr="009422C2">
        <w:t xml:space="preserve">there are times when I’ve had about ten messages at once and they’ve been reported and blocked’. </w:t>
      </w:r>
    </w:p>
    <w:p w14:paraId="7381F0C6" w14:textId="77777777" w:rsidR="00A355F9" w:rsidRPr="009422C2" w:rsidRDefault="00A355F9" w:rsidP="00EB603F">
      <w:pPr>
        <w:spacing w:line="480" w:lineRule="auto"/>
        <w:ind w:left="567" w:right="571"/>
        <w:jc w:val="both"/>
      </w:pPr>
      <w:r w:rsidRPr="009422C2">
        <w:t xml:space="preserve">Interviewer: ‘So were you doing this before the session, or after’? </w:t>
      </w:r>
    </w:p>
    <w:p w14:paraId="5AFEDA2F" w14:textId="77777777" w:rsidR="00A355F9" w:rsidRPr="009422C2" w:rsidRDefault="00A355F9" w:rsidP="00EB603F">
      <w:pPr>
        <w:spacing w:line="480" w:lineRule="auto"/>
        <w:ind w:left="567" w:right="571"/>
        <w:jc w:val="both"/>
      </w:pPr>
      <w:r w:rsidRPr="009422C2">
        <w:t>Ruby: ‘Before’.</w:t>
      </w:r>
    </w:p>
    <w:p w14:paraId="7E051975" w14:textId="48BBE595" w:rsidR="00A355F9" w:rsidRPr="009422C2" w:rsidRDefault="005F4206" w:rsidP="00EB603F">
      <w:pPr>
        <w:spacing w:line="480" w:lineRule="auto"/>
        <w:ind w:left="567" w:right="571"/>
        <w:jc w:val="right"/>
      </w:pPr>
      <w:r>
        <w:t xml:space="preserve">(Focus Group </w:t>
      </w:r>
      <w:r w:rsidR="006F7D97" w:rsidRPr="009422C2">
        <w:t>2</w:t>
      </w:r>
      <w:r w:rsidR="00A355F9" w:rsidRPr="009422C2">
        <w:t>)</w:t>
      </w:r>
    </w:p>
    <w:p w14:paraId="5450F730" w14:textId="77777777" w:rsidR="006F7D97" w:rsidRPr="009422C2" w:rsidRDefault="006F7D97" w:rsidP="00EB603F">
      <w:pPr>
        <w:spacing w:line="480" w:lineRule="auto"/>
        <w:ind w:left="567" w:right="571"/>
        <w:jc w:val="right"/>
      </w:pPr>
    </w:p>
    <w:p w14:paraId="59AE5CE2" w14:textId="54FB2945" w:rsidR="00A355F9" w:rsidRDefault="00A355F9" w:rsidP="00EB603F">
      <w:pPr>
        <w:autoSpaceDE w:val="0"/>
        <w:autoSpaceDN w:val="0"/>
        <w:adjustRightInd w:val="0"/>
        <w:spacing w:line="480" w:lineRule="auto"/>
        <w:jc w:val="both"/>
        <w:rPr>
          <w:color w:val="000000"/>
        </w:rPr>
      </w:pPr>
      <w:r w:rsidRPr="009422C2">
        <w:rPr>
          <w:color w:val="000000"/>
        </w:rPr>
        <w:lastRenderedPageBreak/>
        <w:t>Similarly, it would appear that many of the parents of the children we spoke to were active in monitoring internet interactions and social media accounts. Indeed, a referral made to the CSE team was a direct consequence of the account being</w:t>
      </w:r>
      <w:r w:rsidR="002C24A5">
        <w:rPr>
          <w:color w:val="000000"/>
        </w:rPr>
        <w:t xml:space="preserve"> monitored</w:t>
      </w:r>
      <w:r w:rsidRPr="009422C2">
        <w:rPr>
          <w:color w:val="000000"/>
        </w:rPr>
        <w:t>:</w:t>
      </w:r>
    </w:p>
    <w:p w14:paraId="426B2AF6" w14:textId="77777777" w:rsidR="00113736" w:rsidRPr="009422C2" w:rsidRDefault="00113736" w:rsidP="00EB603F">
      <w:pPr>
        <w:autoSpaceDE w:val="0"/>
        <w:autoSpaceDN w:val="0"/>
        <w:adjustRightInd w:val="0"/>
        <w:spacing w:line="480" w:lineRule="auto"/>
        <w:jc w:val="both"/>
        <w:rPr>
          <w:color w:val="000000"/>
        </w:rPr>
      </w:pPr>
    </w:p>
    <w:p w14:paraId="112E2511" w14:textId="4AAA2399" w:rsidR="00A355F9" w:rsidRPr="009422C2" w:rsidRDefault="00A355F9" w:rsidP="005F4206">
      <w:pPr>
        <w:autoSpaceDE w:val="0"/>
        <w:autoSpaceDN w:val="0"/>
        <w:adjustRightInd w:val="0"/>
        <w:spacing w:line="480" w:lineRule="auto"/>
        <w:ind w:left="720" w:right="571"/>
        <w:jc w:val="both"/>
        <w:rPr>
          <w:color w:val="000000"/>
        </w:rPr>
      </w:pPr>
      <w:r w:rsidRPr="009422C2">
        <w:rPr>
          <w:color w:val="000000"/>
        </w:rPr>
        <w:t xml:space="preserve">‘I’d been checking my </w:t>
      </w:r>
      <w:r w:rsidR="005F4206">
        <w:rPr>
          <w:color w:val="000000"/>
        </w:rPr>
        <w:t xml:space="preserve">daughter’s Instagram, as I do quite regularly, </w:t>
      </w:r>
      <w:r w:rsidRPr="009422C2">
        <w:rPr>
          <w:color w:val="000000"/>
        </w:rPr>
        <w:t>and I came across this and because it wasn’t a friendship I would consider - the two children have nothing in common - I decided to read the messages</w:t>
      </w:r>
      <w:r w:rsidR="005F4206">
        <w:rPr>
          <w:color w:val="000000"/>
        </w:rPr>
        <w:t>. A</w:t>
      </w:r>
      <w:r w:rsidRPr="009422C2">
        <w:rPr>
          <w:color w:val="000000"/>
        </w:rPr>
        <w:t>s I went back</w:t>
      </w:r>
      <w:r w:rsidR="005F4206">
        <w:rPr>
          <w:color w:val="000000"/>
        </w:rPr>
        <w:t>,</w:t>
      </w:r>
      <w:r w:rsidRPr="009422C2">
        <w:rPr>
          <w:color w:val="000000"/>
        </w:rPr>
        <w:t xml:space="preserve"> I came across some photos at the end of the messages’</w:t>
      </w:r>
      <w:r w:rsidR="005F4206">
        <w:rPr>
          <w:color w:val="000000"/>
        </w:rPr>
        <w:t xml:space="preserve"> </w:t>
      </w:r>
      <w:r w:rsidRPr="009422C2">
        <w:rPr>
          <w:color w:val="000000"/>
        </w:rPr>
        <w:t>(</w:t>
      </w:r>
      <w:r w:rsidR="00F52BDE">
        <w:rPr>
          <w:color w:val="000000"/>
        </w:rPr>
        <w:t>Jodie</w:t>
      </w:r>
      <w:r w:rsidRPr="009422C2">
        <w:rPr>
          <w:color w:val="000000"/>
        </w:rPr>
        <w:t xml:space="preserve">, Parent). </w:t>
      </w:r>
    </w:p>
    <w:p w14:paraId="3250C449" w14:textId="77777777" w:rsidR="00A355F9" w:rsidRPr="009422C2" w:rsidRDefault="00A355F9" w:rsidP="00EB603F">
      <w:pPr>
        <w:spacing w:line="480" w:lineRule="auto"/>
        <w:jc w:val="both"/>
        <w:rPr>
          <w:b/>
          <w:highlight w:val="yellow"/>
        </w:rPr>
      </w:pPr>
    </w:p>
    <w:p w14:paraId="5543EA59" w14:textId="7C248D54" w:rsidR="00A355F9" w:rsidRPr="005F4206" w:rsidRDefault="009E34BA" w:rsidP="00EB603F">
      <w:pPr>
        <w:spacing w:line="480" w:lineRule="auto"/>
        <w:jc w:val="both"/>
        <w:rPr>
          <w:b/>
        </w:rPr>
      </w:pPr>
      <w:r>
        <w:rPr>
          <w:b/>
        </w:rPr>
        <w:t xml:space="preserve">Discussion: </w:t>
      </w:r>
      <w:r w:rsidR="00A355F9" w:rsidRPr="009422C2">
        <w:rPr>
          <w:b/>
        </w:rPr>
        <w:t xml:space="preserve">Implications for Future Policy and Practice </w:t>
      </w:r>
    </w:p>
    <w:p w14:paraId="29823BFD" w14:textId="5B84493C" w:rsidR="00A355F9" w:rsidRPr="009422C2" w:rsidRDefault="007C32BF" w:rsidP="00EB603F">
      <w:pPr>
        <w:spacing w:line="480" w:lineRule="auto"/>
        <w:jc w:val="both"/>
      </w:pPr>
      <w:r>
        <w:t xml:space="preserve">The </w:t>
      </w:r>
      <w:r w:rsidR="007E0F22">
        <w:t xml:space="preserve">evaluation </w:t>
      </w:r>
      <w:r>
        <w:t xml:space="preserve">above </w:t>
      </w:r>
      <w:r w:rsidR="00A355F9" w:rsidRPr="009422C2">
        <w:t xml:space="preserve">has focussed on </w:t>
      </w:r>
      <w:r w:rsidR="005F4206">
        <w:t xml:space="preserve">three interconnected processes of </w:t>
      </w:r>
      <w:r w:rsidR="00A355F9" w:rsidRPr="009422C2">
        <w:t xml:space="preserve">engagement, </w:t>
      </w:r>
      <w:r w:rsidR="000945AA">
        <w:t>relevance</w:t>
      </w:r>
      <w:r w:rsidR="000945AA" w:rsidRPr="009422C2">
        <w:t xml:space="preserve"> </w:t>
      </w:r>
      <w:r w:rsidR="00A355F9" w:rsidRPr="009422C2">
        <w:t xml:space="preserve">and impact. </w:t>
      </w:r>
      <w:r>
        <w:t>In the context of this study</w:t>
      </w:r>
      <w:r w:rsidR="00931BB7">
        <w:t>,</w:t>
      </w:r>
      <w:r>
        <w:t xml:space="preserve"> these processes </w:t>
      </w:r>
      <w:r w:rsidR="00F52BDE">
        <w:t>need to be understood as constituting</w:t>
      </w:r>
      <w:r>
        <w:t xml:space="preserve"> a dyadic relationship which is fluid and</w:t>
      </w:r>
      <w:r w:rsidR="00931BB7">
        <w:t xml:space="preserve"> mutually constitutive</w:t>
      </w:r>
      <w:r>
        <w:t xml:space="preserve">. </w:t>
      </w:r>
      <w:r w:rsidR="00931BB7">
        <w:t xml:space="preserve">The data presented </w:t>
      </w:r>
      <w:r w:rsidR="00D96CFD">
        <w:t>indicate</w:t>
      </w:r>
      <w:r>
        <w:t>s</w:t>
      </w:r>
      <w:r w:rsidR="00A355F9" w:rsidRPr="009422C2">
        <w:t xml:space="preserve"> that there is much to reflect on in the </w:t>
      </w:r>
      <w:r w:rsidR="00D96CFD">
        <w:t xml:space="preserve">future </w:t>
      </w:r>
      <w:r w:rsidR="00A355F9" w:rsidRPr="009422C2">
        <w:t>form</w:t>
      </w:r>
      <w:r>
        <w:t>ation</w:t>
      </w:r>
      <w:r w:rsidR="00A355F9" w:rsidRPr="009422C2">
        <w:t xml:space="preserve"> of risk-base</w:t>
      </w:r>
      <w:r w:rsidR="00D96CFD">
        <w:t xml:space="preserve">d </w:t>
      </w:r>
      <w:r w:rsidR="000945AA">
        <w:t xml:space="preserve">public health initiatives intended to raise </w:t>
      </w:r>
      <w:r w:rsidR="00D96CFD">
        <w:t>awareness</w:t>
      </w:r>
      <w:r>
        <w:t xml:space="preserve"> of sexual exploitation</w:t>
      </w:r>
      <w:r w:rsidR="00931BB7">
        <w:t xml:space="preserve">. </w:t>
      </w:r>
      <w:r w:rsidR="00A355F9" w:rsidRPr="009422C2">
        <w:t xml:space="preserve">While non-generalizable, </w:t>
      </w:r>
      <w:r>
        <w:t xml:space="preserve">the findings </w:t>
      </w:r>
      <w:r w:rsidR="00D96CFD">
        <w:t xml:space="preserve">flag up </w:t>
      </w:r>
      <w:r w:rsidR="00A355F9" w:rsidRPr="009422C2">
        <w:t xml:space="preserve">several critical </w:t>
      </w:r>
      <w:r>
        <w:t xml:space="preserve">issues that </w:t>
      </w:r>
      <w:r w:rsidR="0068286E">
        <w:t xml:space="preserve">should </w:t>
      </w:r>
      <w:r>
        <w:t xml:space="preserve">be </w:t>
      </w:r>
      <w:r w:rsidR="00A355F9" w:rsidRPr="009422C2">
        <w:t xml:space="preserve">considered in the </w:t>
      </w:r>
      <w:r w:rsidR="00931BB7">
        <w:t xml:space="preserve">future </w:t>
      </w:r>
      <w:r w:rsidR="00A355F9" w:rsidRPr="009422C2">
        <w:t xml:space="preserve">assembly and delivery of programmes designed to </w:t>
      </w:r>
      <w:r w:rsidR="00D96CFD" w:rsidRPr="009422C2">
        <w:t>inform and influence the behaviour of young people</w:t>
      </w:r>
      <w:r w:rsidR="00A355F9" w:rsidRPr="009422C2">
        <w:t xml:space="preserve"> around CSE. </w:t>
      </w:r>
      <w:r w:rsidR="0068286E">
        <w:t>T</w:t>
      </w:r>
      <w:r w:rsidR="00A355F9" w:rsidRPr="009422C2">
        <w:t xml:space="preserve">hese </w:t>
      </w:r>
      <w:r>
        <w:t xml:space="preserve">issues </w:t>
      </w:r>
      <w:r w:rsidR="00A355F9" w:rsidRPr="009422C2">
        <w:t xml:space="preserve">can be </w:t>
      </w:r>
      <w:r>
        <w:t xml:space="preserve">indexed </w:t>
      </w:r>
      <w:r w:rsidR="00A355F9" w:rsidRPr="009422C2">
        <w:t>to the three areas of analysis we have drawn attention to</w:t>
      </w:r>
      <w:r>
        <w:t xml:space="preserve">, </w:t>
      </w:r>
      <w:r w:rsidR="00A355F9" w:rsidRPr="009422C2">
        <w:t>revolv</w:t>
      </w:r>
      <w:r>
        <w:t>ing, respectively,</w:t>
      </w:r>
      <w:r w:rsidR="00A355F9" w:rsidRPr="009422C2">
        <w:t xml:space="preserve"> around context sensitivity</w:t>
      </w:r>
      <w:r w:rsidR="006C2F12">
        <w:t xml:space="preserve"> (</w:t>
      </w:r>
      <w:r w:rsidR="006C2F12" w:rsidRPr="006C2F12">
        <w:rPr>
          <w:i/>
        </w:rPr>
        <w:t>engagement</w:t>
      </w:r>
      <w:r w:rsidR="00B90DC0">
        <w:rPr>
          <w:i/>
        </w:rPr>
        <w:t xml:space="preserve"> </w:t>
      </w:r>
      <w:r w:rsidR="00B90DC0">
        <w:t>with narratives of risk</w:t>
      </w:r>
      <w:r w:rsidR="006C2F12">
        <w:t>),</w:t>
      </w:r>
      <w:r w:rsidR="00A355F9" w:rsidRPr="009422C2">
        <w:t xml:space="preserve"> acknowledgement of ambiguity </w:t>
      </w:r>
      <w:r w:rsidR="006C2F12">
        <w:t>(</w:t>
      </w:r>
      <w:r w:rsidR="0082464E">
        <w:rPr>
          <w:i/>
        </w:rPr>
        <w:t>relevance</w:t>
      </w:r>
      <w:r w:rsidR="00B90DC0">
        <w:rPr>
          <w:i/>
        </w:rPr>
        <w:t xml:space="preserve"> </w:t>
      </w:r>
      <w:r w:rsidR="00B90DC0">
        <w:t xml:space="preserve">of the </w:t>
      </w:r>
      <w:r w:rsidR="006C2F12" w:rsidRPr="00B90DC0">
        <w:t>strategy</w:t>
      </w:r>
      <w:r w:rsidR="00B90DC0">
        <w:t xml:space="preserve"> used</w:t>
      </w:r>
      <w:r w:rsidR="0082464E">
        <w:t xml:space="preserve"> to those </w:t>
      </w:r>
      <w:r w:rsidR="0068286E">
        <w:t xml:space="preserve">receiving </w:t>
      </w:r>
      <w:r w:rsidR="0082464E">
        <w:t>the intervention</w:t>
      </w:r>
      <w:r w:rsidR="006C2F12">
        <w:t xml:space="preserve">) </w:t>
      </w:r>
      <w:r w:rsidR="00A355F9" w:rsidRPr="009422C2">
        <w:t>an</w:t>
      </w:r>
      <w:r w:rsidR="006C2F12">
        <w:t>d muted subjects (</w:t>
      </w:r>
      <w:r w:rsidR="006C2F12" w:rsidRPr="006C2F12">
        <w:rPr>
          <w:i/>
        </w:rPr>
        <w:t>impact</w:t>
      </w:r>
      <w:r w:rsidR="00B90DC0">
        <w:rPr>
          <w:i/>
        </w:rPr>
        <w:t xml:space="preserve"> </w:t>
      </w:r>
      <w:r w:rsidR="00B90DC0">
        <w:t xml:space="preserve">in terms of </w:t>
      </w:r>
      <w:r w:rsidR="00F52BDE">
        <w:t xml:space="preserve">influencing </w:t>
      </w:r>
      <w:r w:rsidR="00B90DC0">
        <w:t>the perspectives of young people</w:t>
      </w:r>
      <w:r w:rsidR="006C2F12">
        <w:t>).</w:t>
      </w:r>
    </w:p>
    <w:p w14:paraId="044422B8" w14:textId="77777777" w:rsidR="00A355F9" w:rsidRPr="009422C2" w:rsidRDefault="00A355F9" w:rsidP="00EB603F">
      <w:pPr>
        <w:spacing w:line="480" w:lineRule="auto"/>
        <w:jc w:val="both"/>
      </w:pPr>
    </w:p>
    <w:p w14:paraId="459D2DF5" w14:textId="38CFDB24" w:rsidR="00A355F9" w:rsidRPr="009422C2" w:rsidRDefault="00F77A3E" w:rsidP="00EB603F">
      <w:pPr>
        <w:spacing w:line="480" w:lineRule="auto"/>
        <w:jc w:val="both"/>
      </w:pPr>
      <w:r>
        <w:lastRenderedPageBreak/>
        <w:t>I</w:t>
      </w:r>
      <w:r w:rsidR="00A355F9" w:rsidRPr="009422C2">
        <w:t xml:space="preserve">n relation to the ways in which young people </w:t>
      </w:r>
      <w:r w:rsidR="00A355F9" w:rsidRPr="000640CE">
        <w:rPr>
          <w:i/>
        </w:rPr>
        <w:t>engage</w:t>
      </w:r>
      <w:r w:rsidR="00A355F9" w:rsidRPr="009422C2">
        <w:t xml:space="preserve"> with educational initiatives </w:t>
      </w:r>
      <w:r w:rsidR="00F52BDE">
        <w:t xml:space="preserve">conceived </w:t>
      </w:r>
      <w:r w:rsidR="00A355F9" w:rsidRPr="009422C2">
        <w:t xml:space="preserve">to </w:t>
      </w:r>
      <w:r w:rsidR="006C2F12">
        <w:t>inform behaviour</w:t>
      </w:r>
      <w:r w:rsidR="00A355F9" w:rsidRPr="009422C2">
        <w:t>, the significance of situating i</w:t>
      </w:r>
      <w:r w:rsidR="006C2F12">
        <w:t xml:space="preserve">nformation and advice within an everyday </w:t>
      </w:r>
      <w:r w:rsidR="00066BAE">
        <w:t>context cannot be overstated. As observed in other areas of regulation</w:t>
      </w:r>
      <w:r w:rsidR="0068286E">
        <w:t>,</w:t>
      </w:r>
      <w:r w:rsidR="00066BAE">
        <w:t xml:space="preserve"> such as counter-radicalisation, i</w:t>
      </w:r>
      <w:r w:rsidR="00A355F9" w:rsidRPr="009422C2">
        <w:t>n order to be effective risk</w:t>
      </w:r>
      <w:r w:rsidR="00EB603F" w:rsidRPr="009422C2">
        <w:t>-</w:t>
      </w:r>
      <w:r w:rsidR="00A355F9" w:rsidRPr="009422C2">
        <w:t xml:space="preserve">based preventative approaches need to be suitably sensitive </w:t>
      </w:r>
      <w:r w:rsidR="006C2F12">
        <w:t xml:space="preserve">toward and </w:t>
      </w:r>
      <w:r w:rsidR="00A355F9" w:rsidRPr="009422C2">
        <w:t xml:space="preserve">tailored to the needs of the </w:t>
      </w:r>
      <w:r w:rsidR="00066BAE">
        <w:t xml:space="preserve">target </w:t>
      </w:r>
      <w:r w:rsidR="00A355F9" w:rsidRPr="009422C2">
        <w:t>audience</w:t>
      </w:r>
      <w:r w:rsidR="00187229">
        <w:t xml:space="preserve"> (see Mythen, Walklate and Peatfield, 2017)</w:t>
      </w:r>
      <w:r w:rsidR="00A355F9" w:rsidRPr="009422C2">
        <w:t xml:space="preserve">. </w:t>
      </w:r>
      <w:r w:rsidR="006C2F12">
        <w:t xml:space="preserve">Here, the ambitions of a </w:t>
      </w:r>
      <w:r w:rsidR="00A355F9" w:rsidRPr="009422C2">
        <w:t xml:space="preserve">public health approach to develop and implement prevention strategies </w:t>
      </w:r>
      <w:r w:rsidR="00890E04">
        <w:t xml:space="preserve">based on sound </w:t>
      </w:r>
      <w:r w:rsidR="00A355F9" w:rsidRPr="009422C2">
        <w:t xml:space="preserve">evidence </w:t>
      </w:r>
      <w:r w:rsidR="00890E04">
        <w:t>and a clear understanding of the nature of the problem is pertinent. I</w:t>
      </w:r>
      <w:r w:rsidR="00931BB7">
        <w:t xml:space="preserve">n </w:t>
      </w:r>
      <w:r w:rsidR="00890E04">
        <w:t xml:space="preserve">this instance, in </w:t>
      </w:r>
      <w:r w:rsidR="00931BB7">
        <w:t>many ways,</w:t>
      </w:r>
      <w:r w:rsidR="00A355F9" w:rsidRPr="009422C2">
        <w:t xml:space="preserve"> the techniques used and the messages communicated by the CSE team </w:t>
      </w:r>
      <w:r w:rsidR="007C32BF">
        <w:t xml:space="preserve">reflect </w:t>
      </w:r>
      <w:r w:rsidR="00A355F9" w:rsidRPr="009422C2">
        <w:t xml:space="preserve">the </w:t>
      </w:r>
      <w:r w:rsidR="007C32BF">
        <w:t xml:space="preserve">narrow </w:t>
      </w:r>
      <w:r w:rsidR="00A355F9" w:rsidRPr="009422C2">
        <w:t xml:space="preserve">epistemological framework within which they are obliged to </w:t>
      </w:r>
      <w:r w:rsidR="007C32BF">
        <w:t xml:space="preserve">operate. Such a constricted framework </w:t>
      </w:r>
      <w:r w:rsidR="00DA61EB">
        <w:t xml:space="preserve">negates discussion of </w:t>
      </w:r>
      <w:r w:rsidR="00316AB6">
        <w:t xml:space="preserve">thorny </w:t>
      </w:r>
      <w:r w:rsidR="00DA61EB">
        <w:t xml:space="preserve">topics </w:t>
      </w:r>
      <w:r w:rsidR="00316AB6">
        <w:t xml:space="preserve">which are highly salient for adolescents </w:t>
      </w:r>
      <w:r w:rsidR="00DA61EB">
        <w:t xml:space="preserve">and </w:t>
      </w:r>
      <w:r w:rsidR="00316AB6">
        <w:t xml:space="preserve">this, in turn, generates </w:t>
      </w:r>
      <w:r w:rsidR="00DA61EB">
        <w:t xml:space="preserve">something of </w:t>
      </w:r>
      <w:r w:rsidR="00A355F9" w:rsidRPr="009422C2">
        <w:t>a</w:t>
      </w:r>
      <w:r w:rsidR="00DA61EB">
        <w:t xml:space="preserve"> discursive gulf</w:t>
      </w:r>
      <w:r w:rsidR="00A355F9" w:rsidRPr="009422C2">
        <w:t xml:space="preserve"> </w:t>
      </w:r>
      <w:r w:rsidR="00DA61EB">
        <w:t xml:space="preserve">between </w:t>
      </w:r>
      <w:r w:rsidR="00A355F9" w:rsidRPr="009422C2">
        <w:t xml:space="preserve">the designers of CSE interventions and the </w:t>
      </w:r>
      <w:r w:rsidR="00233801">
        <w:t xml:space="preserve">target </w:t>
      </w:r>
      <w:r w:rsidR="00316AB6">
        <w:t xml:space="preserve">audience for </w:t>
      </w:r>
      <w:r w:rsidR="00A355F9" w:rsidRPr="009422C2">
        <w:t xml:space="preserve">such initiatives. </w:t>
      </w:r>
      <w:r w:rsidR="00233801">
        <w:t>Our findings signal</w:t>
      </w:r>
      <w:r w:rsidR="00316AB6">
        <w:t xml:space="preserve"> the presence of a set of divergent risk perceptions, </w:t>
      </w:r>
      <w:r w:rsidR="00233801">
        <w:t>suggest</w:t>
      </w:r>
      <w:r w:rsidR="00931BB7">
        <w:t>ing</w:t>
      </w:r>
      <w:r w:rsidR="00233801">
        <w:t xml:space="preserve"> that consciousness raising activities around the threat of CSE might </w:t>
      </w:r>
      <w:r w:rsidR="00931BB7">
        <w:t xml:space="preserve">be more effective if </w:t>
      </w:r>
      <w:r w:rsidR="00F52BDE">
        <w:t xml:space="preserve">they are </w:t>
      </w:r>
      <w:r w:rsidR="00931BB7">
        <w:t xml:space="preserve">better </w:t>
      </w:r>
      <w:r w:rsidR="00233801">
        <w:t>attuned to the everyday habitus in which young people learn to live</w:t>
      </w:r>
      <w:r w:rsidR="00993A55">
        <w:t xml:space="preserve"> and to</w:t>
      </w:r>
      <w:r w:rsidR="00233801">
        <w:t xml:space="preserve"> love. Largely unidirectional communication which is </w:t>
      </w:r>
      <w:r w:rsidR="00A355F9" w:rsidRPr="009422C2">
        <w:t xml:space="preserve">overwhelmingly focused on risks </w:t>
      </w:r>
      <w:r w:rsidR="00233801">
        <w:t xml:space="preserve">perceived by young people to be </w:t>
      </w:r>
      <w:r w:rsidR="003D68E0">
        <w:t xml:space="preserve">relatively rare </w:t>
      </w:r>
      <w:r w:rsidR="00233801">
        <w:t xml:space="preserve">may not be the best mode of engaging </w:t>
      </w:r>
      <w:r w:rsidR="005951F6">
        <w:t xml:space="preserve">with </w:t>
      </w:r>
      <w:r w:rsidR="00233801">
        <w:t xml:space="preserve">them, nor </w:t>
      </w:r>
      <w:r w:rsidR="005951F6">
        <w:t xml:space="preserve">of </w:t>
      </w:r>
      <w:r w:rsidR="00233801">
        <w:t xml:space="preserve">encouraging them to modify ‘risky’ behaviours. </w:t>
      </w:r>
      <w:r w:rsidR="0040176C" w:rsidRPr="009422C2">
        <w:t>Not only do</w:t>
      </w:r>
      <w:r w:rsidR="00B90DC0">
        <w:t xml:space="preserve"> </w:t>
      </w:r>
      <w:r w:rsidR="0040176C" w:rsidRPr="009422C2">
        <w:t xml:space="preserve">‘stranger danger’ messages </w:t>
      </w:r>
      <w:r w:rsidR="0040176C">
        <w:t>fall short in challenging</w:t>
      </w:r>
      <w:r w:rsidR="0040176C" w:rsidRPr="009422C2">
        <w:t xml:space="preserve"> myths and misconceptions about who is perpetrating abuse, they also conflict with young people’s own risk landscapes and the </w:t>
      </w:r>
      <w:r w:rsidR="005951F6">
        <w:t xml:space="preserve">undulations </w:t>
      </w:r>
      <w:r w:rsidR="0040176C" w:rsidRPr="009422C2">
        <w:t>of their everyday lives.</w:t>
      </w:r>
      <w:r w:rsidR="0040176C">
        <w:t xml:space="preserve"> </w:t>
      </w:r>
      <w:r w:rsidR="005951F6" w:rsidRPr="009422C2">
        <w:t>Whil</w:t>
      </w:r>
      <w:r w:rsidR="00F52BDE">
        <w:t>e well intentioned</w:t>
      </w:r>
      <w:r w:rsidR="005951F6" w:rsidRPr="009422C2">
        <w:t xml:space="preserve"> as a basis for engaging young people around the risk of CSE, intervention ‘stage plays’ such as KLS </w:t>
      </w:r>
      <w:r w:rsidR="005951F6">
        <w:t xml:space="preserve">do not connect well with the lived </w:t>
      </w:r>
      <w:r w:rsidR="005951F6" w:rsidRPr="009422C2">
        <w:t>experiences of young people</w:t>
      </w:r>
      <w:r w:rsidR="005951F6">
        <w:t xml:space="preserve">. </w:t>
      </w:r>
      <w:r w:rsidR="0040176C" w:rsidRPr="009422C2">
        <w:t>As Newis (2014) suggests,</w:t>
      </w:r>
      <w:r w:rsidR="0040176C">
        <w:t xml:space="preserve"> </w:t>
      </w:r>
      <w:r w:rsidR="0040176C">
        <w:lastRenderedPageBreak/>
        <w:t>‘</w:t>
      </w:r>
      <w:r w:rsidR="0040176C" w:rsidRPr="009422C2">
        <w:t>stranger danger</w:t>
      </w:r>
      <w:r w:rsidR="0040176C">
        <w:t>’</w:t>
      </w:r>
      <w:r w:rsidR="0040176C" w:rsidRPr="009422C2">
        <w:t xml:space="preserve"> messages may </w:t>
      </w:r>
      <w:r w:rsidR="00F52BDE">
        <w:t xml:space="preserve">ultimately </w:t>
      </w:r>
      <w:r w:rsidR="0040176C" w:rsidRPr="009422C2">
        <w:t xml:space="preserve">put young people at greater risk and </w:t>
      </w:r>
      <w:r w:rsidR="0040176C">
        <w:t xml:space="preserve">need to </w:t>
      </w:r>
      <w:r w:rsidR="0040176C" w:rsidRPr="009422C2">
        <w:t xml:space="preserve">be supplanted by more context sensitive and </w:t>
      </w:r>
      <w:r w:rsidR="0040176C">
        <w:t xml:space="preserve">attuned </w:t>
      </w:r>
      <w:r w:rsidR="0040176C" w:rsidRPr="009422C2">
        <w:t xml:space="preserve">messages </w:t>
      </w:r>
      <w:r w:rsidR="005951F6">
        <w:t>that can enable them to</w:t>
      </w:r>
      <w:r w:rsidR="0040176C" w:rsidRPr="009422C2">
        <w:t xml:space="preserve"> recogniz</w:t>
      </w:r>
      <w:r w:rsidR="005951F6">
        <w:t>e</w:t>
      </w:r>
      <w:r w:rsidR="0040176C" w:rsidRPr="009422C2">
        <w:t xml:space="preserve"> and manag</w:t>
      </w:r>
      <w:r w:rsidR="005951F6">
        <w:t>e</w:t>
      </w:r>
      <w:r w:rsidR="0040176C" w:rsidRPr="009422C2">
        <w:t xml:space="preserve"> dangerous situations.</w:t>
      </w:r>
      <w:r w:rsidR="005951F6">
        <w:t xml:space="preserve"> Ultimately, and c</w:t>
      </w:r>
      <w:r w:rsidR="005951F6" w:rsidRPr="009422C2">
        <w:t xml:space="preserve">ontrary to the </w:t>
      </w:r>
      <w:r w:rsidR="005951F6">
        <w:t xml:space="preserve">objectives </w:t>
      </w:r>
      <w:r w:rsidR="005951F6" w:rsidRPr="009422C2">
        <w:t xml:space="preserve">of a public health approach, messages communicated </w:t>
      </w:r>
      <w:r w:rsidR="005951F6">
        <w:t xml:space="preserve">in initiatives such as this </w:t>
      </w:r>
      <w:r w:rsidR="005951F6" w:rsidRPr="009422C2">
        <w:t>ar</w:t>
      </w:r>
      <w:r w:rsidR="005951F6">
        <w:t>e</w:t>
      </w:r>
      <w:r w:rsidR="005951F6" w:rsidRPr="009422C2">
        <w:t xml:space="preserve"> potentially harm producing </w:t>
      </w:r>
      <w:r w:rsidR="005951F6">
        <w:t xml:space="preserve">as well as </w:t>
      </w:r>
      <w:r w:rsidR="005951F6" w:rsidRPr="009422C2">
        <w:t>harm reducing.</w:t>
      </w:r>
      <w:r w:rsidR="005951F6">
        <w:t xml:space="preserve"> </w:t>
      </w:r>
      <w:r w:rsidR="003D68E0">
        <w:t xml:space="preserve">In </w:t>
      </w:r>
      <w:r w:rsidR="005951F6">
        <w:t>this case</w:t>
      </w:r>
      <w:r w:rsidR="008471F2">
        <w:t xml:space="preserve">, </w:t>
      </w:r>
      <w:r w:rsidR="005951F6">
        <w:t>the</w:t>
      </w:r>
      <w:r w:rsidR="003D68E0">
        <w:t xml:space="preserve"> deterrent</w:t>
      </w:r>
      <w:r w:rsidR="00830857">
        <w:t>-</w:t>
      </w:r>
      <w:r w:rsidR="003D68E0">
        <w:t>oriented strategy</w:t>
      </w:r>
      <w:r w:rsidR="005951F6">
        <w:t xml:space="preserve"> deployed</w:t>
      </w:r>
      <w:r w:rsidR="003D68E0">
        <w:t xml:space="preserve"> obscures apparent </w:t>
      </w:r>
      <w:r w:rsidR="00A355F9" w:rsidRPr="009422C2">
        <w:t xml:space="preserve">complexities and </w:t>
      </w:r>
      <w:r w:rsidR="003D68E0">
        <w:t xml:space="preserve">speaks around rather than to the dynamics of modern teenage relationships. </w:t>
      </w:r>
      <w:r w:rsidR="00A355F9" w:rsidRPr="009422C2">
        <w:t xml:space="preserve">As our young participants suggested, the techniques used by the team </w:t>
      </w:r>
      <w:r w:rsidR="006564D0">
        <w:t xml:space="preserve">largely disregarded </w:t>
      </w:r>
      <w:r w:rsidR="00A355F9" w:rsidRPr="009422C2">
        <w:t>the experiential context within which online practices of self-curation and idealized portrayals of the self are normalized. In failing to address these issues</w:t>
      </w:r>
      <w:r w:rsidR="008D2811" w:rsidRPr="009422C2">
        <w:t>,</w:t>
      </w:r>
      <w:r w:rsidR="00A355F9" w:rsidRPr="009422C2">
        <w:t xml:space="preserve"> and foregrounding instead </w:t>
      </w:r>
      <w:r w:rsidR="003D68E0">
        <w:t xml:space="preserve">a </w:t>
      </w:r>
      <w:r w:rsidR="00A355F9" w:rsidRPr="009422C2">
        <w:t>message of deterrence</w:t>
      </w:r>
      <w:r w:rsidR="008D2811" w:rsidRPr="009422C2">
        <w:t>,</w:t>
      </w:r>
      <w:r w:rsidR="00A355F9" w:rsidRPr="009422C2">
        <w:t xml:space="preserve"> a vital opportunity to </w:t>
      </w:r>
      <w:r w:rsidR="000945AA">
        <w:t xml:space="preserve">advise </w:t>
      </w:r>
      <w:r w:rsidR="003D68E0">
        <w:t>young people around</w:t>
      </w:r>
      <w:r w:rsidR="00A355F9" w:rsidRPr="009422C2">
        <w:t xml:space="preserve"> how to identify, negotiate an</w:t>
      </w:r>
      <w:r w:rsidR="003D68E0">
        <w:t>d manage</w:t>
      </w:r>
      <w:r w:rsidR="0040176C">
        <w:t xml:space="preserve"> potentially</w:t>
      </w:r>
      <w:r w:rsidR="003D68E0">
        <w:t xml:space="preserve"> dangerous situations that </w:t>
      </w:r>
      <w:r w:rsidR="002C24A5">
        <w:t xml:space="preserve">may chime </w:t>
      </w:r>
      <w:r w:rsidR="003D68E0">
        <w:t xml:space="preserve">with them is being missed. </w:t>
      </w:r>
      <w:r w:rsidR="00A355F9" w:rsidRPr="009422C2">
        <w:t xml:space="preserve">In terms of </w:t>
      </w:r>
      <w:r w:rsidR="008471F2">
        <w:t xml:space="preserve">the formation of upcoming </w:t>
      </w:r>
      <w:r w:rsidR="00A355F9" w:rsidRPr="009422C2">
        <w:t xml:space="preserve">strategy, the following exchange about </w:t>
      </w:r>
      <w:r w:rsidR="008471F2">
        <w:t xml:space="preserve">social media management shows that </w:t>
      </w:r>
      <w:r w:rsidR="00A355F9" w:rsidRPr="009422C2">
        <w:t xml:space="preserve">the ‘pitch’ of the awareness raising </w:t>
      </w:r>
      <w:r w:rsidR="002C24A5">
        <w:t xml:space="preserve">we observed </w:t>
      </w:r>
      <w:r w:rsidR="006F5969">
        <w:t xml:space="preserve">runs somewhat out of kilter </w:t>
      </w:r>
      <w:r w:rsidR="00A355F9" w:rsidRPr="009422C2">
        <w:t>with the practices of th</w:t>
      </w:r>
      <w:r w:rsidR="002C24A5">
        <w:t>e young people engaging with it:</w:t>
      </w:r>
    </w:p>
    <w:p w14:paraId="39F8F4A2" w14:textId="77777777" w:rsidR="00A355F9" w:rsidRPr="009422C2" w:rsidRDefault="00A355F9" w:rsidP="00EB603F">
      <w:pPr>
        <w:spacing w:line="480" w:lineRule="auto"/>
        <w:jc w:val="both"/>
      </w:pPr>
    </w:p>
    <w:p w14:paraId="1ECDC285" w14:textId="1916B532" w:rsidR="00A355F9" w:rsidRPr="009422C2" w:rsidRDefault="00A355F9" w:rsidP="006F5969">
      <w:pPr>
        <w:spacing w:line="480" w:lineRule="auto"/>
        <w:ind w:left="567" w:right="571"/>
        <w:jc w:val="both"/>
        <w:rPr>
          <w:color w:val="000000"/>
        </w:rPr>
      </w:pPr>
      <w:r w:rsidRPr="009422C2">
        <w:t>Sophie: ‘</w:t>
      </w:r>
      <w:r w:rsidRPr="009422C2">
        <w:rPr>
          <w:color w:val="000000"/>
        </w:rPr>
        <w:t>Fake accounts always send me friend requests, I had one last night, and I</w:t>
      </w:r>
      <w:r w:rsidR="002C24A5">
        <w:rPr>
          <w:color w:val="000000"/>
        </w:rPr>
        <w:t xml:space="preserve"> always decline them. I know it’</w:t>
      </w:r>
      <w:r w:rsidRPr="009422C2">
        <w:rPr>
          <w:color w:val="000000"/>
        </w:rPr>
        <w:t xml:space="preserve">s a fake account and </w:t>
      </w:r>
      <w:r w:rsidR="002C24A5">
        <w:rPr>
          <w:color w:val="000000"/>
        </w:rPr>
        <w:t>sometimes they’ll message me. I don’</w:t>
      </w:r>
      <w:r w:rsidRPr="009422C2">
        <w:rPr>
          <w:color w:val="000000"/>
        </w:rPr>
        <w:t>t even bother with the mutual friends because ho</w:t>
      </w:r>
      <w:r w:rsidR="002C24A5">
        <w:rPr>
          <w:color w:val="000000"/>
        </w:rPr>
        <w:t>w do you know your friends aren’</w:t>
      </w:r>
      <w:r w:rsidRPr="009422C2">
        <w:rPr>
          <w:color w:val="000000"/>
        </w:rPr>
        <w:t xml:space="preserve">t falling for it as well? </w:t>
      </w:r>
    </w:p>
    <w:p w14:paraId="56AC2FB9" w14:textId="77777777" w:rsidR="00A355F9" w:rsidRPr="009422C2" w:rsidRDefault="00A355F9" w:rsidP="00EB603F">
      <w:pPr>
        <w:spacing w:line="480" w:lineRule="auto"/>
        <w:ind w:left="567" w:right="571"/>
        <w:jc w:val="both"/>
        <w:rPr>
          <w:color w:val="000000"/>
        </w:rPr>
      </w:pPr>
      <w:r w:rsidRPr="009422C2">
        <w:rPr>
          <w:color w:val="000000"/>
        </w:rPr>
        <w:t xml:space="preserve">Interviewer: ‘And have you always done that’? </w:t>
      </w:r>
    </w:p>
    <w:p w14:paraId="26AFAA05" w14:textId="77777777" w:rsidR="00A355F9" w:rsidRPr="009422C2" w:rsidRDefault="00A355F9" w:rsidP="00EB603F">
      <w:pPr>
        <w:spacing w:line="480" w:lineRule="auto"/>
        <w:ind w:left="567" w:right="571"/>
        <w:jc w:val="both"/>
      </w:pPr>
      <w:r w:rsidRPr="009422C2">
        <w:t xml:space="preserve">Sophie: ‘Yes. I still would have declined the friend request before the session’. </w:t>
      </w:r>
    </w:p>
    <w:p w14:paraId="3C1A452D" w14:textId="77777777" w:rsidR="00A355F9" w:rsidRPr="009422C2" w:rsidRDefault="00A355F9" w:rsidP="00EB603F">
      <w:pPr>
        <w:spacing w:line="480" w:lineRule="auto"/>
        <w:ind w:left="567" w:right="571"/>
        <w:jc w:val="both"/>
      </w:pPr>
      <w:r w:rsidRPr="009422C2">
        <w:lastRenderedPageBreak/>
        <w:t xml:space="preserve">Jemma: ‘We’re not completely oblivious to what goes on’. </w:t>
      </w:r>
    </w:p>
    <w:p w14:paraId="56DCB480" w14:textId="53BA04B8" w:rsidR="00A355F9" w:rsidRPr="009422C2" w:rsidRDefault="00A355F9" w:rsidP="00EB603F">
      <w:pPr>
        <w:spacing w:line="480" w:lineRule="auto"/>
        <w:ind w:left="567" w:right="571"/>
        <w:jc w:val="both"/>
        <w:rPr>
          <w:color w:val="000000"/>
        </w:rPr>
      </w:pPr>
      <w:r w:rsidRPr="009422C2">
        <w:rPr>
          <w:color w:val="000000"/>
        </w:rPr>
        <w:t>Sophie: ‘But if I was a year 8 I probably would have replied. If I didn't have a boyfriend, yeah</w:t>
      </w:r>
      <w:r w:rsidR="002C24A5">
        <w:rPr>
          <w:color w:val="000000"/>
        </w:rPr>
        <w:t>,</w:t>
      </w:r>
      <w:r w:rsidRPr="009422C2">
        <w:rPr>
          <w:color w:val="000000"/>
        </w:rPr>
        <w:t xml:space="preserve"> I would have’.</w:t>
      </w:r>
    </w:p>
    <w:p w14:paraId="6C057494" w14:textId="22D4F6B4" w:rsidR="00A355F9" w:rsidRPr="009422C2" w:rsidRDefault="002C24A5" w:rsidP="00EB603F">
      <w:pPr>
        <w:spacing w:line="480" w:lineRule="auto"/>
        <w:ind w:left="567" w:right="571"/>
        <w:jc w:val="right"/>
        <w:rPr>
          <w:color w:val="000000"/>
        </w:rPr>
      </w:pPr>
      <w:r>
        <w:rPr>
          <w:color w:val="000000"/>
        </w:rPr>
        <w:t xml:space="preserve"> </w:t>
      </w:r>
      <w:r w:rsidR="00A355F9" w:rsidRPr="009422C2">
        <w:rPr>
          <w:color w:val="000000"/>
        </w:rPr>
        <w:t>(Focu</w:t>
      </w:r>
      <w:r>
        <w:rPr>
          <w:color w:val="000000"/>
        </w:rPr>
        <w:t>s Group 2</w:t>
      </w:r>
      <w:r w:rsidR="00A355F9" w:rsidRPr="009422C2">
        <w:rPr>
          <w:color w:val="000000"/>
        </w:rPr>
        <w:t>)</w:t>
      </w:r>
    </w:p>
    <w:p w14:paraId="36D54D51" w14:textId="19403528" w:rsidR="00A355F9" w:rsidRDefault="002C24A5" w:rsidP="00EB603F">
      <w:pPr>
        <w:autoSpaceDE w:val="0"/>
        <w:autoSpaceDN w:val="0"/>
        <w:adjustRightInd w:val="0"/>
        <w:spacing w:line="480" w:lineRule="auto"/>
        <w:jc w:val="both"/>
        <w:rPr>
          <w:color w:val="000000"/>
        </w:rPr>
      </w:pPr>
      <w:r>
        <w:t>These reflections suggest that it may be profitable to target</w:t>
      </w:r>
      <w:r w:rsidRPr="009422C2">
        <w:t xml:space="preserve"> younger audiences with less exposure to and experience</w:t>
      </w:r>
      <w:r>
        <w:t xml:space="preserve"> of interactive media platforms</w:t>
      </w:r>
      <w:r>
        <w:rPr>
          <w:color w:val="000000"/>
        </w:rPr>
        <w:t>, intimating</w:t>
      </w:r>
      <w:r w:rsidR="00A355F9" w:rsidRPr="009422C2">
        <w:rPr>
          <w:color w:val="000000"/>
        </w:rPr>
        <w:t xml:space="preserve"> that variations of delivery </w:t>
      </w:r>
      <w:r w:rsidR="00187229">
        <w:rPr>
          <w:color w:val="000000"/>
        </w:rPr>
        <w:t>should reflect the age and ‘savv</w:t>
      </w:r>
      <w:r w:rsidR="00A355F9" w:rsidRPr="009422C2">
        <w:rPr>
          <w:color w:val="000000"/>
        </w:rPr>
        <w:t xml:space="preserve">yness’ of the audience. </w:t>
      </w:r>
      <w:r>
        <w:rPr>
          <w:color w:val="000000"/>
        </w:rPr>
        <w:t xml:space="preserve">The </w:t>
      </w:r>
      <w:r w:rsidR="006F5969">
        <w:rPr>
          <w:color w:val="000000"/>
        </w:rPr>
        <w:t xml:space="preserve">widespread </w:t>
      </w:r>
      <w:r w:rsidR="00A355F9" w:rsidRPr="009422C2">
        <w:rPr>
          <w:bCs/>
          <w:color w:val="000000"/>
        </w:rPr>
        <w:t xml:space="preserve">evidence of active self-regulation </w:t>
      </w:r>
      <w:r w:rsidR="006F5969">
        <w:rPr>
          <w:bCs/>
          <w:color w:val="000000"/>
        </w:rPr>
        <w:t xml:space="preserve">by young people that </w:t>
      </w:r>
      <w:r w:rsidR="00A355F9" w:rsidRPr="009422C2">
        <w:rPr>
          <w:bCs/>
          <w:color w:val="000000"/>
        </w:rPr>
        <w:t xml:space="preserve">we encountered </w:t>
      </w:r>
      <w:r w:rsidR="006F5969">
        <w:rPr>
          <w:bCs/>
          <w:color w:val="000000"/>
        </w:rPr>
        <w:t xml:space="preserve">gives pause for thought about </w:t>
      </w:r>
      <w:r w:rsidR="00A355F9" w:rsidRPr="009422C2">
        <w:rPr>
          <w:bCs/>
          <w:color w:val="000000"/>
        </w:rPr>
        <w:t xml:space="preserve">the types of preventative techniques </w:t>
      </w:r>
      <w:r w:rsidR="006F5969">
        <w:rPr>
          <w:bCs/>
          <w:color w:val="000000"/>
        </w:rPr>
        <w:t xml:space="preserve">that might be developed </w:t>
      </w:r>
      <w:r w:rsidR="00A355F9" w:rsidRPr="009422C2">
        <w:rPr>
          <w:bCs/>
          <w:color w:val="000000"/>
        </w:rPr>
        <w:t xml:space="preserve">in </w:t>
      </w:r>
      <w:r w:rsidR="006F5969">
        <w:rPr>
          <w:bCs/>
          <w:color w:val="000000"/>
        </w:rPr>
        <w:t xml:space="preserve">the </w:t>
      </w:r>
      <w:r w:rsidR="00A355F9" w:rsidRPr="009422C2">
        <w:rPr>
          <w:bCs/>
          <w:color w:val="000000"/>
        </w:rPr>
        <w:t xml:space="preserve">future and the need for </w:t>
      </w:r>
      <w:r w:rsidR="006F5969">
        <w:rPr>
          <w:bCs/>
          <w:color w:val="000000"/>
        </w:rPr>
        <w:t xml:space="preserve">dialogic </w:t>
      </w:r>
      <w:r w:rsidR="00A355F9" w:rsidRPr="009422C2">
        <w:rPr>
          <w:bCs/>
          <w:color w:val="000000"/>
        </w:rPr>
        <w:t xml:space="preserve">engagement </w:t>
      </w:r>
      <w:r w:rsidR="006F5969">
        <w:rPr>
          <w:bCs/>
          <w:color w:val="000000"/>
        </w:rPr>
        <w:t xml:space="preserve">with adolescents </w:t>
      </w:r>
      <w:r w:rsidR="00A355F9" w:rsidRPr="009422C2">
        <w:rPr>
          <w:bCs/>
          <w:color w:val="000000"/>
        </w:rPr>
        <w:t xml:space="preserve">around building and maintaining </w:t>
      </w:r>
      <w:r w:rsidR="00A355F9" w:rsidRPr="009422C2">
        <w:rPr>
          <w:color w:val="000000"/>
        </w:rPr>
        <w:t xml:space="preserve">healthy relationships. </w:t>
      </w:r>
      <w:r>
        <w:rPr>
          <w:color w:val="000000"/>
        </w:rPr>
        <w:t>While acknowledging</w:t>
      </w:r>
      <w:r w:rsidR="00A355F9" w:rsidRPr="009422C2">
        <w:rPr>
          <w:color w:val="000000"/>
        </w:rPr>
        <w:t xml:space="preserve"> the risks of online engagement</w:t>
      </w:r>
      <w:r w:rsidR="006F5969">
        <w:rPr>
          <w:color w:val="000000"/>
        </w:rPr>
        <w:t>,</w:t>
      </w:r>
      <w:r w:rsidR="00A355F9" w:rsidRPr="009422C2">
        <w:rPr>
          <w:color w:val="000000"/>
        </w:rPr>
        <w:t xml:space="preserve"> </w:t>
      </w:r>
      <w:r>
        <w:rPr>
          <w:color w:val="000000"/>
        </w:rPr>
        <w:t>some of our participants, such as Sophie,</w:t>
      </w:r>
      <w:r w:rsidR="006F5969">
        <w:rPr>
          <w:color w:val="000000"/>
        </w:rPr>
        <w:t xml:space="preserve"> felt</w:t>
      </w:r>
      <w:r w:rsidR="00A355F9" w:rsidRPr="009422C2">
        <w:rPr>
          <w:color w:val="000000"/>
        </w:rPr>
        <w:t xml:space="preserve"> that </w:t>
      </w:r>
      <w:r w:rsidR="006F5969">
        <w:rPr>
          <w:color w:val="000000"/>
        </w:rPr>
        <w:t xml:space="preserve">broader </w:t>
      </w:r>
      <w:r w:rsidR="00A355F9" w:rsidRPr="009422C2">
        <w:rPr>
          <w:color w:val="000000"/>
        </w:rPr>
        <w:t xml:space="preserve">awareness raising initiatives should </w:t>
      </w:r>
      <w:r>
        <w:rPr>
          <w:color w:val="000000"/>
        </w:rPr>
        <w:t xml:space="preserve">occur </w:t>
      </w:r>
      <w:r w:rsidR="00A355F9" w:rsidRPr="009422C2">
        <w:rPr>
          <w:color w:val="000000"/>
        </w:rPr>
        <w:t>at an earlier</w:t>
      </w:r>
      <w:r>
        <w:rPr>
          <w:color w:val="000000"/>
        </w:rPr>
        <w:t xml:space="preserve"> stage</w:t>
      </w:r>
      <w:r w:rsidR="00A355F9" w:rsidRPr="009422C2">
        <w:rPr>
          <w:color w:val="000000"/>
        </w:rPr>
        <w:t xml:space="preserve"> of maturation:</w:t>
      </w:r>
    </w:p>
    <w:p w14:paraId="3FCBF4DE" w14:textId="77777777" w:rsidR="0040176C" w:rsidRPr="002C24A5" w:rsidRDefault="0040176C" w:rsidP="00EB603F">
      <w:pPr>
        <w:autoSpaceDE w:val="0"/>
        <w:autoSpaceDN w:val="0"/>
        <w:adjustRightInd w:val="0"/>
        <w:spacing w:line="480" w:lineRule="auto"/>
        <w:jc w:val="both"/>
        <w:rPr>
          <w:color w:val="000000"/>
        </w:rPr>
      </w:pPr>
    </w:p>
    <w:p w14:paraId="3003E555" w14:textId="0C2EF811" w:rsidR="00A355F9" w:rsidRPr="009422C2" w:rsidRDefault="00A355F9" w:rsidP="00EB603F">
      <w:pPr>
        <w:autoSpaceDE w:val="0"/>
        <w:autoSpaceDN w:val="0"/>
        <w:adjustRightInd w:val="0"/>
        <w:spacing w:line="480" w:lineRule="auto"/>
        <w:ind w:left="567" w:right="571"/>
        <w:jc w:val="both"/>
        <w:rPr>
          <w:color w:val="000000"/>
        </w:rPr>
      </w:pPr>
      <w:r w:rsidRPr="009422C2">
        <w:rPr>
          <w:color w:val="000000"/>
        </w:rPr>
        <w:t>‘I think that children should be taught from a young age about respect, respecting themselves and respecting others. It’s like my little brother, he’s in year 6 at primary school, I think from that age he should be taught how to treat people with respect because there’s so many people who grow up thinking that they can touch people inappropriately’ (</w:t>
      </w:r>
      <w:r w:rsidR="002C24A5">
        <w:rPr>
          <w:color w:val="000000"/>
        </w:rPr>
        <w:t>Focus Group 2</w:t>
      </w:r>
      <w:r w:rsidRPr="009422C2">
        <w:rPr>
          <w:color w:val="000000"/>
        </w:rPr>
        <w:t>).</w:t>
      </w:r>
    </w:p>
    <w:p w14:paraId="2081BD9B" w14:textId="77777777" w:rsidR="00A355F9" w:rsidRPr="009422C2" w:rsidRDefault="00A355F9" w:rsidP="00EB603F">
      <w:pPr>
        <w:autoSpaceDE w:val="0"/>
        <w:autoSpaceDN w:val="0"/>
        <w:adjustRightInd w:val="0"/>
        <w:spacing w:line="480" w:lineRule="auto"/>
        <w:jc w:val="both"/>
        <w:rPr>
          <w:color w:val="000000"/>
        </w:rPr>
      </w:pPr>
    </w:p>
    <w:p w14:paraId="2C53A0FA" w14:textId="24E4EFE4" w:rsidR="00A355F9" w:rsidRDefault="00A355F9" w:rsidP="00EB603F">
      <w:pPr>
        <w:autoSpaceDE w:val="0"/>
        <w:autoSpaceDN w:val="0"/>
        <w:adjustRightInd w:val="0"/>
        <w:spacing w:line="480" w:lineRule="auto"/>
        <w:jc w:val="both"/>
        <w:rPr>
          <w:color w:val="000000"/>
        </w:rPr>
      </w:pPr>
      <w:r w:rsidRPr="009422C2">
        <w:rPr>
          <w:color w:val="000000"/>
        </w:rPr>
        <w:t xml:space="preserve">As Sophie’s reflections suggest, different types of engagement might be advantageous in earlier years and these might be geared </w:t>
      </w:r>
      <w:r w:rsidR="000640CE">
        <w:rPr>
          <w:color w:val="000000"/>
        </w:rPr>
        <w:t xml:space="preserve">towards </w:t>
      </w:r>
      <w:r w:rsidR="006F5969">
        <w:rPr>
          <w:color w:val="000000"/>
        </w:rPr>
        <w:t>respect and appropriate conduct.</w:t>
      </w:r>
    </w:p>
    <w:p w14:paraId="48F40D10" w14:textId="55A603E4" w:rsidR="000945AA" w:rsidRDefault="000945AA" w:rsidP="00EB603F">
      <w:pPr>
        <w:autoSpaceDE w:val="0"/>
        <w:autoSpaceDN w:val="0"/>
        <w:adjustRightInd w:val="0"/>
        <w:spacing w:line="480" w:lineRule="auto"/>
        <w:jc w:val="both"/>
        <w:rPr>
          <w:color w:val="000000"/>
        </w:rPr>
      </w:pPr>
    </w:p>
    <w:p w14:paraId="5B3A4850" w14:textId="2F41FEDD" w:rsidR="002C1091" w:rsidRDefault="006F5969" w:rsidP="00F071D4">
      <w:pPr>
        <w:autoSpaceDE w:val="0"/>
        <w:autoSpaceDN w:val="0"/>
        <w:adjustRightInd w:val="0"/>
        <w:spacing w:line="480" w:lineRule="auto"/>
        <w:jc w:val="both"/>
      </w:pPr>
      <w:r>
        <w:rPr>
          <w:color w:val="000000"/>
        </w:rPr>
        <w:lastRenderedPageBreak/>
        <w:t xml:space="preserve">In addition to focussing on </w:t>
      </w:r>
      <w:r w:rsidRPr="00F071D4">
        <w:rPr>
          <w:i/>
          <w:color w:val="000000"/>
        </w:rPr>
        <w:t>engagement</w:t>
      </w:r>
      <w:r>
        <w:rPr>
          <w:color w:val="000000"/>
        </w:rPr>
        <w:t xml:space="preserve">, </w:t>
      </w:r>
      <w:r w:rsidR="00075EE4">
        <w:rPr>
          <w:color w:val="000000"/>
        </w:rPr>
        <w:t xml:space="preserve">attention </w:t>
      </w:r>
      <w:r w:rsidR="00F77A3E">
        <w:rPr>
          <w:color w:val="000000"/>
        </w:rPr>
        <w:t xml:space="preserve">must be </w:t>
      </w:r>
      <w:r w:rsidR="00075EE4">
        <w:rPr>
          <w:color w:val="000000"/>
        </w:rPr>
        <w:t>directed</w:t>
      </w:r>
      <w:r w:rsidR="00F77A3E">
        <w:rPr>
          <w:color w:val="000000"/>
        </w:rPr>
        <w:t xml:space="preserve"> to the </w:t>
      </w:r>
      <w:r w:rsidR="000945AA" w:rsidRPr="00F071D4">
        <w:rPr>
          <w:i/>
          <w:color w:val="000000"/>
        </w:rPr>
        <w:t>relevance</w:t>
      </w:r>
      <w:r w:rsidR="000945AA">
        <w:rPr>
          <w:color w:val="000000"/>
        </w:rPr>
        <w:t xml:space="preserve"> of the strategy used</w:t>
      </w:r>
      <w:r w:rsidR="00F77A3E">
        <w:rPr>
          <w:color w:val="000000"/>
        </w:rPr>
        <w:t xml:space="preserve"> </w:t>
      </w:r>
      <w:r w:rsidR="00075EE4">
        <w:rPr>
          <w:color w:val="000000"/>
        </w:rPr>
        <w:t xml:space="preserve">and its likely </w:t>
      </w:r>
      <w:r w:rsidR="00075EE4" w:rsidRPr="00F071D4">
        <w:rPr>
          <w:i/>
          <w:color w:val="000000"/>
        </w:rPr>
        <w:t>impacts</w:t>
      </w:r>
      <w:r w:rsidR="00075EE4">
        <w:rPr>
          <w:i/>
          <w:color w:val="000000"/>
        </w:rPr>
        <w:t xml:space="preserve"> </w:t>
      </w:r>
      <w:r w:rsidR="00075EE4">
        <w:rPr>
          <w:color w:val="000000"/>
        </w:rPr>
        <w:t>on the audience</w:t>
      </w:r>
      <w:r w:rsidR="00F77A3E">
        <w:rPr>
          <w:color w:val="000000"/>
        </w:rPr>
        <w:t xml:space="preserve">. </w:t>
      </w:r>
      <w:r w:rsidR="00135B6B">
        <w:rPr>
          <w:color w:val="000000"/>
        </w:rPr>
        <w:t>S</w:t>
      </w:r>
      <w:r>
        <w:rPr>
          <w:color w:val="000000"/>
        </w:rPr>
        <w:t>pecifically, the</w:t>
      </w:r>
      <w:r w:rsidR="00A355F9" w:rsidRPr="009422C2">
        <w:t xml:space="preserve"> </w:t>
      </w:r>
      <w:r w:rsidR="000640CE">
        <w:t xml:space="preserve">muting </w:t>
      </w:r>
      <w:r>
        <w:t xml:space="preserve">of </w:t>
      </w:r>
      <w:r w:rsidR="000640CE">
        <w:t>discussion about relevant</w:t>
      </w:r>
      <w:r w:rsidR="0034031A">
        <w:t>,</w:t>
      </w:r>
      <w:r w:rsidR="000640CE">
        <w:t xml:space="preserve"> sensitive subjects</w:t>
      </w:r>
      <w:r>
        <w:t xml:space="preserve"> left many young people with more questions to ask than answers to take away</w:t>
      </w:r>
      <w:r w:rsidR="000640CE">
        <w:t xml:space="preserve">. </w:t>
      </w:r>
      <w:r w:rsidR="00135B6B">
        <w:t>In essence, t</w:t>
      </w:r>
      <w:r w:rsidR="00A355F9" w:rsidRPr="009422C2">
        <w:t xml:space="preserve">he </w:t>
      </w:r>
      <w:r w:rsidR="00A355F9" w:rsidRPr="009422C2">
        <w:rPr>
          <w:color w:val="000000"/>
        </w:rPr>
        <w:t>r</w:t>
      </w:r>
      <w:r w:rsidR="000640CE">
        <w:rPr>
          <w:color w:val="000000"/>
        </w:rPr>
        <w:t xml:space="preserve">igid </w:t>
      </w:r>
      <w:r w:rsidR="00135B6B">
        <w:rPr>
          <w:color w:val="000000"/>
        </w:rPr>
        <w:t xml:space="preserve">legal and regulatory </w:t>
      </w:r>
      <w:r w:rsidR="000640CE">
        <w:rPr>
          <w:color w:val="000000"/>
        </w:rPr>
        <w:t xml:space="preserve">framework </w:t>
      </w:r>
      <w:r w:rsidR="00A355F9" w:rsidRPr="009422C2">
        <w:rPr>
          <w:color w:val="000000"/>
        </w:rPr>
        <w:t>within which the CSE team are required to</w:t>
      </w:r>
      <w:r w:rsidR="0034031A">
        <w:rPr>
          <w:color w:val="000000"/>
        </w:rPr>
        <w:t xml:space="preserve"> operate</w:t>
      </w:r>
      <w:r w:rsidR="00A355F9" w:rsidRPr="009422C2">
        <w:rPr>
          <w:color w:val="000000"/>
        </w:rPr>
        <w:t xml:space="preserve"> restricts the types of messages communicated</w:t>
      </w:r>
      <w:r w:rsidR="00135B6B">
        <w:rPr>
          <w:color w:val="000000"/>
        </w:rPr>
        <w:t xml:space="preserve"> and the conversations that are permitted</w:t>
      </w:r>
      <w:r w:rsidR="00A355F9" w:rsidRPr="009422C2">
        <w:rPr>
          <w:color w:val="000000"/>
        </w:rPr>
        <w:t>. While the guidance clearly acknowledges the need to avoid victim-centric strategies</w:t>
      </w:r>
      <w:r w:rsidR="0034031A">
        <w:rPr>
          <w:color w:val="000000"/>
        </w:rPr>
        <w:t xml:space="preserve"> and messages</w:t>
      </w:r>
      <w:r w:rsidR="00A355F9" w:rsidRPr="009422C2">
        <w:rPr>
          <w:color w:val="000000"/>
        </w:rPr>
        <w:t>, practitioners are work</w:t>
      </w:r>
      <w:r w:rsidR="000640CE">
        <w:rPr>
          <w:color w:val="000000"/>
        </w:rPr>
        <w:t>ing</w:t>
      </w:r>
      <w:r w:rsidR="00A355F9" w:rsidRPr="009422C2">
        <w:rPr>
          <w:color w:val="000000"/>
        </w:rPr>
        <w:t xml:space="preserve"> within the confines of legislation that is </w:t>
      </w:r>
      <w:r w:rsidR="000640CE">
        <w:rPr>
          <w:color w:val="000000"/>
        </w:rPr>
        <w:t xml:space="preserve">archaic </w:t>
      </w:r>
      <w:r w:rsidR="00A355F9" w:rsidRPr="009422C2">
        <w:rPr>
          <w:color w:val="000000"/>
        </w:rPr>
        <w:t xml:space="preserve">and inhibits </w:t>
      </w:r>
      <w:r w:rsidR="00187229" w:rsidRPr="00187229">
        <w:rPr>
          <w:color w:val="000000"/>
        </w:rPr>
        <w:t>enlightened</w:t>
      </w:r>
      <w:r w:rsidR="0034031A">
        <w:rPr>
          <w:color w:val="000000"/>
        </w:rPr>
        <w:t xml:space="preserve"> </w:t>
      </w:r>
      <w:r w:rsidR="00A355F9" w:rsidRPr="009422C2">
        <w:rPr>
          <w:color w:val="000000"/>
        </w:rPr>
        <w:t xml:space="preserve">discussion. This </w:t>
      </w:r>
      <w:r w:rsidR="000640CE">
        <w:rPr>
          <w:color w:val="000000"/>
        </w:rPr>
        <w:t xml:space="preserve">not only </w:t>
      </w:r>
      <w:r w:rsidR="00A355F9" w:rsidRPr="009422C2">
        <w:rPr>
          <w:color w:val="000000"/>
        </w:rPr>
        <w:t>engenders unintended consequences for young people interfacing with awareness raising sessions</w:t>
      </w:r>
      <w:r w:rsidR="0034031A">
        <w:rPr>
          <w:color w:val="000000"/>
        </w:rPr>
        <w:t>,</w:t>
      </w:r>
      <w:r w:rsidR="000640CE">
        <w:rPr>
          <w:color w:val="000000"/>
        </w:rPr>
        <w:t xml:space="preserve"> it also</w:t>
      </w:r>
      <w:r w:rsidR="00187229">
        <w:t xml:space="preserve"> personalises</w:t>
      </w:r>
      <w:r w:rsidR="000640CE">
        <w:t xml:space="preserve"> the problem of CSE. </w:t>
      </w:r>
      <w:r w:rsidR="00A355F9" w:rsidRPr="009422C2">
        <w:rPr>
          <w:color w:val="000000"/>
        </w:rPr>
        <w:t xml:space="preserve">The </w:t>
      </w:r>
      <w:r w:rsidR="00187229">
        <w:rPr>
          <w:color w:val="000000"/>
        </w:rPr>
        <w:t>risk discourses operationalized by the team around</w:t>
      </w:r>
      <w:r w:rsidR="00A355F9" w:rsidRPr="009422C2">
        <w:rPr>
          <w:color w:val="000000"/>
        </w:rPr>
        <w:t xml:space="preserve"> internet safety and the sharing of images </w:t>
      </w:r>
      <w:r w:rsidR="00135B6B">
        <w:rPr>
          <w:color w:val="000000"/>
        </w:rPr>
        <w:t xml:space="preserve">fuse </w:t>
      </w:r>
      <w:r w:rsidR="00187229">
        <w:rPr>
          <w:color w:val="000000"/>
        </w:rPr>
        <w:t>discourses of individualisation and responsibilisation</w:t>
      </w:r>
      <w:r w:rsidR="00135B6B">
        <w:rPr>
          <w:color w:val="000000"/>
        </w:rPr>
        <w:t xml:space="preserve"> that place a heavy burden on young people</w:t>
      </w:r>
      <w:r w:rsidR="00187229">
        <w:rPr>
          <w:color w:val="000000"/>
        </w:rPr>
        <w:t xml:space="preserve">. Warning against such approaches in a different context around prostitution, Melrose  (2006: </w:t>
      </w:r>
      <w:r w:rsidR="00D97B11">
        <w:rPr>
          <w:color w:val="000000"/>
        </w:rPr>
        <w:t xml:space="preserve"> </w:t>
      </w:r>
      <w:r w:rsidR="00187229">
        <w:rPr>
          <w:color w:val="000000"/>
        </w:rPr>
        <w:t xml:space="preserve">2) </w:t>
      </w:r>
      <w:r w:rsidR="00187229">
        <w:t xml:space="preserve">counsels against </w:t>
      </w:r>
      <w:r w:rsidR="0034031A">
        <w:rPr>
          <w:color w:val="000000"/>
        </w:rPr>
        <w:t>reducing</w:t>
      </w:r>
      <w:r w:rsidR="00A355F9" w:rsidRPr="009422C2">
        <w:rPr>
          <w:color w:val="000000"/>
        </w:rPr>
        <w:t xml:space="preserve"> the problem to ‘one of recalcitrant individuals unwilling to accept offers of “help and support”’</w:t>
      </w:r>
      <w:r w:rsidR="00135B6B">
        <w:rPr>
          <w:color w:val="000000"/>
        </w:rPr>
        <w:t xml:space="preserve">. </w:t>
      </w:r>
      <w:r w:rsidR="00D97B11">
        <w:rPr>
          <w:color w:val="000000"/>
        </w:rPr>
        <w:t>The</w:t>
      </w:r>
      <w:r w:rsidR="00135B6B">
        <w:rPr>
          <w:color w:val="000000"/>
        </w:rPr>
        <w:t xml:space="preserve">se </w:t>
      </w:r>
      <w:r w:rsidR="00A355F9" w:rsidRPr="009422C2">
        <w:rPr>
          <w:color w:val="000000"/>
        </w:rPr>
        <w:t xml:space="preserve">types of strategies </w:t>
      </w:r>
      <w:r w:rsidR="00135B6B">
        <w:rPr>
          <w:color w:val="000000"/>
        </w:rPr>
        <w:t>run the risk</w:t>
      </w:r>
      <w:r w:rsidR="00A355F9" w:rsidRPr="009422C2">
        <w:rPr>
          <w:color w:val="000000"/>
        </w:rPr>
        <w:t xml:space="preserve"> </w:t>
      </w:r>
      <w:r w:rsidR="00135B6B">
        <w:rPr>
          <w:color w:val="000000"/>
        </w:rPr>
        <w:t xml:space="preserve">of replicating </w:t>
      </w:r>
      <w:r w:rsidR="00A355F9" w:rsidRPr="009422C2">
        <w:rPr>
          <w:color w:val="000000"/>
        </w:rPr>
        <w:t xml:space="preserve">the errors made in </w:t>
      </w:r>
      <w:r w:rsidR="00D97B11">
        <w:rPr>
          <w:color w:val="000000"/>
        </w:rPr>
        <w:t xml:space="preserve">previous </w:t>
      </w:r>
      <w:r w:rsidR="00A355F9" w:rsidRPr="009422C2">
        <w:rPr>
          <w:color w:val="000000"/>
        </w:rPr>
        <w:t xml:space="preserve">campaigns </w:t>
      </w:r>
      <w:r w:rsidR="00EB603F" w:rsidRPr="009422C2">
        <w:rPr>
          <w:color w:val="000000"/>
        </w:rPr>
        <w:t xml:space="preserve">to prevent </w:t>
      </w:r>
      <w:r w:rsidR="00135B6B">
        <w:rPr>
          <w:color w:val="000000"/>
        </w:rPr>
        <w:t>sexual assault</w:t>
      </w:r>
      <w:r w:rsidR="00EB603F" w:rsidRPr="009422C2">
        <w:rPr>
          <w:color w:val="000000"/>
        </w:rPr>
        <w:t xml:space="preserve"> </w:t>
      </w:r>
      <w:r w:rsidR="00A355F9" w:rsidRPr="009422C2">
        <w:rPr>
          <w:color w:val="000000"/>
        </w:rPr>
        <w:t xml:space="preserve">that </w:t>
      </w:r>
      <w:r w:rsidR="00135B6B">
        <w:rPr>
          <w:color w:val="000000"/>
        </w:rPr>
        <w:t xml:space="preserve">concentrate on encouraging </w:t>
      </w:r>
      <w:r w:rsidR="00A355F9" w:rsidRPr="009422C2">
        <w:rPr>
          <w:color w:val="000000"/>
        </w:rPr>
        <w:t xml:space="preserve">potential victims </w:t>
      </w:r>
      <w:r w:rsidR="00135B6B">
        <w:rPr>
          <w:color w:val="000000"/>
        </w:rPr>
        <w:t xml:space="preserve">to </w:t>
      </w:r>
      <w:r w:rsidR="00A355F9" w:rsidRPr="009422C2">
        <w:rPr>
          <w:color w:val="000000"/>
        </w:rPr>
        <w:t>modify their own behavio</w:t>
      </w:r>
      <w:r w:rsidR="000640CE">
        <w:rPr>
          <w:color w:val="000000"/>
        </w:rPr>
        <w:t>u</w:t>
      </w:r>
      <w:r w:rsidR="00A355F9" w:rsidRPr="009422C2">
        <w:rPr>
          <w:color w:val="000000"/>
        </w:rPr>
        <w:t>r to avoid harm (</w:t>
      </w:r>
      <w:r w:rsidR="00EB603F" w:rsidRPr="009422C2">
        <w:rPr>
          <w:color w:val="000000"/>
        </w:rPr>
        <w:t>Lawson, 2003</w:t>
      </w:r>
      <w:r w:rsidR="002F5054">
        <w:rPr>
          <w:color w:val="000000"/>
        </w:rPr>
        <w:t>). A</w:t>
      </w:r>
      <w:r w:rsidR="00A355F9" w:rsidRPr="009422C2">
        <w:rPr>
          <w:color w:val="000000"/>
        </w:rPr>
        <w:t xml:space="preserve">s Scoular and O’Neill (2007: 733) </w:t>
      </w:r>
      <w:r w:rsidR="002F5054">
        <w:rPr>
          <w:color w:val="000000"/>
        </w:rPr>
        <w:t xml:space="preserve">posit, </w:t>
      </w:r>
      <w:r w:rsidR="00135B6B">
        <w:rPr>
          <w:color w:val="000000"/>
        </w:rPr>
        <w:t xml:space="preserve">such a </w:t>
      </w:r>
      <w:r w:rsidR="002F5054">
        <w:rPr>
          <w:color w:val="000000"/>
        </w:rPr>
        <w:t xml:space="preserve">focus </w:t>
      </w:r>
      <w:r w:rsidR="00A355F9" w:rsidRPr="009422C2">
        <w:rPr>
          <w:color w:val="000000"/>
        </w:rPr>
        <w:t>‘promote</w:t>
      </w:r>
      <w:r w:rsidR="002F5054">
        <w:rPr>
          <w:color w:val="000000"/>
        </w:rPr>
        <w:t>s</w:t>
      </w:r>
      <w:r w:rsidR="00A355F9" w:rsidRPr="009422C2">
        <w:rPr>
          <w:color w:val="000000"/>
        </w:rPr>
        <w:t xml:space="preserve"> a form of governance that individualises problems and detracts from government’s failure to tackle underlying conditions’. With regards to CSE, these conditions are likely to include child neglect, youth homelessness, low self-esteem and social isolation (</w:t>
      </w:r>
      <w:r w:rsidR="000640CE">
        <w:rPr>
          <w:color w:val="000000"/>
        </w:rPr>
        <w:t xml:space="preserve">see </w:t>
      </w:r>
      <w:r w:rsidR="00A355F9" w:rsidRPr="009422C2">
        <w:rPr>
          <w:color w:val="000000"/>
        </w:rPr>
        <w:t xml:space="preserve">Hildyard and Wolfe, 2002; Smeaton, 2013 Cockbain and Wortley, 2015). In large part, the initiative </w:t>
      </w:r>
      <w:r w:rsidR="00D97B11">
        <w:rPr>
          <w:color w:val="000000"/>
        </w:rPr>
        <w:t xml:space="preserve">we observed </w:t>
      </w:r>
      <w:r w:rsidR="00135B6B">
        <w:rPr>
          <w:color w:val="000000"/>
        </w:rPr>
        <w:t xml:space="preserve">seeks to </w:t>
      </w:r>
      <w:r w:rsidR="00A355F9" w:rsidRPr="009422C2">
        <w:rPr>
          <w:color w:val="000000"/>
        </w:rPr>
        <w:t xml:space="preserve">raise awareness </w:t>
      </w:r>
      <w:r w:rsidR="001861B7">
        <w:rPr>
          <w:color w:val="000000"/>
        </w:rPr>
        <w:t xml:space="preserve">through the promotion of a </w:t>
      </w:r>
      <w:r w:rsidR="00135B6B">
        <w:rPr>
          <w:color w:val="000000"/>
        </w:rPr>
        <w:t xml:space="preserve">form of </w:t>
      </w:r>
      <w:r w:rsidR="001861B7">
        <w:rPr>
          <w:color w:val="000000"/>
        </w:rPr>
        <w:t xml:space="preserve">dramaturgical governance that </w:t>
      </w:r>
      <w:r w:rsidR="00A355F9" w:rsidRPr="009422C2">
        <w:rPr>
          <w:color w:val="000000"/>
        </w:rPr>
        <w:t>sustain</w:t>
      </w:r>
      <w:r w:rsidR="001861B7">
        <w:rPr>
          <w:color w:val="000000"/>
        </w:rPr>
        <w:t>s</w:t>
      </w:r>
      <w:r w:rsidR="00A355F9" w:rsidRPr="009422C2">
        <w:rPr>
          <w:color w:val="000000"/>
        </w:rPr>
        <w:t xml:space="preserve"> binaries between </w:t>
      </w:r>
      <w:r w:rsidR="002F5054">
        <w:rPr>
          <w:color w:val="000000"/>
        </w:rPr>
        <w:t xml:space="preserve">good and bad behaviour and </w:t>
      </w:r>
      <w:r w:rsidR="00A355F9" w:rsidRPr="009422C2">
        <w:rPr>
          <w:color w:val="000000"/>
        </w:rPr>
        <w:lastRenderedPageBreak/>
        <w:t>appropriate and inappropriate sexual conduct</w:t>
      </w:r>
      <w:r w:rsidR="002F5054">
        <w:rPr>
          <w:color w:val="000000"/>
        </w:rPr>
        <w:t xml:space="preserve">. </w:t>
      </w:r>
      <w:r w:rsidR="00A355F9" w:rsidRPr="009422C2">
        <w:rPr>
          <w:color w:val="000000"/>
        </w:rPr>
        <w:t xml:space="preserve">Communicating messages that </w:t>
      </w:r>
      <w:r w:rsidR="002F5054">
        <w:rPr>
          <w:color w:val="000000"/>
        </w:rPr>
        <w:t xml:space="preserve">prioritise </w:t>
      </w:r>
      <w:r w:rsidR="00A355F9" w:rsidRPr="009422C2">
        <w:rPr>
          <w:color w:val="000000"/>
        </w:rPr>
        <w:t xml:space="preserve">legal consequences risks </w:t>
      </w:r>
      <w:r w:rsidR="00A355F9" w:rsidRPr="009422C2">
        <w:t xml:space="preserve">criminalising a generation of young people that </w:t>
      </w:r>
      <w:r w:rsidR="002F5054">
        <w:t xml:space="preserve">choose to </w:t>
      </w:r>
      <w:r w:rsidR="00A355F9" w:rsidRPr="009422C2">
        <w:t>share sexual images</w:t>
      </w:r>
      <w:r w:rsidR="00135B6B">
        <w:t xml:space="preserve">, </w:t>
      </w:r>
      <w:r w:rsidR="00A355F9" w:rsidRPr="009422C2">
        <w:t xml:space="preserve">despite this </w:t>
      </w:r>
      <w:r w:rsidR="002F5054">
        <w:t>practice be</w:t>
      </w:r>
      <w:r w:rsidR="002C1091">
        <w:t>ing commonplace</w:t>
      </w:r>
      <w:r w:rsidR="002F5054">
        <w:t xml:space="preserve"> </w:t>
      </w:r>
      <w:r w:rsidR="00A355F9" w:rsidRPr="009422C2">
        <w:t xml:space="preserve">in courtship </w:t>
      </w:r>
      <w:r w:rsidR="002F5054">
        <w:t xml:space="preserve">rituals </w:t>
      </w:r>
      <w:r w:rsidR="00A355F9" w:rsidRPr="009422C2">
        <w:t>among</w:t>
      </w:r>
      <w:r w:rsidR="0034031A">
        <w:t>st</w:t>
      </w:r>
      <w:r w:rsidR="00A355F9" w:rsidRPr="009422C2">
        <w:t xml:space="preserve"> the adult population. As Burkett (2015) found, sexting occurs </w:t>
      </w:r>
      <w:r w:rsidR="002C1091">
        <w:t xml:space="preserve">amongst young adults </w:t>
      </w:r>
      <w:r w:rsidR="00A355F9" w:rsidRPr="009422C2">
        <w:t>not only in the context of casual sexual dating and intimate relationships</w:t>
      </w:r>
      <w:r w:rsidR="002F5054">
        <w:t>,</w:t>
      </w:r>
      <w:r w:rsidR="00A355F9" w:rsidRPr="009422C2">
        <w:t xml:space="preserve"> but also within a non-sexual peer context with friends. </w:t>
      </w:r>
      <w:r w:rsidR="002F5054">
        <w:rPr>
          <w:color w:val="000000"/>
        </w:rPr>
        <w:t xml:space="preserve">In </w:t>
      </w:r>
      <w:r w:rsidR="002C1091">
        <w:rPr>
          <w:color w:val="000000"/>
        </w:rPr>
        <w:t xml:space="preserve">disengaging with </w:t>
      </w:r>
      <w:r w:rsidR="002F5054">
        <w:rPr>
          <w:color w:val="000000"/>
        </w:rPr>
        <w:t>particular topics and experiences</w:t>
      </w:r>
      <w:r w:rsidR="002F5054" w:rsidRPr="009422C2">
        <w:t xml:space="preserve"> </w:t>
      </w:r>
      <w:r w:rsidR="002F5054">
        <w:t>- and instead emphasi</w:t>
      </w:r>
      <w:r w:rsidR="00321F4E">
        <w:t>s</w:t>
      </w:r>
      <w:r w:rsidR="002F5054">
        <w:t xml:space="preserve">ing </w:t>
      </w:r>
      <w:r w:rsidR="0034031A">
        <w:t xml:space="preserve">legislation </w:t>
      </w:r>
      <w:r w:rsidR="00A355F9" w:rsidRPr="009422C2">
        <w:t>a</w:t>
      </w:r>
      <w:r w:rsidR="002F5054">
        <w:t>round</w:t>
      </w:r>
      <w:r w:rsidR="00A355F9" w:rsidRPr="009422C2">
        <w:t xml:space="preserve"> the sharing of sexual images</w:t>
      </w:r>
      <w:r w:rsidR="002F5054">
        <w:t xml:space="preserve"> - </w:t>
      </w:r>
      <w:r w:rsidR="00A355F9" w:rsidRPr="009422C2">
        <w:t>the pleasures of risk in relationships</w:t>
      </w:r>
      <w:r w:rsidR="002F5054">
        <w:t xml:space="preserve"> are</w:t>
      </w:r>
      <w:r w:rsidR="0034031A">
        <w:t xml:space="preserve"> </w:t>
      </w:r>
      <w:r w:rsidR="002C1091" w:rsidRPr="002C1091">
        <w:t>quieted</w:t>
      </w:r>
      <w:r w:rsidR="00203E7B">
        <w:t xml:space="preserve">. </w:t>
      </w:r>
      <w:r w:rsidR="002C1091">
        <w:t xml:space="preserve">Crucially, </w:t>
      </w:r>
      <w:r w:rsidR="004B2F94">
        <w:t>fear of becoming criminalised</w:t>
      </w:r>
      <w:r w:rsidR="002C1091">
        <w:t xml:space="preserve"> </w:t>
      </w:r>
      <w:r w:rsidR="004B2F94">
        <w:t xml:space="preserve">may prevent young people from not only disclosing minor infringements but also those more harmful experiences they may have been exposed to. </w:t>
      </w:r>
      <w:r w:rsidR="001861B7">
        <w:t xml:space="preserve">As a consequence, progressive discussions about contemporary sexual practices that may inform the development of a more appropriate legislative framework </w:t>
      </w:r>
      <w:r w:rsidR="002C1091">
        <w:t>become</w:t>
      </w:r>
      <w:r w:rsidR="001861B7">
        <w:t xml:space="preserve"> silenced. </w:t>
      </w:r>
    </w:p>
    <w:p w14:paraId="65F500EC" w14:textId="77777777" w:rsidR="002C1091" w:rsidRDefault="002C1091" w:rsidP="00F071D4">
      <w:pPr>
        <w:autoSpaceDE w:val="0"/>
        <w:autoSpaceDN w:val="0"/>
        <w:adjustRightInd w:val="0"/>
        <w:spacing w:line="480" w:lineRule="auto"/>
        <w:jc w:val="both"/>
      </w:pPr>
    </w:p>
    <w:p w14:paraId="3CA08D5A" w14:textId="42444D03" w:rsidR="00AC140F" w:rsidRPr="00F071D4" w:rsidRDefault="00E87C69" w:rsidP="00F071D4">
      <w:pPr>
        <w:autoSpaceDE w:val="0"/>
        <w:autoSpaceDN w:val="0"/>
        <w:adjustRightInd w:val="0"/>
        <w:spacing w:line="480" w:lineRule="auto"/>
        <w:jc w:val="both"/>
      </w:pPr>
      <w:r>
        <w:t xml:space="preserve">In </w:t>
      </w:r>
      <w:r w:rsidR="002C1091">
        <w:t>conclusion</w:t>
      </w:r>
      <w:r w:rsidR="005272A8">
        <w:t xml:space="preserve">, </w:t>
      </w:r>
      <w:r w:rsidR="006564D0">
        <w:t xml:space="preserve">we have raised several </w:t>
      </w:r>
      <w:r w:rsidR="002C1091">
        <w:t xml:space="preserve">critical </w:t>
      </w:r>
      <w:r>
        <w:t xml:space="preserve">questions </w:t>
      </w:r>
      <w:r w:rsidR="00787AD5">
        <w:t>for th</w:t>
      </w:r>
      <w:r w:rsidR="00753D08">
        <w:t xml:space="preserve">ose developing </w:t>
      </w:r>
      <w:r w:rsidR="00787AD5">
        <w:t>programmes designed to prevent CSE</w:t>
      </w:r>
      <w:r w:rsidR="006564D0">
        <w:t xml:space="preserve"> and also </w:t>
      </w:r>
      <w:r w:rsidR="002C1091">
        <w:t xml:space="preserve">sought to offer some insights into the ways in which </w:t>
      </w:r>
      <w:r w:rsidR="00787AD5">
        <w:t xml:space="preserve">public health approaches to crime prevention more generally </w:t>
      </w:r>
      <w:r w:rsidR="00C93C63">
        <w:t xml:space="preserve">might be </w:t>
      </w:r>
      <w:r w:rsidR="00787AD5">
        <w:t>interpreted and implemented</w:t>
      </w:r>
      <w:r w:rsidR="002C1091">
        <w:t xml:space="preserve"> in </w:t>
      </w:r>
      <w:r w:rsidR="005272A8">
        <w:t>future practices</w:t>
      </w:r>
      <w:r w:rsidR="00787AD5">
        <w:t xml:space="preserve">. </w:t>
      </w:r>
      <w:r>
        <w:t xml:space="preserve">One of the main aims of </w:t>
      </w:r>
      <w:r w:rsidR="00D63AF6">
        <w:t>the</w:t>
      </w:r>
      <w:r>
        <w:t xml:space="preserve"> public health </w:t>
      </w:r>
      <w:r w:rsidR="00D63AF6">
        <w:t xml:space="preserve">model </w:t>
      </w:r>
      <w:r>
        <w:t>is to develop a suite of prevention strategies and techniques that are rooted in evidence</w:t>
      </w:r>
      <w:r w:rsidR="00D63AF6">
        <w:t xml:space="preserve">, </w:t>
      </w:r>
      <w:r>
        <w:t>clearly define the problem and identif</w:t>
      </w:r>
      <w:r w:rsidR="00D63AF6">
        <w:t>y</w:t>
      </w:r>
      <w:r>
        <w:t xml:space="preserve"> </w:t>
      </w:r>
      <w:r w:rsidR="00203E7B">
        <w:t xml:space="preserve">solutions to it </w:t>
      </w:r>
      <w:r w:rsidR="00320E48">
        <w:t>(Mercy, et al. 1993).</w:t>
      </w:r>
      <w:r w:rsidR="00753D08">
        <w:t xml:space="preserve"> </w:t>
      </w:r>
      <w:r w:rsidR="00203E7B">
        <w:t>In the case examined here,</w:t>
      </w:r>
      <w:r w:rsidR="00A7054D">
        <w:t xml:space="preserve"> conflating the problem of CSE with </w:t>
      </w:r>
      <w:r w:rsidR="00AC140F">
        <w:t xml:space="preserve">attempts to deter the </w:t>
      </w:r>
      <w:r w:rsidR="00A7054D">
        <w:t>sharing of indecent images</w:t>
      </w:r>
      <w:r w:rsidR="00753D08">
        <w:t>,</w:t>
      </w:r>
      <w:r w:rsidR="00A7054D">
        <w:t xml:space="preserve"> </w:t>
      </w:r>
      <w:r w:rsidR="00203E7B">
        <w:t xml:space="preserve">served to generate confusion </w:t>
      </w:r>
      <w:r w:rsidR="00A7054D">
        <w:rPr>
          <w:color w:val="000000"/>
        </w:rPr>
        <w:t>among</w:t>
      </w:r>
      <w:r w:rsidR="00203E7B">
        <w:rPr>
          <w:color w:val="000000"/>
        </w:rPr>
        <w:t>st</w:t>
      </w:r>
      <w:r w:rsidR="00A7054D">
        <w:rPr>
          <w:color w:val="000000"/>
        </w:rPr>
        <w:t xml:space="preserve"> the  audience</w:t>
      </w:r>
      <w:r w:rsidR="00203E7B">
        <w:rPr>
          <w:color w:val="000000"/>
        </w:rPr>
        <w:t xml:space="preserve">. So far as </w:t>
      </w:r>
      <w:r w:rsidR="00A7054D">
        <w:rPr>
          <w:color w:val="000000"/>
        </w:rPr>
        <w:t xml:space="preserve">adopting a public health approach </w:t>
      </w:r>
      <w:r w:rsidR="00203E7B">
        <w:rPr>
          <w:color w:val="000000"/>
        </w:rPr>
        <w:t xml:space="preserve">is concerned, </w:t>
      </w:r>
      <w:r w:rsidR="00A7054D">
        <w:rPr>
          <w:color w:val="000000"/>
        </w:rPr>
        <w:t xml:space="preserve">our </w:t>
      </w:r>
      <w:r w:rsidR="002D1C29">
        <w:rPr>
          <w:color w:val="000000"/>
        </w:rPr>
        <w:t xml:space="preserve">findings </w:t>
      </w:r>
      <w:r w:rsidR="00203E7B">
        <w:rPr>
          <w:color w:val="000000"/>
        </w:rPr>
        <w:t xml:space="preserve">highlight </w:t>
      </w:r>
      <w:r w:rsidR="002D1C29">
        <w:rPr>
          <w:color w:val="000000"/>
        </w:rPr>
        <w:t>the need for</w:t>
      </w:r>
      <w:r w:rsidR="00075EE4">
        <w:rPr>
          <w:color w:val="000000"/>
        </w:rPr>
        <w:t xml:space="preserve"> pre hoc</w:t>
      </w:r>
      <w:r w:rsidR="002D1C29">
        <w:rPr>
          <w:color w:val="000000"/>
        </w:rPr>
        <w:t xml:space="preserve"> user involvement</w:t>
      </w:r>
      <w:r w:rsidR="00C14CBE">
        <w:rPr>
          <w:color w:val="000000"/>
        </w:rPr>
        <w:t xml:space="preserve">, </w:t>
      </w:r>
      <w:r w:rsidR="002D1C29">
        <w:rPr>
          <w:color w:val="000000"/>
        </w:rPr>
        <w:t xml:space="preserve">particularly </w:t>
      </w:r>
      <w:r w:rsidR="00C14CBE">
        <w:rPr>
          <w:color w:val="000000"/>
        </w:rPr>
        <w:t xml:space="preserve">in </w:t>
      </w:r>
      <w:r w:rsidR="00075EE4">
        <w:rPr>
          <w:color w:val="000000"/>
        </w:rPr>
        <w:t xml:space="preserve">relation to </w:t>
      </w:r>
      <w:r w:rsidR="00C14CBE">
        <w:rPr>
          <w:color w:val="000000"/>
        </w:rPr>
        <w:t>programmes</w:t>
      </w:r>
      <w:r w:rsidR="002D1C29">
        <w:rPr>
          <w:color w:val="000000"/>
        </w:rPr>
        <w:t xml:space="preserve"> </w:t>
      </w:r>
      <w:r w:rsidR="00C14CBE">
        <w:rPr>
          <w:color w:val="000000"/>
        </w:rPr>
        <w:t xml:space="preserve">intended to educate </w:t>
      </w:r>
      <w:r w:rsidR="002D1C29">
        <w:rPr>
          <w:color w:val="000000"/>
        </w:rPr>
        <w:t>young people. As our data s</w:t>
      </w:r>
      <w:r w:rsidR="00C14CBE">
        <w:rPr>
          <w:color w:val="000000"/>
        </w:rPr>
        <w:t>hows</w:t>
      </w:r>
      <w:r w:rsidR="002D1C29">
        <w:rPr>
          <w:color w:val="000000"/>
        </w:rPr>
        <w:t xml:space="preserve">, </w:t>
      </w:r>
      <w:r w:rsidR="00C14CBE">
        <w:rPr>
          <w:color w:val="000000"/>
        </w:rPr>
        <w:t>the</w:t>
      </w:r>
      <w:r w:rsidR="002D1C29">
        <w:rPr>
          <w:color w:val="000000"/>
        </w:rPr>
        <w:t xml:space="preserve"> cultural </w:t>
      </w:r>
      <w:r w:rsidR="002D1C29">
        <w:rPr>
          <w:color w:val="000000"/>
        </w:rPr>
        <w:lastRenderedPageBreak/>
        <w:t>context</w:t>
      </w:r>
      <w:r w:rsidR="00C14CBE">
        <w:rPr>
          <w:color w:val="000000"/>
        </w:rPr>
        <w:t>s</w:t>
      </w:r>
      <w:r w:rsidR="002D1C29">
        <w:rPr>
          <w:color w:val="000000"/>
        </w:rPr>
        <w:t xml:space="preserve"> </w:t>
      </w:r>
      <w:r w:rsidR="00C14CBE">
        <w:rPr>
          <w:color w:val="000000"/>
        </w:rPr>
        <w:t xml:space="preserve">and </w:t>
      </w:r>
      <w:r w:rsidR="002D1C29">
        <w:rPr>
          <w:color w:val="000000"/>
        </w:rPr>
        <w:t xml:space="preserve">lifeworlds </w:t>
      </w:r>
      <w:r w:rsidR="00C14CBE">
        <w:rPr>
          <w:color w:val="000000"/>
        </w:rPr>
        <w:t xml:space="preserve">which </w:t>
      </w:r>
      <w:r w:rsidR="002D1C29">
        <w:rPr>
          <w:color w:val="000000"/>
        </w:rPr>
        <w:t xml:space="preserve">young people </w:t>
      </w:r>
      <w:r w:rsidR="00C14CBE">
        <w:rPr>
          <w:color w:val="000000"/>
        </w:rPr>
        <w:t xml:space="preserve">are bound up in appear </w:t>
      </w:r>
      <w:r w:rsidR="00501354">
        <w:rPr>
          <w:color w:val="000000"/>
        </w:rPr>
        <w:t xml:space="preserve">somewhat </w:t>
      </w:r>
      <w:r w:rsidR="00C14CBE">
        <w:rPr>
          <w:color w:val="000000"/>
        </w:rPr>
        <w:t>distant from</w:t>
      </w:r>
      <w:r w:rsidR="00501354">
        <w:rPr>
          <w:color w:val="000000"/>
        </w:rPr>
        <w:t xml:space="preserve"> and to</w:t>
      </w:r>
      <w:r w:rsidR="00C14CBE">
        <w:rPr>
          <w:color w:val="000000"/>
        </w:rPr>
        <w:t xml:space="preserve"> </w:t>
      </w:r>
      <w:r w:rsidR="002D1C29">
        <w:rPr>
          <w:color w:val="000000"/>
        </w:rPr>
        <w:t>th</w:t>
      </w:r>
      <w:r w:rsidR="00C14CBE">
        <w:rPr>
          <w:color w:val="000000"/>
        </w:rPr>
        <w:t>ose</w:t>
      </w:r>
      <w:r w:rsidR="002D1C29">
        <w:rPr>
          <w:color w:val="000000"/>
        </w:rPr>
        <w:t xml:space="preserve"> </w:t>
      </w:r>
      <w:r w:rsidR="00C14CBE">
        <w:rPr>
          <w:color w:val="000000"/>
        </w:rPr>
        <w:t>involved in the implementation</w:t>
      </w:r>
      <w:r w:rsidR="002D1C29">
        <w:rPr>
          <w:color w:val="000000"/>
        </w:rPr>
        <w:t xml:space="preserve"> of CSE awareness raising interventions</w:t>
      </w:r>
      <w:r w:rsidR="00C14CBE">
        <w:rPr>
          <w:color w:val="000000"/>
        </w:rPr>
        <w:t>.</w:t>
      </w:r>
      <w:r w:rsidR="004D75F4">
        <w:rPr>
          <w:color w:val="000000"/>
        </w:rPr>
        <w:t xml:space="preserve"> </w:t>
      </w:r>
      <w:r w:rsidR="00C14CBE">
        <w:t xml:space="preserve">If </w:t>
      </w:r>
      <w:r w:rsidR="00291306">
        <w:rPr>
          <w:color w:val="000000"/>
        </w:rPr>
        <w:t xml:space="preserve">public health approaches to crime prevention and </w:t>
      </w:r>
      <w:r w:rsidR="006564D0">
        <w:rPr>
          <w:color w:val="000000"/>
        </w:rPr>
        <w:t xml:space="preserve">cognate </w:t>
      </w:r>
      <w:r w:rsidR="00291306">
        <w:rPr>
          <w:color w:val="000000"/>
        </w:rPr>
        <w:t xml:space="preserve">social problems </w:t>
      </w:r>
      <w:r w:rsidR="00C14CBE">
        <w:rPr>
          <w:color w:val="000000"/>
        </w:rPr>
        <w:t xml:space="preserve">are to </w:t>
      </w:r>
      <w:r w:rsidR="00E670CC">
        <w:rPr>
          <w:color w:val="000000"/>
        </w:rPr>
        <w:t>be successful</w:t>
      </w:r>
      <w:r w:rsidR="00291306">
        <w:rPr>
          <w:color w:val="000000"/>
        </w:rPr>
        <w:t>,</w:t>
      </w:r>
      <w:r w:rsidR="002D1C29">
        <w:rPr>
          <w:color w:val="000000"/>
        </w:rPr>
        <w:t xml:space="preserve"> </w:t>
      </w:r>
      <w:r w:rsidR="00291306">
        <w:rPr>
          <w:color w:val="000000"/>
        </w:rPr>
        <w:t xml:space="preserve">those </w:t>
      </w:r>
      <w:r w:rsidR="00501354">
        <w:rPr>
          <w:color w:val="000000"/>
        </w:rPr>
        <w:t xml:space="preserve">targeted by </w:t>
      </w:r>
      <w:r w:rsidR="00C14CBE">
        <w:rPr>
          <w:color w:val="000000"/>
        </w:rPr>
        <w:t xml:space="preserve">them </w:t>
      </w:r>
      <w:r w:rsidR="004D75F4">
        <w:rPr>
          <w:color w:val="000000"/>
        </w:rPr>
        <w:t>should be involved in the early stages of design and</w:t>
      </w:r>
      <w:r w:rsidR="00501354">
        <w:rPr>
          <w:color w:val="000000"/>
        </w:rPr>
        <w:t xml:space="preserve"> consulted on</w:t>
      </w:r>
      <w:r w:rsidR="004D75F4">
        <w:rPr>
          <w:color w:val="000000"/>
        </w:rPr>
        <w:t xml:space="preserve"> </w:t>
      </w:r>
      <w:r w:rsidR="00501354">
        <w:rPr>
          <w:color w:val="000000"/>
        </w:rPr>
        <w:t xml:space="preserve">modes of </w:t>
      </w:r>
      <w:r w:rsidR="004D75F4">
        <w:rPr>
          <w:color w:val="000000"/>
        </w:rPr>
        <w:t>implementation</w:t>
      </w:r>
      <w:r w:rsidR="00075EE4">
        <w:rPr>
          <w:color w:val="000000"/>
        </w:rPr>
        <w:t xml:space="preserve"> in order</w:t>
      </w:r>
      <w:r w:rsidR="00C14CBE">
        <w:rPr>
          <w:color w:val="000000"/>
        </w:rPr>
        <w:t xml:space="preserve"> to en</w:t>
      </w:r>
      <w:r w:rsidR="00E670CC">
        <w:rPr>
          <w:color w:val="000000"/>
        </w:rPr>
        <w:t>hance</w:t>
      </w:r>
      <w:r w:rsidR="00C14CBE">
        <w:rPr>
          <w:color w:val="000000"/>
        </w:rPr>
        <w:t xml:space="preserve"> relevance and </w:t>
      </w:r>
      <w:r w:rsidR="00E670CC">
        <w:rPr>
          <w:color w:val="000000"/>
        </w:rPr>
        <w:t xml:space="preserve">to </w:t>
      </w:r>
      <w:r w:rsidR="00501354">
        <w:rPr>
          <w:color w:val="000000"/>
        </w:rPr>
        <w:t xml:space="preserve">ensure that suitable </w:t>
      </w:r>
      <w:r w:rsidR="00C14CBE">
        <w:rPr>
          <w:color w:val="000000"/>
        </w:rPr>
        <w:t>platforms for dialogue</w:t>
      </w:r>
      <w:r w:rsidR="00E670CC">
        <w:rPr>
          <w:color w:val="000000"/>
        </w:rPr>
        <w:t xml:space="preserve"> are</w:t>
      </w:r>
      <w:r w:rsidR="006564D0">
        <w:rPr>
          <w:color w:val="000000"/>
        </w:rPr>
        <w:t xml:space="preserve"> incorporated</w:t>
      </w:r>
      <w:r w:rsidR="00E670CC">
        <w:rPr>
          <w:color w:val="000000"/>
        </w:rPr>
        <w:t>.</w:t>
      </w:r>
    </w:p>
    <w:p w14:paraId="3FCA8499" w14:textId="2E7637AF" w:rsidR="00AC140F" w:rsidRDefault="00AC140F" w:rsidP="00A7054D">
      <w:pPr>
        <w:widowControl w:val="0"/>
        <w:autoSpaceDE w:val="0"/>
        <w:autoSpaceDN w:val="0"/>
        <w:adjustRightInd w:val="0"/>
        <w:spacing w:line="480" w:lineRule="auto"/>
        <w:jc w:val="both"/>
        <w:rPr>
          <w:color w:val="000000"/>
        </w:rPr>
      </w:pPr>
    </w:p>
    <w:p w14:paraId="683FEA01" w14:textId="77777777" w:rsidR="00A7054D" w:rsidRDefault="00A7054D" w:rsidP="00A7054D">
      <w:pPr>
        <w:widowControl w:val="0"/>
        <w:autoSpaceDE w:val="0"/>
        <w:autoSpaceDN w:val="0"/>
        <w:adjustRightInd w:val="0"/>
        <w:spacing w:line="480" w:lineRule="auto"/>
        <w:jc w:val="both"/>
        <w:rPr>
          <w:color w:val="000000"/>
        </w:rPr>
      </w:pPr>
    </w:p>
    <w:p w14:paraId="463EC622" w14:textId="77777777" w:rsidR="0034031A" w:rsidRDefault="0034031A" w:rsidP="0034031A">
      <w:pPr>
        <w:autoSpaceDE w:val="0"/>
        <w:autoSpaceDN w:val="0"/>
        <w:adjustRightInd w:val="0"/>
        <w:spacing w:line="480" w:lineRule="auto"/>
        <w:jc w:val="both"/>
      </w:pPr>
    </w:p>
    <w:p w14:paraId="24304A41" w14:textId="74E980D8" w:rsidR="00A355F9" w:rsidRPr="009422C2" w:rsidRDefault="00A355F9" w:rsidP="00EB603F">
      <w:pPr>
        <w:spacing w:after="120" w:line="480" w:lineRule="auto"/>
        <w:jc w:val="both"/>
      </w:pPr>
      <w:r w:rsidRPr="009422C2">
        <w:rPr>
          <w:b/>
        </w:rPr>
        <w:t>References</w:t>
      </w:r>
      <w:r w:rsidRPr="009422C2">
        <w:t xml:space="preserve"> </w:t>
      </w:r>
    </w:p>
    <w:p w14:paraId="0DBD28B4" w14:textId="7AA34DDB" w:rsidR="00A355F9" w:rsidRPr="009422C2" w:rsidRDefault="00A355F9" w:rsidP="00EB603F">
      <w:pPr>
        <w:pStyle w:val="NormalWeb"/>
        <w:spacing w:line="480" w:lineRule="auto"/>
        <w:rPr>
          <w:rFonts w:ascii="Times New Roman" w:eastAsia="Times New Roman" w:hAnsi="Times New Roman" w:cs="Times New Roman"/>
          <w:color w:val="3F3F3F"/>
          <w:sz w:val="24"/>
          <w:szCs w:val="24"/>
        </w:rPr>
      </w:pPr>
      <w:r w:rsidRPr="009422C2">
        <w:rPr>
          <w:rFonts w:ascii="Times New Roman" w:eastAsia="Times New Roman" w:hAnsi="Times New Roman" w:cs="Times New Roman"/>
          <w:color w:val="3F3F3F"/>
          <w:sz w:val="24"/>
          <w:szCs w:val="24"/>
        </w:rPr>
        <w:t>Albury, K. (2015)</w:t>
      </w:r>
      <w:r w:rsidR="0010094E" w:rsidRPr="009422C2">
        <w:rPr>
          <w:rFonts w:ascii="Times New Roman" w:eastAsia="Times New Roman" w:hAnsi="Times New Roman" w:cs="Times New Roman"/>
          <w:color w:val="3F3F3F"/>
          <w:sz w:val="24"/>
          <w:szCs w:val="24"/>
        </w:rPr>
        <w:t>,</w:t>
      </w:r>
      <w:r w:rsidRPr="009422C2">
        <w:rPr>
          <w:rFonts w:ascii="Times New Roman" w:eastAsia="Times New Roman" w:hAnsi="Times New Roman" w:cs="Times New Roman"/>
          <w:color w:val="3F3F3F"/>
          <w:sz w:val="24"/>
          <w:szCs w:val="24"/>
        </w:rPr>
        <w:t xml:space="preserve"> ‘Selfies, </w:t>
      </w:r>
      <w:r w:rsidR="0010094E" w:rsidRPr="009422C2">
        <w:rPr>
          <w:rFonts w:ascii="Times New Roman" w:eastAsia="Times New Roman" w:hAnsi="Times New Roman" w:cs="Times New Roman"/>
          <w:color w:val="3F3F3F"/>
          <w:sz w:val="24"/>
          <w:szCs w:val="24"/>
        </w:rPr>
        <w:t>S</w:t>
      </w:r>
      <w:r w:rsidRPr="009422C2">
        <w:rPr>
          <w:rFonts w:ascii="Times New Roman" w:eastAsia="Times New Roman" w:hAnsi="Times New Roman" w:cs="Times New Roman"/>
          <w:color w:val="3F3F3F"/>
          <w:sz w:val="24"/>
          <w:szCs w:val="24"/>
        </w:rPr>
        <w:t xml:space="preserve">exts and </w:t>
      </w:r>
      <w:r w:rsidR="0010094E" w:rsidRPr="009422C2">
        <w:rPr>
          <w:rFonts w:ascii="Times New Roman" w:eastAsia="Times New Roman" w:hAnsi="Times New Roman" w:cs="Times New Roman"/>
          <w:color w:val="3F3F3F"/>
          <w:sz w:val="24"/>
          <w:szCs w:val="24"/>
        </w:rPr>
        <w:t>S</w:t>
      </w:r>
      <w:r w:rsidRPr="009422C2">
        <w:rPr>
          <w:rFonts w:ascii="Times New Roman" w:eastAsia="Times New Roman" w:hAnsi="Times New Roman" w:cs="Times New Roman"/>
          <w:color w:val="3F3F3F"/>
          <w:sz w:val="24"/>
          <w:szCs w:val="24"/>
        </w:rPr>
        <w:t xml:space="preserve">neaky </w:t>
      </w:r>
      <w:r w:rsidR="0010094E" w:rsidRPr="009422C2">
        <w:rPr>
          <w:rFonts w:ascii="Times New Roman" w:eastAsia="Times New Roman" w:hAnsi="Times New Roman" w:cs="Times New Roman"/>
          <w:color w:val="3F3F3F"/>
          <w:sz w:val="24"/>
          <w:szCs w:val="24"/>
        </w:rPr>
        <w:t>H</w:t>
      </w:r>
      <w:r w:rsidRPr="009422C2">
        <w:rPr>
          <w:rFonts w:ascii="Times New Roman" w:eastAsia="Times New Roman" w:hAnsi="Times New Roman" w:cs="Times New Roman"/>
          <w:color w:val="3F3F3F"/>
          <w:sz w:val="24"/>
          <w:szCs w:val="24"/>
        </w:rPr>
        <w:t xml:space="preserve">ats: Young </w:t>
      </w:r>
      <w:r w:rsidR="0010094E" w:rsidRPr="009422C2">
        <w:rPr>
          <w:rFonts w:ascii="Times New Roman" w:eastAsia="Times New Roman" w:hAnsi="Times New Roman" w:cs="Times New Roman"/>
          <w:color w:val="3F3F3F"/>
          <w:sz w:val="24"/>
          <w:szCs w:val="24"/>
        </w:rPr>
        <w:t>P</w:t>
      </w:r>
      <w:r w:rsidRPr="009422C2">
        <w:rPr>
          <w:rFonts w:ascii="Times New Roman" w:eastAsia="Times New Roman" w:hAnsi="Times New Roman" w:cs="Times New Roman"/>
          <w:color w:val="3F3F3F"/>
          <w:sz w:val="24"/>
          <w:szCs w:val="24"/>
        </w:rPr>
        <w:t xml:space="preserve">eople’s </w:t>
      </w:r>
      <w:r w:rsidR="0010094E" w:rsidRPr="009422C2">
        <w:rPr>
          <w:rFonts w:ascii="Times New Roman" w:eastAsia="Times New Roman" w:hAnsi="Times New Roman" w:cs="Times New Roman"/>
          <w:color w:val="3F3F3F"/>
          <w:sz w:val="24"/>
          <w:szCs w:val="24"/>
        </w:rPr>
        <w:t>U</w:t>
      </w:r>
      <w:r w:rsidRPr="009422C2">
        <w:rPr>
          <w:rFonts w:ascii="Times New Roman" w:eastAsia="Times New Roman" w:hAnsi="Times New Roman" w:cs="Times New Roman"/>
          <w:color w:val="3F3F3F"/>
          <w:sz w:val="24"/>
          <w:szCs w:val="24"/>
        </w:rPr>
        <w:t xml:space="preserve">nderstandings of </w:t>
      </w:r>
      <w:r w:rsidR="0010094E" w:rsidRPr="009422C2">
        <w:rPr>
          <w:rFonts w:ascii="Times New Roman" w:eastAsia="Times New Roman" w:hAnsi="Times New Roman" w:cs="Times New Roman"/>
          <w:color w:val="3F3F3F"/>
          <w:sz w:val="24"/>
          <w:szCs w:val="24"/>
        </w:rPr>
        <w:t>G</w:t>
      </w:r>
      <w:r w:rsidRPr="009422C2">
        <w:rPr>
          <w:rFonts w:ascii="Times New Roman" w:eastAsia="Times New Roman" w:hAnsi="Times New Roman" w:cs="Times New Roman"/>
          <w:color w:val="3F3F3F"/>
          <w:sz w:val="24"/>
          <w:szCs w:val="24"/>
        </w:rPr>
        <w:t xml:space="preserve">endered </w:t>
      </w:r>
      <w:r w:rsidR="0010094E" w:rsidRPr="009422C2">
        <w:rPr>
          <w:rFonts w:ascii="Times New Roman" w:eastAsia="Times New Roman" w:hAnsi="Times New Roman" w:cs="Times New Roman"/>
          <w:color w:val="3F3F3F"/>
          <w:sz w:val="24"/>
          <w:szCs w:val="24"/>
        </w:rPr>
        <w:t>P</w:t>
      </w:r>
      <w:r w:rsidRPr="009422C2">
        <w:rPr>
          <w:rFonts w:ascii="Times New Roman" w:eastAsia="Times New Roman" w:hAnsi="Times New Roman" w:cs="Times New Roman"/>
          <w:color w:val="3F3F3F"/>
          <w:sz w:val="24"/>
          <w:szCs w:val="24"/>
        </w:rPr>
        <w:t xml:space="preserve">ractices of </w:t>
      </w:r>
      <w:r w:rsidR="0010094E" w:rsidRPr="009422C2">
        <w:rPr>
          <w:rFonts w:ascii="Times New Roman" w:eastAsia="Times New Roman" w:hAnsi="Times New Roman" w:cs="Times New Roman"/>
          <w:color w:val="3F3F3F"/>
          <w:sz w:val="24"/>
          <w:szCs w:val="24"/>
        </w:rPr>
        <w:t>S</w:t>
      </w:r>
      <w:r w:rsidRPr="009422C2">
        <w:rPr>
          <w:rFonts w:ascii="Times New Roman" w:eastAsia="Times New Roman" w:hAnsi="Times New Roman" w:cs="Times New Roman"/>
          <w:color w:val="3F3F3F"/>
          <w:sz w:val="24"/>
          <w:szCs w:val="24"/>
        </w:rPr>
        <w:t xml:space="preserve">elf-representation’, </w:t>
      </w:r>
      <w:r w:rsidRPr="009422C2">
        <w:rPr>
          <w:rFonts w:ascii="Times New Roman" w:eastAsia="Times New Roman" w:hAnsi="Times New Roman" w:cs="Times New Roman"/>
          <w:i/>
          <w:color w:val="3F3F3F"/>
          <w:sz w:val="24"/>
          <w:szCs w:val="24"/>
        </w:rPr>
        <w:t xml:space="preserve">International Journal of Communication, </w:t>
      </w:r>
      <w:r w:rsidRPr="009422C2">
        <w:rPr>
          <w:rFonts w:ascii="Times New Roman" w:eastAsia="Times New Roman" w:hAnsi="Times New Roman" w:cs="Times New Roman"/>
          <w:color w:val="3F3F3F"/>
          <w:sz w:val="24"/>
          <w:szCs w:val="24"/>
        </w:rPr>
        <w:t>9: 1734-1745.</w:t>
      </w:r>
    </w:p>
    <w:p w14:paraId="2CCF36F7" w14:textId="65EEB6AE" w:rsidR="00A355F9" w:rsidRPr="009422C2" w:rsidRDefault="00A355F9" w:rsidP="00EB603F">
      <w:pPr>
        <w:pStyle w:val="NormalWeb"/>
        <w:spacing w:line="480" w:lineRule="auto"/>
        <w:rPr>
          <w:rStyle w:val="st"/>
          <w:rFonts w:ascii="Times New Roman" w:eastAsia="Times New Roman" w:hAnsi="Times New Roman" w:cs="Times New Roman"/>
          <w:sz w:val="24"/>
          <w:szCs w:val="24"/>
        </w:rPr>
      </w:pPr>
      <w:r w:rsidRPr="009422C2">
        <w:rPr>
          <w:rFonts w:ascii="Times New Roman" w:eastAsia="Times New Roman" w:hAnsi="Times New Roman" w:cs="Times New Roman"/>
          <w:sz w:val="24"/>
          <w:szCs w:val="24"/>
        </w:rPr>
        <w:t>Bauman, Z. (2011)</w:t>
      </w:r>
      <w:r w:rsidR="0010094E" w:rsidRPr="009422C2">
        <w:rPr>
          <w:rFonts w:ascii="Times New Roman" w:eastAsia="Times New Roman" w:hAnsi="Times New Roman" w:cs="Times New Roman"/>
          <w:sz w:val="24"/>
          <w:szCs w:val="24"/>
        </w:rPr>
        <w:t>,</w:t>
      </w:r>
      <w:r w:rsidRPr="009422C2">
        <w:rPr>
          <w:rFonts w:ascii="Times New Roman" w:eastAsia="Times New Roman" w:hAnsi="Times New Roman" w:cs="Times New Roman"/>
          <w:sz w:val="24"/>
          <w:szCs w:val="24"/>
        </w:rPr>
        <w:t xml:space="preserve"> ‘</w:t>
      </w:r>
      <w:r w:rsidRPr="009422C2">
        <w:rPr>
          <w:rStyle w:val="Emphasis"/>
          <w:rFonts w:ascii="Times New Roman" w:eastAsia="Times New Roman" w:hAnsi="Times New Roman" w:cs="Times New Roman"/>
          <w:i w:val="0"/>
          <w:sz w:val="24"/>
          <w:szCs w:val="24"/>
        </w:rPr>
        <w:t>Privacy</w:t>
      </w:r>
      <w:r w:rsidRPr="009422C2">
        <w:rPr>
          <w:rStyle w:val="st"/>
          <w:rFonts w:ascii="Times New Roman" w:eastAsia="Times New Roman" w:hAnsi="Times New Roman" w:cs="Times New Roman"/>
          <w:sz w:val="24"/>
          <w:szCs w:val="24"/>
        </w:rPr>
        <w:t xml:space="preserve">, Secrecy, Intimacy, </w:t>
      </w:r>
      <w:r w:rsidRPr="009422C2">
        <w:rPr>
          <w:rStyle w:val="Emphasis"/>
          <w:rFonts w:ascii="Times New Roman" w:eastAsia="Times New Roman" w:hAnsi="Times New Roman" w:cs="Times New Roman"/>
          <w:i w:val="0"/>
          <w:sz w:val="24"/>
          <w:szCs w:val="24"/>
        </w:rPr>
        <w:t>Human</w:t>
      </w:r>
      <w:r w:rsidRPr="009422C2">
        <w:rPr>
          <w:rStyle w:val="st"/>
          <w:rFonts w:ascii="Times New Roman" w:eastAsia="Times New Roman" w:hAnsi="Times New Roman" w:cs="Times New Roman"/>
          <w:sz w:val="24"/>
          <w:szCs w:val="24"/>
        </w:rPr>
        <w:t xml:space="preserve"> Bonds and Other Collateral Casualties of Liquid Modernity’, </w:t>
      </w:r>
      <w:r w:rsidRPr="009422C2">
        <w:rPr>
          <w:rStyle w:val="st"/>
          <w:rFonts w:ascii="Times New Roman" w:eastAsia="Times New Roman" w:hAnsi="Times New Roman" w:cs="Times New Roman"/>
          <w:i/>
          <w:sz w:val="24"/>
          <w:szCs w:val="24"/>
        </w:rPr>
        <w:t>Hedgehog Review</w:t>
      </w:r>
      <w:r w:rsidRPr="009422C2">
        <w:rPr>
          <w:rStyle w:val="st"/>
          <w:rFonts w:ascii="Times New Roman" w:eastAsia="Times New Roman" w:hAnsi="Times New Roman" w:cs="Times New Roman"/>
          <w:sz w:val="24"/>
          <w:szCs w:val="24"/>
        </w:rPr>
        <w:t>, 13: 1: Spring Edition.</w:t>
      </w:r>
    </w:p>
    <w:p w14:paraId="247C76B3" w14:textId="55094044" w:rsidR="00A355F9" w:rsidRPr="009422C2" w:rsidRDefault="00A355F9" w:rsidP="00EB603F">
      <w:pPr>
        <w:pStyle w:val="NormalWeb"/>
        <w:spacing w:line="480" w:lineRule="auto"/>
        <w:rPr>
          <w:rFonts w:ascii="Times New Roman" w:eastAsia="Times New Roman" w:hAnsi="Times New Roman" w:cs="Times New Roman"/>
          <w:sz w:val="24"/>
          <w:szCs w:val="24"/>
        </w:rPr>
      </w:pPr>
      <w:r w:rsidRPr="009422C2">
        <w:rPr>
          <w:rFonts w:ascii="Times New Roman" w:eastAsia="Times New Roman" w:hAnsi="Times New Roman" w:cs="Times New Roman"/>
          <w:sz w:val="24"/>
          <w:szCs w:val="24"/>
        </w:rPr>
        <w:t>Benotsch, E., Snipes, D., Martin, A. and Bull, S. (2013)</w:t>
      </w:r>
      <w:r w:rsidR="0010094E" w:rsidRPr="009422C2">
        <w:rPr>
          <w:rFonts w:ascii="Times New Roman" w:eastAsia="Times New Roman" w:hAnsi="Times New Roman" w:cs="Times New Roman"/>
          <w:sz w:val="24"/>
          <w:szCs w:val="24"/>
        </w:rPr>
        <w:t>,</w:t>
      </w:r>
      <w:r w:rsidRPr="009422C2">
        <w:rPr>
          <w:rFonts w:ascii="Times New Roman" w:eastAsia="Times New Roman" w:hAnsi="Times New Roman" w:cs="Times New Roman"/>
          <w:sz w:val="24"/>
          <w:szCs w:val="24"/>
        </w:rPr>
        <w:t xml:space="preserve"> ‘Sexting, </w:t>
      </w:r>
      <w:r w:rsidR="0010094E" w:rsidRPr="009422C2">
        <w:rPr>
          <w:rFonts w:ascii="Times New Roman" w:eastAsia="Times New Roman" w:hAnsi="Times New Roman" w:cs="Times New Roman"/>
          <w:sz w:val="24"/>
          <w:szCs w:val="24"/>
        </w:rPr>
        <w:t>S</w:t>
      </w:r>
      <w:r w:rsidRPr="009422C2">
        <w:rPr>
          <w:rFonts w:ascii="Times New Roman" w:eastAsia="Times New Roman" w:hAnsi="Times New Roman" w:cs="Times New Roman"/>
          <w:sz w:val="24"/>
          <w:szCs w:val="24"/>
        </w:rPr>
        <w:t xml:space="preserve">ubstance </w:t>
      </w:r>
      <w:r w:rsidR="0010094E" w:rsidRPr="009422C2">
        <w:rPr>
          <w:rFonts w:ascii="Times New Roman" w:eastAsia="Times New Roman" w:hAnsi="Times New Roman" w:cs="Times New Roman"/>
          <w:sz w:val="24"/>
          <w:szCs w:val="24"/>
        </w:rPr>
        <w:t>U</w:t>
      </w:r>
      <w:r w:rsidRPr="009422C2">
        <w:rPr>
          <w:rFonts w:ascii="Times New Roman" w:eastAsia="Times New Roman" w:hAnsi="Times New Roman" w:cs="Times New Roman"/>
          <w:sz w:val="24"/>
          <w:szCs w:val="24"/>
        </w:rPr>
        <w:t xml:space="preserve">se and </w:t>
      </w:r>
      <w:r w:rsidR="0010094E" w:rsidRPr="009422C2">
        <w:rPr>
          <w:rFonts w:ascii="Times New Roman" w:eastAsia="Times New Roman" w:hAnsi="Times New Roman" w:cs="Times New Roman"/>
          <w:sz w:val="24"/>
          <w:szCs w:val="24"/>
        </w:rPr>
        <w:t>S</w:t>
      </w:r>
      <w:r w:rsidRPr="009422C2">
        <w:rPr>
          <w:rFonts w:ascii="Times New Roman" w:eastAsia="Times New Roman" w:hAnsi="Times New Roman" w:cs="Times New Roman"/>
          <w:sz w:val="24"/>
          <w:szCs w:val="24"/>
        </w:rPr>
        <w:t xml:space="preserve">exual </w:t>
      </w:r>
      <w:r w:rsidR="0010094E" w:rsidRPr="009422C2">
        <w:rPr>
          <w:rFonts w:ascii="Times New Roman" w:eastAsia="Times New Roman" w:hAnsi="Times New Roman" w:cs="Times New Roman"/>
          <w:sz w:val="24"/>
          <w:szCs w:val="24"/>
        </w:rPr>
        <w:t>R</w:t>
      </w:r>
      <w:r w:rsidRPr="009422C2">
        <w:rPr>
          <w:rFonts w:ascii="Times New Roman" w:eastAsia="Times New Roman" w:hAnsi="Times New Roman" w:cs="Times New Roman"/>
          <w:sz w:val="24"/>
          <w:szCs w:val="24"/>
        </w:rPr>
        <w:t xml:space="preserve">isk </w:t>
      </w:r>
      <w:r w:rsidR="0010094E" w:rsidRPr="009422C2">
        <w:rPr>
          <w:rFonts w:ascii="Times New Roman" w:eastAsia="Times New Roman" w:hAnsi="Times New Roman" w:cs="Times New Roman"/>
          <w:sz w:val="24"/>
          <w:szCs w:val="24"/>
        </w:rPr>
        <w:t>B</w:t>
      </w:r>
      <w:r w:rsidRPr="009422C2">
        <w:rPr>
          <w:rFonts w:ascii="Times New Roman" w:eastAsia="Times New Roman" w:hAnsi="Times New Roman" w:cs="Times New Roman"/>
          <w:sz w:val="24"/>
          <w:szCs w:val="24"/>
        </w:rPr>
        <w:t xml:space="preserve">ehaviour in </w:t>
      </w:r>
      <w:r w:rsidR="0010094E" w:rsidRPr="009422C2">
        <w:rPr>
          <w:rFonts w:ascii="Times New Roman" w:eastAsia="Times New Roman" w:hAnsi="Times New Roman" w:cs="Times New Roman"/>
          <w:sz w:val="24"/>
          <w:szCs w:val="24"/>
        </w:rPr>
        <w:t>Y</w:t>
      </w:r>
      <w:r w:rsidRPr="009422C2">
        <w:rPr>
          <w:rFonts w:ascii="Times New Roman" w:eastAsia="Times New Roman" w:hAnsi="Times New Roman" w:cs="Times New Roman"/>
          <w:sz w:val="24"/>
          <w:szCs w:val="24"/>
        </w:rPr>
        <w:t xml:space="preserve">oung </w:t>
      </w:r>
      <w:r w:rsidR="0010094E" w:rsidRPr="009422C2">
        <w:rPr>
          <w:rFonts w:ascii="Times New Roman" w:eastAsia="Times New Roman" w:hAnsi="Times New Roman" w:cs="Times New Roman"/>
          <w:sz w:val="24"/>
          <w:szCs w:val="24"/>
        </w:rPr>
        <w:t>A</w:t>
      </w:r>
      <w:r w:rsidRPr="009422C2">
        <w:rPr>
          <w:rFonts w:ascii="Times New Roman" w:eastAsia="Times New Roman" w:hAnsi="Times New Roman" w:cs="Times New Roman"/>
          <w:sz w:val="24"/>
          <w:szCs w:val="24"/>
        </w:rPr>
        <w:t xml:space="preserve">dults’, </w:t>
      </w:r>
      <w:r w:rsidRPr="009422C2">
        <w:rPr>
          <w:rFonts w:ascii="Times New Roman" w:eastAsia="Times New Roman" w:hAnsi="Times New Roman" w:cs="Times New Roman"/>
          <w:i/>
          <w:sz w:val="24"/>
          <w:szCs w:val="24"/>
        </w:rPr>
        <w:t xml:space="preserve">Journal of Adolescent Health, </w:t>
      </w:r>
      <w:r w:rsidRPr="009422C2">
        <w:rPr>
          <w:rFonts w:ascii="Times New Roman" w:eastAsia="Times New Roman" w:hAnsi="Times New Roman" w:cs="Times New Roman"/>
          <w:sz w:val="24"/>
          <w:szCs w:val="24"/>
        </w:rPr>
        <w:t>52(3): 307-313.</w:t>
      </w:r>
    </w:p>
    <w:p w14:paraId="50FCCBBA" w14:textId="7AF1FB8E" w:rsidR="00B956BE" w:rsidRPr="009422C2" w:rsidRDefault="00B956BE" w:rsidP="00EB603F">
      <w:pPr>
        <w:pStyle w:val="NormalWeb"/>
        <w:spacing w:line="480" w:lineRule="auto"/>
        <w:rPr>
          <w:rFonts w:ascii="Times New Roman" w:eastAsia="Times New Roman" w:hAnsi="Times New Roman" w:cs="Times New Roman"/>
          <w:sz w:val="24"/>
          <w:szCs w:val="24"/>
        </w:rPr>
      </w:pPr>
      <w:r w:rsidRPr="009422C2">
        <w:rPr>
          <w:rFonts w:ascii="Times New Roman" w:eastAsia="Times New Roman" w:hAnsi="Times New Roman" w:cs="Times New Roman"/>
          <w:sz w:val="24"/>
          <w:szCs w:val="24"/>
        </w:rPr>
        <w:t>Berry, L., Tully, R. and Egan, V. (2018)</w:t>
      </w:r>
      <w:r w:rsidR="000D679B">
        <w:rPr>
          <w:rFonts w:ascii="Times New Roman" w:eastAsia="Times New Roman" w:hAnsi="Times New Roman" w:cs="Times New Roman"/>
          <w:sz w:val="24"/>
          <w:szCs w:val="24"/>
        </w:rPr>
        <w:t>,</w:t>
      </w:r>
      <w:r w:rsidRPr="009422C2">
        <w:rPr>
          <w:rFonts w:ascii="Times New Roman" w:eastAsia="Times New Roman" w:hAnsi="Times New Roman" w:cs="Times New Roman"/>
          <w:sz w:val="24"/>
          <w:szCs w:val="24"/>
        </w:rPr>
        <w:t xml:space="preserve"> ‘A Case Study Approach to Reducing the Risks of Child Sexual Exploitation’, </w:t>
      </w:r>
      <w:r w:rsidRPr="009422C2">
        <w:rPr>
          <w:rFonts w:ascii="Times New Roman" w:eastAsia="Times New Roman" w:hAnsi="Times New Roman" w:cs="Times New Roman"/>
          <w:i/>
          <w:sz w:val="24"/>
          <w:szCs w:val="24"/>
        </w:rPr>
        <w:t xml:space="preserve">Journal of Child Sexual Abuse, </w:t>
      </w:r>
      <w:r w:rsidRPr="009422C2">
        <w:rPr>
          <w:rFonts w:ascii="Times New Roman" w:eastAsia="Times New Roman" w:hAnsi="Times New Roman" w:cs="Times New Roman"/>
          <w:sz w:val="24"/>
          <w:szCs w:val="24"/>
        </w:rPr>
        <w:t xml:space="preserve">26(7): 769-784. </w:t>
      </w:r>
    </w:p>
    <w:p w14:paraId="4A529564" w14:textId="304C6A47" w:rsidR="00F71C1D" w:rsidRPr="009422C2" w:rsidRDefault="00F71C1D" w:rsidP="00EB603F">
      <w:pPr>
        <w:pStyle w:val="NormalWeb"/>
        <w:spacing w:line="480" w:lineRule="auto"/>
        <w:rPr>
          <w:rFonts w:ascii="Times New Roman" w:eastAsia="Times New Roman" w:hAnsi="Times New Roman" w:cs="Times New Roman"/>
          <w:sz w:val="24"/>
          <w:szCs w:val="24"/>
        </w:rPr>
      </w:pPr>
      <w:r w:rsidRPr="009422C2">
        <w:rPr>
          <w:rFonts w:ascii="Times New Roman" w:eastAsia="Times New Roman" w:hAnsi="Times New Roman" w:cs="Times New Roman"/>
          <w:sz w:val="24"/>
          <w:szCs w:val="24"/>
        </w:rPr>
        <w:t>Bhui, K., Hicks, M., Lashley, M. and Jones, E. (2012)</w:t>
      </w:r>
      <w:r w:rsidR="000D679B">
        <w:rPr>
          <w:rFonts w:ascii="Times New Roman" w:eastAsia="Times New Roman" w:hAnsi="Times New Roman" w:cs="Times New Roman"/>
          <w:sz w:val="24"/>
          <w:szCs w:val="24"/>
        </w:rPr>
        <w:t>,</w:t>
      </w:r>
      <w:r w:rsidRPr="009422C2">
        <w:rPr>
          <w:rFonts w:ascii="Times New Roman" w:eastAsia="Times New Roman" w:hAnsi="Times New Roman" w:cs="Times New Roman"/>
          <w:sz w:val="24"/>
          <w:szCs w:val="24"/>
        </w:rPr>
        <w:t xml:space="preserve"> ‘A Public Health Approach to Understanding and Preventing Violent Radicalisation’, </w:t>
      </w:r>
      <w:r w:rsidRPr="009422C2">
        <w:rPr>
          <w:rFonts w:ascii="Times New Roman" w:eastAsia="Times New Roman" w:hAnsi="Times New Roman" w:cs="Times New Roman"/>
          <w:i/>
          <w:sz w:val="24"/>
          <w:szCs w:val="24"/>
        </w:rPr>
        <w:t xml:space="preserve">BMC Medicine, </w:t>
      </w:r>
      <w:r w:rsidRPr="009422C2">
        <w:rPr>
          <w:rFonts w:ascii="Times New Roman" w:eastAsia="Times New Roman" w:hAnsi="Times New Roman" w:cs="Times New Roman"/>
          <w:sz w:val="24"/>
          <w:szCs w:val="24"/>
        </w:rPr>
        <w:t xml:space="preserve">10:16. </w:t>
      </w:r>
    </w:p>
    <w:p w14:paraId="55E28A1E" w14:textId="63C301B1" w:rsidR="00A355F9" w:rsidRPr="009422C2" w:rsidRDefault="00A355F9" w:rsidP="00EB603F">
      <w:pPr>
        <w:pStyle w:val="NormalWeb"/>
        <w:spacing w:line="480" w:lineRule="auto"/>
        <w:rPr>
          <w:rFonts w:ascii="Times New Roman" w:eastAsia="Times New Roman" w:hAnsi="Times New Roman" w:cs="Times New Roman"/>
          <w:sz w:val="24"/>
          <w:szCs w:val="24"/>
        </w:rPr>
      </w:pPr>
      <w:r w:rsidRPr="009422C2">
        <w:rPr>
          <w:rFonts w:ascii="Times New Roman" w:eastAsia="Times New Roman" w:hAnsi="Times New Roman" w:cs="Times New Roman"/>
          <w:sz w:val="24"/>
          <w:szCs w:val="24"/>
        </w:rPr>
        <w:lastRenderedPageBreak/>
        <w:t>Burkett, M. (2015)</w:t>
      </w:r>
      <w:r w:rsidR="0010094E" w:rsidRPr="009422C2">
        <w:rPr>
          <w:rFonts w:ascii="Times New Roman" w:eastAsia="Times New Roman" w:hAnsi="Times New Roman" w:cs="Times New Roman"/>
          <w:sz w:val="24"/>
          <w:szCs w:val="24"/>
        </w:rPr>
        <w:t>,</w:t>
      </w:r>
      <w:r w:rsidRPr="009422C2">
        <w:rPr>
          <w:rFonts w:ascii="Times New Roman" w:eastAsia="Times New Roman" w:hAnsi="Times New Roman" w:cs="Times New Roman"/>
          <w:sz w:val="24"/>
          <w:szCs w:val="24"/>
        </w:rPr>
        <w:t xml:space="preserve"> ‘Sex(t) </w:t>
      </w:r>
      <w:r w:rsidR="0010094E" w:rsidRPr="009422C2">
        <w:rPr>
          <w:rFonts w:ascii="Times New Roman" w:eastAsia="Times New Roman" w:hAnsi="Times New Roman" w:cs="Times New Roman"/>
          <w:sz w:val="24"/>
          <w:szCs w:val="24"/>
        </w:rPr>
        <w:t>T</w:t>
      </w:r>
      <w:r w:rsidRPr="009422C2">
        <w:rPr>
          <w:rFonts w:ascii="Times New Roman" w:eastAsia="Times New Roman" w:hAnsi="Times New Roman" w:cs="Times New Roman"/>
          <w:sz w:val="24"/>
          <w:szCs w:val="24"/>
        </w:rPr>
        <w:t xml:space="preserve">alk: A </w:t>
      </w:r>
      <w:r w:rsidR="0010094E" w:rsidRPr="009422C2">
        <w:rPr>
          <w:rFonts w:ascii="Times New Roman" w:eastAsia="Times New Roman" w:hAnsi="Times New Roman" w:cs="Times New Roman"/>
          <w:sz w:val="24"/>
          <w:szCs w:val="24"/>
        </w:rPr>
        <w:t>Q</w:t>
      </w:r>
      <w:r w:rsidRPr="009422C2">
        <w:rPr>
          <w:rFonts w:ascii="Times New Roman" w:eastAsia="Times New Roman" w:hAnsi="Times New Roman" w:cs="Times New Roman"/>
          <w:sz w:val="24"/>
          <w:szCs w:val="24"/>
        </w:rPr>
        <w:t xml:space="preserve">ualitative </w:t>
      </w:r>
      <w:r w:rsidR="0010094E" w:rsidRPr="009422C2">
        <w:rPr>
          <w:rFonts w:ascii="Times New Roman" w:eastAsia="Times New Roman" w:hAnsi="Times New Roman" w:cs="Times New Roman"/>
          <w:sz w:val="24"/>
          <w:szCs w:val="24"/>
        </w:rPr>
        <w:t>A</w:t>
      </w:r>
      <w:r w:rsidRPr="009422C2">
        <w:rPr>
          <w:rFonts w:ascii="Times New Roman" w:eastAsia="Times New Roman" w:hAnsi="Times New Roman" w:cs="Times New Roman"/>
          <w:sz w:val="24"/>
          <w:szCs w:val="24"/>
        </w:rPr>
        <w:t xml:space="preserve">nalysis of </w:t>
      </w:r>
      <w:r w:rsidR="0010094E" w:rsidRPr="009422C2">
        <w:rPr>
          <w:rFonts w:ascii="Times New Roman" w:eastAsia="Times New Roman" w:hAnsi="Times New Roman" w:cs="Times New Roman"/>
          <w:sz w:val="24"/>
          <w:szCs w:val="24"/>
        </w:rPr>
        <w:t>Y</w:t>
      </w:r>
      <w:r w:rsidRPr="009422C2">
        <w:rPr>
          <w:rFonts w:ascii="Times New Roman" w:eastAsia="Times New Roman" w:hAnsi="Times New Roman" w:cs="Times New Roman"/>
          <w:sz w:val="24"/>
          <w:szCs w:val="24"/>
        </w:rPr>
        <w:t xml:space="preserve">oung </w:t>
      </w:r>
      <w:r w:rsidR="0010094E" w:rsidRPr="009422C2">
        <w:rPr>
          <w:rFonts w:ascii="Times New Roman" w:eastAsia="Times New Roman" w:hAnsi="Times New Roman" w:cs="Times New Roman"/>
          <w:sz w:val="24"/>
          <w:szCs w:val="24"/>
        </w:rPr>
        <w:t>A</w:t>
      </w:r>
      <w:r w:rsidRPr="009422C2">
        <w:rPr>
          <w:rFonts w:ascii="Times New Roman" w:eastAsia="Times New Roman" w:hAnsi="Times New Roman" w:cs="Times New Roman"/>
          <w:sz w:val="24"/>
          <w:szCs w:val="24"/>
        </w:rPr>
        <w:t xml:space="preserve">dults’ </w:t>
      </w:r>
      <w:r w:rsidR="0010094E" w:rsidRPr="009422C2">
        <w:rPr>
          <w:rFonts w:ascii="Times New Roman" w:eastAsia="Times New Roman" w:hAnsi="Times New Roman" w:cs="Times New Roman"/>
          <w:sz w:val="24"/>
          <w:szCs w:val="24"/>
        </w:rPr>
        <w:t>N</w:t>
      </w:r>
      <w:r w:rsidRPr="009422C2">
        <w:rPr>
          <w:rFonts w:ascii="Times New Roman" w:eastAsia="Times New Roman" w:hAnsi="Times New Roman" w:cs="Times New Roman"/>
          <w:sz w:val="24"/>
          <w:szCs w:val="24"/>
        </w:rPr>
        <w:t xml:space="preserve">egotiations of the </w:t>
      </w:r>
      <w:r w:rsidR="0010094E" w:rsidRPr="009422C2">
        <w:rPr>
          <w:rFonts w:ascii="Times New Roman" w:eastAsia="Times New Roman" w:hAnsi="Times New Roman" w:cs="Times New Roman"/>
          <w:sz w:val="24"/>
          <w:szCs w:val="24"/>
        </w:rPr>
        <w:t>P</w:t>
      </w:r>
      <w:r w:rsidRPr="009422C2">
        <w:rPr>
          <w:rFonts w:ascii="Times New Roman" w:eastAsia="Times New Roman" w:hAnsi="Times New Roman" w:cs="Times New Roman"/>
          <w:sz w:val="24"/>
          <w:szCs w:val="24"/>
        </w:rPr>
        <w:t xml:space="preserve">leasures and </w:t>
      </w:r>
      <w:r w:rsidR="0010094E" w:rsidRPr="009422C2">
        <w:rPr>
          <w:rFonts w:ascii="Times New Roman" w:eastAsia="Times New Roman" w:hAnsi="Times New Roman" w:cs="Times New Roman"/>
          <w:sz w:val="24"/>
          <w:szCs w:val="24"/>
        </w:rPr>
        <w:t>P</w:t>
      </w:r>
      <w:r w:rsidRPr="009422C2">
        <w:rPr>
          <w:rFonts w:ascii="Times New Roman" w:eastAsia="Times New Roman" w:hAnsi="Times New Roman" w:cs="Times New Roman"/>
          <w:sz w:val="24"/>
          <w:szCs w:val="24"/>
        </w:rPr>
        <w:t xml:space="preserve">erils of </w:t>
      </w:r>
      <w:r w:rsidR="0010094E" w:rsidRPr="009422C2">
        <w:rPr>
          <w:rFonts w:ascii="Times New Roman" w:eastAsia="Times New Roman" w:hAnsi="Times New Roman" w:cs="Times New Roman"/>
          <w:sz w:val="24"/>
          <w:szCs w:val="24"/>
        </w:rPr>
        <w:t>S</w:t>
      </w:r>
      <w:r w:rsidRPr="009422C2">
        <w:rPr>
          <w:rFonts w:ascii="Times New Roman" w:eastAsia="Times New Roman" w:hAnsi="Times New Roman" w:cs="Times New Roman"/>
          <w:sz w:val="24"/>
          <w:szCs w:val="24"/>
        </w:rPr>
        <w:t xml:space="preserve">exting’, </w:t>
      </w:r>
      <w:r w:rsidRPr="009422C2">
        <w:rPr>
          <w:rFonts w:ascii="Times New Roman" w:eastAsia="Times New Roman" w:hAnsi="Times New Roman" w:cs="Times New Roman"/>
          <w:i/>
          <w:sz w:val="24"/>
          <w:szCs w:val="24"/>
        </w:rPr>
        <w:t xml:space="preserve">Sexuality and Culture, </w:t>
      </w:r>
      <w:r w:rsidRPr="009422C2">
        <w:rPr>
          <w:rFonts w:ascii="Times New Roman" w:eastAsia="Times New Roman" w:hAnsi="Times New Roman" w:cs="Times New Roman"/>
          <w:sz w:val="24"/>
          <w:szCs w:val="24"/>
        </w:rPr>
        <w:t>19(4): 835-863.</w:t>
      </w:r>
    </w:p>
    <w:p w14:paraId="3C163FFC" w14:textId="0AE37F2D" w:rsidR="00A355F9" w:rsidRPr="009422C2" w:rsidRDefault="00A355F9" w:rsidP="000968F9">
      <w:pPr>
        <w:pStyle w:val="NormalWeb"/>
        <w:spacing w:line="480" w:lineRule="auto"/>
      </w:pPr>
      <w:r w:rsidRPr="009422C2">
        <w:rPr>
          <w:rFonts w:ascii="Times New Roman" w:eastAsia="Times New Roman" w:hAnsi="Times New Roman" w:cs="Times New Roman"/>
          <w:sz w:val="24"/>
          <w:szCs w:val="24"/>
        </w:rPr>
        <w:t>Chenier, E. (2012)</w:t>
      </w:r>
      <w:r w:rsidR="0010094E" w:rsidRPr="009422C2">
        <w:rPr>
          <w:rFonts w:ascii="Times New Roman" w:eastAsia="Times New Roman" w:hAnsi="Times New Roman" w:cs="Times New Roman"/>
          <w:sz w:val="24"/>
          <w:szCs w:val="24"/>
        </w:rPr>
        <w:t>,</w:t>
      </w:r>
      <w:r w:rsidRPr="009422C2">
        <w:rPr>
          <w:rFonts w:ascii="Times New Roman" w:eastAsia="Times New Roman" w:hAnsi="Times New Roman" w:cs="Times New Roman"/>
          <w:sz w:val="24"/>
          <w:szCs w:val="24"/>
        </w:rPr>
        <w:t xml:space="preserve"> ‘The </w:t>
      </w:r>
      <w:r w:rsidR="0010094E" w:rsidRPr="009422C2">
        <w:rPr>
          <w:rFonts w:ascii="Times New Roman" w:eastAsia="Times New Roman" w:hAnsi="Times New Roman" w:cs="Times New Roman"/>
          <w:sz w:val="24"/>
          <w:szCs w:val="24"/>
        </w:rPr>
        <w:t>N</w:t>
      </w:r>
      <w:r w:rsidRPr="009422C2">
        <w:rPr>
          <w:rFonts w:ascii="Times New Roman" w:eastAsia="Times New Roman" w:hAnsi="Times New Roman" w:cs="Times New Roman"/>
          <w:sz w:val="24"/>
          <w:szCs w:val="24"/>
        </w:rPr>
        <w:t xml:space="preserve">atural </w:t>
      </w:r>
      <w:r w:rsidR="0010094E" w:rsidRPr="009422C2">
        <w:rPr>
          <w:rFonts w:ascii="Times New Roman" w:eastAsia="Times New Roman" w:hAnsi="Times New Roman" w:cs="Times New Roman"/>
          <w:sz w:val="24"/>
          <w:szCs w:val="24"/>
        </w:rPr>
        <w:t>O</w:t>
      </w:r>
      <w:r w:rsidRPr="009422C2">
        <w:rPr>
          <w:rFonts w:ascii="Times New Roman" w:eastAsia="Times New Roman" w:hAnsi="Times New Roman" w:cs="Times New Roman"/>
          <w:sz w:val="24"/>
          <w:szCs w:val="24"/>
        </w:rPr>
        <w:t xml:space="preserve">rder of </w:t>
      </w:r>
      <w:r w:rsidR="0010094E" w:rsidRPr="009422C2">
        <w:rPr>
          <w:rFonts w:ascii="Times New Roman" w:eastAsia="Times New Roman" w:hAnsi="Times New Roman" w:cs="Times New Roman"/>
          <w:sz w:val="24"/>
          <w:szCs w:val="24"/>
        </w:rPr>
        <w:t>D</w:t>
      </w:r>
      <w:r w:rsidRPr="009422C2">
        <w:rPr>
          <w:rFonts w:ascii="Times New Roman" w:eastAsia="Times New Roman" w:hAnsi="Times New Roman" w:cs="Times New Roman"/>
          <w:sz w:val="24"/>
          <w:szCs w:val="24"/>
        </w:rPr>
        <w:t xml:space="preserve">isorder: Pediophilia, </w:t>
      </w:r>
      <w:r w:rsidR="0010094E" w:rsidRPr="009422C2">
        <w:rPr>
          <w:rFonts w:ascii="Times New Roman" w:eastAsia="Times New Roman" w:hAnsi="Times New Roman" w:cs="Times New Roman"/>
          <w:sz w:val="24"/>
          <w:szCs w:val="24"/>
        </w:rPr>
        <w:t>S</w:t>
      </w:r>
      <w:r w:rsidRPr="009422C2">
        <w:rPr>
          <w:rFonts w:ascii="Times New Roman" w:eastAsia="Times New Roman" w:hAnsi="Times New Roman" w:cs="Times New Roman"/>
          <w:sz w:val="24"/>
          <w:szCs w:val="24"/>
        </w:rPr>
        <w:t xml:space="preserve">tranger </w:t>
      </w:r>
      <w:r w:rsidR="0010094E" w:rsidRPr="009422C2">
        <w:rPr>
          <w:rFonts w:ascii="Times New Roman" w:eastAsia="Times New Roman" w:hAnsi="Times New Roman" w:cs="Times New Roman"/>
          <w:sz w:val="24"/>
          <w:szCs w:val="24"/>
        </w:rPr>
        <w:t>D</w:t>
      </w:r>
      <w:r w:rsidRPr="009422C2">
        <w:rPr>
          <w:rFonts w:ascii="Times New Roman" w:eastAsia="Times New Roman" w:hAnsi="Times New Roman" w:cs="Times New Roman"/>
          <w:sz w:val="24"/>
          <w:szCs w:val="24"/>
        </w:rPr>
        <w:t xml:space="preserve">anger and the </w:t>
      </w:r>
      <w:r w:rsidR="0010094E" w:rsidRPr="009422C2">
        <w:rPr>
          <w:rFonts w:ascii="Times New Roman" w:eastAsia="Times New Roman" w:hAnsi="Times New Roman" w:cs="Times New Roman"/>
          <w:sz w:val="24"/>
          <w:szCs w:val="24"/>
        </w:rPr>
        <w:t>N</w:t>
      </w:r>
      <w:r w:rsidRPr="009422C2">
        <w:rPr>
          <w:rFonts w:ascii="Times New Roman" w:eastAsia="Times New Roman" w:hAnsi="Times New Roman" w:cs="Times New Roman"/>
          <w:sz w:val="24"/>
          <w:szCs w:val="24"/>
        </w:rPr>
        <w:t xml:space="preserve">ormalising </w:t>
      </w:r>
      <w:r w:rsidR="0010094E" w:rsidRPr="009422C2">
        <w:rPr>
          <w:rFonts w:ascii="Times New Roman" w:eastAsia="Times New Roman" w:hAnsi="Times New Roman" w:cs="Times New Roman"/>
          <w:sz w:val="24"/>
          <w:szCs w:val="24"/>
        </w:rPr>
        <w:t>F</w:t>
      </w:r>
      <w:r w:rsidRPr="009422C2">
        <w:rPr>
          <w:rFonts w:ascii="Times New Roman" w:eastAsia="Times New Roman" w:hAnsi="Times New Roman" w:cs="Times New Roman"/>
          <w:sz w:val="24"/>
          <w:szCs w:val="24"/>
        </w:rPr>
        <w:t xml:space="preserve">amily’, </w:t>
      </w:r>
      <w:r w:rsidRPr="009422C2">
        <w:rPr>
          <w:rFonts w:ascii="Times New Roman" w:eastAsia="Times New Roman" w:hAnsi="Times New Roman" w:cs="Times New Roman"/>
          <w:i/>
          <w:sz w:val="24"/>
          <w:szCs w:val="24"/>
        </w:rPr>
        <w:t xml:space="preserve">Sexuality and Culture, </w:t>
      </w:r>
      <w:r w:rsidRPr="009422C2">
        <w:rPr>
          <w:rFonts w:ascii="Times New Roman" w:eastAsia="Times New Roman" w:hAnsi="Times New Roman" w:cs="Times New Roman"/>
          <w:sz w:val="24"/>
          <w:szCs w:val="24"/>
        </w:rPr>
        <w:t>16: 172-186.</w:t>
      </w:r>
    </w:p>
    <w:p w14:paraId="3CA1761F" w14:textId="02B00D6C" w:rsidR="00A355F9" w:rsidRPr="009422C2" w:rsidRDefault="00A355F9" w:rsidP="00EB603F">
      <w:pPr>
        <w:spacing w:line="480" w:lineRule="auto"/>
        <w:textAlignment w:val="baseline"/>
        <w:rPr>
          <w:color w:val="2A2A2A"/>
        </w:rPr>
      </w:pPr>
      <w:r w:rsidRPr="009422C2">
        <w:rPr>
          <w:color w:val="2A2A2A"/>
        </w:rPr>
        <w:t>Cockbain, E., and</w:t>
      </w:r>
      <w:r w:rsidRPr="009422C2">
        <w:rPr>
          <w:rStyle w:val="apple-converted-space"/>
          <w:color w:val="2A2A2A"/>
        </w:rPr>
        <w:t> </w:t>
      </w:r>
      <w:r w:rsidRPr="009422C2">
        <w:rPr>
          <w:color w:val="2A2A2A"/>
        </w:rPr>
        <w:t>Wortley, R. (2015)</w:t>
      </w:r>
      <w:r w:rsidR="0010094E" w:rsidRPr="009422C2">
        <w:rPr>
          <w:color w:val="2A2A2A"/>
        </w:rPr>
        <w:t>,</w:t>
      </w:r>
      <w:r w:rsidRPr="009422C2">
        <w:rPr>
          <w:color w:val="2A2A2A"/>
        </w:rPr>
        <w:t xml:space="preserve"> ‘Everyday Atrocities: Does Internal (Domestic) Sex Trafficking of British Children Satisfy the Expectations of Opportunity Theories of Crime?’</w:t>
      </w:r>
      <w:r w:rsidRPr="009422C2">
        <w:rPr>
          <w:rStyle w:val="apple-converted-space"/>
          <w:color w:val="2A2A2A"/>
        </w:rPr>
        <w:t> </w:t>
      </w:r>
      <w:r w:rsidRPr="009422C2">
        <w:rPr>
          <w:i/>
          <w:iCs/>
          <w:color w:val="2A2A2A"/>
        </w:rPr>
        <w:t>Crime Science</w:t>
      </w:r>
      <w:r w:rsidR="0010094E" w:rsidRPr="009422C2">
        <w:rPr>
          <w:i/>
          <w:iCs/>
          <w:color w:val="2A2A2A"/>
        </w:rPr>
        <w:t>,</w:t>
      </w:r>
      <w:r w:rsidRPr="009422C2">
        <w:rPr>
          <w:color w:val="2A2A2A"/>
        </w:rPr>
        <w:t> 4(1):</w:t>
      </w:r>
      <w:r w:rsidRPr="009422C2">
        <w:rPr>
          <w:rStyle w:val="apple-converted-space"/>
          <w:color w:val="2A2A2A"/>
        </w:rPr>
        <w:t> </w:t>
      </w:r>
      <w:r w:rsidR="006A59A4">
        <w:rPr>
          <w:color w:val="2A2A2A"/>
        </w:rPr>
        <w:t>1-</w:t>
      </w:r>
      <w:r w:rsidRPr="009422C2">
        <w:rPr>
          <w:color w:val="2A2A2A"/>
        </w:rPr>
        <w:t>12.</w:t>
      </w:r>
    </w:p>
    <w:p w14:paraId="636429C1" w14:textId="77777777" w:rsidR="00A355F9" w:rsidRPr="009422C2" w:rsidRDefault="00A355F9" w:rsidP="00EB603F">
      <w:pPr>
        <w:autoSpaceDE w:val="0"/>
        <w:autoSpaceDN w:val="0"/>
        <w:adjustRightInd w:val="0"/>
        <w:spacing w:line="480" w:lineRule="auto"/>
        <w:jc w:val="both"/>
        <w:rPr>
          <w:color w:val="000000"/>
        </w:rPr>
      </w:pPr>
    </w:p>
    <w:p w14:paraId="14A2B2F9" w14:textId="3A746214" w:rsidR="00A355F9" w:rsidRPr="009422C2" w:rsidRDefault="00A355F9" w:rsidP="00EB603F">
      <w:pPr>
        <w:autoSpaceDE w:val="0"/>
        <w:autoSpaceDN w:val="0"/>
        <w:adjustRightInd w:val="0"/>
        <w:spacing w:line="480" w:lineRule="auto"/>
        <w:jc w:val="both"/>
        <w:rPr>
          <w:color w:val="000000"/>
        </w:rPr>
      </w:pPr>
      <w:r w:rsidRPr="009422C2">
        <w:rPr>
          <w:color w:val="000000"/>
        </w:rPr>
        <w:t>Cusick, L. (2006)</w:t>
      </w:r>
      <w:r w:rsidR="0010094E" w:rsidRPr="009422C2">
        <w:rPr>
          <w:color w:val="000000"/>
        </w:rPr>
        <w:t>,</w:t>
      </w:r>
      <w:r w:rsidRPr="009422C2">
        <w:rPr>
          <w:color w:val="000000"/>
        </w:rPr>
        <w:t xml:space="preserve"> ‘Widening the </w:t>
      </w:r>
      <w:r w:rsidR="0010094E" w:rsidRPr="009422C2">
        <w:rPr>
          <w:color w:val="000000"/>
        </w:rPr>
        <w:t>H</w:t>
      </w:r>
      <w:r w:rsidRPr="009422C2">
        <w:rPr>
          <w:color w:val="000000"/>
        </w:rPr>
        <w:t xml:space="preserve">arm </w:t>
      </w:r>
      <w:r w:rsidR="0010094E" w:rsidRPr="009422C2">
        <w:rPr>
          <w:color w:val="000000"/>
        </w:rPr>
        <w:t>R</w:t>
      </w:r>
      <w:r w:rsidRPr="009422C2">
        <w:rPr>
          <w:color w:val="000000"/>
        </w:rPr>
        <w:t xml:space="preserve">eduction </w:t>
      </w:r>
      <w:r w:rsidR="0010094E" w:rsidRPr="009422C2">
        <w:rPr>
          <w:color w:val="000000"/>
        </w:rPr>
        <w:t>A</w:t>
      </w:r>
      <w:r w:rsidRPr="009422C2">
        <w:rPr>
          <w:color w:val="000000"/>
        </w:rPr>
        <w:t xml:space="preserve">genda: From </w:t>
      </w:r>
      <w:r w:rsidR="0010094E" w:rsidRPr="009422C2">
        <w:rPr>
          <w:color w:val="000000"/>
        </w:rPr>
        <w:t>D</w:t>
      </w:r>
      <w:r w:rsidRPr="009422C2">
        <w:rPr>
          <w:color w:val="000000"/>
        </w:rPr>
        <w:t xml:space="preserve">rug </w:t>
      </w:r>
      <w:r w:rsidR="0010094E" w:rsidRPr="009422C2">
        <w:rPr>
          <w:color w:val="000000"/>
        </w:rPr>
        <w:t>U</w:t>
      </w:r>
      <w:r w:rsidRPr="009422C2">
        <w:rPr>
          <w:color w:val="000000"/>
        </w:rPr>
        <w:t xml:space="preserve">se to </w:t>
      </w:r>
      <w:r w:rsidR="0010094E" w:rsidRPr="009422C2">
        <w:rPr>
          <w:color w:val="000000"/>
        </w:rPr>
        <w:t>S</w:t>
      </w:r>
      <w:r w:rsidRPr="009422C2">
        <w:rPr>
          <w:color w:val="000000"/>
        </w:rPr>
        <w:t xml:space="preserve">ex </w:t>
      </w:r>
      <w:r w:rsidR="0010094E" w:rsidRPr="009422C2">
        <w:rPr>
          <w:color w:val="000000"/>
        </w:rPr>
        <w:t>W</w:t>
      </w:r>
      <w:r w:rsidRPr="009422C2">
        <w:rPr>
          <w:color w:val="000000"/>
        </w:rPr>
        <w:t xml:space="preserve">ork’, </w:t>
      </w:r>
      <w:r w:rsidRPr="009422C2">
        <w:rPr>
          <w:i/>
          <w:color w:val="000000"/>
        </w:rPr>
        <w:t xml:space="preserve">International Journal of Drug Policy, </w:t>
      </w:r>
      <w:r w:rsidRPr="009422C2">
        <w:rPr>
          <w:color w:val="000000"/>
        </w:rPr>
        <w:t>17(1): 3-11.</w:t>
      </w:r>
    </w:p>
    <w:p w14:paraId="40B8B67A" w14:textId="77777777" w:rsidR="00A355F9" w:rsidRPr="009422C2" w:rsidRDefault="00A355F9" w:rsidP="00EB603F">
      <w:pPr>
        <w:autoSpaceDE w:val="0"/>
        <w:autoSpaceDN w:val="0"/>
        <w:adjustRightInd w:val="0"/>
        <w:spacing w:line="480" w:lineRule="auto"/>
        <w:jc w:val="both"/>
        <w:rPr>
          <w:color w:val="000000"/>
        </w:rPr>
      </w:pPr>
    </w:p>
    <w:p w14:paraId="2E011384" w14:textId="2AA217F3" w:rsidR="007C75CD" w:rsidRPr="009422C2" w:rsidRDefault="00A355F9" w:rsidP="00EB603F">
      <w:pPr>
        <w:autoSpaceDE w:val="0"/>
        <w:autoSpaceDN w:val="0"/>
        <w:adjustRightInd w:val="0"/>
        <w:spacing w:line="480" w:lineRule="auto"/>
        <w:jc w:val="both"/>
        <w:rPr>
          <w:color w:val="000000"/>
        </w:rPr>
      </w:pPr>
      <w:r w:rsidRPr="009422C2">
        <w:rPr>
          <w:color w:val="000000"/>
        </w:rPr>
        <w:t xml:space="preserve">Department for Education (2017) </w:t>
      </w:r>
      <w:r w:rsidRPr="009422C2">
        <w:rPr>
          <w:i/>
          <w:color w:val="000000"/>
        </w:rPr>
        <w:t xml:space="preserve">Child Sexual Exploitation: Definition and a guide for practitioners, local leaders and decision makers working to protect children from child sexual exploitation, </w:t>
      </w:r>
      <w:r w:rsidRPr="009422C2">
        <w:rPr>
          <w:color w:val="000000"/>
        </w:rPr>
        <w:t xml:space="preserve">available from </w:t>
      </w:r>
      <w:hyperlink r:id="rId6" w:history="1">
        <w:r w:rsidRPr="009422C2">
          <w:rPr>
            <w:rStyle w:val="Hyperlink"/>
          </w:rPr>
          <w:t>https://assets.publishing.service.gov.uk/government/uploads/system/uploads/attachment_data/file/591903/CSE_Guidance_Core_Document_13.02.2017.pdf</w:t>
        </w:r>
      </w:hyperlink>
      <w:r w:rsidRPr="009422C2">
        <w:rPr>
          <w:color w:val="000000"/>
        </w:rPr>
        <w:t xml:space="preserve"> [accessed 18th May 2018]</w:t>
      </w:r>
      <w:r w:rsidR="007C75CD">
        <w:rPr>
          <w:color w:val="2A2A2A"/>
        </w:rPr>
        <w:t>.</w:t>
      </w:r>
    </w:p>
    <w:p w14:paraId="0AEAB811" w14:textId="77777777" w:rsidR="00A355F9" w:rsidRPr="009422C2" w:rsidRDefault="00A355F9" w:rsidP="00EB603F">
      <w:pPr>
        <w:autoSpaceDE w:val="0"/>
        <w:autoSpaceDN w:val="0"/>
        <w:adjustRightInd w:val="0"/>
        <w:spacing w:line="480" w:lineRule="auto"/>
        <w:jc w:val="both"/>
        <w:rPr>
          <w:color w:val="000000"/>
        </w:rPr>
      </w:pPr>
    </w:p>
    <w:p w14:paraId="69A41062" w14:textId="02B46FBD" w:rsidR="00A355F9" w:rsidRPr="009422C2" w:rsidRDefault="00A355F9" w:rsidP="00EB603F">
      <w:pPr>
        <w:autoSpaceDE w:val="0"/>
        <w:autoSpaceDN w:val="0"/>
        <w:adjustRightInd w:val="0"/>
        <w:spacing w:line="480" w:lineRule="auto"/>
        <w:jc w:val="both"/>
        <w:rPr>
          <w:color w:val="000000"/>
        </w:rPr>
      </w:pPr>
      <w:r w:rsidRPr="009422C2">
        <w:rPr>
          <w:color w:val="000000"/>
        </w:rPr>
        <w:t>De Visser, R., Smith, J. and Abraham, C. (2012)</w:t>
      </w:r>
      <w:r w:rsidR="0010094E" w:rsidRPr="009422C2">
        <w:rPr>
          <w:color w:val="000000"/>
        </w:rPr>
        <w:t>,</w:t>
      </w:r>
      <w:r w:rsidRPr="009422C2">
        <w:rPr>
          <w:color w:val="000000"/>
        </w:rPr>
        <w:t xml:space="preserve"> </w:t>
      </w:r>
      <w:r w:rsidRPr="009422C2">
        <w:rPr>
          <w:i/>
          <w:color w:val="000000"/>
        </w:rPr>
        <w:t xml:space="preserve">Gender, Alcohol and Interventions, </w:t>
      </w:r>
      <w:r w:rsidRPr="009422C2">
        <w:rPr>
          <w:color w:val="000000"/>
        </w:rPr>
        <w:t xml:space="preserve">available from </w:t>
      </w:r>
      <w:hyperlink r:id="rId7" w:history="1">
        <w:r w:rsidRPr="009422C2">
          <w:rPr>
            <w:rStyle w:val="Hyperlink"/>
          </w:rPr>
          <w:t>https://s3.eu-west-2.amazonaws.com/files.alcoholchange.org.uk/documents/FinalReport_0092.pdf?mtime=20181118132655</w:t>
        </w:r>
      </w:hyperlink>
      <w:r w:rsidRPr="009422C2">
        <w:rPr>
          <w:color w:val="000000"/>
        </w:rPr>
        <w:t xml:space="preserve"> [accessed 9</w:t>
      </w:r>
      <w:r w:rsidRPr="009422C2">
        <w:rPr>
          <w:color w:val="000000"/>
          <w:vertAlign w:val="superscript"/>
        </w:rPr>
        <w:t>th</w:t>
      </w:r>
      <w:r w:rsidRPr="009422C2">
        <w:rPr>
          <w:color w:val="000000"/>
        </w:rPr>
        <w:t xml:space="preserve"> January, 2019].</w:t>
      </w:r>
    </w:p>
    <w:p w14:paraId="1BAD27ED" w14:textId="0327FE72" w:rsidR="005E63FE" w:rsidRPr="005E63FE" w:rsidRDefault="005E63FE" w:rsidP="000968F9">
      <w:pPr>
        <w:pStyle w:val="Heading1"/>
        <w:spacing w:line="480" w:lineRule="auto"/>
        <w:rPr>
          <w:b w:val="0"/>
          <w:sz w:val="24"/>
          <w:szCs w:val="24"/>
        </w:rPr>
      </w:pPr>
      <w:r w:rsidRPr="005E63FE">
        <w:rPr>
          <w:b w:val="0"/>
          <w:color w:val="000000"/>
          <w:sz w:val="24"/>
          <w:szCs w:val="24"/>
        </w:rPr>
        <w:lastRenderedPageBreak/>
        <w:t xml:space="preserve">Furedi, F. (2018) </w:t>
      </w:r>
      <w:r w:rsidRPr="005E63FE">
        <w:rPr>
          <w:b w:val="0"/>
          <w:i/>
          <w:sz w:val="24"/>
          <w:szCs w:val="24"/>
        </w:rPr>
        <w:t>How Fear Works: Culture of Fear in the Twenty-First Century</w:t>
      </w:r>
      <w:r>
        <w:rPr>
          <w:b w:val="0"/>
          <w:sz w:val="24"/>
          <w:szCs w:val="24"/>
        </w:rPr>
        <w:t>. London: Bloomsbury.</w:t>
      </w:r>
    </w:p>
    <w:p w14:paraId="0D0C4A9B" w14:textId="25E50B54" w:rsidR="00A355F9" w:rsidRPr="009422C2" w:rsidRDefault="00A355F9" w:rsidP="00EB603F">
      <w:pPr>
        <w:autoSpaceDE w:val="0"/>
        <w:autoSpaceDN w:val="0"/>
        <w:adjustRightInd w:val="0"/>
        <w:spacing w:line="480" w:lineRule="auto"/>
        <w:jc w:val="both"/>
        <w:rPr>
          <w:color w:val="000000"/>
        </w:rPr>
      </w:pPr>
      <w:r w:rsidRPr="009422C2">
        <w:rPr>
          <w:color w:val="000000"/>
        </w:rPr>
        <w:t>Grubin, D. (1998)</w:t>
      </w:r>
      <w:r w:rsidR="0010094E" w:rsidRPr="009422C2">
        <w:rPr>
          <w:color w:val="000000"/>
        </w:rPr>
        <w:t>,</w:t>
      </w:r>
      <w:r w:rsidRPr="009422C2">
        <w:rPr>
          <w:color w:val="000000"/>
        </w:rPr>
        <w:t xml:space="preserve"> </w:t>
      </w:r>
      <w:r w:rsidRPr="009422C2">
        <w:rPr>
          <w:i/>
          <w:color w:val="000000"/>
        </w:rPr>
        <w:t xml:space="preserve">Sex Offending Against Children: Understanding the Risk, </w:t>
      </w:r>
      <w:r w:rsidRPr="009422C2">
        <w:rPr>
          <w:color w:val="000000"/>
        </w:rPr>
        <w:t>Police Research series paper 99, London: Home Office.</w:t>
      </w:r>
    </w:p>
    <w:p w14:paraId="2B96C632" w14:textId="77777777" w:rsidR="00A355F9" w:rsidRPr="009422C2" w:rsidRDefault="00A355F9" w:rsidP="00EB603F">
      <w:pPr>
        <w:autoSpaceDE w:val="0"/>
        <w:autoSpaceDN w:val="0"/>
        <w:adjustRightInd w:val="0"/>
        <w:spacing w:line="480" w:lineRule="auto"/>
        <w:jc w:val="both"/>
        <w:rPr>
          <w:color w:val="000000"/>
        </w:rPr>
      </w:pPr>
    </w:p>
    <w:p w14:paraId="523E343F" w14:textId="049882BB" w:rsidR="00A355F9" w:rsidRPr="00945857" w:rsidRDefault="00A355F9" w:rsidP="00EB603F">
      <w:pPr>
        <w:pStyle w:val="Heading2"/>
        <w:spacing w:line="480" w:lineRule="auto"/>
        <w:rPr>
          <w:rFonts w:ascii="Times New Roman" w:eastAsia="Times New Roman" w:hAnsi="Times New Roman" w:cs="Times New Roman"/>
          <w:color w:val="auto"/>
          <w:sz w:val="24"/>
          <w:szCs w:val="24"/>
          <w:lang w:val="en-GB"/>
        </w:rPr>
      </w:pPr>
      <w:r w:rsidRPr="00945857">
        <w:rPr>
          <w:rFonts w:ascii="Times New Roman" w:eastAsia="Times New Roman" w:hAnsi="Times New Roman" w:cs="Times New Roman"/>
          <w:color w:val="auto"/>
          <w:sz w:val="24"/>
          <w:szCs w:val="24"/>
          <w:lang w:val="en-GB"/>
        </w:rPr>
        <w:t>Hildyard, K. and  Wolfe, D. (2002)</w:t>
      </w:r>
      <w:r w:rsidR="0010094E" w:rsidRPr="00945857">
        <w:rPr>
          <w:rFonts w:ascii="Times New Roman" w:eastAsia="Times New Roman" w:hAnsi="Times New Roman" w:cs="Times New Roman"/>
          <w:color w:val="auto"/>
          <w:sz w:val="24"/>
          <w:szCs w:val="24"/>
          <w:lang w:val="en-GB"/>
        </w:rPr>
        <w:t>,</w:t>
      </w:r>
      <w:r w:rsidRPr="00945857">
        <w:rPr>
          <w:rFonts w:ascii="Times New Roman" w:eastAsia="Times New Roman" w:hAnsi="Times New Roman" w:cs="Times New Roman"/>
          <w:color w:val="auto"/>
          <w:sz w:val="24"/>
          <w:szCs w:val="24"/>
          <w:lang w:val="en-GB"/>
        </w:rPr>
        <w:t xml:space="preserve"> ‘Child neglect: Developmental issues and outcomes’. </w:t>
      </w:r>
      <w:r w:rsidRPr="00945857">
        <w:rPr>
          <w:rFonts w:ascii="Times New Roman" w:eastAsia="Times New Roman" w:hAnsi="Times New Roman" w:cs="Times New Roman"/>
          <w:i/>
          <w:color w:val="auto"/>
          <w:sz w:val="24"/>
          <w:szCs w:val="24"/>
          <w:lang w:val="en-GB"/>
        </w:rPr>
        <w:t>Child Abuse and Neglect,</w:t>
      </w:r>
      <w:r w:rsidR="00945857">
        <w:rPr>
          <w:rFonts w:ascii="Times New Roman" w:eastAsia="Times New Roman" w:hAnsi="Times New Roman" w:cs="Times New Roman"/>
          <w:color w:val="auto"/>
          <w:sz w:val="24"/>
          <w:szCs w:val="24"/>
          <w:lang w:val="en-GB"/>
        </w:rPr>
        <w:t xml:space="preserve"> 26: </w:t>
      </w:r>
      <w:r w:rsidR="006A59A4">
        <w:rPr>
          <w:rFonts w:ascii="Times New Roman" w:eastAsia="Times New Roman" w:hAnsi="Times New Roman" w:cs="Times New Roman"/>
          <w:color w:val="auto"/>
          <w:sz w:val="24"/>
          <w:szCs w:val="24"/>
          <w:lang w:val="en-GB"/>
        </w:rPr>
        <w:t>679-</w:t>
      </w:r>
      <w:r w:rsidRPr="00945857">
        <w:rPr>
          <w:rFonts w:ascii="Times New Roman" w:eastAsia="Times New Roman" w:hAnsi="Times New Roman" w:cs="Times New Roman"/>
          <w:color w:val="auto"/>
          <w:sz w:val="24"/>
          <w:szCs w:val="24"/>
          <w:lang w:val="en-GB"/>
        </w:rPr>
        <w:t>695.</w:t>
      </w:r>
    </w:p>
    <w:p w14:paraId="376724B0" w14:textId="77777777" w:rsidR="00A355F9" w:rsidRPr="009422C2" w:rsidRDefault="00A355F9" w:rsidP="00EB603F">
      <w:pPr>
        <w:spacing w:line="480" w:lineRule="auto"/>
      </w:pPr>
    </w:p>
    <w:p w14:paraId="49E5309A" w14:textId="514B4448" w:rsidR="00830857" w:rsidRPr="009422C2" w:rsidRDefault="00A355F9" w:rsidP="00EB603F">
      <w:pPr>
        <w:autoSpaceDE w:val="0"/>
        <w:autoSpaceDN w:val="0"/>
        <w:adjustRightInd w:val="0"/>
        <w:spacing w:line="480" w:lineRule="auto"/>
        <w:jc w:val="both"/>
        <w:rPr>
          <w:color w:val="000000"/>
        </w:rPr>
      </w:pPr>
      <w:r w:rsidRPr="009422C2">
        <w:rPr>
          <w:color w:val="000000"/>
        </w:rPr>
        <w:t>HM Government (2015)</w:t>
      </w:r>
      <w:r w:rsidR="0010094E" w:rsidRPr="009422C2">
        <w:rPr>
          <w:color w:val="000000"/>
        </w:rPr>
        <w:t>,</w:t>
      </w:r>
      <w:r w:rsidRPr="009422C2">
        <w:rPr>
          <w:color w:val="000000"/>
        </w:rPr>
        <w:t xml:space="preserve"> ‘PM </w:t>
      </w:r>
      <w:r w:rsidR="0010094E" w:rsidRPr="009422C2">
        <w:rPr>
          <w:color w:val="000000"/>
        </w:rPr>
        <w:t>U</w:t>
      </w:r>
      <w:r w:rsidRPr="009422C2">
        <w:rPr>
          <w:color w:val="000000"/>
        </w:rPr>
        <w:t xml:space="preserve">nveils </w:t>
      </w:r>
      <w:r w:rsidR="0010094E" w:rsidRPr="009422C2">
        <w:rPr>
          <w:color w:val="000000"/>
        </w:rPr>
        <w:t>T</w:t>
      </w:r>
      <w:r w:rsidRPr="009422C2">
        <w:rPr>
          <w:color w:val="000000"/>
        </w:rPr>
        <w:t xml:space="preserve">ough </w:t>
      </w:r>
      <w:r w:rsidR="0010094E" w:rsidRPr="009422C2">
        <w:rPr>
          <w:color w:val="000000"/>
        </w:rPr>
        <w:t>N</w:t>
      </w:r>
      <w:r w:rsidRPr="009422C2">
        <w:rPr>
          <w:color w:val="000000"/>
        </w:rPr>
        <w:t xml:space="preserve">ew </w:t>
      </w:r>
      <w:r w:rsidR="0010094E" w:rsidRPr="009422C2">
        <w:rPr>
          <w:color w:val="000000"/>
        </w:rPr>
        <w:t>M</w:t>
      </w:r>
      <w:r w:rsidRPr="009422C2">
        <w:rPr>
          <w:color w:val="000000"/>
        </w:rPr>
        <w:t xml:space="preserve">easures to </w:t>
      </w:r>
      <w:r w:rsidR="0010094E" w:rsidRPr="009422C2">
        <w:rPr>
          <w:color w:val="000000"/>
        </w:rPr>
        <w:t>T</w:t>
      </w:r>
      <w:r w:rsidRPr="009422C2">
        <w:rPr>
          <w:color w:val="000000"/>
        </w:rPr>
        <w:t xml:space="preserve">ackle </w:t>
      </w:r>
      <w:r w:rsidR="0010094E" w:rsidRPr="009422C2">
        <w:rPr>
          <w:color w:val="000000"/>
        </w:rPr>
        <w:t>C</w:t>
      </w:r>
      <w:r w:rsidRPr="009422C2">
        <w:rPr>
          <w:color w:val="000000"/>
        </w:rPr>
        <w:t xml:space="preserve">hild </w:t>
      </w:r>
      <w:r w:rsidR="0010094E" w:rsidRPr="009422C2">
        <w:rPr>
          <w:color w:val="000000"/>
        </w:rPr>
        <w:t>S</w:t>
      </w:r>
      <w:r w:rsidRPr="009422C2">
        <w:rPr>
          <w:color w:val="000000"/>
        </w:rPr>
        <w:t xml:space="preserve">exual </w:t>
      </w:r>
      <w:r w:rsidR="0010094E" w:rsidRPr="009422C2">
        <w:rPr>
          <w:color w:val="000000"/>
        </w:rPr>
        <w:t>E</w:t>
      </w:r>
      <w:r w:rsidRPr="009422C2">
        <w:rPr>
          <w:color w:val="000000"/>
        </w:rPr>
        <w:t xml:space="preserve">xploitation’, available from </w:t>
      </w:r>
      <w:hyperlink r:id="rId8" w:history="1">
        <w:r w:rsidRPr="009422C2">
          <w:rPr>
            <w:rStyle w:val="Hyperlink"/>
          </w:rPr>
          <w:t>https://www.gov.uk/government/news/pm-unveils-tough-new-measures-to-tackle-child-sexual-exploitation</w:t>
        </w:r>
      </w:hyperlink>
      <w:r w:rsidRPr="009422C2">
        <w:rPr>
          <w:color w:val="000000"/>
        </w:rPr>
        <w:t xml:space="preserve"> [accessed 18th May 2018]</w:t>
      </w:r>
      <w:r w:rsidR="006A59A4">
        <w:rPr>
          <w:color w:val="000000"/>
        </w:rPr>
        <w:t>.</w:t>
      </w:r>
    </w:p>
    <w:p w14:paraId="49422190" w14:textId="77777777" w:rsidR="00A355F9" w:rsidRPr="009422C2" w:rsidRDefault="00A355F9" w:rsidP="00EB603F">
      <w:pPr>
        <w:autoSpaceDE w:val="0"/>
        <w:autoSpaceDN w:val="0"/>
        <w:adjustRightInd w:val="0"/>
        <w:spacing w:line="480" w:lineRule="auto"/>
        <w:jc w:val="both"/>
        <w:rPr>
          <w:color w:val="000000"/>
        </w:rPr>
      </w:pPr>
    </w:p>
    <w:p w14:paraId="090E7A11" w14:textId="666BA07C" w:rsidR="00A355F9" w:rsidRPr="009422C2" w:rsidRDefault="00A355F9" w:rsidP="00EB603F">
      <w:pPr>
        <w:autoSpaceDE w:val="0"/>
        <w:autoSpaceDN w:val="0"/>
        <w:adjustRightInd w:val="0"/>
        <w:spacing w:line="480" w:lineRule="auto"/>
        <w:jc w:val="both"/>
        <w:rPr>
          <w:color w:val="000000"/>
        </w:rPr>
      </w:pPr>
      <w:r w:rsidRPr="009422C2">
        <w:rPr>
          <w:color w:val="000000"/>
        </w:rPr>
        <w:t>Home Office and Javid, S. (2018)</w:t>
      </w:r>
      <w:r w:rsidR="0010094E" w:rsidRPr="009422C2">
        <w:rPr>
          <w:color w:val="000000"/>
        </w:rPr>
        <w:t>,</w:t>
      </w:r>
      <w:r w:rsidRPr="009422C2">
        <w:rPr>
          <w:color w:val="000000"/>
        </w:rPr>
        <w:t xml:space="preserve"> </w:t>
      </w:r>
      <w:r w:rsidRPr="009422C2">
        <w:rPr>
          <w:i/>
          <w:color w:val="000000"/>
        </w:rPr>
        <w:t xml:space="preserve">Home Office Announces New Measures to Tackle Serious Violence, </w:t>
      </w:r>
      <w:r w:rsidRPr="009422C2">
        <w:rPr>
          <w:color w:val="000000"/>
        </w:rPr>
        <w:t xml:space="preserve">available from </w:t>
      </w:r>
      <w:hyperlink r:id="rId9" w:history="1">
        <w:r w:rsidRPr="009422C2">
          <w:rPr>
            <w:rStyle w:val="Hyperlink"/>
          </w:rPr>
          <w:t>https://www.gov.uk/government/news/home-secretary-announces-new-measures-to-tackle-serious-violence</w:t>
        </w:r>
      </w:hyperlink>
      <w:r w:rsidRPr="009422C2">
        <w:rPr>
          <w:color w:val="000000"/>
        </w:rPr>
        <w:t xml:space="preserve"> [accessed 9th January 2019].</w:t>
      </w:r>
    </w:p>
    <w:p w14:paraId="49F8A7D6" w14:textId="634BA112" w:rsidR="00573D6D" w:rsidRPr="009422C2" w:rsidRDefault="00573D6D" w:rsidP="00EB603F">
      <w:pPr>
        <w:autoSpaceDE w:val="0"/>
        <w:autoSpaceDN w:val="0"/>
        <w:adjustRightInd w:val="0"/>
        <w:spacing w:line="480" w:lineRule="auto"/>
        <w:jc w:val="both"/>
        <w:rPr>
          <w:color w:val="000000"/>
        </w:rPr>
      </w:pPr>
    </w:p>
    <w:p w14:paraId="676F11B1" w14:textId="37FC2AFE" w:rsidR="00573D6D" w:rsidRPr="009422C2" w:rsidRDefault="00573D6D" w:rsidP="00EB603F">
      <w:pPr>
        <w:autoSpaceDE w:val="0"/>
        <w:autoSpaceDN w:val="0"/>
        <w:adjustRightInd w:val="0"/>
        <w:spacing w:line="480" w:lineRule="auto"/>
        <w:jc w:val="both"/>
        <w:rPr>
          <w:color w:val="000000"/>
        </w:rPr>
      </w:pPr>
      <w:r w:rsidRPr="009422C2">
        <w:rPr>
          <w:color w:val="000000"/>
        </w:rPr>
        <w:t xml:space="preserve">Jay, A. (2014), </w:t>
      </w:r>
      <w:r w:rsidRPr="009422C2">
        <w:rPr>
          <w:i/>
          <w:color w:val="000000"/>
        </w:rPr>
        <w:t xml:space="preserve">Independent Inquiry into Child Sexual Exploitation in Rotherham, 1997-2013. </w:t>
      </w:r>
      <w:r w:rsidRPr="009422C2">
        <w:rPr>
          <w:color w:val="000000"/>
        </w:rPr>
        <w:t xml:space="preserve">Available from </w:t>
      </w:r>
      <w:hyperlink r:id="rId10" w:history="1">
        <w:r w:rsidRPr="009422C2">
          <w:rPr>
            <w:rStyle w:val="Hyperlink"/>
          </w:rPr>
          <w:t>https://www.rotherham.gov.uk/downloads/file/1407/independent_inquiry_cse_in_rotherham</w:t>
        </w:r>
      </w:hyperlink>
      <w:r w:rsidRPr="009422C2">
        <w:rPr>
          <w:color w:val="000000"/>
        </w:rPr>
        <w:t xml:space="preserve"> [accessed 11th January].</w:t>
      </w:r>
    </w:p>
    <w:p w14:paraId="0B6D8F1C" w14:textId="77777777" w:rsidR="00A355F9" w:rsidRPr="009422C2" w:rsidRDefault="00A355F9" w:rsidP="00EB603F">
      <w:pPr>
        <w:autoSpaceDE w:val="0"/>
        <w:autoSpaceDN w:val="0"/>
        <w:adjustRightInd w:val="0"/>
        <w:spacing w:line="480" w:lineRule="auto"/>
        <w:jc w:val="both"/>
        <w:rPr>
          <w:color w:val="000000"/>
        </w:rPr>
      </w:pPr>
    </w:p>
    <w:p w14:paraId="0517C9BE" w14:textId="6723ED03" w:rsidR="00A355F9" w:rsidRPr="009422C2" w:rsidRDefault="00A355F9" w:rsidP="00EB603F">
      <w:pPr>
        <w:autoSpaceDE w:val="0"/>
        <w:autoSpaceDN w:val="0"/>
        <w:adjustRightInd w:val="0"/>
        <w:spacing w:line="480" w:lineRule="auto"/>
        <w:jc w:val="both"/>
        <w:rPr>
          <w:color w:val="000000"/>
        </w:rPr>
      </w:pPr>
      <w:r w:rsidRPr="009422C2">
        <w:rPr>
          <w:color w:val="000000"/>
        </w:rPr>
        <w:t>Jewkes, Y. (2012)</w:t>
      </w:r>
      <w:r w:rsidR="0010094E" w:rsidRPr="009422C2">
        <w:rPr>
          <w:color w:val="000000"/>
        </w:rPr>
        <w:t>,</w:t>
      </w:r>
      <w:r w:rsidRPr="009422C2">
        <w:rPr>
          <w:color w:val="000000"/>
        </w:rPr>
        <w:t xml:space="preserve"> ‘Online </w:t>
      </w:r>
      <w:r w:rsidR="0010094E" w:rsidRPr="009422C2">
        <w:rPr>
          <w:color w:val="000000"/>
        </w:rPr>
        <w:t>C</w:t>
      </w:r>
      <w:r w:rsidRPr="009422C2">
        <w:rPr>
          <w:color w:val="000000"/>
        </w:rPr>
        <w:t xml:space="preserve">hild </w:t>
      </w:r>
      <w:r w:rsidR="0010094E" w:rsidRPr="009422C2">
        <w:rPr>
          <w:color w:val="000000"/>
        </w:rPr>
        <w:t>P</w:t>
      </w:r>
      <w:r w:rsidRPr="009422C2">
        <w:rPr>
          <w:color w:val="000000"/>
        </w:rPr>
        <w:t xml:space="preserve">ornography, </w:t>
      </w:r>
      <w:r w:rsidR="0010094E" w:rsidRPr="009422C2">
        <w:rPr>
          <w:color w:val="000000"/>
        </w:rPr>
        <w:t>P</w:t>
      </w:r>
      <w:r w:rsidRPr="009422C2">
        <w:rPr>
          <w:color w:val="000000"/>
        </w:rPr>
        <w:t xml:space="preserve">eadophilia and the </w:t>
      </w:r>
      <w:r w:rsidR="0010094E" w:rsidRPr="009422C2">
        <w:rPr>
          <w:color w:val="000000"/>
        </w:rPr>
        <w:t>S</w:t>
      </w:r>
      <w:r w:rsidRPr="009422C2">
        <w:rPr>
          <w:color w:val="000000"/>
        </w:rPr>
        <w:t xml:space="preserve">exualized </w:t>
      </w:r>
      <w:r w:rsidR="0010094E" w:rsidRPr="009422C2">
        <w:rPr>
          <w:color w:val="000000"/>
        </w:rPr>
        <w:t>C</w:t>
      </w:r>
      <w:r w:rsidRPr="009422C2">
        <w:rPr>
          <w:color w:val="000000"/>
        </w:rPr>
        <w:t xml:space="preserve">hild: Mediated </w:t>
      </w:r>
      <w:r w:rsidR="0010094E" w:rsidRPr="009422C2">
        <w:rPr>
          <w:color w:val="000000"/>
        </w:rPr>
        <w:t>M</w:t>
      </w:r>
      <w:r w:rsidRPr="009422C2">
        <w:rPr>
          <w:color w:val="000000"/>
        </w:rPr>
        <w:t xml:space="preserve">yths and </w:t>
      </w:r>
      <w:r w:rsidR="0010094E" w:rsidRPr="009422C2">
        <w:rPr>
          <w:color w:val="000000"/>
        </w:rPr>
        <w:t>M</w:t>
      </w:r>
      <w:r w:rsidRPr="009422C2">
        <w:rPr>
          <w:color w:val="000000"/>
        </w:rPr>
        <w:t xml:space="preserve">oral </w:t>
      </w:r>
      <w:r w:rsidR="0010094E" w:rsidRPr="009422C2">
        <w:rPr>
          <w:color w:val="000000"/>
        </w:rPr>
        <w:t>P</w:t>
      </w:r>
      <w:r w:rsidRPr="009422C2">
        <w:rPr>
          <w:color w:val="000000"/>
        </w:rPr>
        <w:t>anics</w:t>
      </w:r>
      <w:r w:rsidR="006A59A4">
        <w:rPr>
          <w:color w:val="000000"/>
        </w:rPr>
        <w:t>’, in E. Quayle and K. Ribisl (e</w:t>
      </w:r>
      <w:r w:rsidRPr="009422C2">
        <w:rPr>
          <w:color w:val="000000"/>
        </w:rPr>
        <w:t xml:space="preserve">ds.) </w:t>
      </w:r>
      <w:r w:rsidRPr="009422C2">
        <w:rPr>
          <w:i/>
          <w:color w:val="000000"/>
        </w:rPr>
        <w:t xml:space="preserve">Understanding and Preventing Online Sexual Exploitation of Children, </w:t>
      </w:r>
      <w:r w:rsidRPr="009422C2">
        <w:rPr>
          <w:color w:val="000000"/>
        </w:rPr>
        <w:t>Oxon: Routledge.</w:t>
      </w:r>
    </w:p>
    <w:p w14:paraId="219B632C" w14:textId="61385EDB" w:rsidR="00B956BE" w:rsidRPr="009422C2" w:rsidRDefault="00B956BE" w:rsidP="00EB603F">
      <w:pPr>
        <w:autoSpaceDE w:val="0"/>
        <w:autoSpaceDN w:val="0"/>
        <w:adjustRightInd w:val="0"/>
        <w:spacing w:line="480" w:lineRule="auto"/>
        <w:jc w:val="both"/>
        <w:rPr>
          <w:color w:val="000000"/>
        </w:rPr>
      </w:pPr>
    </w:p>
    <w:p w14:paraId="4A9BE986" w14:textId="7FB5309F" w:rsidR="00B956BE" w:rsidRPr="009422C2" w:rsidRDefault="00B956BE" w:rsidP="00EB603F">
      <w:pPr>
        <w:autoSpaceDE w:val="0"/>
        <w:autoSpaceDN w:val="0"/>
        <w:adjustRightInd w:val="0"/>
        <w:spacing w:line="480" w:lineRule="auto"/>
        <w:jc w:val="both"/>
        <w:rPr>
          <w:color w:val="000000"/>
        </w:rPr>
      </w:pPr>
      <w:r w:rsidRPr="009422C2">
        <w:rPr>
          <w:rStyle w:val="authors"/>
          <w:color w:val="333333"/>
        </w:rPr>
        <w:t xml:space="preserve">Jørgensen, C., Weckesser, A., Turner, J. and Wade, A. (2018) ‘Young People’s Views on Sexting Education and Support Needs: Findings and Recommendations from a UK-based Study’, </w:t>
      </w:r>
      <w:r w:rsidRPr="009422C2">
        <w:rPr>
          <w:rStyle w:val="authors"/>
          <w:i/>
          <w:color w:val="333333"/>
        </w:rPr>
        <w:t xml:space="preserve">Sex Education: Sexuality, Society and Learning, </w:t>
      </w:r>
      <w:r w:rsidRPr="009422C2">
        <w:rPr>
          <w:rStyle w:val="authors"/>
          <w:color w:val="333333"/>
        </w:rPr>
        <w:t>19(1): 25-40.</w:t>
      </w:r>
    </w:p>
    <w:p w14:paraId="48631424" w14:textId="1C088B63" w:rsidR="001B6A16" w:rsidRPr="009422C2" w:rsidRDefault="001B6A16" w:rsidP="00EB603F">
      <w:pPr>
        <w:autoSpaceDE w:val="0"/>
        <w:autoSpaceDN w:val="0"/>
        <w:adjustRightInd w:val="0"/>
        <w:spacing w:line="480" w:lineRule="auto"/>
        <w:jc w:val="both"/>
        <w:rPr>
          <w:color w:val="000000"/>
        </w:rPr>
      </w:pPr>
    </w:p>
    <w:p w14:paraId="7CA323B6" w14:textId="09F284D5" w:rsidR="00A355F9" w:rsidRPr="009422C2" w:rsidRDefault="001B6A16" w:rsidP="00EB603F">
      <w:pPr>
        <w:autoSpaceDE w:val="0"/>
        <w:autoSpaceDN w:val="0"/>
        <w:adjustRightInd w:val="0"/>
        <w:spacing w:line="480" w:lineRule="auto"/>
        <w:jc w:val="both"/>
        <w:rPr>
          <w:color w:val="000000"/>
        </w:rPr>
      </w:pPr>
      <w:r w:rsidRPr="009422C2">
        <w:rPr>
          <w:color w:val="000000"/>
        </w:rPr>
        <w:t xml:space="preserve">Know About CSE (2015), </w:t>
      </w:r>
      <w:r w:rsidRPr="009422C2">
        <w:rPr>
          <w:i/>
          <w:color w:val="000000"/>
        </w:rPr>
        <w:t xml:space="preserve">Parents and Carers, </w:t>
      </w:r>
      <w:r w:rsidRPr="009422C2">
        <w:rPr>
          <w:color w:val="000000"/>
        </w:rPr>
        <w:t xml:space="preserve">available from </w:t>
      </w:r>
      <w:hyperlink r:id="rId11" w:history="1">
        <w:r w:rsidRPr="009422C2">
          <w:rPr>
            <w:rStyle w:val="Hyperlink"/>
          </w:rPr>
          <w:t>http://knowaboutcse.co.uk/parents/</w:t>
        </w:r>
      </w:hyperlink>
      <w:r w:rsidRPr="009422C2">
        <w:rPr>
          <w:color w:val="000000"/>
        </w:rPr>
        <w:t xml:space="preserve"> [accessed 11</w:t>
      </w:r>
      <w:r w:rsidRPr="009422C2">
        <w:rPr>
          <w:color w:val="000000"/>
          <w:vertAlign w:val="superscript"/>
        </w:rPr>
        <w:t>th</w:t>
      </w:r>
      <w:r w:rsidRPr="009422C2">
        <w:rPr>
          <w:color w:val="000000"/>
        </w:rPr>
        <w:t xml:space="preserve"> January 2019]</w:t>
      </w:r>
    </w:p>
    <w:p w14:paraId="5A6258B9" w14:textId="42C8983F" w:rsidR="00EB603F" w:rsidRPr="00EB603F" w:rsidRDefault="006A59A4" w:rsidP="00EB603F">
      <w:pPr>
        <w:spacing w:before="100" w:beforeAutospacing="1" w:after="100" w:afterAutospacing="1" w:line="480" w:lineRule="auto"/>
      </w:pPr>
      <w:r>
        <w:t>Lawson, S. (2003), ‘</w:t>
      </w:r>
      <w:r w:rsidR="00EB603F" w:rsidRPr="00EB603F">
        <w:t xml:space="preserve">Surrendering the night! The seduction of victim blaming in drug and alcohol facilitated sexual prevention </w:t>
      </w:r>
      <w:r>
        <w:t>strategies’</w:t>
      </w:r>
      <w:r w:rsidR="00EB603F" w:rsidRPr="00EB603F">
        <w:t xml:space="preserve">, </w:t>
      </w:r>
      <w:r w:rsidR="00EB603F" w:rsidRPr="00EB603F">
        <w:rPr>
          <w:i/>
          <w:iCs/>
        </w:rPr>
        <w:t>Women Against Violence</w:t>
      </w:r>
      <w:r w:rsidR="00EB603F" w:rsidRPr="00EB603F">
        <w:t>, 13</w:t>
      </w:r>
      <w:r w:rsidR="00EB603F" w:rsidRPr="009422C2">
        <w:t xml:space="preserve">: </w:t>
      </w:r>
      <w:r w:rsidR="00EB603F" w:rsidRPr="00EB603F">
        <w:t xml:space="preserve">33-38. </w:t>
      </w:r>
    </w:p>
    <w:p w14:paraId="199DE4F8" w14:textId="5BC336C8" w:rsidR="00A355F9" w:rsidRPr="009422C2" w:rsidRDefault="00A355F9" w:rsidP="00EB603F">
      <w:pPr>
        <w:widowControl w:val="0"/>
        <w:autoSpaceDE w:val="0"/>
        <w:autoSpaceDN w:val="0"/>
        <w:adjustRightInd w:val="0"/>
        <w:spacing w:after="400" w:line="480" w:lineRule="auto"/>
        <w:jc w:val="both"/>
      </w:pPr>
      <w:r w:rsidRPr="009422C2">
        <w:t>Lee, M.</w:t>
      </w:r>
      <w:r w:rsidR="00AE3FDC" w:rsidRPr="009422C2">
        <w:t>, Crofts, T., McGovern, A. and Milivojenic, S.</w:t>
      </w:r>
      <w:r w:rsidRPr="009422C2">
        <w:t xml:space="preserve"> (2015)</w:t>
      </w:r>
      <w:r w:rsidR="0010094E" w:rsidRPr="009422C2">
        <w:t>,</w:t>
      </w:r>
      <w:r w:rsidRPr="009422C2">
        <w:t xml:space="preserve"> </w:t>
      </w:r>
      <w:r w:rsidRPr="009422C2">
        <w:rPr>
          <w:i/>
        </w:rPr>
        <w:t xml:space="preserve">Sexting Among Young People: Perceptions and Practices, </w:t>
      </w:r>
      <w:r w:rsidRPr="009422C2">
        <w:t>Canberra: Australian Institute of Criminology.</w:t>
      </w:r>
    </w:p>
    <w:p w14:paraId="5965CEA4" w14:textId="089C5B3D" w:rsidR="00A355F9" w:rsidRPr="009422C2" w:rsidRDefault="00A355F9" w:rsidP="00EB603F">
      <w:pPr>
        <w:widowControl w:val="0"/>
        <w:autoSpaceDE w:val="0"/>
        <w:autoSpaceDN w:val="0"/>
        <w:adjustRightInd w:val="0"/>
        <w:spacing w:after="400" w:line="480" w:lineRule="auto"/>
        <w:jc w:val="both"/>
      </w:pPr>
      <w:r w:rsidRPr="009422C2">
        <w:t>Lee, M. a</w:t>
      </w:r>
      <w:r w:rsidR="00AE3FDC" w:rsidRPr="009422C2">
        <w:t>nd</w:t>
      </w:r>
      <w:r w:rsidR="007C75CD">
        <w:t xml:space="preserve"> </w:t>
      </w:r>
      <w:r w:rsidRPr="009422C2">
        <w:t>Crofts, T. (2015)</w:t>
      </w:r>
      <w:r w:rsidR="0010094E" w:rsidRPr="009422C2">
        <w:t>,</w:t>
      </w:r>
      <w:r w:rsidRPr="009422C2">
        <w:t xml:space="preserve"> ‘Gender, </w:t>
      </w:r>
      <w:r w:rsidR="0010094E" w:rsidRPr="009422C2">
        <w:t>P</w:t>
      </w:r>
      <w:r w:rsidRPr="009422C2">
        <w:t xml:space="preserve">ressure, </w:t>
      </w:r>
      <w:r w:rsidR="0010094E" w:rsidRPr="009422C2">
        <w:t>C</w:t>
      </w:r>
      <w:r w:rsidRPr="009422C2">
        <w:t xml:space="preserve">oercion and </w:t>
      </w:r>
      <w:r w:rsidR="0010094E" w:rsidRPr="009422C2">
        <w:t>P</w:t>
      </w:r>
      <w:r w:rsidRPr="009422C2">
        <w:t xml:space="preserve">leasure: Untangling </w:t>
      </w:r>
      <w:r w:rsidR="0010094E" w:rsidRPr="009422C2">
        <w:t>M</w:t>
      </w:r>
      <w:r w:rsidRPr="009422C2">
        <w:t xml:space="preserve">otivations for </w:t>
      </w:r>
      <w:r w:rsidR="0010094E" w:rsidRPr="009422C2">
        <w:t>S</w:t>
      </w:r>
      <w:r w:rsidRPr="009422C2">
        <w:t xml:space="preserve">exting between </w:t>
      </w:r>
      <w:r w:rsidR="0010094E" w:rsidRPr="009422C2">
        <w:t>Y</w:t>
      </w:r>
      <w:r w:rsidRPr="009422C2">
        <w:t xml:space="preserve">oung </w:t>
      </w:r>
      <w:r w:rsidR="0010094E" w:rsidRPr="009422C2">
        <w:t>P</w:t>
      </w:r>
      <w:r w:rsidRPr="009422C2">
        <w:t xml:space="preserve">eople’, </w:t>
      </w:r>
      <w:r w:rsidRPr="009422C2">
        <w:rPr>
          <w:i/>
        </w:rPr>
        <w:t>British Journal of Criminology,</w:t>
      </w:r>
      <w:r w:rsidRPr="009422C2">
        <w:t xml:space="preserve"> 55: 454-473</w:t>
      </w:r>
      <w:r w:rsidR="0010094E" w:rsidRPr="009422C2">
        <w:t>.</w:t>
      </w:r>
    </w:p>
    <w:p w14:paraId="31B54D89" w14:textId="129F349C" w:rsidR="00A355F9" w:rsidRPr="009422C2" w:rsidRDefault="00A355F9" w:rsidP="00EB603F">
      <w:pPr>
        <w:autoSpaceDE w:val="0"/>
        <w:autoSpaceDN w:val="0"/>
        <w:adjustRightInd w:val="0"/>
        <w:spacing w:line="480" w:lineRule="auto"/>
        <w:jc w:val="both"/>
        <w:rPr>
          <w:color w:val="000000"/>
        </w:rPr>
      </w:pPr>
      <w:r w:rsidRPr="009422C2">
        <w:rPr>
          <w:color w:val="000000"/>
        </w:rPr>
        <w:t>Lenhart, A., Purcell, K., Smith, A. and Zickuhr, K. (2010)</w:t>
      </w:r>
      <w:r w:rsidR="0010094E" w:rsidRPr="009422C2">
        <w:rPr>
          <w:color w:val="000000"/>
        </w:rPr>
        <w:t>,</w:t>
      </w:r>
      <w:r w:rsidRPr="009422C2">
        <w:rPr>
          <w:color w:val="000000"/>
        </w:rPr>
        <w:t xml:space="preserve"> </w:t>
      </w:r>
      <w:r w:rsidRPr="009422C2">
        <w:rPr>
          <w:i/>
          <w:color w:val="000000"/>
        </w:rPr>
        <w:t xml:space="preserve">Social </w:t>
      </w:r>
      <w:r w:rsidR="0010094E" w:rsidRPr="009422C2">
        <w:rPr>
          <w:i/>
          <w:color w:val="000000"/>
        </w:rPr>
        <w:t>M</w:t>
      </w:r>
      <w:r w:rsidRPr="009422C2">
        <w:rPr>
          <w:i/>
          <w:color w:val="000000"/>
        </w:rPr>
        <w:t xml:space="preserve">edia and </w:t>
      </w:r>
      <w:r w:rsidR="0010094E" w:rsidRPr="009422C2">
        <w:rPr>
          <w:i/>
          <w:color w:val="000000"/>
        </w:rPr>
        <w:t>M</w:t>
      </w:r>
      <w:r w:rsidRPr="009422C2">
        <w:rPr>
          <w:i/>
          <w:color w:val="000000"/>
        </w:rPr>
        <w:t xml:space="preserve">obile </w:t>
      </w:r>
      <w:r w:rsidR="0010094E" w:rsidRPr="009422C2">
        <w:rPr>
          <w:i/>
          <w:color w:val="000000"/>
        </w:rPr>
        <w:t>T</w:t>
      </w:r>
      <w:r w:rsidRPr="009422C2">
        <w:rPr>
          <w:i/>
          <w:color w:val="000000"/>
        </w:rPr>
        <w:t xml:space="preserve">echnology among </w:t>
      </w:r>
      <w:r w:rsidR="0010094E" w:rsidRPr="009422C2">
        <w:rPr>
          <w:i/>
          <w:color w:val="000000"/>
        </w:rPr>
        <w:t>T</w:t>
      </w:r>
      <w:r w:rsidRPr="009422C2">
        <w:rPr>
          <w:i/>
          <w:color w:val="000000"/>
        </w:rPr>
        <w:t xml:space="preserve">eens and </w:t>
      </w:r>
      <w:r w:rsidR="0010094E" w:rsidRPr="009422C2">
        <w:rPr>
          <w:i/>
          <w:color w:val="000000"/>
        </w:rPr>
        <w:t>Y</w:t>
      </w:r>
      <w:r w:rsidRPr="009422C2">
        <w:rPr>
          <w:i/>
          <w:color w:val="000000"/>
        </w:rPr>
        <w:t xml:space="preserve">oung </w:t>
      </w:r>
      <w:r w:rsidR="0010094E" w:rsidRPr="009422C2">
        <w:rPr>
          <w:i/>
          <w:color w:val="000000"/>
        </w:rPr>
        <w:t>A</w:t>
      </w:r>
      <w:r w:rsidRPr="009422C2">
        <w:rPr>
          <w:i/>
          <w:color w:val="000000"/>
        </w:rPr>
        <w:t xml:space="preserve">dults, </w:t>
      </w:r>
      <w:r w:rsidRPr="009422C2">
        <w:rPr>
          <w:color w:val="000000"/>
        </w:rPr>
        <w:t xml:space="preserve">available from </w:t>
      </w:r>
      <w:hyperlink r:id="rId12" w:history="1">
        <w:r w:rsidRPr="009422C2">
          <w:rPr>
            <w:rStyle w:val="Hyperlink"/>
          </w:rPr>
          <w:t>https://files.eric.ed.gov/fulltext/ED525056.pdf</w:t>
        </w:r>
      </w:hyperlink>
      <w:r w:rsidRPr="009422C2">
        <w:rPr>
          <w:color w:val="000000"/>
        </w:rPr>
        <w:t xml:space="preserve"> [accessed 18th May 2018]</w:t>
      </w:r>
    </w:p>
    <w:p w14:paraId="136C4016" w14:textId="6C9B9921" w:rsidR="00A355F9" w:rsidRPr="009422C2" w:rsidRDefault="00A355F9" w:rsidP="00EB603F">
      <w:pPr>
        <w:spacing w:before="100" w:beforeAutospacing="1" w:after="100" w:afterAutospacing="1" w:line="480" w:lineRule="auto"/>
        <w:rPr>
          <w:color w:val="3F3F3F"/>
        </w:rPr>
      </w:pPr>
      <w:r w:rsidRPr="009422C2">
        <w:rPr>
          <w:color w:val="3F3F3F"/>
        </w:rPr>
        <w:t>Lunceford, B. (2011)</w:t>
      </w:r>
      <w:r w:rsidR="0010094E" w:rsidRPr="009422C2">
        <w:rPr>
          <w:color w:val="3F3F3F"/>
        </w:rPr>
        <w:t>,</w:t>
      </w:r>
      <w:r w:rsidRPr="009422C2">
        <w:rPr>
          <w:color w:val="3F3F3F"/>
        </w:rPr>
        <w:t xml:space="preserve"> ‘The New Pornographers: Legal and Ethical Considerations of Sexting’. In </w:t>
      </w:r>
      <w:r w:rsidR="006A59A4">
        <w:rPr>
          <w:color w:val="3F3F3F"/>
        </w:rPr>
        <w:t xml:space="preserve">B. </w:t>
      </w:r>
      <w:r w:rsidRPr="009422C2">
        <w:rPr>
          <w:color w:val="3F3F3F"/>
        </w:rPr>
        <w:t xml:space="preserve">Drushel, &amp; </w:t>
      </w:r>
      <w:r w:rsidR="006A59A4">
        <w:rPr>
          <w:color w:val="3F3F3F"/>
        </w:rPr>
        <w:t xml:space="preserve">K. German </w:t>
      </w:r>
      <w:r w:rsidRPr="009422C2">
        <w:rPr>
          <w:color w:val="3F3F3F"/>
        </w:rPr>
        <w:t xml:space="preserve">(eds.) </w:t>
      </w:r>
      <w:r w:rsidRPr="009422C2">
        <w:rPr>
          <w:i/>
          <w:iCs/>
          <w:color w:val="3F3F3F"/>
        </w:rPr>
        <w:t xml:space="preserve">The Ethics of Emerging Media: Information, Social Norms, and New Media Technology. </w:t>
      </w:r>
      <w:r w:rsidRPr="009422C2">
        <w:rPr>
          <w:color w:val="3F3F3F"/>
        </w:rPr>
        <w:t xml:space="preserve">Continuum, New York. </w:t>
      </w:r>
    </w:p>
    <w:p w14:paraId="27413244" w14:textId="284E65ED" w:rsidR="00F71C1D" w:rsidRPr="009422C2" w:rsidRDefault="00F71C1D" w:rsidP="00EB603F">
      <w:pPr>
        <w:spacing w:before="100" w:beforeAutospacing="1" w:after="100" w:afterAutospacing="1" w:line="480" w:lineRule="auto"/>
        <w:rPr>
          <w:color w:val="333333"/>
        </w:rPr>
      </w:pPr>
      <w:r w:rsidRPr="009422C2">
        <w:lastRenderedPageBreak/>
        <w:t>Levy, B. and Sidel, V. (2007),</w:t>
      </w:r>
      <w:r w:rsidRPr="009422C2">
        <w:rPr>
          <w:color w:val="333333"/>
        </w:rPr>
        <w:t xml:space="preserve"> ‘Challenges that Terrorism Poses to Public Health’, in B. Levy and V. Sidel</w:t>
      </w:r>
      <w:r w:rsidR="006A59A4">
        <w:rPr>
          <w:color w:val="333333"/>
        </w:rPr>
        <w:t xml:space="preserve"> (eds.)</w:t>
      </w:r>
      <w:r w:rsidRPr="009422C2">
        <w:rPr>
          <w:color w:val="333333"/>
        </w:rPr>
        <w:t xml:space="preserve"> </w:t>
      </w:r>
      <w:r w:rsidRPr="009422C2">
        <w:rPr>
          <w:i/>
          <w:color w:val="333333"/>
        </w:rPr>
        <w:t>Terrorism and Public Health: a Balanced Approach to Strengthening Systems and Protecting People.</w:t>
      </w:r>
      <w:r w:rsidRPr="009422C2">
        <w:rPr>
          <w:color w:val="333333"/>
        </w:rPr>
        <w:t xml:space="preserve"> New York, NY: Oxford University Press.</w:t>
      </w:r>
    </w:p>
    <w:p w14:paraId="3AE35220" w14:textId="6B83D73C" w:rsidR="00A355F9" w:rsidRDefault="00A355F9" w:rsidP="00EB603F">
      <w:pPr>
        <w:spacing w:before="100" w:beforeAutospacing="1" w:after="100" w:afterAutospacing="1" w:line="480" w:lineRule="auto"/>
      </w:pPr>
      <w:r w:rsidRPr="009422C2">
        <w:t>Melrose, M. (2006)</w:t>
      </w:r>
      <w:r w:rsidR="0010094E" w:rsidRPr="009422C2">
        <w:t>,</w:t>
      </w:r>
      <w:r w:rsidRPr="009422C2">
        <w:t xml:space="preserve"> ‘Trying to make a </w:t>
      </w:r>
      <w:r w:rsidR="0010094E" w:rsidRPr="009422C2">
        <w:t>S</w:t>
      </w:r>
      <w:r w:rsidRPr="009422C2">
        <w:t xml:space="preserve">ilk </w:t>
      </w:r>
      <w:r w:rsidR="0010094E" w:rsidRPr="009422C2">
        <w:t>P</w:t>
      </w:r>
      <w:r w:rsidRPr="009422C2">
        <w:t xml:space="preserve">urse from a </w:t>
      </w:r>
      <w:r w:rsidR="0010094E" w:rsidRPr="009422C2">
        <w:t>S</w:t>
      </w:r>
      <w:r w:rsidRPr="009422C2">
        <w:t xml:space="preserve">ow’s </w:t>
      </w:r>
      <w:r w:rsidR="0010094E" w:rsidRPr="009422C2">
        <w:t>E</w:t>
      </w:r>
      <w:r w:rsidRPr="009422C2">
        <w:t xml:space="preserve">ar? A </w:t>
      </w:r>
      <w:r w:rsidR="0010094E" w:rsidRPr="009422C2">
        <w:t>C</w:t>
      </w:r>
      <w:r w:rsidRPr="009422C2">
        <w:t xml:space="preserve">omment on the </w:t>
      </w:r>
      <w:r w:rsidR="0010094E" w:rsidRPr="009422C2">
        <w:t>G</w:t>
      </w:r>
      <w:r w:rsidRPr="009422C2">
        <w:t xml:space="preserve">overnment’s </w:t>
      </w:r>
      <w:r w:rsidR="0010094E" w:rsidRPr="009422C2">
        <w:t>N</w:t>
      </w:r>
      <w:r w:rsidRPr="009422C2">
        <w:t xml:space="preserve">ew </w:t>
      </w:r>
      <w:r w:rsidR="0010094E" w:rsidRPr="009422C2">
        <w:t>P</w:t>
      </w:r>
      <w:r w:rsidRPr="009422C2">
        <w:t xml:space="preserve">rostitution </w:t>
      </w:r>
      <w:r w:rsidR="0010094E" w:rsidRPr="009422C2">
        <w:t>S</w:t>
      </w:r>
      <w:r w:rsidRPr="009422C2">
        <w:t xml:space="preserve">trategy’, </w:t>
      </w:r>
      <w:r w:rsidRPr="009422C2">
        <w:rPr>
          <w:i/>
        </w:rPr>
        <w:t xml:space="preserve">Community Safety Journal, </w:t>
      </w:r>
      <w:r w:rsidRPr="009422C2">
        <w:t>5/2: 4.</w:t>
      </w:r>
    </w:p>
    <w:p w14:paraId="3BE51627" w14:textId="4C979F53" w:rsidR="00A7054D" w:rsidRPr="00A7054D" w:rsidRDefault="00A7054D" w:rsidP="00EB603F">
      <w:pPr>
        <w:spacing w:before="100" w:beforeAutospacing="1" w:after="100" w:afterAutospacing="1" w:line="480" w:lineRule="auto"/>
      </w:pPr>
      <w:r>
        <w:t xml:space="preserve">Mercy, J., Rosenberg, M., Powell, K., Broome, C., and Roper, W. (1993) ‘Public Health Policy for Preventing Violence’, </w:t>
      </w:r>
      <w:r>
        <w:rPr>
          <w:i/>
          <w:iCs/>
        </w:rPr>
        <w:t xml:space="preserve">Health Affairs, </w:t>
      </w:r>
      <w:r>
        <w:t>12: 7-29.</w:t>
      </w:r>
    </w:p>
    <w:p w14:paraId="364B8729" w14:textId="77777777" w:rsidR="004E11A3" w:rsidRPr="00582EF3" w:rsidRDefault="004E11A3" w:rsidP="004E11A3">
      <w:pPr>
        <w:widowControl w:val="0"/>
        <w:autoSpaceDE w:val="0"/>
        <w:autoSpaceDN w:val="0"/>
        <w:adjustRightInd w:val="0"/>
        <w:spacing w:line="480" w:lineRule="auto"/>
        <w:outlineLvl w:val="0"/>
        <w:rPr>
          <w:lang w:eastAsia="en-GB"/>
        </w:rPr>
      </w:pPr>
      <w:r w:rsidRPr="00582EF3">
        <w:t>Mythen, G., Walk</w:t>
      </w:r>
      <w:r>
        <w:t>late, S, and Peatfield, E. (2017</w:t>
      </w:r>
      <w:r w:rsidRPr="00582EF3">
        <w:t>) ‘</w:t>
      </w:r>
      <w:r w:rsidRPr="00582EF3">
        <w:rPr>
          <w:lang w:eastAsia="en-GB"/>
        </w:rPr>
        <w:t>Assembl</w:t>
      </w:r>
      <w:r>
        <w:rPr>
          <w:lang w:eastAsia="en-GB"/>
        </w:rPr>
        <w:t>ing and Deconstructing Radicalis</w:t>
      </w:r>
      <w:r w:rsidRPr="00582EF3">
        <w:rPr>
          <w:lang w:eastAsia="en-GB"/>
        </w:rPr>
        <w:t xml:space="preserve">ation: A Critique of the Logic of Drivers’, </w:t>
      </w:r>
      <w:r w:rsidRPr="00582EF3">
        <w:rPr>
          <w:i/>
        </w:rPr>
        <w:t>Critical Social Policy</w:t>
      </w:r>
      <w:r>
        <w:rPr>
          <w:i/>
        </w:rPr>
        <w:t xml:space="preserve">, </w:t>
      </w:r>
      <w:r w:rsidRPr="00196DC0">
        <w:t xml:space="preserve">37(2): </w:t>
      </w:r>
      <w:r>
        <w:rPr>
          <w:color w:val="262626"/>
          <w:lang w:val="en-US"/>
        </w:rPr>
        <w:t>180-</w:t>
      </w:r>
      <w:r w:rsidRPr="00196DC0">
        <w:rPr>
          <w:color w:val="262626"/>
          <w:lang w:val="en-US"/>
        </w:rPr>
        <w:t>201</w:t>
      </w:r>
      <w:r w:rsidRPr="00196DC0">
        <w:t>.</w:t>
      </w:r>
      <w:r>
        <w:rPr>
          <w:i/>
        </w:rPr>
        <w:t xml:space="preserve"> </w:t>
      </w:r>
    </w:p>
    <w:p w14:paraId="4D21F8DE" w14:textId="3BCC2D12" w:rsidR="00A355F9" w:rsidRPr="009422C2" w:rsidRDefault="00A355F9" w:rsidP="00EB603F">
      <w:pPr>
        <w:spacing w:before="100" w:beforeAutospacing="1" w:after="100" w:afterAutospacing="1" w:line="480" w:lineRule="auto"/>
      </w:pPr>
      <w:r w:rsidRPr="009422C2">
        <w:t>Newcombe, R. (1992)</w:t>
      </w:r>
      <w:r w:rsidR="0010094E" w:rsidRPr="009422C2">
        <w:t>,</w:t>
      </w:r>
      <w:r w:rsidRPr="009422C2">
        <w:t xml:space="preserve"> The </w:t>
      </w:r>
      <w:r w:rsidR="0010094E" w:rsidRPr="009422C2">
        <w:t>R</w:t>
      </w:r>
      <w:r w:rsidRPr="009422C2">
        <w:t xml:space="preserve">eduction of </w:t>
      </w:r>
      <w:r w:rsidR="0010094E" w:rsidRPr="009422C2">
        <w:t>D</w:t>
      </w:r>
      <w:r w:rsidRPr="009422C2">
        <w:t>rug</w:t>
      </w:r>
      <w:r w:rsidR="0010094E" w:rsidRPr="009422C2">
        <w:t xml:space="preserve"> R</w:t>
      </w:r>
      <w:r w:rsidRPr="009422C2">
        <w:t xml:space="preserve">elated </w:t>
      </w:r>
      <w:r w:rsidR="0010094E" w:rsidRPr="009422C2">
        <w:t>H</w:t>
      </w:r>
      <w:r w:rsidRPr="009422C2">
        <w:t xml:space="preserve">arm: A </w:t>
      </w:r>
      <w:r w:rsidR="0010094E" w:rsidRPr="009422C2">
        <w:t>C</w:t>
      </w:r>
      <w:r w:rsidRPr="009422C2">
        <w:t xml:space="preserve">onceptual </w:t>
      </w:r>
      <w:r w:rsidR="0010094E" w:rsidRPr="009422C2">
        <w:t>F</w:t>
      </w:r>
      <w:r w:rsidRPr="009422C2">
        <w:t xml:space="preserve">ramework for </w:t>
      </w:r>
      <w:r w:rsidR="0010094E" w:rsidRPr="009422C2">
        <w:t>T</w:t>
      </w:r>
      <w:r w:rsidRPr="009422C2">
        <w:t xml:space="preserve">heory, </w:t>
      </w:r>
      <w:r w:rsidR="0010094E" w:rsidRPr="009422C2">
        <w:t>P</w:t>
      </w:r>
      <w:r w:rsidRPr="009422C2">
        <w:t xml:space="preserve">ractice and </w:t>
      </w:r>
      <w:r w:rsidR="0010094E" w:rsidRPr="009422C2">
        <w:t>R</w:t>
      </w:r>
      <w:r w:rsidRPr="009422C2">
        <w:t>e</w:t>
      </w:r>
      <w:r w:rsidR="006A59A4">
        <w:t>search. In P. O’Hare, et al. (e</w:t>
      </w:r>
      <w:r w:rsidRPr="009422C2">
        <w:t xml:space="preserve">ds.), </w:t>
      </w:r>
      <w:r w:rsidRPr="009422C2">
        <w:rPr>
          <w:i/>
          <w:iCs/>
        </w:rPr>
        <w:t>The reduction of drug related harm</w:t>
      </w:r>
      <w:r w:rsidRPr="009422C2">
        <w:t>. London: Routledge.</w:t>
      </w:r>
    </w:p>
    <w:p w14:paraId="2B553B6F" w14:textId="5FB955E2" w:rsidR="00A355F9" w:rsidRPr="009422C2" w:rsidRDefault="00A355F9" w:rsidP="00EB603F">
      <w:pPr>
        <w:spacing w:before="100" w:beforeAutospacing="1" w:after="100" w:afterAutospacing="1" w:line="480" w:lineRule="auto"/>
      </w:pPr>
      <w:r w:rsidRPr="009422C2">
        <w:t>Newis, G. (2014)</w:t>
      </w:r>
      <w:r w:rsidR="0010094E" w:rsidRPr="009422C2">
        <w:t>,</w:t>
      </w:r>
      <w:r w:rsidRPr="009422C2">
        <w:t xml:space="preserve"> </w:t>
      </w:r>
      <w:r w:rsidRPr="009422C2">
        <w:rPr>
          <w:i/>
        </w:rPr>
        <w:t xml:space="preserve">Beyond ‘Stranger Danger’: Teaching Children about Staying Safe from Child Abduction, </w:t>
      </w:r>
      <w:r w:rsidRPr="009422C2">
        <w:t>London: PACT.</w:t>
      </w:r>
    </w:p>
    <w:p w14:paraId="64209F88" w14:textId="68B29AD2" w:rsidR="001B6A16" w:rsidRPr="009422C2" w:rsidRDefault="001B6A16" w:rsidP="00EB603F">
      <w:pPr>
        <w:spacing w:before="100" w:beforeAutospacing="1" w:after="100" w:afterAutospacing="1" w:line="480" w:lineRule="auto"/>
      </w:pPr>
      <w:r w:rsidRPr="009422C2">
        <w:t xml:space="preserve">NSPCC (2019), </w:t>
      </w:r>
      <w:r w:rsidRPr="009422C2">
        <w:rPr>
          <w:i/>
        </w:rPr>
        <w:t xml:space="preserve">Online Abuse: Facts and Statistics, </w:t>
      </w:r>
      <w:r w:rsidRPr="009422C2">
        <w:t xml:space="preserve">available from </w:t>
      </w:r>
      <w:hyperlink r:id="rId13" w:history="1">
        <w:r w:rsidRPr="009422C2">
          <w:rPr>
            <w:rStyle w:val="Hyperlink"/>
          </w:rPr>
          <w:t>https://www.nspcc.org.uk/preventing-abuse/child-abuse-and-neglect/online-abuse/facts-statistics/</w:t>
        </w:r>
      </w:hyperlink>
      <w:r w:rsidRPr="009422C2">
        <w:t xml:space="preserve"> [accessed 11</w:t>
      </w:r>
      <w:r w:rsidRPr="009422C2">
        <w:rPr>
          <w:vertAlign w:val="superscript"/>
        </w:rPr>
        <w:t>th</w:t>
      </w:r>
      <w:r w:rsidRPr="009422C2">
        <w:t xml:space="preserve"> January 2019]. </w:t>
      </w:r>
    </w:p>
    <w:p w14:paraId="1B68E64B" w14:textId="74540FA2" w:rsidR="00F71C1D" w:rsidRPr="009422C2" w:rsidRDefault="00F71C1D" w:rsidP="00EB603F">
      <w:pPr>
        <w:spacing w:before="100" w:beforeAutospacing="1" w:after="100" w:afterAutospacing="1" w:line="480" w:lineRule="auto"/>
      </w:pPr>
      <w:r w:rsidRPr="009422C2">
        <w:t xml:space="preserve">Public Health England (2017) </w:t>
      </w:r>
      <w:r w:rsidRPr="009422C2">
        <w:rPr>
          <w:i/>
        </w:rPr>
        <w:t xml:space="preserve">Child Sexual Exploitation: How Public Health can Support Prevention and Intervention, </w:t>
      </w:r>
      <w:r w:rsidRPr="009422C2">
        <w:t>London: Public Health England.</w:t>
      </w:r>
    </w:p>
    <w:p w14:paraId="4F697F86" w14:textId="4490CA6B" w:rsidR="004E11A3" w:rsidRPr="004E11A3" w:rsidRDefault="004E11A3" w:rsidP="004E11A3">
      <w:pPr>
        <w:spacing w:line="360" w:lineRule="auto"/>
        <w:rPr>
          <w:i/>
        </w:rPr>
      </w:pPr>
      <w:r w:rsidRPr="004E11A3">
        <w:rPr>
          <w:rStyle w:val="HTMLCite"/>
          <w:i w:val="0"/>
        </w:rPr>
        <w:lastRenderedPageBreak/>
        <w:t>Ralph, N., Birks, M. and Chapman, Y. (2015)</w:t>
      </w:r>
      <w:r>
        <w:rPr>
          <w:rStyle w:val="HTMLCite"/>
          <w:i w:val="0"/>
        </w:rPr>
        <w:t>,</w:t>
      </w:r>
      <w:r w:rsidRPr="004E11A3">
        <w:rPr>
          <w:rStyle w:val="HTMLCite"/>
        </w:rPr>
        <w:t xml:space="preserve"> </w:t>
      </w:r>
      <w:r w:rsidRPr="004E11A3">
        <w:rPr>
          <w:rStyle w:val="HTMLCite"/>
          <w:i w:val="0"/>
        </w:rPr>
        <w:t>‘</w:t>
      </w:r>
      <w:r w:rsidRPr="004E11A3">
        <w:rPr>
          <w:iCs/>
        </w:rPr>
        <w:t>The methodological dynamism of grounded theory’,</w:t>
      </w:r>
      <w:r w:rsidRPr="004E11A3">
        <w:rPr>
          <w:rStyle w:val="HTMLCite"/>
        </w:rPr>
        <w:t xml:space="preserve"> International Journal of Qualitative Methods</w:t>
      </w:r>
      <w:r w:rsidRPr="004E11A3">
        <w:rPr>
          <w:rStyle w:val="HTMLCite"/>
          <w:i w:val="0"/>
        </w:rPr>
        <w:t xml:space="preserve">, </w:t>
      </w:r>
      <w:r w:rsidRPr="004E11A3">
        <w:rPr>
          <w:rStyle w:val="HTMLCite"/>
          <w:bCs/>
          <w:i w:val="0"/>
        </w:rPr>
        <w:t>14</w:t>
      </w:r>
      <w:r w:rsidRPr="004E11A3">
        <w:rPr>
          <w:rStyle w:val="HTMLCite"/>
          <w:i w:val="0"/>
        </w:rPr>
        <w:t>(4): 1-6.</w:t>
      </w:r>
    </w:p>
    <w:p w14:paraId="4B60EACD" w14:textId="68CD3D97" w:rsidR="00A355F9" w:rsidRPr="009422C2" w:rsidRDefault="00A355F9" w:rsidP="00EB603F">
      <w:pPr>
        <w:spacing w:before="100" w:beforeAutospacing="1" w:after="100" w:afterAutospacing="1" w:line="480" w:lineRule="auto"/>
      </w:pPr>
      <w:r w:rsidRPr="009422C2">
        <w:t xml:space="preserve">Ringrose, J., Harvey, L., Gill, R., and Livingstone, S. (2013), ‘Teen Girls, Sexual Double Standards and “Sexting”: Gendered Value in Digital Image Exchange’, </w:t>
      </w:r>
      <w:r w:rsidRPr="009422C2">
        <w:rPr>
          <w:i/>
          <w:iCs/>
        </w:rPr>
        <w:t>Feminist Theory</w:t>
      </w:r>
      <w:r w:rsidRPr="009422C2">
        <w:t xml:space="preserve">, 14: 305. </w:t>
      </w:r>
    </w:p>
    <w:p w14:paraId="1D19E6E6" w14:textId="326702A2" w:rsidR="00B956BE" w:rsidRPr="009422C2" w:rsidRDefault="00B956BE" w:rsidP="00EB603F">
      <w:pPr>
        <w:spacing w:line="480" w:lineRule="auto"/>
      </w:pPr>
      <w:r w:rsidRPr="009422C2">
        <w:t xml:space="preserve">Setty, E. (2018), ‘Meanings of Bodily and Sexual Expression in Youth Sexting Culture: Young Women’s Negotiation of Gendered Risks and Harms’, </w:t>
      </w:r>
      <w:r w:rsidRPr="009422C2">
        <w:rPr>
          <w:i/>
        </w:rPr>
        <w:t xml:space="preserve">Sex Roles, </w:t>
      </w:r>
      <w:hyperlink r:id="rId14" w:history="1">
        <w:r w:rsidRPr="009422C2">
          <w:rPr>
            <w:rStyle w:val="Hyperlink"/>
            <w:spacing w:val="4"/>
            <w:shd w:val="clear" w:color="auto" w:fill="FCFCFC"/>
          </w:rPr>
          <w:t>https://doi.org/10.1007/s11199-018-0957-x</w:t>
        </w:r>
      </w:hyperlink>
    </w:p>
    <w:p w14:paraId="601CA17F" w14:textId="22E06926" w:rsidR="00A355F9" w:rsidRPr="009422C2" w:rsidRDefault="00A355F9" w:rsidP="00EB603F">
      <w:pPr>
        <w:spacing w:before="100" w:beforeAutospacing="1" w:after="100" w:afterAutospacing="1" w:line="480" w:lineRule="auto"/>
      </w:pPr>
      <w:r w:rsidRPr="009422C2">
        <w:t>Scoular, J. and O’Neill, M. (2007)</w:t>
      </w:r>
      <w:r w:rsidR="0010094E" w:rsidRPr="009422C2">
        <w:t>,</w:t>
      </w:r>
      <w:r w:rsidRPr="009422C2">
        <w:t xml:space="preserve"> ‘Regulating prostitution: Social inclusion, responsibilisation and politics of prostitution reform’, </w:t>
      </w:r>
      <w:r w:rsidRPr="009422C2">
        <w:rPr>
          <w:i/>
        </w:rPr>
        <w:t xml:space="preserve">British Journal Of Criminology, </w:t>
      </w:r>
      <w:r w:rsidRPr="009422C2">
        <w:t>47: 764-778.</w:t>
      </w:r>
    </w:p>
    <w:p w14:paraId="6DDCDC71" w14:textId="3FE89152" w:rsidR="00A355F9" w:rsidRPr="009422C2" w:rsidRDefault="00A355F9" w:rsidP="00EB603F">
      <w:pPr>
        <w:spacing w:before="100" w:beforeAutospacing="1" w:after="100" w:afterAutospacing="1" w:line="480" w:lineRule="auto"/>
      </w:pPr>
      <w:r w:rsidRPr="009422C2">
        <w:t>Smeaton E (2013)</w:t>
      </w:r>
      <w:r w:rsidR="0010094E" w:rsidRPr="009422C2">
        <w:t>,</w:t>
      </w:r>
      <w:r w:rsidRPr="009422C2">
        <w:t xml:space="preserve"> </w:t>
      </w:r>
      <w:r w:rsidRPr="009422C2">
        <w:rPr>
          <w:i/>
          <w:iCs/>
        </w:rPr>
        <w:t xml:space="preserve">Running from Hate to What You Think is Love: The </w:t>
      </w:r>
      <w:r w:rsidR="0010094E" w:rsidRPr="009422C2">
        <w:rPr>
          <w:i/>
          <w:iCs/>
        </w:rPr>
        <w:t>R</w:t>
      </w:r>
      <w:r w:rsidRPr="009422C2">
        <w:rPr>
          <w:i/>
          <w:iCs/>
        </w:rPr>
        <w:t xml:space="preserve">elationship between </w:t>
      </w:r>
      <w:r w:rsidR="0010094E" w:rsidRPr="009422C2">
        <w:rPr>
          <w:i/>
          <w:iCs/>
        </w:rPr>
        <w:t>R</w:t>
      </w:r>
      <w:r w:rsidRPr="009422C2">
        <w:rPr>
          <w:i/>
          <w:iCs/>
        </w:rPr>
        <w:t xml:space="preserve">unning </w:t>
      </w:r>
      <w:r w:rsidR="0010094E" w:rsidRPr="009422C2">
        <w:rPr>
          <w:i/>
          <w:iCs/>
        </w:rPr>
        <w:t>A</w:t>
      </w:r>
      <w:r w:rsidRPr="009422C2">
        <w:rPr>
          <w:i/>
          <w:iCs/>
        </w:rPr>
        <w:t xml:space="preserve">way and </w:t>
      </w:r>
      <w:r w:rsidR="0010094E" w:rsidRPr="009422C2">
        <w:rPr>
          <w:i/>
          <w:iCs/>
        </w:rPr>
        <w:t>C</w:t>
      </w:r>
      <w:r w:rsidRPr="009422C2">
        <w:rPr>
          <w:i/>
          <w:iCs/>
        </w:rPr>
        <w:t xml:space="preserve">hild </w:t>
      </w:r>
      <w:r w:rsidR="0010094E" w:rsidRPr="009422C2">
        <w:rPr>
          <w:i/>
          <w:iCs/>
        </w:rPr>
        <w:t>S</w:t>
      </w:r>
      <w:r w:rsidRPr="009422C2">
        <w:rPr>
          <w:i/>
          <w:iCs/>
        </w:rPr>
        <w:t xml:space="preserve">exual </w:t>
      </w:r>
      <w:r w:rsidR="0010094E" w:rsidRPr="009422C2">
        <w:rPr>
          <w:i/>
          <w:iCs/>
        </w:rPr>
        <w:t>E</w:t>
      </w:r>
      <w:r w:rsidRPr="009422C2">
        <w:rPr>
          <w:i/>
          <w:iCs/>
        </w:rPr>
        <w:t>xploitation</w:t>
      </w:r>
      <w:r w:rsidRPr="009422C2">
        <w:t xml:space="preserve">. Ilford: Barnardo’s. Available from </w:t>
      </w:r>
      <w:r w:rsidRPr="009422C2">
        <w:rPr>
          <w:color w:val="0000FF"/>
        </w:rPr>
        <w:t>www.barnardos.org.uk/15505_cse_running_from_hate_2l_web.pdf [Accessed 11th January 2019]</w:t>
      </w:r>
    </w:p>
    <w:p w14:paraId="4D01C4D9" w14:textId="49223218" w:rsidR="00A355F9" w:rsidRPr="009422C2" w:rsidRDefault="00A355F9" w:rsidP="00EB603F">
      <w:pPr>
        <w:spacing w:before="100" w:beforeAutospacing="1" w:after="100" w:afterAutospacing="1" w:line="480" w:lineRule="auto"/>
      </w:pPr>
      <w:r w:rsidRPr="009422C2">
        <w:t>Stevens, A. and Hughes, C. (2010)</w:t>
      </w:r>
      <w:r w:rsidR="0010094E" w:rsidRPr="009422C2">
        <w:t>,</w:t>
      </w:r>
      <w:r w:rsidRPr="009422C2">
        <w:t xml:space="preserve"> ‘What </w:t>
      </w:r>
      <w:r w:rsidR="0010094E" w:rsidRPr="009422C2">
        <w:t>W</w:t>
      </w:r>
      <w:r w:rsidRPr="009422C2">
        <w:t xml:space="preserve">e </w:t>
      </w:r>
      <w:r w:rsidR="0010094E" w:rsidRPr="009422C2">
        <w:t>C</w:t>
      </w:r>
      <w:r w:rsidRPr="009422C2">
        <w:t xml:space="preserve">an </w:t>
      </w:r>
      <w:r w:rsidR="0010094E" w:rsidRPr="009422C2">
        <w:t>L</w:t>
      </w:r>
      <w:r w:rsidRPr="009422C2">
        <w:t xml:space="preserve">earn from the Portuguese </w:t>
      </w:r>
      <w:r w:rsidR="0010094E" w:rsidRPr="009422C2">
        <w:t>D</w:t>
      </w:r>
      <w:r w:rsidRPr="009422C2">
        <w:t xml:space="preserve">ecriminalisation of </w:t>
      </w:r>
      <w:r w:rsidR="0010094E" w:rsidRPr="009422C2">
        <w:t>I</w:t>
      </w:r>
      <w:r w:rsidRPr="009422C2">
        <w:t xml:space="preserve">llicit </w:t>
      </w:r>
      <w:r w:rsidR="0010094E" w:rsidRPr="009422C2">
        <w:t>D</w:t>
      </w:r>
      <w:r w:rsidRPr="009422C2">
        <w:t xml:space="preserve">rugs’, </w:t>
      </w:r>
      <w:r w:rsidRPr="009422C2">
        <w:rPr>
          <w:i/>
        </w:rPr>
        <w:t xml:space="preserve">British Journal of Criminology, </w:t>
      </w:r>
      <w:r w:rsidRPr="009422C2">
        <w:t>50(6): 999-1022.</w:t>
      </w:r>
    </w:p>
    <w:p w14:paraId="57E9A4F4" w14:textId="02340A5D" w:rsidR="00A355F9" w:rsidRPr="009422C2" w:rsidRDefault="00A355F9" w:rsidP="00EB603F">
      <w:pPr>
        <w:spacing w:before="100" w:beforeAutospacing="1" w:after="100" w:afterAutospacing="1" w:line="480" w:lineRule="auto"/>
      </w:pPr>
      <w:r w:rsidRPr="009422C2">
        <w:t>Stimson, G. V. (1992)</w:t>
      </w:r>
      <w:r w:rsidR="0010094E" w:rsidRPr="009422C2">
        <w:t>,</w:t>
      </w:r>
      <w:r w:rsidRPr="009422C2">
        <w:t xml:space="preserve"> Public </w:t>
      </w:r>
      <w:r w:rsidR="0010094E" w:rsidRPr="009422C2">
        <w:t>H</w:t>
      </w:r>
      <w:r w:rsidRPr="009422C2">
        <w:t xml:space="preserve">ealth and </w:t>
      </w:r>
      <w:r w:rsidR="0010094E" w:rsidRPr="009422C2">
        <w:t>H</w:t>
      </w:r>
      <w:r w:rsidRPr="009422C2">
        <w:t xml:space="preserve">ealth </w:t>
      </w:r>
      <w:r w:rsidR="0010094E" w:rsidRPr="009422C2">
        <w:t>B</w:t>
      </w:r>
      <w:r w:rsidRPr="009422C2">
        <w:t xml:space="preserve">ehaviour in the </w:t>
      </w:r>
      <w:r w:rsidR="0010094E" w:rsidRPr="009422C2">
        <w:t>P</w:t>
      </w:r>
      <w:r w:rsidRPr="009422C2">
        <w:t xml:space="preserve">revention of HIV </w:t>
      </w:r>
      <w:r w:rsidR="0010094E" w:rsidRPr="009422C2">
        <w:t>I</w:t>
      </w:r>
      <w:r w:rsidRPr="009422C2">
        <w:t>n</w:t>
      </w:r>
      <w:r w:rsidR="006A59A4">
        <w:t>fection. In P. O’Hare, et al. (e</w:t>
      </w:r>
      <w:r w:rsidRPr="009422C2">
        <w:t xml:space="preserve">ds.), </w:t>
      </w:r>
      <w:r w:rsidRPr="009422C2">
        <w:rPr>
          <w:i/>
          <w:iCs/>
        </w:rPr>
        <w:t xml:space="preserve">The </w:t>
      </w:r>
      <w:r w:rsidR="0010094E" w:rsidRPr="009422C2">
        <w:rPr>
          <w:i/>
          <w:iCs/>
        </w:rPr>
        <w:t>R</w:t>
      </w:r>
      <w:r w:rsidRPr="009422C2">
        <w:rPr>
          <w:i/>
          <w:iCs/>
        </w:rPr>
        <w:t xml:space="preserve">eduction of </w:t>
      </w:r>
      <w:r w:rsidR="0010094E" w:rsidRPr="009422C2">
        <w:rPr>
          <w:i/>
          <w:iCs/>
        </w:rPr>
        <w:t>D</w:t>
      </w:r>
      <w:r w:rsidRPr="009422C2">
        <w:rPr>
          <w:i/>
          <w:iCs/>
        </w:rPr>
        <w:t xml:space="preserve">rug </w:t>
      </w:r>
      <w:r w:rsidR="0010094E" w:rsidRPr="009422C2">
        <w:rPr>
          <w:i/>
          <w:iCs/>
        </w:rPr>
        <w:t>R</w:t>
      </w:r>
      <w:r w:rsidRPr="009422C2">
        <w:rPr>
          <w:i/>
          <w:iCs/>
        </w:rPr>
        <w:t xml:space="preserve">elated </w:t>
      </w:r>
      <w:r w:rsidR="0010094E" w:rsidRPr="009422C2">
        <w:rPr>
          <w:i/>
          <w:iCs/>
        </w:rPr>
        <w:t>H</w:t>
      </w:r>
      <w:r w:rsidRPr="009422C2">
        <w:rPr>
          <w:i/>
          <w:iCs/>
        </w:rPr>
        <w:t>arm</w:t>
      </w:r>
      <w:r w:rsidRPr="009422C2">
        <w:t>. London: Routledge.</w:t>
      </w:r>
    </w:p>
    <w:p w14:paraId="396A029A" w14:textId="3335D341" w:rsidR="00A355F9" w:rsidRPr="009422C2" w:rsidRDefault="00A355F9" w:rsidP="00EB603F">
      <w:pPr>
        <w:spacing w:line="480" w:lineRule="auto"/>
      </w:pPr>
      <w:r w:rsidRPr="009422C2">
        <w:rPr>
          <w:color w:val="222222"/>
          <w:shd w:val="clear" w:color="auto" w:fill="FFFFFF"/>
        </w:rPr>
        <w:lastRenderedPageBreak/>
        <w:t>Stimson, G. (1995)</w:t>
      </w:r>
      <w:r w:rsidR="0010094E" w:rsidRPr="009422C2">
        <w:rPr>
          <w:color w:val="222222"/>
          <w:shd w:val="clear" w:color="auto" w:fill="FFFFFF"/>
        </w:rPr>
        <w:t>,</w:t>
      </w:r>
      <w:r w:rsidRPr="009422C2">
        <w:rPr>
          <w:color w:val="222222"/>
          <w:shd w:val="clear" w:color="auto" w:fill="FFFFFF"/>
        </w:rPr>
        <w:t xml:space="preserve"> ‘AIDS and </w:t>
      </w:r>
      <w:r w:rsidR="0010094E" w:rsidRPr="009422C2">
        <w:rPr>
          <w:color w:val="222222"/>
          <w:shd w:val="clear" w:color="auto" w:fill="FFFFFF"/>
        </w:rPr>
        <w:t>I</w:t>
      </w:r>
      <w:r w:rsidRPr="009422C2">
        <w:rPr>
          <w:color w:val="222222"/>
          <w:shd w:val="clear" w:color="auto" w:fill="FFFFFF"/>
        </w:rPr>
        <w:t xml:space="preserve">njecting </w:t>
      </w:r>
      <w:r w:rsidR="0010094E" w:rsidRPr="009422C2">
        <w:rPr>
          <w:color w:val="222222"/>
          <w:shd w:val="clear" w:color="auto" w:fill="FFFFFF"/>
        </w:rPr>
        <w:t>D</w:t>
      </w:r>
      <w:r w:rsidRPr="009422C2">
        <w:rPr>
          <w:color w:val="222222"/>
          <w:shd w:val="clear" w:color="auto" w:fill="FFFFFF"/>
        </w:rPr>
        <w:t xml:space="preserve">rug </w:t>
      </w:r>
      <w:r w:rsidR="0010094E" w:rsidRPr="009422C2">
        <w:rPr>
          <w:color w:val="222222"/>
          <w:shd w:val="clear" w:color="auto" w:fill="FFFFFF"/>
        </w:rPr>
        <w:t>U</w:t>
      </w:r>
      <w:r w:rsidRPr="009422C2">
        <w:rPr>
          <w:color w:val="222222"/>
          <w:shd w:val="clear" w:color="auto" w:fill="FFFFFF"/>
        </w:rPr>
        <w:t xml:space="preserve">se in the United Kingdom, 1988-1993: </w:t>
      </w:r>
      <w:r w:rsidR="0010094E" w:rsidRPr="009422C2">
        <w:rPr>
          <w:color w:val="222222"/>
          <w:shd w:val="clear" w:color="auto" w:fill="FFFFFF"/>
        </w:rPr>
        <w:t>T</w:t>
      </w:r>
      <w:r w:rsidRPr="009422C2">
        <w:rPr>
          <w:color w:val="222222"/>
          <w:shd w:val="clear" w:color="auto" w:fill="FFFFFF"/>
        </w:rPr>
        <w:t xml:space="preserve">he </w:t>
      </w:r>
      <w:r w:rsidR="0010094E" w:rsidRPr="009422C2">
        <w:rPr>
          <w:color w:val="222222"/>
          <w:shd w:val="clear" w:color="auto" w:fill="FFFFFF"/>
        </w:rPr>
        <w:t>P</w:t>
      </w:r>
      <w:r w:rsidRPr="009422C2">
        <w:rPr>
          <w:color w:val="222222"/>
          <w:shd w:val="clear" w:color="auto" w:fill="FFFFFF"/>
        </w:rPr>
        <w:t xml:space="preserve">olicy </w:t>
      </w:r>
      <w:r w:rsidR="0010094E" w:rsidRPr="009422C2">
        <w:rPr>
          <w:color w:val="222222"/>
          <w:shd w:val="clear" w:color="auto" w:fill="FFFFFF"/>
        </w:rPr>
        <w:t>R</w:t>
      </w:r>
      <w:r w:rsidRPr="009422C2">
        <w:rPr>
          <w:color w:val="222222"/>
          <w:shd w:val="clear" w:color="auto" w:fill="FFFFFF"/>
        </w:rPr>
        <w:t xml:space="preserve">esponse and the </w:t>
      </w:r>
      <w:r w:rsidR="0010094E" w:rsidRPr="009422C2">
        <w:rPr>
          <w:color w:val="222222"/>
          <w:shd w:val="clear" w:color="auto" w:fill="FFFFFF"/>
        </w:rPr>
        <w:t>P</w:t>
      </w:r>
      <w:r w:rsidRPr="009422C2">
        <w:rPr>
          <w:color w:val="222222"/>
          <w:shd w:val="clear" w:color="auto" w:fill="FFFFFF"/>
        </w:rPr>
        <w:t xml:space="preserve">revention of the </w:t>
      </w:r>
      <w:r w:rsidR="0010094E" w:rsidRPr="009422C2">
        <w:rPr>
          <w:color w:val="222222"/>
          <w:shd w:val="clear" w:color="auto" w:fill="FFFFFF"/>
        </w:rPr>
        <w:t>E</w:t>
      </w:r>
      <w:r w:rsidRPr="009422C2">
        <w:rPr>
          <w:color w:val="222222"/>
          <w:shd w:val="clear" w:color="auto" w:fill="FFFFFF"/>
        </w:rPr>
        <w:t>pidemic’. </w:t>
      </w:r>
      <w:r w:rsidRPr="009422C2">
        <w:rPr>
          <w:i/>
          <w:iCs/>
          <w:color w:val="222222"/>
        </w:rPr>
        <w:t>Social Science and Medicine</w:t>
      </w:r>
      <w:r w:rsidRPr="009422C2">
        <w:rPr>
          <w:color w:val="222222"/>
          <w:shd w:val="clear" w:color="auto" w:fill="FFFFFF"/>
        </w:rPr>
        <w:t>. 41, 5: 699-716.</w:t>
      </w:r>
    </w:p>
    <w:p w14:paraId="02C0A46B" w14:textId="73A5B333" w:rsidR="00573D6D" w:rsidRDefault="00A355F9" w:rsidP="00EB603F">
      <w:pPr>
        <w:spacing w:before="100" w:beforeAutospacing="1" w:after="100" w:afterAutospacing="1" w:line="480" w:lineRule="auto"/>
      </w:pPr>
      <w:r w:rsidRPr="009422C2">
        <w:t>Thomas, T. (2005)</w:t>
      </w:r>
      <w:r w:rsidR="0010094E" w:rsidRPr="009422C2">
        <w:t>,</w:t>
      </w:r>
      <w:r w:rsidRPr="009422C2">
        <w:t xml:space="preserve"> </w:t>
      </w:r>
      <w:r w:rsidRPr="009422C2">
        <w:rPr>
          <w:i/>
        </w:rPr>
        <w:t xml:space="preserve">Sex Crime: Sex Offending and Society, </w:t>
      </w:r>
      <w:r w:rsidRPr="009422C2">
        <w:t>Cullompton: Willan.</w:t>
      </w:r>
    </w:p>
    <w:p w14:paraId="35A2D807" w14:textId="77777777" w:rsidR="004E11A3" w:rsidRPr="009422C2" w:rsidRDefault="004E11A3" w:rsidP="004E11A3">
      <w:pPr>
        <w:spacing w:after="120" w:line="480" w:lineRule="auto"/>
        <w:rPr>
          <w:lang w:eastAsia="en-GB"/>
        </w:rPr>
      </w:pPr>
      <w:r w:rsidRPr="009422C2">
        <w:rPr>
          <w:lang w:eastAsia="en-GB"/>
        </w:rPr>
        <w:t xml:space="preserve">Walklate, S. </w:t>
      </w:r>
      <w:r>
        <w:rPr>
          <w:lang w:eastAsia="en-GB"/>
        </w:rPr>
        <w:t xml:space="preserve">and Mythen, G. </w:t>
      </w:r>
      <w:r w:rsidRPr="009422C2">
        <w:rPr>
          <w:lang w:eastAsia="en-GB"/>
        </w:rPr>
        <w:t xml:space="preserve">(2015), </w:t>
      </w:r>
      <w:r w:rsidRPr="009422C2">
        <w:rPr>
          <w:i/>
          <w:lang w:eastAsia="en-GB"/>
        </w:rPr>
        <w:t>Contradictions of Terrorism: Security, Risk and Resilience</w:t>
      </w:r>
      <w:r w:rsidRPr="009422C2">
        <w:rPr>
          <w:lang w:eastAsia="en-GB"/>
        </w:rPr>
        <w:t>.</w:t>
      </w:r>
      <w:r w:rsidRPr="009422C2">
        <w:rPr>
          <w:i/>
          <w:lang w:eastAsia="en-GB"/>
        </w:rPr>
        <w:t xml:space="preserve"> </w:t>
      </w:r>
      <w:r w:rsidRPr="009422C2">
        <w:rPr>
          <w:lang w:eastAsia="en-GB"/>
        </w:rPr>
        <w:t>London: Routledge.</w:t>
      </w:r>
    </w:p>
    <w:p w14:paraId="0A81EE62" w14:textId="77777777" w:rsidR="004E11A3" w:rsidRPr="009422C2" w:rsidRDefault="004E11A3" w:rsidP="00EB603F">
      <w:pPr>
        <w:spacing w:before="100" w:beforeAutospacing="1" w:after="100" w:afterAutospacing="1" w:line="480" w:lineRule="auto"/>
      </w:pPr>
    </w:p>
    <w:sectPr w:rsidR="004E11A3" w:rsidRPr="009422C2" w:rsidSect="00A220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
    <w:altName w:val="Heiti TC Light"/>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1B0"/>
    <w:multiLevelType w:val="hybridMultilevel"/>
    <w:tmpl w:val="5790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3306A"/>
    <w:multiLevelType w:val="multilevel"/>
    <w:tmpl w:val="FC96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76DD4"/>
    <w:multiLevelType w:val="hybridMultilevel"/>
    <w:tmpl w:val="4B9AEA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D0CBE"/>
    <w:multiLevelType w:val="hybridMultilevel"/>
    <w:tmpl w:val="135A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858A7"/>
    <w:multiLevelType w:val="multilevel"/>
    <w:tmpl w:val="9994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501CA"/>
    <w:multiLevelType w:val="hybridMultilevel"/>
    <w:tmpl w:val="90C4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E2934"/>
    <w:multiLevelType w:val="hybridMultilevel"/>
    <w:tmpl w:val="B63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5311F"/>
    <w:multiLevelType w:val="hybridMultilevel"/>
    <w:tmpl w:val="6FD0E840"/>
    <w:lvl w:ilvl="0" w:tplc="67C69AA2">
      <w:start w:val="1"/>
      <w:numFmt w:val="bullet"/>
      <w:lvlText w:val="•"/>
      <w:lvlJc w:val="left"/>
      <w:pPr>
        <w:tabs>
          <w:tab w:val="num" w:pos="720"/>
        </w:tabs>
        <w:ind w:left="720" w:hanging="360"/>
      </w:pPr>
      <w:rPr>
        <w:rFonts w:ascii="Arial" w:hAnsi="Arial" w:hint="default"/>
      </w:rPr>
    </w:lvl>
    <w:lvl w:ilvl="1" w:tplc="CE3C8916" w:tentative="1">
      <w:start w:val="1"/>
      <w:numFmt w:val="bullet"/>
      <w:lvlText w:val="•"/>
      <w:lvlJc w:val="left"/>
      <w:pPr>
        <w:tabs>
          <w:tab w:val="num" w:pos="1440"/>
        </w:tabs>
        <w:ind w:left="1440" w:hanging="360"/>
      </w:pPr>
      <w:rPr>
        <w:rFonts w:ascii="Arial" w:hAnsi="Arial" w:hint="default"/>
      </w:rPr>
    </w:lvl>
    <w:lvl w:ilvl="2" w:tplc="7806DF1C" w:tentative="1">
      <w:start w:val="1"/>
      <w:numFmt w:val="bullet"/>
      <w:lvlText w:val="•"/>
      <w:lvlJc w:val="left"/>
      <w:pPr>
        <w:tabs>
          <w:tab w:val="num" w:pos="2160"/>
        </w:tabs>
        <w:ind w:left="2160" w:hanging="360"/>
      </w:pPr>
      <w:rPr>
        <w:rFonts w:ascii="Arial" w:hAnsi="Arial" w:hint="default"/>
      </w:rPr>
    </w:lvl>
    <w:lvl w:ilvl="3" w:tplc="E738CBE2" w:tentative="1">
      <w:start w:val="1"/>
      <w:numFmt w:val="bullet"/>
      <w:lvlText w:val="•"/>
      <w:lvlJc w:val="left"/>
      <w:pPr>
        <w:tabs>
          <w:tab w:val="num" w:pos="2880"/>
        </w:tabs>
        <w:ind w:left="2880" w:hanging="360"/>
      </w:pPr>
      <w:rPr>
        <w:rFonts w:ascii="Arial" w:hAnsi="Arial" w:hint="default"/>
      </w:rPr>
    </w:lvl>
    <w:lvl w:ilvl="4" w:tplc="588C525E" w:tentative="1">
      <w:start w:val="1"/>
      <w:numFmt w:val="bullet"/>
      <w:lvlText w:val="•"/>
      <w:lvlJc w:val="left"/>
      <w:pPr>
        <w:tabs>
          <w:tab w:val="num" w:pos="3600"/>
        </w:tabs>
        <w:ind w:left="3600" w:hanging="360"/>
      </w:pPr>
      <w:rPr>
        <w:rFonts w:ascii="Arial" w:hAnsi="Arial" w:hint="default"/>
      </w:rPr>
    </w:lvl>
    <w:lvl w:ilvl="5" w:tplc="346C8578" w:tentative="1">
      <w:start w:val="1"/>
      <w:numFmt w:val="bullet"/>
      <w:lvlText w:val="•"/>
      <w:lvlJc w:val="left"/>
      <w:pPr>
        <w:tabs>
          <w:tab w:val="num" w:pos="4320"/>
        </w:tabs>
        <w:ind w:left="4320" w:hanging="360"/>
      </w:pPr>
      <w:rPr>
        <w:rFonts w:ascii="Arial" w:hAnsi="Arial" w:hint="default"/>
      </w:rPr>
    </w:lvl>
    <w:lvl w:ilvl="6" w:tplc="DFFE8EA8" w:tentative="1">
      <w:start w:val="1"/>
      <w:numFmt w:val="bullet"/>
      <w:lvlText w:val="•"/>
      <w:lvlJc w:val="left"/>
      <w:pPr>
        <w:tabs>
          <w:tab w:val="num" w:pos="5040"/>
        </w:tabs>
        <w:ind w:left="5040" w:hanging="360"/>
      </w:pPr>
      <w:rPr>
        <w:rFonts w:ascii="Arial" w:hAnsi="Arial" w:hint="default"/>
      </w:rPr>
    </w:lvl>
    <w:lvl w:ilvl="7" w:tplc="303CC076" w:tentative="1">
      <w:start w:val="1"/>
      <w:numFmt w:val="bullet"/>
      <w:lvlText w:val="•"/>
      <w:lvlJc w:val="left"/>
      <w:pPr>
        <w:tabs>
          <w:tab w:val="num" w:pos="5760"/>
        </w:tabs>
        <w:ind w:left="5760" w:hanging="360"/>
      </w:pPr>
      <w:rPr>
        <w:rFonts w:ascii="Arial" w:hAnsi="Arial" w:hint="default"/>
      </w:rPr>
    </w:lvl>
    <w:lvl w:ilvl="8" w:tplc="19FC2AC6" w:tentative="1">
      <w:start w:val="1"/>
      <w:numFmt w:val="bullet"/>
      <w:lvlText w:val="•"/>
      <w:lvlJc w:val="left"/>
      <w:pPr>
        <w:tabs>
          <w:tab w:val="num" w:pos="6480"/>
        </w:tabs>
        <w:ind w:left="6480" w:hanging="360"/>
      </w:pPr>
      <w:rPr>
        <w:rFonts w:ascii="Arial" w:hAnsi="Arial" w:hint="default"/>
      </w:rPr>
    </w:lvl>
  </w:abstractNum>
  <w:abstractNum w:abstractNumId="8">
    <w:nsid w:val="3F0E3E98"/>
    <w:multiLevelType w:val="hybridMultilevel"/>
    <w:tmpl w:val="0012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A683F"/>
    <w:multiLevelType w:val="hybridMultilevel"/>
    <w:tmpl w:val="48E6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232BE7"/>
    <w:multiLevelType w:val="hybridMultilevel"/>
    <w:tmpl w:val="0C545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83A56"/>
    <w:multiLevelType w:val="hybridMultilevel"/>
    <w:tmpl w:val="6E1EE5CC"/>
    <w:lvl w:ilvl="0" w:tplc="806E607E">
      <w:start w:val="1"/>
      <w:numFmt w:val="bullet"/>
      <w:lvlText w:val=""/>
      <w:lvlJc w:val="left"/>
      <w:pPr>
        <w:tabs>
          <w:tab w:val="num" w:pos="720"/>
        </w:tabs>
        <w:ind w:left="720" w:hanging="360"/>
      </w:pPr>
      <w:rPr>
        <w:rFonts w:ascii="Wingdings 3" w:hAnsi="Wingdings 3" w:hint="default"/>
      </w:rPr>
    </w:lvl>
    <w:lvl w:ilvl="1" w:tplc="47CA7E18" w:tentative="1">
      <w:start w:val="1"/>
      <w:numFmt w:val="bullet"/>
      <w:lvlText w:val=""/>
      <w:lvlJc w:val="left"/>
      <w:pPr>
        <w:tabs>
          <w:tab w:val="num" w:pos="1440"/>
        </w:tabs>
        <w:ind w:left="1440" w:hanging="360"/>
      </w:pPr>
      <w:rPr>
        <w:rFonts w:ascii="Wingdings 3" w:hAnsi="Wingdings 3" w:hint="default"/>
      </w:rPr>
    </w:lvl>
    <w:lvl w:ilvl="2" w:tplc="F712F1BA" w:tentative="1">
      <w:start w:val="1"/>
      <w:numFmt w:val="bullet"/>
      <w:lvlText w:val=""/>
      <w:lvlJc w:val="left"/>
      <w:pPr>
        <w:tabs>
          <w:tab w:val="num" w:pos="2160"/>
        </w:tabs>
        <w:ind w:left="2160" w:hanging="360"/>
      </w:pPr>
      <w:rPr>
        <w:rFonts w:ascii="Wingdings 3" w:hAnsi="Wingdings 3" w:hint="default"/>
      </w:rPr>
    </w:lvl>
    <w:lvl w:ilvl="3" w:tplc="1E80714A" w:tentative="1">
      <w:start w:val="1"/>
      <w:numFmt w:val="bullet"/>
      <w:lvlText w:val=""/>
      <w:lvlJc w:val="left"/>
      <w:pPr>
        <w:tabs>
          <w:tab w:val="num" w:pos="2880"/>
        </w:tabs>
        <w:ind w:left="2880" w:hanging="360"/>
      </w:pPr>
      <w:rPr>
        <w:rFonts w:ascii="Wingdings 3" w:hAnsi="Wingdings 3" w:hint="default"/>
      </w:rPr>
    </w:lvl>
    <w:lvl w:ilvl="4" w:tplc="B7584B3A" w:tentative="1">
      <w:start w:val="1"/>
      <w:numFmt w:val="bullet"/>
      <w:lvlText w:val=""/>
      <w:lvlJc w:val="left"/>
      <w:pPr>
        <w:tabs>
          <w:tab w:val="num" w:pos="3600"/>
        </w:tabs>
        <w:ind w:left="3600" w:hanging="360"/>
      </w:pPr>
      <w:rPr>
        <w:rFonts w:ascii="Wingdings 3" w:hAnsi="Wingdings 3" w:hint="default"/>
      </w:rPr>
    </w:lvl>
    <w:lvl w:ilvl="5" w:tplc="82AA59B2" w:tentative="1">
      <w:start w:val="1"/>
      <w:numFmt w:val="bullet"/>
      <w:lvlText w:val=""/>
      <w:lvlJc w:val="left"/>
      <w:pPr>
        <w:tabs>
          <w:tab w:val="num" w:pos="4320"/>
        </w:tabs>
        <w:ind w:left="4320" w:hanging="360"/>
      </w:pPr>
      <w:rPr>
        <w:rFonts w:ascii="Wingdings 3" w:hAnsi="Wingdings 3" w:hint="default"/>
      </w:rPr>
    </w:lvl>
    <w:lvl w:ilvl="6" w:tplc="577CA1B4" w:tentative="1">
      <w:start w:val="1"/>
      <w:numFmt w:val="bullet"/>
      <w:lvlText w:val=""/>
      <w:lvlJc w:val="left"/>
      <w:pPr>
        <w:tabs>
          <w:tab w:val="num" w:pos="5040"/>
        </w:tabs>
        <w:ind w:left="5040" w:hanging="360"/>
      </w:pPr>
      <w:rPr>
        <w:rFonts w:ascii="Wingdings 3" w:hAnsi="Wingdings 3" w:hint="default"/>
      </w:rPr>
    </w:lvl>
    <w:lvl w:ilvl="7" w:tplc="EE3E4CA8" w:tentative="1">
      <w:start w:val="1"/>
      <w:numFmt w:val="bullet"/>
      <w:lvlText w:val=""/>
      <w:lvlJc w:val="left"/>
      <w:pPr>
        <w:tabs>
          <w:tab w:val="num" w:pos="5760"/>
        </w:tabs>
        <w:ind w:left="5760" w:hanging="360"/>
      </w:pPr>
      <w:rPr>
        <w:rFonts w:ascii="Wingdings 3" w:hAnsi="Wingdings 3" w:hint="default"/>
      </w:rPr>
    </w:lvl>
    <w:lvl w:ilvl="8" w:tplc="2B501BB8" w:tentative="1">
      <w:start w:val="1"/>
      <w:numFmt w:val="bullet"/>
      <w:lvlText w:val=""/>
      <w:lvlJc w:val="left"/>
      <w:pPr>
        <w:tabs>
          <w:tab w:val="num" w:pos="6480"/>
        </w:tabs>
        <w:ind w:left="6480" w:hanging="360"/>
      </w:pPr>
      <w:rPr>
        <w:rFonts w:ascii="Wingdings 3" w:hAnsi="Wingdings 3" w:hint="default"/>
      </w:rPr>
    </w:lvl>
  </w:abstractNum>
  <w:abstractNum w:abstractNumId="12">
    <w:nsid w:val="6A551AA1"/>
    <w:multiLevelType w:val="hybridMultilevel"/>
    <w:tmpl w:val="873E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F239D8"/>
    <w:multiLevelType w:val="hybridMultilevel"/>
    <w:tmpl w:val="7DFA50F0"/>
    <w:lvl w:ilvl="0" w:tplc="F8C68D1A">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897B8B"/>
    <w:multiLevelType w:val="hybridMultilevel"/>
    <w:tmpl w:val="A262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1"/>
  </w:num>
  <w:num w:numId="5">
    <w:abstractNumId w:val="0"/>
  </w:num>
  <w:num w:numId="6">
    <w:abstractNumId w:val="12"/>
  </w:num>
  <w:num w:numId="7">
    <w:abstractNumId w:val="3"/>
  </w:num>
  <w:num w:numId="8">
    <w:abstractNumId w:val="5"/>
  </w:num>
  <w:num w:numId="9">
    <w:abstractNumId w:val="9"/>
  </w:num>
  <w:num w:numId="10">
    <w:abstractNumId w:val="2"/>
  </w:num>
  <w:num w:numId="11">
    <w:abstractNumId w:val="10"/>
  </w:num>
  <w:num w:numId="12">
    <w:abstractNumId w:val="13"/>
  </w:num>
  <w:num w:numId="13">
    <w:abstractNumId w:val="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F9"/>
    <w:rsid w:val="00026531"/>
    <w:rsid w:val="000640CE"/>
    <w:rsid w:val="00066323"/>
    <w:rsid w:val="00066BAE"/>
    <w:rsid w:val="00075EE4"/>
    <w:rsid w:val="000945AA"/>
    <w:rsid w:val="00095348"/>
    <w:rsid w:val="000968F9"/>
    <w:rsid w:val="000A1633"/>
    <w:rsid w:val="000B2331"/>
    <w:rsid w:val="000C1E1E"/>
    <w:rsid w:val="000D16EE"/>
    <w:rsid w:val="000D2E5E"/>
    <w:rsid w:val="000D679B"/>
    <w:rsid w:val="0010094E"/>
    <w:rsid w:val="00100E2E"/>
    <w:rsid w:val="001044CE"/>
    <w:rsid w:val="00113736"/>
    <w:rsid w:val="00132111"/>
    <w:rsid w:val="00135B6B"/>
    <w:rsid w:val="001423EA"/>
    <w:rsid w:val="00145C1A"/>
    <w:rsid w:val="001761BF"/>
    <w:rsid w:val="001861B7"/>
    <w:rsid w:val="00187229"/>
    <w:rsid w:val="001B6A16"/>
    <w:rsid w:val="001B78EC"/>
    <w:rsid w:val="001C6E3B"/>
    <w:rsid w:val="001D6ECF"/>
    <w:rsid w:val="001F249F"/>
    <w:rsid w:val="001F5FA8"/>
    <w:rsid w:val="00203E7B"/>
    <w:rsid w:val="00233801"/>
    <w:rsid w:val="00250AF4"/>
    <w:rsid w:val="0027227E"/>
    <w:rsid w:val="00291306"/>
    <w:rsid w:val="00295DC5"/>
    <w:rsid w:val="002A4E9D"/>
    <w:rsid w:val="002C1091"/>
    <w:rsid w:val="002C24A5"/>
    <w:rsid w:val="002D1C29"/>
    <w:rsid w:val="002D3DBB"/>
    <w:rsid w:val="002F26A2"/>
    <w:rsid w:val="002F5054"/>
    <w:rsid w:val="002F7C6D"/>
    <w:rsid w:val="00300613"/>
    <w:rsid w:val="003010A0"/>
    <w:rsid w:val="00316AB6"/>
    <w:rsid w:val="00320E48"/>
    <w:rsid w:val="00321F4E"/>
    <w:rsid w:val="0034031A"/>
    <w:rsid w:val="00363B1E"/>
    <w:rsid w:val="00382799"/>
    <w:rsid w:val="003A2E18"/>
    <w:rsid w:val="003D2853"/>
    <w:rsid w:val="003D68E0"/>
    <w:rsid w:val="003E2C04"/>
    <w:rsid w:val="0040176C"/>
    <w:rsid w:val="00412C2D"/>
    <w:rsid w:val="00430C96"/>
    <w:rsid w:val="00437FE2"/>
    <w:rsid w:val="00440D3C"/>
    <w:rsid w:val="00467269"/>
    <w:rsid w:val="004953EE"/>
    <w:rsid w:val="00497198"/>
    <w:rsid w:val="004B0276"/>
    <w:rsid w:val="004B2F94"/>
    <w:rsid w:val="004B39F6"/>
    <w:rsid w:val="004B7543"/>
    <w:rsid w:val="004D1E4A"/>
    <w:rsid w:val="004D75F4"/>
    <w:rsid w:val="004E11A3"/>
    <w:rsid w:val="00501354"/>
    <w:rsid w:val="00505488"/>
    <w:rsid w:val="005272A8"/>
    <w:rsid w:val="005459ED"/>
    <w:rsid w:val="0055314A"/>
    <w:rsid w:val="00573D6D"/>
    <w:rsid w:val="005951F6"/>
    <w:rsid w:val="005B5491"/>
    <w:rsid w:val="005B7B78"/>
    <w:rsid w:val="005D1294"/>
    <w:rsid w:val="005E63FE"/>
    <w:rsid w:val="005F4206"/>
    <w:rsid w:val="0061168A"/>
    <w:rsid w:val="0061416E"/>
    <w:rsid w:val="00622E4C"/>
    <w:rsid w:val="006564D0"/>
    <w:rsid w:val="006722E6"/>
    <w:rsid w:val="0068286E"/>
    <w:rsid w:val="00693E70"/>
    <w:rsid w:val="006A59A4"/>
    <w:rsid w:val="006C1204"/>
    <w:rsid w:val="006C208F"/>
    <w:rsid w:val="006C2F12"/>
    <w:rsid w:val="006F5969"/>
    <w:rsid w:val="006F7D97"/>
    <w:rsid w:val="00704DBA"/>
    <w:rsid w:val="00713254"/>
    <w:rsid w:val="00713D95"/>
    <w:rsid w:val="007242BF"/>
    <w:rsid w:val="0072768C"/>
    <w:rsid w:val="0073262F"/>
    <w:rsid w:val="00732B47"/>
    <w:rsid w:val="00753D08"/>
    <w:rsid w:val="00787AD5"/>
    <w:rsid w:val="007B1DAC"/>
    <w:rsid w:val="007C32BF"/>
    <w:rsid w:val="007C75CD"/>
    <w:rsid w:val="007E0F22"/>
    <w:rsid w:val="007E27E4"/>
    <w:rsid w:val="0082464E"/>
    <w:rsid w:val="00827111"/>
    <w:rsid w:val="00830857"/>
    <w:rsid w:val="008415E1"/>
    <w:rsid w:val="008471F2"/>
    <w:rsid w:val="0085224D"/>
    <w:rsid w:val="0085388C"/>
    <w:rsid w:val="00857458"/>
    <w:rsid w:val="00860F0D"/>
    <w:rsid w:val="00883BEF"/>
    <w:rsid w:val="00890E04"/>
    <w:rsid w:val="00896CC8"/>
    <w:rsid w:val="008D2811"/>
    <w:rsid w:val="00900F47"/>
    <w:rsid w:val="00905221"/>
    <w:rsid w:val="00931BB7"/>
    <w:rsid w:val="009422C2"/>
    <w:rsid w:val="00945857"/>
    <w:rsid w:val="00950FE1"/>
    <w:rsid w:val="00974FE5"/>
    <w:rsid w:val="009837E2"/>
    <w:rsid w:val="00984295"/>
    <w:rsid w:val="00992F5B"/>
    <w:rsid w:val="00993A55"/>
    <w:rsid w:val="009E34BA"/>
    <w:rsid w:val="00A01333"/>
    <w:rsid w:val="00A06D85"/>
    <w:rsid w:val="00A127DE"/>
    <w:rsid w:val="00A220BB"/>
    <w:rsid w:val="00A26E95"/>
    <w:rsid w:val="00A355F9"/>
    <w:rsid w:val="00A546CA"/>
    <w:rsid w:val="00A62B4C"/>
    <w:rsid w:val="00A66425"/>
    <w:rsid w:val="00A7054D"/>
    <w:rsid w:val="00AC140F"/>
    <w:rsid w:val="00AD269E"/>
    <w:rsid w:val="00AD573D"/>
    <w:rsid w:val="00AD6734"/>
    <w:rsid w:val="00AE0886"/>
    <w:rsid w:val="00AE3FDC"/>
    <w:rsid w:val="00B90DC0"/>
    <w:rsid w:val="00B956BE"/>
    <w:rsid w:val="00BE63D0"/>
    <w:rsid w:val="00C04E86"/>
    <w:rsid w:val="00C14CBE"/>
    <w:rsid w:val="00C21579"/>
    <w:rsid w:val="00C238BE"/>
    <w:rsid w:val="00C25135"/>
    <w:rsid w:val="00C32942"/>
    <w:rsid w:val="00C41492"/>
    <w:rsid w:val="00C43699"/>
    <w:rsid w:val="00C87A16"/>
    <w:rsid w:val="00C93C63"/>
    <w:rsid w:val="00CD57DF"/>
    <w:rsid w:val="00D103C4"/>
    <w:rsid w:val="00D20B17"/>
    <w:rsid w:val="00D22295"/>
    <w:rsid w:val="00D33FB8"/>
    <w:rsid w:val="00D61CBF"/>
    <w:rsid w:val="00D63AF6"/>
    <w:rsid w:val="00D653CF"/>
    <w:rsid w:val="00D71FF3"/>
    <w:rsid w:val="00D816B7"/>
    <w:rsid w:val="00D96CFD"/>
    <w:rsid w:val="00D97B11"/>
    <w:rsid w:val="00DA029F"/>
    <w:rsid w:val="00DA61EB"/>
    <w:rsid w:val="00DB640D"/>
    <w:rsid w:val="00DD385C"/>
    <w:rsid w:val="00DF72D4"/>
    <w:rsid w:val="00E01E32"/>
    <w:rsid w:val="00E05EA3"/>
    <w:rsid w:val="00E32068"/>
    <w:rsid w:val="00E37606"/>
    <w:rsid w:val="00E459F5"/>
    <w:rsid w:val="00E51E70"/>
    <w:rsid w:val="00E55939"/>
    <w:rsid w:val="00E670CC"/>
    <w:rsid w:val="00E87C69"/>
    <w:rsid w:val="00EA42EA"/>
    <w:rsid w:val="00EB603F"/>
    <w:rsid w:val="00ED5ADB"/>
    <w:rsid w:val="00ED630C"/>
    <w:rsid w:val="00F071D4"/>
    <w:rsid w:val="00F43246"/>
    <w:rsid w:val="00F52BDE"/>
    <w:rsid w:val="00F56195"/>
    <w:rsid w:val="00F62BAA"/>
    <w:rsid w:val="00F71C1D"/>
    <w:rsid w:val="00F77A3E"/>
    <w:rsid w:val="00F9205B"/>
    <w:rsid w:val="00F9306B"/>
    <w:rsid w:val="00FB46F0"/>
    <w:rsid w:val="00FC1C45"/>
    <w:rsid w:val="00FC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DA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BE"/>
    <w:rPr>
      <w:rFonts w:ascii="Times New Roman" w:eastAsia="Times New Roman" w:hAnsi="Times New Roman" w:cs="Times New Roman"/>
      <w:lang w:val="en-GB"/>
    </w:rPr>
  </w:style>
  <w:style w:type="paragraph" w:styleId="Heading1">
    <w:name w:val="heading 1"/>
    <w:basedOn w:val="Normal"/>
    <w:link w:val="Heading1Char"/>
    <w:uiPriority w:val="9"/>
    <w:qFormat/>
    <w:rsid w:val="00A355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355F9"/>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5F9"/>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A355F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355F9"/>
    <w:pPr>
      <w:spacing w:after="200" w:line="276" w:lineRule="auto"/>
      <w:ind w:left="720"/>
      <w:contextualSpacing/>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A355F9"/>
    <w:rPr>
      <w:sz w:val="18"/>
      <w:szCs w:val="18"/>
    </w:rPr>
  </w:style>
  <w:style w:type="paragraph" w:styleId="CommentText">
    <w:name w:val="annotation text"/>
    <w:basedOn w:val="Normal"/>
    <w:link w:val="CommentTextChar"/>
    <w:uiPriority w:val="99"/>
    <w:unhideWhenUsed/>
    <w:rsid w:val="00A355F9"/>
    <w:pPr>
      <w:spacing w:after="20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A355F9"/>
    <w:rPr>
      <w:rFonts w:eastAsiaTheme="minorHAnsi"/>
    </w:rPr>
  </w:style>
  <w:style w:type="paragraph" w:styleId="CommentSubject">
    <w:name w:val="annotation subject"/>
    <w:basedOn w:val="CommentText"/>
    <w:next w:val="CommentText"/>
    <w:link w:val="CommentSubjectChar"/>
    <w:uiPriority w:val="99"/>
    <w:semiHidden/>
    <w:unhideWhenUsed/>
    <w:rsid w:val="00A355F9"/>
    <w:rPr>
      <w:b/>
      <w:bCs/>
      <w:sz w:val="20"/>
      <w:szCs w:val="20"/>
    </w:rPr>
  </w:style>
  <w:style w:type="character" w:customStyle="1" w:styleId="CommentSubjectChar">
    <w:name w:val="Comment Subject Char"/>
    <w:basedOn w:val="CommentTextChar"/>
    <w:link w:val="CommentSubject"/>
    <w:uiPriority w:val="99"/>
    <w:semiHidden/>
    <w:rsid w:val="00A355F9"/>
    <w:rPr>
      <w:rFonts w:eastAsiaTheme="minorHAnsi"/>
      <w:b/>
      <w:bCs/>
      <w:sz w:val="20"/>
      <w:szCs w:val="20"/>
    </w:rPr>
  </w:style>
  <w:style w:type="paragraph" w:styleId="BalloonText">
    <w:name w:val="Balloon Text"/>
    <w:basedOn w:val="Normal"/>
    <w:link w:val="BalloonTextChar"/>
    <w:uiPriority w:val="99"/>
    <w:semiHidden/>
    <w:unhideWhenUsed/>
    <w:rsid w:val="00A355F9"/>
    <w:rPr>
      <w:rFonts w:ascii="Lucida Grande" w:eastAsiaTheme="minorHAnsi" w:hAnsi="Lucida Grande" w:cs="Lucida Grande"/>
      <w:sz w:val="18"/>
      <w:szCs w:val="18"/>
      <w:lang w:val="en-US"/>
    </w:rPr>
  </w:style>
  <w:style w:type="character" w:customStyle="1" w:styleId="BalloonTextChar">
    <w:name w:val="Balloon Text Char"/>
    <w:basedOn w:val="DefaultParagraphFont"/>
    <w:link w:val="BalloonText"/>
    <w:uiPriority w:val="99"/>
    <w:semiHidden/>
    <w:rsid w:val="00A355F9"/>
    <w:rPr>
      <w:rFonts w:ascii="Lucida Grande" w:eastAsiaTheme="minorHAnsi" w:hAnsi="Lucida Grande" w:cs="Lucida Grande"/>
      <w:sz w:val="18"/>
      <w:szCs w:val="18"/>
    </w:rPr>
  </w:style>
  <w:style w:type="paragraph" w:styleId="NormalWeb">
    <w:name w:val="Normal (Web)"/>
    <w:basedOn w:val="Normal"/>
    <w:uiPriority w:val="99"/>
    <w:rsid w:val="00A355F9"/>
    <w:pPr>
      <w:spacing w:before="100" w:beforeAutospacing="1" w:after="100" w:afterAutospacing="1"/>
    </w:pPr>
    <w:rPr>
      <w:rFonts w:ascii="Times" w:eastAsia="MS ??" w:hAnsi="Times" w:cs="Times"/>
      <w:sz w:val="20"/>
      <w:szCs w:val="20"/>
    </w:rPr>
  </w:style>
  <w:style w:type="character" w:styleId="EndnoteReference">
    <w:name w:val="endnote reference"/>
    <w:basedOn w:val="DefaultParagraphFont"/>
    <w:uiPriority w:val="99"/>
    <w:rsid w:val="00A355F9"/>
    <w:rPr>
      <w:vertAlign w:val="superscript"/>
    </w:rPr>
  </w:style>
  <w:style w:type="paragraph" w:styleId="EndnoteText">
    <w:name w:val="endnote text"/>
    <w:basedOn w:val="Normal"/>
    <w:link w:val="EndnoteTextChar"/>
    <w:uiPriority w:val="99"/>
    <w:rsid w:val="00A355F9"/>
    <w:rPr>
      <w:rFonts w:ascii="Arial" w:eastAsia="MS ??" w:hAnsi="Arial" w:cs="Arial"/>
      <w:sz w:val="20"/>
      <w:szCs w:val="20"/>
      <w:lang w:val="en-US" w:eastAsia="en-GB"/>
    </w:rPr>
  </w:style>
  <w:style w:type="character" w:customStyle="1" w:styleId="EndnoteTextChar">
    <w:name w:val="Endnote Text Char"/>
    <w:basedOn w:val="DefaultParagraphFont"/>
    <w:link w:val="EndnoteText"/>
    <w:uiPriority w:val="99"/>
    <w:rsid w:val="00A355F9"/>
    <w:rPr>
      <w:rFonts w:ascii="Arial" w:eastAsia="MS ??" w:hAnsi="Arial" w:cs="Arial"/>
      <w:sz w:val="20"/>
      <w:szCs w:val="20"/>
      <w:lang w:eastAsia="en-GB"/>
    </w:rPr>
  </w:style>
  <w:style w:type="paragraph" w:customStyle="1" w:styleId="p1a">
    <w:name w:val="p1a"/>
    <w:basedOn w:val="Normal"/>
    <w:next w:val="Normal"/>
    <w:rsid w:val="00A355F9"/>
    <w:pPr>
      <w:overflowPunct w:val="0"/>
      <w:autoSpaceDE w:val="0"/>
      <w:autoSpaceDN w:val="0"/>
      <w:adjustRightInd w:val="0"/>
      <w:spacing w:line="240" w:lineRule="atLeast"/>
      <w:jc w:val="both"/>
      <w:textAlignment w:val="baseline"/>
    </w:pPr>
    <w:rPr>
      <w:rFonts w:ascii="Times" w:eastAsia="MS ??" w:hAnsi="Times" w:cs="Times"/>
      <w:sz w:val="20"/>
      <w:szCs w:val="20"/>
      <w:lang w:val="en-US" w:eastAsia="de-DE"/>
    </w:rPr>
  </w:style>
  <w:style w:type="character" w:styleId="Emphasis">
    <w:name w:val="Emphasis"/>
    <w:basedOn w:val="DefaultParagraphFont"/>
    <w:uiPriority w:val="20"/>
    <w:qFormat/>
    <w:rsid w:val="00A355F9"/>
    <w:rPr>
      <w:i/>
      <w:iCs/>
    </w:rPr>
  </w:style>
  <w:style w:type="character" w:styleId="Hyperlink">
    <w:name w:val="Hyperlink"/>
    <w:basedOn w:val="DefaultParagraphFont"/>
    <w:uiPriority w:val="99"/>
    <w:unhideWhenUsed/>
    <w:rsid w:val="00A355F9"/>
    <w:rPr>
      <w:color w:val="0000FF" w:themeColor="hyperlink"/>
      <w:u w:val="single"/>
    </w:rPr>
  </w:style>
  <w:style w:type="paragraph" w:styleId="Revision">
    <w:name w:val="Revision"/>
    <w:hidden/>
    <w:uiPriority w:val="99"/>
    <w:semiHidden/>
    <w:rsid w:val="00A355F9"/>
    <w:rPr>
      <w:rFonts w:eastAsiaTheme="minorHAnsi"/>
      <w:sz w:val="22"/>
      <w:szCs w:val="22"/>
    </w:rPr>
  </w:style>
  <w:style w:type="character" w:customStyle="1" w:styleId="apple-converted-space">
    <w:name w:val="apple-converted-space"/>
    <w:basedOn w:val="DefaultParagraphFont"/>
    <w:rsid w:val="00A355F9"/>
  </w:style>
  <w:style w:type="character" w:customStyle="1" w:styleId="UnresolvedMention1">
    <w:name w:val="Unresolved Mention1"/>
    <w:basedOn w:val="DefaultParagraphFont"/>
    <w:uiPriority w:val="99"/>
    <w:semiHidden/>
    <w:unhideWhenUsed/>
    <w:rsid w:val="00A355F9"/>
    <w:rPr>
      <w:color w:val="605E5C"/>
      <w:shd w:val="clear" w:color="auto" w:fill="E1DFDD"/>
    </w:rPr>
  </w:style>
  <w:style w:type="character" w:customStyle="1" w:styleId="UnresolvedMention2">
    <w:name w:val="Unresolved Mention2"/>
    <w:basedOn w:val="DefaultParagraphFont"/>
    <w:uiPriority w:val="99"/>
    <w:semiHidden/>
    <w:unhideWhenUsed/>
    <w:rsid w:val="00A355F9"/>
    <w:rPr>
      <w:color w:val="605E5C"/>
      <w:shd w:val="clear" w:color="auto" w:fill="E1DFDD"/>
    </w:rPr>
  </w:style>
  <w:style w:type="character" w:customStyle="1" w:styleId="authors">
    <w:name w:val="authors"/>
    <w:basedOn w:val="DefaultParagraphFont"/>
    <w:rsid w:val="00A355F9"/>
  </w:style>
  <w:style w:type="character" w:customStyle="1" w:styleId="Date1">
    <w:name w:val="Date1"/>
    <w:basedOn w:val="DefaultParagraphFont"/>
    <w:rsid w:val="00A355F9"/>
  </w:style>
  <w:style w:type="character" w:customStyle="1" w:styleId="arttitle">
    <w:name w:val="art_title"/>
    <w:basedOn w:val="DefaultParagraphFont"/>
    <w:rsid w:val="00A355F9"/>
  </w:style>
  <w:style w:type="character" w:customStyle="1" w:styleId="serialtitle">
    <w:name w:val="serial_title"/>
    <w:basedOn w:val="DefaultParagraphFont"/>
    <w:rsid w:val="00A355F9"/>
  </w:style>
  <w:style w:type="character" w:customStyle="1" w:styleId="volumeissue">
    <w:name w:val="volume_issue"/>
    <w:basedOn w:val="DefaultParagraphFont"/>
    <w:rsid w:val="00A355F9"/>
  </w:style>
  <w:style w:type="character" w:customStyle="1" w:styleId="pagerange">
    <w:name w:val="page_range"/>
    <w:basedOn w:val="DefaultParagraphFont"/>
    <w:rsid w:val="00A355F9"/>
  </w:style>
  <w:style w:type="character" w:customStyle="1" w:styleId="doilink">
    <w:name w:val="doi_link"/>
    <w:basedOn w:val="DefaultParagraphFont"/>
    <w:rsid w:val="00A355F9"/>
  </w:style>
  <w:style w:type="paragraph" w:styleId="BodyText">
    <w:name w:val="Body Text"/>
    <w:basedOn w:val="Normal"/>
    <w:link w:val="BodyTextChar"/>
    <w:rsid w:val="00A355F9"/>
    <w:pPr>
      <w:tabs>
        <w:tab w:val="left" w:pos="5685"/>
      </w:tabs>
      <w:spacing w:after="80"/>
      <w:jc w:val="both"/>
    </w:pPr>
    <w:rPr>
      <w:rFonts w:ascii="Times" w:hAnsi="Times"/>
      <w:lang w:val="x-none" w:eastAsia="x-none"/>
    </w:rPr>
  </w:style>
  <w:style w:type="character" w:customStyle="1" w:styleId="BodyTextChar">
    <w:name w:val="Body Text Char"/>
    <w:basedOn w:val="DefaultParagraphFont"/>
    <w:link w:val="BodyText"/>
    <w:rsid w:val="00A355F9"/>
    <w:rPr>
      <w:rFonts w:ascii="Times" w:eastAsia="Times New Roman" w:hAnsi="Times" w:cs="Times New Roman"/>
      <w:lang w:val="x-none" w:eastAsia="x-none"/>
    </w:rPr>
  </w:style>
  <w:style w:type="character" w:customStyle="1" w:styleId="st">
    <w:name w:val="st"/>
    <w:basedOn w:val="DefaultParagraphFont"/>
    <w:rsid w:val="00A355F9"/>
  </w:style>
  <w:style w:type="character" w:customStyle="1" w:styleId="UnresolvedMention3">
    <w:name w:val="Unresolved Mention3"/>
    <w:basedOn w:val="DefaultParagraphFont"/>
    <w:uiPriority w:val="99"/>
    <w:semiHidden/>
    <w:unhideWhenUsed/>
    <w:rsid w:val="00573D6D"/>
    <w:rPr>
      <w:color w:val="605E5C"/>
      <w:shd w:val="clear" w:color="auto" w:fill="E1DFDD"/>
    </w:rPr>
  </w:style>
  <w:style w:type="character" w:styleId="FollowedHyperlink">
    <w:name w:val="FollowedHyperlink"/>
    <w:basedOn w:val="DefaultParagraphFont"/>
    <w:uiPriority w:val="99"/>
    <w:semiHidden/>
    <w:unhideWhenUsed/>
    <w:rsid w:val="00EB603F"/>
    <w:rPr>
      <w:color w:val="800080" w:themeColor="followedHyperlink"/>
      <w:u w:val="single"/>
    </w:rPr>
  </w:style>
  <w:style w:type="character" w:styleId="HTMLCite">
    <w:name w:val="HTML Cite"/>
    <w:basedOn w:val="DefaultParagraphFont"/>
    <w:uiPriority w:val="99"/>
    <w:semiHidden/>
    <w:unhideWhenUsed/>
    <w:rsid w:val="004E11A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BE"/>
    <w:rPr>
      <w:rFonts w:ascii="Times New Roman" w:eastAsia="Times New Roman" w:hAnsi="Times New Roman" w:cs="Times New Roman"/>
      <w:lang w:val="en-GB"/>
    </w:rPr>
  </w:style>
  <w:style w:type="paragraph" w:styleId="Heading1">
    <w:name w:val="heading 1"/>
    <w:basedOn w:val="Normal"/>
    <w:link w:val="Heading1Char"/>
    <w:uiPriority w:val="9"/>
    <w:qFormat/>
    <w:rsid w:val="00A355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355F9"/>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5F9"/>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A355F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355F9"/>
    <w:pPr>
      <w:spacing w:after="200" w:line="276" w:lineRule="auto"/>
      <w:ind w:left="720"/>
      <w:contextualSpacing/>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A355F9"/>
    <w:rPr>
      <w:sz w:val="18"/>
      <w:szCs w:val="18"/>
    </w:rPr>
  </w:style>
  <w:style w:type="paragraph" w:styleId="CommentText">
    <w:name w:val="annotation text"/>
    <w:basedOn w:val="Normal"/>
    <w:link w:val="CommentTextChar"/>
    <w:uiPriority w:val="99"/>
    <w:unhideWhenUsed/>
    <w:rsid w:val="00A355F9"/>
    <w:pPr>
      <w:spacing w:after="20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A355F9"/>
    <w:rPr>
      <w:rFonts w:eastAsiaTheme="minorHAnsi"/>
    </w:rPr>
  </w:style>
  <w:style w:type="paragraph" w:styleId="CommentSubject">
    <w:name w:val="annotation subject"/>
    <w:basedOn w:val="CommentText"/>
    <w:next w:val="CommentText"/>
    <w:link w:val="CommentSubjectChar"/>
    <w:uiPriority w:val="99"/>
    <w:semiHidden/>
    <w:unhideWhenUsed/>
    <w:rsid w:val="00A355F9"/>
    <w:rPr>
      <w:b/>
      <w:bCs/>
      <w:sz w:val="20"/>
      <w:szCs w:val="20"/>
    </w:rPr>
  </w:style>
  <w:style w:type="character" w:customStyle="1" w:styleId="CommentSubjectChar">
    <w:name w:val="Comment Subject Char"/>
    <w:basedOn w:val="CommentTextChar"/>
    <w:link w:val="CommentSubject"/>
    <w:uiPriority w:val="99"/>
    <w:semiHidden/>
    <w:rsid w:val="00A355F9"/>
    <w:rPr>
      <w:rFonts w:eastAsiaTheme="minorHAnsi"/>
      <w:b/>
      <w:bCs/>
      <w:sz w:val="20"/>
      <w:szCs w:val="20"/>
    </w:rPr>
  </w:style>
  <w:style w:type="paragraph" w:styleId="BalloonText">
    <w:name w:val="Balloon Text"/>
    <w:basedOn w:val="Normal"/>
    <w:link w:val="BalloonTextChar"/>
    <w:uiPriority w:val="99"/>
    <w:semiHidden/>
    <w:unhideWhenUsed/>
    <w:rsid w:val="00A355F9"/>
    <w:rPr>
      <w:rFonts w:ascii="Lucida Grande" w:eastAsiaTheme="minorHAnsi" w:hAnsi="Lucida Grande" w:cs="Lucida Grande"/>
      <w:sz w:val="18"/>
      <w:szCs w:val="18"/>
      <w:lang w:val="en-US"/>
    </w:rPr>
  </w:style>
  <w:style w:type="character" w:customStyle="1" w:styleId="BalloonTextChar">
    <w:name w:val="Balloon Text Char"/>
    <w:basedOn w:val="DefaultParagraphFont"/>
    <w:link w:val="BalloonText"/>
    <w:uiPriority w:val="99"/>
    <w:semiHidden/>
    <w:rsid w:val="00A355F9"/>
    <w:rPr>
      <w:rFonts w:ascii="Lucida Grande" w:eastAsiaTheme="minorHAnsi" w:hAnsi="Lucida Grande" w:cs="Lucida Grande"/>
      <w:sz w:val="18"/>
      <w:szCs w:val="18"/>
    </w:rPr>
  </w:style>
  <w:style w:type="paragraph" w:styleId="NormalWeb">
    <w:name w:val="Normal (Web)"/>
    <w:basedOn w:val="Normal"/>
    <w:uiPriority w:val="99"/>
    <w:rsid w:val="00A355F9"/>
    <w:pPr>
      <w:spacing w:before="100" w:beforeAutospacing="1" w:after="100" w:afterAutospacing="1"/>
    </w:pPr>
    <w:rPr>
      <w:rFonts w:ascii="Times" w:eastAsia="MS ??" w:hAnsi="Times" w:cs="Times"/>
      <w:sz w:val="20"/>
      <w:szCs w:val="20"/>
    </w:rPr>
  </w:style>
  <w:style w:type="character" w:styleId="EndnoteReference">
    <w:name w:val="endnote reference"/>
    <w:basedOn w:val="DefaultParagraphFont"/>
    <w:uiPriority w:val="99"/>
    <w:rsid w:val="00A355F9"/>
    <w:rPr>
      <w:vertAlign w:val="superscript"/>
    </w:rPr>
  </w:style>
  <w:style w:type="paragraph" w:styleId="EndnoteText">
    <w:name w:val="endnote text"/>
    <w:basedOn w:val="Normal"/>
    <w:link w:val="EndnoteTextChar"/>
    <w:uiPriority w:val="99"/>
    <w:rsid w:val="00A355F9"/>
    <w:rPr>
      <w:rFonts w:ascii="Arial" w:eastAsia="MS ??" w:hAnsi="Arial" w:cs="Arial"/>
      <w:sz w:val="20"/>
      <w:szCs w:val="20"/>
      <w:lang w:val="en-US" w:eastAsia="en-GB"/>
    </w:rPr>
  </w:style>
  <w:style w:type="character" w:customStyle="1" w:styleId="EndnoteTextChar">
    <w:name w:val="Endnote Text Char"/>
    <w:basedOn w:val="DefaultParagraphFont"/>
    <w:link w:val="EndnoteText"/>
    <w:uiPriority w:val="99"/>
    <w:rsid w:val="00A355F9"/>
    <w:rPr>
      <w:rFonts w:ascii="Arial" w:eastAsia="MS ??" w:hAnsi="Arial" w:cs="Arial"/>
      <w:sz w:val="20"/>
      <w:szCs w:val="20"/>
      <w:lang w:eastAsia="en-GB"/>
    </w:rPr>
  </w:style>
  <w:style w:type="paragraph" w:customStyle="1" w:styleId="p1a">
    <w:name w:val="p1a"/>
    <w:basedOn w:val="Normal"/>
    <w:next w:val="Normal"/>
    <w:rsid w:val="00A355F9"/>
    <w:pPr>
      <w:overflowPunct w:val="0"/>
      <w:autoSpaceDE w:val="0"/>
      <w:autoSpaceDN w:val="0"/>
      <w:adjustRightInd w:val="0"/>
      <w:spacing w:line="240" w:lineRule="atLeast"/>
      <w:jc w:val="both"/>
      <w:textAlignment w:val="baseline"/>
    </w:pPr>
    <w:rPr>
      <w:rFonts w:ascii="Times" w:eastAsia="MS ??" w:hAnsi="Times" w:cs="Times"/>
      <w:sz w:val="20"/>
      <w:szCs w:val="20"/>
      <w:lang w:val="en-US" w:eastAsia="de-DE"/>
    </w:rPr>
  </w:style>
  <w:style w:type="character" w:styleId="Emphasis">
    <w:name w:val="Emphasis"/>
    <w:basedOn w:val="DefaultParagraphFont"/>
    <w:uiPriority w:val="20"/>
    <w:qFormat/>
    <w:rsid w:val="00A355F9"/>
    <w:rPr>
      <w:i/>
      <w:iCs/>
    </w:rPr>
  </w:style>
  <w:style w:type="character" w:styleId="Hyperlink">
    <w:name w:val="Hyperlink"/>
    <w:basedOn w:val="DefaultParagraphFont"/>
    <w:uiPriority w:val="99"/>
    <w:unhideWhenUsed/>
    <w:rsid w:val="00A355F9"/>
    <w:rPr>
      <w:color w:val="0000FF" w:themeColor="hyperlink"/>
      <w:u w:val="single"/>
    </w:rPr>
  </w:style>
  <w:style w:type="paragraph" w:styleId="Revision">
    <w:name w:val="Revision"/>
    <w:hidden/>
    <w:uiPriority w:val="99"/>
    <w:semiHidden/>
    <w:rsid w:val="00A355F9"/>
    <w:rPr>
      <w:rFonts w:eastAsiaTheme="minorHAnsi"/>
      <w:sz w:val="22"/>
      <w:szCs w:val="22"/>
    </w:rPr>
  </w:style>
  <w:style w:type="character" w:customStyle="1" w:styleId="apple-converted-space">
    <w:name w:val="apple-converted-space"/>
    <w:basedOn w:val="DefaultParagraphFont"/>
    <w:rsid w:val="00A355F9"/>
  </w:style>
  <w:style w:type="character" w:customStyle="1" w:styleId="UnresolvedMention1">
    <w:name w:val="Unresolved Mention1"/>
    <w:basedOn w:val="DefaultParagraphFont"/>
    <w:uiPriority w:val="99"/>
    <w:semiHidden/>
    <w:unhideWhenUsed/>
    <w:rsid w:val="00A355F9"/>
    <w:rPr>
      <w:color w:val="605E5C"/>
      <w:shd w:val="clear" w:color="auto" w:fill="E1DFDD"/>
    </w:rPr>
  </w:style>
  <w:style w:type="character" w:customStyle="1" w:styleId="UnresolvedMention2">
    <w:name w:val="Unresolved Mention2"/>
    <w:basedOn w:val="DefaultParagraphFont"/>
    <w:uiPriority w:val="99"/>
    <w:semiHidden/>
    <w:unhideWhenUsed/>
    <w:rsid w:val="00A355F9"/>
    <w:rPr>
      <w:color w:val="605E5C"/>
      <w:shd w:val="clear" w:color="auto" w:fill="E1DFDD"/>
    </w:rPr>
  </w:style>
  <w:style w:type="character" w:customStyle="1" w:styleId="authors">
    <w:name w:val="authors"/>
    <w:basedOn w:val="DefaultParagraphFont"/>
    <w:rsid w:val="00A355F9"/>
  </w:style>
  <w:style w:type="character" w:customStyle="1" w:styleId="Date1">
    <w:name w:val="Date1"/>
    <w:basedOn w:val="DefaultParagraphFont"/>
    <w:rsid w:val="00A355F9"/>
  </w:style>
  <w:style w:type="character" w:customStyle="1" w:styleId="arttitle">
    <w:name w:val="art_title"/>
    <w:basedOn w:val="DefaultParagraphFont"/>
    <w:rsid w:val="00A355F9"/>
  </w:style>
  <w:style w:type="character" w:customStyle="1" w:styleId="serialtitle">
    <w:name w:val="serial_title"/>
    <w:basedOn w:val="DefaultParagraphFont"/>
    <w:rsid w:val="00A355F9"/>
  </w:style>
  <w:style w:type="character" w:customStyle="1" w:styleId="volumeissue">
    <w:name w:val="volume_issue"/>
    <w:basedOn w:val="DefaultParagraphFont"/>
    <w:rsid w:val="00A355F9"/>
  </w:style>
  <w:style w:type="character" w:customStyle="1" w:styleId="pagerange">
    <w:name w:val="page_range"/>
    <w:basedOn w:val="DefaultParagraphFont"/>
    <w:rsid w:val="00A355F9"/>
  </w:style>
  <w:style w:type="character" w:customStyle="1" w:styleId="doilink">
    <w:name w:val="doi_link"/>
    <w:basedOn w:val="DefaultParagraphFont"/>
    <w:rsid w:val="00A355F9"/>
  </w:style>
  <w:style w:type="paragraph" w:styleId="BodyText">
    <w:name w:val="Body Text"/>
    <w:basedOn w:val="Normal"/>
    <w:link w:val="BodyTextChar"/>
    <w:rsid w:val="00A355F9"/>
    <w:pPr>
      <w:tabs>
        <w:tab w:val="left" w:pos="5685"/>
      </w:tabs>
      <w:spacing w:after="80"/>
      <w:jc w:val="both"/>
    </w:pPr>
    <w:rPr>
      <w:rFonts w:ascii="Times" w:hAnsi="Times"/>
      <w:lang w:val="x-none" w:eastAsia="x-none"/>
    </w:rPr>
  </w:style>
  <w:style w:type="character" w:customStyle="1" w:styleId="BodyTextChar">
    <w:name w:val="Body Text Char"/>
    <w:basedOn w:val="DefaultParagraphFont"/>
    <w:link w:val="BodyText"/>
    <w:rsid w:val="00A355F9"/>
    <w:rPr>
      <w:rFonts w:ascii="Times" w:eastAsia="Times New Roman" w:hAnsi="Times" w:cs="Times New Roman"/>
      <w:lang w:val="x-none" w:eastAsia="x-none"/>
    </w:rPr>
  </w:style>
  <w:style w:type="character" w:customStyle="1" w:styleId="st">
    <w:name w:val="st"/>
    <w:basedOn w:val="DefaultParagraphFont"/>
    <w:rsid w:val="00A355F9"/>
  </w:style>
  <w:style w:type="character" w:customStyle="1" w:styleId="UnresolvedMention3">
    <w:name w:val="Unresolved Mention3"/>
    <w:basedOn w:val="DefaultParagraphFont"/>
    <w:uiPriority w:val="99"/>
    <w:semiHidden/>
    <w:unhideWhenUsed/>
    <w:rsid w:val="00573D6D"/>
    <w:rPr>
      <w:color w:val="605E5C"/>
      <w:shd w:val="clear" w:color="auto" w:fill="E1DFDD"/>
    </w:rPr>
  </w:style>
  <w:style w:type="character" w:styleId="FollowedHyperlink">
    <w:name w:val="FollowedHyperlink"/>
    <w:basedOn w:val="DefaultParagraphFont"/>
    <w:uiPriority w:val="99"/>
    <w:semiHidden/>
    <w:unhideWhenUsed/>
    <w:rsid w:val="00EB603F"/>
    <w:rPr>
      <w:color w:val="800080" w:themeColor="followedHyperlink"/>
      <w:u w:val="single"/>
    </w:rPr>
  </w:style>
  <w:style w:type="character" w:styleId="HTMLCite">
    <w:name w:val="HTML Cite"/>
    <w:basedOn w:val="DefaultParagraphFont"/>
    <w:uiPriority w:val="99"/>
    <w:semiHidden/>
    <w:unhideWhenUsed/>
    <w:rsid w:val="004E1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0350">
      <w:bodyDiv w:val="1"/>
      <w:marLeft w:val="0"/>
      <w:marRight w:val="0"/>
      <w:marTop w:val="0"/>
      <w:marBottom w:val="0"/>
      <w:divBdr>
        <w:top w:val="none" w:sz="0" w:space="0" w:color="auto"/>
        <w:left w:val="none" w:sz="0" w:space="0" w:color="auto"/>
        <w:bottom w:val="none" w:sz="0" w:space="0" w:color="auto"/>
        <w:right w:val="none" w:sz="0" w:space="0" w:color="auto"/>
      </w:divBdr>
    </w:div>
    <w:div w:id="1174302203">
      <w:bodyDiv w:val="1"/>
      <w:marLeft w:val="0"/>
      <w:marRight w:val="0"/>
      <w:marTop w:val="0"/>
      <w:marBottom w:val="0"/>
      <w:divBdr>
        <w:top w:val="none" w:sz="0" w:space="0" w:color="auto"/>
        <w:left w:val="none" w:sz="0" w:space="0" w:color="auto"/>
        <w:bottom w:val="none" w:sz="0" w:space="0" w:color="auto"/>
        <w:right w:val="none" w:sz="0" w:space="0" w:color="auto"/>
      </w:divBdr>
    </w:div>
    <w:div w:id="1335955959">
      <w:bodyDiv w:val="1"/>
      <w:marLeft w:val="0"/>
      <w:marRight w:val="0"/>
      <w:marTop w:val="0"/>
      <w:marBottom w:val="0"/>
      <w:divBdr>
        <w:top w:val="none" w:sz="0" w:space="0" w:color="auto"/>
        <w:left w:val="none" w:sz="0" w:space="0" w:color="auto"/>
        <w:bottom w:val="none" w:sz="0" w:space="0" w:color="auto"/>
        <w:right w:val="none" w:sz="0" w:space="0" w:color="auto"/>
      </w:divBdr>
      <w:divsChild>
        <w:div w:id="1481996764">
          <w:marLeft w:val="0"/>
          <w:marRight w:val="0"/>
          <w:marTop w:val="0"/>
          <w:marBottom w:val="0"/>
          <w:divBdr>
            <w:top w:val="none" w:sz="0" w:space="0" w:color="auto"/>
            <w:left w:val="none" w:sz="0" w:space="0" w:color="auto"/>
            <w:bottom w:val="none" w:sz="0" w:space="0" w:color="auto"/>
            <w:right w:val="none" w:sz="0" w:space="0" w:color="auto"/>
          </w:divBdr>
        </w:div>
        <w:div w:id="377240712">
          <w:marLeft w:val="0"/>
          <w:marRight w:val="0"/>
          <w:marTop w:val="0"/>
          <w:marBottom w:val="0"/>
          <w:divBdr>
            <w:top w:val="none" w:sz="0" w:space="0" w:color="auto"/>
            <w:left w:val="none" w:sz="0" w:space="0" w:color="auto"/>
            <w:bottom w:val="none" w:sz="0" w:space="0" w:color="auto"/>
            <w:right w:val="none" w:sz="0" w:space="0" w:color="auto"/>
          </w:divBdr>
        </w:div>
        <w:div w:id="1064917037">
          <w:marLeft w:val="0"/>
          <w:marRight w:val="0"/>
          <w:marTop w:val="0"/>
          <w:marBottom w:val="0"/>
          <w:divBdr>
            <w:top w:val="none" w:sz="0" w:space="0" w:color="auto"/>
            <w:left w:val="none" w:sz="0" w:space="0" w:color="auto"/>
            <w:bottom w:val="none" w:sz="0" w:space="0" w:color="auto"/>
            <w:right w:val="none" w:sz="0" w:space="0" w:color="auto"/>
          </w:divBdr>
        </w:div>
        <w:div w:id="1687366828">
          <w:marLeft w:val="0"/>
          <w:marRight w:val="0"/>
          <w:marTop w:val="0"/>
          <w:marBottom w:val="0"/>
          <w:divBdr>
            <w:top w:val="none" w:sz="0" w:space="0" w:color="auto"/>
            <w:left w:val="none" w:sz="0" w:space="0" w:color="auto"/>
            <w:bottom w:val="none" w:sz="0" w:space="0" w:color="auto"/>
            <w:right w:val="none" w:sz="0" w:space="0" w:color="auto"/>
          </w:divBdr>
        </w:div>
      </w:divsChild>
    </w:div>
    <w:div w:id="1620380869">
      <w:bodyDiv w:val="1"/>
      <w:marLeft w:val="0"/>
      <w:marRight w:val="0"/>
      <w:marTop w:val="0"/>
      <w:marBottom w:val="0"/>
      <w:divBdr>
        <w:top w:val="none" w:sz="0" w:space="0" w:color="auto"/>
        <w:left w:val="none" w:sz="0" w:space="0" w:color="auto"/>
        <w:bottom w:val="none" w:sz="0" w:space="0" w:color="auto"/>
        <w:right w:val="none" w:sz="0" w:space="0" w:color="auto"/>
      </w:divBdr>
      <w:divsChild>
        <w:div w:id="131990070">
          <w:marLeft w:val="0"/>
          <w:marRight w:val="0"/>
          <w:marTop w:val="0"/>
          <w:marBottom w:val="0"/>
          <w:divBdr>
            <w:top w:val="none" w:sz="0" w:space="0" w:color="auto"/>
            <w:left w:val="none" w:sz="0" w:space="0" w:color="auto"/>
            <w:bottom w:val="none" w:sz="0" w:space="0" w:color="auto"/>
            <w:right w:val="none" w:sz="0" w:space="0" w:color="auto"/>
          </w:divBdr>
          <w:divsChild>
            <w:div w:id="1335231138">
              <w:marLeft w:val="0"/>
              <w:marRight w:val="0"/>
              <w:marTop w:val="0"/>
              <w:marBottom w:val="0"/>
              <w:divBdr>
                <w:top w:val="none" w:sz="0" w:space="0" w:color="auto"/>
                <w:left w:val="none" w:sz="0" w:space="0" w:color="auto"/>
                <w:bottom w:val="none" w:sz="0" w:space="0" w:color="auto"/>
                <w:right w:val="none" w:sz="0" w:space="0" w:color="auto"/>
              </w:divBdr>
              <w:divsChild>
                <w:div w:id="16796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7687">
      <w:bodyDiv w:val="1"/>
      <w:marLeft w:val="0"/>
      <w:marRight w:val="0"/>
      <w:marTop w:val="0"/>
      <w:marBottom w:val="0"/>
      <w:divBdr>
        <w:top w:val="none" w:sz="0" w:space="0" w:color="auto"/>
        <w:left w:val="none" w:sz="0" w:space="0" w:color="auto"/>
        <w:bottom w:val="none" w:sz="0" w:space="0" w:color="auto"/>
        <w:right w:val="none" w:sz="0" w:space="0" w:color="auto"/>
      </w:divBdr>
      <w:divsChild>
        <w:div w:id="1150559711">
          <w:marLeft w:val="0"/>
          <w:marRight w:val="0"/>
          <w:marTop w:val="0"/>
          <w:marBottom w:val="0"/>
          <w:divBdr>
            <w:top w:val="none" w:sz="0" w:space="0" w:color="auto"/>
            <w:left w:val="none" w:sz="0" w:space="0" w:color="auto"/>
            <w:bottom w:val="none" w:sz="0" w:space="0" w:color="auto"/>
            <w:right w:val="none" w:sz="0" w:space="0" w:color="auto"/>
          </w:divBdr>
          <w:divsChild>
            <w:div w:id="1038051253">
              <w:marLeft w:val="0"/>
              <w:marRight w:val="0"/>
              <w:marTop w:val="0"/>
              <w:marBottom w:val="0"/>
              <w:divBdr>
                <w:top w:val="none" w:sz="0" w:space="0" w:color="auto"/>
                <w:left w:val="none" w:sz="0" w:space="0" w:color="auto"/>
                <w:bottom w:val="none" w:sz="0" w:space="0" w:color="auto"/>
                <w:right w:val="none" w:sz="0" w:space="0" w:color="auto"/>
              </w:divBdr>
              <w:divsChild>
                <w:div w:id="839004149">
                  <w:marLeft w:val="0"/>
                  <w:marRight w:val="0"/>
                  <w:marTop w:val="0"/>
                  <w:marBottom w:val="0"/>
                  <w:divBdr>
                    <w:top w:val="none" w:sz="0" w:space="0" w:color="auto"/>
                    <w:left w:val="none" w:sz="0" w:space="0" w:color="auto"/>
                    <w:bottom w:val="none" w:sz="0" w:space="0" w:color="auto"/>
                    <w:right w:val="none" w:sz="0" w:space="0" w:color="auto"/>
                  </w:divBdr>
                </w:div>
                <w:div w:id="1692028248">
                  <w:marLeft w:val="0"/>
                  <w:marRight w:val="0"/>
                  <w:marTop w:val="0"/>
                  <w:marBottom w:val="0"/>
                  <w:divBdr>
                    <w:top w:val="none" w:sz="0" w:space="0" w:color="auto"/>
                    <w:left w:val="none" w:sz="0" w:space="0" w:color="auto"/>
                    <w:bottom w:val="none" w:sz="0" w:space="0" w:color="auto"/>
                    <w:right w:val="none" w:sz="0" w:space="0" w:color="auto"/>
                  </w:divBdr>
                </w:div>
                <w:div w:id="1424692249">
                  <w:marLeft w:val="0"/>
                  <w:marRight w:val="0"/>
                  <w:marTop w:val="0"/>
                  <w:marBottom w:val="0"/>
                  <w:divBdr>
                    <w:top w:val="none" w:sz="0" w:space="0" w:color="auto"/>
                    <w:left w:val="none" w:sz="0" w:space="0" w:color="auto"/>
                    <w:bottom w:val="none" w:sz="0" w:space="0" w:color="auto"/>
                    <w:right w:val="none" w:sz="0" w:space="0" w:color="auto"/>
                  </w:divBdr>
                </w:div>
                <w:div w:id="59789970">
                  <w:marLeft w:val="0"/>
                  <w:marRight w:val="0"/>
                  <w:marTop w:val="0"/>
                  <w:marBottom w:val="0"/>
                  <w:divBdr>
                    <w:top w:val="none" w:sz="0" w:space="0" w:color="auto"/>
                    <w:left w:val="none" w:sz="0" w:space="0" w:color="auto"/>
                    <w:bottom w:val="none" w:sz="0" w:space="0" w:color="auto"/>
                    <w:right w:val="none" w:sz="0" w:space="0" w:color="auto"/>
                  </w:divBdr>
                </w:div>
                <w:div w:id="1278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0461">
      <w:bodyDiv w:val="1"/>
      <w:marLeft w:val="0"/>
      <w:marRight w:val="0"/>
      <w:marTop w:val="0"/>
      <w:marBottom w:val="0"/>
      <w:divBdr>
        <w:top w:val="none" w:sz="0" w:space="0" w:color="auto"/>
        <w:left w:val="none" w:sz="0" w:space="0" w:color="auto"/>
        <w:bottom w:val="none" w:sz="0" w:space="0" w:color="auto"/>
        <w:right w:val="none" w:sz="0" w:space="0" w:color="auto"/>
      </w:divBdr>
    </w:div>
    <w:div w:id="1920361640">
      <w:bodyDiv w:val="1"/>
      <w:marLeft w:val="0"/>
      <w:marRight w:val="0"/>
      <w:marTop w:val="0"/>
      <w:marBottom w:val="0"/>
      <w:divBdr>
        <w:top w:val="none" w:sz="0" w:space="0" w:color="auto"/>
        <w:left w:val="none" w:sz="0" w:space="0" w:color="auto"/>
        <w:bottom w:val="none" w:sz="0" w:space="0" w:color="auto"/>
        <w:right w:val="none" w:sz="0" w:space="0" w:color="auto"/>
      </w:divBdr>
    </w:div>
    <w:div w:id="2097052369">
      <w:bodyDiv w:val="1"/>
      <w:marLeft w:val="0"/>
      <w:marRight w:val="0"/>
      <w:marTop w:val="0"/>
      <w:marBottom w:val="0"/>
      <w:divBdr>
        <w:top w:val="none" w:sz="0" w:space="0" w:color="auto"/>
        <w:left w:val="none" w:sz="0" w:space="0" w:color="auto"/>
        <w:bottom w:val="none" w:sz="0" w:space="0" w:color="auto"/>
        <w:right w:val="none" w:sz="0" w:space="0" w:color="auto"/>
      </w:divBdr>
      <w:divsChild>
        <w:div w:id="1770782730">
          <w:marLeft w:val="0"/>
          <w:marRight w:val="0"/>
          <w:marTop w:val="0"/>
          <w:marBottom w:val="0"/>
          <w:divBdr>
            <w:top w:val="none" w:sz="0" w:space="0" w:color="auto"/>
            <w:left w:val="none" w:sz="0" w:space="0" w:color="auto"/>
            <w:bottom w:val="none" w:sz="0" w:space="0" w:color="auto"/>
            <w:right w:val="none" w:sz="0" w:space="0" w:color="auto"/>
          </w:divBdr>
          <w:divsChild>
            <w:div w:id="115411708">
              <w:marLeft w:val="0"/>
              <w:marRight w:val="0"/>
              <w:marTop w:val="0"/>
              <w:marBottom w:val="0"/>
              <w:divBdr>
                <w:top w:val="none" w:sz="0" w:space="0" w:color="auto"/>
                <w:left w:val="none" w:sz="0" w:space="0" w:color="auto"/>
                <w:bottom w:val="none" w:sz="0" w:space="0" w:color="auto"/>
                <w:right w:val="none" w:sz="0" w:space="0" w:color="auto"/>
              </w:divBdr>
              <w:divsChild>
                <w:div w:id="12151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nowaboutcse.co.uk/parents/" TargetMode="External"/><Relationship Id="rId12" Type="http://schemas.openxmlformats.org/officeDocument/2006/relationships/hyperlink" Target="https://files.eric.ed.gov/fulltext/ED525056.pdf" TargetMode="External"/><Relationship Id="rId13" Type="http://schemas.openxmlformats.org/officeDocument/2006/relationships/hyperlink" Target="https://www.nspcc.org.uk/preventing-abuse/child-abuse-and-neglect/online-abuse/facts-statistics/" TargetMode="External"/><Relationship Id="rId14" Type="http://schemas.openxmlformats.org/officeDocument/2006/relationships/hyperlink" Target="https://doi.org/10.1007/s11199-018-0957-x"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ssets.publishing.service.gov.uk/government/uploads/system/uploads/attachment_data/file/591903/CSE_Guidance_Core_Document_13.02.2017.pdf" TargetMode="External"/><Relationship Id="rId7" Type="http://schemas.openxmlformats.org/officeDocument/2006/relationships/hyperlink" Target="https://s3.eu-west-2.amazonaws.com/files.alcoholchange.org.uk/documents/FinalReport_0092.pdf?mtime=20181118132655" TargetMode="External"/><Relationship Id="rId8" Type="http://schemas.openxmlformats.org/officeDocument/2006/relationships/hyperlink" Target="https://www.gov.uk/government/news/pm-unveils-tough-new-measures-to-tackle-child-sexual-exploitation" TargetMode="External"/><Relationship Id="rId9" Type="http://schemas.openxmlformats.org/officeDocument/2006/relationships/hyperlink" Target="https://www.gov.uk/government/news/home-secretary-announces-new-measures-to-tackle-serious-violence" TargetMode="External"/><Relationship Id="rId10" Type="http://schemas.openxmlformats.org/officeDocument/2006/relationships/hyperlink" Target="https://www.rotherham.gov.uk/downloads/file/1407/independent_inquiry_cse_in_rother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9864</Words>
  <Characters>56228</Characters>
  <Application>Microsoft Macintosh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65961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Mythen</dc:creator>
  <cp:keywords/>
  <dc:description/>
  <cp:lastModifiedBy>Gabe Mythen</cp:lastModifiedBy>
  <cp:revision>2</cp:revision>
  <cp:lastPrinted>2019-05-22T09:03:00Z</cp:lastPrinted>
  <dcterms:created xsi:type="dcterms:W3CDTF">2019-09-10T11:19:00Z</dcterms:created>
  <dcterms:modified xsi:type="dcterms:W3CDTF">2019-09-10T11:19:00Z</dcterms:modified>
</cp:coreProperties>
</file>