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7155" w14:textId="3C43D022" w:rsidR="00EF21F1" w:rsidRPr="0012086C" w:rsidRDefault="00D34CF9" w:rsidP="00915A80">
      <w:pPr>
        <w:spacing w:line="480" w:lineRule="auto"/>
        <w:jc w:val="center"/>
        <w:rPr>
          <w:rFonts w:ascii="Times New Roman" w:hAnsi="Times New Roman" w:cs="Times New Roman"/>
          <w:b/>
          <w:sz w:val="24"/>
          <w:szCs w:val="24"/>
        </w:rPr>
      </w:pPr>
      <w:bookmarkStart w:id="0" w:name="_GoBack"/>
      <w:bookmarkEnd w:id="0"/>
      <w:r w:rsidRPr="0012086C">
        <w:rPr>
          <w:rFonts w:ascii="Times New Roman" w:hAnsi="Times New Roman" w:cs="Times New Roman"/>
          <w:b/>
          <w:sz w:val="24"/>
          <w:szCs w:val="24"/>
        </w:rPr>
        <w:t xml:space="preserve">5. </w:t>
      </w:r>
      <w:r w:rsidR="00EF21F1" w:rsidRPr="0012086C">
        <w:rPr>
          <w:rFonts w:ascii="Times New Roman" w:hAnsi="Times New Roman" w:cs="Times New Roman"/>
          <w:b/>
          <w:sz w:val="24"/>
          <w:szCs w:val="24"/>
        </w:rPr>
        <w:t>The Liberal Democrats: Green Shoots of Recovery or Still on Life Support?</w:t>
      </w:r>
    </w:p>
    <w:p w14:paraId="6EAFC343" w14:textId="057AADA5" w:rsidR="00EF21F1" w:rsidRPr="0012086C" w:rsidRDefault="00EF21F1" w:rsidP="00915A80">
      <w:pPr>
        <w:spacing w:line="480" w:lineRule="auto"/>
        <w:jc w:val="both"/>
        <w:rPr>
          <w:rFonts w:ascii="Times New Roman" w:hAnsi="Times New Roman" w:cs="Times New Roman"/>
          <w:sz w:val="24"/>
          <w:szCs w:val="24"/>
        </w:rPr>
      </w:pPr>
      <w:r w:rsidRPr="0012086C">
        <w:rPr>
          <w:rFonts w:ascii="Times New Roman" w:hAnsi="Times New Roman" w:cs="Times New Roman"/>
          <w:sz w:val="24"/>
          <w:szCs w:val="24"/>
        </w:rPr>
        <w:t xml:space="preserve">Responding to Theresa May’s decision to call a snap general election, Liberal Democrat leader Tim Farron was in upbeat mood, proclaiming it as </w:t>
      </w:r>
      <w:r w:rsidR="00D0549E">
        <w:rPr>
          <w:rFonts w:ascii="Times New Roman" w:hAnsi="Times New Roman" w:cs="Times New Roman"/>
          <w:sz w:val="24"/>
          <w:szCs w:val="24"/>
        </w:rPr>
        <w:t>‘</w:t>
      </w:r>
      <w:r w:rsidRPr="0012086C">
        <w:rPr>
          <w:rFonts w:ascii="Times New Roman" w:eastAsia="Times New Roman" w:hAnsi="Times New Roman" w:cs="Times New Roman"/>
          <w:sz w:val="24"/>
          <w:szCs w:val="24"/>
          <w:lang w:eastAsia="en-GB"/>
        </w:rPr>
        <w:t>your chance to change the direction of your country….if you want to avoid a disastrous Hard Brexit…if you want to keep Britain in the Single Market…if you want a Britain that is open, tolerant and united, this is your chance</w:t>
      </w:r>
      <w:r w:rsidR="00D34CF9" w:rsidRPr="0012086C">
        <w:rPr>
          <w:rFonts w:ascii="Times New Roman" w:eastAsia="Times New Roman" w:hAnsi="Times New Roman" w:cs="Times New Roman"/>
          <w:sz w:val="24"/>
          <w:szCs w:val="24"/>
          <w:lang w:eastAsia="en-GB"/>
        </w:rPr>
        <w:t>’ (Farron</w:t>
      </w:r>
      <w:r w:rsidR="00D601B2">
        <w:rPr>
          <w:rFonts w:ascii="Times New Roman" w:eastAsia="Times New Roman" w:hAnsi="Times New Roman" w:cs="Times New Roman"/>
          <w:sz w:val="24"/>
          <w:szCs w:val="24"/>
          <w:lang w:eastAsia="en-GB"/>
        </w:rPr>
        <w:t>,</w:t>
      </w:r>
      <w:r w:rsidR="00D34CF9" w:rsidRPr="0012086C">
        <w:rPr>
          <w:rFonts w:ascii="Times New Roman" w:eastAsia="Times New Roman" w:hAnsi="Times New Roman" w:cs="Times New Roman"/>
          <w:sz w:val="24"/>
          <w:szCs w:val="24"/>
          <w:lang w:eastAsia="en-GB"/>
        </w:rPr>
        <w:t xml:space="preserve"> 2017)</w:t>
      </w:r>
      <w:r w:rsidRPr="0012086C">
        <w:rPr>
          <w:rFonts w:ascii="Times New Roman" w:eastAsia="Times New Roman" w:hAnsi="Times New Roman" w:cs="Times New Roman"/>
          <w:sz w:val="24"/>
          <w:szCs w:val="24"/>
          <w:lang w:eastAsia="en-GB"/>
        </w:rPr>
        <w:t xml:space="preserve">. The Liberal Democrats had some good reasons to feel positive. Two years previously the party had been utterly humiliated at the ballot box following five years in coalition government with the Conservatives. Driven out of natural heartlands and only 25,000 votes from total wipe out, the party was left with a rump of eight MPs, </w:t>
      </w:r>
      <w:r w:rsidR="00D34CF9" w:rsidRPr="0012086C">
        <w:rPr>
          <w:rFonts w:ascii="Times New Roman" w:eastAsia="Times New Roman" w:hAnsi="Times New Roman" w:cs="Times New Roman"/>
          <w:sz w:val="24"/>
          <w:szCs w:val="24"/>
          <w:lang w:eastAsia="en-GB"/>
        </w:rPr>
        <w:t xml:space="preserve">most </w:t>
      </w:r>
      <w:r w:rsidRPr="0012086C">
        <w:rPr>
          <w:rFonts w:ascii="Times New Roman" w:eastAsia="Times New Roman" w:hAnsi="Times New Roman" w:cs="Times New Roman"/>
          <w:sz w:val="24"/>
          <w:szCs w:val="24"/>
          <w:lang w:eastAsia="en-GB"/>
        </w:rPr>
        <w:t>with precarious majorities</w:t>
      </w:r>
      <w:r w:rsidR="00521522" w:rsidRPr="0012086C">
        <w:rPr>
          <w:rFonts w:ascii="Times New Roman" w:eastAsia="Times New Roman" w:hAnsi="Times New Roman" w:cs="Times New Roman"/>
          <w:sz w:val="24"/>
          <w:szCs w:val="24"/>
          <w:lang w:eastAsia="en-GB"/>
        </w:rPr>
        <w:t xml:space="preserve"> (Cutts and Russell, 2015)</w:t>
      </w:r>
      <w:r w:rsidRPr="0012086C">
        <w:rPr>
          <w:rFonts w:ascii="Times New Roman" w:eastAsia="Times New Roman" w:hAnsi="Times New Roman" w:cs="Times New Roman"/>
          <w:sz w:val="24"/>
          <w:szCs w:val="24"/>
          <w:lang w:eastAsia="en-GB"/>
        </w:rPr>
        <w:t xml:space="preserve">. However the referendum decision to leave the European Union provided the Liberal Democrats with a potential political lifeline. With Labour in apparent disarray, </w:t>
      </w:r>
      <w:r w:rsidRPr="0012086C">
        <w:rPr>
          <w:rFonts w:ascii="Times New Roman" w:hAnsi="Times New Roman" w:cs="Times New Roman"/>
          <w:sz w:val="24"/>
          <w:szCs w:val="24"/>
        </w:rPr>
        <w:t xml:space="preserve">the Liberal Democrats had an opportunity to be the voice of those who wanted to </w:t>
      </w:r>
      <w:r w:rsidR="00D34CF9" w:rsidRPr="0012086C">
        <w:rPr>
          <w:rFonts w:ascii="Times New Roman" w:hAnsi="Times New Roman" w:cs="Times New Roman"/>
          <w:sz w:val="24"/>
          <w:szCs w:val="24"/>
        </w:rPr>
        <w:t>r</w:t>
      </w:r>
      <w:r w:rsidR="000A6640" w:rsidRPr="0012086C">
        <w:rPr>
          <w:rFonts w:ascii="Times New Roman" w:hAnsi="Times New Roman" w:cs="Times New Roman"/>
          <w:sz w:val="24"/>
          <w:szCs w:val="24"/>
        </w:rPr>
        <w:t>emain</w:t>
      </w:r>
      <w:r w:rsidRPr="0012086C">
        <w:rPr>
          <w:rFonts w:ascii="Times New Roman" w:hAnsi="Times New Roman" w:cs="Times New Roman"/>
          <w:sz w:val="24"/>
          <w:szCs w:val="24"/>
        </w:rPr>
        <w:t xml:space="preserve"> in the European Union. An unequivocal ‘Pro-European’ message and support for a second EU referendum on the terms of ‘Brexit’ gave the party political space and a potential distinctive identity.</w:t>
      </w:r>
      <w:r w:rsidRPr="0012086C">
        <w:rPr>
          <w:rFonts w:ascii="Times New Roman" w:eastAsia="Times New Roman" w:hAnsi="Times New Roman" w:cs="Times New Roman"/>
          <w:sz w:val="24"/>
          <w:szCs w:val="24"/>
          <w:lang w:eastAsia="en-GB"/>
        </w:rPr>
        <w:t xml:space="preserve"> </w:t>
      </w:r>
      <w:r w:rsidRPr="0012086C">
        <w:rPr>
          <w:rFonts w:ascii="Times New Roman" w:hAnsi="Times New Roman" w:cs="Times New Roman"/>
          <w:sz w:val="24"/>
          <w:szCs w:val="24"/>
        </w:rPr>
        <w:t xml:space="preserve">A return to </w:t>
      </w:r>
      <w:r w:rsidR="003A729C" w:rsidRPr="0012086C">
        <w:rPr>
          <w:rFonts w:ascii="Times New Roman" w:hAnsi="Times New Roman" w:cs="Times New Roman"/>
          <w:sz w:val="24"/>
          <w:szCs w:val="24"/>
        </w:rPr>
        <w:t xml:space="preserve">the </w:t>
      </w:r>
      <w:r w:rsidRPr="0012086C">
        <w:rPr>
          <w:rFonts w:ascii="Times New Roman" w:hAnsi="Times New Roman" w:cs="Times New Roman"/>
          <w:sz w:val="24"/>
          <w:szCs w:val="24"/>
        </w:rPr>
        <w:t>1992 level of parliamentary representation</w:t>
      </w:r>
      <w:r w:rsidR="0012086C" w:rsidRPr="0012086C">
        <w:rPr>
          <w:rFonts w:ascii="Times New Roman" w:hAnsi="Times New Roman" w:cs="Times New Roman"/>
          <w:sz w:val="24"/>
          <w:szCs w:val="24"/>
        </w:rPr>
        <w:t xml:space="preserve"> of </w:t>
      </w:r>
      <w:r w:rsidR="003A729C" w:rsidRPr="0012086C">
        <w:rPr>
          <w:rFonts w:ascii="Times New Roman" w:hAnsi="Times New Roman" w:cs="Times New Roman"/>
          <w:sz w:val="24"/>
          <w:szCs w:val="24"/>
        </w:rPr>
        <w:t>20 seats</w:t>
      </w:r>
      <w:r w:rsidRPr="0012086C">
        <w:rPr>
          <w:rFonts w:ascii="Times New Roman" w:hAnsi="Times New Roman" w:cs="Times New Roman"/>
          <w:sz w:val="24"/>
          <w:szCs w:val="24"/>
        </w:rPr>
        <w:t xml:space="preserve"> at least seemed a realistic goal. After all, if the Liberal Democrats could not win a healthy number of seats in 2017 and re</w:t>
      </w:r>
      <w:r w:rsidR="003A729C" w:rsidRPr="0012086C">
        <w:rPr>
          <w:rFonts w:ascii="Times New Roman" w:hAnsi="Times New Roman" w:cs="Times New Roman"/>
          <w:sz w:val="24"/>
          <w:szCs w:val="24"/>
        </w:rPr>
        <w:t>-</w:t>
      </w:r>
      <w:r w:rsidRPr="0012086C">
        <w:rPr>
          <w:rFonts w:ascii="Times New Roman" w:hAnsi="Times New Roman" w:cs="Times New Roman"/>
          <w:sz w:val="24"/>
          <w:szCs w:val="24"/>
        </w:rPr>
        <w:t>impose the party as a third force in British politics when could it? The reality though proved to be much different. Despite the salience of ‘Brexit’, the Liberal Democrats failed to</w:t>
      </w:r>
      <w:r w:rsidR="0012086C" w:rsidRPr="0012086C">
        <w:rPr>
          <w:rFonts w:ascii="Times New Roman" w:hAnsi="Times New Roman" w:cs="Times New Roman"/>
          <w:sz w:val="24"/>
          <w:szCs w:val="24"/>
        </w:rPr>
        <w:t xml:space="preserve"> gain any electoral traction. </w:t>
      </w:r>
      <w:r w:rsidRPr="0012086C">
        <w:rPr>
          <w:rFonts w:ascii="Times New Roman" w:hAnsi="Times New Roman" w:cs="Times New Roman"/>
          <w:sz w:val="24"/>
          <w:szCs w:val="24"/>
        </w:rPr>
        <w:t xml:space="preserve">Was the party strategy wrong or were other factors to blame for lack of Liberal Democrat progress? We examine what happened and why, and evaluate whether the party has a political future in British politics or </w:t>
      </w:r>
      <w:r w:rsidR="000A6640" w:rsidRPr="0012086C">
        <w:rPr>
          <w:rFonts w:ascii="Times New Roman" w:hAnsi="Times New Roman" w:cs="Times New Roman"/>
          <w:sz w:val="24"/>
          <w:szCs w:val="24"/>
        </w:rPr>
        <w:t>Remain</w:t>
      </w:r>
      <w:r w:rsidRPr="0012086C">
        <w:rPr>
          <w:rFonts w:ascii="Times New Roman" w:hAnsi="Times New Roman" w:cs="Times New Roman"/>
          <w:sz w:val="24"/>
          <w:szCs w:val="24"/>
        </w:rPr>
        <w:t xml:space="preserve">s on life support. </w:t>
      </w:r>
    </w:p>
    <w:p w14:paraId="7532A485" w14:textId="77777777" w:rsidR="003A729C" w:rsidRPr="00E02BA8" w:rsidRDefault="003A729C" w:rsidP="00915A80">
      <w:pPr>
        <w:spacing w:line="480" w:lineRule="auto"/>
        <w:jc w:val="both"/>
        <w:rPr>
          <w:rFonts w:ascii="Times New Roman" w:hAnsi="Times New Roman" w:cs="Times New Roman"/>
          <w:sz w:val="24"/>
          <w:szCs w:val="24"/>
        </w:rPr>
      </w:pPr>
    </w:p>
    <w:p w14:paraId="67E2C511" w14:textId="6FB2A786" w:rsidR="00EF21F1" w:rsidRPr="00E02BA8" w:rsidRDefault="00EF21F1" w:rsidP="00915A80">
      <w:pPr>
        <w:spacing w:line="480" w:lineRule="auto"/>
        <w:jc w:val="both"/>
        <w:rPr>
          <w:rFonts w:ascii="Times New Roman" w:hAnsi="Times New Roman" w:cs="Times New Roman"/>
          <w:sz w:val="24"/>
          <w:szCs w:val="24"/>
        </w:rPr>
      </w:pPr>
      <w:r w:rsidRPr="00E02BA8">
        <w:rPr>
          <w:rFonts w:ascii="Times New Roman" w:hAnsi="Times New Roman" w:cs="Times New Roman"/>
          <w:b/>
          <w:sz w:val="24"/>
          <w:szCs w:val="24"/>
        </w:rPr>
        <w:lastRenderedPageBreak/>
        <w:t>The ‘Brexit’ Bounce</w:t>
      </w:r>
    </w:p>
    <w:p w14:paraId="01AF1464" w14:textId="0EFACFA3" w:rsidR="00EF21F1" w:rsidRPr="00E02BA8" w:rsidRDefault="00EF21F1" w:rsidP="00915A80">
      <w:pPr>
        <w:spacing w:line="480" w:lineRule="auto"/>
        <w:jc w:val="both"/>
        <w:rPr>
          <w:rFonts w:ascii="Times New Roman" w:hAnsi="Times New Roman" w:cs="Times New Roman"/>
          <w:sz w:val="24"/>
          <w:szCs w:val="24"/>
        </w:rPr>
      </w:pPr>
      <w:r w:rsidRPr="00E02BA8">
        <w:rPr>
          <w:rFonts w:ascii="Times New Roman" w:hAnsi="Times New Roman" w:cs="Times New Roman"/>
          <w:sz w:val="24"/>
          <w:szCs w:val="24"/>
        </w:rPr>
        <w:t>Before the EU referendum there were few signs that the party had turned the corner. Despite a new leader – Tim Farron – and a record number of people joining the party, the Liberal Democrats continued to record lower poll numbers than their 2015 national vote share. The party performed poorly in by-elections and in the 2016 English local elections the Liberal Democrats managed to take control of one council (Watford) and make</w:t>
      </w:r>
      <w:r w:rsidR="003A729C">
        <w:rPr>
          <w:rFonts w:ascii="Times New Roman" w:hAnsi="Times New Roman" w:cs="Times New Roman"/>
          <w:sz w:val="24"/>
          <w:szCs w:val="24"/>
        </w:rPr>
        <w:t xml:space="preserve"> only</w:t>
      </w:r>
      <w:r w:rsidRPr="00E02BA8">
        <w:rPr>
          <w:rFonts w:ascii="Times New Roman" w:hAnsi="Times New Roman" w:cs="Times New Roman"/>
          <w:sz w:val="24"/>
          <w:szCs w:val="24"/>
        </w:rPr>
        <w:t xml:space="preserve"> 45 net seats gains despite their historically low local base. The Liberal Democrats retreated further in Wales in the Assembly elections and despite winning two constituency seats in Scotland they did not increase their repr</w:t>
      </w:r>
      <w:r w:rsidR="0012086C">
        <w:rPr>
          <w:rFonts w:ascii="Times New Roman" w:hAnsi="Times New Roman" w:cs="Times New Roman"/>
          <w:sz w:val="24"/>
          <w:szCs w:val="24"/>
        </w:rPr>
        <w:t>esentative numbers in Holyrood.</w:t>
      </w:r>
      <w:r w:rsidRPr="00E02BA8">
        <w:rPr>
          <w:rFonts w:ascii="Times New Roman" w:hAnsi="Times New Roman" w:cs="Times New Roman"/>
          <w:sz w:val="24"/>
          <w:szCs w:val="24"/>
        </w:rPr>
        <w:t xml:space="preserve"> </w:t>
      </w:r>
      <w:r w:rsidR="003A729C">
        <w:rPr>
          <w:rFonts w:ascii="Times New Roman" w:hAnsi="Times New Roman" w:cs="Times New Roman"/>
          <w:sz w:val="24"/>
          <w:szCs w:val="24"/>
        </w:rPr>
        <w:t>However,</w:t>
      </w:r>
      <w:r w:rsidR="003A729C" w:rsidRPr="003A729C" w:rsidDel="003A729C">
        <w:rPr>
          <w:rFonts w:ascii="Times New Roman" w:hAnsi="Times New Roman" w:cs="Times New Roman"/>
          <w:sz w:val="24"/>
          <w:szCs w:val="24"/>
        </w:rPr>
        <w:t xml:space="preserve"> </w:t>
      </w:r>
      <w:r w:rsidR="003A729C">
        <w:rPr>
          <w:rFonts w:ascii="Times New Roman" w:hAnsi="Times New Roman" w:cs="Times New Roman"/>
          <w:sz w:val="24"/>
          <w:szCs w:val="24"/>
        </w:rPr>
        <w:t>t</w:t>
      </w:r>
      <w:r w:rsidRPr="00E02BA8">
        <w:rPr>
          <w:rFonts w:ascii="Times New Roman" w:hAnsi="Times New Roman" w:cs="Times New Roman"/>
          <w:sz w:val="24"/>
          <w:szCs w:val="24"/>
        </w:rPr>
        <w:t>he vote to leave the European Union on June 23</w:t>
      </w:r>
      <w:r w:rsidRPr="00E02BA8">
        <w:rPr>
          <w:rFonts w:ascii="Times New Roman" w:hAnsi="Times New Roman" w:cs="Times New Roman"/>
          <w:sz w:val="24"/>
          <w:szCs w:val="24"/>
          <w:vertAlign w:val="superscript"/>
        </w:rPr>
        <w:t>rd</w:t>
      </w:r>
      <w:r w:rsidRPr="00E02BA8">
        <w:rPr>
          <w:rFonts w:ascii="Times New Roman" w:hAnsi="Times New Roman" w:cs="Times New Roman"/>
          <w:sz w:val="24"/>
          <w:szCs w:val="24"/>
        </w:rPr>
        <w:t xml:space="preserve"> 2016 turned British politics upside down </w:t>
      </w:r>
      <w:r w:rsidR="003A729C">
        <w:rPr>
          <w:rFonts w:ascii="Times New Roman" w:hAnsi="Times New Roman" w:cs="Times New Roman"/>
          <w:sz w:val="24"/>
          <w:szCs w:val="24"/>
        </w:rPr>
        <w:t xml:space="preserve">and </w:t>
      </w:r>
      <w:r w:rsidRPr="00E02BA8">
        <w:rPr>
          <w:rFonts w:ascii="Times New Roman" w:hAnsi="Times New Roman" w:cs="Times New Roman"/>
          <w:sz w:val="24"/>
          <w:szCs w:val="24"/>
        </w:rPr>
        <w:t>opened an unexpected opportunity for the Liberal Democrats.</w:t>
      </w:r>
    </w:p>
    <w:p w14:paraId="34ADF36E" w14:textId="7C14AC4C" w:rsidR="00EF21F1" w:rsidRPr="00E02BA8" w:rsidRDefault="003A729C" w:rsidP="00915A80">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EF21F1" w:rsidRPr="00E02BA8">
        <w:rPr>
          <w:rFonts w:ascii="Times New Roman" w:hAnsi="Times New Roman" w:cs="Times New Roman"/>
          <w:sz w:val="24"/>
          <w:szCs w:val="24"/>
        </w:rPr>
        <w:t>n the</w:t>
      </w:r>
      <w:r>
        <w:rPr>
          <w:rFonts w:ascii="Times New Roman" w:hAnsi="Times New Roman" w:cs="Times New Roman"/>
          <w:sz w:val="24"/>
          <w:szCs w:val="24"/>
        </w:rPr>
        <w:t xml:space="preserve"> chaotic immediate</w:t>
      </w:r>
      <w:r w:rsidR="00EF21F1" w:rsidRPr="00E02BA8">
        <w:rPr>
          <w:rFonts w:ascii="Times New Roman" w:hAnsi="Times New Roman" w:cs="Times New Roman"/>
          <w:sz w:val="24"/>
          <w:szCs w:val="24"/>
        </w:rPr>
        <w:t xml:space="preserve"> aftermath of the ‘Brexit’ vote</w:t>
      </w:r>
      <w:r>
        <w:rPr>
          <w:rFonts w:ascii="Times New Roman" w:hAnsi="Times New Roman" w:cs="Times New Roman"/>
          <w:sz w:val="24"/>
          <w:szCs w:val="24"/>
        </w:rPr>
        <w:t>,</w:t>
      </w:r>
      <w:r w:rsidR="00EF21F1" w:rsidRPr="00E02BA8">
        <w:rPr>
          <w:rFonts w:ascii="Times New Roman" w:hAnsi="Times New Roman" w:cs="Times New Roman"/>
          <w:sz w:val="24"/>
          <w:szCs w:val="24"/>
        </w:rPr>
        <w:t xml:space="preserve"> Cameron resigned prompting a Conservative leadership contest</w:t>
      </w:r>
      <w:r>
        <w:rPr>
          <w:rFonts w:ascii="Times New Roman" w:hAnsi="Times New Roman" w:cs="Times New Roman"/>
          <w:sz w:val="24"/>
          <w:szCs w:val="24"/>
        </w:rPr>
        <w:t xml:space="preserve"> and</w:t>
      </w:r>
      <w:r w:rsidR="00EF21F1" w:rsidRPr="00E02BA8">
        <w:rPr>
          <w:rFonts w:ascii="Times New Roman" w:hAnsi="Times New Roman" w:cs="Times New Roman"/>
          <w:sz w:val="24"/>
          <w:szCs w:val="24"/>
        </w:rPr>
        <w:t xml:space="preserve"> Labour began to turn on Jeremy Corbyn. A lacklustre performance during the referendum campaign was the final straw for many in the parliamentary Labour party and this became the catalyst for a second leadership election. Amid this turmoil, the Liberal Democrats continued to court the 48% ‘</w:t>
      </w:r>
      <w:r w:rsidR="000A6640">
        <w:rPr>
          <w:rFonts w:ascii="Times New Roman" w:hAnsi="Times New Roman" w:cs="Times New Roman"/>
          <w:sz w:val="24"/>
          <w:szCs w:val="24"/>
        </w:rPr>
        <w:t>Remain</w:t>
      </w:r>
      <w:r w:rsidR="00EF21F1" w:rsidRPr="00E02BA8">
        <w:rPr>
          <w:rFonts w:ascii="Times New Roman" w:hAnsi="Times New Roman" w:cs="Times New Roman"/>
          <w:sz w:val="24"/>
          <w:szCs w:val="24"/>
        </w:rPr>
        <w:t>’</w:t>
      </w:r>
      <w:r>
        <w:rPr>
          <w:rFonts w:ascii="Times New Roman" w:hAnsi="Times New Roman" w:cs="Times New Roman"/>
          <w:sz w:val="24"/>
          <w:szCs w:val="24"/>
        </w:rPr>
        <w:t xml:space="preserve"> vote,</w:t>
      </w:r>
      <w:r w:rsidR="00EF21F1" w:rsidRPr="00E02BA8">
        <w:rPr>
          <w:rFonts w:ascii="Times New Roman" w:hAnsi="Times New Roman" w:cs="Times New Roman"/>
          <w:sz w:val="24"/>
          <w:szCs w:val="24"/>
        </w:rPr>
        <w:t xml:space="preserve"> as Farron became the self-styled spokesperson for the progressives. Immediately this paid off as the Liberal Democrats gained almost 16,000 new members in the three weeks following the referendum. At the party’s conference in September, party members overwhelmingly </w:t>
      </w:r>
      <w:r>
        <w:rPr>
          <w:rFonts w:ascii="Times New Roman" w:hAnsi="Times New Roman" w:cs="Times New Roman"/>
          <w:sz w:val="24"/>
          <w:szCs w:val="24"/>
        </w:rPr>
        <w:t xml:space="preserve">backed </w:t>
      </w:r>
      <w:r w:rsidR="00EF21F1" w:rsidRPr="00E02BA8">
        <w:rPr>
          <w:rFonts w:ascii="Times New Roman" w:hAnsi="Times New Roman" w:cs="Times New Roman"/>
          <w:sz w:val="24"/>
          <w:szCs w:val="24"/>
        </w:rPr>
        <w:t xml:space="preserve">a </w:t>
      </w:r>
      <w:r>
        <w:rPr>
          <w:rFonts w:ascii="Times New Roman" w:hAnsi="Times New Roman" w:cs="Times New Roman"/>
          <w:sz w:val="24"/>
          <w:szCs w:val="24"/>
        </w:rPr>
        <w:t xml:space="preserve">resolution demanding a </w:t>
      </w:r>
      <w:r w:rsidR="00EF21F1" w:rsidRPr="00E02BA8">
        <w:rPr>
          <w:rFonts w:ascii="Times New Roman" w:hAnsi="Times New Roman" w:cs="Times New Roman"/>
          <w:sz w:val="24"/>
          <w:szCs w:val="24"/>
        </w:rPr>
        <w:t>second referendum to ratify Britain’s final Brexit deal. As the new Prime Minister May stressed that ‘Brexit means Brexit’, Farron laid out the Liberal Democrats</w:t>
      </w:r>
      <w:r>
        <w:rPr>
          <w:rFonts w:ascii="Times New Roman" w:hAnsi="Times New Roman" w:cs="Times New Roman"/>
          <w:sz w:val="24"/>
          <w:szCs w:val="24"/>
        </w:rPr>
        <w:t>’</w:t>
      </w:r>
      <w:r w:rsidR="00EF21F1" w:rsidRPr="00E02BA8">
        <w:rPr>
          <w:rFonts w:ascii="Times New Roman" w:hAnsi="Times New Roman" w:cs="Times New Roman"/>
          <w:sz w:val="24"/>
          <w:szCs w:val="24"/>
        </w:rPr>
        <w:t xml:space="preserve"> position</w:t>
      </w:r>
      <w:r>
        <w:rPr>
          <w:rFonts w:ascii="Times New Roman" w:hAnsi="Times New Roman" w:cs="Times New Roman"/>
          <w:sz w:val="24"/>
          <w:szCs w:val="24"/>
        </w:rPr>
        <w:t>,</w:t>
      </w:r>
      <w:r w:rsidR="00EF21F1" w:rsidRPr="00E02BA8">
        <w:rPr>
          <w:rFonts w:ascii="Times New Roman" w:hAnsi="Times New Roman" w:cs="Times New Roman"/>
          <w:sz w:val="24"/>
          <w:szCs w:val="24"/>
        </w:rPr>
        <w:t xml:space="preserve"> arguing that </w:t>
      </w:r>
      <w:r w:rsidR="0012086C">
        <w:rPr>
          <w:rFonts w:ascii="Times New Roman" w:hAnsi="Times New Roman" w:cs="Times New Roman"/>
          <w:sz w:val="24"/>
          <w:szCs w:val="24"/>
        </w:rPr>
        <w:t>“</w:t>
      </w:r>
      <w:r w:rsidR="00EF21F1" w:rsidRPr="00E02BA8">
        <w:rPr>
          <w:rFonts w:ascii="Times New Roman" w:hAnsi="Times New Roman" w:cs="Times New Roman"/>
          <w:sz w:val="24"/>
          <w:szCs w:val="24"/>
        </w:rPr>
        <w:t>i</w:t>
      </w:r>
      <w:r w:rsidR="00EF21F1" w:rsidRPr="00E02BA8">
        <w:rPr>
          <w:rFonts w:ascii="Times New Roman" w:hAnsi="Times New Roman" w:cs="Times New Roman"/>
          <w:color w:val="000000"/>
          <w:sz w:val="24"/>
          <w:szCs w:val="24"/>
        </w:rPr>
        <w:t>f we trusted the people to vote for our departure then we must trust the people to vote for our destination” (</w:t>
      </w:r>
      <w:r w:rsidR="0012086C">
        <w:rPr>
          <w:rFonts w:ascii="Times New Roman" w:hAnsi="Times New Roman" w:cs="Times New Roman"/>
          <w:color w:val="000000"/>
          <w:sz w:val="24"/>
          <w:szCs w:val="24"/>
        </w:rPr>
        <w:t>Farron</w:t>
      </w:r>
      <w:r w:rsidR="00BC0741">
        <w:rPr>
          <w:rFonts w:ascii="Times New Roman" w:hAnsi="Times New Roman" w:cs="Times New Roman"/>
          <w:color w:val="000000"/>
          <w:sz w:val="24"/>
          <w:szCs w:val="24"/>
        </w:rPr>
        <w:t>,</w:t>
      </w:r>
      <w:r w:rsidR="0012086C">
        <w:rPr>
          <w:rFonts w:ascii="Times New Roman" w:hAnsi="Times New Roman" w:cs="Times New Roman"/>
          <w:color w:val="000000"/>
          <w:sz w:val="24"/>
          <w:szCs w:val="24"/>
        </w:rPr>
        <w:t xml:space="preserve"> 2016)</w:t>
      </w:r>
    </w:p>
    <w:p w14:paraId="10609829" w14:textId="31981058" w:rsidR="00EF21F1" w:rsidRPr="00E02BA8" w:rsidRDefault="00EF21F1" w:rsidP="00915A80">
      <w:pPr>
        <w:spacing w:line="480" w:lineRule="auto"/>
        <w:jc w:val="both"/>
        <w:rPr>
          <w:rFonts w:ascii="Times New Roman" w:hAnsi="Times New Roman" w:cs="Times New Roman"/>
          <w:color w:val="000000"/>
          <w:sz w:val="24"/>
          <w:szCs w:val="24"/>
        </w:rPr>
      </w:pPr>
      <w:r w:rsidRPr="00E02BA8">
        <w:rPr>
          <w:rFonts w:ascii="Times New Roman" w:hAnsi="Times New Roman" w:cs="Times New Roman"/>
          <w:color w:val="000000"/>
          <w:sz w:val="24"/>
          <w:szCs w:val="24"/>
        </w:rPr>
        <w:lastRenderedPageBreak/>
        <w:t>Internally the Liberal Democrats were gearing themselves up for a ‘snap’ general election. The focal point of their strategy was the reselection of as many defeated 2015 Liberal Democrat MPs as possible. Party strategists felt former MPs retained significant goodwill from local electorates and could tap into a local personal vote</w:t>
      </w:r>
      <w:r w:rsidR="003A729C">
        <w:rPr>
          <w:rFonts w:ascii="Times New Roman" w:hAnsi="Times New Roman" w:cs="Times New Roman"/>
          <w:color w:val="000000"/>
          <w:sz w:val="24"/>
          <w:szCs w:val="24"/>
        </w:rPr>
        <w:t>,</w:t>
      </w:r>
      <w:r w:rsidRPr="00E02BA8">
        <w:rPr>
          <w:rFonts w:ascii="Times New Roman" w:hAnsi="Times New Roman" w:cs="Times New Roman"/>
          <w:color w:val="000000"/>
          <w:sz w:val="24"/>
          <w:szCs w:val="24"/>
        </w:rPr>
        <w:t xml:space="preserve"> especially as a number of the former MPs </w:t>
      </w:r>
      <w:r w:rsidR="00E178CF" w:rsidRPr="00E02BA8">
        <w:rPr>
          <w:rFonts w:ascii="Times New Roman" w:hAnsi="Times New Roman" w:cs="Times New Roman"/>
          <w:color w:val="000000"/>
          <w:sz w:val="24"/>
          <w:szCs w:val="24"/>
        </w:rPr>
        <w:t>seemed to compare</w:t>
      </w:r>
      <w:r w:rsidRPr="00E02BA8">
        <w:rPr>
          <w:rFonts w:ascii="Times New Roman" w:hAnsi="Times New Roman" w:cs="Times New Roman"/>
          <w:color w:val="000000"/>
          <w:sz w:val="24"/>
          <w:szCs w:val="24"/>
        </w:rPr>
        <w:t xml:space="preserve"> favourably to their replacement from other parties. By mid-July 2016, the party had reselected </w:t>
      </w:r>
      <w:r w:rsidR="003A729C">
        <w:rPr>
          <w:rFonts w:ascii="Times New Roman" w:hAnsi="Times New Roman" w:cs="Times New Roman"/>
          <w:color w:val="000000"/>
          <w:sz w:val="24"/>
          <w:szCs w:val="24"/>
        </w:rPr>
        <w:t xml:space="preserve">14 </w:t>
      </w:r>
      <w:r w:rsidRPr="00E02BA8">
        <w:rPr>
          <w:rFonts w:ascii="Times New Roman" w:hAnsi="Times New Roman" w:cs="Times New Roman"/>
          <w:color w:val="000000"/>
          <w:sz w:val="24"/>
          <w:szCs w:val="24"/>
        </w:rPr>
        <w:t xml:space="preserve">former Liberal Democrat MPs who were defeated in 2015 to stand again. `Re-selection of former MPs was only part of a broader strategy. Those not willing to re-stand were replaced quickly to ensure a head-start in campaign preparation. </w:t>
      </w:r>
      <w:r w:rsidR="00EE5A5B">
        <w:rPr>
          <w:rFonts w:ascii="Times New Roman" w:hAnsi="Times New Roman" w:cs="Times New Roman"/>
          <w:color w:val="000000"/>
          <w:sz w:val="24"/>
          <w:szCs w:val="24"/>
        </w:rPr>
        <w:t xml:space="preserve">In those 2010 held seats where a new candidate stood in 2015 and subsequently lost, the Liberal Democrats </w:t>
      </w:r>
      <w:r w:rsidR="008C2518">
        <w:rPr>
          <w:rFonts w:ascii="Times New Roman" w:hAnsi="Times New Roman" w:cs="Times New Roman"/>
          <w:color w:val="000000"/>
          <w:sz w:val="24"/>
          <w:szCs w:val="24"/>
        </w:rPr>
        <w:t xml:space="preserve">decided to reinstall as many of these candidates as possible to ensure continuity. </w:t>
      </w:r>
      <w:r w:rsidRPr="00E02BA8">
        <w:rPr>
          <w:rFonts w:ascii="Times New Roman" w:hAnsi="Times New Roman" w:cs="Times New Roman"/>
          <w:color w:val="000000"/>
          <w:sz w:val="24"/>
          <w:szCs w:val="24"/>
        </w:rPr>
        <w:t>The party also installed candidates in seats where the Liberal Democrats had fared well in the past, retained a respectable vote in 2015 and had a strong local campaign team to enthuse voters to the cause.</w:t>
      </w:r>
    </w:p>
    <w:p w14:paraId="64BA152A" w14:textId="26BC9E7C" w:rsidR="00EF21F1" w:rsidRPr="00E02BA8" w:rsidRDefault="00EF21F1" w:rsidP="00915A80">
      <w:pPr>
        <w:spacing w:line="480" w:lineRule="auto"/>
        <w:jc w:val="both"/>
        <w:rPr>
          <w:rFonts w:ascii="Times New Roman" w:hAnsi="Times New Roman" w:cs="Times New Roman"/>
          <w:color w:val="000000"/>
          <w:sz w:val="24"/>
          <w:szCs w:val="24"/>
        </w:rPr>
      </w:pPr>
      <w:r w:rsidRPr="00E02BA8">
        <w:rPr>
          <w:rFonts w:ascii="Times New Roman" w:hAnsi="Times New Roman" w:cs="Times New Roman"/>
          <w:color w:val="000000"/>
          <w:sz w:val="24"/>
          <w:szCs w:val="24"/>
        </w:rPr>
        <w:t xml:space="preserve">From </w:t>
      </w:r>
      <w:r w:rsidR="009A2E88">
        <w:rPr>
          <w:rFonts w:ascii="Times New Roman" w:hAnsi="Times New Roman" w:cs="Times New Roman"/>
          <w:color w:val="000000"/>
          <w:sz w:val="24"/>
          <w:szCs w:val="24"/>
        </w:rPr>
        <w:t xml:space="preserve">late </w:t>
      </w:r>
      <w:r w:rsidRPr="00E02BA8">
        <w:rPr>
          <w:rFonts w:ascii="Times New Roman" w:hAnsi="Times New Roman" w:cs="Times New Roman"/>
          <w:color w:val="000000"/>
          <w:sz w:val="24"/>
          <w:szCs w:val="24"/>
        </w:rPr>
        <w:t xml:space="preserve">October 2016, the Liberal Democrats began to regularly record double digit poll ratings. There was also evidence that Liberal Democrats were starting to pick up at the ballot box with more council by-election gains (31 in total and 28 net gains) in 2016 than ever before. Complementing this upsurge in its local base was a historic by-election win in Richmond Park. The party had always maintained a strong local base and organisation having </w:t>
      </w:r>
      <w:r w:rsidR="009A2E88">
        <w:rPr>
          <w:rFonts w:ascii="Times New Roman" w:hAnsi="Times New Roman" w:cs="Times New Roman"/>
          <w:color w:val="000000"/>
          <w:sz w:val="24"/>
          <w:szCs w:val="24"/>
        </w:rPr>
        <w:t xml:space="preserve">held </w:t>
      </w:r>
      <w:r w:rsidRPr="00E02BA8">
        <w:rPr>
          <w:rFonts w:ascii="Times New Roman" w:hAnsi="Times New Roman" w:cs="Times New Roman"/>
          <w:color w:val="000000"/>
          <w:sz w:val="24"/>
          <w:szCs w:val="24"/>
        </w:rPr>
        <w:t>the seat</w:t>
      </w:r>
      <w:r w:rsidR="00EE5A5B">
        <w:rPr>
          <w:rFonts w:ascii="Times New Roman" w:hAnsi="Times New Roman" w:cs="Times New Roman"/>
          <w:color w:val="000000"/>
          <w:sz w:val="24"/>
          <w:szCs w:val="24"/>
        </w:rPr>
        <w:t xml:space="preserve"> </w:t>
      </w:r>
      <w:r w:rsidR="009A2E88">
        <w:rPr>
          <w:rFonts w:ascii="Times New Roman" w:hAnsi="Times New Roman" w:cs="Times New Roman"/>
          <w:color w:val="000000"/>
          <w:sz w:val="24"/>
          <w:szCs w:val="24"/>
        </w:rPr>
        <w:t>from its creation in 1997 until 2010</w:t>
      </w:r>
      <w:r w:rsidRPr="00E02BA8">
        <w:rPr>
          <w:rFonts w:ascii="Times New Roman" w:hAnsi="Times New Roman" w:cs="Times New Roman"/>
          <w:color w:val="000000"/>
          <w:sz w:val="24"/>
          <w:szCs w:val="24"/>
        </w:rPr>
        <w:t xml:space="preserve"> and controlled the council. It was also a strong ‘</w:t>
      </w:r>
      <w:r w:rsidR="000A6640">
        <w:rPr>
          <w:rFonts w:ascii="Times New Roman" w:hAnsi="Times New Roman" w:cs="Times New Roman"/>
          <w:color w:val="000000"/>
          <w:sz w:val="24"/>
          <w:szCs w:val="24"/>
        </w:rPr>
        <w:t>Remain</w:t>
      </w:r>
      <w:r w:rsidRPr="00E02BA8">
        <w:rPr>
          <w:rFonts w:ascii="Times New Roman" w:hAnsi="Times New Roman" w:cs="Times New Roman"/>
          <w:color w:val="000000"/>
          <w:sz w:val="24"/>
          <w:szCs w:val="24"/>
        </w:rPr>
        <w:t xml:space="preserve">’ constituency with more than 70% of residents voting to stay in the European Union. Although the incumbent Zac Goldsmith was officially independent in the by-election, the Liberal Democrats Sarah Olney took the seat by just over 1,800 votes, recording nearly 50% of the overall </w:t>
      </w:r>
      <w:r w:rsidRPr="00E02BA8">
        <w:rPr>
          <w:rFonts w:ascii="Times New Roman" w:hAnsi="Times New Roman" w:cs="Times New Roman"/>
          <w:color w:val="000000"/>
          <w:sz w:val="24"/>
          <w:szCs w:val="24"/>
        </w:rPr>
        <w:lastRenderedPageBreak/>
        <w:t xml:space="preserve">share, an increase of more than 30% compared to 2015, and a swing of more than 21% from Goldsmith. </w:t>
      </w:r>
    </w:p>
    <w:p w14:paraId="51CAD5E8" w14:textId="27EBF0D8" w:rsidR="00EF21F1" w:rsidRPr="00E02BA8" w:rsidRDefault="00E178CF" w:rsidP="00915A80">
      <w:pPr>
        <w:spacing w:line="480" w:lineRule="auto"/>
        <w:jc w:val="both"/>
        <w:rPr>
          <w:rFonts w:ascii="Times New Roman" w:hAnsi="Times New Roman" w:cs="Times New Roman"/>
          <w:color w:val="000000"/>
          <w:sz w:val="24"/>
          <w:szCs w:val="24"/>
        </w:rPr>
      </w:pPr>
      <w:r w:rsidRPr="00E02BA8">
        <w:rPr>
          <w:rFonts w:ascii="Times New Roman" w:hAnsi="Times New Roman" w:cs="Times New Roman"/>
          <w:color w:val="000000"/>
          <w:sz w:val="24"/>
          <w:szCs w:val="24"/>
        </w:rPr>
        <w:t xml:space="preserve">Following Olney’s </w:t>
      </w:r>
      <w:r w:rsidR="00EF21F1" w:rsidRPr="00E02BA8">
        <w:rPr>
          <w:rFonts w:ascii="Times New Roman" w:hAnsi="Times New Roman" w:cs="Times New Roman"/>
          <w:color w:val="000000"/>
          <w:sz w:val="24"/>
          <w:szCs w:val="24"/>
        </w:rPr>
        <w:t>victory, there was talk of a political realignment in British politics, as Brexit could</w:t>
      </w:r>
      <w:r w:rsidRPr="00E02BA8">
        <w:rPr>
          <w:rFonts w:ascii="Times New Roman" w:hAnsi="Times New Roman" w:cs="Times New Roman"/>
          <w:color w:val="000000"/>
          <w:sz w:val="24"/>
          <w:szCs w:val="24"/>
        </w:rPr>
        <w:t xml:space="preserve"> supersede traditional </w:t>
      </w:r>
      <w:r w:rsidR="00EF21F1" w:rsidRPr="00E02BA8">
        <w:rPr>
          <w:rFonts w:ascii="Times New Roman" w:hAnsi="Times New Roman" w:cs="Times New Roman"/>
          <w:color w:val="000000"/>
          <w:sz w:val="24"/>
          <w:szCs w:val="24"/>
        </w:rPr>
        <w:t xml:space="preserve">cleavages to determine party support, although there was scant evidence </w:t>
      </w:r>
      <w:r w:rsidRPr="00E02BA8">
        <w:rPr>
          <w:rFonts w:ascii="Times New Roman" w:hAnsi="Times New Roman" w:cs="Times New Roman"/>
          <w:color w:val="000000"/>
          <w:sz w:val="24"/>
          <w:szCs w:val="24"/>
        </w:rPr>
        <w:t>that the Liberal Democrats were</w:t>
      </w:r>
      <w:r w:rsidR="00EF21F1" w:rsidRPr="00E02BA8">
        <w:rPr>
          <w:rFonts w:ascii="Times New Roman" w:hAnsi="Times New Roman" w:cs="Times New Roman"/>
          <w:color w:val="000000"/>
          <w:sz w:val="24"/>
          <w:szCs w:val="24"/>
        </w:rPr>
        <w:t xml:space="preserve"> actually ‘hoovering’ up discontented ‘</w:t>
      </w:r>
      <w:r w:rsidR="000A6640">
        <w:rPr>
          <w:rFonts w:ascii="Times New Roman" w:hAnsi="Times New Roman" w:cs="Times New Roman"/>
          <w:color w:val="000000"/>
          <w:sz w:val="24"/>
          <w:szCs w:val="24"/>
        </w:rPr>
        <w:t>Remain</w:t>
      </w:r>
      <w:r w:rsidR="00EF21F1" w:rsidRPr="00E02BA8">
        <w:rPr>
          <w:rFonts w:ascii="Times New Roman" w:hAnsi="Times New Roman" w:cs="Times New Roman"/>
          <w:color w:val="000000"/>
          <w:sz w:val="24"/>
          <w:szCs w:val="24"/>
        </w:rPr>
        <w:t xml:space="preserve">’ voters. The Richmond Park by-election did provide a welcome boost for the party’s famed campaign machine that misfired in 2015. Whether heavily focussed campaigns in target seats would be as successful in the heat of a general election was still a moot point. It was still unclear if lessons had been learnt from the 2015 campaign and whether the culling of experienced activists partly through changes to the internal party structure and latterly because of heavy losses sustained during the coalition era would still come back to haunt them. Nonetheless, there were signs that the Liberal Democrats had not forgotten how to win. </w:t>
      </w:r>
    </w:p>
    <w:p w14:paraId="6D7D0377" w14:textId="2183525B" w:rsidR="00EF21F1" w:rsidRPr="005F42AD" w:rsidRDefault="00EF21F1" w:rsidP="00915A80">
      <w:pPr>
        <w:spacing w:line="480" w:lineRule="auto"/>
        <w:jc w:val="both"/>
        <w:rPr>
          <w:rFonts w:ascii="Times New Roman" w:hAnsi="Times New Roman" w:cs="Times New Roman"/>
          <w:color w:val="000000"/>
          <w:sz w:val="24"/>
          <w:szCs w:val="24"/>
        </w:rPr>
      </w:pPr>
      <w:r w:rsidRPr="005F42AD">
        <w:rPr>
          <w:rFonts w:ascii="Times New Roman" w:hAnsi="Times New Roman" w:cs="Times New Roman"/>
          <w:b/>
          <w:color w:val="000000"/>
          <w:sz w:val="24"/>
          <w:szCs w:val="24"/>
        </w:rPr>
        <w:t>The electoral reality</w:t>
      </w:r>
    </w:p>
    <w:p w14:paraId="6FFAD26E" w14:textId="45FB3643" w:rsidR="00EF21F1" w:rsidRPr="005F42AD" w:rsidRDefault="00EF21F1" w:rsidP="00915A80">
      <w:pPr>
        <w:spacing w:line="480" w:lineRule="auto"/>
        <w:jc w:val="both"/>
        <w:rPr>
          <w:rFonts w:ascii="Times New Roman" w:hAnsi="Times New Roman" w:cs="Times New Roman"/>
          <w:color w:val="000000"/>
          <w:sz w:val="24"/>
          <w:szCs w:val="24"/>
        </w:rPr>
      </w:pPr>
      <w:r w:rsidRPr="005F42AD">
        <w:rPr>
          <w:rFonts w:ascii="Times New Roman" w:hAnsi="Times New Roman" w:cs="Times New Roman"/>
          <w:color w:val="000000"/>
          <w:sz w:val="24"/>
          <w:szCs w:val="24"/>
        </w:rPr>
        <w:t xml:space="preserve">Liberal Democrat optimism of an electoral ‘bounce-back’ in the </w:t>
      </w:r>
      <w:r w:rsidR="000A6640">
        <w:rPr>
          <w:rFonts w:ascii="Times New Roman" w:hAnsi="Times New Roman" w:cs="Times New Roman"/>
          <w:color w:val="000000"/>
          <w:sz w:val="24"/>
          <w:szCs w:val="24"/>
        </w:rPr>
        <w:t xml:space="preserve">snap </w:t>
      </w:r>
      <w:r w:rsidRPr="00E02BA8">
        <w:rPr>
          <w:rFonts w:ascii="Times New Roman" w:hAnsi="Times New Roman" w:cs="Times New Roman"/>
          <w:color w:val="000000"/>
          <w:sz w:val="24"/>
          <w:szCs w:val="24"/>
        </w:rPr>
        <w:t xml:space="preserve">June 2017 </w:t>
      </w:r>
      <w:r w:rsidR="000A6640">
        <w:rPr>
          <w:rFonts w:ascii="Times New Roman" w:hAnsi="Times New Roman" w:cs="Times New Roman"/>
          <w:color w:val="000000"/>
          <w:sz w:val="24"/>
          <w:szCs w:val="24"/>
        </w:rPr>
        <w:t xml:space="preserve">election </w:t>
      </w:r>
      <w:r w:rsidRPr="005F42AD">
        <w:rPr>
          <w:rFonts w:ascii="Times New Roman" w:hAnsi="Times New Roman" w:cs="Times New Roman"/>
          <w:color w:val="000000"/>
          <w:sz w:val="24"/>
          <w:szCs w:val="24"/>
        </w:rPr>
        <w:t xml:space="preserve">was high. </w:t>
      </w:r>
      <w:r w:rsidRPr="005F42AD">
        <w:rPr>
          <w:rFonts w:ascii="Times New Roman" w:hAnsi="Times New Roman" w:cs="Times New Roman"/>
          <w:sz w:val="24"/>
          <w:szCs w:val="24"/>
        </w:rPr>
        <w:t>A shortened campaign period seemingly favoured the party that had been out</w:t>
      </w:r>
      <w:r w:rsidR="00E178CF" w:rsidRPr="005F42AD">
        <w:rPr>
          <w:rFonts w:ascii="Times New Roman" w:hAnsi="Times New Roman" w:cs="Times New Roman"/>
          <w:sz w:val="24"/>
          <w:szCs w:val="24"/>
        </w:rPr>
        <w:t xml:space="preserve"> </w:t>
      </w:r>
      <w:r w:rsidRPr="005F42AD">
        <w:rPr>
          <w:rFonts w:ascii="Times New Roman" w:hAnsi="Times New Roman" w:cs="Times New Roman"/>
          <w:sz w:val="24"/>
          <w:szCs w:val="24"/>
        </w:rPr>
        <w:t>resourced by the Conservative ‘decapitation strategy’ across the south of England in 2015. Then a highly effective ‘joined-up’ Tory campaign operation driven by vast amounts of money thrown at key battleground seats not only within but outside the regulated campaign period for nine months or more, outgunned Liberal Democrat opponents. In 2017 a shorter timescale meant that Conservatives had lost some of that advantage.</w:t>
      </w:r>
    </w:p>
    <w:p w14:paraId="0467BCE0" w14:textId="5A259F81" w:rsidR="00EF21F1" w:rsidRPr="005F42AD" w:rsidRDefault="00EF21F1" w:rsidP="00915A80">
      <w:pPr>
        <w:spacing w:line="480" w:lineRule="auto"/>
        <w:jc w:val="both"/>
        <w:rPr>
          <w:rFonts w:ascii="Times New Roman" w:hAnsi="Times New Roman" w:cs="Times New Roman"/>
          <w:sz w:val="24"/>
          <w:szCs w:val="24"/>
        </w:rPr>
      </w:pPr>
      <w:r w:rsidRPr="005F42AD">
        <w:rPr>
          <w:rFonts w:ascii="Times New Roman" w:hAnsi="Times New Roman" w:cs="Times New Roman"/>
          <w:sz w:val="24"/>
          <w:szCs w:val="24"/>
        </w:rPr>
        <w:t xml:space="preserve">In reality however a significant Liberal Democrat resurgence was unlikely despite the shadow of ‘Brexit’. Figure </w:t>
      </w:r>
      <w:r w:rsidR="000A6640">
        <w:rPr>
          <w:rFonts w:ascii="Times New Roman" w:hAnsi="Times New Roman" w:cs="Times New Roman"/>
          <w:sz w:val="24"/>
          <w:szCs w:val="24"/>
        </w:rPr>
        <w:t>5.</w:t>
      </w:r>
      <w:r w:rsidRPr="005F42AD">
        <w:rPr>
          <w:rFonts w:ascii="Times New Roman" w:hAnsi="Times New Roman" w:cs="Times New Roman"/>
          <w:sz w:val="24"/>
          <w:szCs w:val="24"/>
        </w:rPr>
        <w:t xml:space="preserve">1 shows the % </w:t>
      </w:r>
      <w:r w:rsidR="000A6640">
        <w:rPr>
          <w:rFonts w:ascii="Times New Roman" w:hAnsi="Times New Roman" w:cs="Times New Roman"/>
          <w:sz w:val="24"/>
          <w:szCs w:val="24"/>
        </w:rPr>
        <w:t>Remain</w:t>
      </w:r>
      <w:r w:rsidRPr="005F42AD">
        <w:rPr>
          <w:rFonts w:ascii="Times New Roman" w:hAnsi="Times New Roman" w:cs="Times New Roman"/>
          <w:sz w:val="24"/>
          <w:szCs w:val="24"/>
        </w:rPr>
        <w:t xml:space="preserve"> vote from the EU </w:t>
      </w:r>
      <w:r w:rsidR="000A6640">
        <w:rPr>
          <w:rFonts w:ascii="Times New Roman" w:hAnsi="Times New Roman" w:cs="Times New Roman"/>
          <w:sz w:val="24"/>
          <w:szCs w:val="24"/>
        </w:rPr>
        <w:t>r</w:t>
      </w:r>
      <w:r w:rsidRPr="005F42AD">
        <w:rPr>
          <w:rFonts w:ascii="Times New Roman" w:hAnsi="Times New Roman" w:cs="Times New Roman"/>
          <w:sz w:val="24"/>
          <w:szCs w:val="24"/>
        </w:rPr>
        <w:t xml:space="preserve">eferendum by </w:t>
      </w:r>
      <w:r w:rsidRPr="005F42AD">
        <w:rPr>
          <w:rFonts w:ascii="Times New Roman" w:hAnsi="Times New Roman" w:cs="Times New Roman"/>
          <w:sz w:val="24"/>
          <w:szCs w:val="24"/>
        </w:rPr>
        <w:lastRenderedPageBreak/>
        <w:t>Liberal Democrat margin – the difference between the constituency Liberal Democrat vote and the winner at the 2015 election – for the 40 most marginal Liberal Democrat targets in 2017. There are three visible seat clusters illustrating the difficulties facing the Liberal Democrats. A cluster of</w:t>
      </w:r>
      <w:r w:rsidR="00EE5A5B">
        <w:rPr>
          <w:rFonts w:ascii="Times New Roman" w:hAnsi="Times New Roman" w:cs="Times New Roman"/>
          <w:sz w:val="24"/>
          <w:szCs w:val="24"/>
        </w:rPr>
        <w:t xml:space="preserve"> </w:t>
      </w:r>
      <w:r w:rsidR="000A6640">
        <w:rPr>
          <w:rFonts w:ascii="Times New Roman" w:hAnsi="Times New Roman" w:cs="Times New Roman"/>
          <w:sz w:val="24"/>
          <w:szCs w:val="24"/>
        </w:rPr>
        <w:t>nine</w:t>
      </w:r>
      <w:r w:rsidRPr="005F42AD">
        <w:rPr>
          <w:rFonts w:ascii="Times New Roman" w:hAnsi="Times New Roman" w:cs="Times New Roman"/>
          <w:sz w:val="24"/>
          <w:szCs w:val="24"/>
        </w:rPr>
        <w:t xml:space="preserve"> seats were most vulnerable to the Liberal Democrats if the </w:t>
      </w:r>
      <w:r w:rsidR="000A6640">
        <w:rPr>
          <w:rFonts w:ascii="Times New Roman" w:hAnsi="Times New Roman" w:cs="Times New Roman"/>
          <w:sz w:val="24"/>
          <w:szCs w:val="24"/>
        </w:rPr>
        <w:t>‘Remain’</w:t>
      </w:r>
      <w:r w:rsidRPr="00E07919">
        <w:rPr>
          <w:rFonts w:ascii="Times New Roman" w:hAnsi="Times New Roman" w:cs="Times New Roman"/>
          <w:sz w:val="24"/>
          <w:szCs w:val="24"/>
        </w:rPr>
        <w:t xml:space="preserve"> vote from June 2016 switched to the Liberal Democrats </w:t>
      </w:r>
      <w:r w:rsidRPr="00E07919">
        <w:rPr>
          <w:rFonts w:ascii="Times New Roman" w:hAnsi="Times New Roman" w:cs="Times New Roman"/>
          <w:i/>
          <w:sz w:val="24"/>
          <w:szCs w:val="24"/>
        </w:rPr>
        <w:t>en masse</w:t>
      </w:r>
      <w:r w:rsidRPr="00E07919">
        <w:rPr>
          <w:rFonts w:ascii="Times New Roman" w:hAnsi="Times New Roman" w:cs="Times New Roman"/>
          <w:sz w:val="24"/>
          <w:szCs w:val="24"/>
        </w:rPr>
        <w:t>, but only four of these seats were held by the Conservatives and two by Labour.</w:t>
      </w:r>
      <w:r w:rsidR="0042467A" w:rsidRPr="0042467A">
        <w:rPr>
          <w:rFonts w:ascii="Times New Roman" w:hAnsi="Times New Roman" w:cs="Times New Roman"/>
          <w:sz w:val="20"/>
          <w:szCs w:val="20"/>
          <w:vertAlign w:val="superscript"/>
        </w:rPr>
        <w:t>1</w:t>
      </w:r>
      <w:r w:rsidR="000A6640" w:rsidRPr="005F42AD">
        <w:rPr>
          <w:rFonts w:ascii="Times New Roman" w:hAnsi="Times New Roman" w:cs="Times New Roman"/>
          <w:sz w:val="24"/>
          <w:szCs w:val="24"/>
        </w:rPr>
        <w:t xml:space="preserve"> The </w:t>
      </w:r>
      <w:r w:rsidR="005F42AD">
        <w:rPr>
          <w:rFonts w:ascii="Times New Roman" w:hAnsi="Times New Roman" w:cs="Times New Roman"/>
          <w:sz w:val="24"/>
          <w:szCs w:val="24"/>
        </w:rPr>
        <w:t>r</w:t>
      </w:r>
      <w:r w:rsidR="000A6640">
        <w:rPr>
          <w:rFonts w:ascii="Times New Roman" w:hAnsi="Times New Roman" w:cs="Times New Roman"/>
          <w:sz w:val="24"/>
          <w:szCs w:val="24"/>
        </w:rPr>
        <w:t>emain</w:t>
      </w:r>
      <w:r w:rsidR="000A6640" w:rsidRPr="005F42AD">
        <w:rPr>
          <w:rFonts w:ascii="Times New Roman" w:hAnsi="Times New Roman" w:cs="Times New Roman"/>
          <w:sz w:val="24"/>
          <w:szCs w:val="24"/>
        </w:rPr>
        <w:t>ing three seats were held by the pro-‘</w:t>
      </w:r>
      <w:r w:rsidR="000A6640">
        <w:rPr>
          <w:rFonts w:ascii="Times New Roman" w:hAnsi="Times New Roman" w:cs="Times New Roman"/>
          <w:sz w:val="24"/>
          <w:szCs w:val="24"/>
        </w:rPr>
        <w:t>Remain</w:t>
      </w:r>
      <w:r w:rsidR="000A6640" w:rsidRPr="005F42AD">
        <w:rPr>
          <w:rFonts w:ascii="Times New Roman" w:hAnsi="Times New Roman" w:cs="Times New Roman"/>
          <w:sz w:val="24"/>
          <w:szCs w:val="24"/>
        </w:rPr>
        <w:t>’ SNP. A second cluster of ten seats existed where the ‘</w:t>
      </w:r>
      <w:r w:rsidR="000A6640">
        <w:rPr>
          <w:rFonts w:ascii="Times New Roman" w:hAnsi="Times New Roman" w:cs="Times New Roman"/>
          <w:sz w:val="24"/>
          <w:szCs w:val="24"/>
        </w:rPr>
        <w:t>Remain</w:t>
      </w:r>
      <w:r w:rsidR="000A6640" w:rsidRPr="005F42AD">
        <w:rPr>
          <w:rFonts w:ascii="Times New Roman" w:hAnsi="Times New Roman" w:cs="Times New Roman"/>
          <w:sz w:val="24"/>
          <w:szCs w:val="24"/>
        </w:rPr>
        <w:t>’ vote was 50% or more and the Liberal Democrats were up to 20% behind the win</w:t>
      </w:r>
      <w:r w:rsidR="00B21052">
        <w:rPr>
          <w:rFonts w:ascii="Times New Roman" w:hAnsi="Times New Roman" w:cs="Times New Roman"/>
          <w:sz w:val="24"/>
          <w:szCs w:val="24"/>
        </w:rPr>
        <w:t>ning party. Again even a Brexit</w:t>
      </w:r>
      <w:r w:rsidR="000A6640" w:rsidRPr="005F42AD">
        <w:rPr>
          <w:rFonts w:ascii="Times New Roman" w:hAnsi="Times New Roman" w:cs="Times New Roman"/>
          <w:sz w:val="24"/>
          <w:szCs w:val="24"/>
        </w:rPr>
        <w:t xml:space="preserve"> realignment would limit Liberal Democrat success – only three of these seats were Conservative-held, two were Labour and the other five SNP</w:t>
      </w:r>
      <w:r w:rsidR="000A6640">
        <w:rPr>
          <w:rFonts w:ascii="Times New Roman" w:hAnsi="Times New Roman" w:cs="Times New Roman"/>
          <w:sz w:val="24"/>
          <w:szCs w:val="24"/>
        </w:rPr>
        <w:t>.</w:t>
      </w:r>
      <w:r w:rsidR="0042467A">
        <w:rPr>
          <w:rFonts w:ascii="Times New Roman" w:hAnsi="Times New Roman" w:cs="Times New Roman"/>
          <w:sz w:val="20"/>
          <w:szCs w:val="20"/>
          <w:vertAlign w:val="superscript"/>
        </w:rPr>
        <w:t>2</w:t>
      </w:r>
      <w:r w:rsidR="000A6640" w:rsidRPr="005F42AD">
        <w:rPr>
          <w:rFonts w:ascii="Times New Roman" w:hAnsi="Times New Roman" w:cs="Times New Roman"/>
          <w:sz w:val="24"/>
          <w:szCs w:val="24"/>
        </w:rPr>
        <w:t xml:space="preserve"> </w:t>
      </w:r>
      <w:r w:rsidRPr="005F42AD">
        <w:rPr>
          <w:rFonts w:ascii="Times New Roman" w:hAnsi="Times New Roman" w:cs="Times New Roman"/>
          <w:sz w:val="24"/>
          <w:szCs w:val="24"/>
        </w:rPr>
        <w:t>The final cluster included a mix of extremely marginal and less marginal seats many of which were around or just under the national average ‘</w:t>
      </w:r>
      <w:r w:rsidR="000A6640">
        <w:rPr>
          <w:rFonts w:ascii="Times New Roman" w:hAnsi="Times New Roman" w:cs="Times New Roman"/>
          <w:sz w:val="24"/>
          <w:szCs w:val="24"/>
        </w:rPr>
        <w:t>Remain</w:t>
      </w:r>
      <w:r w:rsidRPr="005F42AD">
        <w:rPr>
          <w:rFonts w:ascii="Times New Roman" w:hAnsi="Times New Roman" w:cs="Times New Roman"/>
          <w:sz w:val="24"/>
          <w:szCs w:val="24"/>
        </w:rPr>
        <w:t>’ vote but where the Liberal Democrats were between 12-18% behind the winning party in 2015. These were primarily Conservative</w:t>
      </w:r>
      <w:r w:rsidR="000A6640">
        <w:rPr>
          <w:rFonts w:ascii="Times New Roman" w:hAnsi="Times New Roman" w:cs="Times New Roman"/>
          <w:sz w:val="24"/>
          <w:szCs w:val="24"/>
        </w:rPr>
        <w:t>-</w:t>
      </w:r>
      <w:r w:rsidRPr="005F42AD">
        <w:rPr>
          <w:rFonts w:ascii="Times New Roman" w:hAnsi="Times New Roman" w:cs="Times New Roman"/>
          <w:sz w:val="24"/>
          <w:szCs w:val="24"/>
        </w:rPr>
        <w:t>held seats where the swing needed by the Liberal Democrats was possible if difficult to achieve. For success across this seat</w:t>
      </w:r>
      <w:r w:rsidR="001B269D">
        <w:rPr>
          <w:rFonts w:ascii="Times New Roman" w:hAnsi="Times New Roman" w:cs="Times New Roman"/>
          <w:sz w:val="24"/>
          <w:szCs w:val="24"/>
        </w:rPr>
        <w:t xml:space="preserve"> </w:t>
      </w:r>
      <w:r w:rsidRPr="005F42AD">
        <w:rPr>
          <w:rFonts w:ascii="Times New Roman" w:hAnsi="Times New Roman" w:cs="Times New Roman"/>
          <w:sz w:val="24"/>
          <w:szCs w:val="24"/>
        </w:rPr>
        <w:t>cluster, the Liberal Democrats needed to be the undisputed party of destination for the ‘</w:t>
      </w:r>
      <w:r w:rsidR="000A6640">
        <w:rPr>
          <w:rFonts w:ascii="Times New Roman" w:hAnsi="Times New Roman" w:cs="Times New Roman"/>
          <w:sz w:val="24"/>
          <w:szCs w:val="24"/>
        </w:rPr>
        <w:t>Remain</w:t>
      </w:r>
      <w:r w:rsidRPr="005F42AD">
        <w:rPr>
          <w:rFonts w:ascii="Times New Roman" w:hAnsi="Times New Roman" w:cs="Times New Roman"/>
          <w:sz w:val="24"/>
          <w:szCs w:val="24"/>
        </w:rPr>
        <w:t xml:space="preserve">’ vote and still rely on some ‘Leave’ voters either not voting or voting for their chosen party for other reasons than ‘Brexit’. </w:t>
      </w:r>
    </w:p>
    <w:p w14:paraId="1AC59B0B" w14:textId="3FB57173" w:rsidR="00EF21F1" w:rsidRPr="00E07919" w:rsidRDefault="00EF21F1" w:rsidP="00915A80">
      <w:pPr>
        <w:spacing w:line="480" w:lineRule="auto"/>
        <w:jc w:val="both"/>
        <w:rPr>
          <w:rFonts w:ascii="Times New Roman" w:hAnsi="Times New Roman" w:cs="Times New Roman"/>
          <w:sz w:val="24"/>
          <w:szCs w:val="24"/>
        </w:rPr>
      </w:pPr>
      <w:r w:rsidRPr="005F42AD">
        <w:rPr>
          <w:rFonts w:ascii="Times New Roman" w:hAnsi="Times New Roman" w:cs="Times New Roman"/>
          <w:sz w:val="24"/>
          <w:szCs w:val="24"/>
        </w:rPr>
        <w:t>In reality the 2015 electoral context had changed too much. UKIP was haemorrhaging support – and even candidates. Previous evidence suggested that UKIP</w:t>
      </w:r>
      <w:r w:rsidR="000A6640">
        <w:rPr>
          <w:rFonts w:ascii="Times New Roman" w:hAnsi="Times New Roman" w:cs="Times New Roman"/>
          <w:sz w:val="24"/>
          <w:szCs w:val="24"/>
        </w:rPr>
        <w:t>’</w:t>
      </w:r>
      <w:r w:rsidRPr="005F42AD">
        <w:rPr>
          <w:rFonts w:ascii="Times New Roman" w:hAnsi="Times New Roman" w:cs="Times New Roman"/>
          <w:sz w:val="24"/>
          <w:szCs w:val="24"/>
        </w:rPr>
        <w:t>s emergence had supressed Conservative support</w:t>
      </w:r>
      <w:r w:rsidR="000A6640">
        <w:rPr>
          <w:rFonts w:ascii="Times New Roman" w:hAnsi="Times New Roman" w:cs="Times New Roman"/>
          <w:sz w:val="24"/>
          <w:szCs w:val="24"/>
        </w:rPr>
        <w:t>,</w:t>
      </w:r>
      <w:r w:rsidRPr="005F42AD">
        <w:rPr>
          <w:rFonts w:ascii="Times New Roman" w:hAnsi="Times New Roman" w:cs="Times New Roman"/>
          <w:sz w:val="24"/>
          <w:szCs w:val="24"/>
        </w:rPr>
        <w:t xml:space="preserve"> with those who supported UKIP in recent elections overwhelmingly from those who voted Conservative in 2010 (Evans and Mellon, 2016</w:t>
      </w:r>
      <w:r w:rsidRPr="00EE5A5B">
        <w:rPr>
          <w:rFonts w:ascii="Times New Roman" w:hAnsi="Times New Roman" w:cs="Times New Roman"/>
          <w:sz w:val="24"/>
          <w:szCs w:val="24"/>
        </w:rPr>
        <w:t xml:space="preserve">). Further evidence from wave 10 of the British Election Study panel suggested that just over 70% of those who had already switched from UKIP had gone </w:t>
      </w:r>
      <w:r w:rsidRPr="00EE5A5B">
        <w:rPr>
          <w:rFonts w:ascii="Times New Roman" w:hAnsi="Times New Roman" w:cs="Times New Roman"/>
          <w:sz w:val="24"/>
          <w:szCs w:val="24"/>
        </w:rPr>
        <w:lastRenderedPageBreak/>
        <w:t>to the Conservatives, while a quarter of supposed UKIP loyalists actually had a high probability of supporting the Conservatives on polling day (Cutts and Goodwin, 2017b</w:t>
      </w:r>
      <w:r w:rsidRPr="005F42AD">
        <w:rPr>
          <w:rFonts w:ascii="Times New Roman" w:hAnsi="Times New Roman" w:cs="Times New Roman"/>
          <w:sz w:val="24"/>
          <w:szCs w:val="24"/>
        </w:rPr>
        <w:t>). UKIP defections were highest in seats where the Conservatives</w:t>
      </w:r>
      <w:r w:rsidR="001B269D">
        <w:rPr>
          <w:rFonts w:ascii="Times New Roman" w:hAnsi="Times New Roman" w:cs="Times New Roman"/>
          <w:sz w:val="24"/>
          <w:szCs w:val="24"/>
        </w:rPr>
        <w:t>’</w:t>
      </w:r>
      <w:r w:rsidRPr="005F42AD">
        <w:rPr>
          <w:rFonts w:ascii="Times New Roman" w:hAnsi="Times New Roman" w:cs="Times New Roman"/>
          <w:sz w:val="24"/>
          <w:szCs w:val="24"/>
        </w:rPr>
        <w:t xml:space="preserve"> main challengers were the Liberal Democrats</w:t>
      </w:r>
      <w:r w:rsidR="001B269D">
        <w:rPr>
          <w:rFonts w:ascii="Times New Roman" w:hAnsi="Times New Roman" w:cs="Times New Roman"/>
          <w:sz w:val="24"/>
          <w:szCs w:val="24"/>
        </w:rPr>
        <w:t>,</w:t>
      </w:r>
      <w:r w:rsidRPr="005F42AD">
        <w:rPr>
          <w:rFonts w:ascii="Times New Roman" w:hAnsi="Times New Roman" w:cs="Times New Roman"/>
          <w:sz w:val="24"/>
          <w:szCs w:val="24"/>
        </w:rPr>
        <w:t xml:space="preserve"> particularly across </w:t>
      </w:r>
      <w:r w:rsidR="001B269D">
        <w:rPr>
          <w:rFonts w:ascii="Times New Roman" w:hAnsi="Times New Roman" w:cs="Times New Roman"/>
          <w:sz w:val="24"/>
          <w:szCs w:val="24"/>
        </w:rPr>
        <w:t xml:space="preserve">their </w:t>
      </w:r>
      <w:r w:rsidRPr="005F42AD">
        <w:rPr>
          <w:rFonts w:ascii="Times New Roman" w:hAnsi="Times New Roman" w:cs="Times New Roman"/>
          <w:sz w:val="24"/>
          <w:szCs w:val="24"/>
        </w:rPr>
        <w:t>traditional heartlands in the south</w:t>
      </w:r>
      <w:r w:rsidR="001B269D">
        <w:rPr>
          <w:rFonts w:ascii="Times New Roman" w:hAnsi="Times New Roman" w:cs="Times New Roman"/>
          <w:sz w:val="24"/>
          <w:szCs w:val="24"/>
        </w:rPr>
        <w:t>-</w:t>
      </w:r>
      <w:r w:rsidRPr="005F42AD">
        <w:rPr>
          <w:rFonts w:ascii="Times New Roman" w:hAnsi="Times New Roman" w:cs="Times New Roman"/>
          <w:sz w:val="24"/>
          <w:szCs w:val="24"/>
        </w:rPr>
        <w:t>west of England. In fact in 2015, UKIP secured more than 10% of the vote in all but one Conservative-Liberal Democrat battleground seat that polled a lower ‘</w:t>
      </w:r>
      <w:r w:rsidR="000A6640">
        <w:rPr>
          <w:rFonts w:ascii="Times New Roman" w:hAnsi="Times New Roman" w:cs="Times New Roman"/>
          <w:sz w:val="24"/>
          <w:szCs w:val="24"/>
        </w:rPr>
        <w:t>Remain</w:t>
      </w:r>
      <w:r w:rsidRPr="005F42AD">
        <w:rPr>
          <w:rFonts w:ascii="Times New Roman" w:hAnsi="Times New Roman" w:cs="Times New Roman"/>
          <w:sz w:val="24"/>
          <w:szCs w:val="24"/>
        </w:rPr>
        <w:t>’ vote than average, and in 15 of the 16 south-west seats with a higher than average ‘Leave’ vote. With the Conservatives actively tempting UKIP supporters through a ‘hard Brexit’ message, there was an effective ‘blue wall’ of Conservative support that would resist Liberal Democrat challenge and even threaten a number of incumbent Liberal Democrat MPs (Cutts and Goodwin, 2017a</w:t>
      </w:r>
      <w:r w:rsidRPr="00E07919">
        <w:rPr>
          <w:rFonts w:ascii="Times New Roman" w:hAnsi="Times New Roman" w:cs="Times New Roman"/>
          <w:sz w:val="24"/>
          <w:szCs w:val="24"/>
        </w:rPr>
        <w:t xml:space="preserve">). </w:t>
      </w:r>
    </w:p>
    <w:p w14:paraId="29D9BB48" w14:textId="4E04EA54" w:rsidR="00EF21F1" w:rsidRPr="008C2518" w:rsidRDefault="00EF21F1" w:rsidP="00915A80">
      <w:pPr>
        <w:spacing w:line="480" w:lineRule="auto"/>
        <w:jc w:val="both"/>
        <w:rPr>
          <w:rFonts w:ascii="Times New Roman" w:hAnsi="Times New Roman" w:cs="Times New Roman"/>
          <w:sz w:val="24"/>
          <w:szCs w:val="24"/>
        </w:rPr>
      </w:pPr>
      <w:r w:rsidRPr="00E07919">
        <w:rPr>
          <w:rFonts w:ascii="Times New Roman" w:hAnsi="Times New Roman" w:cs="Times New Roman"/>
          <w:sz w:val="24"/>
          <w:szCs w:val="24"/>
        </w:rPr>
        <w:t>Moreover, pre-election polling data revealed that ‘</w:t>
      </w:r>
      <w:r w:rsidR="000A6640">
        <w:rPr>
          <w:rFonts w:ascii="Times New Roman" w:hAnsi="Times New Roman" w:cs="Times New Roman"/>
          <w:sz w:val="24"/>
          <w:szCs w:val="24"/>
        </w:rPr>
        <w:t>Remain</w:t>
      </w:r>
      <w:r w:rsidRPr="008C2518">
        <w:rPr>
          <w:rFonts w:ascii="Times New Roman" w:hAnsi="Times New Roman" w:cs="Times New Roman"/>
          <w:sz w:val="24"/>
          <w:szCs w:val="24"/>
        </w:rPr>
        <w:t>ers’ were becoming increasingly fractured. A majority believed that the government had a duty to carry out the vote to leave the EU rather than ignoring the result of the referendum. While roughly a quarter supported the Liberal Democrats</w:t>
      </w:r>
      <w:r w:rsidR="00500108">
        <w:rPr>
          <w:rFonts w:ascii="Times New Roman" w:hAnsi="Times New Roman" w:cs="Times New Roman"/>
          <w:sz w:val="24"/>
          <w:szCs w:val="24"/>
        </w:rPr>
        <w:t>’</w:t>
      </w:r>
      <w:r w:rsidRPr="008C2518">
        <w:rPr>
          <w:rFonts w:ascii="Times New Roman" w:hAnsi="Times New Roman" w:cs="Times New Roman"/>
          <w:sz w:val="24"/>
          <w:szCs w:val="24"/>
        </w:rPr>
        <w:t xml:space="preserve"> position of a second referendum once Brexit negotiations had been completed, fewer than half </w:t>
      </w:r>
      <w:r w:rsidR="00500108">
        <w:rPr>
          <w:rFonts w:ascii="Times New Roman" w:hAnsi="Times New Roman" w:cs="Times New Roman"/>
          <w:sz w:val="24"/>
          <w:szCs w:val="24"/>
        </w:rPr>
        <w:t xml:space="preserve">of </w:t>
      </w:r>
      <w:r w:rsidRPr="008C2518">
        <w:rPr>
          <w:rFonts w:ascii="Times New Roman" w:hAnsi="Times New Roman" w:cs="Times New Roman"/>
          <w:sz w:val="24"/>
          <w:szCs w:val="24"/>
        </w:rPr>
        <w:t>‘</w:t>
      </w:r>
      <w:r w:rsidR="000A6640">
        <w:rPr>
          <w:rFonts w:ascii="Times New Roman" w:hAnsi="Times New Roman" w:cs="Times New Roman"/>
          <w:sz w:val="24"/>
          <w:szCs w:val="24"/>
        </w:rPr>
        <w:t>Remain</w:t>
      </w:r>
      <w:r w:rsidRPr="008C2518">
        <w:rPr>
          <w:rFonts w:ascii="Times New Roman" w:hAnsi="Times New Roman" w:cs="Times New Roman"/>
          <w:sz w:val="24"/>
          <w:szCs w:val="24"/>
        </w:rPr>
        <w:t>ers’ supported it</w:t>
      </w:r>
      <w:r w:rsidR="00500108">
        <w:rPr>
          <w:rFonts w:ascii="Times New Roman" w:hAnsi="Times New Roman" w:cs="Times New Roman"/>
          <w:sz w:val="24"/>
          <w:szCs w:val="24"/>
        </w:rPr>
        <w:t>,</w:t>
      </w:r>
      <w:r w:rsidRPr="008C2518">
        <w:rPr>
          <w:rFonts w:ascii="Times New Roman" w:hAnsi="Times New Roman" w:cs="Times New Roman"/>
          <w:sz w:val="24"/>
          <w:szCs w:val="24"/>
        </w:rPr>
        <w:t xml:space="preserve"> while more than three quarters of ‘Leavers’ opposed it (</w:t>
      </w:r>
      <w:r w:rsidR="001A46D5">
        <w:rPr>
          <w:rFonts w:ascii="Times New Roman" w:hAnsi="Times New Roman" w:cs="Times New Roman"/>
          <w:sz w:val="24"/>
          <w:szCs w:val="24"/>
        </w:rPr>
        <w:t xml:space="preserve">Wells, </w:t>
      </w:r>
      <w:r w:rsidRPr="008C2518">
        <w:rPr>
          <w:rFonts w:ascii="Times New Roman" w:hAnsi="Times New Roman" w:cs="Times New Roman"/>
          <w:sz w:val="24"/>
          <w:szCs w:val="24"/>
        </w:rPr>
        <w:t>2017). Evidence from the British Election Study (wave 10) found few Conservative pro-Europeans or ‘</w:t>
      </w:r>
      <w:r w:rsidR="000A6640">
        <w:rPr>
          <w:rFonts w:ascii="Times New Roman" w:hAnsi="Times New Roman" w:cs="Times New Roman"/>
          <w:sz w:val="24"/>
          <w:szCs w:val="24"/>
        </w:rPr>
        <w:t>Remain</w:t>
      </w:r>
      <w:r w:rsidRPr="008C2518">
        <w:rPr>
          <w:rFonts w:ascii="Times New Roman" w:hAnsi="Times New Roman" w:cs="Times New Roman"/>
          <w:sz w:val="24"/>
          <w:szCs w:val="24"/>
        </w:rPr>
        <w:t>’ voters willing to abandon the Conservatives in favour of the Liberal Democrats</w:t>
      </w:r>
      <w:r w:rsidR="002402A7">
        <w:rPr>
          <w:rFonts w:ascii="Times New Roman" w:hAnsi="Times New Roman" w:cs="Times New Roman"/>
          <w:sz w:val="24"/>
          <w:szCs w:val="24"/>
        </w:rPr>
        <w:t xml:space="preserve"> (Fieldhouse et al, 2016)</w:t>
      </w:r>
      <w:r w:rsidRPr="008C2518">
        <w:rPr>
          <w:rFonts w:ascii="Times New Roman" w:hAnsi="Times New Roman" w:cs="Times New Roman"/>
          <w:sz w:val="24"/>
          <w:szCs w:val="24"/>
        </w:rPr>
        <w:t xml:space="preserve">. The Liberal Democrats seemingly faced the </w:t>
      </w:r>
      <w:r w:rsidR="00B21052">
        <w:rPr>
          <w:rFonts w:ascii="Times New Roman" w:hAnsi="Times New Roman" w:cs="Times New Roman"/>
          <w:sz w:val="24"/>
          <w:szCs w:val="24"/>
        </w:rPr>
        <w:t>twin</w:t>
      </w:r>
      <w:r w:rsidRPr="008C2518">
        <w:rPr>
          <w:rFonts w:ascii="Times New Roman" w:hAnsi="Times New Roman" w:cs="Times New Roman"/>
          <w:sz w:val="24"/>
          <w:szCs w:val="24"/>
        </w:rPr>
        <w:t xml:space="preserve"> problem of an impenetrable Conservative ‘Leave’ vote reinforced by ex-UKIP voters who saw the Conservatives as the best vehicle to deliver Brexit, and a soft ‘</w:t>
      </w:r>
      <w:r w:rsidR="000A6640">
        <w:rPr>
          <w:rFonts w:ascii="Times New Roman" w:hAnsi="Times New Roman" w:cs="Times New Roman"/>
          <w:sz w:val="24"/>
          <w:szCs w:val="24"/>
        </w:rPr>
        <w:t>Remain</w:t>
      </w:r>
      <w:r w:rsidRPr="008C2518">
        <w:rPr>
          <w:rFonts w:ascii="Times New Roman" w:hAnsi="Times New Roman" w:cs="Times New Roman"/>
          <w:sz w:val="24"/>
          <w:szCs w:val="24"/>
        </w:rPr>
        <w:t xml:space="preserve">’ vote, a majority of whom accepted the outcome of the referendum, simply unwilling to leave the Conservative fold. </w:t>
      </w:r>
    </w:p>
    <w:p w14:paraId="20F27B2C" w14:textId="1B443ED7" w:rsidR="00EF21F1" w:rsidRPr="008C2518" w:rsidRDefault="00EF21F1" w:rsidP="00915A80">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lastRenderedPageBreak/>
        <w:t xml:space="preserve">The May 2017 local elections provided some context </w:t>
      </w:r>
      <w:r w:rsidR="00500108">
        <w:rPr>
          <w:rFonts w:ascii="Times New Roman" w:hAnsi="Times New Roman" w:cs="Times New Roman"/>
          <w:sz w:val="24"/>
          <w:szCs w:val="24"/>
        </w:rPr>
        <w:t xml:space="preserve">for </w:t>
      </w:r>
      <w:r w:rsidRPr="008C2518">
        <w:rPr>
          <w:rFonts w:ascii="Times New Roman" w:hAnsi="Times New Roman" w:cs="Times New Roman"/>
          <w:sz w:val="24"/>
          <w:szCs w:val="24"/>
        </w:rPr>
        <w:t>the Liberal Democrat challenge. Despite a four point increase in their vote compared to 2013, the Liberal Democrats</w:t>
      </w:r>
      <w:r w:rsidR="00500108">
        <w:rPr>
          <w:rFonts w:ascii="Times New Roman" w:hAnsi="Times New Roman" w:cs="Times New Roman"/>
          <w:sz w:val="24"/>
          <w:szCs w:val="24"/>
        </w:rPr>
        <w:t>’</w:t>
      </w:r>
      <w:r w:rsidRPr="008C2518">
        <w:rPr>
          <w:rFonts w:ascii="Times New Roman" w:hAnsi="Times New Roman" w:cs="Times New Roman"/>
          <w:sz w:val="24"/>
          <w:szCs w:val="24"/>
        </w:rPr>
        <w:t xml:space="preserve"> national share (18%) was still well below </w:t>
      </w:r>
      <w:r w:rsidR="00500108">
        <w:rPr>
          <w:rFonts w:ascii="Times New Roman" w:hAnsi="Times New Roman" w:cs="Times New Roman"/>
          <w:sz w:val="24"/>
          <w:szCs w:val="24"/>
        </w:rPr>
        <w:t xml:space="preserve">their </w:t>
      </w:r>
      <w:r w:rsidRPr="008C2518">
        <w:rPr>
          <w:rFonts w:ascii="Times New Roman" w:hAnsi="Times New Roman" w:cs="Times New Roman"/>
          <w:sz w:val="24"/>
          <w:szCs w:val="24"/>
        </w:rPr>
        <w:t>pre-coalition performances in local council elections. There was a small ‘Brexit’ bonus with the party polling three percentage points higher on average in those wards with the highest ‘</w:t>
      </w:r>
      <w:r w:rsidR="000A6640">
        <w:rPr>
          <w:rFonts w:ascii="Times New Roman" w:hAnsi="Times New Roman" w:cs="Times New Roman"/>
          <w:sz w:val="24"/>
          <w:szCs w:val="24"/>
        </w:rPr>
        <w:t>Remain</w:t>
      </w:r>
      <w:r w:rsidRPr="008C2518">
        <w:rPr>
          <w:rFonts w:ascii="Times New Roman" w:hAnsi="Times New Roman" w:cs="Times New Roman"/>
          <w:sz w:val="24"/>
          <w:szCs w:val="24"/>
        </w:rPr>
        <w:t xml:space="preserve">’ vote and there were signs that highly targeted campaigns in previous strongholds or areas which contained an above average </w:t>
      </w:r>
      <w:r w:rsidR="000A6640">
        <w:rPr>
          <w:rFonts w:ascii="Times New Roman" w:hAnsi="Times New Roman" w:cs="Times New Roman"/>
          <w:sz w:val="24"/>
          <w:szCs w:val="24"/>
        </w:rPr>
        <w:t>Remain</w:t>
      </w:r>
      <w:r w:rsidRPr="008C2518">
        <w:rPr>
          <w:rFonts w:ascii="Times New Roman" w:hAnsi="Times New Roman" w:cs="Times New Roman"/>
          <w:sz w:val="24"/>
          <w:szCs w:val="24"/>
        </w:rPr>
        <w:t xml:space="preserve"> vote could result in the Liberal Democrats increasing support. However this did not translate into seats. While their national vote share increased, the party recorded a net loss of 40 councillors. The ‘Blue wall’ of support in </w:t>
      </w:r>
      <w:r w:rsidR="00500108">
        <w:rPr>
          <w:rFonts w:ascii="Times New Roman" w:hAnsi="Times New Roman" w:cs="Times New Roman"/>
          <w:sz w:val="24"/>
          <w:szCs w:val="24"/>
        </w:rPr>
        <w:t xml:space="preserve">Liberal Democrat versus Conservative </w:t>
      </w:r>
      <w:r w:rsidRPr="008C2518">
        <w:rPr>
          <w:rFonts w:ascii="Times New Roman" w:hAnsi="Times New Roman" w:cs="Times New Roman"/>
          <w:sz w:val="24"/>
          <w:szCs w:val="24"/>
        </w:rPr>
        <w:t xml:space="preserve">seats posed a serious threat to Liberal Democrat prospects. The task of </w:t>
      </w:r>
      <w:r w:rsidR="00F06B7B">
        <w:rPr>
          <w:rFonts w:ascii="Times New Roman" w:hAnsi="Times New Roman" w:cs="Times New Roman"/>
          <w:sz w:val="24"/>
          <w:szCs w:val="24"/>
        </w:rPr>
        <w:t xml:space="preserve">a </w:t>
      </w:r>
      <w:r w:rsidRPr="008C2518">
        <w:rPr>
          <w:rFonts w:ascii="Times New Roman" w:hAnsi="Times New Roman" w:cs="Times New Roman"/>
          <w:sz w:val="24"/>
          <w:szCs w:val="24"/>
        </w:rPr>
        <w:t xml:space="preserve">revival in old Liberal strongholds looked particularly bleak with large parts of Cornwall, Devon and Somerset impenetrable. </w:t>
      </w:r>
    </w:p>
    <w:p w14:paraId="116BFB70" w14:textId="1DB416A9" w:rsidR="00EF21F1" w:rsidRPr="008C2518" w:rsidRDefault="00EF21F1" w:rsidP="00915A80">
      <w:pPr>
        <w:spacing w:line="480" w:lineRule="auto"/>
        <w:jc w:val="both"/>
        <w:rPr>
          <w:rFonts w:ascii="Times New Roman" w:hAnsi="Times New Roman" w:cs="Times New Roman"/>
          <w:sz w:val="24"/>
          <w:szCs w:val="24"/>
        </w:rPr>
      </w:pPr>
      <w:r w:rsidRPr="008C2518">
        <w:rPr>
          <w:rFonts w:ascii="Times New Roman" w:hAnsi="Times New Roman" w:cs="Times New Roman"/>
          <w:b/>
          <w:sz w:val="24"/>
          <w:szCs w:val="24"/>
        </w:rPr>
        <w:t>The electoral outcome</w:t>
      </w:r>
    </w:p>
    <w:p w14:paraId="7699B0DB" w14:textId="20D60D0A" w:rsidR="00EF21F1" w:rsidRPr="008C2518" w:rsidRDefault="00EF21F1" w:rsidP="00915A80">
      <w:pPr>
        <w:spacing w:line="480" w:lineRule="auto"/>
        <w:jc w:val="both"/>
        <w:rPr>
          <w:rFonts w:ascii="Times New Roman" w:hAnsi="Times New Roman" w:cs="Times New Roman"/>
          <w:sz w:val="24"/>
          <w:szCs w:val="24"/>
        </w:rPr>
      </w:pPr>
      <w:r w:rsidRPr="008C2518">
        <w:rPr>
          <w:rFonts w:ascii="Times New Roman" w:hAnsi="Times New Roman" w:cs="Times New Roman"/>
          <w:i/>
          <w:sz w:val="24"/>
          <w:szCs w:val="24"/>
        </w:rPr>
        <w:t>The results analysed</w:t>
      </w:r>
    </w:p>
    <w:p w14:paraId="0122B21B" w14:textId="22905C12" w:rsidR="00D01EFF" w:rsidRPr="002B7826" w:rsidRDefault="00EF21F1" w:rsidP="00915A80">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t xml:space="preserve">The 2017 general election represented a return to two party politics in Britain. The combined Conservative and Labour vote share was the highest recorded at any general election since 1970. Unsurprisingly, all the other United Kingdom parties lost support with UKIP, Greens and SNP losing the most ground. It was no different for the Liberal Democrats. </w:t>
      </w:r>
      <w:r w:rsidR="007F6B5D">
        <w:rPr>
          <w:rFonts w:ascii="Times New Roman" w:hAnsi="Times New Roman" w:cs="Times New Roman"/>
          <w:sz w:val="24"/>
          <w:szCs w:val="24"/>
        </w:rPr>
        <w:t>T</w:t>
      </w:r>
      <w:r w:rsidRPr="008C2518">
        <w:rPr>
          <w:rFonts w:ascii="Times New Roman" w:hAnsi="Times New Roman" w:cs="Times New Roman"/>
          <w:sz w:val="24"/>
          <w:szCs w:val="24"/>
        </w:rPr>
        <w:t>he party obtained 2.37 million votes</w:t>
      </w:r>
      <w:r w:rsidR="007F6B5D">
        <w:rPr>
          <w:rFonts w:ascii="Times New Roman" w:hAnsi="Times New Roman" w:cs="Times New Roman"/>
          <w:sz w:val="24"/>
          <w:szCs w:val="24"/>
        </w:rPr>
        <w:t>,</w:t>
      </w:r>
      <w:r w:rsidR="00E13CFD" w:rsidRPr="008C2518">
        <w:rPr>
          <w:rFonts w:ascii="Times New Roman" w:hAnsi="Times New Roman" w:cs="Times New Roman"/>
          <w:sz w:val="24"/>
          <w:szCs w:val="24"/>
        </w:rPr>
        <w:t xml:space="preserve"> </w:t>
      </w:r>
      <w:r w:rsidRPr="008C2518">
        <w:rPr>
          <w:rFonts w:ascii="Times New Roman" w:hAnsi="Times New Roman" w:cs="Times New Roman"/>
          <w:sz w:val="24"/>
          <w:szCs w:val="24"/>
        </w:rPr>
        <w:t xml:space="preserve">43,952 </w:t>
      </w:r>
      <w:r w:rsidR="00E13CFD" w:rsidRPr="008C2518">
        <w:rPr>
          <w:rFonts w:ascii="Times New Roman" w:hAnsi="Times New Roman" w:cs="Times New Roman"/>
          <w:sz w:val="24"/>
          <w:szCs w:val="24"/>
        </w:rPr>
        <w:t>fewer</w:t>
      </w:r>
      <w:r w:rsidRPr="008C2518">
        <w:rPr>
          <w:rFonts w:ascii="Times New Roman" w:hAnsi="Times New Roman" w:cs="Times New Roman"/>
          <w:sz w:val="24"/>
          <w:szCs w:val="24"/>
        </w:rPr>
        <w:t xml:space="preserve"> than in 2015 despite the increase in turnout. Liberal Democrat vote share declined by 0.5% to 7.4%, </w:t>
      </w:r>
      <w:r w:rsidR="00E13CFD" w:rsidRPr="008C2518">
        <w:rPr>
          <w:rFonts w:ascii="Times New Roman" w:hAnsi="Times New Roman" w:cs="Times New Roman"/>
          <w:sz w:val="24"/>
          <w:szCs w:val="24"/>
        </w:rPr>
        <w:t>the</w:t>
      </w:r>
      <w:r w:rsidRPr="008C2518">
        <w:rPr>
          <w:rFonts w:ascii="Times New Roman" w:hAnsi="Times New Roman" w:cs="Times New Roman"/>
          <w:sz w:val="24"/>
          <w:szCs w:val="24"/>
        </w:rPr>
        <w:t xml:space="preserve"> lowest level </w:t>
      </w:r>
      <w:r w:rsidR="00E13CFD" w:rsidRPr="008C2518">
        <w:rPr>
          <w:rFonts w:ascii="Times New Roman" w:hAnsi="Times New Roman" w:cs="Times New Roman"/>
          <w:sz w:val="24"/>
          <w:szCs w:val="24"/>
        </w:rPr>
        <w:t xml:space="preserve">for a ‘Liberal’ party </w:t>
      </w:r>
      <w:r w:rsidRPr="008C2518">
        <w:rPr>
          <w:rFonts w:ascii="Times New Roman" w:hAnsi="Times New Roman" w:cs="Times New Roman"/>
          <w:sz w:val="24"/>
          <w:szCs w:val="24"/>
        </w:rPr>
        <w:t xml:space="preserve">since 1959. </w:t>
      </w:r>
      <w:r w:rsidR="00E13CFD" w:rsidRPr="008C2518">
        <w:rPr>
          <w:rFonts w:ascii="Times New Roman" w:hAnsi="Times New Roman" w:cs="Times New Roman"/>
          <w:sz w:val="24"/>
          <w:szCs w:val="24"/>
        </w:rPr>
        <w:t xml:space="preserve"> Although </w:t>
      </w:r>
      <w:r w:rsidRPr="008C2518">
        <w:rPr>
          <w:rFonts w:ascii="Times New Roman" w:hAnsi="Times New Roman" w:cs="Times New Roman"/>
          <w:sz w:val="24"/>
          <w:szCs w:val="24"/>
        </w:rPr>
        <w:t xml:space="preserve">Liberal Democrat support </w:t>
      </w:r>
      <w:r w:rsidR="00E13CFD" w:rsidRPr="008C2518">
        <w:rPr>
          <w:rFonts w:ascii="Times New Roman" w:hAnsi="Times New Roman" w:cs="Times New Roman"/>
          <w:sz w:val="24"/>
          <w:szCs w:val="24"/>
        </w:rPr>
        <w:t>increased</w:t>
      </w:r>
      <w:r w:rsidRPr="008C2518">
        <w:rPr>
          <w:rFonts w:ascii="Times New Roman" w:hAnsi="Times New Roman" w:cs="Times New Roman"/>
          <w:sz w:val="24"/>
          <w:szCs w:val="24"/>
        </w:rPr>
        <w:t xml:space="preserve"> in around </w:t>
      </w:r>
      <w:r w:rsidR="00E13CFD" w:rsidRPr="008C2518">
        <w:rPr>
          <w:rFonts w:ascii="Times New Roman" w:hAnsi="Times New Roman" w:cs="Times New Roman"/>
          <w:sz w:val="24"/>
          <w:szCs w:val="24"/>
        </w:rPr>
        <w:t>one-</w:t>
      </w:r>
      <w:r w:rsidRPr="008C2518">
        <w:rPr>
          <w:rFonts w:ascii="Times New Roman" w:hAnsi="Times New Roman" w:cs="Times New Roman"/>
          <w:sz w:val="24"/>
          <w:szCs w:val="24"/>
        </w:rPr>
        <w:t>third of all constituencies</w:t>
      </w:r>
      <w:r w:rsidR="00E13CFD" w:rsidRPr="008C2518">
        <w:rPr>
          <w:rFonts w:ascii="Times New Roman" w:hAnsi="Times New Roman" w:cs="Times New Roman"/>
          <w:sz w:val="24"/>
          <w:szCs w:val="24"/>
        </w:rPr>
        <w:t>, t</w:t>
      </w:r>
      <w:r w:rsidRPr="008C2518">
        <w:rPr>
          <w:rFonts w:ascii="Times New Roman" w:hAnsi="Times New Roman" w:cs="Times New Roman"/>
          <w:sz w:val="24"/>
          <w:szCs w:val="24"/>
        </w:rPr>
        <w:t>he party fell well short of the eighteen seats targeted by Farron</w:t>
      </w:r>
      <w:r w:rsidR="00E13CFD" w:rsidRPr="008C2518">
        <w:rPr>
          <w:rFonts w:ascii="Times New Roman" w:hAnsi="Times New Roman" w:cs="Times New Roman"/>
          <w:sz w:val="24"/>
          <w:szCs w:val="24"/>
        </w:rPr>
        <w:t>. The party’s vote share dropped</w:t>
      </w:r>
      <w:r w:rsidRPr="008C2518">
        <w:rPr>
          <w:rFonts w:ascii="Times New Roman" w:hAnsi="Times New Roman" w:cs="Times New Roman"/>
          <w:sz w:val="24"/>
          <w:szCs w:val="24"/>
        </w:rPr>
        <w:t xml:space="preserve"> but a net gain of </w:t>
      </w:r>
      <w:r w:rsidRPr="008C2518">
        <w:rPr>
          <w:rFonts w:ascii="Times New Roman" w:hAnsi="Times New Roman" w:cs="Times New Roman"/>
          <w:sz w:val="24"/>
          <w:szCs w:val="24"/>
        </w:rPr>
        <w:lastRenderedPageBreak/>
        <w:t>four seats</w:t>
      </w:r>
      <w:r w:rsidR="00E13CFD" w:rsidRPr="008C2518">
        <w:rPr>
          <w:rFonts w:ascii="Times New Roman" w:hAnsi="Times New Roman" w:cs="Times New Roman"/>
          <w:sz w:val="24"/>
          <w:szCs w:val="24"/>
        </w:rPr>
        <w:t xml:space="preserve"> from 2015</w:t>
      </w:r>
      <w:r w:rsidR="007F6B5D">
        <w:rPr>
          <w:rFonts w:ascii="Times New Roman" w:hAnsi="Times New Roman" w:cs="Times New Roman"/>
          <w:sz w:val="24"/>
          <w:szCs w:val="24"/>
        </w:rPr>
        <w:t xml:space="preserve"> was achieved</w:t>
      </w:r>
      <w:r w:rsidRPr="002B7826">
        <w:rPr>
          <w:rFonts w:ascii="Times New Roman" w:hAnsi="Times New Roman" w:cs="Times New Roman"/>
          <w:sz w:val="24"/>
          <w:szCs w:val="24"/>
        </w:rPr>
        <w:t xml:space="preserve">, increasing their numbers in Westminster to twelve. </w:t>
      </w:r>
    </w:p>
    <w:p w14:paraId="2B1762B1" w14:textId="25B0FA79" w:rsidR="00D01EFF"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Thanks large</w:t>
      </w:r>
      <w:r w:rsidR="00D01EFF" w:rsidRPr="002B7826">
        <w:rPr>
          <w:rFonts w:ascii="Times New Roman" w:hAnsi="Times New Roman" w:cs="Times New Roman"/>
          <w:sz w:val="24"/>
          <w:szCs w:val="24"/>
        </w:rPr>
        <w:t>ly</w:t>
      </w:r>
      <w:r w:rsidRPr="002B7826">
        <w:rPr>
          <w:rFonts w:ascii="Times New Roman" w:hAnsi="Times New Roman" w:cs="Times New Roman"/>
          <w:sz w:val="24"/>
          <w:szCs w:val="24"/>
        </w:rPr>
        <w:t xml:space="preserve"> to </w:t>
      </w:r>
      <w:r w:rsidR="00D01EFF" w:rsidRPr="002B7826">
        <w:rPr>
          <w:rFonts w:ascii="Times New Roman" w:hAnsi="Times New Roman" w:cs="Times New Roman"/>
          <w:sz w:val="24"/>
          <w:szCs w:val="24"/>
        </w:rPr>
        <w:t>effective targeting strategies</w:t>
      </w:r>
      <w:r w:rsidRPr="002B7826">
        <w:rPr>
          <w:rFonts w:ascii="Times New Roman" w:hAnsi="Times New Roman" w:cs="Times New Roman"/>
          <w:sz w:val="24"/>
          <w:szCs w:val="24"/>
        </w:rPr>
        <w:t>, the Liberal Democrats actually gained five seats – Bath, Eastbourne, Kingston and Surbiton, Oxford West and Abingdon and Twickenham – from the Conservatives and three – Caithness, Sutherland and Easter Ross, East Dunbartonshire, and Edinburgh West - from the SNP. However, Southport</w:t>
      </w:r>
      <w:r w:rsidR="00167F0B">
        <w:rPr>
          <w:rFonts w:ascii="Times New Roman" w:hAnsi="Times New Roman" w:cs="Times New Roman"/>
          <w:sz w:val="24"/>
          <w:szCs w:val="24"/>
        </w:rPr>
        <w:t>,</w:t>
      </w:r>
      <w:r w:rsidRPr="002B7826">
        <w:rPr>
          <w:rFonts w:ascii="Times New Roman" w:hAnsi="Times New Roman" w:cs="Times New Roman"/>
          <w:sz w:val="24"/>
          <w:szCs w:val="24"/>
        </w:rPr>
        <w:t xml:space="preserve"> where incumbent John Pugh had stood down</w:t>
      </w:r>
      <w:r w:rsidR="00167F0B">
        <w:rPr>
          <w:rFonts w:ascii="Times New Roman" w:hAnsi="Times New Roman" w:cs="Times New Roman"/>
          <w:sz w:val="24"/>
          <w:szCs w:val="24"/>
        </w:rPr>
        <w:t>,</w:t>
      </w:r>
      <w:r w:rsidRPr="002B7826">
        <w:rPr>
          <w:rFonts w:ascii="Times New Roman" w:hAnsi="Times New Roman" w:cs="Times New Roman"/>
          <w:sz w:val="24"/>
          <w:szCs w:val="24"/>
        </w:rPr>
        <w:t xml:space="preserve"> </w:t>
      </w:r>
      <w:r w:rsidR="00D01EFF" w:rsidRPr="002B7826">
        <w:rPr>
          <w:rFonts w:ascii="Times New Roman" w:hAnsi="Times New Roman" w:cs="Times New Roman"/>
          <w:sz w:val="24"/>
          <w:szCs w:val="24"/>
        </w:rPr>
        <w:t>was lost</w:t>
      </w:r>
      <w:r w:rsidR="00167F0B">
        <w:rPr>
          <w:rFonts w:ascii="Times New Roman" w:hAnsi="Times New Roman" w:cs="Times New Roman"/>
          <w:sz w:val="24"/>
          <w:szCs w:val="24"/>
        </w:rPr>
        <w:t xml:space="preserve"> to the Conservatives</w:t>
      </w:r>
      <w:r w:rsidR="00D01EFF" w:rsidRPr="002B7826">
        <w:rPr>
          <w:rFonts w:ascii="Times New Roman" w:hAnsi="Times New Roman" w:cs="Times New Roman"/>
          <w:sz w:val="24"/>
          <w:szCs w:val="24"/>
        </w:rPr>
        <w:t xml:space="preserve"> </w:t>
      </w:r>
      <w:r w:rsidRPr="002B7826">
        <w:rPr>
          <w:rFonts w:ascii="Times New Roman" w:hAnsi="Times New Roman" w:cs="Times New Roman"/>
          <w:sz w:val="24"/>
          <w:szCs w:val="24"/>
        </w:rPr>
        <w:t xml:space="preserve">and </w:t>
      </w:r>
      <w:r w:rsidR="00D01EFF" w:rsidRPr="002B7826">
        <w:rPr>
          <w:rFonts w:ascii="Times New Roman" w:hAnsi="Times New Roman" w:cs="Times New Roman"/>
          <w:sz w:val="24"/>
          <w:szCs w:val="24"/>
        </w:rPr>
        <w:t xml:space="preserve">by-election victor, Sarah Olney </w:t>
      </w:r>
      <w:r w:rsidRPr="002B7826">
        <w:rPr>
          <w:rFonts w:ascii="Times New Roman" w:hAnsi="Times New Roman" w:cs="Times New Roman"/>
          <w:sz w:val="24"/>
          <w:szCs w:val="24"/>
        </w:rPr>
        <w:t>narrowly fell short in Richmond Park</w:t>
      </w:r>
      <w:r w:rsidR="00167F0B">
        <w:rPr>
          <w:rFonts w:ascii="Times New Roman" w:hAnsi="Times New Roman" w:cs="Times New Roman"/>
          <w:sz w:val="24"/>
          <w:szCs w:val="24"/>
        </w:rPr>
        <w:t>, also</w:t>
      </w:r>
      <w:r w:rsidRPr="002B7826">
        <w:rPr>
          <w:rFonts w:ascii="Times New Roman" w:hAnsi="Times New Roman" w:cs="Times New Roman"/>
          <w:sz w:val="24"/>
          <w:szCs w:val="24"/>
        </w:rPr>
        <w:t xml:space="preserve"> against the Conservatives</w:t>
      </w:r>
      <w:r w:rsidR="00D01EFF" w:rsidRPr="002B7826">
        <w:rPr>
          <w:rFonts w:ascii="Times New Roman" w:hAnsi="Times New Roman" w:cs="Times New Roman"/>
          <w:sz w:val="24"/>
          <w:szCs w:val="24"/>
        </w:rPr>
        <w:t>. Mean</w:t>
      </w:r>
      <w:r w:rsidRPr="002B7826">
        <w:rPr>
          <w:rFonts w:ascii="Times New Roman" w:hAnsi="Times New Roman" w:cs="Times New Roman"/>
          <w:sz w:val="24"/>
          <w:szCs w:val="24"/>
        </w:rPr>
        <w:t xml:space="preserve">while Greg Mulholland (Leeds North West) and former leader Nick Clegg (Sheffield Hallam) </w:t>
      </w:r>
      <w:r w:rsidR="00D01EFF" w:rsidRPr="002B7826">
        <w:rPr>
          <w:rFonts w:ascii="Times New Roman" w:hAnsi="Times New Roman" w:cs="Times New Roman"/>
          <w:sz w:val="24"/>
          <w:szCs w:val="24"/>
        </w:rPr>
        <w:t xml:space="preserve">both </w:t>
      </w:r>
      <w:r w:rsidRPr="002B7826">
        <w:rPr>
          <w:rFonts w:ascii="Times New Roman" w:hAnsi="Times New Roman" w:cs="Times New Roman"/>
          <w:sz w:val="24"/>
          <w:szCs w:val="24"/>
        </w:rPr>
        <w:t xml:space="preserve">lost their seats to Labour. The Liberal Democrats were also wiped out in Wales where incumbent Mark Williams lost Ceredigion to Plaid Cymru. </w:t>
      </w:r>
    </w:p>
    <w:p w14:paraId="3B31F293" w14:textId="5F5EC3E6" w:rsidR="00EF21F1"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 xml:space="preserve">Closer inspection of the results suggests that the Liberal Democrats </w:t>
      </w:r>
      <w:r w:rsidR="00167F0B">
        <w:rPr>
          <w:rFonts w:ascii="Times New Roman" w:hAnsi="Times New Roman" w:cs="Times New Roman"/>
          <w:sz w:val="24"/>
          <w:szCs w:val="24"/>
        </w:rPr>
        <w:t xml:space="preserve">came close to faring significantly better. </w:t>
      </w:r>
      <w:r w:rsidR="00D01EFF" w:rsidRPr="002B7826">
        <w:rPr>
          <w:rFonts w:ascii="Times New Roman" w:hAnsi="Times New Roman" w:cs="Times New Roman"/>
          <w:sz w:val="24"/>
          <w:szCs w:val="24"/>
        </w:rPr>
        <w:t xml:space="preserve">Four seats </w:t>
      </w:r>
      <w:r w:rsidRPr="002B7826">
        <w:rPr>
          <w:rFonts w:ascii="Times New Roman" w:hAnsi="Times New Roman" w:cs="Times New Roman"/>
          <w:sz w:val="24"/>
          <w:szCs w:val="24"/>
        </w:rPr>
        <w:t xml:space="preserve">– Ceredigion, Fife North East, Richmond Park and St Ives – </w:t>
      </w:r>
      <w:r w:rsidR="00167F0B">
        <w:rPr>
          <w:rFonts w:ascii="Times New Roman" w:hAnsi="Times New Roman" w:cs="Times New Roman"/>
          <w:sz w:val="24"/>
          <w:szCs w:val="24"/>
        </w:rPr>
        <w:t xml:space="preserve">were missed by </w:t>
      </w:r>
      <w:r w:rsidR="00D01EFF" w:rsidRPr="002B7826">
        <w:rPr>
          <w:rFonts w:ascii="Times New Roman" w:hAnsi="Times New Roman" w:cs="Times New Roman"/>
          <w:sz w:val="24"/>
          <w:szCs w:val="24"/>
        </w:rPr>
        <w:t>wafer thin majorities (although</w:t>
      </w:r>
      <w:r w:rsidRPr="002B7826">
        <w:rPr>
          <w:rFonts w:ascii="Times New Roman" w:hAnsi="Times New Roman" w:cs="Times New Roman"/>
          <w:sz w:val="24"/>
          <w:szCs w:val="24"/>
        </w:rPr>
        <w:t xml:space="preserve"> victories in Westmoreland and Lonsdale and Oxford West and Abingdon </w:t>
      </w:r>
      <w:r w:rsidR="00D01EFF" w:rsidRPr="002B7826">
        <w:rPr>
          <w:rFonts w:ascii="Times New Roman" w:hAnsi="Times New Roman" w:cs="Times New Roman"/>
          <w:sz w:val="24"/>
          <w:szCs w:val="24"/>
        </w:rPr>
        <w:t>were also very tight)</w:t>
      </w:r>
      <w:r w:rsidRPr="002B7826">
        <w:rPr>
          <w:rFonts w:ascii="Times New Roman" w:hAnsi="Times New Roman" w:cs="Times New Roman"/>
          <w:sz w:val="24"/>
          <w:szCs w:val="24"/>
        </w:rPr>
        <w:t xml:space="preserve">. Despite </w:t>
      </w:r>
      <w:r w:rsidR="00D01EFF" w:rsidRPr="002B7826">
        <w:rPr>
          <w:rFonts w:ascii="Times New Roman" w:hAnsi="Times New Roman" w:cs="Times New Roman"/>
          <w:sz w:val="24"/>
          <w:szCs w:val="24"/>
        </w:rPr>
        <w:t>a</w:t>
      </w:r>
      <w:r w:rsidRPr="002B7826">
        <w:rPr>
          <w:rFonts w:ascii="Times New Roman" w:hAnsi="Times New Roman" w:cs="Times New Roman"/>
          <w:sz w:val="24"/>
          <w:szCs w:val="24"/>
        </w:rPr>
        <w:t xml:space="preserve"> low overall share, the party polled more than 30% of the vote in </w:t>
      </w:r>
      <w:r w:rsidR="00167F0B">
        <w:rPr>
          <w:rFonts w:ascii="Times New Roman" w:hAnsi="Times New Roman" w:cs="Times New Roman"/>
          <w:sz w:val="24"/>
          <w:szCs w:val="24"/>
        </w:rPr>
        <w:t xml:space="preserve">28 </w:t>
      </w:r>
      <w:r w:rsidRPr="002B7826">
        <w:rPr>
          <w:rFonts w:ascii="Times New Roman" w:hAnsi="Times New Roman" w:cs="Times New Roman"/>
          <w:sz w:val="24"/>
          <w:szCs w:val="24"/>
        </w:rPr>
        <w:t xml:space="preserve">constituencies. </w:t>
      </w:r>
      <w:r w:rsidR="00D01EFF" w:rsidRPr="002B7826">
        <w:rPr>
          <w:rFonts w:ascii="Times New Roman" w:hAnsi="Times New Roman" w:cs="Times New Roman"/>
          <w:sz w:val="24"/>
          <w:szCs w:val="24"/>
        </w:rPr>
        <w:t>W</w:t>
      </w:r>
      <w:r w:rsidRPr="002B7826">
        <w:rPr>
          <w:rFonts w:ascii="Times New Roman" w:hAnsi="Times New Roman" w:cs="Times New Roman"/>
          <w:sz w:val="24"/>
          <w:szCs w:val="24"/>
        </w:rPr>
        <w:t>orrying</w:t>
      </w:r>
      <w:r w:rsidR="00D01EFF" w:rsidRPr="002B7826">
        <w:rPr>
          <w:rFonts w:ascii="Times New Roman" w:hAnsi="Times New Roman" w:cs="Times New Roman"/>
          <w:sz w:val="24"/>
          <w:szCs w:val="24"/>
        </w:rPr>
        <w:t>ly</w:t>
      </w:r>
      <w:r w:rsidR="00167F0B">
        <w:rPr>
          <w:rFonts w:ascii="Times New Roman" w:hAnsi="Times New Roman" w:cs="Times New Roman"/>
          <w:sz w:val="24"/>
          <w:szCs w:val="24"/>
        </w:rPr>
        <w:t>,</w:t>
      </w:r>
      <w:r w:rsidRPr="002B7826">
        <w:rPr>
          <w:rFonts w:ascii="Times New Roman" w:hAnsi="Times New Roman" w:cs="Times New Roman"/>
          <w:sz w:val="24"/>
          <w:szCs w:val="24"/>
        </w:rPr>
        <w:t xml:space="preserve"> </w:t>
      </w:r>
      <w:r w:rsidR="00D01EFF" w:rsidRPr="002B7826">
        <w:rPr>
          <w:rFonts w:ascii="Times New Roman" w:hAnsi="Times New Roman" w:cs="Times New Roman"/>
          <w:sz w:val="24"/>
          <w:szCs w:val="24"/>
        </w:rPr>
        <w:t>Liberal Democrats</w:t>
      </w:r>
      <w:r w:rsidRPr="002B7826">
        <w:rPr>
          <w:rFonts w:ascii="Times New Roman" w:hAnsi="Times New Roman" w:cs="Times New Roman"/>
          <w:sz w:val="24"/>
          <w:szCs w:val="24"/>
        </w:rPr>
        <w:t xml:space="preserve"> lost 375 deposits, </w:t>
      </w:r>
      <w:r w:rsidR="00D01EFF" w:rsidRPr="002B7826">
        <w:rPr>
          <w:rFonts w:ascii="Times New Roman" w:hAnsi="Times New Roman" w:cs="Times New Roman"/>
          <w:sz w:val="24"/>
          <w:szCs w:val="24"/>
        </w:rPr>
        <w:t>more</w:t>
      </w:r>
      <w:r w:rsidRPr="002B7826">
        <w:rPr>
          <w:rFonts w:ascii="Times New Roman" w:hAnsi="Times New Roman" w:cs="Times New Roman"/>
          <w:sz w:val="24"/>
          <w:szCs w:val="24"/>
        </w:rPr>
        <w:t xml:space="preserve"> than in 2015, and only came second in </w:t>
      </w:r>
      <w:r w:rsidR="00167F0B">
        <w:rPr>
          <w:rFonts w:ascii="Times New Roman" w:hAnsi="Times New Roman" w:cs="Times New Roman"/>
          <w:sz w:val="24"/>
          <w:szCs w:val="24"/>
        </w:rPr>
        <w:t xml:space="preserve">38 </w:t>
      </w:r>
      <w:r w:rsidRPr="002B7826">
        <w:rPr>
          <w:rFonts w:ascii="Times New Roman" w:hAnsi="Times New Roman" w:cs="Times New Roman"/>
          <w:sz w:val="24"/>
          <w:szCs w:val="24"/>
        </w:rPr>
        <w:t xml:space="preserve">seats. Of </w:t>
      </w:r>
      <w:r w:rsidR="00D01EFF" w:rsidRPr="002B7826">
        <w:rPr>
          <w:rFonts w:ascii="Times New Roman" w:hAnsi="Times New Roman" w:cs="Times New Roman"/>
          <w:sz w:val="24"/>
          <w:szCs w:val="24"/>
        </w:rPr>
        <w:t>those second</w:t>
      </w:r>
      <w:r w:rsidR="00167F0B">
        <w:rPr>
          <w:rFonts w:ascii="Times New Roman" w:hAnsi="Times New Roman" w:cs="Times New Roman"/>
          <w:sz w:val="24"/>
          <w:szCs w:val="24"/>
        </w:rPr>
        <w:t xml:space="preserve"> </w:t>
      </w:r>
      <w:r w:rsidR="00D01EFF" w:rsidRPr="002B7826">
        <w:rPr>
          <w:rFonts w:ascii="Times New Roman" w:hAnsi="Times New Roman" w:cs="Times New Roman"/>
          <w:sz w:val="24"/>
          <w:szCs w:val="24"/>
        </w:rPr>
        <w:t>places the party is within</w:t>
      </w:r>
      <w:r w:rsidRPr="002B7826">
        <w:rPr>
          <w:rFonts w:ascii="Times New Roman" w:hAnsi="Times New Roman" w:cs="Times New Roman"/>
          <w:sz w:val="24"/>
          <w:szCs w:val="24"/>
        </w:rPr>
        <w:t xml:space="preserve"> 10% </w:t>
      </w:r>
      <w:r w:rsidR="00D01EFF" w:rsidRPr="002B7826">
        <w:rPr>
          <w:rFonts w:ascii="Times New Roman" w:hAnsi="Times New Roman" w:cs="Times New Roman"/>
          <w:sz w:val="24"/>
          <w:szCs w:val="24"/>
        </w:rPr>
        <w:t xml:space="preserve">of </w:t>
      </w:r>
      <w:r w:rsidRPr="002B7826">
        <w:rPr>
          <w:rFonts w:ascii="Times New Roman" w:hAnsi="Times New Roman" w:cs="Times New Roman"/>
          <w:sz w:val="24"/>
          <w:szCs w:val="24"/>
        </w:rPr>
        <w:t xml:space="preserve">the winning party in </w:t>
      </w:r>
      <w:r w:rsidR="00D01EFF" w:rsidRPr="002B7826">
        <w:rPr>
          <w:rFonts w:ascii="Times New Roman" w:hAnsi="Times New Roman" w:cs="Times New Roman"/>
          <w:sz w:val="24"/>
          <w:szCs w:val="24"/>
        </w:rPr>
        <w:t xml:space="preserve">just </w:t>
      </w:r>
      <w:r w:rsidRPr="002B7826">
        <w:rPr>
          <w:rFonts w:ascii="Times New Roman" w:hAnsi="Times New Roman" w:cs="Times New Roman"/>
          <w:sz w:val="24"/>
          <w:szCs w:val="24"/>
        </w:rPr>
        <w:t xml:space="preserve">nine seats and more than 20% behind in </w:t>
      </w:r>
      <w:r w:rsidR="00167F0B">
        <w:rPr>
          <w:rFonts w:ascii="Times New Roman" w:hAnsi="Times New Roman" w:cs="Times New Roman"/>
          <w:sz w:val="24"/>
          <w:szCs w:val="24"/>
        </w:rPr>
        <w:t xml:space="preserve">22 </w:t>
      </w:r>
      <w:r w:rsidRPr="002B7826">
        <w:rPr>
          <w:rFonts w:ascii="Times New Roman" w:hAnsi="Times New Roman" w:cs="Times New Roman"/>
          <w:sz w:val="24"/>
          <w:szCs w:val="24"/>
        </w:rPr>
        <w:t>constituencies.</w:t>
      </w:r>
      <w:r w:rsidR="00167F0B" w:rsidRPr="00167F0B" w:rsidDel="00167F0B">
        <w:rPr>
          <w:rFonts w:ascii="Times New Roman" w:hAnsi="Times New Roman" w:cs="Times New Roman"/>
          <w:sz w:val="24"/>
          <w:szCs w:val="24"/>
        </w:rPr>
        <w:t xml:space="preserve"> </w:t>
      </w:r>
      <w:r w:rsidR="00167F0B">
        <w:rPr>
          <w:rFonts w:ascii="Times New Roman" w:hAnsi="Times New Roman" w:cs="Times New Roman"/>
          <w:sz w:val="24"/>
          <w:szCs w:val="24"/>
        </w:rPr>
        <w:t xml:space="preserve">There appears to be </w:t>
      </w:r>
      <w:r w:rsidRPr="002B7826">
        <w:rPr>
          <w:rFonts w:ascii="Times New Roman" w:hAnsi="Times New Roman" w:cs="Times New Roman"/>
          <w:sz w:val="24"/>
          <w:szCs w:val="24"/>
        </w:rPr>
        <w:t xml:space="preserve">a </w:t>
      </w:r>
      <w:r w:rsidR="00167F0B">
        <w:rPr>
          <w:rFonts w:ascii="Times New Roman" w:hAnsi="Times New Roman" w:cs="Times New Roman"/>
          <w:sz w:val="24"/>
          <w:szCs w:val="24"/>
        </w:rPr>
        <w:t xml:space="preserve">low </w:t>
      </w:r>
      <w:r w:rsidRPr="002B7826">
        <w:rPr>
          <w:rFonts w:ascii="Times New Roman" w:hAnsi="Times New Roman" w:cs="Times New Roman"/>
          <w:sz w:val="24"/>
          <w:szCs w:val="24"/>
        </w:rPr>
        <w:t xml:space="preserve">ceiling on the number of </w:t>
      </w:r>
      <w:r w:rsidR="00167F0B">
        <w:rPr>
          <w:rFonts w:ascii="Times New Roman" w:hAnsi="Times New Roman" w:cs="Times New Roman"/>
          <w:sz w:val="24"/>
          <w:szCs w:val="24"/>
        </w:rPr>
        <w:t xml:space="preserve">winnable </w:t>
      </w:r>
      <w:r w:rsidRPr="002B7826">
        <w:rPr>
          <w:rFonts w:ascii="Times New Roman" w:hAnsi="Times New Roman" w:cs="Times New Roman"/>
          <w:sz w:val="24"/>
          <w:szCs w:val="24"/>
        </w:rPr>
        <w:t>seats</w:t>
      </w:r>
      <w:r w:rsidR="00167F0B">
        <w:rPr>
          <w:rFonts w:ascii="Times New Roman" w:hAnsi="Times New Roman" w:cs="Times New Roman"/>
          <w:sz w:val="24"/>
          <w:szCs w:val="24"/>
        </w:rPr>
        <w:t>.</w:t>
      </w:r>
      <w:r w:rsidRPr="002B7826">
        <w:rPr>
          <w:rFonts w:ascii="Times New Roman" w:hAnsi="Times New Roman" w:cs="Times New Roman"/>
          <w:sz w:val="24"/>
          <w:szCs w:val="24"/>
        </w:rPr>
        <w:t xml:space="preserve"> </w:t>
      </w:r>
    </w:p>
    <w:p w14:paraId="0633C151" w14:textId="7C6FC9B3" w:rsidR="00EF21F1"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The Liberal Democrats’ national vote share still obscures a fair amount of unevenness in their electoral performance. Despite winning four of the 59 constituencies in Scotland, the Liberal Democrats</w:t>
      </w:r>
      <w:r w:rsidR="00167F0B">
        <w:rPr>
          <w:rFonts w:ascii="Times New Roman" w:hAnsi="Times New Roman" w:cs="Times New Roman"/>
          <w:sz w:val="24"/>
          <w:szCs w:val="24"/>
        </w:rPr>
        <w:t>’</w:t>
      </w:r>
      <w:r w:rsidRPr="002B7826">
        <w:rPr>
          <w:rFonts w:ascii="Times New Roman" w:hAnsi="Times New Roman" w:cs="Times New Roman"/>
          <w:sz w:val="24"/>
          <w:szCs w:val="24"/>
        </w:rPr>
        <w:t xml:space="preserve"> vote dropped below 7% (see Table </w:t>
      </w:r>
      <w:r w:rsidR="00167F0B">
        <w:rPr>
          <w:rFonts w:ascii="Times New Roman" w:hAnsi="Times New Roman" w:cs="Times New Roman"/>
          <w:sz w:val="24"/>
          <w:szCs w:val="24"/>
        </w:rPr>
        <w:t>5.</w:t>
      </w:r>
      <w:r w:rsidRPr="002B7826">
        <w:rPr>
          <w:rFonts w:ascii="Times New Roman" w:hAnsi="Times New Roman" w:cs="Times New Roman"/>
          <w:sz w:val="24"/>
          <w:szCs w:val="24"/>
        </w:rPr>
        <w:t xml:space="preserve">2). </w:t>
      </w:r>
      <w:r w:rsidR="00D01EFF" w:rsidRPr="002B7826">
        <w:rPr>
          <w:rFonts w:ascii="Times New Roman" w:hAnsi="Times New Roman" w:cs="Times New Roman"/>
          <w:sz w:val="24"/>
          <w:szCs w:val="24"/>
        </w:rPr>
        <w:t>T</w:t>
      </w:r>
      <w:r w:rsidRPr="002B7826">
        <w:rPr>
          <w:rFonts w:ascii="Times New Roman" w:hAnsi="Times New Roman" w:cs="Times New Roman"/>
          <w:sz w:val="24"/>
          <w:szCs w:val="24"/>
        </w:rPr>
        <w:t xml:space="preserve">hree of </w:t>
      </w:r>
      <w:r w:rsidRPr="002B7826">
        <w:rPr>
          <w:rFonts w:ascii="Times New Roman" w:hAnsi="Times New Roman" w:cs="Times New Roman"/>
          <w:sz w:val="24"/>
          <w:szCs w:val="24"/>
        </w:rPr>
        <w:lastRenderedPageBreak/>
        <w:t>the five largest declines in the party’s share of the vote were in former Scottish strongholds</w:t>
      </w:r>
      <w:r w:rsidR="00D01EFF" w:rsidRPr="002B7826">
        <w:rPr>
          <w:rFonts w:ascii="Times New Roman" w:hAnsi="Times New Roman" w:cs="Times New Roman"/>
          <w:sz w:val="24"/>
          <w:szCs w:val="24"/>
        </w:rPr>
        <w:t xml:space="preserve"> and Scottish Liberal Democrats </w:t>
      </w:r>
      <w:r w:rsidRPr="002B7826">
        <w:rPr>
          <w:rFonts w:ascii="Times New Roman" w:hAnsi="Times New Roman" w:cs="Times New Roman"/>
          <w:sz w:val="24"/>
          <w:szCs w:val="24"/>
        </w:rPr>
        <w:t>lost deposit</w:t>
      </w:r>
      <w:r w:rsidR="00D01EFF" w:rsidRPr="002B7826">
        <w:rPr>
          <w:rFonts w:ascii="Times New Roman" w:hAnsi="Times New Roman" w:cs="Times New Roman"/>
          <w:sz w:val="24"/>
          <w:szCs w:val="24"/>
        </w:rPr>
        <w:t>s</w:t>
      </w:r>
      <w:r w:rsidRPr="002B7826">
        <w:rPr>
          <w:rFonts w:ascii="Times New Roman" w:hAnsi="Times New Roman" w:cs="Times New Roman"/>
          <w:sz w:val="24"/>
          <w:szCs w:val="24"/>
        </w:rPr>
        <w:t xml:space="preserve"> in 46 of the 59 seats. In Wales, the Liberal Democrats fared even worse. Not only is it </w:t>
      </w:r>
      <w:r w:rsidR="00F06B7B">
        <w:rPr>
          <w:rFonts w:ascii="Times New Roman" w:hAnsi="Times New Roman" w:cs="Times New Roman"/>
          <w:sz w:val="24"/>
          <w:szCs w:val="24"/>
        </w:rPr>
        <w:t>now without any representation</w:t>
      </w:r>
      <w:r w:rsidRPr="002B7826">
        <w:rPr>
          <w:rFonts w:ascii="Times New Roman" w:hAnsi="Times New Roman" w:cs="Times New Roman"/>
          <w:sz w:val="24"/>
          <w:szCs w:val="24"/>
        </w:rPr>
        <w:t xml:space="preserve">, its vote share declined by 2% to 4.5% and the party only held its deposit in four constituencies. </w:t>
      </w:r>
    </w:p>
    <w:p w14:paraId="0A8BFC5F" w14:textId="300C1CD4" w:rsidR="00EF21F1"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 xml:space="preserve">Across England, there is a north-south divide in the </w:t>
      </w:r>
      <w:r w:rsidR="00D01EFF" w:rsidRPr="002B7826">
        <w:rPr>
          <w:rFonts w:ascii="Times New Roman" w:hAnsi="Times New Roman" w:cs="Times New Roman"/>
          <w:sz w:val="24"/>
          <w:szCs w:val="24"/>
        </w:rPr>
        <w:t>party</w:t>
      </w:r>
      <w:r w:rsidR="00F06B7B">
        <w:rPr>
          <w:rFonts w:ascii="Times New Roman" w:hAnsi="Times New Roman" w:cs="Times New Roman"/>
          <w:sz w:val="24"/>
          <w:szCs w:val="24"/>
        </w:rPr>
        <w:t>’s</w:t>
      </w:r>
      <w:r w:rsidRPr="002B7826">
        <w:rPr>
          <w:rFonts w:ascii="Times New Roman" w:hAnsi="Times New Roman" w:cs="Times New Roman"/>
          <w:sz w:val="24"/>
          <w:szCs w:val="24"/>
        </w:rPr>
        <w:t xml:space="preserve"> vote. In 2017, Liberal Democrat support largely held up in the south of England </w:t>
      </w:r>
      <w:r w:rsidR="003F390B" w:rsidRPr="002B7826">
        <w:rPr>
          <w:rFonts w:ascii="Times New Roman" w:hAnsi="Times New Roman" w:cs="Times New Roman"/>
          <w:sz w:val="24"/>
          <w:szCs w:val="24"/>
        </w:rPr>
        <w:t>albeit</w:t>
      </w:r>
      <w:r w:rsidRPr="002B7826">
        <w:rPr>
          <w:rFonts w:ascii="Times New Roman" w:hAnsi="Times New Roman" w:cs="Times New Roman"/>
          <w:sz w:val="24"/>
          <w:szCs w:val="24"/>
        </w:rPr>
        <w:t xml:space="preserve"> from a low base. The Liberal Democrats continue to poll </w:t>
      </w:r>
      <w:r w:rsidR="003F390B" w:rsidRPr="002B7826">
        <w:rPr>
          <w:rFonts w:ascii="Times New Roman" w:hAnsi="Times New Roman" w:cs="Times New Roman"/>
          <w:sz w:val="24"/>
          <w:szCs w:val="24"/>
        </w:rPr>
        <w:t xml:space="preserve">relatively </w:t>
      </w:r>
      <w:r w:rsidRPr="002B7826">
        <w:rPr>
          <w:rFonts w:ascii="Times New Roman" w:hAnsi="Times New Roman" w:cs="Times New Roman"/>
          <w:sz w:val="24"/>
          <w:szCs w:val="24"/>
        </w:rPr>
        <w:t xml:space="preserve">strongly in </w:t>
      </w:r>
      <w:r w:rsidR="003F390B" w:rsidRPr="002B7826">
        <w:rPr>
          <w:rFonts w:ascii="Times New Roman" w:hAnsi="Times New Roman" w:cs="Times New Roman"/>
          <w:sz w:val="24"/>
          <w:szCs w:val="24"/>
        </w:rPr>
        <w:t>the</w:t>
      </w:r>
      <w:r w:rsidRPr="002B7826">
        <w:rPr>
          <w:rFonts w:ascii="Times New Roman" w:hAnsi="Times New Roman" w:cs="Times New Roman"/>
          <w:sz w:val="24"/>
          <w:szCs w:val="24"/>
        </w:rPr>
        <w:t xml:space="preserve"> area of traditional strength – the south west of England. Here there is some evidence that party support has </w:t>
      </w:r>
      <w:r w:rsidR="003F390B" w:rsidRPr="002B7826">
        <w:rPr>
          <w:rFonts w:ascii="Times New Roman" w:hAnsi="Times New Roman" w:cs="Times New Roman"/>
          <w:sz w:val="24"/>
          <w:szCs w:val="24"/>
        </w:rPr>
        <w:t>bottomed-out</w:t>
      </w:r>
      <w:r w:rsidRPr="002B7826">
        <w:rPr>
          <w:rFonts w:ascii="Times New Roman" w:hAnsi="Times New Roman" w:cs="Times New Roman"/>
          <w:sz w:val="24"/>
          <w:szCs w:val="24"/>
        </w:rPr>
        <w:t xml:space="preserve"> with the Liberal Democrats getting around the same vote share as two years ago. </w:t>
      </w:r>
      <w:r w:rsidR="00167F0B">
        <w:rPr>
          <w:rFonts w:ascii="Times New Roman" w:hAnsi="Times New Roman" w:cs="Times New Roman"/>
          <w:sz w:val="24"/>
          <w:szCs w:val="24"/>
        </w:rPr>
        <w:t>T</w:t>
      </w:r>
      <w:r w:rsidRPr="002B7826">
        <w:rPr>
          <w:rFonts w:ascii="Times New Roman" w:hAnsi="Times New Roman" w:cs="Times New Roman"/>
          <w:sz w:val="24"/>
          <w:szCs w:val="24"/>
        </w:rPr>
        <w:t>he Liberal Democrats only gained support in two regio</w:t>
      </w:r>
      <w:r w:rsidR="003F390B" w:rsidRPr="002B7826">
        <w:rPr>
          <w:rFonts w:ascii="Times New Roman" w:hAnsi="Times New Roman" w:cs="Times New Roman"/>
          <w:sz w:val="24"/>
          <w:szCs w:val="24"/>
        </w:rPr>
        <w:t xml:space="preserve">ns - London and the </w:t>
      </w:r>
      <w:r w:rsidR="000E0EF3">
        <w:rPr>
          <w:rFonts w:ascii="Times New Roman" w:hAnsi="Times New Roman" w:cs="Times New Roman"/>
          <w:sz w:val="24"/>
          <w:szCs w:val="24"/>
        </w:rPr>
        <w:t>s</w:t>
      </w:r>
      <w:r w:rsidR="003F390B" w:rsidRPr="002B7826">
        <w:rPr>
          <w:rFonts w:ascii="Times New Roman" w:hAnsi="Times New Roman" w:cs="Times New Roman"/>
          <w:sz w:val="24"/>
          <w:szCs w:val="24"/>
        </w:rPr>
        <w:t>outh</w:t>
      </w:r>
      <w:r w:rsidR="000E0EF3">
        <w:rPr>
          <w:rFonts w:ascii="Times New Roman" w:hAnsi="Times New Roman" w:cs="Times New Roman"/>
          <w:sz w:val="24"/>
          <w:szCs w:val="24"/>
        </w:rPr>
        <w:t>-e</w:t>
      </w:r>
      <w:r w:rsidR="00167F0B">
        <w:rPr>
          <w:rFonts w:ascii="Times New Roman" w:hAnsi="Times New Roman" w:cs="Times New Roman"/>
          <w:sz w:val="24"/>
          <w:szCs w:val="24"/>
        </w:rPr>
        <w:t>ast.</w:t>
      </w:r>
      <w:r w:rsidR="003F390B" w:rsidRPr="002B7826">
        <w:rPr>
          <w:rFonts w:ascii="Times New Roman" w:hAnsi="Times New Roman" w:cs="Times New Roman"/>
          <w:sz w:val="24"/>
          <w:szCs w:val="24"/>
        </w:rPr>
        <w:t xml:space="preserve"> </w:t>
      </w:r>
      <w:r w:rsidRPr="002B7826">
        <w:rPr>
          <w:rFonts w:ascii="Times New Roman" w:hAnsi="Times New Roman" w:cs="Times New Roman"/>
          <w:sz w:val="24"/>
          <w:szCs w:val="24"/>
        </w:rPr>
        <w:t>Liberal Democrat sup</w:t>
      </w:r>
      <w:r w:rsidR="00F06B7B">
        <w:rPr>
          <w:rFonts w:ascii="Times New Roman" w:hAnsi="Times New Roman" w:cs="Times New Roman"/>
          <w:sz w:val="24"/>
          <w:szCs w:val="24"/>
        </w:rPr>
        <w:t>port also largely held up in</w:t>
      </w:r>
      <w:r w:rsidRPr="002B7826">
        <w:rPr>
          <w:rFonts w:ascii="Times New Roman" w:hAnsi="Times New Roman" w:cs="Times New Roman"/>
          <w:sz w:val="24"/>
          <w:szCs w:val="24"/>
        </w:rPr>
        <w:t xml:space="preserve"> eastern England and </w:t>
      </w:r>
      <w:r w:rsidR="00167F0B">
        <w:rPr>
          <w:rFonts w:ascii="Times New Roman" w:hAnsi="Times New Roman" w:cs="Times New Roman"/>
          <w:sz w:val="24"/>
          <w:szCs w:val="24"/>
        </w:rPr>
        <w:t xml:space="preserve">remains </w:t>
      </w:r>
      <w:r w:rsidRPr="002B7826">
        <w:rPr>
          <w:rFonts w:ascii="Times New Roman" w:hAnsi="Times New Roman" w:cs="Times New Roman"/>
          <w:sz w:val="24"/>
          <w:szCs w:val="24"/>
        </w:rPr>
        <w:t xml:space="preserve">above the national average. Elsewhere the picture looks extremely gloomy. Across the </w:t>
      </w:r>
      <w:r w:rsidR="000E0EF3">
        <w:rPr>
          <w:rFonts w:ascii="Times New Roman" w:hAnsi="Times New Roman" w:cs="Times New Roman"/>
          <w:sz w:val="24"/>
          <w:szCs w:val="24"/>
        </w:rPr>
        <w:t>m</w:t>
      </w:r>
      <w:r w:rsidRPr="002B7826">
        <w:rPr>
          <w:rFonts w:ascii="Times New Roman" w:hAnsi="Times New Roman" w:cs="Times New Roman"/>
          <w:sz w:val="24"/>
          <w:szCs w:val="24"/>
        </w:rPr>
        <w:t xml:space="preserve">idlands, the Liberal Democrat vote has collapsed and is now </w:t>
      </w:r>
      <w:r w:rsidR="000E0EF3">
        <w:rPr>
          <w:rFonts w:ascii="Times New Roman" w:hAnsi="Times New Roman" w:cs="Times New Roman"/>
          <w:sz w:val="24"/>
          <w:szCs w:val="24"/>
        </w:rPr>
        <w:t xml:space="preserve">little above four </w:t>
      </w:r>
      <w:r w:rsidRPr="002B7826">
        <w:rPr>
          <w:rFonts w:ascii="Times New Roman" w:hAnsi="Times New Roman" w:cs="Times New Roman"/>
          <w:sz w:val="24"/>
          <w:szCs w:val="24"/>
        </w:rPr>
        <w:t>per cent. There was also a two per cent drop in Liberal Democrat support across the north</w:t>
      </w:r>
      <w:r w:rsidR="000E0EF3">
        <w:rPr>
          <w:rFonts w:ascii="Times New Roman" w:hAnsi="Times New Roman" w:cs="Times New Roman"/>
          <w:sz w:val="24"/>
          <w:szCs w:val="24"/>
        </w:rPr>
        <w:t>-</w:t>
      </w:r>
      <w:r w:rsidRPr="002B7826">
        <w:rPr>
          <w:rFonts w:ascii="Times New Roman" w:hAnsi="Times New Roman" w:cs="Times New Roman"/>
          <w:sz w:val="24"/>
          <w:szCs w:val="24"/>
        </w:rPr>
        <w:t>east and the Yorkshire and Humber region.</w:t>
      </w:r>
      <w:r w:rsidR="000E0EF3" w:rsidRPr="000E0EF3" w:rsidDel="000E0EF3">
        <w:rPr>
          <w:rFonts w:ascii="Times New Roman" w:hAnsi="Times New Roman" w:cs="Times New Roman"/>
          <w:sz w:val="24"/>
          <w:szCs w:val="24"/>
        </w:rPr>
        <w:t xml:space="preserve"> </w:t>
      </w:r>
      <w:r w:rsidR="000E0EF3">
        <w:rPr>
          <w:rFonts w:ascii="Times New Roman" w:hAnsi="Times New Roman" w:cs="Times New Roman"/>
          <w:sz w:val="24"/>
          <w:szCs w:val="24"/>
        </w:rPr>
        <w:t>I</w:t>
      </w:r>
      <w:r w:rsidRPr="002B7826">
        <w:rPr>
          <w:rFonts w:ascii="Times New Roman" w:hAnsi="Times New Roman" w:cs="Times New Roman"/>
          <w:sz w:val="24"/>
          <w:szCs w:val="24"/>
        </w:rPr>
        <w:t xml:space="preserve">n the five regions outside the south of England, Liberal Democrat support is close to three per cent below its national vote share. There is also a </w:t>
      </w:r>
      <w:r w:rsidR="003F390B" w:rsidRPr="002B7826">
        <w:rPr>
          <w:rFonts w:ascii="Times New Roman" w:hAnsi="Times New Roman" w:cs="Times New Roman"/>
          <w:sz w:val="24"/>
          <w:szCs w:val="24"/>
        </w:rPr>
        <w:t>geographic</w:t>
      </w:r>
      <w:r w:rsidRPr="002B7826">
        <w:rPr>
          <w:rFonts w:ascii="Times New Roman" w:hAnsi="Times New Roman" w:cs="Times New Roman"/>
          <w:sz w:val="24"/>
          <w:szCs w:val="24"/>
        </w:rPr>
        <w:t xml:space="preserve"> divide in Liberal Democrat </w:t>
      </w:r>
      <w:r w:rsidR="003F390B" w:rsidRPr="002B7826">
        <w:rPr>
          <w:rFonts w:ascii="Times New Roman" w:hAnsi="Times New Roman" w:cs="Times New Roman"/>
          <w:sz w:val="24"/>
          <w:szCs w:val="24"/>
        </w:rPr>
        <w:t>representation</w:t>
      </w:r>
      <w:r w:rsidRPr="002B7826">
        <w:rPr>
          <w:rFonts w:ascii="Times New Roman" w:hAnsi="Times New Roman" w:cs="Times New Roman"/>
          <w:sz w:val="24"/>
          <w:szCs w:val="24"/>
        </w:rPr>
        <w:t>. Westmoreland and Lonsdale</w:t>
      </w:r>
      <w:r w:rsidR="003F390B" w:rsidRPr="002B7826">
        <w:rPr>
          <w:rFonts w:ascii="Times New Roman" w:hAnsi="Times New Roman" w:cs="Times New Roman"/>
          <w:sz w:val="24"/>
          <w:szCs w:val="24"/>
        </w:rPr>
        <w:t xml:space="preserve"> is the only northern English Liberal Democrat seat. </w:t>
      </w:r>
      <w:r w:rsidRPr="002B7826">
        <w:rPr>
          <w:rFonts w:ascii="Times New Roman" w:hAnsi="Times New Roman" w:cs="Times New Roman"/>
          <w:sz w:val="24"/>
          <w:szCs w:val="24"/>
        </w:rPr>
        <w:t xml:space="preserve">Of the </w:t>
      </w:r>
      <w:r w:rsidR="000E0EF3">
        <w:rPr>
          <w:rFonts w:ascii="Times New Roman" w:hAnsi="Times New Roman" w:cs="Times New Roman"/>
          <w:sz w:val="24"/>
          <w:szCs w:val="24"/>
        </w:rPr>
        <w:t xml:space="preserve">38 </w:t>
      </w:r>
      <w:r w:rsidRPr="002B7826">
        <w:rPr>
          <w:rFonts w:ascii="Times New Roman" w:hAnsi="Times New Roman" w:cs="Times New Roman"/>
          <w:sz w:val="24"/>
          <w:szCs w:val="24"/>
        </w:rPr>
        <w:t xml:space="preserve">seats where the Liberal Democrats came second in 2017, only six of these were in the midlands and the north of England. Across the south, the Liberal Democrats lost their deposit in just over a third of the seats. However, in the north, the Liberal Democrats lost their deposit in 201 seats </w:t>
      </w:r>
      <w:r w:rsidR="003F390B" w:rsidRPr="002B7826">
        <w:rPr>
          <w:rFonts w:ascii="Times New Roman" w:hAnsi="Times New Roman" w:cs="Times New Roman"/>
          <w:sz w:val="24"/>
          <w:szCs w:val="24"/>
        </w:rPr>
        <w:t>(</w:t>
      </w:r>
      <w:r w:rsidRPr="002B7826">
        <w:rPr>
          <w:rFonts w:ascii="Times New Roman" w:hAnsi="Times New Roman" w:cs="Times New Roman"/>
          <w:sz w:val="24"/>
          <w:szCs w:val="24"/>
        </w:rPr>
        <w:t>more than three quarters of those contested</w:t>
      </w:r>
      <w:r w:rsidR="003F390B" w:rsidRPr="002B7826">
        <w:rPr>
          <w:rFonts w:ascii="Times New Roman" w:hAnsi="Times New Roman" w:cs="Times New Roman"/>
          <w:sz w:val="24"/>
          <w:szCs w:val="24"/>
        </w:rPr>
        <w:t>)</w:t>
      </w:r>
      <w:r w:rsidRPr="002B7826">
        <w:rPr>
          <w:rFonts w:ascii="Times New Roman" w:hAnsi="Times New Roman" w:cs="Times New Roman"/>
          <w:sz w:val="24"/>
          <w:szCs w:val="24"/>
        </w:rPr>
        <w:t xml:space="preserve">. </w:t>
      </w:r>
    </w:p>
    <w:p w14:paraId="375D87FA" w14:textId="79654CDB" w:rsidR="00EF21F1" w:rsidRPr="002B7826" w:rsidRDefault="00EF21F1" w:rsidP="00915A80">
      <w:pPr>
        <w:spacing w:line="480" w:lineRule="auto"/>
        <w:jc w:val="center"/>
        <w:rPr>
          <w:rFonts w:ascii="Times New Roman" w:hAnsi="Times New Roman" w:cs="Times New Roman"/>
          <w:sz w:val="24"/>
          <w:szCs w:val="24"/>
        </w:rPr>
      </w:pPr>
      <w:r w:rsidRPr="002B7826">
        <w:rPr>
          <w:rFonts w:ascii="Times New Roman" w:hAnsi="Times New Roman" w:cs="Times New Roman"/>
          <w:sz w:val="24"/>
          <w:szCs w:val="24"/>
        </w:rPr>
        <w:t xml:space="preserve">Insert Table </w:t>
      </w:r>
      <w:r w:rsidR="00167F0B">
        <w:rPr>
          <w:rFonts w:ascii="Times New Roman" w:hAnsi="Times New Roman" w:cs="Times New Roman"/>
          <w:sz w:val="24"/>
          <w:szCs w:val="24"/>
        </w:rPr>
        <w:t>5.</w:t>
      </w:r>
      <w:r w:rsidRPr="002B7826">
        <w:rPr>
          <w:rFonts w:ascii="Times New Roman" w:hAnsi="Times New Roman" w:cs="Times New Roman"/>
          <w:sz w:val="24"/>
          <w:szCs w:val="24"/>
        </w:rPr>
        <w:t>2 (National/Regional Breakdown)</w:t>
      </w:r>
    </w:p>
    <w:p w14:paraId="1A3655E4" w14:textId="1912297A" w:rsidR="00EF21F1"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b/>
          <w:sz w:val="24"/>
          <w:szCs w:val="24"/>
        </w:rPr>
        <w:lastRenderedPageBreak/>
        <w:t>The constituency battle</w:t>
      </w:r>
    </w:p>
    <w:p w14:paraId="3189DE07" w14:textId="6B9C7816" w:rsidR="00EF21F1"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 xml:space="preserve">Table </w:t>
      </w:r>
      <w:r w:rsidR="000E0EF3">
        <w:rPr>
          <w:rFonts w:ascii="Times New Roman" w:hAnsi="Times New Roman" w:cs="Times New Roman"/>
          <w:sz w:val="24"/>
          <w:szCs w:val="24"/>
        </w:rPr>
        <w:t>5.</w:t>
      </w:r>
      <w:r w:rsidRPr="002B7826">
        <w:rPr>
          <w:rFonts w:ascii="Times New Roman" w:hAnsi="Times New Roman" w:cs="Times New Roman"/>
          <w:sz w:val="24"/>
          <w:szCs w:val="24"/>
        </w:rPr>
        <w:t>3 examines the Liberal Democrats’ 2017 performance by seat type. In 2015, despite the loss of all but eight seats, there was a very modest incumbency effect with the Liberal Democrats doing better in those incumbent seats where candidates were seeking re-election (Cutts and Russell, 2015</w:t>
      </w:r>
      <w:r w:rsidRPr="008C2518">
        <w:rPr>
          <w:rFonts w:ascii="Times New Roman" w:hAnsi="Times New Roman" w:cs="Times New Roman"/>
          <w:sz w:val="24"/>
          <w:szCs w:val="24"/>
        </w:rPr>
        <w:t>). Two years later, despite losing five of the nine seats they held</w:t>
      </w:r>
      <w:r w:rsidR="003F390B" w:rsidRPr="008C2518">
        <w:rPr>
          <w:rFonts w:ascii="Times New Roman" w:hAnsi="Times New Roman" w:cs="Times New Roman"/>
          <w:sz w:val="24"/>
          <w:szCs w:val="24"/>
        </w:rPr>
        <w:t xml:space="preserve"> at dissolution, </w:t>
      </w:r>
      <w:r w:rsidRPr="008C2518">
        <w:rPr>
          <w:rFonts w:ascii="Times New Roman" w:hAnsi="Times New Roman" w:cs="Times New Roman"/>
          <w:sz w:val="24"/>
          <w:szCs w:val="24"/>
        </w:rPr>
        <w:t>Liberal Democrat support rose by 3.3 percentage points in the seats they won in 2015. Incumbency did not save four Liberal Democrat MPs, but once again those Liberal Democrats incumbents seeking re-election did fare better. Where a Liberal Democrat incumbent stood again, party support increased by 4.2 percentage points. Incumbency matters for the Liberal Democrats but</w:t>
      </w:r>
      <w:r w:rsidR="000E0EF3">
        <w:rPr>
          <w:rFonts w:ascii="Times New Roman" w:hAnsi="Times New Roman" w:cs="Times New Roman"/>
          <w:sz w:val="24"/>
          <w:szCs w:val="24"/>
        </w:rPr>
        <w:t>,</w:t>
      </w:r>
      <w:r w:rsidRPr="002B7826">
        <w:rPr>
          <w:rFonts w:ascii="Times New Roman" w:hAnsi="Times New Roman" w:cs="Times New Roman"/>
          <w:sz w:val="24"/>
          <w:szCs w:val="24"/>
        </w:rPr>
        <w:t xml:space="preserve"> as in 2015</w:t>
      </w:r>
      <w:r w:rsidR="000E0EF3">
        <w:rPr>
          <w:rFonts w:ascii="Times New Roman" w:hAnsi="Times New Roman" w:cs="Times New Roman"/>
          <w:sz w:val="24"/>
          <w:szCs w:val="24"/>
        </w:rPr>
        <w:t>,</w:t>
      </w:r>
      <w:r w:rsidRPr="002B7826">
        <w:rPr>
          <w:rFonts w:ascii="Times New Roman" w:hAnsi="Times New Roman" w:cs="Times New Roman"/>
          <w:sz w:val="24"/>
          <w:szCs w:val="24"/>
        </w:rPr>
        <w:t xml:space="preserve"> any expectation that those seeking re-election would be immune from </w:t>
      </w:r>
      <w:r w:rsidR="000E0EF3">
        <w:rPr>
          <w:rFonts w:ascii="Times New Roman" w:hAnsi="Times New Roman" w:cs="Times New Roman"/>
          <w:sz w:val="24"/>
          <w:szCs w:val="24"/>
        </w:rPr>
        <w:t xml:space="preserve">a </w:t>
      </w:r>
      <w:r w:rsidRPr="002B7826">
        <w:rPr>
          <w:rFonts w:ascii="Times New Roman" w:hAnsi="Times New Roman" w:cs="Times New Roman"/>
          <w:sz w:val="24"/>
          <w:szCs w:val="24"/>
        </w:rPr>
        <w:t xml:space="preserve">national surge against them because of their personal standing in the area </w:t>
      </w:r>
      <w:r w:rsidR="00D43984" w:rsidRPr="002B7826">
        <w:rPr>
          <w:rFonts w:ascii="Times New Roman" w:hAnsi="Times New Roman" w:cs="Times New Roman"/>
          <w:sz w:val="24"/>
          <w:szCs w:val="24"/>
        </w:rPr>
        <w:t>was</w:t>
      </w:r>
      <w:r w:rsidRPr="002B7826">
        <w:rPr>
          <w:rFonts w:ascii="Times New Roman" w:hAnsi="Times New Roman" w:cs="Times New Roman"/>
          <w:sz w:val="24"/>
          <w:szCs w:val="24"/>
        </w:rPr>
        <w:t xml:space="preserve"> simply misguided. More worrying for the Liberal Democrats, the defeats of Clegg and Mulholland suggests that even highly targeted local campaigns backed up by central resources and know-how </w:t>
      </w:r>
      <w:r w:rsidR="000E0EF3">
        <w:rPr>
          <w:rFonts w:ascii="Times New Roman" w:hAnsi="Times New Roman" w:cs="Times New Roman"/>
          <w:sz w:val="24"/>
          <w:szCs w:val="24"/>
        </w:rPr>
        <w:t xml:space="preserve">are </w:t>
      </w:r>
      <w:r w:rsidR="00D43984" w:rsidRPr="002B7826">
        <w:rPr>
          <w:rFonts w:ascii="Times New Roman" w:hAnsi="Times New Roman" w:cs="Times New Roman"/>
          <w:sz w:val="24"/>
          <w:szCs w:val="24"/>
        </w:rPr>
        <w:t>in</w:t>
      </w:r>
      <w:r w:rsidRPr="002B7826">
        <w:rPr>
          <w:rFonts w:ascii="Times New Roman" w:hAnsi="Times New Roman" w:cs="Times New Roman"/>
          <w:sz w:val="24"/>
          <w:szCs w:val="24"/>
        </w:rPr>
        <w:t xml:space="preserve">sufficient when the tide of support rises against them. </w:t>
      </w:r>
    </w:p>
    <w:p w14:paraId="11176FFD" w14:textId="77777777" w:rsidR="00EF21F1"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The tactic of re-selecting former Liberal Democrat MPs in key target seats had a modest positive impact on party support</w:t>
      </w:r>
      <w:r w:rsidR="00D43984" w:rsidRPr="002B7826">
        <w:rPr>
          <w:rFonts w:ascii="Times New Roman" w:hAnsi="Times New Roman" w:cs="Times New Roman"/>
          <w:sz w:val="24"/>
          <w:szCs w:val="24"/>
        </w:rPr>
        <w:t xml:space="preserve"> bu</w:t>
      </w:r>
      <w:r w:rsidRPr="002B7826">
        <w:rPr>
          <w:rFonts w:ascii="Times New Roman" w:hAnsi="Times New Roman" w:cs="Times New Roman"/>
          <w:sz w:val="24"/>
          <w:szCs w:val="24"/>
        </w:rPr>
        <w:t xml:space="preserve">t there was unevenness depending on </w:t>
      </w:r>
      <w:r w:rsidR="00D43984" w:rsidRPr="002B7826">
        <w:rPr>
          <w:rFonts w:ascii="Times New Roman" w:hAnsi="Times New Roman" w:cs="Times New Roman"/>
          <w:sz w:val="24"/>
          <w:szCs w:val="24"/>
        </w:rPr>
        <w:t xml:space="preserve">the political context of the seat. </w:t>
      </w:r>
      <w:r w:rsidRPr="002B7826">
        <w:rPr>
          <w:rFonts w:ascii="Times New Roman" w:hAnsi="Times New Roman" w:cs="Times New Roman"/>
          <w:sz w:val="24"/>
          <w:szCs w:val="24"/>
        </w:rPr>
        <w:t xml:space="preserve">Twelve Liberal Democrat former MPs who lost in 2015 to the Conservatives stood again. In these seats, Liberal Democrat support increased by 5.4 percentage points, with three of these MPs re-capturing their seats. Other highlights were the strong performances in North Devon and Wells, while in St Ives Andrew George was just over 300 votes from winning back his seat. It was not all one way. The party went rapidly backwards in Colchester and barely made any ground in Eastleigh and St Austell and Newquay. Selecting previous incumbents proved to be </w:t>
      </w:r>
      <w:r w:rsidRPr="002B7826">
        <w:rPr>
          <w:rFonts w:ascii="Times New Roman" w:hAnsi="Times New Roman" w:cs="Times New Roman"/>
          <w:sz w:val="24"/>
          <w:szCs w:val="24"/>
        </w:rPr>
        <w:lastRenderedPageBreak/>
        <w:t xml:space="preserve">largely ineffective against a resurgent Labour. Only six stood again in the hope of winning their seat from the Labour incumbent. Not only did all fail to get re-elected, but support in these seats tumbled more than eight percentage points as the party’s vote share dropped below twenty per cent. There were mixed results against the SNP. Jo Swinson won her seat back in East Dunbartonshire but Alan Reid in Argyll and Bute saw his vote crumble. </w:t>
      </w:r>
    </w:p>
    <w:p w14:paraId="4B2FEE4A" w14:textId="65B743F7" w:rsidR="00EF21F1" w:rsidRPr="002B7826"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 xml:space="preserve">One way to illustrate this is to examine the effect </w:t>
      </w:r>
      <w:r w:rsidR="007C7F1A" w:rsidRPr="002B7826">
        <w:rPr>
          <w:rFonts w:ascii="Times New Roman" w:hAnsi="Times New Roman" w:cs="Times New Roman"/>
          <w:sz w:val="24"/>
          <w:szCs w:val="24"/>
        </w:rPr>
        <w:t xml:space="preserve">of incumbency </w:t>
      </w:r>
      <w:r w:rsidRPr="002B7826">
        <w:rPr>
          <w:rFonts w:ascii="Times New Roman" w:hAnsi="Times New Roman" w:cs="Times New Roman"/>
          <w:sz w:val="24"/>
          <w:szCs w:val="24"/>
        </w:rPr>
        <w:t xml:space="preserve">on Liberal Democrat support in those fourteen seats where the previous incumbent stood in 2015 and lost but did not seek re-election in 2017. Eight of these seats were held by the Conservatives while three were held </w:t>
      </w:r>
      <w:r w:rsidR="007C7F1A" w:rsidRPr="002B7826">
        <w:rPr>
          <w:rFonts w:ascii="Times New Roman" w:hAnsi="Times New Roman" w:cs="Times New Roman"/>
          <w:sz w:val="24"/>
          <w:szCs w:val="24"/>
        </w:rPr>
        <w:t xml:space="preserve">each </w:t>
      </w:r>
      <w:r w:rsidRPr="002B7826">
        <w:rPr>
          <w:rFonts w:ascii="Times New Roman" w:hAnsi="Times New Roman" w:cs="Times New Roman"/>
          <w:sz w:val="24"/>
          <w:szCs w:val="24"/>
        </w:rPr>
        <w:t xml:space="preserve">by Labour and the SNP. In 2017, the Liberal Democrats failed to win any of these seats back. Indeed, in only two (Lewes +3.8 and Brecon and Radnorshire +0.8 percentage points) did the Liberal Democrats increase their vote share. </w:t>
      </w:r>
      <w:r w:rsidR="007C7F1A" w:rsidRPr="002B7826">
        <w:rPr>
          <w:rFonts w:ascii="Times New Roman" w:hAnsi="Times New Roman" w:cs="Times New Roman"/>
          <w:sz w:val="24"/>
          <w:szCs w:val="24"/>
        </w:rPr>
        <w:t>In</w:t>
      </w:r>
      <w:r w:rsidRPr="002B7826">
        <w:rPr>
          <w:rFonts w:ascii="Times New Roman" w:hAnsi="Times New Roman" w:cs="Times New Roman"/>
          <w:sz w:val="24"/>
          <w:szCs w:val="24"/>
        </w:rPr>
        <w:t xml:space="preserve"> the three SNP</w:t>
      </w:r>
      <w:r w:rsidR="007C7F1A" w:rsidRPr="002B7826">
        <w:rPr>
          <w:rFonts w:ascii="Times New Roman" w:hAnsi="Times New Roman" w:cs="Times New Roman"/>
          <w:sz w:val="24"/>
          <w:szCs w:val="24"/>
        </w:rPr>
        <w:t>-held seats</w:t>
      </w:r>
      <w:r w:rsidRPr="002B7826">
        <w:rPr>
          <w:rFonts w:ascii="Times New Roman" w:hAnsi="Times New Roman" w:cs="Times New Roman"/>
          <w:sz w:val="24"/>
          <w:szCs w:val="24"/>
        </w:rPr>
        <w:t xml:space="preserve">, the Liberal Democrat vote fell in 2017 by 15.7 percentage points. </w:t>
      </w:r>
      <w:r w:rsidR="007C7F1A" w:rsidRPr="002B7826">
        <w:rPr>
          <w:rFonts w:ascii="Times New Roman" w:hAnsi="Times New Roman" w:cs="Times New Roman"/>
          <w:sz w:val="24"/>
          <w:szCs w:val="24"/>
        </w:rPr>
        <w:t>Likewise in the three Labour-</w:t>
      </w:r>
      <w:r w:rsidRPr="002B7826">
        <w:rPr>
          <w:rFonts w:ascii="Times New Roman" w:hAnsi="Times New Roman" w:cs="Times New Roman"/>
          <w:sz w:val="24"/>
          <w:szCs w:val="24"/>
        </w:rPr>
        <w:t xml:space="preserve">held seats the Liberal Democrat vote </w:t>
      </w:r>
      <w:r w:rsidR="007C7F1A" w:rsidRPr="002B7826">
        <w:rPr>
          <w:rFonts w:ascii="Times New Roman" w:hAnsi="Times New Roman" w:cs="Times New Roman"/>
          <w:sz w:val="24"/>
          <w:szCs w:val="24"/>
        </w:rPr>
        <w:t>fell</w:t>
      </w:r>
      <w:r w:rsidRPr="002B7826">
        <w:rPr>
          <w:rFonts w:ascii="Times New Roman" w:hAnsi="Times New Roman" w:cs="Times New Roman"/>
          <w:sz w:val="24"/>
          <w:szCs w:val="24"/>
        </w:rPr>
        <w:t xml:space="preserve"> by 12.6 percentage points. Even </w:t>
      </w:r>
      <w:r w:rsidR="007C7F1A" w:rsidRPr="002B7826">
        <w:rPr>
          <w:rFonts w:ascii="Times New Roman" w:hAnsi="Times New Roman" w:cs="Times New Roman"/>
          <w:sz w:val="24"/>
          <w:szCs w:val="24"/>
        </w:rPr>
        <w:t>in</w:t>
      </w:r>
      <w:r w:rsidRPr="002B7826">
        <w:rPr>
          <w:rFonts w:ascii="Times New Roman" w:hAnsi="Times New Roman" w:cs="Times New Roman"/>
          <w:sz w:val="24"/>
          <w:szCs w:val="24"/>
        </w:rPr>
        <w:t xml:space="preserve"> the </w:t>
      </w:r>
      <w:r w:rsidR="007C7F1A" w:rsidRPr="002B7826">
        <w:rPr>
          <w:rFonts w:ascii="Times New Roman" w:hAnsi="Times New Roman" w:cs="Times New Roman"/>
          <w:sz w:val="24"/>
          <w:szCs w:val="24"/>
        </w:rPr>
        <w:t xml:space="preserve">eight </w:t>
      </w:r>
      <w:r w:rsidRPr="002B7826">
        <w:rPr>
          <w:rFonts w:ascii="Times New Roman" w:hAnsi="Times New Roman" w:cs="Times New Roman"/>
          <w:sz w:val="24"/>
          <w:szCs w:val="24"/>
        </w:rPr>
        <w:t>Conservative</w:t>
      </w:r>
      <w:r w:rsidR="007C7F1A" w:rsidRPr="002B7826">
        <w:rPr>
          <w:rFonts w:ascii="Times New Roman" w:hAnsi="Times New Roman" w:cs="Times New Roman"/>
          <w:sz w:val="24"/>
          <w:szCs w:val="24"/>
        </w:rPr>
        <w:t>-held seat</w:t>
      </w:r>
      <w:r w:rsidRPr="002B7826">
        <w:rPr>
          <w:rFonts w:ascii="Times New Roman" w:hAnsi="Times New Roman" w:cs="Times New Roman"/>
          <w:sz w:val="24"/>
          <w:szCs w:val="24"/>
        </w:rPr>
        <w:t>s</w:t>
      </w:r>
      <w:r w:rsidR="007C7F1A" w:rsidRPr="002B7826">
        <w:rPr>
          <w:rFonts w:ascii="Times New Roman" w:hAnsi="Times New Roman" w:cs="Times New Roman"/>
          <w:sz w:val="24"/>
          <w:szCs w:val="24"/>
        </w:rPr>
        <w:t>,</w:t>
      </w:r>
      <w:r w:rsidRPr="002B7826">
        <w:rPr>
          <w:rFonts w:ascii="Times New Roman" w:hAnsi="Times New Roman" w:cs="Times New Roman"/>
          <w:sz w:val="24"/>
          <w:szCs w:val="24"/>
        </w:rPr>
        <w:t xml:space="preserve"> where the Liberal Democrats enjoyed some success, </w:t>
      </w:r>
      <w:r w:rsidR="007C7F1A" w:rsidRPr="002B7826">
        <w:rPr>
          <w:rFonts w:ascii="Times New Roman" w:hAnsi="Times New Roman" w:cs="Times New Roman"/>
          <w:sz w:val="24"/>
          <w:szCs w:val="24"/>
        </w:rPr>
        <w:t>the party’s</w:t>
      </w:r>
      <w:r w:rsidRPr="002B7826">
        <w:rPr>
          <w:rFonts w:ascii="Times New Roman" w:hAnsi="Times New Roman" w:cs="Times New Roman"/>
          <w:sz w:val="24"/>
          <w:szCs w:val="24"/>
        </w:rPr>
        <w:t xml:space="preserve"> vote fell by 4.5 percentage points. No doubt the decision of locally popular former MPs such as </w:t>
      </w:r>
      <w:r w:rsidR="007C7F1A" w:rsidRPr="002B7826">
        <w:rPr>
          <w:rFonts w:ascii="Times New Roman" w:hAnsi="Times New Roman" w:cs="Times New Roman"/>
          <w:sz w:val="24"/>
          <w:szCs w:val="24"/>
        </w:rPr>
        <w:t xml:space="preserve">Adrian </w:t>
      </w:r>
      <w:r w:rsidRPr="002B7826">
        <w:rPr>
          <w:rFonts w:ascii="Times New Roman" w:hAnsi="Times New Roman" w:cs="Times New Roman"/>
          <w:sz w:val="24"/>
          <w:szCs w:val="24"/>
        </w:rPr>
        <w:t xml:space="preserve">Sanders in Torbay (where the Liberal Democrat vote fell by 8.7 percentage points) and </w:t>
      </w:r>
      <w:r w:rsidR="007C7F1A" w:rsidRPr="002B7826">
        <w:rPr>
          <w:rFonts w:ascii="Times New Roman" w:hAnsi="Times New Roman" w:cs="Times New Roman"/>
          <w:sz w:val="24"/>
          <w:szCs w:val="24"/>
        </w:rPr>
        <w:t xml:space="preserve">Steve </w:t>
      </w:r>
      <w:r w:rsidRPr="002B7826">
        <w:rPr>
          <w:rFonts w:ascii="Times New Roman" w:hAnsi="Times New Roman" w:cs="Times New Roman"/>
          <w:sz w:val="24"/>
          <w:szCs w:val="24"/>
        </w:rPr>
        <w:t xml:space="preserve">Webb in Thornbury and Yate (where the vote fell by -6.5 percentage points) not to stand again hampered any chances of a recovery. Moreover, they illustrate just how much of a personal vote these former incumbents generated which was largely masked by the collapse in Liberal Democrat support in 2015. </w:t>
      </w:r>
    </w:p>
    <w:p w14:paraId="08D55B43" w14:textId="3040518A" w:rsidR="00EF21F1" w:rsidRPr="008C2518"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 xml:space="preserve">The Liberal Democrats entered the 2017 general election as the main challenger in </w:t>
      </w:r>
      <w:r w:rsidR="002F768E">
        <w:rPr>
          <w:rFonts w:ascii="Times New Roman" w:hAnsi="Times New Roman" w:cs="Times New Roman"/>
          <w:sz w:val="24"/>
          <w:szCs w:val="24"/>
        </w:rPr>
        <w:t xml:space="preserve">62 </w:t>
      </w:r>
      <w:r w:rsidRPr="008C2518">
        <w:rPr>
          <w:rFonts w:ascii="Times New Roman" w:hAnsi="Times New Roman" w:cs="Times New Roman"/>
          <w:sz w:val="24"/>
          <w:szCs w:val="24"/>
        </w:rPr>
        <w:t xml:space="preserve">seats. Across these </w:t>
      </w:r>
      <w:r w:rsidR="007C7F1A" w:rsidRPr="008C2518">
        <w:rPr>
          <w:rFonts w:ascii="Times New Roman" w:hAnsi="Times New Roman" w:cs="Times New Roman"/>
          <w:sz w:val="24"/>
          <w:szCs w:val="24"/>
        </w:rPr>
        <w:t>constituencies</w:t>
      </w:r>
      <w:r w:rsidRPr="008C2518">
        <w:rPr>
          <w:rFonts w:ascii="Times New Roman" w:hAnsi="Times New Roman" w:cs="Times New Roman"/>
          <w:sz w:val="24"/>
          <w:szCs w:val="24"/>
        </w:rPr>
        <w:t xml:space="preserve">, Liberal Democrat support fell by one percentage point compared to 2015 but </w:t>
      </w:r>
      <w:r w:rsidR="007C7F1A" w:rsidRPr="008C2518">
        <w:rPr>
          <w:rFonts w:ascii="Times New Roman" w:hAnsi="Times New Roman" w:cs="Times New Roman"/>
          <w:sz w:val="24"/>
          <w:szCs w:val="24"/>
        </w:rPr>
        <w:t>again the role of political agency is important.</w:t>
      </w:r>
      <w:r w:rsidRPr="008C2518">
        <w:rPr>
          <w:rFonts w:ascii="Times New Roman" w:hAnsi="Times New Roman" w:cs="Times New Roman"/>
          <w:sz w:val="24"/>
          <w:szCs w:val="24"/>
        </w:rPr>
        <w:t xml:space="preserve"> Where the </w:t>
      </w:r>
      <w:r w:rsidRPr="008C2518">
        <w:rPr>
          <w:rFonts w:ascii="Times New Roman" w:hAnsi="Times New Roman" w:cs="Times New Roman"/>
          <w:sz w:val="24"/>
          <w:szCs w:val="24"/>
        </w:rPr>
        <w:lastRenderedPageBreak/>
        <w:t>Liberal Democrats were the main challenger to Labour, support crumbled by 11.5</w:t>
      </w:r>
      <w:r w:rsidR="002F768E">
        <w:rPr>
          <w:rFonts w:ascii="Times New Roman" w:hAnsi="Times New Roman" w:cs="Times New Roman"/>
          <w:sz w:val="24"/>
          <w:szCs w:val="24"/>
        </w:rPr>
        <w:t>%.</w:t>
      </w:r>
      <w:r w:rsidRPr="008C2518">
        <w:rPr>
          <w:rFonts w:ascii="Times New Roman" w:hAnsi="Times New Roman" w:cs="Times New Roman"/>
          <w:sz w:val="24"/>
          <w:szCs w:val="24"/>
        </w:rPr>
        <w:t xml:space="preserve"> It was slightly different in Scotland</w:t>
      </w:r>
      <w:r w:rsidR="007C7F1A" w:rsidRPr="008C2518">
        <w:rPr>
          <w:rFonts w:ascii="Times New Roman" w:hAnsi="Times New Roman" w:cs="Times New Roman"/>
          <w:sz w:val="24"/>
          <w:szCs w:val="24"/>
        </w:rPr>
        <w:t xml:space="preserve"> where t</w:t>
      </w:r>
      <w:r w:rsidRPr="008C2518">
        <w:rPr>
          <w:rFonts w:ascii="Times New Roman" w:hAnsi="Times New Roman" w:cs="Times New Roman"/>
          <w:sz w:val="24"/>
          <w:szCs w:val="24"/>
        </w:rPr>
        <w:t xml:space="preserve">he Liberal Democrats </w:t>
      </w:r>
      <w:r w:rsidR="00BA3C86">
        <w:rPr>
          <w:rFonts w:ascii="Times New Roman" w:hAnsi="Times New Roman" w:cs="Times New Roman"/>
          <w:sz w:val="24"/>
          <w:szCs w:val="24"/>
        </w:rPr>
        <w:t xml:space="preserve">were </w:t>
      </w:r>
      <w:r w:rsidRPr="008C2518">
        <w:rPr>
          <w:rFonts w:ascii="Times New Roman" w:hAnsi="Times New Roman" w:cs="Times New Roman"/>
          <w:sz w:val="24"/>
          <w:szCs w:val="24"/>
        </w:rPr>
        <w:t>caught in the cross-fire</w:t>
      </w:r>
      <w:r w:rsidR="007C7F1A" w:rsidRPr="008C2518">
        <w:rPr>
          <w:rFonts w:ascii="Times New Roman" w:hAnsi="Times New Roman" w:cs="Times New Roman"/>
          <w:sz w:val="24"/>
          <w:szCs w:val="24"/>
        </w:rPr>
        <w:t xml:space="preserve"> of post-</w:t>
      </w:r>
      <w:r w:rsidR="00BA3C86">
        <w:rPr>
          <w:rFonts w:ascii="Times New Roman" w:hAnsi="Times New Roman" w:cs="Times New Roman"/>
          <w:sz w:val="24"/>
          <w:szCs w:val="24"/>
        </w:rPr>
        <w:t>independence referendum</w:t>
      </w:r>
      <w:r w:rsidR="007C7F1A" w:rsidRPr="008C2518">
        <w:rPr>
          <w:rFonts w:ascii="Times New Roman" w:hAnsi="Times New Roman" w:cs="Times New Roman"/>
          <w:sz w:val="24"/>
          <w:szCs w:val="24"/>
        </w:rPr>
        <w:t xml:space="preserve"> politics</w:t>
      </w:r>
      <w:r w:rsidRPr="008C2518">
        <w:rPr>
          <w:rFonts w:ascii="Times New Roman" w:hAnsi="Times New Roman" w:cs="Times New Roman"/>
          <w:sz w:val="24"/>
          <w:szCs w:val="24"/>
        </w:rPr>
        <w:t xml:space="preserve">. Only in the four most marginal seats where the party </w:t>
      </w:r>
      <w:r w:rsidR="00BA3C86">
        <w:rPr>
          <w:rFonts w:ascii="Times New Roman" w:hAnsi="Times New Roman" w:cs="Times New Roman"/>
          <w:sz w:val="24"/>
          <w:szCs w:val="24"/>
        </w:rPr>
        <w:t xml:space="preserve">deployed considerable </w:t>
      </w:r>
      <w:r w:rsidRPr="008C2518">
        <w:rPr>
          <w:rFonts w:ascii="Times New Roman" w:hAnsi="Times New Roman" w:cs="Times New Roman"/>
          <w:sz w:val="24"/>
          <w:szCs w:val="24"/>
        </w:rPr>
        <w:t xml:space="preserve">resources did the Liberal Democrat vote hold up. In the </w:t>
      </w:r>
      <w:r w:rsidR="00BA3C86">
        <w:rPr>
          <w:rFonts w:ascii="Times New Roman" w:hAnsi="Times New Roman" w:cs="Times New Roman"/>
          <w:sz w:val="24"/>
          <w:szCs w:val="24"/>
        </w:rPr>
        <w:t xml:space="preserve">46 </w:t>
      </w:r>
      <w:r w:rsidRPr="008C2518">
        <w:rPr>
          <w:rFonts w:ascii="Times New Roman" w:hAnsi="Times New Roman" w:cs="Times New Roman"/>
          <w:sz w:val="24"/>
          <w:szCs w:val="24"/>
        </w:rPr>
        <w:t>seats where the party was second to the Conservatives, the Liberal Democrats fared better, increasing support by two percentage points. Despite reversals in Sutton and Cheam, Thornbury and Yate, and Torbay, closer inspection of the data does suggest marginality mattered. In the ten most marginal (0-10% difference) Conservative-Liberal Democrat battleground seats, there was a 4.2</w:t>
      </w:r>
      <w:r w:rsidR="00BA3C86">
        <w:rPr>
          <w:rFonts w:ascii="Times New Roman" w:hAnsi="Times New Roman" w:cs="Times New Roman"/>
          <w:sz w:val="24"/>
          <w:szCs w:val="24"/>
        </w:rPr>
        <w:t>%</w:t>
      </w:r>
      <w:r w:rsidRPr="008C2518">
        <w:rPr>
          <w:rFonts w:ascii="Times New Roman" w:hAnsi="Times New Roman" w:cs="Times New Roman"/>
          <w:sz w:val="24"/>
          <w:szCs w:val="24"/>
        </w:rPr>
        <w:t xml:space="preserve"> increase in Liberal Democrat support. </w:t>
      </w:r>
    </w:p>
    <w:p w14:paraId="7C1ACCAA" w14:textId="25C68EC1" w:rsidR="00EF21F1" w:rsidRPr="008C2518" w:rsidRDefault="007C7F1A" w:rsidP="00915A80">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t>Traditionally</w:t>
      </w:r>
      <w:r w:rsidR="00EF21F1" w:rsidRPr="008C2518">
        <w:rPr>
          <w:rFonts w:ascii="Times New Roman" w:hAnsi="Times New Roman" w:cs="Times New Roman"/>
          <w:sz w:val="24"/>
          <w:szCs w:val="24"/>
        </w:rPr>
        <w:t xml:space="preserve"> the Liberal Democrats</w:t>
      </w:r>
      <w:r w:rsidR="00BA3C86">
        <w:rPr>
          <w:rFonts w:ascii="Times New Roman" w:hAnsi="Times New Roman" w:cs="Times New Roman"/>
          <w:sz w:val="24"/>
          <w:szCs w:val="24"/>
        </w:rPr>
        <w:t>’</w:t>
      </w:r>
      <w:r w:rsidR="00EF21F1" w:rsidRPr="008C2518">
        <w:rPr>
          <w:rFonts w:ascii="Times New Roman" w:hAnsi="Times New Roman" w:cs="Times New Roman"/>
          <w:sz w:val="24"/>
          <w:szCs w:val="24"/>
        </w:rPr>
        <w:t xml:space="preserve"> ability to win </w:t>
      </w:r>
      <w:r w:rsidRPr="008C2518">
        <w:rPr>
          <w:rFonts w:ascii="Times New Roman" w:hAnsi="Times New Roman" w:cs="Times New Roman"/>
          <w:sz w:val="24"/>
          <w:szCs w:val="24"/>
        </w:rPr>
        <w:t xml:space="preserve">Conservative </w:t>
      </w:r>
      <w:r w:rsidR="00EF21F1" w:rsidRPr="008C2518">
        <w:rPr>
          <w:rFonts w:ascii="Times New Roman" w:hAnsi="Times New Roman" w:cs="Times New Roman"/>
          <w:sz w:val="24"/>
          <w:szCs w:val="24"/>
        </w:rPr>
        <w:t xml:space="preserve">seats </w:t>
      </w:r>
      <w:r w:rsidRPr="008C2518">
        <w:rPr>
          <w:rFonts w:ascii="Times New Roman" w:hAnsi="Times New Roman" w:cs="Times New Roman"/>
          <w:sz w:val="24"/>
          <w:szCs w:val="24"/>
        </w:rPr>
        <w:t>depends</w:t>
      </w:r>
      <w:r w:rsidR="00EF21F1" w:rsidRPr="008C2518">
        <w:rPr>
          <w:rFonts w:ascii="Times New Roman" w:hAnsi="Times New Roman" w:cs="Times New Roman"/>
          <w:sz w:val="24"/>
          <w:szCs w:val="24"/>
        </w:rPr>
        <w:t xml:space="preserve"> on building and sustaining core support, appealing to wavering </w:t>
      </w:r>
      <w:r w:rsidRPr="008C2518">
        <w:rPr>
          <w:rFonts w:ascii="Times New Roman" w:hAnsi="Times New Roman" w:cs="Times New Roman"/>
          <w:sz w:val="24"/>
          <w:szCs w:val="24"/>
        </w:rPr>
        <w:t>Conservatives</w:t>
      </w:r>
      <w:r w:rsidR="00EF21F1" w:rsidRPr="008C2518">
        <w:rPr>
          <w:rFonts w:ascii="Times New Roman" w:hAnsi="Times New Roman" w:cs="Times New Roman"/>
          <w:sz w:val="24"/>
          <w:szCs w:val="24"/>
        </w:rPr>
        <w:t xml:space="preserve"> and persuading centre-left Labour and Green voters to tactically support them to keep </w:t>
      </w:r>
      <w:r w:rsidRPr="008C2518">
        <w:rPr>
          <w:rFonts w:ascii="Times New Roman" w:hAnsi="Times New Roman" w:cs="Times New Roman"/>
          <w:sz w:val="24"/>
          <w:szCs w:val="24"/>
        </w:rPr>
        <w:t xml:space="preserve">out </w:t>
      </w:r>
      <w:r w:rsidR="00EF21F1" w:rsidRPr="008C2518">
        <w:rPr>
          <w:rFonts w:ascii="Times New Roman" w:hAnsi="Times New Roman" w:cs="Times New Roman"/>
          <w:sz w:val="24"/>
          <w:szCs w:val="24"/>
        </w:rPr>
        <w:t xml:space="preserve">the </w:t>
      </w:r>
      <w:r w:rsidRPr="008C2518">
        <w:rPr>
          <w:rFonts w:ascii="Times New Roman" w:hAnsi="Times New Roman" w:cs="Times New Roman"/>
          <w:sz w:val="24"/>
          <w:szCs w:val="24"/>
        </w:rPr>
        <w:t>Tories</w:t>
      </w:r>
      <w:r w:rsidR="00EF21F1" w:rsidRPr="008C2518">
        <w:rPr>
          <w:rFonts w:ascii="Times New Roman" w:hAnsi="Times New Roman" w:cs="Times New Roman"/>
          <w:sz w:val="24"/>
          <w:szCs w:val="24"/>
        </w:rPr>
        <w:t>. Aside from the ruthless and sustained Conservative targeting, a key factor in the Liberal Democrats</w:t>
      </w:r>
      <w:r w:rsidR="00BA3C86">
        <w:rPr>
          <w:rFonts w:ascii="Times New Roman" w:hAnsi="Times New Roman" w:cs="Times New Roman"/>
          <w:sz w:val="24"/>
          <w:szCs w:val="24"/>
        </w:rPr>
        <w:t>’</w:t>
      </w:r>
      <w:r w:rsidR="00EF21F1" w:rsidRPr="008C2518">
        <w:rPr>
          <w:rFonts w:ascii="Times New Roman" w:hAnsi="Times New Roman" w:cs="Times New Roman"/>
          <w:sz w:val="24"/>
          <w:szCs w:val="24"/>
        </w:rPr>
        <w:t xml:space="preserve"> 2015 collapse was the tactical unwind of its left of centre vote in these seats. In 2017 the Liberal Democrats enjoyed modest success against the Conservatives. But our evidence suggests that the Liberal Democrats</w:t>
      </w:r>
      <w:r w:rsidR="00BA3C86">
        <w:rPr>
          <w:rFonts w:ascii="Times New Roman" w:hAnsi="Times New Roman" w:cs="Times New Roman"/>
          <w:sz w:val="24"/>
          <w:szCs w:val="24"/>
        </w:rPr>
        <w:t>’</w:t>
      </w:r>
      <w:r w:rsidR="00EF21F1" w:rsidRPr="008C2518">
        <w:rPr>
          <w:rFonts w:ascii="Times New Roman" w:hAnsi="Times New Roman" w:cs="Times New Roman"/>
          <w:sz w:val="24"/>
          <w:szCs w:val="24"/>
        </w:rPr>
        <w:t xml:space="preserve"> ability to turn votes into seats was dependent on curbing the Labour vote. In the five seats it took from the Conservatives in 2017, only Eastbourne saw an increase in the Conservative share of the vote. Crucially though, across these five seats the Labour vote declined by 0.2 percentage points. Moreover, in the three seats where the Greens stood a candidate, their support fell substantially. Despite the Labour surge elsewhere there is plenty of evidence that in these Conservative-Liberal Democrat battlegrounds the Liberal Democrats managed </w:t>
      </w:r>
      <w:r w:rsidRPr="008C2518">
        <w:rPr>
          <w:rFonts w:ascii="Times New Roman" w:hAnsi="Times New Roman" w:cs="Times New Roman"/>
          <w:sz w:val="24"/>
          <w:szCs w:val="24"/>
        </w:rPr>
        <w:t xml:space="preserve">to </w:t>
      </w:r>
      <w:r w:rsidR="00EF21F1" w:rsidRPr="008C2518">
        <w:rPr>
          <w:rFonts w:ascii="Times New Roman" w:hAnsi="Times New Roman" w:cs="Times New Roman"/>
          <w:sz w:val="24"/>
          <w:szCs w:val="24"/>
        </w:rPr>
        <w:t xml:space="preserve">stop any further centre-left tactical unwind. However, elsewhere it was a different story. In the </w:t>
      </w:r>
      <w:r w:rsidR="001C439D">
        <w:rPr>
          <w:rFonts w:ascii="Times New Roman" w:hAnsi="Times New Roman" w:cs="Times New Roman"/>
          <w:sz w:val="24"/>
          <w:szCs w:val="24"/>
        </w:rPr>
        <w:t xml:space="preserve">20 </w:t>
      </w:r>
      <w:r w:rsidR="00EF21F1" w:rsidRPr="008C2518">
        <w:rPr>
          <w:rFonts w:ascii="Times New Roman" w:hAnsi="Times New Roman" w:cs="Times New Roman"/>
          <w:sz w:val="24"/>
          <w:szCs w:val="24"/>
        </w:rPr>
        <w:t xml:space="preserve">other Conservative-Liberal Democrat </w:t>
      </w:r>
      <w:r w:rsidR="00EF21F1" w:rsidRPr="008C2518">
        <w:rPr>
          <w:rFonts w:ascii="Times New Roman" w:hAnsi="Times New Roman" w:cs="Times New Roman"/>
          <w:sz w:val="24"/>
          <w:szCs w:val="24"/>
        </w:rPr>
        <w:lastRenderedPageBreak/>
        <w:t>battlegrounds where the Liberal Democrats were 20</w:t>
      </w:r>
      <w:r w:rsidR="001C439D">
        <w:rPr>
          <w:rFonts w:ascii="Times New Roman" w:hAnsi="Times New Roman" w:cs="Times New Roman"/>
          <w:sz w:val="24"/>
          <w:szCs w:val="24"/>
        </w:rPr>
        <w:t>%</w:t>
      </w:r>
      <w:r w:rsidR="00EF21F1" w:rsidRPr="008C2518">
        <w:rPr>
          <w:rFonts w:ascii="Times New Roman" w:hAnsi="Times New Roman" w:cs="Times New Roman"/>
          <w:sz w:val="24"/>
          <w:szCs w:val="24"/>
        </w:rPr>
        <w:t xml:space="preserve"> or less behind the incumbent, the Labour vote increased by 7.9</w:t>
      </w:r>
      <w:r w:rsidR="001C439D">
        <w:rPr>
          <w:rFonts w:ascii="Times New Roman" w:hAnsi="Times New Roman" w:cs="Times New Roman"/>
          <w:sz w:val="24"/>
          <w:szCs w:val="24"/>
        </w:rPr>
        <w:t>%.</w:t>
      </w:r>
      <w:r w:rsidR="00EF21F1" w:rsidRPr="008C2518">
        <w:rPr>
          <w:rFonts w:ascii="Times New Roman" w:hAnsi="Times New Roman" w:cs="Times New Roman"/>
          <w:sz w:val="24"/>
          <w:szCs w:val="24"/>
        </w:rPr>
        <w:t xml:space="preserve"> In five of these 20 contests, Labour even relegated the Liberal Democrats to third place. Many Labour voters in these seats</w:t>
      </w:r>
      <w:r w:rsidR="001C439D">
        <w:rPr>
          <w:rFonts w:ascii="Times New Roman" w:hAnsi="Times New Roman" w:cs="Times New Roman"/>
          <w:sz w:val="24"/>
          <w:szCs w:val="24"/>
        </w:rPr>
        <w:t>,</w:t>
      </w:r>
      <w:r w:rsidR="00EF21F1" w:rsidRPr="008C2518">
        <w:rPr>
          <w:rFonts w:ascii="Times New Roman" w:hAnsi="Times New Roman" w:cs="Times New Roman"/>
          <w:sz w:val="24"/>
          <w:szCs w:val="24"/>
        </w:rPr>
        <w:t xml:space="preserve"> knowing Labour was unlikely to win put voting for their favoured party before lending their support to the second-placed Liberal Democrats. The pattern of the 2015 general election seems to have continued in 2017. </w:t>
      </w:r>
    </w:p>
    <w:p w14:paraId="1877D631" w14:textId="43602341" w:rsidR="00EF21F1" w:rsidRPr="002B7826" w:rsidRDefault="00EF21F1" w:rsidP="00915A80">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t>The 2017 general election signified a continuation of the Liberal Democrats</w:t>
      </w:r>
      <w:r w:rsidR="007A58E7">
        <w:rPr>
          <w:rFonts w:ascii="Times New Roman" w:hAnsi="Times New Roman" w:cs="Times New Roman"/>
          <w:sz w:val="24"/>
          <w:szCs w:val="24"/>
        </w:rPr>
        <w:t>’</w:t>
      </w:r>
      <w:r w:rsidRPr="008C2518">
        <w:rPr>
          <w:rFonts w:ascii="Times New Roman" w:hAnsi="Times New Roman" w:cs="Times New Roman"/>
          <w:sz w:val="24"/>
          <w:szCs w:val="24"/>
        </w:rPr>
        <w:t xml:space="preserve"> retreat from their traditional heartlands. Of the 14 </w:t>
      </w:r>
      <w:r w:rsidR="007C7F1A" w:rsidRPr="008C2518">
        <w:rPr>
          <w:rFonts w:ascii="Times New Roman" w:hAnsi="Times New Roman" w:cs="Times New Roman"/>
          <w:sz w:val="24"/>
          <w:szCs w:val="24"/>
        </w:rPr>
        <w:t>Liberal constituencies</w:t>
      </w:r>
      <w:r w:rsidRPr="008C2518">
        <w:rPr>
          <w:rFonts w:ascii="Times New Roman" w:hAnsi="Times New Roman" w:cs="Times New Roman"/>
          <w:sz w:val="24"/>
          <w:szCs w:val="24"/>
        </w:rPr>
        <w:t xml:space="preserve"> held in February 1974, only one (Orkney and Shetland) is held by the </w:t>
      </w:r>
      <w:r w:rsidR="007C7F1A" w:rsidRPr="008C2518">
        <w:rPr>
          <w:rFonts w:ascii="Times New Roman" w:hAnsi="Times New Roman" w:cs="Times New Roman"/>
          <w:sz w:val="24"/>
          <w:szCs w:val="24"/>
        </w:rPr>
        <w:t>Liberal Democrats</w:t>
      </w:r>
      <w:r w:rsidRPr="008C2518">
        <w:rPr>
          <w:rFonts w:ascii="Times New Roman" w:hAnsi="Times New Roman" w:cs="Times New Roman"/>
          <w:sz w:val="24"/>
          <w:szCs w:val="24"/>
        </w:rPr>
        <w:t xml:space="preserve"> now. More worrying for the Liberal Democrats is how it performs in its 1992 seats. This base proved to be a springboard for later gains as the party translated votes into healthy levels of representation at Westminster. Only three of these 1992 seats (Bath, Caithness, Sutherland and Easter Ross and Orkney and Shetland) </w:t>
      </w:r>
      <w:r w:rsidR="007A58E7">
        <w:rPr>
          <w:rFonts w:ascii="Times New Roman" w:hAnsi="Times New Roman" w:cs="Times New Roman"/>
          <w:sz w:val="24"/>
          <w:szCs w:val="24"/>
        </w:rPr>
        <w:t>r</w:t>
      </w:r>
      <w:r w:rsidR="000A6640">
        <w:rPr>
          <w:rFonts w:ascii="Times New Roman" w:hAnsi="Times New Roman" w:cs="Times New Roman"/>
          <w:sz w:val="24"/>
          <w:szCs w:val="24"/>
        </w:rPr>
        <w:t>emain</w:t>
      </w:r>
      <w:r w:rsidRPr="008C2518">
        <w:rPr>
          <w:rFonts w:ascii="Times New Roman" w:hAnsi="Times New Roman" w:cs="Times New Roman"/>
          <w:sz w:val="24"/>
          <w:szCs w:val="24"/>
        </w:rPr>
        <w:t xml:space="preserve"> in Liberal Democrat hands </w:t>
      </w:r>
      <w:r w:rsidR="007C7F1A" w:rsidRPr="008C2518">
        <w:rPr>
          <w:rFonts w:ascii="Times New Roman" w:hAnsi="Times New Roman" w:cs="Times New Roman"/>
          <w:sz w:val="24"/>
          <w:szCs w:val="24"/>
        </w:rPr>
        <w:t>25</w:t>
      </w:r>
      <w:r w:rsidRPr="008C2518">
        <w:rPr>
          <w:rFonts w:ascii="Times New Roman" w:hAnsi="Times New Roman" w:cs="Times New Roman"/>
          <w:sz w:val="24"/>
          <w:szCs w:val="24"/>
        </w:rPr>
        <w:t xml:space="preserve"> years on. </w:t>
      </w:r>
      <w:r w:rsidR="007C7F1A" w:rsidRPr="008C2518">
        <w:rPr>
          <w:rFonts w:ascii="Times New Roman" w:hAnsi="Times New Roman" w:cs="Times New Roman"/>
          <w:sz w:val="24"/>
          <w:szCs w:val="24"/>
        </w:rPr>
        <w:t>The party</w:t>
      </w:r>
      <w:r w:rsidRPr="008C2518">
        <w:rPr>
          <w:rFonts w:ascii="Times New Roman" w:hAnsi="Times New Roman" w:cs="Times New Roman"/>
          <w:sz w:val="24"/>
          <w:szCs w:val="24"/>
        </w:rPr>
        <w:t xml:space="preserve"> also continues to lose ground in these seats partly because credibility gained from local success has waned and not recov</w:t>
      </w:r>
      <w:r w:rsidR="0028434D">
        <w:rPr>
          <w:rFonts w:ascii="Times New Roman" w:hAnsi="Times New Roman" w:cs="Times New Roman"/>
          <w:sz w:val="24"/>
          <w:szCs w:val="24"/>
        </w:rPr>
        <w:t xml:space="preserve">ered since being in coalition. </w:t>
      </w:r>
      <w:r w:rsidRPr="008C2518">
        <w:rPr>
          <w:rFonts w:ascii="Times New Roman" w:hAnsi="Times New Roman" w:cs="Times New Roman"/>
          <w:sz w:val="24"/>
          <w:szCs w:val="24"/>
        </w:rPr>
        <w:t xml:space="preserve">One positive though is the improved performance in the ‘breakthrough’ seats which the Liberal Democrats won in 1997. These were overwhelmingly Conservative and were gained at the height of the anti-Conservative tactical alliance against </w:t>
      </w:r>
      <w:r w:rsidR="007C7F1A" w:rsidRPr="008C2518">
        <w:rPr>
          <w:rFonts w:ascii="Times New Roman" w:hAnsi="Times New Roman" w:cs="Times New Roman"/>
          <w:sz w:val="24"/>
          <w:szCs w:val="24"/>
        </w:rPr>
        <w:t xml:space="preserve">John </w:t>
      </w:r>
      <w:r w:rsidRPr="008C2518">
        <w:rPr>
          <w:rFonts w:ascii="Times New Roman" w:hAnsi="Times New Roman" w:cs="Times New Roman"/>
          <w:sz w:val="24"/>
          <w:szCs w:val="24"/>
        </w:rPr>
        <w:t>Major’s government.</w:t>
      </w:r>
      <w:r w:rsidR="007C7F1A" w:rsidRPr="008C2518">
        <w:rPr>
          <w:rFonts w:ascii="Times New Roman" w:hAnsi="Times New Roman" w:cs="Times New Roman"/>
          <w:sz w:val="24"/>
          <w:szCs w:val="24"/>
        </w:rPr>
        <w:t xml:space="preserve"> G</w:t>
      </w:r>
      <w:r w:rsidRPr="008C2518">
        <w:rPr>
          <w:rFonts w:ascii="Times New Roman" w:hAnsi="Times New Roman" w:cs="Times New Roman"/>
          <w:sz w:val="24"/>
          <w:szCs w:val="24"/>
        </w:rPr>
        <w:t>iven the Liberal Democrats</w:t>
      </w:r>
      <w:r w:rsidR="007A58E7">
        <w:rPr>
          <w:rFonts w:ascii="Times New Roman" w:hAnsi="Times New Roman" w:cs="Times New Roman"/>
          <w:sz w:val="24"/>
          <w:szCs w:val="24"/>
        </w:rPr>
        <w:t>’</w:t>
      </w:r>
      <w:r w:rsidRPr="002B7826">
        <w:rPr>
          <w:rFonts w:ascii="Times New Roman" w:hAnsi="Times New Roman" w:cs="Times New Roman"/>
          <w:sz w:val="24"/>
          <w:szCs w:val="24"/>
        </w:rPr>
        <w:t xml:space="preserve"> low base in 2015 there is evidence of a ‘bounce-back’ in these seats two years on. Five of the </w:t>
      </w:r>
      <w:r w:rsidR="007A58E7">
        <w:rPr>
          <w:rFonts w:ascii="Times New Roman" w:hAnsi="Times New Roman" w:cs="Times New Roman"/>
          <w:sz w:val="24"/>
          <w:szCs w:val="24"/>
        </w:rPr>
        <w:t xml:space="preserve">12 </w:t>
      </w:r>
      <w:r w:rsidRPr="002B7826">
        <w:rPr>
          <w:rFonts w:ascii="Times New Roman" w:hAnsi="Times New Roman" w:cs="Times New Roman"/>
          <w:sz w:val="24"/>
          <w:szCs w:val="24"/>
        </w:rPr>
        <w:t xml:space="preserve">seats the Liberal Democrats now hold were first gained in 1997; eight of the </w:t>
      </w:r>
      <w:r w:rsidR="007A58E7">
        <w:rPr>
          <w:rFonts w:ascii="Times New Roman" w:hAnsi="Times New Roman" w:cs="Times New Roman"/>
          <w:sz w:val="24"/>
          <w:szCs w:val="24"/>
        </w:rPr>
        <w:t xml:space="preserve">12 </w:t>
      </w:r>
      <w:r w:rsidRPr="002B7826">
        <w:rPr>
          <w:rFonts w:ascii="Times New Roman" w:hAnsi="Times New Roman" w:cs="Times New Roman"/>
          <w:sz w:val="24"/>
          <w:szCs w:val="24"/>
        </w:rPr>
        <w:t xml:space="preserve">also elected Liberal Democrat representatives twenty years ago. Despite the increasing lack of representation from its traditional heartland areas, there </w:t>
      </w:r>
      <w:r w:rsidR="007A58E7">
        <w:rPr>
          <w:rFonts w:ascii="Times New Roman" w:hAnsi="Times New Roman" w:cs="Times New Roman"/>
          <w:sz w:val="24"/>
          <w:szCs w:val="24"/>
        </w:rPr>
        <w:t xml:space="preserve">is </w:t>
      </w:r>
      <w:r w:rsidRPr="002B7826">
        <w:rPr>
          <w:rFonts w:ascii="Times New Roman" w:hAnsi="Times New Roman" w:cs="Times New Roman"/>
          <w:sz w:val="24"/>
          <w:szCs w:val="24"/>
        </w:rPr>
        <w:t xml:space="preserve">a semblance of historical legacy </w:t>
      </w:r>
      <w:r w:rsidR="007A58E7">
        <w:rPr>
          <w:rFonts w:ascii="Times New Roman" w:hAnsi="Times New Roman" w:cs="Times New Roman"/>
          <w:sz w:val="24"/>
          <w:szCs w:val="24"/>
        </w:rPr>
        <w:t xml:space="preserve">in Liberal Democrat </w:t>
      </w:r>
      <w:r w:rsidRPr="002B7826">
        <w:rPr>
          <w:rFonts w:ascii="Times New Roman" w:hAnsi="Times New Roman" w:cs="Times New Roman"/>
          <w:sz w:val="24"/>
          <w:szCs w:val="24"/>
        </w:rPr>
        <w:t xml:space="preserve">support and Westminster representation. </w:t>
      </w:r>
    </w:p>
    <w:p w14:paraId="4860E347" w14:textId="49D9EBA1" w:rsidR="00EF21F1" w:rsidRPr="008C2518" w:rsidRDefault="00EF21F1" w:rsidP="00915A80">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lastRenderedPageBreak/>
        <w:t xml:space="preserve">One of the key election </w:t>
      </w:r>
      <w:r w:rsidR="002E3FD4">
        <w:rPr>
          <w:rFonts w:ascii="Times New Roman" w:hAnsi="Times New Roman" w:cs="Times New Roman"/>
          <w:sz w:val="24"/>
          <w:szCs w:val="24"/>
        </w:rPr>
        <w:t xml:space="preserve">puzzles </w:t>
      </w:r>
      <w:r w:rsidRPr="002B7826">
        <w:rPr>
          <w:rFonts w:ascii="Times New Roman" w:hAnsi="Times New Roman" w:cs="Times New Roman"/>
          <w:sz w:val="24"/>
          <w:szCs w:val="24"/>
        </w:rPr>
        <w:t xml:space="preserve">is how </w:t>
      </w:r>
      <w:r w:rsidR="00EE67B7" w:rsidRPr="002B7826">
        <w:rPr>
          <w:rFonts w:ascii="Times New Roman" w:hAnsi="Times New Roman" w:cs="Times New Roman"/>
          <w:sz w:val="24"/>
          <w:szCs w:val="24"/>
        </w:rPr>
        <w:t xml:space="preserve">the Liberal Democrats failed to capitalise on the party’s </w:t>
      </w:r>
      <w:r w:rsidR="002E3FD4">
        <w:rPr>
          <w:rFonts w:ascii="Times New Roman" w:hAnsi="Times New Roman" w:cs="Times New Roman"/>
          <w:sz w:val="24"/>
          <w:szCs w:val="24"/>
        </w:rPr>
        <w:t>anti</w:t>
      </w:r>
      <w:r w:rsidR="00EE67B7" w:rsidRPr="002B7826">
        <w:rPr>
          <w:rFonts w:ascii="Times New Roman" w:hAnsi="Times New Roman" w:cs="Times New Roman"/>
          <w:sz w:val="24"/>
          <w:szCs w:val="24"/>
        </w:rPr>
        <w:t xml:space="preserve">-Brexit stance. </w:t>
      </w:r>
      <w:r w:rsidRPr="002B7826">
        <w:rPr>
          <w:rFonts w:ascii="Times New Roman" w:hAnsi="Times New Roman" w:cs="Times New Roman"/>
          <w:sz w:val="24"/>
          <w:szCs w:val="24"/>
        </w:rPr>
        <w:t xml:space="preserve">Of the </w:t>
      </w:r>
      <w:r w:rsidR="002E3FD4">
        <w:rPr>
          <w:rFonts w:ascii="Times New Roman" w:hAnsi="Times New Roman" w:cs="Times New Roman"/>
          <w:sz w:val="24"/>
          <w:szCs w:val="24"/>
        </w:rPr>
        <w:t xml:space="preserve">12 </w:t>
      </w:r>
      <w:r w:rsidRPr="002B7826">
        <w:rPr>
          <w:rFonts w:ascii="Times New Roman" w:hAnsi="Times New Roman" w:cs="Times New Roman"/>
          <w:sz w:val="24"/>
          <w:szCs w:val="24"/>
        </w:rPr>
        <w:t xml:space="preserve">seats </w:t>
      </w:r>
      <w:r w:rsidR="002E3FD4">
        <w:rPr>
          <w:rFonts w:ascii="Times New Roman" w:hAnsi="Times New Roman" w:cs="Times New Roman"/>
          <w:sz w:val="24"/>
          <w:szCs w:val="24"/>
        </w:rPr>
        <w:t xml:space="preserve">the party </w:t>
      </w:r>
      <w:r w:rsidRPr="002B7826">
        <w:rPr>
          <w:rFonts w:ascii="Times New Roman" w:hAnsi="Times New Roman" w:cs="Times New Roman"/>
          <w:sz w:val="24"/>
          <w:szCs w:val="24"/>
        </w:rPr>
        <w:t>currently holds, eight voted ‘</w:t>
      </w:r>
      <w:r w:rsidR="000A6640">
        <w:rPr>
          <w:rFonts w:ascii="Times New Roman" w:hAnsi="Times New Roman" w:cs="Times New Roman"/>
          <w:sz w:val="24"/>
          <w:szCs w:val="24"/>
        </w:rPr>
        <w:t>Remain</w:t>
      </w:r>
      <w:r w:rsidRPr="002B7826">
        <w:rPr>
          <w:rFonts w:ascii="Times New Roman" w:hAnsi="Times New Roman" w:cs="Times New Roman"/>
          <w:sz w:val="24"/>
          <w:szCs w:val="24"/>
        </w:rPr>
        <w:t xml:space="preserve">’ in the EU referendum. Two of the Liberal Democrats gains – Caithness, Sutherland and Easter Ross and Eastbourne – voted ‘Leave’ while the local personal standing of Tom Brake and Norman Lamb </w:t>
      </w:r>
      <w:r w:rsidR="002E3FD4">
        <w:rPr>
          <w:rFonts w:ascii="Times New Roman" w:hAnsi="Times New Roman" w:cs="Times New Roman"/>
          <w:sz w:val="24"/>
          <w:szCs w:val="24"/>
        </w:rPr>
        <w:t xml:space="preserve">helped </w:t>
      </w:r>
      <w:r w:rsidRPr="002B7826">
        <w:rPr>
          <w:rFonts w:ascii="Times New Roman" w:hAnsi="Times New Roman" w:cs="Times New Roman"/>
          <w:sz w:val="24"/>
          <w:szCs w:val="24"/>
        </w:rPr>
        <w:t>ensure their re-election in ‘Leave’ areas. Four of the five seats lost also voted ‘</w:t>
      </w:r>
      <w:r w:rsidR="000A6640">
        <w:rPr>
          <w:rFonts w:ascii="Times New Roman" w:hAnsi="Times New Roman" w:cs="Times New Roman"/>
          <w:sz w:val="24"/>
          <w:szCs w:val="24"/>
        </w:rPr>
        <w:t>Remain</w:t>
      </w:r>
      <w:r w:rsidRPr="002B7826">
        <w:rPr>
          <w:rFonts w:ascii="Times New Roman" w:hAnsi="Times New Roman" w:cs="Times New Roman"/>
          <w:sz w:val="24"/>
          <w:szCs w:val="24"/>
        </w:rPr>
        <w:t xml:space="preserve">’. Figure </w:t>
      </w:r>
      <w:r w:rsidR="002E3FD4">
        <w:rPr>
          <w:rFonts w:ascii="Times New Roman" w:hAnsi="Times New Roman" w:cs="Times New Roman"/>
          <w:sz w:val="24"/>
          <w:szCs w:val="24"/>
        </w:rPr>
        <w:t>5.</w:t>
      </w:r>
      <w:r w:rsidRPr="002B7826">
        <w:rPr>
          <w:rFonts w:ascii="Times New Roman" w:hAnsi="Times New Roman" w:cs="Times New Roman"/>
          <w:sz w:val="24"/>
          <w:szCs w:val="24"/>
        </w:rPr>
        <w:t>1 shows a positive relationship (correlation of 0.15* significant at 99% level) between the change in the Liberal Democrat vote 2015-17 and the perc</w:t>
      </w:r>
      <w:r w:rsidR="00E178CF" w:rsidRPr="002B7826">
        <w:rPr>
          <w:rFonts w:ascii="Times New Roman" w:hAnsi="Times New Roman" w:cs="Times New Roman"/>
          <w:sz w:val="24"/>
          <w:szCs w:val="24"/>
        </w:rPr>
        <w:t>entage ‘</w:t>
      </w:r>
      <w:r w:rsidR="000A6640">
        <w:rPr>
          <w:rFonts w:ascii="Times New Roman" w:hAnsi="Times New Roman" w:cs="Times New Roman"/>
          <w:sz w:val="24"/>
          <w:szCs w:val="24"/>
        </w:rPr>
        <w:t>Remain</w:t>
      </w:r>
      <w:r w:rsidR="00E178CF" w:rsidRPr="002B7826">
        <w:rPr>
          <w:rFonts w:ascii="Times New Roman" w:hAnsi="Times New Roman" w:cs="Times New Roman"/>
          <w:sz w:val="24"/>
          <w:szCs w:val="24"/>
        </w:rPr>
        <w:t>’ vote for all</w:t>
      </w:r>
      <w:r w:rsidRPr="002B7826">
        <w:rPr>
          <w:rFonts w:ascii="Times New Roman" w:hAnsi="Times New Roman" w:cs="Times New Roman"/>
          <w:sz w:val="24"/>
          <w:szCs w:val="24"/>
        </w:rPr>
        <w:t xml:space="preserve"> UK constituencies</w:t>
      </w:r>
      <w:r w:rsidR="002E3FD4">
        <w:rPr>
          <w:rFonts w:ascii="Times New Roman" w:hAnsi="Times New Roman" w:cs="Times New Roman"/>
          <w:sz w:val="24"/>
          <w:szCs w:val="24"/>
        </w:rPr>
        <w:t>,</w:t>
      </w:r>
      <w:r w:rsidRPr="002B7826">
        <w:rPr>
          <w:rFonts w:ascii="Times New Roman" w:hAnsi="Times New Roman" w:cs="Times New Roman"/>
          <w:sz w:val="24"/>
          <w:szCs w:val="24"/>
        </w:rPr>
        <w:t xml:space="preserve"> albeit the line is relatively flat. Table </w:t>
      </w:r>
      <w:r w:rsidR="002E3FD4">
        <w:rPr>
          <w:rFonts w:ascii="Times New Roman" w:hAnsi="Times New Roman" w:cs="Times New Roman"/>
          <w:sz w:val="24"/>
          <w:szCs w:val="24"/>
        </w:rPr>
        <w:t>5.</w:t>
      </w:r>
      <w:r w:rsidRPr="002B7826">
        <w:rPr>
          <w:rFonts w:ascii="Times New Roman" w:hAnsi="Times New Roman" w:cs="Times New Roman"/>
          <w:sz w:val="24"/>
          <w:szCs w:val="24"/>
        </w:rPr>
        <w:t>4 reveals how the Liberal Democrats performed in ‘Leave’ and ‘</w:t>
      </w:r>
      <w:r w:rsidR="000A6640">
        <w:rPr>
          <w:rFonts w:ascii="Times New Roman" w:hAnsi="Times New Roman" w:cs="Times New Roman"/>
          <w:sz w:val="24"/>
          <w:szCs w:val="24"/>
        </w:rPr>
        <w:t>Remain</w:t>
      </w:r>
      <w:r w:rsidRPr="002B7826">
        <w:rPr>
          <w:rFonts w:ascii="Times New Roman" w:hAnsi="Times New Roman" w:cs="Times New Roman"/>
          <w:sz w:val="24"/>
          <w:szCs w:val="24"/>
        </w:rPr>
        <w:t>’ seats in more depth. In 2017, the Liberal Democrat vote was four percentage points higher in ‘</w:t>
      </w:r>
      <w:r w:rsidR="000A6640">
        <w:rPr>
          <w:rFonts w:ascii="Times New Roman" w:hAnsi="Times New Roman" w:cs="Times New Roman"/>
          <w:sz w:val="24"/>
          <w:szCs w:val="24"/>
        </w:rPr>
        <w:t>Remain</w:t>
      </w:r>
      <w:r w:rsidRPr="002B7826">
        <w:rPr>
          <w:rFonts w:ascii="Times New Roman" w:hAnsi="Times New Roman" w:cs="Times New Roman"/>
          <w:sz w:val="24"/>
          <w:szCs w:val="24"/>
        </w:rPr>
        <w:t>’ areas than ‘Leave’ seats and 2.6</w:t>
      </w:r>
      <w:r w:rsidR="002E3FD4">
        <w:rPr>
          <w:rFonts w:ascii="Times New Roman" w:hAnsi="Times New Roman" w:cs="Times New Roman"/>
          <w:sz w:val="24"/>
          <w:szCs w:val="24"/>
        </w:rPr>
        <w:t>%</w:t>
      </w:r>
      <w:r w:rsidRPr="002B7826">
        <w:rPr>
          <w:rFonts w:ascii="Times New Roman" w:hAnsi="Times New Roman" w:cs="Times New Roman"/>
          <w:sz w:val="24"/>
          <w:szCs w:val="24"/>
        </w:rPr>
        <w:t xml:space="preserve"> higher than their national vote share. When we break down these seats according to support for ‘</w:t>
      </w:r>
      <w:r w:rsidR="000A6640">
        <w:rPr>
          <w:rFonts w:ascii="Times New Roman" w:hAnsi="Times New Roman" w:cs="Times New Roman"/>
          <w:sz w:val="24"/>
          <w:szCs w:val="24"/>
        </w:rPr>
        <w:t>Remain</w:t>
      </w:r>
      <w:r w:rsidRPr="002B7826">
        <w:rPr>
          <w:rFonts w:ascii="Times New Roman" w:hAnsi="Times New Roman" w:cs="Times New Roman"/>
          <w:sz w:val="24"/>
          <w:szCs w:val="24"/>
        </w:rPr>
        <w:t xml:space="preserve">’ and ‘Leave’, it </w:t>
      </w:r>
      <w:r w:rsidR="002E3FD4">
        <w:rPr>
          <w:rFonts w:ascii="Times New Roman" w:hAnsi="Times New Roman" w:cs="Times New Roman"/>
          <w:sz w:val="24"/>
          <w:szCs w:val="24"/>
        </w:rPr>
        <w:t xml:space="preserve">transpires </w:t>
      </w:r>
      <w:r w:rsidRPr="002B7826">
        <w:rPr>
          <w:rFonts w:ascii="Times New Roman" w:hAnsi="Times New Roman" w:cs="Times New Roman"/>
          <w:sz w:val="24"/>
          <w:szCs w:val="24"/>
        </w:rPr>
        <w:t>that the Liberal Democrat vote in ‘Hard Brexit’ areas</w:t>
      </w:r>
      <w:r w:rsidR="002E3FD4">
        <w:rPr>
          <w:rFonts w:ascii="Times New Roman" w:hAnsi="Times New Roman" w:cs="Times New Roman"/>
          <w:sz w:val="24"/>
          <w:szCs w:val="24"/>
        </w:rPr>
        <w:t xml:space="preserve"> (with a 60%+ ‘Leave’ vote)</w:t>
      </w:r>
      <w:r w:rsidRPr="002B7826">
        <w:rPr>
          <w:rFonts w:ascii="Times New Roman" w:hAnsi="Times New Roman" w:cs="Times New Roman"/>
          <w:sz w:val="24"/>
          <w:szCs w:val="24"/>
        </w:rPr>
        <w:t xml:space="preserve"> is 3.3</w:t>
      </w:r>
      <w:r w:rsidR="0028434D">
        <w:rPr>
          <w:rFonts w:ascii="Times New Roman" w:hAnsi="Times New Roman" w:cs="Times New Roman"/>
          <w:sz w:val="24"/>
          <w:szCs w:val="24"/>
        </w:rPr>
        <w:t>%</w:t>
      </w:r>
      <w:r w:rsidRPr="002B7826">
        <w:rPr>
          <w:rFonts w:ascii="Times New Roman" w:hAnsi="Times New Roman" w:cs="Times New Roman"/>
          <w:sz w:val="24"/>
          <w:szCs w:val="24"/>
        </w:rPr>
        <w:t xml:space="preserve"> lower than in ‘Soft Brexit’ seats. Liberal Democrat support was marginally higher in ‘Hard </w:t>
      </w:r>
      <w:r w:rsidR="000A6640">
        <w:rPr>
          <w:rFonts w:ascii="Times New Roman" w:hAnsi="Times New Roman" w:cs="Times New Roman"/>
          <w:sz w:val="24"/>
          <w:szCs w:val="24"/>
        </w:rPr>
        <w:t>Remain</w:t>
      </w:r>
      <w:r w:rsidRPr="002B7826">
        <w:rPr>
          <w:rFonts w:ascii="Times New Roman" w:hAnsi="Times New Roman" w:cs="Times New Roman"/>
          <w:sz w:val="24"/>
          <w:szCs w:val="24"/>
        </w:rPr>
        <w:t>’</w:t>
      </w:r>
      <w:r w:rsidR="002E3FD4">
        <w:rPr>
          <w:rFonts w:ascii="Times New Roman" w:hAnsi="Times New Roman" w:cs="Times New Roman"/>
          <w:sz w:val="24"/>
          <w:szCs w:val="24"/>
        </w:rPr>
        <w:t xml:space="preserve"> (60%+)</w:t>
      </w:r>
      <w:r w:rsidRPr="002B7826">
        <w:rPr>
          <w:rFonts w:ascii="Times New Roman" w:hAnsi="Times New Roman" w:cs="Times New Roman"/>
          <w:sz w:val="24"/>
          <w:szCs w:val="24"/>
        </w:rPr>
        <w:t xml:space="preserve"> seats but there was not a great deal of difference. Table </w:t>
      </w:r>
      <w:r w:rsidR="002E3FD4">
        <w:rPr>
          <w:rFonts w:ascii="Times New Roman" w:hAnsi="Times New Roman" w:cs="Times New Roman"/>
          <w:sz w:val="24"/>
          <w:szCs w:val="24"/>
        </w:rPr>
        <w:t>5.</w:t>
      </w:r>
      <w:r w:rsidRPr="002B7826">
        <w:rPr>
          <w:rFonts w:ascii="Times New Roman" w:hAnsi="Times New Roman" w:cs="Times New Roman"/>
          <w:sz w:val="24"/>
          <w:szCs w:val="24"/>
        </w:rPr>
        <w:t>4 also contains party vote share across the ‘Leave’ and ‘</w:t>
      </w:r>
      <w:r w:rsidR="000A6640">
        <w:rPr>
          <w:rFonts w:ascii="Times New Roman" w:hAnsi="Times New Roman" w:cs="Times New Roman"/>
          <w:sz w:val="24"/>
          <w:szCs w:val="24"/>
        </w:rPr>
        <w:t>Remain</w:t>
      </w:r>
      <w:r w:rsidRPr="002B7826">
        <w:rPr>
          <w:rFonts w:ascii="Times New Roman" w:hAnsi="Times New Roman" w:cs="Times New Roman"/>
          <w:sz w:val="24"/>
          <w:szCs w:val="24"/>
        </w:rPr>
        <w:t xml:space="preserve">’ categories in 2015 and notes the change in support. Overall, Liberal Democrat support in ‘Leave’ seats dropped by </w:t>
      </w:r>
      <w:r w:rsidR="00B40E09">
        <w:rPr>
          <w:rFonts w:ascii="Times New Roman" w:hAnsi="Times New Roman" w:cs="Times New Roman"/>
          <w:sz w:val="24"/>
          <w:szCs w:val="24"/>
        </w:rPr>
        <w:t xml:space="preserve">1% </w:t>
      </w:r>
      <w:r w:rsidRPr="002B7826">
        <w:rPr>
          <w:rFonts w:ascii="Times New Roman" w:hAnsi="Times New Roman" w:cs="Times New Roman"/>
          <w:sz w:val="24"/>
          <w:szCs w:val="24"/>
        </w:rPr>
        <w:t xml:space="preserve">but the real story is the </w:t>
      </w:r>
      <w:r w:rsidR="00B40E09">
        <w:rPr>
          <w:rFonts w:ascii="Times New Roman" w:hAnsi="Times New Roman" w:cs="Times New Roman"/>
          <w:sz w:val="24"/>
          <w:szCs w:val="24"/>
        </w:rPr>
        <w:t xml:space="preserve">lack of </w:t>
      </w:r>
      <w:r w:rsidRPr="002B7826">
        <w:rPr>
          <w:rFonts w:ascii="Times New Roman" w:hAnsi="Times New Roman" w:cs="Times New Roman"/>
          <w:sz w:val="24"/>
          <w:szCs w:val="24"/>
        </w:rPr>
        <w:t>growth in all ‘</w:t>
      </w:r>
      <w:r w:rsidR="000A6640">
        <w:rPr>
          <w:rFonts w:ascii="Times New Roman" w:hAnsi="Times New Roman" w:cs="Times New Roman"/>
          <w:sz w:val="24"/>
          <w:szCs w:val="24"/>
        </w:rPr>
        <w:t>Remain</w:t>
      </w:r>
      <w:r w:rsidRPr="002B7826">
        <w:rPr>
          <w:rFonts w:ascii="Times New Roman" w:hAnsi="Times New Roman" w:cs="Times New Roman"/>
          <w:sz w:val="24"/>
          <w:szCs w:val="24"/>
        </w:rPr>
        <w:t>’ constituencies between 2015 and 2017. The Liberal Democrats were always unlikely to translate ‘</w:t>
      </w:r>
      <w:r w:rsidR="000A6640">
        <w:rPr>
          <w:rFonts w:ascii="Times New Roman" w:hAnsi="Times New Roman" w:cs="Times New Roman"/>
          <w:sz w:val="24"/>
          <w:szCs w:val="24"/>
        </w:rPr>
        <w:t>Remain</w:t>
      </w:r>
      <w:r w:rsidRPr="008C2518">
        <w:rPr>
          <w:rFonts w:ascii="Times New Roman" w:hAnsi="Times New Roman" w:cs="Times New Roman"/>
          <w:sz w:val="24"/>
          <w:szCs w:val="24"/>
        </w:rPr>
        <w:t xml:space="preserve">’ support into significant gains but there was an expectation that the party would </w:t>
      </w:r>
      <w:r w:rsidR="00B40E09">
        <w:rPr>
          <w:rFonts w:ascii="Times New Roman" w:hAnsi="Times New Roman" w:cs="Times New Roman"/>
          <w:sz w:val="24"/>
          <w:szCs w:val="24"/>
        </w:rPr>
        <w:t xml:space="preserve">at least </w:t>
      </w:r>
      <w:r w:rsidRPr="008C2518">
        <w:rPr>
          <w:rFonts w:ascii="Times New Roman" w:hAnsi="Times New Roman" w:cs="Times New Roman"/>
          <w:sz w:val="24"/>
          <w:szCs w:val="24"/>
        </w:rPr>
        <w:t xml:space="preserve">record large shifts of support in their direction. It simply did not materialise. </w:t>
      </w:r>
    </w:p>
    <w:p w14:paraId="26D688AF" w14:textId="76931E56" w:rsidR="00EF21F1" w:rsidRPr="008C2518" w:rsidRDefault="00EF21F1" w:rsidP="008C2518">
      <w:pPr>
        <w:spacing w:line="480" w:lineRule="auto"/>
        <w:jc w:val="center"/>
        <w:rPr>
          <w:rFonts w:ascii="Times New Roman" w:hAnsi="Times New Roman" w:cs="Times New Roman"/>
          <w:b/>
          <w:sz w:val="24"/>
          <w:szCs w:val="24"/>
        </w:rPr>
      </w:pPr>
      <w:r w:rsidRPr="008C2518">
        <w:rPr>
          <w:rFonts w:ascii="Times New Roman" w:hAnsi="Times New Roman" w:cs="Times New Roman"/>
          <w:sz w:val="24"/>
          <w:szCs w:val="24"/>
        </w:rPr>
        <w:t xml:space="preserve">Insert Figure </w:t>
      </w:r>
      <w:r w:rsidR="00B40E09">
        <w:rPr>
          <w:rFonts w:ascii="Times New Roman" w:hAnsi="Times New Roman" w:cs="Times New Roman"/>
          <w:sz w:val="24"/>
          <w:szCs w:val="24"/>
        </w:rPr>
        <w:t>5.</w:t>
      </w:r>
      <w:r w:rsidRPr="008C2518">
        <w:rPr>
          <w:rFonts w:ascii="Times New Roman" w:hAnsi="Times New Roman" w:cs="Times New Roman"/>
          <w:sz w:val="24"/>
          <w:szCs w:val="24"/>
        </w:rPr>
        <w:t xml:space="preserve">1 and Table </w:t>
      </w:r>
      <w:r w:rsidR="00B40E09">
        <w:rPr>
          <w:rFonts w:ascii="Times New Roman" w:hAnsi="Times New Roman" w:cs="Times New Roman"/>
          <w:sz w:val="24"/>
          <w:szCs w:val="24"/>
        </w:rPr>
        <w:t>5.</w:t>
      </w:r>
      <w:r w:rsidRPr="008C2518">
        <w:rPr>
          <w:rFonts w:ascii="Times New Roman" w:hAnsi="Times New Roman" w:cs="Times New Roman"/>
          <w:sz w:val="24"/>
          <w:szCs w:val="24"/>
        </w:rPr>
        <w:t>4</w:t>
      </w:r>
    </w:p>
    <w:p w14:paraId="518ACFD2" w14:textId="77777777" w:rsidR="00281AD7" w:rsidRDefault="00281AD7" w:rsidP="008C2518">
      <w:pPr>
        <w:spacing w:line="480" w:lineRule="auto"/>
        <w:rPr>
          <w:rFonts w:ascii="Times New Roman" w:hAnsi="Times New Roman" w:cs="Times New Roman"/>
          <w:b/>
          <w:sz w:val="24"/>
          <w:szCs w:val="24"/>
        </w:rPr>
      </w:pPr>
    </w:p>
    <w:p w14:paraId="48314A6B" w14:textId="79079DD8" w:rsidR="0028434D" w:rsidRDefault="0028434D" w:rsidP="008C251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Causes and Consequences</w:t>
      </w:r>
    </w:p>
    <w:p w14:paraId="0F46585A" w14:textId="2600B6ED" w:rsidR="00EF21F1" w:rsidRPr="008C2518" w:rsidRDefault="00EF21F1" w:rsidP="008C2518">
      <w:pPr>
        <w:spacing w:line="480" w:lineRule="auto"/>
        <w:rPr>
          <w:rFonts w:ascii="Times New Roman" w:hAnsi="Times New Roman" w:cs="Times New Roman"/>
          <w:sz w:val="24"/>
          <w:szCs w:val="24"/>
        </w:rPr>
      </w:pPr>
      <w:r w:rsidRPr="008C2518">
        <w:rPr>
          <w:rFonts w:ascii="Times New Roman" w:hAnsi="Times New Roman" w:cs="Times New Roman"/>
          <w:i/>
          <w:sz w:val="24"/>
          <w:szCs w:val="24"/>
        </w:rPr>
        <w:t>Farron’s Failure?</w:t>
      </w:r>
    </w:p>
    <w:p w14:paraId="18B81FB5" w14:textId="343F5564" w:rsidR="00EF21F1" w:rsidRPr="002B7826" w:rsidRDefault="00EF21F1" w:rsidP="008C2518">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t xml:space="preserve">It would be easy to lay the blame for Liberal Democrat underachievement </w:t>
      </w:r>
      <w:r w:rsidR="00B40E09">
        <w:rPr>
          <w:rFonts w:ascii="Times New Roman" w:hAnsi="Times New Roman" w:cs="Times New Roman"/>
          <w:sz w:val="24"/>
          <w:szCs w:val="24"/>
        </w:rPr>
        <w:t xml:space="preserve">upon </w:t>
      </w:r>
      <w:r w:rsidRPr="008C2518">
        <w:rPr>
          <w:rFonts w:ascii="Times New Roman" w:hAnsi="Times New Roman" w:cs="Times New Roman"/>
          <w:sz w:val="24"/>
          <w:szCs w:val="24"/>
        </w:rPr>
        <w:t>Tim Farron</w:t>
      </w:r>
      <w:r w:rsidR="00B40E09">
        <w:rPr>
          <w:rFonts w:ascii="Times New Roman" w:hAnsi="Times New Roman" w:cs="Times New Roman"/>
          <w:sz w:val="24"/>
          <w:szCs w:val="24"/>
        </w:rPr>
        <w:t>.</w:t>
      </w:r>
      <w:r w:rsidRPr="008C2518">
        <w:rPr>
          <w:rFonts w:ascii="Times New Roman" w:hAnsi="Times New Roman" w:cs="Times New Roman"/>
          <w:sz w:val="24"/>
          <w:szCs w:val="24"/>
        </w:rPr>
        <w:t xml:space="preserve"> He struggled to combine his evangelical Christian beliefs with being leader of a party built on tolerance and openness to others. Farron’s discomfort and awkwardness was clear at the start of the campaign as he first declined to give a clear answer in an interview about whether homosexuality was sinful</w:t>
      </w:r>
      <w:r w:rsidR="00B40E09">
        <w:rPr>
          <w:rFonts w:ascii="Times New Roman" w:hAnsi="Times New Roman" w:cs="Times New Roman"/>
          <w:sz w:val="24"/>
          <w:szCs w:val="24"/>
        </w:rPr>
        <w:t>,</w:t>
      </w:r>
      <w:r w:rsidRPr="008C2518">
        <w:rPr>
          <w:rFonts w:ascii="Times New Roman" w:hAnsi="Times New Roman" w:cs="Times New Roman"/>
          <w:sz w:val="24"/>
          <w:szCs w:val="24"/>
        </w:rPr>
        <w:t xml:space="preserve"> only to later address it in the House of Commons. Media questions persisted and Farron’s responses on the morality of homosexuality haunted the campaign. Part of the context was Farron’s previous voting record – abstention on equal marriage bill (3</w:t>
      </w:r>
      <w:r w:rsidRPr="008C2518">
        <w:rPr>
          <w:rFonts w:ascii="Times New Roman" w:hAnsi="Times New Roman" w:cs="Times New Roman"/>
          <w:sz w:val="24"/>
          <w:szCs w:val="24"/>
          <w:vertAlign w:val="superscript"/>
        </w:rPr>
        <w:t>rd</w:t>
      </w:r>
      <w:r w:rsidRPr="008C2518">
        <w:rPr>
          <w:rFonts w:ascii="Times New Roman" w:hAnsi="Times New Roman" w:cs="Times New Roman"/>
          <w:sz w:val="24"/>
          <w:szCs w:val="24"/>
        </w:rPr>
        <w:t xml:space="preserve"> reading); voted against the 2007 Equality Act (Sexual Orientations) regulations – although he had subsequently spoken up for LGBT</w:t>
      </w:r>
      <w:r w:rsidR="00B40E09">
        <w:rPr>
          <w:rFonts w:ascii="Times New Roman" w:hAnsi="Times New Roman" w:cs="Times New Roman"/>
          <w:sz w:val="24"/>
          <w:szCs w:val="24"/>
        </w:rPr>
        <w:t>I</w:t>
      </w:r>
      <w:r w:rsidRPr="002B7826">
        <w:rPr>
          <w:rFonts w:ascii="Times New Roman" w:hAnsi="Times New Roman" w:cs="Times New Roman"/>
          <w:sz w:val="24"/>
          <w:szCs w:val="24"/>
        </w:rPr>
        <w:t xml:space="preserve"> rights and supported </w:t>
      </w:r>
      <w:r w:rsidR="00B40E09">
        <w:rPr>
          <w:rFonts w:ascii="Times New Roman" w:hAnsi="Times New Roman" w:cs="Times New Roman"/>
          <w:sz w:val="24"/>
          <w:szCs w:val="24"/>
        </w:rPr>
        <w:t>g</w:t>
      </w:r>
      <w:r w:rsidRPr="002B7826">
        <w:rPr>
          <w:rFonts w:ascii="Times New Roman" w:hAnsi="Times New Roman" w:cs="Times New Roman"/>
          <w:sz w:val="24"/>
          <w:szCs w:val="24"/>
        </w:rPr>
        <w:t>ay marriage</w:t>
      </w:r>
      <w:r w:rsidR="00B40E09">
        <w:rPr>
          <w:rFonts w:ascii="Times New Roman" w:hAnsi="Times New Roman" w:cs="Times New Roman"/>
          <w:sz w:val="24"/>
          <w:szCs w:val="24"/>
        </w:rPr>
        <w:t xml:space="preserve"> in Commons votes</w:t>
      </w:r>
      <w:r w:rsidRPr="002B7826">
        <w:rPr>
          <w:rFonts w:ascii="Times New Roman" w:hAnsi="Times New Roman" w:cs="Times New Roman"/>
          <w:sz w:val="24"/>
          <w:szCs w:val="24"/>
        </w:rPr>
        <w:t xml:space="preserve">. Ironically Farron had also encouraged internal reform in the party. The manifesto for instance pledged </w:t>
      </w:r>
      <w:r w:rsidRPr="002B7826">
        <w:rPr>
          <w:rFonts w:ascii="Times New Roman" w:eastAsia="Times New Roman" w:hAnsi="Times New Roman" w:cs="Times New Roman"/>
          <w:sz w:val="24"/>
          <w:szCs w:val="24"/>
          <w:lang w:eastAsia="en-GB"/>
        </w:rPr>
        <w:t>all-LGBT</w:t>
      </w:r>
      <w:r w:rsidR="00B40E09">
        <w:rPr>
          <w:rFonts w:ascii="Times New Roman" w:eastAsia="Times New Roman" w:hAnsi="Times New Roman" w:cs="Times New Roman"/>
          <w:sz w:val="24"/>
          <w:szCs w:val="24"/>
          <w:lang w:eastAsia="en-GB"/>
        </w:rPr>
        <w:t>I</w:t>
      </w:r>
      <w:r w:rsidRPr="002B7826">
        <w:rPr>
          <w:rFonts w:ascii="Times New Roman" w:eastAsia="Times New Roman" w:hAnsi="Times New Roman" w:cs="Times New Roman"/>
          <w:sz w:val="24"/>
          <w:szCs w:val="24"/>
          <w:lang w:eastAsia="en-GB"/>
        </w:rPr>
        <w:t xml:space="preserve"> parliamentary shortlists. </w:t>
      </w:r>
      <w:r w:rsidRPr="002B7826">
        <w:rPr>
          <w:rFonts w:ascii="Times New Roman" w:hAnsi="Times New Roman" w:cs="Times New Roman"/>
          <w:sz w:val="24"/>
          <w:szCs w:val="24"/>
        </w:rPr>
        <w:t>Crucially Farron’s personal stance was at odds with the very voters that the Liberal Democrats sought to win over: young, cosmopolitan, liberal ‘</w:t>
      </w:r>
      <w:r w:rsidR="000A6640">
        <w:rPr>
          <w:rFonts w:ascii="Times New Roman" w:hAnsi="Times New Roman" w:cs="Times New Roman"/>
          <w:sz w:val="24"/>
          <w:szCs w:val="24"/>
        </w:rPr>
        <w:t>Remain</w:t>
      </w:r>
      <w:r w:rsidRPr="002B7826">
        <w:rPr>
          <w:rFonts w:ascii="Times New Roman" w:hAnsi="Times New Roman" w:cs="Times New Roman"/>
          <w:sz w:val="24"/>
          <w:szCs w:val="24"/>
        </w:rPr>
        <w:t xml:space="preserve">ers’ who collectively celebrated sexual equality. </w:t>
      </w:r>
    </w:p>
    <w:p w14:paraId="6AA52045" w14:textId="41D5B50C" w:rsidR="00EF21F1" w:rsidRPr="002B7826" w:rsidRDefault="00EF21F1" w:rsidP="008C2518">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Importantly for the party, the issue dominated the first 24 hours and then dogged the latter parts of the campaign just when the Liberal Democrats had an audience for its key election messages. In the past, media exposure during the short campaign period had led to surges in Liberal Democrat support</w:t>
      </w:r>
      <w:r w:rsidR="00E178CF" w:rsidRPr="002B7826">
        <w:rPr>
          <w:rFonts w:ascii="Times New Roman" w:hAnsi="Times New Roman" w:cs="Times New Roman"/>
          <w:sz w:val="24"/>
          <w:szCs w:val="24"/>
        </w:rPr>
        <w:t xml:space="preserve"> (Russell and Fieldhouse, 2005)</w:t>
      </w:r>
      <w:r w:rsidRPr="002B7826">
        <w:rPr>
          <w:rFonts w:ascii="Times New Roman" w:hAnsi="Times New Roman" w:cs="Times New Roman"/>
          <w:sz w:val="24"/>
          <w:szCs w:val="24"/>
        </w:rPr>
        <w:t xml:space="preserve">. </w:t>
      </w:r>
      <w:r w:rsidR="00B40E09">
        <w:rPr>
          <w:rFonts w:ascii="Times New Roman" w:hAnsi="Times New Roman" w:cs="Times New Roman"/>
          <w:sz w:val="24"/>
          <w:szCs w:val="24"/>
        </w:rPr>
        <w:t xml:space="preserve">Media </w:t>
      </w:r>
      <w:r w:rsidRPr="002B7826">
        <w:rPr>
          <w:rFonts w:ascii="Times New Roman" w:hAnsi="Times New Roman" w:cs="Times New Roman"/>
          <w:sz w:val="24"/>
          <w:szCs w:val="24"/>
        </w:rPr>
        <w:t xml:space="preserve">focus </w:t>
      </w:r>
      <w:r w:rsidR="00B40E09">
        <w:rPr>
          <w:rFonts w:ascii="Times New Roman" w:hAnsi="Times New Roman" w:cs="Times New Roman"/>
          <w:sz w:val="24"/>
          <w:szCs w:val="24"/>
        </w:rPr>
        <w:t xml:space="preserve">tests the ability of party </w:t>
      </w:r>
      <w:r w:rsidRPr="002B7826">
        <w:rPr>
          <w:rFonts w:ascii="Times New Roman" w:hAnsi="Times New Roman" w:cs="Times New Roman"/>
          <w:sz w:val="24"/>
          <w:szCs w:val="24"/>
        </w:rPr>
        <w:t>leaders to deliver message</w:t>
      </w:r>
      <w:r w:rsidR="00B40E09">
        <w:rPr>
          <w:rFonts w:ascii="Times New Roman" w:hAnsi="Times New Roman" w:cs="Times New Roman"/>
          <w:sz w:val="24"/>
          <w:szCs w:val="24"/>
        </w:rPr>
        <w:t>s</w:t>
      </w:r>
      <w:r w:rsidRPr="002B7826">
        <w:rPr>
          <w:rFonts w:ascii="Times New Roman" w:hAnsi="Times New Roman" w:cs="Times New Roman"/>
          <w:sz w:val="24"/>
          <w:szCs w:val="24"/>
        </w:rPr>
        <w:t xml:space="preserve"> in a manageable form. For third parties, the leader is arguably even more crucial. They have a limited time during the election campaign to get the right message across but often it is the first </w:t>
      </w:r>
      <w:r w:rsidRPr="002B7826">
        <w:rPr>
          <w:rFonts w:ascii="Times New Roman" w:hAnsi="Times New Roman" w:cs="Times New Roman"/>
          <w:sz w:val="24"/>
          <w:szCs w:val="24"/>
        </w:rPr>
        <w:lastRenderedPageBreak/>
        <w:t>time that many in the electorate have paid attention to the leaders of parties other than the main two. Being embroiled in public stand-offs with the media therefore wasted valuable time, drew negative publicity and distracted voters from the party’s message.</w:t>
      </w:r>
    </w:p>
    <w:p w14:paraId="5BD3D5C6" w14:textId="4AECE252" w:rsidR="00EF21F1" w:rsidRPr="008C2518" w:rsidRDefault="00EF21F1" w:rsidP="008C2518">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Contrary to expectations Farron was unable to build a dialogue with the electorate. His approval ratings actually got worse during the campaign moving from -22 at the start of May to -26 in the week before polling day. Less than two weeks before election-day 52% of those asked in an Opinium poll could not name the Liberal Democrat leader (</w:t>
      </w:r>
      <w:r w:rsidRPr="008C2518">
        <w:rPr>
          <w:rFonts w:ascii="Times New Roman" w:hAnsi="Times New Roman" w:cs="Times New Roman"/>
          <w:i/>
          <w:sz w:val="24"/>
          <w:szCs w:val="24"/>
        </w:rPr>
        <w:t>Daily Telegraph</w:t>
      </w:r>
      <w:r w:rsidRPr="008C2518">
        <w:rPr>
          <w:rFonts w:ascii="Times New Roman" w:hAnsi="Times New Roman" w:cs="Times New Roman"/>
          <w:sz w:val="24"/>
          <w:szCs w:val="24"/>
        </w:rPr>
        <w:t>, 26</w:t>
      </w:r>
      <w:r w:rsidRPr="008C2518">
        <w:rPr>
          <w:rFonts w:ascii="Times New Roman" w:hAnsi="Times New Roman" w:cs="Times New Roman"/>
          <w:sz w:val="24"/>
          <w:szCs w:val="24"/>
          <w:vertAlign w:val="superscript"/>
        </w:rPr>
        <w:t>th</w:t>
      </w:r>
      <w:r w:rsidRPr="008C2518">
        <w:rPr>
          <w:rFonts w:ascii="Times New Roman" w:hAnsi="Times New Roman" w:cs="Times New Roman"/>
          <w:sz w:val="24"/>
          <w:szCs w:val="24"/>
        </w:rPr>
        <w:t xml:space="preserve"> May 2017). By the final week of the campaign, 35% of those asked did not know if he was doing well or badly</w:t>
      </w:r>
      <w:r w:rsidR="0086742E">
        <w:rPr>
          <w:rFonts w:ascii="Times New Roman" w:hAnsi="Times New Roman" w:cs="Times New Roman"/>
          <w:sz w:val="24"/>
          <w:szCs w:val="24"/>
        </w:rPr>
        <w:t>,</w:t>
      </w:r>
      <w:r w:rsidRPr="008C2518">
        <w:rPr>
          <w:rFonts w:ascii="Times New Roman" w:hAnsi="Times New Roman" w:cs="Times New Roman"/>
          <w:sz w:val="24"/>
          <w:szCs w:val="24"/>
        </w:rPr>
        <w:t xml:space="preserve"> compared to 11% for May and</w:t>
      </w:r>
      <w:r w:rsidR="00E178CF" w:rsidRPr="008C2518">
        <w:rPr>
          <w:rFonts w:ascii="Times New Roman" w:hAnsi="Times New Roman" w:cs="Times New Roman"/>
          <w:sz w:val="24"/>
          <w:szCs w:val="24"/>
        </w:rPr>
        <w:t xml:space="preserve"> </w:t>
      </w:r>
      <w:r w:rsidRPr="008C2518">
        <w:rPr>
          <w:rFonts w:ascii="Times New Roman" w:hAnsi="Times New Roman" w:cs="Times New Roman"/>
          <w:sz w:val="24"/>
          <w:szCs w:val="24"/>
        </w:rPr>
        <w:t>13% for Corbyn (YouGov tracking poll). While a sizeable number of voters were unable to make a judgement on Farron’s leadership many others were unconvinced</w:t>
      </w:r>
      <w:r w:rsidR="00E178CF" w:rsidRPr="008C2518">
        <w:rPr>
          <w:rFonts w:ascii="Times New Roman" w:hAnsi="Times New Roman" w:cs="Times New Roman"/>
          <w:sz w:val="24"/>
          <w:szCs w:val="24"/>
        </w:rPr>
        <w:t xml:space="preserve"> as</w:t>
      </w:r>
      <w:r w:rsidRPr="008C2518">
        <w:rPr>
          <w:rFonts w:ascii="Times New Roman" w:hAnsi="Times New Roman" w:cs="Times New Roman"/>
          <w:sz w:val="24"/>
          <w:szCs w:val="24"/>
        </w:rPr>
        <w:t xml:space="preserve"> he simply failed to cut through. Despite his moral anxiety on homosexuality a more fundamental problem was that the party had simply become an irrelevance for many. </w:t>
      </w:r>
    </w:p>
    <w:p w14:paraId="68BCFD8B" w14:textId="1F29192F" w:rsidR="00EF21F1" w:rsidRPr="008C2518" w:rsidRDefault="00EF21F1" w:rsidP="008C2518">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t xml:space="preserve">Farron had been the overwhelming choice of the Liberal Democrats as the new leader after the 2015 debacle. He had offered a vision of a party reconnecting to its liberal roots, and activist base. Farron was always less comfortable in the Commons than his predecessors as Liberal Democrat leader. </w:t>
      </w:r>
      <w:r w:rsidR="0086742E">
        <w:rPr>
          <w:rFonts w:ascii="Times New Roman" w:hAnsi="Times New Roman" w:cs="Times New Roman"/>
          <w:sz w:val="24"/>
          <w:szCs w:val="24"/>
        </w:rPr>
        <w:t>U</w:t>
      </w:r>
      <w:r w:rsidRPr="008C2518">
        <w:rPr>
          <w:rFonts w:ascii="Times New Roman" w:hAnsi="Times New Roman" w:cs="Times New Roman"/>
          <w:sz w:val="24"/>
          <w:szCs w:val="24"/>
        </w:rPr>
        <w:t>nder him the party failed to appreciate the Westminster-heavy knock-on effects of t</w:t>
      </w:r>
      <w:r w:rsidR="00E178CF" w:rsidRPr="008C2518">
        <w:rPr>
          <w:rFonts w:ascii="Times New Roman" w:hAnsi="Times New Roman" w:cs="Times New Roman"/>
          <w:sz w:val="24"/>
          <w:szCs w:val="24"/>
        </w:rPr>
        <w:t>he 2015 result; usurped as the t</w:t>
      </w:r>
      <w:r w:rsidRPr="008C2518">
        <w:rPr>
          <w:rFonts w:ascii="Times New Roman" w:hAnsi="Times New Roman" w:cs="Times New Roman"/>
          <w:sz w:val="24"/>
          <w:szCs w:val="24"/>
        </w:rPr>
        <w:t xml:space="preserve">hird party in the Commons by the SNP, Farron did not even warrant a weekly slot in Prime Minister’s Questions. The profile of the Liberal Democrats sank from the minor coalition partner led by the Deputy Prime Minister to subterranean gang of eight with an anonymous leader. </w:t>
      </w:r>
    </w:p>
    <w:p w14:paraId="3557BDED" w14:textId="3856276B" w:rsidR="00EF21F1" w:rsidRPr="008C2518" w:rsidRDefault="00EF21F1" w:rsidP="008C2518">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lastRenderedPageBreak/>
        <w:t xml:space="preserve">Whatever discomforts his personal belief system triggered in the party’s psyche, it is the inability of Farron’s leadership to re-establish </w:t>
      </w:r>
      <w:r w:rsidR="0086742E">
        <w:rPr>
          <w:rFonts w:ascii="Times New Roman" w:hAnsi="Times New Roman" w:cs="Times New Roman"/>
          <w:sz w:val="24"/>
          <w:szCs w:val="24"/>
        </w:rPr>
        <w:t>l</w:t>
      </w:r>
      <w:r w:rsidRPr="008C2518">
        <w:rPr>
          <w:rFonts w:ascii="Times New Roman" w:hAnsi="Times New Roman" w:cs="Times New Roman"/>
          <w:sz w:val="24"/>
          <w:szCs w:val="24"/>
        </w:rPr>
        <w:t xml:space="preserve">iberalism as a viable concern that is his most marked failure. That the party chose 74 year old re-tread MP Vince Cable as </w:t>
      </w:r>
      <w:r w:rsidR="0086742E">
        <w:rPr>
          <w:rFonts w:ascii="Times New Roman" w:hAnsi="Times New Roman" w:cs="Times New Roman"/>
          <w:sz w:val="24"/>
          <w:szCs w:val="24"/>
        </w:rPr>
        <w:t xml:space="preserve">his replacement in </w:t>
      </w:r>
      <w:r w:rsidRPr="008C2518">
        <w:rPr>
          <w:rFonts w:ascii="Times New Roman" w:hAnsi="Times New Roman" w:cs="Times New Roman"/>
          <w:sz w:val="24"/>
          <w:szCs w:val="24"/>
        </w:rPr>
        <w:t xml:space="preserve">summer 2017 demonstrated a recognition that the party needed to re-establish itself as a parliamentary force again. </w:t>
      </w:r>
    </w:p>
    <w:p w14:paraId="5125E317" w14:textId="4628109E" w:rsidR="00E178CF" w:rsidRDefault="00EF21F1" w:rsidP="008C2518">
      <w:pPr>
        <w:spacing w:line="480" w:lineRule="auto"/>
        <w:jc w:val="both"/>
        <w:rPr>
          <w:rFonts w:ascii="Times New Roman" w:hAnsi="Times New Roman" w:cs="Times New Roman"/>
          <w:sz w:val="24"/>
          <w:szCs w:val="24"/>
        </w:rPr>
      </w:pPr>
      <w:r w:rsidRPr="008C2518">
        <w:rPr>
          <w:rFonts w:ascii="Times New Roman" w:hAnsi="Times New Roman" w:cs="Times New Roman"/>
          <w:sz w:val="24"/>
          <w:szCs w:val="24"/>
        </w:rPr>
        <w:t xml:space="preserve">Finally even the ability to galvanise his local party deserted Farron. His Westmorland and Lonsdale seat was regarded as the template for Liberal Democrat revival after coalition, yet in 2017 he only held on to a Conservative challenge for the seat by his fingertips. The balance of top-down/bottom-up equilibrium in the party would have to be recalibrated and Farron clearly </w:t>
      </w:r>
      <w:r w:rsidR="001142EF">
        <w:rPr>
          <w:rFonts w:ascii="Times New Roman" w:hAnsi="Times New Roman" w:cs="Times New Roman"/>
          <w:sz w:val="24"/>
          <w:szCs w:val="24"/>
        </w:rPr>
        <w:t xml:space="preserve">was not the leader to do this. </w:t>
      </w:r>
    </w:p>
    <w:p w14:paraId="3585B8B5" w14:textId="2ED842D3" w:rsidR="00EF21F1" w:rsidRPr="002B7826" w:rsidRDefault="00EF21F1" w:rsidP="008C2518">
      <w:pPr>
        <w:spacing w:line="480" w:lineRule="auto"/>
        <w:jc w:val="both"/>
        <w:rPr>
          <w:rFonts w:ascii="Times New Roman" w:hAnsi="Times New Roman" w:cs="Times New Roman"/>
          <w:sz w:val="24"/>
          <w:szCs w:val="24"/>
        </w:rPr>
      </w:pPr>
      <w:r w:rsidRPr="002B7826">
        <w:rPr>
          <w:rFonts w:ascii="Times New Roman" w:hAnsi="Times New Roman" w:cs="Times New Roman"/>
          <w:i/>
          <w:sz w:val="24"/>
          <w:szCs w:val="24"/>
        </w:rPr>
        <w:t>The Campaign</w:t>
      </w:r>
    </w:p>
    <w:p w14:paraId="660BCFF1" w14:textId="5EA7FD76" w:rsidR="00EF21F1" w:rsidRPr="002B7826" w:rsidRDefault="00EF21F1" w:rsidP="008C2518">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The 2017 Liberal Democrat campaign was a game of two halves. In the first the Liberal Democrats took the ‘Brexit’ challenge head-on. June 2017 was an opportunity to present the party as the political home for ‘</w:t>
      </w:r>
      <w:r w:rsidR="000A6640">
        <w:rPr>
          <w:rFonts w:ascii="Times New Roman" w:hAnsi="Times New Roman" w:cs="Times New Roman"/>
          <w:sz w:val="24"/>
          <w:szCs w:val="24"/>
        </w:rPr>
        <w:t>Remain</w:t>
      </w:r>
      <w:r w:rsidRPr="002B7826">
        <w:rPr>
          <w:rFonts w:ascii="Times New Roman" w:hAnsi="Times New Roman" w:cs="Times New Roman"/>
          <w:sz w:val="24"/>
          <w:szCs w:val="24"/>
        </w:rPr>
        <w:t xml:space="preserve">ers’ and give European enthusiasts some hope. A second ballot </w:t>
      </w:r>
      <w:r w:rsidR="0086742E">
        <w:rPr>
          <w:rFonts w:ascii="Times New Roman" w:hAnsi="Times New Roman" w:cs="Times New Roman"/>
          <w:sz w:val="24"/>
          <w:szCs w:val="24"/>
        </w:rPr>
        <w:t xml:space="preserve">on the details of Brexit </w:t>
      </w:r>
      <w:r w:rsidRPr="002B7826">
        <w:rPr>
          <w:rFonts w:ascii="Times New Roman" w:hAnsi="Times New Roman" w:cs="Times New Roman"/>
          <w:sz w:val="24"/>
          <w:szCs w:val="24"/>
        </w:rPr>
        <w:t>would provide an opportunity</w:t>
      </w:r>
      <w:r w:rsidR="001142EF">
        <w:rPr>
          <w:rFonts w:ascii="Times New Roman" w:hAnsi="Times New Roman" w:cs="Times New Roman"/>
          <w:sz w:val="24"/>
          <w:szCs w:val="24"/>
        </w:rPr>
        <w:t xml:space="preserve"> for a considered re-think.</w:t>
      </w:r>
      <w:r w:rsidR="0086742E">
        <w:rPr>
          <w:rFonts w:ascii="Times New Roman" w:hAnsi="Times New Roman" w:cs="Times New Roman"/>
          <w:sz w:val="24"/>
          <w:szCs w:val="24"/>
        </w:rPr>
        <w:t xml:space="preserve"> </w:t>
      </w:r>
      <w:r w:rsidRPr="002B7826">
        <w:rPr>
          <w:rFonts w:ascii="Times New Roman" w:hAnsi="Times New Roman" w:cs="Times New Roman"/>
          <w:sz w:val="24"/>
          <w:szCs w:val="24"/>
        </w:rPr>
        <w:t>Yet, for many it smacked of a devious way of re-running the referendum. Indeed one could reasonably make the case that the policy was illiberal and lacked respect for the original referendum result. The policy also lacked political nous since by their own admission, the Liberal Democrats accepted that they would not form the next government and had also ruled out any coalition agreement with Conservatives and Labour –</w:t>
      </w:r>
      <w:r w:rsidR="0086742E">
        <w:rPr>
          <w:rFonts w:ascii="Times New Roman" w:hAnsi="Times New Roman" w:cs="Times New Roman"/>
          <w:sz w:val="24"/>
          <w:szCs w:val="24"/>
        </w:rPr>
        <w:t xml:space="preserve"> </w:t>
      </w:r>
      <w:r w:rsidRPr="002B7826">
        <w:rPr>
          <w:rFonts w:ascii="Times New Roman" w:hAnsi="Times New Roman" w:cs="Times New Roman"/>
          <w:sz w:val="24"/>
          <w:szCs w:val="24"/>
        </w:rPr>
        <w:t xml:space="preserve">meaning that despite the rhetoric they would not be in a position to implement the policy or have any hope of reversing the Brexit decision through this route. A more focussed approach on the economic merits </w:t>
      </w:r>
      <w:r w:rsidRPr="002B7826">
        <w:rPr>
          <w:rFonts w:ascii="Times New Roman" w:hAnsi="Times New Roman" w:cs="Times New Roman"/>
          <w:sz w:val="24"/>
          <w:szCs w:val="24"/>
        </w:rPr>
        <w:lastRenderedPageBreak/>
        <w:t xml:space="preserve">of </w:t>
      </w:r>
      <w:r w:rsidR="0086742E">
        <w:rPr>
          <w:rFonts w:ascii="Times New Roman" w:hAnsi="Times New Roman" w:cs="Times New Roman"/>
          <w:sz w:val="24"/>
          <w:szCs w:val="24"/>
        </w:rPr>
        <w:t>r</w:t>
      </w:r>
      <w:r w:rsidR="000A6640">
        <w:rPr>
          <w:rFonts w:ascii="Times New Roman" w:hAnsi="Times New Roman" w:cs="Times New Roman"/>
          <w:sz w:val="24"/>
          <w:szCs w:val="24"/>
        </w:rPr>
        <w:t>emain</w:t>
      </w:r>
      <w:r w:rsidRPr="002B7826">
        <w:rPr>
          <w:rFonts w:ascii="Times New Roman" w:hAnsi="Times New Roman" w:cs="Times New Roman"/>
          <w:sz w:val="24"/>
          <w:szCs w:val="24"/>
        </w:rPr>
        <w:t xml:space="preserve">ing in the single market and customs union </w:t>
      </w:r>
      <w:r w:rsidR="0086742E">
        <w:rPr>
          <w:rFonts w:ascii="Times New Roman" w:hAnsi="Times New Roman" w:cs="Times New Roman"/>
          <w:sz w:val="24"/>
          <w:szCs w:val="24"/>
        </w:rPr>
        <w:t xml:space="preserve">might </w:t>
      </w:r>
      <w:r w:rsidRPr="002B7826">
        <w:rPr>
          <w:rFonts w:ascii="Times New Roman" w:hAnsi="Times New Roman" w:cs="Times New Roman"/>
          <w:sz w:val="24"/>
          <w:szCs w:val="24"/>
        </w:rPr>
        <w:t xml:space="preserve">have proved a much stronger sell and maintained clear water from Labour’s ambiguous position. </w:t>
      </w:r>
    </w:p>
    <w:p w14:paraId="6E3548BC" w14:textId="56F86B08" w:rsidR="00EF21F1" w:rsidRPr="002B7826" w:rsidRDefault="00EF21F1" w:rsidP="008C2518">
      <w:pPr>
        <w:spacing w:line="480" w:lineRule="auto"/>
        <w:jc w:val="both"/>
        <w:rPr>
          <w:rFonts w:ascii="Times New Roman" w:eastAsia="Times New Roman" w:hAnsi="Times New Roman" w:cs="Times New Roman"/>
          <w:sz w:val="24"/>
          <w:szCs w:val="24"/>
          <w:lang w:eastAsia="en-GB"/>
        </w:rPr>
      </w:pPr>
      <w:r w:rsidRPr="002B7826">
        <w:rPr>
          <w:rFonts w:ascii="Times New Roman" w:hAnsi="Times New Roman" w:cs="Times New Roman"/>
          <w:sz w:val="24"/>
          <w:szCs w:val="24"/>
        </w:rPr>
        <w:t>Beyond Brexit the Liberal Democrats</w:t>
      </w:r>
      <w:r w:rsidR="0086742E">
        <w:rPr>
          <w:rFonts w:ascii="Times New Roman" w:hAnsi="Times New Roman" w:cs="Times New Roman"/>
          <w:sz w:val="24"/>
          <w:szCs w:val="24"/>
        </w:rPr>
        <w:t>’</w:t>
      </w:r>
      <w:r w:rsidRPr="002B7826">
        <w:rPr>
          <w:rFonts w:ascii="Times New Roman" w:hAnsi="Times New Roman" w:cs="Times New Roman"/>
          <w:sz w:val="24"/>
          <w:szCs w:val="24"/>
        </w:rPr>
        <w:t xml:space="preserve"> manifesto contained many headline proposals – </w:t>
      </w:r>
      <w:r w:rsidRPr="002B7826">
        <w:rPr>
          <w:rFonts w:ascii="Times New Roman" w:eastAsia="Times New Roman" w:hAnsi="Times New Roman" w:cs="Times New Roman"/>
          <w:sz w:val="24"/>
          <w:szCs w:val="24"/>
          <w:lang w:eastAsia="en-GB"/>
        </w:rPr>
        <w:t xml:space="preserve">1p in the pound on income tax to raise £6bn for NHS and social care services; </w:t>
      </w:r>
      <w:r w:rsidRPr="002B7826">
        <w:rPr>
          <w:rFonts w:ascii="Times New Roman" w:hAnsi="Times New Roman" w:cs="Times New Roman"/>
          <w:sz w:val="24"/>
          <w:szCs w:val="24"/>
        </w:rPr>
        <w:t>e</w:t>
      </w:r>
      <w:r w:rsidRPr="002B7826">
        <w:rPr>
          <w:rFonts w:ascii="Times New Roman" w:eastAsia="Times New Roman" w:hAnsi="Times New Roman" w:cs="Times New Roman"/>
          <w:sz w:val="24"/>
          <w:szCs w:val="24"/>
          <w:lang w:eastAsia="en-GB"/>
        </w:rPr>
        <w:t>nd the 1% public sector pay cap</w:t>
      </w:r>
      <w:r w:rsidRPr="002B7826">
        <w:rPr>
          <w:rFonts w:ascii="Times New Roman" w:hAnsi="Times New Roman" w:cs="Times New Roman"/>
          <w:sz w:val="24"/>
          <w:szCs w:val="24"/>
        </w:rPr>
        <w:t xml:space="preserve">; reinstate </w:t>
      </w:r>
      <w:r w:rsidRPr="002B7826">
        <w:rPr>
          <w:rFonts w:ascii="Times New Roman" w:eastAsia="Times New Roman" w:hAnsi="Times New Roman" w:cs="Times New Roman"/>
          <w:sz w:val="24"/>
          <w:szCs w:val="24"/>
          <w:lang w:eastAsia="en-GB"/>
        </w:rPr>
        <w:t>university maintenance grants for the poorest students</w:t>
      </w:r>
      <w:r w:rsidRPr="002B7826">
        <w:rPr>
          <w:rFonts w:ascii="Times New Roman" w:hAnsi="Times New Roman" w:cs="Times New Roman"/>
          <w:sz w:val="24"/>
          <w:szCs w:val="24"/>
        </w:rPr>
        <w:t>; e</w:t>
      </w:r>
      <w:r w:rsidRPr="002B7826">
        <w:rPr>
          <w:rFonts w:ascii="Times New Roman" w:eastAsia="Times New Roman" w:hAnsi="Times New Roman" w:cs="Times New Roman"/>
          <w:sz w:val="24"/>
          <w:szCs w:val="24"/>
          <w:lang w:eastAsia="en-GB"/>
        </w:rPr>
        <w:t>xtend free childcare to all two-year-olds. – all tailored to win back those centre-left voters who had deserted the party since 2010. However, this appeal was side</w:t>
      </w:r>
      <w:r w:rsidR="00E178CF" w:rsidRPr="002B7826">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lined by Labour’s populist anti-austerity message. </w:t>
      </w:r>
    </w:p>
    <w:p w14:paraId="0D343BA0" w14:textId="260A3EEC" w:rsidR="00EF21F1" w:rsidRPr="005F42AD" w:rsidRDefault="00EF21F1" w:rsidP="008C2518">
      <w:pPr>
        <w:spacing w:line="480" w:lineRule="auto"/>
        <w:jc w:val="both"/>
        <w:rPr>
          <w:rFonts w:ascii="Times New Roman" w:eastAsia="Times New Roman" w:hAnsi="Times New Roman" w:cs="Times New Roman"/>
          <w:sz w:val="24"/>
          <w:szCs w:val="24"/>
          <w:lang w:eastAsia="en-GB"/>
        </w:rPr>
      </w:pPr>
      <w:r w:rsidRPr="002B7826">
        <w:rPr>
          <w:rFonts w:ascii="Times New Roman" w:eastAsia="Times New Roman" w:hAnsi="Times New Roman" w:cs="Times New Roman"/>
          <w:sz w:val="24"/>
          <w:szCs w:val="24"/>
          <w:lang w:eastAsia="en-GB"/>
        </w:rPr>
        <w:t>With the Conservatives floundering on social care and the Prime Minister suddenly exposed as deficient in the campaign</w:t>
      </w:r>
      <w:r w:rsidR="00175D4B">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the Liberal Democrats saw an opportunity to pounce. The second half of the campaign proved to be more successful as the party tapped into concerns about the so called ‘Dementia tax’ and more generally about Conservative plans for the elderly and social care, as the party sought to capture Conservative waverers</w:t>
      </w:r>
      <w:r w:rsidR="00175D4B">
        <w:rPr>
          <w:rFonts w:ascii="Times New Roman" w:eastAsia="Times New Roman" w:hAnsi="Times New Roman" w:cs="Times New Roman"/>
          <w:sz w:val="24"/>
          <w:szCs w:val="24"/>
          <w:lang w:eastAsia="en-GB"/>
        </w:rPr>
        <w:t>,</w:t>
      </w:r>
      <w:r w:rsidRPr="005F42AD">
        <w:rPr>
          <w:rFonts w:ascii="Times New Roman" w:eastAsia="Times New Roman" w:hAnsi="Times New Roman" w:cs="Times New Roman"/>
          <w:sz w:val="24"/>
          <w:szCs w:val="24"/>
          <w:lang w:eastAsia="en-GB"/>
        </w:rPr>
        <w:t xml:space="preserve"> particularly in southern seats who were concerned by the Tory manifesto. </w:t>
      </w:r>
    </w:p>
    <w:p w14:paraId="501BD737" w14:textId="77108544" w:rsidR="00560E70" w:rsidRPr="001142EF" w:rsidRDefault="00EF21F1" w:rsidP="008C2518">
      <w:pPr>
        <w:spacing w:line="480" w:lineRule="auto"/>
        <w:jc w:val="both"/>
        <w:rPr>
          <w:rFonts w:ascii="Times New Roman" w:eastAsia="Times New Roman" w:hAnsi="Times New Roman" w:cs="Times New Roman"/>
          <w:sz w:val="24"/>
          <w:szCs w:val="24"/>
          <w:lang w:eastAsia="en-GB"/>
        </w:rPr>
      </w:pPr>
      <w:r w:rsidRPr="005F42AD">
        <w:rPr>
          <w:rFonts w:ascii="Times New Roman" w:eastAsia="Times New Roman" w:hAnsi="Times New Roman" w:cs="Times New Roman"/>
          <w:sz w:val="24"/>
          <w:szCs w:val="24"/>
          <w:lang w:eastAsia="en-GB"/>
        </w:rPr>
        <w:t>Despite the Liberal Democrats</w:t>
      </w:r>
      <w:r w:rsidR="00175D4B">
        <w:rPr>
          <w:rFonts w:ascii="Times New Roman" w:eastAsia="Times New Roman" w:hAnsi="Times New Roman" w:cs="Times New Roman"/>
          <w:sz w:val="24"/>
          <w:szCs w:val="24"/>
          <w:lang w:eastAsia="en-GB"/>
        </w:rPr>
        <w:t>’</w:t>
      </w:r>
      <w:r w:rsidRPr="005F42AD">
        <w:rPr>
          <w:rFonts w:ascii="Times New Roman" w:eastAsia="Times New Roman" w:hAnsi="Times New Roman" w:cs="Times New Roman"/>
          <w:sz w:val="24"/>
          <w:szCs w:val="24"/>
          <w:lang w:eastAsia="en-GB"/>
        </w:rPr>
        <w:t xml:space="preserve"> offensive drive in the second half of the campaign, longstanding problems on political identity and policy appeal </w:t>
      </w:r>
      <w:r w:rsidR="00175D4B">
        <w:rPr>
          <w:rFonts w:ascii="Times New Roman" w:eastAsia="Times New Roman" w:hAnsi="Times New Roman" w:cs="Times New Roman"/>
          <w:sz w:val="24"/>
          <w:szCs w:val="24"/>
          <w:lang w:eastAsia="en-GB"/>
        </w:rPr>
        <w:t>r</w:t>
      </w:r>
      <w:r w:rsidR="000A6640">
        <w:rPr>
          <w:rFonts w:ascii="Times New Roman" w:eastAsia="Times New Roman" w:hAnsi="Times New Roman" w:cs="Times New Roman"/>
          <w:sz w:val="24"/>
          <w:szCs w:val="24"/>
          <w:lang w:eastAsia="en-GB"/>
        </w:rPr>
        <w:t>emain</w:t>
      </w:r>
      <w:r w:rsidRPr="005F42AD">
        <w:rPr>
          <w:rFonts w:ascii="Times New Roman" w:eastAsia="Times New Roman" w:hAnsi="Times New Roman" w:cs="Times New Roman"/>
          <w:sz w:val="24"/>
          <w:szCs w:val="24"/>
          <w:lang w:eastAsia="en-GB"/>
        </w:rPr>
        <w:t>ed. In September 2016, a YouGov study found that two thirds of all voters did not know what the party stands for anymore</w:t>
      </w:r>
      <w:r w:rsidR="001142EF">
        <w:rPr>
          <w:rFonts w:ascii="Times New Roman" w:eastAsia="Times New Roman" w:hAnsi="Times New Roman" w:cs="Times New Roman"/>
          <w:sz w:val="24"/>
          <w:szCs w:val="24"/>
          <w:lang w:eastAsia="en-GB"/>
        </w:rPr>
        <w:t xml:space="preserve"> (Twyman, 2016)</w:t>
      </w:r>
      <w:r w:rsidRPr="005F42AD">
        <w:rPr>
          <w:rFonts w:ascii="Times New Roman" w:eastAsia="Times New Roman" w:hAnsi="Times New Roman" w:cs="Times New Roman"/>
          <w:sz w:val="24"/>
          <w:szCs w:val="24"/>
          <w:lang w:eastAsia="en-GB"/>
        </w:rPr>
        <w:t>. The figure was greater for those who voted Liberal Democrat previously</w:t>
      </w:r>
      <w:r w:rsidR="00175D4B">
        <w:rPr>
          <w:rFonts w:ascii="Times New Roman" w:eastAsia="Times New Roman" w:hAnsi="Times New Roman" w:cs="Times New Roman"/>
          <w:sz w:val="24"/>
          <w:szCs w:val="24"/>
          <w:lang w:eastAsia="en-GB"/>
        </w:rPr>
        <w:t>,</w:t>
      </w:r>
      <w:r w:rsidRPr="005F42AD">
        <w:rPr>
          <w:rFonts w:ascii="Times New Roman" w:eastAsia="Times New Roman" w:hAnsi="Times New Roman" w:cs="Times New Roman"/>
          <w:sz w:val="24"/>
          <w:szCs w:val="24"/>
          <w:lang w:eastAsia="en-GB"/>
        </w:rPr>
        <w:t xml:space="preserve"> with 7 out of 10 of former voters stating they were uncertain. Moreover, even 22% of current supporters asked also confessed to not knowing. The 2017 election campaign not only provided an opportunity to put forward a raft of proposals and policy ideas but also to address longstanding concerns by showcasing a distinctive identity. It was also a chance to challenge competitors’ </w:t>
      </w:r>
      <w:r w:rsidRPr="005F42AD">
        <w:rPr>
          <w:rFonts w:ascii="Times New Roman" w:eastAsia="Times New Roman" w:hAnsi="Times New Roman" w:cs="Times New Roman"/>
          <w:sz w:val="24"/>
          <w:szCs w:val="24"/>
          <w:lang w:eastAsia="en-GB"/>
        </w:rPr>
        <w:lastRenderedPageBreak/>
        <w:t xml:space="preserve">longstanding ownership of the most salient issues. Table </w:t>
      </w:r>
      <w:r w:rsidR="00175D4B">
        <w:rPr>
          <w:rFonts w:ascii="Times New Roman" w:eastAsia="Times New Roman" w:hAnsi="Times New Roman" w:cs="Times New Roman"/>
          <w:sz w:val="24"/>
          <w:szCs w:val="24"/>
          <w:lang w:eastAsia="en-GB"/>
        </w:rPr>
        <w:t>5.</w:t>
      </w:r>
      <w:r w:rsidRPr="008C2518">
        <w:rPr>
          <w:rFonts w:ascii="Times New Roman" w:eastAsia="Times New Roman" w:hAnsi="Times New Roman" w:cs="Times New Roman"/>
          <w:sz w:val="24"/>
          <w:szCs w:val="24"/>
          <w:lang w:eastAsia="en-GB"/>
        </w:rPr>
        <w:t>5 shows YouGov data, collected in the days prior to polling day, on the best party on the key issues in the election. After six weeks of national campaigning, it ma</w:t>
      </w:r>
      <w:r w:rsidR="00175D4B">
        <w:rPr>
          <w:rFonts w:ascii="Times New Roman" w:eastAsia="Times New Roman" w:hAnsi="Times New Roman" w:cs="Times New Roman"/>
          <w:sz w:val="24"/>
          <w:szCs w:val="24"/>
          <w:lang w:eastAsia="en-GB"/>
        </w:rPr>
        <w:t xml:space="preserve">de </w:t>
      </w:r>
      <w:r w:rsidRPr="008C2518">
        <w:rPr>
          <w:rFonts w:ascii="Times New Roman" w:eastAsia="Times New Roman" w:hAnsi="Times New Roman" w:cs="Times New Roman"/>
          <w:sz w:val="24"/>
          <w:szCs w:val="24"/>
          <w:lang w:eastAsia="en-GB"/>
        </w:rPr>
        <w:t xml:space="preserve">grim reading for the Liberal Democrats. Aside from Europe, </w:t>
      </w:r>
      <w:r w:rsidR="00560E70">
        <w:rPr>
          <w:rFonts w:ascii="Times New Roman" w:eastAsia="Times New Roman" w:hAnsi="Times New Roman" w:cs="Times New Roman"/>
          <w:sz w:val="24"/>
          <w:szCs w:val="24"/>
          <w:lang w:eastAsia="en-GB"/>
        </w:rPr>
        <w:t xml:space="preserve">on </w:t>
      </w:r>
      <w:r w:rsidRPr="002B7826">
        <w:rPr>
          <w:rFonts w:ascii="Times New Roman" w:eastAsia="Times New Roman" w:hAnsi="Times New Roman" w:cs="Times New Roman"/>
          <w:sz w:val="24"/>
          <w:szCs w:val="24"/>
          <w:lang w:eastAsia="en-GB"/>
        </w:rPr>
        <w:t>which 7% of respondents named the Liberal Democrats as the best party, the Liberal Democrats simply failed to challenge the main parties’ ownership of salient issues. There were also few signs that the policies advocated by the party garnered any meaningfu</w:t>
      </w:r>
      <w:r w:rsidR="001142EF">
        <w:rPr>
          <w:rFonts w:ascii="Times New Roman" w:eastAsia="Times New Roman" w:hAnsi="Times New Roman" w:cs="Times New Roman"/>
          <w:sz w:val="24"/>
          <w:szCs w:val="24"/>
          <w:lang w:eastAsia="en-GB"/>
        </w:rPr>
        <w:t xml:space="preserve">l support from the electorate. </w:t>
      </w:r>
    </w:p>
    <w:p w14:paraId="5E7EF18B" w14:textId="571C457F" w:rsidR="00EF21F1" w:rsidRPr="002B7826" w:rsidRDefault="00EF21F1" w:rsidP="008C2518">
      <w:pPr>
        <w:spacing w:line="480" w:lineRule="auto"/>
        <w:jc w:val="both"/>
        <w:rPr>
          <w:rFonts w:ascii="Times New Roman" w:hAnsi="Times New Roman" w:cs="Times New Roman"/>
          <w:i/>
          <w:sz w:val="24"/>
          <w:szCs w:val="24"/>
        </w:rPr>
      </w:pPr>
      <w:r w:rsidRPr="002B7826">
        <w:rPr>
          <w:rFonts w:ascii="Times New Roman" w:hAnsi="Times New Roman" w:cs="Times New Roman"/>
          <w:i/>
          <w:sz w:val="24"/>
          <w:szCs w:val="24"/>
        </w:rPr>
        <w:t>The Legacy of Coalition</w:t>
      </w:r>
    </w:p>
    <w:p w14:paraId="470548AC" w14:textId="4FD58307" w:rsidR="00EF21F1" w:rsidRPr="005F42AD" w:rsidRDefault="00EF21F1" w:rsidP="008C2518">
      <w:pPr>
        <w:spacing w:line="480" w:lineRule="auto"/>
        <w:jc w:val="both"/>
        <w:rPr>
          <w:rFonts w:ascii="Times New Roman" w:hAnsi="Times New Roman" w:cs="Times New Roman"/>
          <w:sz w:val="24"/>
          <w:szCs w:val="24"/>
        </w:rPr>
      </w:pPr>
      <w:r w:rsidRPr="005F42AD">
        <w:rPr>
          <w:rFonts w:ascii="Times New Roman" w:hAnsi="Times New Roman" w:cs="Times New Roman"/>
          <w:sz w:val="24"/>
          <w:szCs w:val="24"/>
        </w:rPr>
        <w:t xml:space="preserve">The Liberal Democrats </w:t>
      </w:r>
      <w:r w:rsidR="00560E70">
        <w:rPr>
          <w:rFonts w:ascii="Times New Roman" w:hAnsi="Times New Roman" w:cs="Times New Roman"/>
          <w:sz w:val="24"/>
          <w:szCs w:val="24"/>
        </w:rPr>
        <w:t xml:space="preserve">were still </w:t>
      </w:r>
      <w:r w:rsidRPr="005F42AD">
        <w:rPr>
          <w:rFonts w:ascii="Times New Roman" w:hAnsi="Times New Roman" w:cs="Times New Roman"/>
          <w:sz w:val="24"/>
          <w:szCs w:val="24"/>
        </w:rPr>
        <w:t>toxic for swathes of centre-left and young voters just two years on from the coalition. Labour’s pitch to these groups made</w:t>
      </w:r>
      <w:r w:rsidR="001142EF">
        <w:rPr>
          <w:rFonts w:ascii="Times New Roman" w:hAnsi="Times New Roman" w:cs="Times New Roman"/>
          <w:sz w:val="24"/>
          <w:szCs w:val="24"/>
        </w:rPr>
        <w:t xml:space="preserve"> </w:t>
      </w:r>
      <w:r w:rsidR="00560E70">
        <w:rPr>
          <w:rFonts w:ascii="Times New Roman" w:hAnsi="Times New Roman" w:cs="Times New Roman"/>
          <w:sz w:val="24"/>
          <w:szCs w:val="24"/>
        </w:rPr>
        <w:t>Liberal Democrat rehabilitation</w:t>
      </w:r>
      <w:r w:rsidRPr="005F42AD">
        <w:rPr>
          <w:rFonts w:ascii="Times New Roman" w:hAnsi="Times New Roman" w:cs="Times New Roman"/>
          <w:sz w:val="24"/>
          <w:szCs w:val="24"/>
        </w:rPr>
        <w:t xml:space="preserve"> harder</w:t>
      </w:r>
      <w:r w:rsidR="00560E70">
        <w:rPr>
          <w:rFonts w:ascii="Times New Roman" w:hAnsi="Times New Roman" w:cs="Times New Roman"/>
          <w:sz w:val="24"/>
          <w:szCs w:val="24"/>
        </w:rPr>
        <w:t>.</w:t>
      </w:r>
      <w:r w:rsidRPr="005F42AD">
        <w:rPr>
          <w:rFonts w:ascii="Times New Roman" w:hAnsi="Times New Roman" w:cs="Times New Roman"/>
          <w:sz w:val="24"/>
          <w:szCs w:val="24"/>
        </w:rPr>
        <w:t xml:space="preserve"> </w:t>
      </w:r>
      <w:r w:rsidR="00560E70">
        <w:rPr>
          <w:rFonts w:ascii="Times New Roman" w:hAnsi="Times New Roman" w:cs="Times New Roman"/>
          <w:sz w:val="24"/>
          <w:szCs w:val="24"/>
        </w:rPr>
        <w:t>W</w:t>
      </w:r>
      <w:r w:rsidRPr="005F42AD">
        <w:rPr>
          <w:rFonts w:ascii="Times New Roman" w:hAnsi="Times New Roman" w:cs="Times New Roman"/>
          <w:sz w:val="24"/>
          <w:szCs w:val="24"/>
        </w:rPr>
        <w:t>ith little prospect of winning back large numbers</w:t>
      </w:r>
      <w:r w:rsidR="00560E70">
        <w:rPr>
          <w:rFonts w:ascii="Times New Roman" w:hAnsi="Times New Roman" w:cs="Times New Roman"/>
          <w:sz w:val="24"/>
          <w:szCs w:val="24"/>
        </w:rPr>
        <w:t>,</w:t>
      </w:r>
      <w:r w:rsidRPr="005F42AD">
        <w:rPr>
          <w:rFonts w:ascii="Times New Roman" w:hAnsi="Times New Roman" w:cs="Times New Roman"/>
          <w:sz w:val="24"/>
          <w:szCs w:val="24"/>
        </w:rPr>
        <w:t xml:space="preserve"> the party was left desperately appealing to these voters in target seats to lend them their support to oust the Conservatives. As we have shown, many</w:t>
      </w:r>
      <w:r w:rsidR="00560E70">
        <w:rPr>
          <w:rFonts w:ascii="Times New Roman" w:hAnsi="Times New Roman" w:cs="Times New Roman"/>
          <w:sz w:val="24"/>
          <w:szCs w:val="24"/>
        </w:rPr>
        <w:t xml:space="preserve"> declined.</w:t>
      </w:r>
      <w:r w:rsidRPr="005F42AD">
        <w:rPr>
          <w:rFonts w:ascii="Times New Roman" w:hAnsi="Times New Roman" w:cs="Times New Roman"/>
          <w:sz w:val="24"/>
          <w:szCs w:val="24"/>
        </w:rPr>
        <w:t xml:space="preserve"> </w:t>
      </w:r>
    </w:p>
    <w:p w14:paraId="30C1CCE5" w14:textId="0F3928D8" w:rsidR="00EF21F1" w:rsidRPr="002B7826" w:rsidRDefault="00EF21F1" w:rsidP="008C2518">
      <w:pPr>
        <w:spacing w:line="480" w:lineRule="auto"/>
        <w:jc w:val="both"/>
        <w:rPr>
          <w:rFonts w:ascii="Times New Roman" w:hAnsi="Times New Roman" w:cs="Times New Roman"/>
          <w:sz w:val="24"/>
          <w:szCs w:val="24"/>
        </w:rPr>
      </w:pPr>
      <w:r w:rsidRPr="005F42AD">
        <w:rPr>
          <w:rFonts w:ascii="Times New Roman" w:hAnsi="Times New Roman" w:cs="Times New Roman"/>
          <w:sz w:val="24"/>
          <w:szCs w:val="24"/>
        </w:rPr>
        <w:t xml:space="preserve">The collapse in representation at Westminster also meant that mainstream media exposure became increasingly limited. Despite Farron presenting himself as a dissenter on coalition policies like tuition fees which caused the party so much reputational damage, this simply reminded voters of the coalition and for some what they saw was a betrayal. </w:t>
      </w:r>
      <w:r w:rsidR="00560E70">
        <w:rPr>
          <w:rFonts w:ascii="Times New Roman" w:hAnsi="Times New Roman" w:cs="Times New Roman"/>
          <w:sz w:val="24"/>
          <w:szCs w:val="24"/>
        </w:rPr>
        <w:t>W</w:t>
      </w:r>
      <w:r w:rsidRPr="005F42AD">
        <w:rPr>
          <w:rFonts w:ascii="Times New Roman" w:hAnsi="Times New Roman" w:cs="Times New Roman"/>
          <w:sz w:val="24"/>
          <w:szCs w:val="24"/>
        </w:rPr>
        <w:t>hatever way the Liberal Democrats turned after the 2015 general election they were in a bind. In 2017, voters found it difficult to swallow Liberal Democrat assurances that they had learned the lessons from their time in coalition given that many of these words came from people who were heavily involved</w:t>
      </w:r>
      <w:r w:rsidR="00560E70">
        <w:rPr>
          <w:rFonts w:ascii="Times New Roman" w:hAnsi="Times New Roman" w:cs="Times New Roman"/>
          <w:sz w:val="24"/>
          <w:szCs w:val="24"/>
        </w:rPr>
        <w:t>.</w:t>
      </w:r>
      <w:r w:rsidRPr="002B7826">
        <w:rPr>
          <w:rFonts w:ascii="Times New Roman" w:hAnsi="Times New Roman" w:cs="Times New Roman"/>
          <w:sz w:val="24"/>
          <w:szCs w:val="24"/>
        </w:rPr>
        <w:t xml:space="preserve"> </w:t>
      </w:r>
    </w:p>
    <w:p w14:paraId="13E8EA8B" w14:textId="4A360846" w:rsidR="00C02D6F" w:rsidRPr="00E757FE" w:rsidRDefault="00EF21F1" w:rsidP="008C2518">
      <w:pPr>
        <w:spacing w:line="480" w:lineRule="auto"/>
        <w:jc w:val="both"/>
        <w:rPr>
          <w:rFonts w:ascii="Times New Roman" w:hAnsi="Times New Roman" w:cs="Times New Roman"/>
          <w:sz w:val="24"/>
          <w:szCs w:val="24"/>
        </w:rPr>
      </w:pPr>
      <w:r w:rsidRPr="002B7826">
        <w:rPr>
          <w:rFonts w:ascii="Times New Roman" w:hAnsi="Times New Roman" w:cs="Times New Roman"/>
          <w:sz w:val="24"/>
          <w:szCs w:val="24"/>
        </w:rPr>
        <w:t xml:space="preserve">A key legacy of the coalition was the ‘hollowing out’ of local parties and the loss </w:t>
      </w:r>
      <w:r w:rsidR="00C02D6F">
        <w:rPr>
          <w:rFonts w:ascii="Times New Roman" w:hAnsi="Times New Roman" w:cs="Times New Roman"/>
          <w:sz w:val="24"/>
          <w:szCs w:val="24"/>
        </w:rPr>
        <w:t xml:space="preserve">of </w:t>
      </w:r>
      <w:r w:rsidRPr="002B7826">
        <w:rPr>
          <w:rFonts w:ascii="Times New Roman" w:hAnsi="Times New Roman" w:cs="Times New Roman"/>
          <w:sz w:val="24"/>
          <w:szCs w:val="24"/>
        </w:rPr>
        <w:t xml:space="preserve">experienced political campaigners. As we have noted, in the two years since 2015 the </w:t>
      </w:r>
      <w:r w:rsidRPr="002B7826">
        <w:rPr>
          <w:rFonts w:ascii="Times New Roman" w:hAnsi="Times New Roman" w:cs="Times New Roman"/>
          <w:sz w:val="24"/>
          <w:szCs w:val="24"/>
        </w:rPr>
        <w:lastRenderedPageBreak/>
        <w:t>Liberal Democrats have made modest progress locally but</w:t>
      </w:r>
      <w:r w:rsidR="00E757FE">
        <w:rPr>
          <w:rFonts w:ascii="Times New Roman" w:hAnsi="Times New Roman" w:cs="Times New Roman"/>
          <w:sz w:val="24"/>
          <w:szCs w:val="24"/>
        </w:rPr>
        <w:t xml:space="preserve"> </w:t>
      </w:r>
      <w:r w:rsidR="00C02D6F">
        <w:rPr>
          <w:rFonts w:ascii="Times New Roman" w:hAnsi="Times New Roman" w:cs="Times New Roman"/>
          <w:sz w:val="24"/>
          <w:szCs w:val="24"/>
        </w:rPr>
        <w:t>remain</w:t>
      </w:r>
      <w:r w:rsidRPr="002B7826">
        <w:rPr>
          <w:rFonts w:ascii="Times New Roman" w:hAnsi="Times New Roman" w:cs="Times New Roman"/>
          <w:sz w:val="24"/>
          <w:szCs w:val="24"/>
        </w:rPr>
        <w:t xml:space="preserve"> way below the heights of the past. While the targeting strategy was relatively successful and more realistic than in 2015, the capacity of the Liberal Democrats to run effective campaigns </w:t>
      </w:r>
      <w:r w:rsidR="00C02D6F">
        <w:rPr>
          <w:rFonts w:ascii="Times New Roman" w:hAnsi="Times New Roman" w:cs="Times New Roman"/>
          <w:sz w:val="24"/>
          <w:szCs w:val="24"/>
        </w:rPr>
        <w:t>is</w:t>
      </w:r>
      <w:r w:rsidRPr="002B7826">
        <w:rPr>
          <w:rFonts w:ascii="Times New Roman" w:hAnsi="Times New Roman" w:cs="Times New Roman"/>
          <w:sz w:val="24"/>
          <w:szCs w:val="24"/>
        </w:rPr>
        <w:t xml:space="preserve"> compromised by the losses endured when in coalition and by the internal reforms made by</w:t>
      </w:r>
      <w:r w:rsidR="00E757FE">
        <w:rPr>
          <w:rFonts w:ascii="Times New Roman" w:hAnsi="Times New Roman" w:cs="Times New Roman"/>
          <w:sz w:val="24"/>
          <w:szCs w:val="24"/>
        </w:rPr>
        <w:t xml:space="preserve"> the party in the early 2010s. </w:t>
      </w:r>
    </w:p>
    <w:p w14:paraId="0A945860" w14:textId="43E23CF8" w:rsidR="00EF21F1" w:rsidRPr="002B7826" w:rsidRDefault="00EF21F1" w:rsidP="008C2518">
      <w:pPr>
        <w:spacing w:line="480" w:lineRule="auto"/>
        <w:jc w:val="both"/>
        <w:rPr>
          <w:rFonts w:ascii="Times New Roman" w:hAnsi="Times New Roman" w:cs="Times New Roman"/>
          <w:b/>
          <w:sz w:val="24"/>
          <w:szCs w:val="24"/>
        </w:rPr>
      </w:pPr>
      <w:r w:rsidRPr="002B7826">
        <w:rPr>
          <w:rFonts w:ascii="Times New Roman" w:hAnsi="Times New Roman" w:cs="Times New Roman"/>
          <w:b/>
          <w:sz w:val="24"/>
          <w:szCs w:val="24"/>
        </w:rPr>
        <w:t>Conclusion</w:t>
      </w:r>
    </w:p>
    <w:p w14:paraId="765590F7" w14:textId="7E7D976D" w:rsidR="00EF21F1" w:rsidRPr="002B7826" w:rsidRDefault="00EF21F1" w:rsidP="00360907">
      <w:pPr>
        <w:spacing w:line="480" w:lineRule="auto"/>
        <w:jc w:val="both"/>
        <w:rPr>
          <w:rFonts w:ascii="Times New Roman" w:eastAsia="Times New Roman" w:hAnsi="Times New Roman" w:cs="Times New Roman"/>
          <w:sz w:val="24"/>
          <w:szCs w:val="24"/>
          <w:lang w:eastAsia="en-GB"/>
        </w:rPr>
      </w:pPr>
      <w:r w:rsidRPr="002B7826">
        <w:rPr>
          <w:rFonts w:ascii="Times New Roman" w:eastAsia="Times New Roman" w:hAnsi="Times New Roman" w:cs="Times New Roman"/>
          <w:sz w:val="24"/>
          <w:szCs w:val="24"/>
          <w:lang w:eastAsia="en-GB"/>
        </w:rPr>
        <w:t xml:space="preserve">Two years ago there were concerns whether the Liberal Democrats in </w:t>
      </w:r>
      <w:r w:rsidR="00C02D6F">
        <w:rPr>
          <w:rFonts w:ascii="Times New Roman" w:eastAsia="Times New Roman" w:hAnsi="Times New Roman" w:cs="Times New Roman"/>
          <w:sz w:val="24"/>
          <w:szCs w:val="24"/>
          <w:lang w:eastAsia="en-GB"/>
        </w:rPr>
        <w:t xml:space="preserve">their </w:t>
      </w:r>
      <w:r w:rsidRPr="008C2518">
        <w:rPr>
          <w:rFonts w:ascii="Times New Roman" w:eastAsia="Times New Roman" w:hAnsi="Times New Roman" w:cs="Times New Roman"/>
          <w:sz w:val="24"/>
          <w:szCs w:val="24"/>
          <w:lang w:eastAsia="en-GB"/>
        </w:rPr>
        <w:t xml:space="preserve">current form would survive. </w:t>
      </w:r>
      <w:r w:rsidR="00C02D6F">
        <w:rPr>
          <w:rFonts w:ascii="Times New Roman" w:eastAsia="Times New Roman" w:hAnsi="Times New Roman" w:cs="Times New Roman"/>
          <w:sz w:val="24"/>
          <w:szCs w:val="24"/>
          <w:lang w:eastAsia="en-GB"/>
        </w:rPr>
        <w:t xml:space="preserve">The party </w:t>
      </w:r>
      <w:r w:rsidRPr="002B7826">
        <w:rPr>
          <w:rFonts w:ascii="Times New Roman" w:eastAsia="Times New Roman" w:hAnsi="Times New Roman" w:cs="Times New Roman"/>
          <w:sz w:val="24"/>
          <w:szCs w:val="24"/>
          <w:lang w:eastAsia="en-GB"/>
        </w:rPr>
        <w:t xml:space="preserve">elected a new leader with the remit of rebuilding from the bottom-up. It was a long-term project. Then David Cameron set a date for a referendum on membership of the European Union. Six months later the public had voted to leave, both major parties faced divisive leadership contests and the Liberal Democrats were thrust into pole position as the spokesperson for the 48% who wanted to </w:t>
      </w:r>
      <w:r w:rsidR="00C02D6F">
        <w:rPr>
          <w:rFonts w:ascii="Times New Roman" w:eastAsia="Times New Roman" w:hAnsi="Times New Roman" w:cs="Times New Roman"/>
          <w:sz w:val="24"/>
          <w:szCs w:val="24"/>
          <w:lang w:eastAsia="en-GB"/>
        </w:rPr>
        <w:t>r</w:t>
      </w:r>
      <w:r w:rsidR="000A6640">
        <w:rPr>
          <w:rFonts w:ascii="Times New Roman" w:eastAsia="Times New Roman" w:hAnsi="Times New Roman" w:cs="Times New Roman"/>
          <w:sz w:val="24"/>
          <w:szCs w:val="24"/>
          <w:lang w:eastAsia="en-GB"/>
        </w:rPr>
        <w:t>emain</w:t>
      </w:r>
      <w:r w:rsidR="00C02D6F">
        <w:rPr>
          <w:rFonts w:ascii="Times New Roman" w:eastAsia="Times New Roman" w:hAnsi="Times New Roman" w:cs="Times New Roman"/>
          <w:sz w:val="24"/>
          <w:szCs w:val="24"/>
          <w:lang w:eastAsia="en-GB"/>
        </w:rPr>
        <w:t xml:space="preserve"> in the EU</w:t>
      </w:r>
      <w:r w:rsidRPr="002B7826">
        <w:rPr>
          <w:rFonts w:ascii="Times New Roman" w:eastAsia="Times New Roman" w:hAnsi="Times New Roman" w:cs="Times New Roman"/>
          <w:sz w:val="24"/>
          <w:szCs w:val="24"/>
          <w:lang w:eastAsia="en-GB"/>
        </w:rPr>
        <w:t>. Until Theresa May called a ‘snap’ general election, the Liberal Democrats were building momentum. Many in the party were convinced by the rather fanciful prospect of a strong performance (and even victory) in the cancelled Manchester Gorton by-election. Just how would the Liberal Democrats have fared in a general election after the Brexit negotiations had taken place? With Europe at the forefront of political debate the battle lines were seemingly drawn. While the rush was on to court the more nativist and authoritarian leanings of the majority, a significant section of the electorate was ostensibly far more sympathetic to a party more cosmopolitan in outlook</w:t>
      </w:r>
      <w:r w:rsidR="00C02D6F">
        <w:rPr>
          <w:rFonts w:ascii="Times New Roman" w:eastAsia="Times New Roman" w:hAnsi="Times New Roman" w:cs="Times New Roman"/>
          <w:sz w:val="24"/>
          <w:szCs w:val="24"/>
          <w:lang w:eastAsia="en-GB"/>
        </w:rPr>
        <w:t xml:space="preserve">, a defender of </w:t>
      </w:r>
      <w:r w:rsidRPr="002B7826">
        <w:rPr>
          <w:rFonts w:ascii="Times New Roman" w:eastAsia="Times New Roman" w:hAnsi="Times New Roman" w:cs="Times New Roman"/>
          <w:sz w:val="24"/>
          <w:szCs w:val="24"/>
          <w:lang w:eastAsia="en-GB"/>
        </w:rPr>
        <w:t>liberal values. In the face of Labour woes the opportunity was there for the Liberal Democrats to fill this void</w:t>
      </w:r>
      <w:r w:rsidR="00C02D6F">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w:t>
      </w:r>
      <w:r w:rsidR="00C02D6F">
        <w:rPr>
          <w:rFonts w:ascii="Times New Roman" w:eastAsia="Times New Roman" w:hAnsi="Times New Roman" w:cs="Times New Roman"/>
          <w:sz w:val="24"/>
          <w:szCs w:val="24"/>
          <w:lang w:eastAsia="en-GB"/>
        </w:rPr>
        <w:t>Yet</w:t>
      </w:r>
      <w:r w:rsidRPr="002B7826">
        <w:rPr>
          <w:rFonts w:ascii="Times New Roman" w:eastAsia="Times New Roman" w:hAnsi="Times New Roman" w:cs="Times New Roman"/>
          <w:sz w:val="24"/>
          <w:szCs w:val="24"/>
          <w:lang w:eastAsia="en-GB"/>
        </w:rPr>
        <w:t xml:space="preserve"> longstanding issues </w:t>
      </w:r>
      <w:r w:rsidR="00C02D6F">
        <w:rPr>
          <w:rFonts w:ascii="Times New Roman" w:eastAsia="Times New Roman" w:hAnsi="Times New Roman" w:cs="Times New Roman"/>
          <w:sz w:val="24"/>
          <w:szCs w:val="24"/>
          <w:lang w:eastAsia="en-GB"/>
        </w:rPr>
        <w:t xml:space="preserve">explain </w:t>
      </w:r>
      <w:r w:rsidRPr="002B7826">
        <w:rPr>
          <w:rFonts w:ascii="Times New Roman" w:eastAsia="Times New Roman" w:hAnsi="Times New Roman" w:cs="Times New Roman"/>
          <w:sz w:val="24"/>
          <w:szCs w:val="24"/>
          <w:lang w:eastAsia="en-GB"/>
        </w:rPr>
        <w:t>the Liberal Democrats</w:t>
      </w:r>
      <w:r w:rsidR="00C02D6F">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current electoral predicament. There is little change in the weakness of the party’s social and partisan base. The Liberal Democrats still rely on votes that are lent rather than owned. </w:t>
      </w:r>
      <w:r w:rsidR="00C02D6F">
        <w:rPr>
          <w:rFonts w:ascii="Times New Roman" w:eastAsia="Times New Roman" w:hAnsi="Times New Roman" w:cs="Times New Roman"/>
          <w:sz w:val="24"/>
          <w:szCs w:val="24"/>
          <w:lang w:eastAsia="en-GB"/>
        </w:rPr>
        <w:t xml:space="preserve">Beyond their </w:t>
      </w:r>
      <w:r w:rsidRPr="002B7826">
        <w:rPr>
          <w:rFonts w:ascii="Times New Roman" w:eastAsia="Times New Roman" w:hAnsi="Times New Roman" w:cs="Times New Roman"/>
          <w:sz w:val="24"/>
          <w:szCs w:val="24"/>
          <w:lang w:eastAsia="en-GB"/>
        </w:rPr>
        <w:lastRenderedPageBreak/>
        <w:t xml:space="preserve">position on Europe, the Liberal Democrats lack a political identity and programme to enthuse support. Part of the problem </w:t>
      </w:r>
      <w:r w:rsidR="00C02D6F">
        <w:rPr>
          <w:rFonts w:ascii="Times New Roman" w:eastAsia="Times New Roman" w:hAnsi="Times New Roman" w:cs="Times New Roman"/>
          <w:sz w:val="24"/>
          <w:szCs w:val="24"/>
          <w:lang w:eastAsia="en-GB"/>
        </w:rPr>
        <w:t xml:space="preserve">is that of </w:t>
      </w:r>
      <w:r w:rsidRPr="002B7826">
        <w:rPr>
          <w:rFonts w:ascii="Times New Roman" w:eastAsia="Times New Roman" w:hAnsi="Times New Roman" w:cs="Times New Roman"/>
          <w:sz w:val="24"/>
          <w:szCs w:val="24"/>
          <w:lang w:eastAsia="en-GB"/>
        </w:rPr>
        <w:t>political distinctiveness and an inability to stake out clear political territory that appeals to voters who ostensibly share liberal values. Of course, the reputational baggage picked up from being in coalition hasn’t helped this cause. However, at its heart is not only an ideological and party positioning tension but more importantly it is about the party’s strategy of adopting quick</w:t>
      </w:r>
      <w:r w:rsidR="00C02D6F">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fix solutions at the expense of building a longstanding programme. The party has continuously opted for the former</w:t>
      </w:r>
      <w:r w:rsidR="001A48EF">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stressing eye-catching proposals for public consumption. </w:t>
      </w:r>
      <w:r w:rsidR="002116DD">
        <w:rPr>
          <w:rFonts w:ascii="Times New Roman" w:eastAsia="Times New Roman" w:hAnsi="Times New Roman" w:cs="Times New Roman"/>
          <w:sz w:val="24"/>
          <w:szCs w:val="24"/>
          <w:lang w:eastAsia="en-GB"/>
        </w:rPr>
        <w:t>F</w:t>
      </w:r>
      <w:r w:rsidRPr="002B7826">
        <w:rPr>
          <w:rFonts w:ascii="Times New Roman" w:eastAsia="Times New Roman" w:hAnsi="Times New Roman" w:cs="Times New Roman"/>
          <w:sz w:val="24"/>
          <w:szCs w:val="24"/>
          <w:lang w:eastAsia="en-GB"/>
        </w:rPr>
        <w:t xml:space="preserve">ew parties have produced more policy initiatives, documents and proposals than the Liberal Democrats. The 2017 manifesto continued this trend. Yet, outside the highly politically engaged, </w:t>
      </w:r>
      <w:r w:rsidR="002116DD">
        <w:rPr>
          <w:rFonts w:ascii="Times New Roman" w:eastAsia="Times New Roman" w:hAnsi="Times New Roman" w:cs="Times New Roman"/>
          <w:sz w:val="24"/>
          <w:szCs w:val="24"/>
          <w:lang w:eastAsia="en-GB"/>
        </w:rPr>
        <w:t xml:space="preserve">most electors </w:t>
      </w:r>
      <w:r w:rsidRPr="002B7826">
        <w:rPr>
          <w:rFonts w:ascii="Times New Roman" w:eastAsia="Times New Roman" w:hAnsi="Times New Roman" w:cs="Times New Roman"/>
          <w:sz w:val="24"/>
          <w:szCs w:val="24"/>
          <w:lang w:eastAsia="en-GB"/>
        </w:rPr>
        <w:t>would be hard-pushed to know what the Liberal Democrats actually stand for</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or recall </w:t>
      </w:r>
      <w:r w:rsidR="002116DD">
        <w:rPr>
          <w:rFonts w:ascii="Times New Roman" w:eastAsia="Times New Roman" w:hAnsi="Times New Roman" w:cs="Times New Roman"/>
          <w:sz w:val="24"/>
          <w:szCs w:val="24"/>
          <w:lang w:eastAsia="en-GB"/>
        </w:rPr>
        <w:t>their policies. T</w:t>
      </w:r>
      <w:r w:rsidRPr="002B7826">
        <w:rPr>
          <w:rFonts w:ascii="Times New Roman" w:eastAsia="Times New Roman" w:hAnsi="Times New Roman" w:cs="Times New Roman"/>
          <w:sz w:val="24"/>
          <w:szCs w:val="24"/>
          <w:lang w:eastAsia="en-GB"/>
        </w:rPr>
        <w:t>he debilitating struggle for media exposure has not helped but this is only a partial explanation. Likewise electoral credibility will always be a problem</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but given the Liberal Democrats</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current political and electoral predicament, now is the time to play the longer game as the short-term quick</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fix solutions seemingly no longer work. </w:t>
      </w:r>
    </w:p>
    <w:p w14:paraId="4BA74F23" w14:textId="4420F30C" w:rsidR="00EF21F1" w:rsidRPr="00E07919" w:rsidRDefault="00EF21F1" w:rsidP="008C2518">
      <w:pPr>
        <w:spacing w:line="480" w:lineRule="auto"/>
        <w:jc w:val="both"/>
        <w:rPr>
          <w:rFonts w:ascii="Times New Roman" w:hAnsi="Times New Roman" w:cs="Times New Roman"/>
          <w:sz w:val="24"/>
          <w:szCs w:val="24"/>
        </w:rPr>
      </w:pPr>
      <w:r w:rsidRPr="002B7826">
        <w:rPr>
          <w:rFonts w:ascii="Times New Roman" w:eastAsia="Times New Roman" w:hAnsi="Times New Roman" w:cs="Times New Roman"/>
          <w:sz w:val="24"/>
          <w:szCs w:val="24"/>
          <w:lang w:eastAsia="en-GB"/>
        </w:rPr>
        <w:t>The Liberal Democrats will take some heart from their targeting strategy, which was much more streamlined and focused than in 2015. Campaigning proved effective where the party was on the front foot</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but less effective in defensive situations primarily against Labour. Party activism around community-based politics </w:t>
      </w:r>
      <w:r w:rsidR="002116DD">
        <w:rPr>
          <w:rFonts w:ascii="Times New Roman" w:eastAsia="Times New Roman" w:hAnsi="Times New Roman" w:cs="Times New Roman"/>
          <w:sz w:val="24"/>
          <w:szCs w:val="24"/>
          <w:lang w:eastAsia="en-GB"/>
        </w:rPr>
        <w:t xml:space="preserve">is </w:t>
      </w:r>
      <w:r w:rsidRPr="002B7826">
        <w:rPr>
          <w:rFonts w:ascii="Times New Roman" w:eastAsia="Times New Roman" w:hAnsi="Times New Roman" w:cs="Times New Roman"/>
          <w:sz w:val="24"/>
          <w:szCs w:val="24"/>
          <w:lang w:eastAsia="en-GB"/>
        </w:rPr>
        <w:t>a vital part of the Liberal Democrats</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armoury. It is effective but not </w:t>
      </w:r>
      <w:r w:rsidR="002116DD">
        <w:rPr>
          <w:rFonts w:ascii="Times New Roman" w:eastAsia="Times New Roman" w:hAnsi="Times New Roman" w:cs="Times New Roman"/>
          <w:sz w:val="24"/>
          <w:szCs w:val="24"/>
          <w:lang w:eastAsia="en-GB"/>
        </w:rPr>
        <w:t>a panacea. C</w:t>
      </w:r>
      <w:r w:rsidRPr="002B7826">
        <w:rPr>
          <w:rFonts w:ascii="Times New Roman" w:eastAsia="Times New Roman" w:hAnsi="Times New Roman" w:cs="Times New Roman"/>
          <w:sz w:val="24"/>
          <w:szCs w:val="24"/>
          <w:lang w:eastAsia="en-GB"/>
        </w:rPr>
        <w:t>omparative advantage</w:t>
      </w:r>
      <w:r w:rsidR="002116DD">
        <w:rPr>
          <w:rFonts w:ascii="Times New Roman" w:eastAsia="Times New Roman" w:hAnsi="Times New Roman" w:cs="Times New Roman"/>
          <w:sz w:val="24"/>
          <w:szCs w:val="24"/>
          <w:lang w:eastAsia="en-GB"/>
        </w:rPr>
        <w:t xml:space="preserve"> offline</w:t>
      </w:r>
      <w:r w:rsidRPr="002B7826">
        <w:rPr>
          <w:rFonts w:ascii="Times New Roman" w:eastAsia="Times New Roman" w:hAnsi="Times New Roman" w:cs="Times New Roman"/>
          <w:sz w:val="24"/>
          <w:szCs w:val="24"/>
          <w:lang w:eastAsia="en-GB"/>
        </w:rPr>
        <w:t xml:space="preserve"> has gone with other parties copying what works and then tailoring it to suit</w:t>
      </w:r>
      <w:r w:rsidR="002116DD">
        <w:rPr>
          <w:rFonts w:ascii="Times New Roman" w:eastAsia="Times New Roman" w:hAnsi="Times New Roman" w:cs="Times New Roman"/>
          <w:sz w:val="24"/>
          <w:szCs w:val="24"/>
          <w:lang w:eastAsia="en-GB"/>
        </w:rPr>
        <w:t>.</w:t>
      </w:r>
      <w:r w:rsidRPr="00E07919">
        <w:rPr>
          <w:rFonts w:ascii="Times New Roman" w:eastAsia="Times New Roman" w:hAnsi="Times New Roman" w:cs="Times New Roman"/>
          <w:sz w:val="24"/>
          <w:szCs w:val="24"/>
          <w:lang w:eastAsia="en-GB"/>
        </w:rPr>
        <w:t xml:space="preserve">  </w:t>
      </w:r>
      <w:r w:rsidR="002116DD">
        <w:rPr>
          <w:rFonts w:ascii="Times New Roman" w:eastAsia="Times New Roman" w:hAnsi="Times New Roman" w:cs="Times New Roman"/>
          <w:sz w:val="24"/>
          <w:szCs w:val="24"/>
          <w:lang w:eastAsia="en-GB"/>
        </w:rPr>
        <w:t>O</w:t>
      </w:r>
      <w:r w:rsidRPr="00E07919">
        <w:rPr>
          <w:rFonts w:ascii="Times New Roman" w:eastAsia="Times New Roman" w:hAnsi="Times New Roman" w:cs="Times New Roman"/>
          <w:sz w:val="24"/>
          <w:szCs w:val="24"/>
          <w:lang w:eastAsia="en-GB"/>
        </w:rPr>
        <w:t>nline</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w:t>
      </w:r>
      <w:r w:rsidR="002116DD">
        <w:rPr>
          <w:rFonts w:ascii="Times New Roman" w:eastAsia="Times New Roman" w:hAnsi="Times New Roman" w:cs="Times New Roman"/>
          <w:sz w:val="24"/>
          <w:szCs w:val="24"/>
          <w:lang w:eastAsia="en-GB"/>
        </w:rPr>
        <w:t xml:space="preserve">Liberal Democrat activity </w:t>
      </w:r>
      <w:r w:rsidRPr="00E07919">
        <w:rPr>
          <w:rFonts w:ascii="Times New Roman" w:eastAsia="Times New Roman" w:hAnsi="Times New Roman" w:cs="Times New Roman"/>
          <w:sz w:val="24"/>
          <w:szCs w:val="24"/>
          <w:lang w:eastAsia="en-GB"/>
        </w:rPr>
        <w:t>is competitive but has fallen behind the other parties</w:t>
      </w:r>
      <w:r w:rsidR="002116DD">
        <w:rPr>
          <w:rFonts w:ascii="Times New Roman" w:eastAsia="Times New Roman" w:hAnsi="Times New Roman" w:cs="Times New Roman"/>
          <w:sz w:val="24"/>
          <w:szCs w:val="24"/>
          <w:lang w:eastAsia="en-GB"/>
        </w:rPr>
        <w:t>,</w:t>
      </w:r>
      <w:r w:rsidRPr="002B7826">
        <w:rPr>
          <w:rFonts w:ascii="Times New Roman" w:eastAsia="Times New Roman" w:hAnsi="Times New Roman" w:cs="Times New Roman"/>
          <w:sz w:val="24"/>
          <w:szCs w:val="24"/>
          <w:lang w:eastAsia="en-GB"/>
        </w:rPr>
        <w:t xml:space="preserve"> particularly the organic social media activism undertaken by groups and individuals associated with Labour. How the Liberal Democrats can match and even </w:t>
      </w:r>
      <w:r w:rsidRPr="002B7826">
        <w:rPr>
          <w:rFonts w:ascii="Times New Roman" w:eastAsia="Times New Roman" w:hAnsi="Times New Roman" w:cs="Times New Roman"/>
          <w:sz w:val="24"/>
          <w:szCs w:val="24"/>
          <w:lang w:eastAsia="en-GB"/>
        </w:rPr>
        <w:lastRenderedPageBreak/>
        <w:t>compete against this is difficult to fathom. Although targeting did help win seats, the strategy may have had unintended consequences. Only nine</w:t>
      </w:r>
      <w:r w:rsidR="002116DD">
        <w:rPr>
          <w:rFonts w:ascii="Times New Roman" w:eastAsia="Times New Roman" w:hAnsi="Times New Roman" w:cs="Times New Roman"/>
          <w:sz w:val="24"/>
          <w:szCs w:val="24"/>
          <w:lang w:eastAsia="en-GB"/>
        </w:rPr>
        <w:t xml:space="preserve"> constituencies</w:t>
      </w:r>
      <w:r w:rsidRPr="00E07919">
        <w:rPr>
          <w:rFonts w:ascii="Times New Roman" w:eastAsia="Times New Roman" w:hAnsi="Times New Roman" w:cs="Times New Roman"/>
          <w:sz w:val="24"/>
          <w:szCs w:val="24"/>
          <w:lang w:eastAsia="en-GB"/>
        </w:rPr>
        <w:t xml:space="preserve"> are now marginal with a gap of 10% or less between the Liberal Democrat challenger and the incumbent.</w:t>
      </w:r>
      <w:r w:rsidRPr="00E07919">
        <w:rPr>
          <w:rFonts w:ascii="Times New Roman" w:hAnsi="Times New Roman" w:cs="Times New Roman"/>
          <w:sz w:val="24"/>
          <w:szCs w:val="24"/>
        </w:rPr>
        <w:t xml:space="preserve"> </w:t>
      </w:r>
      <w:r w:rsidRPr="00E07919">
        <w:rPr>
          <w:rFonts w:ascii="Times New Roman" w:eastAsia="Times New Roman" w:hAnsi="Times New Roman" w:cs="Times New Roman"/>
          <w:sz w:val="24"/>
          <w:szCs w:val="24"/>
          <w:lang w:eastAsia="en-GB"/>
        </w:rPr>
        <w:t xml:space="preserve">Barring historic shifts in support, electoral growth looks hamstrung in the short to medium term. </w:t>
      </w:r>
    </w:p>
    <w:p w14:paraId="6C93D1D8" w14:textId="5B201173" w:rsidR="00EF21F1" w:rsidRPr="00E07919" w:rsidRDefault="00EF21F1" w:rsidP="008C2518">
      <w:pPr>
        <w:spacing w:line="480" w:lineRule="auto"/>
        <w:jc w:val="both"/>
        <w:rPr>
          <w:rFonts w:ascii="Times New Roman" w:eastAsia="Times New Roman" w:hAnsi="Times New Roman" w:cs="Times New Roman"/>
          <w:sz w:val="24"/>
          <w:szCs w:val="24"/>
          <w:lang w:eastAsia="en-GB"/>
        </w:rPr>
      </w:pPr>
      <w:r w:rsidRPr="00E07919">
        <w:rPr>
          <w:rFonts w:ascii="Times New Roman" w:eastAsia="Times New Roman" w:hAnsi="Times New Roman" w:cs="Times New Roman"/>
          <w:sz w:val="24"/>
          <w:szCs w:val="24"/>
          <w:lang w:eastAsia="en-GB"/>
        </w:rPr>
        <w:t xml:space="preserve">The Liberal Democrats now face a monumental task. The return to two party politics inevitably means that the Liberal Democrats are a spectator on the </w:t>
      </w:r>
      <w:r w:rsidR="00F542E8" w:rsidRPr="00E07919">
        <w:rPr>
          <w:rFonts w:ascii="Times New Roman" w:eastAsia="Times New Roman" w:hAnsi="Times New Roman" w:cs="Times New Roman"/>
          <w:sz w:val="24"/>
          <w:szCs w:val="24"/>
          <w:lang w:eastAsia="en-GB"/>
        </w:rPr>
        <w:t>side</w:t>
      </w:r>
      <w:r w:rsidR="00F542E8">
        <w:rPr>
          <w:rFonts w:ascii="Times New Roman" w:eastAsia="Times New Roman" w:hAnsi="Times New Roman" w:cs="Times New Roman"/>
          <w:sz w:val="24"/>
          <w:szCs w:val="24"/>
          <w:lang w:eastAsia="en-GB"/>
        </w:rPr>
        <w:t>-</w:t>
      </w:r>
      <w:r w:rsidR="00F542E8" w:rsidRPr="00E07919">
        <w:rPr>
          <w:rFonts w:ascii="Times New Roman" w:eastAsia="Times New Roman" w:hAnsi="Times New Roman" w:cs="Times New Roman"/>
          <w:sz w:val="24"/>
          <w:szCs w:val="24"/>
          <w:lang w:eastAsia="en-GB"/>
        </w:rPr>
        <w:t>lines</w:t>
      </w:r>
      <w:r w:rsidRPr="00E07919">
        <w:rPr>
          <w:rFonts w:ascii="Times New Roman" w:eastAsia="Times New Roman" w:hAnsi="Times New Roman" w:cs="Times New Roman"/>
          <w:sz w:val="24"/>
          <w:szCs w:val="24"/>
          <w:lang w:eastAsia="en-GB"/>
        </w:rPr>
        <w:t xml:space="preserve"> rather than taking part in the main game. Nevertheless, British politics is in continuous flux and one would be foolhardy to assume that such clear battle lines will hold. With the Conservatives minority government struggling to see out a full term, Brexit negotiations to dominate political discourse, a Tory party leadership contest </w:t>
      </w:r>
      <w:r w:rsidR="002116DD">
        <w:rPr>
          <w:rFonts w:ascii="Times New Roman" w:eastAsia="Times New Roman" w:hAnsi="Times New Roman" w:cs="Times New Roman"/>
          <w:sz w:val="24"/>
          <w:szCs w:val="24"/>
          <w:lang w:eastAsia="en-GB"/>
        </w:rPr>
        <w:t xml:space="preserve">seemingly likely </w:t>
      </w:r>
      <w:r w:rsidRPr="00E07919">
        <w:rPr>
          <w:rFonts w:ascii="Times New Roman" w:eastAsia="Times New Roman" w:hAnsi="Times New Roman" w:cs="Times New Roman"/>
          <w:sz w:val="24"/>
          <w:szCs w:val="24"/>
          <w:lang w:eastAsia="en-GB"/>
        </w:rPr>
        <w:t xml:space="preserve">at some point, and continued internal party strife in Labour most likely, it is possible that the Liberal Democrats could suddenly benefit from any </w:t>
      </w:r>
      <w:r w:rsidR="002116DD">
        <w:rPr>
          <w:rFonts w:ascii="Times New Roman" w:eastAsia="Times New Roman" w:hAnsi="Times New Roman" w:cs="Times New Roman"/>
          <w:sz w:val="24"/>
          <w:szCs w:val="24"/>
          <w:lang w:eastAsia="en-GB"/>
        </w:rPr>
        <w:t xml:space="preserve">fall </w:t>
      </w:r>
      <w:r w:rsidRPr="00E07919">
        <w:rPr>
          <w:rFonts w:ascii="Times New Roman" w:eastAsia="Times New Roman" w:hAnsi="Times New Roman" w:cs="Times New Roman"/>
          <w:sz w:val="24"/>
          <w:szCs w:val="24"/>
          <w:lang w:eastAsia="en-GB"/>
        </w:rPr>
        <w:t>in two party support. However, key decisions about where the party stands, where it goes and how it operates need to be made</w:t>
      </w:r>
      <w:r w:rsidR="002116DD">
        <w:rPr>
          <w:rFonts w:ascii="Times New Roman" w:eastAsia="Times New Roman" w:hAnsi="Times New Roman" w:cs="Times New Roman"/>
          <w:sz w:val="24"/>
          <w:szCs w:val="24"/>
          <w:lang w:eastAsia="en-GB"/>
        </w:rPr>
        <w:t>.</w:t>
      </w:r>
      <w:r w:rsidRPr="00E07919">
        <w:rPr>
          <w:rFonts w:ascii="Times New Roman" w:eastAsia="Times New Roman" w:hAnsi="Times New Roman" w:cs="Times New Roman"/>
          <w:sz w:val="24"/>
          <w:szCs w:val="24"/>
          <w:lang w:eastAsia="en-GB"/>
        </w:rPr>
        <w:t xml:space="preserve"> After the 2015 general election the Liberal Democrats were on life support and fighting for their political survival. In 2017, the party may have stabilised somewhat but it </w:t>
      </w:r>
      <w:r w:rsidR="002116DD">
        <w:rPr>
          <w:rFonts w:ascii="Times New Roman" w:eastAsia="Times New Roman" w:hAnsi="Times New Roman" w:cs="Times New Roman"/>
          <w:sz w:val="24"/>
          <w:szCs w:val="24"/>
          <w:lang w:eastAsia="en-GB"/>
        </w:rPr>
        <w:t xml:space="preserve">is </w:t>
      </w:r>
      <w:r w:rsidRPr="00E07919">
        <w:rPr>
          <w:rFonts w:ascii="Times New Roman" w:eastAsia="Times New Roman" w:hAnsi="Times New Roman" w:cs="Times New Roman"/>
          <w:sz w:val="24"/>
          <w:szCs w:val="24"/>
          <w:lang w:eastAsia="en-GB"/>
        </w:rPr>
        <w:t xml:space="preserve">still a </w:t>
      </w:r>
      <w:r w:rsidR="002116DD">
        <w:rPr>
          <w:rFonts w:ascii="Times New Roman" w:eastAsia="Times New Roman" w:hAnsi="Times New Roman" w:cs="Times New Roman"/>
          <w:sz w:val="24"/>
          <w:szCs w:val="24"/>
          <w:lang w:eastAsia="en-GB"/>
        </w:rPr>
        <w:t xml:space="preserve">in a </w:t>
      </w:r>
      <w:r w:rsidRPr="00E07919">
        <w:rPr>
          <w:rFonts w:ascii="Times New Roman" w:eastAsia="Times New Roman" w:hAnsi="Times New Roman" w:cs="Times New Roman"/>
          <w:sz w:val="24"/>
          <w:szCs w:val="24"/>
          <w:lang w:eastAsia="en-GB"/>
        </w:rPr>
        <w:t xml:space="preserve">critical condition. </w:t>
      </w:r>
    </w:p>
    <w:p w14:paraId="2D8D6F2D" w14:textId="77777777" w:rsidR="000A6640" w:rsidRPr="00E07919" w:rsidRDefault="000A6640" w:rsidP="008C2518">
      <w:pPr>
        <w:pStyle w:val="EndnoteText"/>
        <w:spacing w:line="480" w:lineRule="auto"/>
        <w:rPr>
          <w:rFonts w:ascii="Times New Roman" w:hAnsi="Times New Roman" w:cs="Times New Roman"/>
          <w:sz w:val="24"/>
          <w:szCs w:val="24"/>
        </w:rPr>
      </w:pPr>
      <w:r w:rsidRPr="00E07919">
        <w:rPr>
          <w:rFonts w:ascii="Times New Roman" w:hAnsi="Times New Roman" w:cs="Times New Roman"/>
          <w:sz w:val="24"/>
          <w:szCs w:val="24"/>
        </w:rPr>
        <w:t>Notes</w:t>
      </w:r>
    </w:p>
    <w:p w14:paraId="11F0D945" w14:textId="25EED409" w:rsidR="000A6640" w:rsidRPr="00F032C5" w:rsidRDefault="000A6640" w:rsidP="008C2518">
      <w:pPr>
        <w:pStyle w:val="EndnoteText"/>
        <w:spacing w:line="480" w:lineRule="auto"/>
        <w:rPr>
          <w:rFonts w:ascii="Times New Roman" w:hAnsi="Times New Roman" w:cs="Times New Roman"/>
        </w:rPr>
      </w:pPr>
      <w:r w:rsidRPr="00F032C5">
        <w:rPr>
          <w:rStyle w:val="EndnoteReference"/>
          <w:rFonts w:ascii="Times New Roman" w:hAnsi="Times New Roman" w:cs="Times New Roman"/>
        </w:rPr>
        <w:footnoteRef/>
      </w:r>
      <w:r>
        <w:rPr>
          <w:rFonts w:ascii="Times New Roman" w:hAnsi="Times New Roman" w:cs="Times New Roman"/>
        </w:rPr>
        <w:t xml:space="preserve"> </w:t>
      </w:r>
      <w:r w:rsidRPr="00F032C5">
        <w:rPr>
          <w:rFonts w:ascii="Times New Roman" w:hAnsi="Times New Roman" w:cs="Times New Roman"/>
        </w:rPr>
        <w:t>Conservative held seats</w:t>
      </w:r>
      <w:r>
        <w:rPr>
          <w:rFonts w:ascii="Times New Roman" w:hAnsi="Times New Roman" w:cs="Times New Roman"/>
        </w:rPr>
        <w:t>:</w:t>
      </w:r>
      <w:r w:rsidRPr="00F032C5">
        <w:rPr>
          <w:rFonts w:ascii="Times New Roman" w:hAnsi="Times New Roman" w:cs="Times New Roman"/>
        </w:rPr>
        <w:t xml:space="preserve"> Bath, Twickenham, Kingston and Surbiton, Lewes – and</w:t>
      </w:r>
      <w:r>
        <w:rPr>
          <w:rFonts w:ascii="Times New Roman" w:hAnsi="Times New Roman" w:cs="Times New Roman"/>
        </w:rPr>
        <w:t xml:space="preserve"> the two held by Labour were</w:t>
      </w:r>
      <w:r w:rsidRPr="00F032C5">
        <w:rPr>
          <w:rFonts w:ascii="Times New Roman" w:hAnsi="Times New Roman" w:cs="Times New Roman"/>
        </w:rPr>
        <w:t xml:space="preserve"> Cambridge and Bermondsey and Old Southwark.</w:t>
      </w:r>
    </w:p>
    <w:p w14:paraId="5FCBEE9A" w14:textId="0654DB15" w:rsidR="000A6640" w:rsidRPr="00BD7F83" w:rsidRDefault="0042467A" w:rsidP="008C2518">
      <w:pPr>
        <w:pStyle w:val="EndnoteText"/>
        <w:spacing w:line="480" w:lineRule="auto"/>
        <w:rPr>
          <w:rFonts w:ascii="Times New Roman" w:hAnsi="Times New Roman" w:cs="Times New Roman"/>
        </w:rPr>
      </w:pPr>
      <w:r>
        <w:rPr>
          <w:rStyle w:val="EndnoteReference"/>
          <w:rFonts w:ascii="Times New Roman" w:hAnsi="Times New Roman" w:cs="Times New Roman"/>
        </w:rPr>
        <w:t>2</w:t>
      </w:r>
      <w:r>
        <w:rPr>
          <w:rFonts w:ascii="Times New Roman" w:hAnsi="Times New Roman" w:cs="Times New Roman"/>
        </w:rPr>
        <w:t xml:space="preserve"> </w:t>
      </w:r>
      <w:r w:rsidR="000A6640" w:rsidRPr="00F032C5">
        <w:rPr>
          <w:rFonts w:ascii="Times New Roman" w:hAnsi="Times New Roman" w:cs="Times New Roman"/>
        </w:rPr>
        <w:t>Conservative held seats</w:t>
      </w:r>
      <w:r w:rsidR="000A6640">
        <w:rPr>
          <w:rFonts w:ascii="Times New Roman" w:hAnsi="Times New Roman" w:cs="Times New Roman"/>
        </w:rPr>
        <w:t>:</w:t>
      </w:r>
      <w:r w:rsidR="000A6640" w:rsidRPr="00F032C5">
        <w:rPr>
          <w:rFonts w:ascii="Times New Roman" w:hAnsi="Times New Roman" w:cs="Times New Roman"/>
        </w:rPr>
        <w:t xml:space="preserve"> </w:t>
      </w:r>
      <w:r w:rsidR="000A6640">
        <w:rPr>
          <w:rFonts w:ascii="Times New Roman" w:hAnsi="Times New Roman" w:cs="Times New Roman"/>
        </w:rPr>
        <w:t>Cheadle, Cheltenham and Oxford West and Abingdon</w:t>
      </w:r>
      <w:r w:rsidR="000A6640" w:rsidRPr="00F032C5">
        <w:rPr>
          <w:rFonts w:ascii="Times New Roman" w:hAnsi="Times New Roman" w:cs="Times New Roman"/>
        </w:rPr>
        <w:t xml:space="preserve"> – and</w:t>
      </w:r>
      <w:r w:rsidR="000A6640">
        <w:rPr>
          <w:rFonts w:ascii="Times New Roman" w:hAnsi="Times New Roman" w:cs="Times New Roman"/>
        </w:rPr>
        <w:t xml:space="preserve"> the two held by Labour were</w:t>
      </w:r>
      <w:r w:rsidR="000A6640" w:rsidRPr="00F032C5">
        <w:rPr>
          <w:rFonts w:ascii="Times New Roman" w:hAnsi="Times New Roman" w:cs="Times New Roman"/>
        </w:rPr>
        <w:t xml:space="preserve"> </w:t>
      </w:r>
      <w:r w:rsidR="000A6640">
        <w:rPr>
          <w:rFonts w:ascii="Times New Roman" w:hAnsi="Times New Roman" w:cs="Times New Roman"/>
        </w:rPr>
        <w:t>Cardiff Central and Hornsey and Wood Green</w:t>
      </w:r>
    </w:p>
    <w:p w14:paraId="7DE64D64" w14:textId="77777777" w:rsidR="009178A9" w:rsidRDefault="009178A9"/>
    <w:p w14:paraId="35330DE8" w14:textId="77777777" w:rsidR="002116DD" w:rsidRDefault="002116DD"/>
    <w:p w14:paraId="02A940A5" w14:textId="77777777" w:rsidR="002116DD" w:rsidRDefault="002116DD"/>
    <w:p w14:paraId="55538E7E" w14:textId="77777777" w:rsidR="00281AD7" w:rsidRDefault="00281AD7">
      <w:pPr>
        <w:rPr>
          <w:rFonts w:ascii="Times New Roman" w:hAnsi="Times New Roman" w:cs="Times New Roman"/>
          <w:b/>
          <w:sz w:val="24"/>
          <w:szCs w:val="24"/>
        </w:rPr>
      </w:pPr>
    </w:p>
    <w:p w14:paraId="47C994DA" w14:textId="1512DE32" w:rsidR="00D34CF9" w:rsidRPr="0088469D" w:rsidRDefault="00D34CF9">
      <w:pPr>
        <w:rPr>
          <w:rFonts w:ascii="Times New Roman" w:hAnsi="Times New Roman" w:cs="Times New Roman"/>
          <w:b/>
          <w:sz w:val="24"/>
          <w:szCs w:val="24"/>
        </w:rPr>
      </w:pPr>
      <w:r w:rsidRPr="0088469D">
        <w:rPr>
          <w:rFonts w:ascii="Times New Roman" w:hAnsi="Times New Roman" w:cs="Times New Roman"/>
          <w:b/>
          <w:sz w:val="24"/>
          <w:szCs w:val="24"/>
        </w:rPr>
        <w:lastRenderedPageBreak/>
        <w:t>References</w:t>
      </w:r>
    </w:p>
    <w:p w14:paraId="5C2E2FEB" w14:textId="5DCB73B9" w:rsidR="00D601B2" w:rsidRPr="0088469D" w:rsidRDefault="00D601B2" w:rsidP="00D601B2">
      <w:pPr>
        <w:rPr>
          <w:rFonts w:ascii="Times New Roman" w:hAnsi="Times New Roman" w:cs="Times New Roman"/>
          <w:sz w:val="24"/>
          <w:szCs w:val="24"/>
        </w:rPr>
      </w:pPr>
      <w:r w:rsidRPr="0088469D">
        <w:rPr>
          <w:rFonts w:ascii="Times New Roman" w:hAnsi="Times New Roman" w:cs="Times New Roman"/>
          <w:sz w:val="24"/>
          <w:szCs w:val="24"/>
        </w:rPr>
        <w:t xml:space="preserve">Cutts, D. and Goodwin, M. (2017a) Project comeback: will the Liberal Democrats really give May a bloody nose? </w:t>
      </w:r>
      <w:hyperlink r:id="rId8" w:history="1">
        <w:r w:rsidRPr="0088469D">
          <w:rPr>
            <w:rStyle w:val="Hyperlink"/>
            <w:rFonts w:ascii="Times New Roman" w:hAnsi="Times New Roman" w:cs="Times New Roman"/>
            <w:sz w:val="24"/>
            <w:szCs w:val="24"/>
          </w:rPr>
          <w:t>http://ukandeu.ac.uk/project-comeback-will-the-liberal-democrats-really-give-may-a-bloody-nose/</w:t>
        </w:r>
      </w:hyperlink>
      <w:r w:rsidRPr="0088469D">
        <w:rPr>
          <w:rStyle w:val="Hyperlink"/>
          <w:rFonts w:ascii="Times New Roman" w:hAnsi="Times New Roman" w:cs="Times New Roman"/>
          <w:sz w:val="24"/>
          <w:szCs w:val="24"/>
        </w:rPr>
        <w:t xml:space="preserve"> </w:t>
      </w:r>
      <w:r w:rsidRPr="0088469D">
        <w:rPr>
          <w:rFonts w:ascii="Times New Roman" w:hAnsi="Times New Roman" w:cs="Times New Roman"/>
          <w:sz w:val="24"/>
          <w:szCs w:val="24"/>
        </w:rPr>
        <w:t>24</w:t>
      </w:r>
      <w:r w:rsidRPr="0088469D">
        <w:rPr>
          <w:rFonts w:ascii="Times New Roman" w:hAnsi="Times New Roman" w:cs="Times New Roman"/>
          <w:sz w:val="24"/>
          <w:szCs w:val="24"/>
          <w:vertAlign w:val="superscript"/>
        </w:rPr>
        <w:t>th</w:t>
      </w:r>
      <w:r w:rsidRPr="0088469D">
        <w:rPr>
          <w:rFonts w:ascii="Times New Roman" w:hAnsi="Times New Roman" w:cs="Times New Roman"/>
          <w:sz w:val="24"/>
          <w:szCs w:val="24"/>
        </w:rPr>
        <w:t xml:space="preserve"> April, UK in a Changing Europe</w:t>
      </w:r>
    </w:p>
    <w:p w14:paraId="11AB464C" w14:textId="36B0B2B6" w:rsidR="00153C5E" w:rsidRPr="0088469D" w:rsidRDefault="00D601B2" w:rsidP="00D601B2">
      <w:pPr>
        <w:rPr>
          <w:rFonts w:ascii="Times New Roman" w:hAnsi="Times New Roman" w:cs="Times New Roman"/>
          <w:sz w:val="24"/>
          <w:szCs w:val="24"/>
        </w:rPr>
      </w:pPr>
      <w:r w:rsidRPr="0088469D">
        <w:rPr>
          <w:rFonts w:ascii="Times New Roman" w:hAnsi="Times New Roman" w:cs="Times New Roman"/>
          <w:sz w:val="24"/>
          <w:szCs w:val="24"/>
        </w:rPr>
        <w:t xml:space="preserve">Cutts, D. and Goodwin, M. (2017b) Why UKIPs collapse matters </w:t>
      </w:r>
      <w:r w:rsidR="007572F2">
        <w:fldChar w:fldCharType="begin"/>
      </w:r>
      <w:r w:rsidR="007572F2">
        <w:instrText xml:space="preserve"> HYPERLINK "http://www.politico.eu/article/uk-general-election-ukip-why-collapse-matters-conservative-majority-theresa-may/" \t "_blank" </w:instrText>
      </w:r>
      <w:r w:rsidR="007572F2">
        <w:fldChar w:fldCharType="separate"/>
      </w:r>
      <w:r w:rsidRPr="0088469D">
        <w:rPr>
          <w:rStyle w:val="Hyperlink"/>
          <w:rFonts w:ascii="Times New Roman" w:hAnsi="Times New Roman" w:cs="Times New Roman"/>
          <w:sz w:val="24"/>
          <w:szCs w:val="24"/>
          <w:lang w:val="en-US"/>
        </w:rPr>
        <w:t>http://www.politico.eu/article/uk-general-election-ukip-why-collapse-matters-conservative-majority-theresa-may/</w:t>
      </w:r>
      <w:r w:rsidR="007572F2">
        <w:rPr>
          <w:rStyle w:val="Hyperlink"/>
          <w:rFonts w:ascii="Times New Roman" w:hAnsi="Times New Roman" w:cs="Times New Roman"/>
          <w:sz w:val="24"/>
          <w:szCs w:val="24"/>
          <w:lang w:val="en-US"/>
        </w:rPr>
        <w:fldChar w:fldCharType="end"/>
      </w:r>
      <w:r w:rsidRPr="0088469D">
        <w:rPr>
          <w:rStyle w:val="Hyperlink"/>
          <w:rFonts w:ascii="Times New Roman" w:hAnsi="Times New Roman" w:cs="Times New Roman"/>
          <w:sz w:val="24"/>
          <w:szCs w:val="24"/>
          <w:lang w:val="en-US"/>
        </w:rPr>
        <w:t xml:space="preserve"> </w:t>
      </w:r>
      <w:r w:rsidRPr="0088469D">
        <w:rPr>
          <w:rFonts w:ascii="Times New Roman" w:hAnsi="Times New Roman" w:cs="Times New Roman"/>
          <w:sz w:val="24"/>
          <w:szCs w:val="24"/>
        </w:rPr>
        <w:t>28</w:t>
      </w:r>
      <w:r w:rsidRPr="0088469D">
        <w:rPr>
          <w:rFonts w:ascii="Times New Roman" w:hAnsi="Times New Roman" w:cs="Times New Roman"/>
          <w:sz w:val="24"/>
          <w:szCs w:val="24"/>
          <w:vertAlign w:val="superscript"/>
        </w:rPr>
        <w:t>th</w:t>
      </w:r>
      <w:r w:rsidRPr="0088469D">
        <w:rPr>
          <w:rFonts w:ascii="Times New Roman" w:hAnsi="Times New Roman" w:cs="Times New Roman"/>
          <w:sz w:val="24"/>
          <w:szCs w:val="24"/>
        </w:rPr>
        <w:t xml:space="preserve"> April, Politico Europe</w:t>
      </w:r>
    </w:p>
    <w:p w14:paraId="6F7E3E25" w14:textId="5922FEFC" w:rsidR="0012086C" w:rsidRPr="0088469D" w:rsidRDefault="0012086C" w:rsidP="00D601B2">
      <w:pPr>
        <w:rPr>
          <w:rFonts w:ascii="Times New Roman" w:hAnsi="Times New Roman" w:cs="Times New Roman"/>
          <w:sz w:val="24"/>
          <w:szCs w:val="24"/>
        </w:rPr>
      </w:pPr>
      <w:r w:rsidRPr="0088469D">
        <w:rPr>
          <w:rFonts w:ascii="Times New Roman" w:hAnsi="Times New Roman" w:cs="Times New Roman"/>
          <w:iCs/>
          <w:sz w:val="24"/>
          <w:szCs w:val="24"/>
        </w:rPr>
        <w:t xml:space="preserve">Cutts, D. and Russell, A. (2015) From Coalition to Catastrophe: The Electoral Meltdown of the Liberal Democrats, </w:t>
      </w:r>
      <w:r w:rsidRPr="0088469D">
        <w:rPr>
          <w:rFonts w:ascii="Times New Roman" w:hAnsi="Times New Roman" w:cs="Times New Roman"/>
          <w:sz w:val="24"/>
          <w:szCs w:val="24"/>
        </w:rPr>
        <w:t xml:space="preserve">Geddes, A and Tonge, J. </w:t>
      </w:r>
      <w:r w:rsidRPr="0088469D">
        <w:rPr>
          <w:rFonts w:ascii="Times New Roman" w:hAnsi="Times New Roman" w:cs="Times New Roman"/>
          <w:i/>
          <w:sz w:val="24"/>
          <w:szCs w:val="24"/>
        </w:rPr>
        <w:t xml:space="preserve">Britain Votes 2015: </w:t>
      </w:r>
      <w:r w:rsidRPr="0088469D">
        <w:rPr>
          <w:rFonts w:ascii="Times New Roman" w:hAnsi="Times New Roman" w:cs="Times New Roman"/>
          <w:sz w:val="24"/>
          <w:szCs w:val="24"/>
        </w:rPr>
        <w:t>Oxford: Oxford University Press</w:t>
      </w:r>
    </w:p>
    <w:p w14:paraId="77FD86E7" w14:textId="77777777" w:rsidR="00D601B2" w:rsidRPr="0088469D" w:rsidRDefault="0012086C" w:rsidP="00D601B2">
      <w:pPr>
        <w:pStyle w:val="CommentText"/>
        <w:rPr>
          <w:rFonts w:ascii="Times New Roman" w:hAnsi="Times New Roman" w:cs="Times New Roman"/>
          <w:lang w:val="en"/>
        </w:rPr>
      </w:pPr>
      <w:r w:rsidRPr="0088469D">
        <w:rPr>
          <w:rFonts w:ascii="Times New Roman" w:hAnsi="Times New Roman" w:cs="Times New Roman"/>
          <w:lang w:val="en"/>
        </w:rPr>
        <w:t xml:space="preserve">Evans, G and Mellon, J (2016) Working Class Votes and Conservative Losses: Solving the UKIP Puzzle, </w:t>
      </w:r>
      <w:r w:rsidRPr="0088469D">
        <w:rPr>
          <w:rFonts w:ascii="Times New Roman" w:hAnsi="Times New Roman" w:cs="Times New Roman"/>
          <w:i/>
          <w:lang w:val="en"/>
        </w:rPr>
        <w:t>Parliamentary Affairs</w:t>
      </w:r>
      <w:r w:rsidRPr="0088469D">
        <w:rPr>
          <w:rFonts w:ascii="Times New Roman" w:hAnsi="Times New Roman" w:cs="Times New Roman"/>
          <w:lang w:val="en"/>
        </w:rPr>
        <w:t xml:space="preserve">, </w:t>
      </w:r>
      <w:r w:rsidRPr="0088469D">
        <w:rPr>
          <w:rFonts w:ascii="Times New Roman" w:hAnsi="Times New Roman" w:cs="Times New Roman"/>
          <w:vanish/>
          <w:lang w:val="en"/>
        </w:rPr>
        <w:t xml:space="preserve">Search for other works by this author on: </w:t>
      </w:r>
      <w:hyperlink r:id="rId9" w:history="1">
        <w:r w:rsidRPr="0088469D">
          <w:rPr>
            <w:rStyle w:val="Hyperlink"/>
            <w:rFonts w:ascii="Times New Roman" w:hAnsi="Times New Roman" w:cs="Times New Roman"/>
            <w:vanish/>
            <w:lang w:val="en"/>
          </w:rPr>
          <w:t>Oxford Academic</w:t>
        </w:r>
      </w:hyperlink>
      <w:r w:rsidRPr="0088469D">
        <w:rPr>
          <w:rFonts w:ascii="Times New Roman" w:hAnsi="Times New Roman" w:cs="Times New Roman"/>
          <w:vanish/>
          <w:lang w:val="en"/>
        </w:rPr>
        <w:t xml:space="preserve"> </w:t>
      </w:r>
      <w:hyperlink r:id="rId10" w:history="1">
        <w:r w:rsidRPr="0088469D">
          <w:rPr>
            <w:rStyle w:val="Hyperlink"/>
            <w:rFonts w:ascii="Times New Roman" w:hAnsi="Times New Roman" w:cs="Times New Roman"/>
            <w:vanish/>
            <w:lang w:val="en"/>
          </w:rPr>
          <w:t>Google Scholar</w:t>
        </w:r>
      </w:hyperlink>
      <w:r w:rsidRPr="0088469D">
        <w:rPr>
          <w:rFonts w:ascii="Times New Roman" w:hAnsi="Times New Roman" w:cs="Times New Roman"/>
          <w:vanish/>
          <w:lang w:val="en"/>
        </w:rPr>
        <w:t xml:space="preserve"> </w:t>
      </w:r>
      <w:r w:rsidRPr="0088469D">
        <w:rPr>
          <w:rFonts w:ascii="Times New Roman" w:hAnsi="Times New Roman" w:cs="Times New Roman"/>
          <w:lang w:val="en"/>
        </w:rPr>
        <w:t>69 (2): 464-479</w:t>
      </w:r>
    </w:p>
    <w:p w14:paraId="4DAFF558" w14:textId="64EF64D8" w:rsidR="0012086C" w:rsidRPr="0088469D" w:rsidRDefault="00D601B2" w:rsidP="00D601B2">
      <w:pPr>
        <w:pStyle w:val="CommentText"/>
        <w:rPr>
          <w:rFonts w:ascii="Times New Roman" w:hAnsi="Times New Roman" w:cs="Times New Roman"/>
        </w:rPr>
      </w:pPr>
      <w:r w:rsidRPr="0088469D">
        <w:rPr>
          <w:rFonts w:ascii="Times New Roman" w:hAnsi="Times New Roman" w:cs="Times New Roman"/>
        </w:rPr>
        <w:t xml:space="preserve">Farron, T. (2017) </w:t>
      </w:r>
      <w:hyperlink r:id="rId11" w:history="1">
        <w:r w:rsidRPr="0088469D">
          <w:rPr>
            <w:rStyle w:val="Hyperlink"/>
            <w:rFonts w:ascii="Times New Roman" w:hAnsi="Times New Roman" w:cs="Times New Roman"/>
          </w:rPr>
          <w:t>http://www.independent.co.uk/news/uk/politics/tim-farron-general-election-liberal-democrat-leader-snap-change-country-direction-chance-june-8-a7688486.html</w:t>
        </w:r>
      </w:hyperlink>
    </w:p>
    <w:p w14:paraId="017E3CA3" w14:textId="77777777" w:rsidR="002402A7" w:rsidRDefault="00D601B2" w:rsidP="002402A7">
      <w:pPr>
        <w:rPr>
          <w:rStyle w:val="HTMLCite"/>
          <w:rFonts w:ascii="Times New Roman" w:hAnsi="Times New Roman" w:cs="Times New Roman"/>
          <w:sz w:val="24"/>
          <w:szCs w:val="24"/>
        </w:rPr>
      </w:pPr>
      <w:r w:rsidRPr="0088469D">
        <w:rPr>
          <w:rFonts w:ascii="Times New Roman" w:hAnsi="Times New Roman" w:cs="Times New Roman"/>
          <w:sz w:val="24"/>
          <w:szCs w:val="24"/>
        </w:rPr>
        <w:t xml:space="preserve">Farron, T. (2016) </w:t>
      </w:r>
      <w:hyperlink r:id="rId12" w:history="1">
        <w:r w:rsidRPr="0088469D">
          <w:rPr>
            <w:rStyle w:val="Hyperlink"/>
            <w:rFonts w:ascii="Times New Roman" w:hAnsi="Times New Roman" w:cs="Times New Roman"/>
            <w:sz w:val="24"/>
            <w:szCs w:val="24"/>
          </w:rPr>
          <w:t>http://www.politico.eu/article/tim-farron-liberal-democrats-back-second-brexit-vote-deal-theresa-may-uk/</w:t>
        </w:r>
      </w:hyperlink>
      <w:r w:rsidRPr="0088469D">
        <w:rPr>
          <w:rStyle w:val="Hyperlink"/>
          <w:rFonts w:ascii="Times New Roman" w:hAnsi="Times New Roman" w:cs="Times New Roman"/>
          <w:sz w:val="24"/>
          <w:szCs w:val="24"/>
        </w:rPr>
        <w:t xml:space="preserve"> </w:t>
      </w:r>
      <w:r w:rsidRPr="0088469D">
        <w:rPr>
          <w:rFonts w:ascii="Times New Roman" w:hAnsi="Times New Roman" w:cs="Times New Roman"/>
          <w:sz w:val="24"/>
          <w:szCs w:val="24"/>
        </w:rPr>
        <w:t xml:space="preserve"> Politico Europe (September 20</w:t>
      </w:r>
      <w:r w:rsidRPr="0088469D">
        <w:rPr>
          <w:rFonts w:ascii="Times New Roman" w:hAnsi="Times New Roman" w:cs="Times New Roman"/>
          <w:sz w:val="24"/>
          <w:szCs w:val="24"/>
          <w:vertAlign w:val="superscript"/>
        </w:rPr>
        <w:t>th</w:t>
      </w:r>
      <w:r w:rsidRPr="0088469D">
        <w:rPr>
          <w:rFonts w:ascii="Times New Roman" w:hAnsi="Times New Roman" w:cs="Times New Roman"/>
          <w:sz w:val="24"/>
          <w:szCs w:val="24"/>
        </w:rPr>
        <w:t xml:space="preserve"> 2016)</w:t>
      </w:r>
      <w:r w:rsidR="002402A7" w:rsidRPr="002402A7">
        <w:rPr>
          <w:rStyle w:val="HTMLCite"/>
          <w:rFonts w:ascii="Times New Roman" w:hAnsi="Times New Roman" w:cs="Times New Roman"/>
          <w:sz w:val="24"/>
          <w:szCs w:val="24"/>
        </w:rPr>
        <w:t xml:space="preserve"> </w:t>
      </w:r>
    </w:p>
    <w:p w14:paraId="44673684" w14:textId="1AF8890E" w:rsidR="00D601B2" w:rsidRPr="0088469D" w:rsidRDefault="002402A7" w:rsidP="00D601B2">
      <w:pPr>
        <w:rPr>
          <w:rFonts w:ascii="Times New Roman" w:hAnsi="Times New Roman" w:cs="Times New Roman"/>
          <w:sz w:val="24"/>
          <w:szCs w:val="24"/>
        </w:rPr>
      </w:pPr>
      <w:r w:rsidRPr="002402A7">
        <w:rPr>
          <w:rStyle w:val="HTMLCite"/>
          <w:rFonts w:ascii="Times New Roman" w:hAnsi="Times New Roman" w:cs="Times New Roman"/>
          <w:sz w:val="24"/>
          <w:szCs w:val="24"/>
        </w:rPr>
        <w:t>Fieldhouse, E., J. Green., G. Evans., H. Schmitt, C. van der Eijk, J. Mellon &amp; C. Prosser (2016) British Election Study Internet Panel Waves 1-10. DOI: 10.15127/1.293723</w:t>
      </w:r>
    </w:p>
    <w:p w14:paraId="054CBE5D" w14:textId="684D3049" w:rsidR="0012086C" w:rsidRPr="0088469D" w:rsidRDefault="0028434D" w:rsidP="00D601B2">
      <w:pPr>
        <w:rPr>
          <w:rFonts w:ascii="Times New Roman" w:hAnsi="Times New Roman" w:cs="Times New Roman"/>
          <w:sz w:val="24"/>
          <w:szCs w:val="24"/>
        </w:rPr>
      </w:pPr>
      <w:r w:rsidRPr="0088469D">
        <w:rPr>
          <w:rFonts w:ascii="Times New Roman" w:hAnsi="Times New Roman" w:cs="Times New Roman"/>
          <w:sz w:val="24"/>
          <w:szCs w:val="24"/>
        </w:rPr>
        <w:t xml:space="preserve">Russell, A. and Fieldhouse, E. (2005) </w:t>
      </w:r>
      <w:r w:rsidRPr="0088469D">
        <w:rPr>
          <w:rFonts w:ascii="Times New Roman" w:hAnsi="Times New Roman" w:cs="Times New Roman"/>
          <w:i/>
          <w:sz w:val="24"/>
          <w:szCs w:val="24"/>
        </w:rPr>
        <w:t>Neither Left nor Right?</w:t>
      </w:r>
      <w:r w:rsidRPr="0088469D">
        <w:rPr>
          <w:rFonts w:ascii="Times New Roman" w:hAnsi="Times New Roman" w:cs="Times New Roman"/>
          <w:sz w:val="24"/>
          <w:szCs w:val="24"/>
        </w:rPr>
        <w:t>, Manchester: Manchester University Press</w:t>
      </w:r>
    </w:p>
    <w:p w14:paraId="7B4F4314" w14:textId="77777777" w:rsidR="0012086C" w:rsidRPr="0088469D" w:rsidRDefault="0012086C" w:rsidP="00D601B2">
      <w:pPr>
        <w:rPr>
          <w:rFonts w:ascii="Times New Roman" w:hAnsi="Times New Roman" w:cs="Times New Roman"/>
          <w:sz w:val="24"/>
          <w:szCs w:val="24"/>
        </w:rPr>
      </w:pPr>
      <w:r w:rsidRPr="0088469D">
        <w:rPr>
          <w:rFonts w:ascii="Times New Roman" w:hAnsi="Times New Roman" w:cs="Times New Roman"/>
          <w:sz w:val="24"/>
          <w:szCs w:val="24"/>
        </w:rPr>
        <w:t>The Telegraph 26</w:t>
      </w:r>
      <w:r w:rsidRPr="0088469D">
        <w:rPr>
          <w:rFonts w:ascii="Times New Roman" w:hAnsi="Times New Roman" w:cs="Times New Roman"/>
          <w:sz w:val="24"/>
          <w:szCs w:val="24"/>
          <w:vertAlign w:val="superscript"/>
        </w:rPr>
        <w:t>th</w:t>
      </w:r>
      <w:r w:rsidRPr="0088469D">
        <w:rPr>
          <w:rFonts w:ascii="Times New Roman" w:hAnsi="Times New Roman" w:cs="Times New Roman"/>
          <w:sz w:val="24"/>
          <w:szCs w:val="24"/>
        </w:rPr>
        <w:t xml:space="preserve"> May 2017 </w:t>
      </w:r>
      <w:hyperlink r:id="rId13" w:history="1">
        <w:r w:rsidRPr="0088469D">
          <w:rPr>
            <w:rStyle w:val="Hyperlink"/>
            <w:rFonts w:ascii="Times New Roman" w:hAnsi="Times New Roman" w:cs="Times New Roman"/>
            <w:sz w:val="24"/>
            <w:szCs w:val="24"/>
          </w:rPr>
          <w:t>http://www.telegraph.co.uk/news/2017/05/26/tim-half-voters-do-not-know-tim-farron/</w:t>
        </w:r>
      </w:hyperlink>
    </w:p>
    <w:p w14:paraId="20CBDEBE" w14:textId="451A17E1" w:rsidR="0012086C" w:rsidRPr="0088469D" w:rsidRDefault="00D601B2" w:rsidP="00D601B2">
      <w:pPr>
        <w:rPr>
          <w:rFonts w:ascii="Times New Roman" w:hAnsi="Times New Roman" w:cs="Times New Roman"/>
          <w:sz w:val="24"/>
          <w:szCs w:val="24"/>
        </w:rPr>
      </w:pPr>
      <w:r w:rsidRPr="0088469D">
        <w:rPr>
          <w:rFonts w:ascii="Times New Roman" w:hAnsi="Times New Roman" w:cs="Times New Roman"/>
          <w:sz w:val="24"/>
          <w:szCs w:val="24"/>
        </w:rPr>
        <w:t>Twyman, J (2016)</w:t>
      </w:r>
      <w:r w:rsidR="0012086C" w:rsidRPr="0088469D">
        <w:rPr>
          <w:rFonts w:ascii="Times New Roman" w:hAnsi="Times New Roman" w:cs="Times New Roman"/>
          <w:sz w:val="24"/>
          <w:szCs w:val="24"/>
        </w:rPr>
        <w:t xml:space="preserve"> </w:t>
      </w:r>
      <w:hyperlink r:id="rId14" w:history="1">
        <w:r w:rsidR="0012086C" w:rsidRPr="0088469D">
          <w:rPr>
            <w:rStyle w:val="Hyperlink"/>
            <w:rFonts w:ascii="Times New Roman" w:hAnsi="Times New Roman" w:cs="Times New Roman"/>
            <w:sz w:val="24"/>
            <w:szCs w:val="24"/>
          </w:rPr>
          <w:t>https://yougov.co.uk/news/2016/09/19/tim-who-where-now-liberal-democrats/</w:t>
        </w:r>
      </w:hyperlink>
      <w:r w:rsidRPr="0088469D">
        <w:rPr>
          <w:rFonts w:ascii="Times New Roman" w:hAnsi="Times New Roman" w:cs="Times New Roman"/>
          <w:sz w:val="24"/>
          <w:szCs w:val="24"/>
        </w:rPr>
        <w:t xml:space="preserve">  accessed 19/9/2016 from YouGov</w:t>
      </w:r>
    </w:p>
    <w:p w14:paraId="193F56B4" w14:textId="77777777" w:rsidR="001A46D5" w:rsidRPr="0088469D" w:rsidRDefault="001A46D5" w:rsidP="001A46D5">
      <w:pPr>
        <w:rPr>
          <w:rFonts w:ascii="Times New Roman" w:hAnsi="Times New Roman" w:cs="Times New Roman"/>
          <w:sz w:val="24"/>
          <w:szCs w:val="24"/>
        </w:rPr>
      </w:pPr>
      <w:r w:rsidRPr="0088469D">
        <w:rPr>
          <w:rFonts w:ascii="Times New Roman" w:hAnsi="Times New Roman" w:cs="Times New Roman"/>
          <w:sz w:val="24"/>
          <w:szCs w:val="24"/>
        </w:rPr>
        <w:t xml:space="preserve">Wells, A. (2017) Attitudes to Brexit: Everything we know so far, </w:t>
      </w:r>
      <w:hyperlink r:id="rId15" w:history="1">
        <w:r w:rsidRPr="0088469D">
          <w:rPr>
            <w:rStyle w:val="Hyperlink"/>
            <w:rFonts w:ascii="Times New Roman" w:hAnsi="Times New Roman" w:cs="Times New Roman"/>
            <w:sz w:val="24"/>
            <w:szCs w:val="24"/>
          </w:rPr>
          <w:t>https://yougov.co.uk/news/2017/03/29/attitudes-brexit-everything-we-know-so-far/</w:t>
        </w:r>
      </w:hyperlink>
    </w:p>
    <w:p w14:paraId="7807FE0D" w14:textId="77777777" w:rsidR="0012086C" w:rsidRDefault="0012086C"/>
    <w:p w14:paraId="7E61E23F" w14:textId="77777777" w:rsidR="006F2387" w:rsidRDefault="006F2387"/>
    <w:p w14:paraId="074CE81D" w14:textId="77777777" w:rsidR="0088469D" w:rsidRDefault="0088469D"/>
    <w:p w14:paraId="69F09FB5" w14:textId="77777777" w:rsidR="0012086C" w:rsidRDefault="0012086C"/>
    <w:p w14:paraId="4F2BDC5D" w14:textId="77777777" w:rsidR="0012086C" w:rsidRDefault="0012086C"/>
    <w:p w14:paraId="07A9C837" w14:textId="77777777" w:rsidR="001A46D5" w:rsidRDefault="001A46D5"/>
    <w:p w14:paraId="0C318A6B" w14:textId="0538FB10" w:rsidR="006F2387" w:rsidRPr="008C772F" w:rsidRDefault="006F2387" w:rsidP="00D601B2">
      <w:pPr>
        <w:jc w:val="center"/>
        <w:rPr>
          <w:rFonts w:ascii="Times New Roman" w:hAnsi="Times New Roman" w:cs="Times New Roman"/>
          <w:b/>
          <w:sz w:val="24"/>
          <w:szCs w:val="24"/>
        </w:rPr>
      </w:pPr>
      <w:r w:rsidRPr="008C772F">
        <w:rPr>
          <w:rFonts w:ascii="Times New Roman" w:hAnsi="Times New Roman" w:cs="Times New Roman"/>
          <w:b/>
          <w:sz w:val="24"/>
          <w:szCs w:val="24"/>
        </w:rPr>
        <w:t xml:space="preserve">Table </w:t>
      </w:r>
      <w:r w:rsidR="00153C5E">
        <w:rPr>
          <w:rFonts w:ascii="Times New Roman" w:hAnsi="Times New Roman" w:cs="Times New Roman"/>
          <w:b/>
          <w:sz w:val="24"/>
          <w:szCs w:val="24"/>
        </w:rPr>
        <w:t>5.</w:t>
      </w:r>
      <w:r w:rsidRPr="008C772F">
        <w:rPr>
          <w:rFonts w:ascii="Times New Roman" w:hAnsi="Times New Roman" w:cs="Times New Roman"/>
          <w:b/>
          <w:sz w:val="24"/>
          <w:szCs w:val="24"/>
        </w:rPr>
        <w:t>1 Summary of Liberal Democrat Electoral Performance 1992-2017</w:t>
      </w:r>
    </w:p>
    <w:tbl>
      <w:tblPr>
        <w:tblStyle w:val="TableGrid"/>
        <w:tblW w:w="0" w:type="auto"/>
        <w:tblInd w:w="250" w:type="dxa"/>
        <w:tblLook w:val="04A0" w:firstRow="1" w:lastRow="0" w:firstColumn="1" w:lastColumn="0" w:noHBand="0" w:noVBand="1"/>
      </w:tblPr>
      <w:tblGrid>
        <w:gridCol w:w="1515"/>
        <w:gridCol w:w="939"/>
        <w:gridCol w:w="947"/>
        <w:gridCol w:w="1039"/>
        <w:gridCol w:w="936"/>
        <w:gridCol w:w="936"/>
        <w:gridCol w:w="977"/>
        <w:gridCol w:w="977"/>
      </w:tblGrid>
      <w:tr w:rsidR="006F2387" w:rsidRPr="00366131" w14:paraId="41B135E0" w14:textId="77777777" w:rsidTr="003A729C">
        <w:tc>
          <w:tcPr>
            <w:tcW w:w="1571" w:type="dxa"/>
          </w:tcPr>
          <w:p w14:paraId="6397E457"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LD</w:t>
            </w:r>
          </w:p>
        </w:tc>
        <w:tc>
          <w:tcPr>
            <w:tcW w:w="981" w:type="dxa"/>
          </w:tcPr>
          <w:p w14:paraId="551FC3A8"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1992</w:t>
            </w:r>
          </w:p>
        </w:tc>
        <w:tc>
          <w:tcPr>
            <w:tcW w:w="992" w:type="dxa"/>
          </w:tcPr>
          <w:p w14:paraId="3EA1ED02"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1997</w:t>
            </w:r>
          </w:p>
        </w:tc>
        <w:tc>
          <w:tcPr>
            <w:tcW w:w="1134" w:type="dxa"/>
          </w:tcPr>
          <w:p w14:paraId="650E2B8F"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2001</w:t>
            </w:r>
          </w:p>
        </w:tc>
        <w:tc>
          <w:tcPr>
            <w:tcW w:w="992" w:type="dxa"/>
          </w:tcPr>
          <w:p w14:paraId="6BA9F1E0"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2005</w:t>
            </w:r>
          </w:p>
        </w:tc>
        <w:tc>
          <w:tcPr>
            <w:tcW w:w="992" w:type="dxa"/>
          </w:tcPr>
          <w:p w14:paraId="71B111E9"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2010</w:t>
            </w:r>
          </w:p>
        </w:tc>
        <w:tc>
          <w:tcPr>
            <w:tcW w:w="992" w:type="dxa"/>
          </w:tcPr>
          <w:p w14:paraId="31091B72"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2015</w:t>
            </w:r>
          </w:p>
        </w:tc>
        <w:tc>
          <w:tcPr>
            <w:tcW w:w="992" w:type="dxa"/>
          </w:tcPr>
          <w:p w14:paraId="456EAB5F" w14:textId="77777777" w:rsidR="006F2387" w:rsidRPr="00D601B2" w:rsidRDefault="006F2387" w:rsidP="0088469D">
            <w:pPr>
              <w:spacing w:line="240" w:lineRule="auto"/>
              <w:jc w:val="center"/>
              <w:rPr>
                <w:rFonts w:ascii="Times New Roman" w:hAnsi="Times New Roman" w:cs="Times New Roman"/>
                <w:b/>
              </w:rPr>
            </w:pPr>
            <w:r w:rsidRPr="00D601B2">
              <w:rPr>
                <w:rFonts w:ascii="Times New Roman" w:hAnsi="Times New Roman" w:cs="Times New Roman"/>
                <w:b/>
              </w:rPr>
              <w:t>2017</w:t>
            </w:r>
          </w:p>
        </w:tc>
      </w:tr>
      <w:tr w:rsidR="006F2387" w14:paraId="4CB368F3" w14:textId="77777777" w:rsidTr="003A729C">
        <w:tc>
          <w:tcPr>
            <w:tcW w:w="1571" w:type="dxa"/>
          </w:tcPr>
          <w:p w14:paraId="466CAE76" w14:textId="77777777" w:rsidR="006F2387" w:rsidRPr="00D601B2" w:rsidRDefault="006F2387" w:rsidP="0088469D">
            <w:pPr>
              <w:spacing w:line="240" w:lineRule="auto"/>
              <w:rPr>
                <w:rFonts w:ascii="Times New Roman" w:hAnsi="Times New Roman" w:cs="Times New Roman"/>
              </w:rPr>
            </w:pPr>
            <w:r w:rsidRPr="00D601B2">
              <w:rPr>
                <w:rFonts w:ascii="Times New Roman" w:hAnsi="Times New Roman" w:cs="Times New Roman"/>
              </w:rPr>
              <w:t>Votes (000)</w:t>
            </w:r>
          </w:p>
        </w:tc>
        <w:tc>
          <w:tcPr>
            <w:tcW w:w="981" w:type="dxa"/>
          </w:tcPr>
          <w:p w14:paraId="526DC7C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5,999</w:t>
            </w:r>
          </w:p>
        </w:tc>
        <w:tc>
          <w:tcPr>
            <w:tcW w:w="992" w:type="dxa"/>
          </w:tcPr>
          <w:p w14:paraId="5895C7C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5,243</w:t>
            </w:r>
          </w:p>
        </w:tc>
        <w:tc>
          <w:tcPr>
            <w:tcW w:w="1134" w:type="dxa"/>
          </w:tcPr>
          <w:p w14:paraId="051DF6C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4,814</w:t>
            </w:r>
          </w:p>
        </w:tc>
        <w:tc>
          <w:tcPr>
            <w:tcW w:w="992" w:type="dxa"/>
          </w:tcPr>
          <w:p w14:paraId="699045A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5,985</w:t>
            </w:r>
          </w:p>
        </w:tc>
        <w:tc>
          <w:tcPr>
            <w:tcW w:w="992" w:type="dxa"/>
          </w:tcPr>
          <w:p w14:paraId="5ECD9F1D"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6,836</w:t>
            </w:r>
          </w:p>
        </w:tc>
        <w:tc>
          <w:tcPr>
            <w:tcW w:w="992" w:type="dxa"/>
          </w:tcPr>
          <w:p w14:paraId="115E0E4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2,416</w:t>
            </w:r>
          </w:p>
        </w:tc>
        <w:tc>
          <w:tcPr>
            <w:tcW w:w="992" w:type="dxa"/>
          </w:tcPr>
          <w:p w14:paraId="60558A9C"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2,372</w:t>
            </w:r>
          </w:p>
        </w:tc>
      </w:tr>
      <w:tr w:rsidR="006F2387" w14:paraId="6EA8B6ED" w14:textId="77777777" w:rsidTr="003A729C">
        <w:tc>
          <w:tcPr>
            <w:tcW w:w="1571" w:type="dxa"/>
          </w:tcPr>
          <w:p w14:paraId="19CE09CC" w14:textId="77777777" w:rsidR="006F2387" w:rsidRPr="00D601B2" w:rsidRDefault="006F2387" w:rsidP="0088469D">
            <w:pPr>
              <w:spacing w:line="240" w:lineRule="auto"/>
              <w:rPr>
                <w:rFonts w:ascii="Times New Roman" w:hAnsi="Times New Roman" w:cs="Times New Roman"/>
              </w:rPr>
            </w:pPr>
            <w:r w:rsidRPr="00D601B2">
              <w:rPr>
                <w:rFonts w:ascii="Times New Roman" w:hAnsi="Times New Roman" w:cs="Times New Roman"/>
              </w:rPr>
              <w:t>% UK Vote</w:t>
            </w:r>
          </w:p>
        </w:tc>
        <w:tc>
          <w:tcPr>
            <w:tcW w:w="981" w:type="dxa"/>
          </w:tcPr>
          <w:p w14:paraId="105A9095"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17.8%</w:t>
            </w:r>
          </w:p>
        </w:tc>
        <w:tc>
          <w:tcPr>
            <w:tcW w:w="992" w:type="dxa"/>
          </w:tcPr>
          <w:p w14:paraId="7D6963D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16.8%</w:t>
            </w:r>
          </w:p>
        </w:tc>
        <w:tc>
          <w:tcPr>
            <w:tcW w:w="1134" w:type="dxa"/>
          </w:tcPr>
          <w:p w14:paraId="4F2731E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18.3%</w:t>
            </w:r>
          </w:p>
        </w:tc>
        <w:tc>
          <w:tcPr>
            <w:tcW w:w="992" w:type="dxa"/>
          </w:tcPr>
          <w:p w14:paraId="2DB230D4"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22.0%</w:t>
            </w:r>
          </w:p>
        </w:tc>
        <w:tc>
          <w:tcPr>
            <w:tcW w:w="992" w:type="dxa"/>
          </w:tcPr>
          <w:p w14:paraId="2807FA8D"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23.0%</w:t>
            </w:r>
          </w:p>
        </w:tc>
        <w:tc>
          <w:tcPr>
            <w:tcW w:w="992" w:type="dxa"/>
          </w:tcPr>
          <w:p w14:paraId="5523BC4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7.9%</w:t>
            </w:r>
          </w:p>
        </w:tc>
        <w:tc>
          <w:tcPr>
            <w:tcW w:w="992" w:type="dxa"/>
          </w:tcPr>
          <w:p w14:paraId="56FACD74"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7.4%</w:t>
            </w:r>
          </w:p>
        </w:tc>
      </w:tr>
      <w:tr w:rsidR="006F2387" w14:paraId="6C4F7F98" w14:textId="77777777" w:rsidTr="003A729C">
        <w:tc>
          <w:tcPr>
            <w:tcW w:w="1571" w:type="dxa"/>
          </w:tcPr>
          <w:p w14:paraId="597E8F7E" w14:textId="77777777" w:rsidR="006F2387" w:rsidRPr="00D601B2" w:rsidRDefault="006F2387" w:rsidP="0088469D">
            <w:pPr>
              <w:spacing w:line="240" w:lineRule="auto"/>
              <w:rPr>
                <w:rFonts w:ascii="Times New Roman" w:hAnsi="Times New Roman" w:cs="Times New Roman"/>
              </w:rPr>
            </w:pPr>
            <w:r w:rsidRPr="00D601B2">
              <w:rPr>
                <w:rFonts w:ascii="Times New Roman" w:hAnsi="Times New Roman" w:cs="Times New Roman"/>
              </w:rPr>
              <w:t>Seats Won</w:t>
            </w:r>
          </w:p>
        </w:tc>
        <w:tc>
          <w:tcPr>
            <w:tcW w:w="981" w:type="dxa"/>
          </w:tcPr>
          <w:p w14:paraId="6753B61A"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20</w:t>
            </w:r>
          </w:p>
        </w:tc>
        <w:tc>
          <w:tcPr>
            <w:tcW w:w="992" w:type="dxa"/>
          </w:tcPr>
          <w:p w14:paraId="117E01C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46</w:t>
            </w:r>
          </w:p>
        </w:tc>
        <w:tc>
          <w:tcPr>
            <w:tcW w:w="1134" w:type="dxa"/>
          </w:tcPr>
          <w:p w14:paraId="2A16EC3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52</w:t>
            </w:r>
          </w:p>
        </w:tc>
        <w:tc>
          <w:tcPr>
            <w:tcW w:w="992" w:type="dxa"/>
          </w:tcPr>
          <w:p w14:paraId="4C70A0F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62</w:t>
            </w:r>
          </w:p>
        </w:tc>
        <w:tc>
          <w:tcPr>
            <w:tcW w:w="992" w:type="dxa"/>
          </w:tcPr>
          <w:p w14:paraId="17DB28C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57</w:t>
            </w:r>
          </w:p>
        </w:tc>
        <w:tc>
          <w:tcPr>
            <w:tcW w:w="992" w:type="dxa"/>
          </w:tcPr>
          <w:p w14:paraId="4DB80AF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8</w:t>
            </w:r>
          </w:p>
        </w:tc>
        <w:tc>
          <w:tcPr>
            <w:tcW w:w="992" w:type="dxa"/>
          </w:tcPr>
          <w:p w14:paraId="288AB50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12</w:t>
            </w:r>
          </w:p>
        </w:tc>
      </w:tr>
      <w:tr w:rsidR="006F2387" w14:paraId="5341CC02" w14:textId="77777777" w:rsidTr="003A729C">
        <w:tc>
          <w:tcPr>
            <w:tcW w:w="1571" w:type="dxa"/>
          </w:tcPr>
          <w:p w14:paraId="40DED0F2" w14:textId="77777777" w:rsidR="006F2387" w:rsidRPr="00D601B2" w:rsidRDefault="006F2387" w:rsidP="0088469D">
            <w:pPr>
              <w:spacing w:line="240" w:lineRule="auto"/>
              <w:rPr>
                <w:rFonts w:ascii="Times New Roman" w:hAnsi="Times New Roman" w:cs="Times New Roman"/>
              </w:rPr>
            </w:pPr>
            <w:r w:rsidRPr="00D601B2">
              <w:rPr>
                <w:rFonts w:ascii="Times New Roman" w:hAnsi="Times New Roman" w:cs="Times New Roman"/>
              </w:rPr>
              <w:t>% Seats Won</w:t>
            </w:r>
          </w:p>
        </w:tc>
        <w:tc>
          <w:tcPr>
            <w:tcW w:w="981" w:type="dxa"/>
          </w:tcPr>
          <w:p w14:paraId="3F02AEF4"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3.2%</w:t>
            </w:r>
          </w:p>
        </w:tc>
        <w:tc>
          <w:tcPr>
            <w:tcW w:w="992" w:type="dxa"/>
          </w:tcPr>
          <w:p w14:paraId="64FE94B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7.0%</w:t>
            </w:r>
          </w:p>
        </w:tc>
        <w:tc>
          <w:tcPr>
            <w:tcW w:w="1134" w:type="dxa"/>
          </w:tcPr>
          <w:p w14:paraId="159C14AA"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7.9%</w:t>
            </w:r>
          </w:p>
        </w:tc>
        <w:tc>
          <w:tcPr>
            <w:tcW w:w="992" w:type="dxa"/>
          </w:tcPr>
          <w:p w14:paraId="1FD16B9E"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9.6%</w:t>
            </w:r>
          </w:p>
        </w:tc>
        <w:tc>
          <w:tcPr>
            <w:tcW w:w="992" w:type="dxa"/>
          </w:tcPr>
          <w:p w14:paraId="401A462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8.8%</w:t>
            </w:r>
          </w:p>
        </w:tc>
        <w:tc>
          <w:tcPr>
            <w:tcW w:w="992" w:type="dxa"/>
          </w:tcPr>
          <w:p w14:paraId="4B02BB2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1.2%</w:t>
            </w:r>
          </w:p>
        </w:tc>
        <w:tc>
          <w:tcPr>
            <w:tcW w:w="992" w:type="dxa"/>
          </w:tcPr>
          <w:p w14:paraId="42D3D29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1.8%</w:t>
            </w:r>
          </w:p>
        </w:tc>
      </w:tr>
      <w:tr w:rsidR="006F2387" w14:paraId="2F0011B4" w14:textId="77777777" w:rsidTr="003A729C">
        <w:tc>
          <w:tcPr>
            <w:tcW w:w="1571" w:type="dxa"/>
          </w:tcPr>
          <w:p w14:paraId="1E3C3F92" w14:textId="77777777" w:rsidR="006F2387" w:rsidRPr="00D601B2" w:rsidRDefault="006F2387" w:rsidP="0088469D">
            <w:pPr>
              <w:spacing w:line="240" w:lineRule="auto"/>
              <w:rPr>
                <w:rFonts w:ascii="Times New Roman" w:hAnsi="Times New Roman" w:cs="Times New Roman"/>
              </w:rPr>
            </w:pPr>
            <w:r w:rsidRPr="00D601B2">
              <w:rPr>
                <w:rFonts w:ascii="Times New Roman" w:hAnsi="Times New Roman" w:cs="Times New Roman"/>
              </w:rPr>
              <w:t>Votes:Seats*</w:t>
            </w:r>
          </w:p>
        </w:tc>
        <w:tc>
          <w:tcPr>
            <w:tcW w:w="981" w:type="dxa"/>
          </w:tcPr>
          <w:p w14:paraId="085F8B8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1.1</w:t>
            </w:r>
          </w:p>
        </w:tc>
        <w:tc>
          <w:tcPr>
            <w:tcW w:w="992" w:type="dxa"/>
          </w:tcPr>
          <w:p w14:paraId="54785218"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2.7</w:t>
            </w:r>
          </w:p>
        </w:tc>
        <w:tc>
          <w:tcPr>
            <w:tcW w:w="1134" w:type="dxa"/>
          </w:tcPr>
          <w:p w14:paraId="26F2485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2.8</w:t>
            </w:r>
          </w:p>
        </w:tc>
        <w:tc>
          <w:tcPr>
            <w:tcW w:w="992" w:type="dxa"/>
          </w:tcPr>
          <w:p w14:paraId="37CD575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2.9</w:t>
            </w:r>
          </w:p>
        </w:tc>
        <w:tc>
          <w:tcPr>
            <w:tcW w:w="992" w:type="dxa"/>
          </w:tcPr>
          <w:p w14:paraId="5B9B9CFC"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2.5</w:t>
            </w:r>
          </w:p>
        </w:tc>
        <w:tc>
          <w:tcPr>
            <w:tcW w:w="992" w:type="dxa"/>
          </w:tcPr>
          <w:p w14:paraId="7BE25239"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1.0</w:t>
            </w:r>
          </w:p>
        </w:tc>
        <w:tc>
          <w:tcPr>
            <w:tcW w:w="992" w:type="dxa"/>
          </w:tcPr>
          <w:p w14:paraId="34795D6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1.6</w:t>
            </w:r>
          </w:p>
        </w:tc>
      </w:tr>
      <w:tr w:rsidR="006F2387" w14:paraId="43490874" w14:textId="77777777" w:rsidTr="003A729C">
        <w:tc>
          <w:tcPr>
            <w:tcW w:w="1571" w:type="dxa"/>
          </w:tcPr>
          <w:p w14:paraId="30B3FA76" w14:textId="77777777" w:rsidR="006F2387" w:rsidRPr="00D601B2" w:rsidRDefault="006F2387" w:rsidP="0088469D">
            <w:pPr>
              <w:spacing w:line="240" w:lineRule="auto"/>
              <w:rPr>
                <w:rFonts w:ascii="Times New Roman" w:hAnsi="Times New Roman" w:cs="Times New Roman"/>
              </w:rPr>
            </w:pPr>
            <w:r w:rsidRPr="00D601B2">
              <w:rPr>
                <w:rFonts w:ascii="Times New Roman" w:hAnsi="Times New Roman" w:cs="Times New Roman"/>
              </w:rPr>
              <w:t>Lost Deposits</w:t>
            </w:r>
          </w:p>
        </w:tc>
        <w:tc>
          <w:tcPr>
            <w:tcW w:w="981" w:type="dxa"/>
          </w:tcPr>
          <w:p w14:paraId="039C531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11/632</w:t>
            </w:r>
          </w:p>
        </w:tc>
        <w:tc>
          <w:tcPr>
            <w:tcW w:w="992" w:type="dxa"/>
          </w:tcPr>
          <w:p w14:paraId="1F2B709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13/639</w:t>
            </w:r>
          </w:p>
        </w:tc>
        <w:tc>
          <w:tcPr>
            <w:tcW w:w="1134" w:type="dxa"/>
          </w:tcPr>
          <w:p w14:paraId="608C352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1/639</w:t>
            </w:r>
          </w:p>
        </w:tc>
        <w:tc>
          <w:tcPr>
            <w:tcW w:w="992" w:type="dxa"/>
          </w:tcPr>
          <w:p w14:paraId="7DDF747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1/626</w:t>
            </w:r>
          </w:p>
        </w:tc>
        <w:tc>
          <w:tcPr>
            <w:tcW w:w="992" w:type="dxa"/>
          </w:tcPr>
          <w:p w14:paraId="00835FD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0/631</w:t>
            </w:r>
          </w:p>
        </w:tc>
        <w:tc>
          <w:tcPr>
            <w:tcW w:w="992" w:type="dxa"/>
          </w:tcPr>
          <w:p w14:paraId="4B003230"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341/631</w:t>
            </w:r>
          </w:p>
        </w:tc>
        <w:tc>
          <w:tcPr>
            <w:tcW w:w="992" w:type="dxa"/>
          </w:tcPr>
          <w:p w14:paraId="61924409"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375/629</w:t>
            </w:r>
          </w:p>
        </w:tc>
      </w:tr>
    </w:tbl>
    <w:p w14:paraId="63D6154B" w14:textId="77777777" w:rsidR="006F2387" w:rsidRDefault="006F2387" w:rsidP="003A729C">
      <w:pPr>
        <w:rPr>
          <w:rFonts w:ascii="Times New Roman" w:hAnsi="Times New Roman" w:cs="Times New Roman"/>
          <w:sz w:val="24"/>
          <w:szCs w:val="24"/>
        </w:rPr>
      </w:pPr>
      <w:r w:rsidRPr="008B1A07">
        <w:rPr>
          <w:rFonts w:ascii="Times New Roman" w:hAnsi="Times New Roman" w:cs="Times New Roman"/>
          <w:sz w:val="24"/>
          <w:szCs w:val="24"/>
        </w:rPr>
        <w:t>*Votes:Seats Ratio derived from dividing LD seats won by LD share of the vote</w:t>
      </w:r>
      <w:r>
        <w:rPr>
          <w:rFonts w:ascii="Times New Roman" w:hAnsi="Times New Roman" w:cs="Times New Roman"/>
          <w:sz w:val="24"/>
          <w:szCs w:val="24"/>
        </w:rPr>
        <w:t xml:space="preserve">. In 1992, the Liberal Democrats stood in 632 constituencies; and in 2017 they stood in 629. </w:t>
      </w:r>
    </w:p>
    <w:p w14:paraId="6EF13CD2" w14:textId="77777777" w:rsidR="00153C5E" w:rsidRPr="008C772F" w:rsidRDefault="00153C5E" w:rsidP="003A729C">
      <w:pPr>
        <w:rPr>
          <w:rFonts w:ascii="Times New Roman" w:eastAsia="Times New Roman" w:hAnsi="Times New Roman" w:cs="Times New Roman"/>
          <w:sz w:val="24"/>
          <w:szCs w:val="24"/>
          <w:lang w:eastAsia="en-GB"/>
        </w:rPr>
      </w:pPr>
    </w:p>
    <w:p w14:paraId="7AEB9FC2" w14:textId="7604364D" w:rsidR="006F2387" w:rsidRPr="008C772F" w:rsidRDefault="006F2387" w:rsidP="003A729C">
      <w:pPr>
        <w:pStyle w:val="ListParagraph"/>
        <w:ind w:left="36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Table </w:t>
      </w:r>
      <w:r w:rsidR="00153C5E">
        <w:rPr>
          <w:rFonts w:ascii="Times New Roman" w:eastAsia="Times New Roman" w:hAnsi="Times New Roman" w:cs="Times New Roman"/>
          <w:b/>
          <w:sz w:val="24"/>
          <w:szCs w:val="24"/>
          <w:lang w:eastAsia="en-GB"/>
        </w:rPr>
        <w:t>5.</w:t>
      </w:r>
      <w:r>
        <w:rPr>
          <w:rFonts w:ascii="Times New Roman" w:eastAsia="Times New Roman" w:hAnsi="Times New Roman" w:cs="Times New Roman"/>
          <w:b/>
          <w:sz w:val="24"/>
          <w:szCs w:val="24"/>
          <w:lang w:eastAsia="en-GB"/>
        </w:rPr>
        <w:t>2</w:t>
      </w:r>
      <w:r w:rsidRPr="008C772F">
        <w:rPr>
          <w:rFonts w:ascii="Times New Roman" w:eastAsia="Times New Roman" w:hAnsi="Times New Roman" w:cs="Times New Roman"/>
          <w:b/>
          <w:sz w:val="24"/>
          <w:szCs w:val="24"/>
          <w:lang w:eastAsia="en-GB"/>
        </w:rPr>
        <w:t xml:space="preserve"> 2015 Liberal Democrat Performance</w:t>
      </w:r>
      <w:r>
        <w:rPr>
          <w:rFonts w:ascii="Times New Roman" w:eastAsia="Times New Roman" w:hAnsi="Times New Roman" w:cs="Times New Roman"/>
          <w:b/>
          <w:sz w:val="24"/>
          <w:szCs w:val="24"/>
          <w:lang w:eastAsia="en-GB"/>
        </w:rPr>
        <w:t xml:space="preserve">: National and </w:t>
      </w:r>
      <w:r w:rsidRPr="008C772F">
        <w:rPr>
          <w:rFonts w:ascii="Times New Roman" w:eastAsia="Times New Roman" w:hAnsi="Times New Roman" w:cs="Times New Roman"/>
          <w:b/>
          <w:sz w:val="24"/>
          <w:szCs w:val="24"/>
          <w:lang w:eastAsia="en-GB"/>
        </w:rPr>
        <w:t>Region</w:t>
      </w:r>
      <w:r>
        <w:rPr>
          <w:rFonts w:ascii="Times New Roman" w:eastAsia="Times New Roman" w:hAnsi="Times New Roman" w:cs="Times New Roman"/>
          <w:b/>
          <w:sz w:val="24"/>
          <w:szCs w:val="24"/>
          <w:lang w:eastAsia="en-GB"/>
        </w:rPr>
        <w:t>al Breakdown (English Regions)</w:t>
      </w:r>
    </w:p>
    <w:tbl>
      <w:tblPr>
        <w:tblStyle w:val="TableGrid"/>
        <w:tblW w:w="0" w:type="auto"/>
        <w:tblLayout w:type="fixed"/>
        <w:tblLook w:val="04A0" w:firstRow="1" w:lastRow="0" w:firstColumn="1" w:lastColumn="0" w:noHBand="0" w:noVBand="1"/>
      </w:tblPr>
      <w:tblGrid>
        <w:gridCol w:w="1809"/>
        <w:gridCol w:w="1418"/>
        <w:gridCol w:w="1418"/>
        <w:gridCol w:w="1134"/>
        <w:gridCol w:w="993"/>
        <w:gridCol w:w="991"/>
        <w:gridCol w:w="1134"/>
      </w:tblGrid>
      <w:tr w:rsidR="006F2387" w:rsidRPr="00366131" w14:paraId="37691B97" w14:textId="77777777" w:rsidTr="003A729C">
        <w:tc>
          <w:tcPr>
            <w:tcW w:w="1809" w:type="dxa"/>
          </w:tcPr>
          <w:p w14:paraId="3C5CC74B"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National &amp; Regional</w:t>
            </w:r>
          </w:p>
        </w:tc>
        <w:tc>
          <w:tcPr>
            <w:tcW w:w="1418" w:type="dxa"/>
          </w:tcPr>
          <w:p w14:paraId="4E565ECA" w14:textId="77777777" w:rsidR="006F2387" w:rsidRPr="00D601B2" w:rsidRDefault="006F2387" w:rsidP="0088469D">
            <w:pPr>
              <w:spacing w:after="0" w:line="240" w:lineRule="auto"/>
              <w:rPr>
                <w:rFonts w:ascii="Times New Roman" w:hAnsi="Times New Roman" w:cs="Times New Roman"/>
                <w:b/>
              </w:rPr>
            </w:pPr>
            <w:r w:rsidRPr="00D601B2">
              <w:rPr>
                <w:rFonts w:ascii="Times New Roman" w:hAnsi="Times New Roman" w:cs="Times New Roman"/>
                <w:b/>
              </w:rPr>
              <w:t xml:space="preserve">2017 % LD </w:t>
            </w:r>
          </w:p>
          <w:p w14:paraId="627F3D5A"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Vote</w:t>
            </w:r>
          </w:p>
        </w:tc>
        <w:tc>
          <w:tcPr>
            <w:tcW w:w="1418" w:type="dxa"/>
          </w:tcPr>
          <w:p w14:paraId="46619AF5" w14:textId="77777777" w:rsidR="006F2387" w:rsidRPr="00D601B2" w:rsidRDefault="006F2387" w:rsidP="0088469D">
            <w:pPr>
              <w:spacing w:after="0" w:line="240" w:lineRule="auto"/>
              <w:rPr>
                <w:rFonts w:ascii="Times New Roman" w:hAnsi="Times New Roman" w:cs="Times New Roman"/>
                <w:b/>
              </w:rPr>
            </w:pPr>
            <w:r w:rsidRPr="00D601B2">
              <w:rPr>
                <w:rFonts w:ascii="Times New Roman" w:hAnsi="Times New Roman" w:cs="Times New Roman"/>
                <w:b/>
              </w:rPr>
              <w:t xml:space="preserve">2015 % LD </w:t>
            </w:r>
          </w:p>
          <w:p w14:paraId="29828D1C"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Vote</w:t>
            </w:r>
          </w:p>
        </w:tc>
        <w:tc>
          <w:tcPr>
            <w:tcW w:w="1134" w:type="dxa"/>
          </w:tcPr>
          <w:p w14:paraId="106C386D"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Change</w:t>
            </w:r>
          </w:p>
          <w:p w14:paraId="22BD6B7E"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+/-15-17</w:t>
            </w:r>
          </w:p>
        </w:tc>
        <w:tc>
          <w:tcPr>
            <w:tcW w:w="993" w:type="dxa"/>
          </w:tcPr>
          <w:p w14:paraId="57D17599"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Seats 2017</w:t>
            </w:r>
          </w:p>
        </w:tc>
        <w:tc>
          <w:tcPr>
            <w:tcW w:w="991" w:type="dxa"/>
          </w:tcPr>
          <w:p w14:paraId="19994A99"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Seats 2015</w:t>
            </w:r>
          </w:p>
        </w:tc>
        <w:tc>
          <w:tcPr>
            <w:tcW w:w="1134" w:type="dxa"/>
          </w:tcPr>
          <w:p w14:paraId="28CF8528"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 xml:space="preserve">Change </w:t>
            </w:r>
          </w:p>
          <w:p w14:paraId="3C342480" w14:textId="77777777" w:rsidR="006F2387" w:rsidRPr="00D601B2" w:rsidRDefault="006F2387" w:rsidP="0088469D">
            <w:pPr>
              <w:spacing w:after="0" w:line="240" w:lineRule="auto"/>
              <w:jc w:val="center"/>
              <w:rPr>
                <w:rFonts w:ascii="Times New Roman" w:hAnsi="Times New Roman" w:cs="Times New Roman"/>
                <w:b/>
              </w:rPr>
            </w:pPr>
            <w:r w:rsidRPr="00D601B2">
              <w:rPr>
                <w:rFonts w:ascii="Times New Roman" w:hAnsi="Times New Roman" w:cs="Times New Roman"/>
                <w:b/>
              </w:rPr>
              <w:t>15-17</w:t>
            </w:r>
          </w:p>
        </w:tc>
      </w:tr>
      <w:tr w:rsidR="006F2387" w14:paraId="73EEB3E5" w14:textId="77777777" w:rsidTr="003A729C">
        <w:tc>
          <w:tcPr>
            <w:tcW w:w="1809" w:type="dxa"/>
          </w:tcPr>
          <w:p w14:paraId="56544892" w14:textId="77777777" w:rsidR="006F2387" w:rsidRPr="00D601B2" w:rsidRDefault="006F2387" w:rsidP="00F542E8">
            <w:pPr>
              <w:spacing w:after="0" w:line="240" w:lineRule="auto"/>
              <w:rPr>
                <w:rFonts w:ascii="Times New Roman" w:hAnsi="Times New Roman" w:cs="Times New Roman"/>
                <w:b/>
              </w:rPr>
            </w:pPr>
            <w:r w:rsidRPr="00D601B2">
              <w:rPr>
                <w:rFonts w:ascii="Times New Roman" w:hAnsi="Times New Roman" w:cs="Times New Roman"/>
                <w:b/>
              </w:rPr>
              <w:t>Country</w:t>
            </w:r>
          </w:p>
        </w:tc>
        <w:tc>
          <w:tcPr>
            <w:tcW w:w="1418" w:type="dxa"/>
          </w:tcPr>
          <w:p w14:paraId="7A70E546" w14:textId="77777777" w:rsidR="006F2387" w:rsidRPr="00D601B2" w:rsidRDefault="006F2387" w:rsidP="0088469D">
            <w:pPr>
              <w:spacing w:line="240" w:lineRule="auto"/>
              <w:jc w:val="center"/>
              <w:rPr>
                <w:rFonts w:ascii="Times New Roman" w:hAnsi="Times New Roman" w:cs="Times New Roman"/>
              </w:rPr>
            </w:pPr>
          </w:p>
        </w:tc>
        <w:tc>
          <w:tcPr>
            <w:tcW w:w="1418" w:type="dxa"/>
          </w:tcPr>
          <w:p w14:paraId="58189F45" w14:textId="77777777" w:rsidR="006F2387" w:rsidRPr="00D601B2" w:rsidRDefault="006F2387" w:rsidP="0088469D">
            <w:pPr>
              <w:spacing w:line="240" w:lineRule="auto"/>
              <w:jc w:val="center"/>
              <w:rPr>
                <w:rFonts w:ascii="Times New Roman" w:hAnsi="Times New Roman" w:cs="Times New Roman"/>
              </w:rPr>
            </w:pPr>
          </w:p>
        </w:tc>
        <w:tc>
          <w:tcPr>
            <w:tcW w:w="1134" w:type="dxa"/>
          </w:tcPr>
          <w:p w14:paraId="43A3092F" w14:textId="77777777" w:rsidR="006F2387" w:rsidRPr="00D601B2" w:rsidRDefault="006F2387" w:rsidP="0088469D">
            <w:pPr>
              <w:spacing w:line="240" w:lineRule="auto"/>
              <w:jc w:val="center"/>
              <w:rPr>
                <w:rFonts w:ascii="Times New Roman" w:hAnsi="Times New Roman" w:cs="Times New Roman"/>
              </w:rPr>
            </w:pPr>
          </w:p>
        </w:tc>
        <w:tc>
          <w:tcPr>
            <w:tcW w:w="993" w:type="dxa"/>
          </w:tcPr>
          <w:p w14:paraId="60A43839" w14:textId="77777777" w:rsidR="006F2387" w:rsidRPr="00D601B2" w:rsidRDefault="006F2387" w:rsidP="0088469D">
            <w:pPr>
              <w:spacing w:line="240" w:lineRule="auto"/>
              <w:jc w:val="center"/>
              <w:rPr>
                <w:rFonts w:ascii="Times New Roman" w:hAnsi="Times New Roman" w:cs="Times New Roman"/>
              </w:rPr>
            </w:pPr>
          </w:p>
        </w:tc>
        <w:tc>
          <w:tcPr>
            <w:tcW w:w="991" w:type="dxa"/>
          </w:tcPr>
          <w:p w14:paraId="170DCEFB" w14:textId="77777777" w:rsidR="006F2387" w:rsidRPr="00D601B2" w:rsidRDefault="006F2387" w:rsidP="0088469D">
            <w:pPr>
              <w:spacing w:line="240" w:lineRule="auto"/>
              <w:jc w:val="center"/>
              <w:rPr>
                <w:rFonts w:ascii="Times New Roman" w:hAnsi="Times New Roman" w:cs="Times New Roman"/>
              </w:rPr>
            </w:pPr>
          </w:p>
        </w:tc>
        <w:tc>
          <w:tcPr>
            <w:tcW w:w="1134" w:type="dxa"/>
          </w:tcPr>
          <w:p w14:paraId="07CA38B9" w14:textId="77777777" w:rsidR="006F2387" w:rsidRPr="00D601B2" w:rsidRDefault="006F2387" w:rsidP="0088469D">
            <w:pPr>
              <w:spacing w:line="240" w:lineRule="auto"/>
              <w:jc w:val="center"/>
              <w:rPr>
                <w:rFonts w:ascii="Times New Roman" w:hAnsi="Times New Roman" w:cs="Times New Roman"/>
              </w:rPr>
            </w:pPr>
          </w:p>
        </w:tc>
      </w:tr>
      <w:tr w:rsidR="006F2387" w14:paraId="03DF8C3B" w14:textId="77777777" w:rsidTr="003A729C">
        <w:tc>
          <w:tcPr>
            <w:tcW w:w="1809" w:type="dxa"/>
          </w:tcPr>
          <w:p w14:paraId="27785C38"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UK</w:t>
            </w:r>
          </w:p>
        </w:tc>
        <w:tc>
          <w:tcPr>
            <w:tcW w:w="1418" w:type="dxa"/>
          </w:tcPr>
          <w:p w14:paraId="4F7685E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7.4%</w:t>
            </w:r>
          </w:p>
        </w:tc>
        <w:tc>
          <w:tcPr>
            <w:tcW w:w="1418" w:type="dxa"/>
          </w:tcPr>
          <w:p w14:paraId="10FC5D58"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7.9%</w:t>
            </w:r>
          </w:p>
        </w:tc>
        <w:tc>
          <w:tcPr>
            <w:tcW w:w="1134" w:type="dxa"/>
          </w:tcPr>
          <w:p w14:paraId="3C95ABB2"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-0.5%</w:t>
            </w:r>
          </w:p>
        </w:tc>
        <w:tc>
          <w:tcPr>
            <w:tcW w:w="993" w:type="dxa"/>
          </w:tcPr>
          <w:p w14:paraId="54E8A46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12/632</w:t>
            </w:r>
          </w:p>
        </w:tc>
        <w:tc>
          <w:tcPr>
            <w:tcW w:w="991" w:type="dxa"/>
          </w:tcPr>
          <w:p w14:paraId="7BF6F979"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8/632</w:t>
            </w:r>
          </w:p>
        </w:tc>
        <w:tc>
          <w:tcPr>
            <w:tcW w:w="1134" w:type="dxa"/>
          </w:tcPr>
          <w:p w14:paraId="4CCD87CC"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w:t>
            </w:r>
          </w:p>
        </w:tc>
      </w:tr>
      <w:tr w:rsidR="006F2387" w14:paraId="387E69B4" w14:textId="77777777" w:rsidTr="003A729C">
        <w:tc>
          <w:tcPr>
            <w:tcW w:w="1809" w:type="dxa"/>
          </w:tcPr>
          <w:p w14:paraId="32137539"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England</w:t>
            </w:r>
          </w:p>
        </w:tc>
        <w:tc>
          <w:tcPr>
            <w:tcW w:w="1418" w:type="dxa"/>
          </w:tcPr>
          <w:p w14:paraId="2F84D19E"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7.8%</w:t>
            </w:r>
          </w:p>
        </w:tc>
        <w:tc>
          <w:tcPr>
            <w:tcW w:w="1418" w:type="dxa"/>
          </w:tcPr>
          <w:p w14:paraId="156A5FE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8.2%</w:t>
            </w:r>
          </w:p>
        </w:tc>
        <w:tc>
          <w:tcPr>
            <w:tcW w:w="1134" w:type="dxa"/>
          </w:tcPr>
          <w:p w14:paraId="2CEF1CE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-0.4%</w:t>
            </w:r>
          </w:p>
        </w:tc>
        <w:tc>
          <w:tcPr>
            <w:tcW w:w="993" w:type="dxa"/>
          </w:tcPr>
          <w:p w14:paraId="6C33C165"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8/533</w:t>
            </w:r>
          </w:p>
        </w:tc>
        <w:tc>
          <w:tcPr>
            <w:tcW w:w="991" w:type="dxa"/>
          </w:tcPr>
          <w:p w14:paraId="188F41D8"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6/533</w:t>
            </w:r>
          </w:p>
        </w:tc>
        <w:tc>
          <w:tcPr>
            <w:tcW w:w="1134" w:type="dxa"/>
          </w:tcPr>
          <w:p w14:paraId="4ADDC29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w:t>
            </w:r>
          </w:p>
        </w:tc>
      </w:tr>
      <w:tr w:rsidR="006F2387" w14:paraId="195C1F71" w14:textId="77777777" w:rsidTr="003A729C">
        <w:tc>
          <w:tcPr>
            <w:tcW w:w="1809" w:type="dxa"/>
          </w:tcPr>
          <w:p w14:paraId="64A9F23C"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Scotland</w:t>
            </w:r>
          </w:p>
        </w:tc>
        <w:tc>
          <w:tcPr>
            <w:tcW w:w="1418" w:type="dxa"/>
          </w:tcPr>
          <w:p w14:paraId="66BECB7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6.8%</w:t>
            </w:r>
          </w:p>
        </w:tc>
        <w:tc>
          <w:tcPr>
            <w:tcW w:w="1418" w:type="dxa"/>
          </w:tcPr>
          <w:p w14:paraId="408FEAF2"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7.6%</w:t>
            </w:r>
          </w:p>
        </w:tc>
        <w:tc>
          <w:tcPr>
            <w:tcW w:w="1134" w:type="dxa"/>
          </w:tcPr>
          <w:p w14:paraId="6C351C8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-0.8%</w:t>
            </w:r>
          </w:p>
        </w:tc>
        <w:tc>
          <w:tcPr>
            <w:tcW w:w="993" w:type="dxa"/>
          </w:tcPr>
          <w:p w14:paraId="4C946658"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4/59</w:t>
            </w:r>
          </w:p>
        </w:tc>
        <w:tc>
          <w:tcPr>
            <w:tcW w:w="991" w:type="dxa"/>
          </w:tcPr>
          <w:p w14:paraId="74272F2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1/59</w:t>
            </w:r>
          </w:p>
        </w:tc>
        <w:tc>
          <w:tcPr>
            <w:tcW w:w="1134" w:type="dxa"/>
          </w:tcPr>
          <w:p w14:paraId="1E4A098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+3</w:t>
            </w:r>
          </w:p>
        </w:tc>
      </w:tr>
      <w:tr w:rsidR="006F2387" w14:paraId="77E7D3F8" w14:textId="77777777" w:rsidTr="003A729C">
        <w:tc>
          <w:tcPr>
            <w:tcW w:w="1809" w:type="dxa"/>
          </w:tcPr>
          <w:p w14:paraId="7E2EE9A5"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Wales</w:t>
            </w:r>
          </w:p>
        </w:tc>
        <w:tc>
          <w:tcPr>
            <w:tcW w:w="1418" w:type="dxa"/>
          </w:tcPr>
          <w:p w14:paraId="68C6569A"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4.5%</w:t>
            </w:r>
          </w:p>
        </w:tc>
        <w:tc>
          <w:tcPr>
            <w:tcW w:w="1418" w:type="dxa"/>
          </w:tcPr>
          <w:p w14:paraId="1BF52EE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6.5%</w:t>
            </w:r>
          </w:p>
        </w:tc>
        <w:tc>
          <w:tcPr>
            <w:tcW w:w="1134" w:type="dxa"/>
          </w:tcPr>
          <w:p w14:paraId="28164A4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-2.0%</w:t>
            </w:r>
          </w:p>
        </w:tc>
        <w:tc>
          <w:tcPr>
            <w:tcW w:w="993" w:type="dxa"/>
          </w:tcPr>
          <w:p w14:paraId="7A2BB218"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0/40</w:t>
            </w:r>
          </w:p>
        </w:tc>
        <w:tc>
          <w:tcPr>
            <w:tcW w:w="991" w:type="dxa"/>
          </w:tcPr>
          <w:p w14:paraId="795C470A"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1/40</w:t>
            </w:r>
          </w:p>
        </w:tc>
        <w:tc>
          <w:tcPr>
            <w:tcW w:w="1134" w:type="dxa"/>
          </w:tcPr>
          <w:p w14:paraId="641E427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w:t>
            </w:r>
          </w:p>
        </w:tc>
      </w:tr>
      <w:tr w:rsidR="006F2387" w14:paraId="6CB3303B" w14:textId="77777777" w:rsidTr="003A729C">
        <w:tc>
          <w:tcPr>
            <w:tcW w:w="1809" w:type="dxa"/>
          </w:tcPr>
          <w:p w14:paraId="13BBD904" w14:textId="77777777" w:rsidR="006F2387" w:rsidRPr="00D601B2" w:rsidRDefault="006F2387" w:rsidP="00F542E8">
            <w:pPr>
              <w:spacing w:after="0" w:line="240" w:lineRule="auto"/>
              <w:rPr>
                <w:rFonts w:ascii="Times New Roman" w:hAnsi="Times New Roman" w:cs="Times New Roman"/>
                <w:b/>
              </w:rPr>
            </w:pPr>
            <w:r w:rsidRPr="00D601B2">
              <w:rPr>
                <w:rFonts w:ascii="Times New Roman" w:hAnsi="Times New Roman" w:cs="Times New Roman"/>
                <w:b/>
              </w:rPr>
              <w:t>Region</w:t>
            </w:r>
          </w:p>
        </w:tc>
        <w:tc>
          <w:tcPr>
            <w:tcW w:w="1418" w:type="dxa"/>
          </w:tcPr>
          <w:p w14:paraId="2881351D" w14:textId="77777777" w:rsidR="006F2387" w:rsidRPr="00D601B2" w:rsidRDefault="006F2387" w:rsidP="0088469D">
            <w:pPr>
              <w:spacing w:line="240" w:lineRule="auto"/>
              <w:jc w:val="center"/>
              <w:rPr>
                <w:rFonts w:ascii="Times New Roman" w:hAnsi="Times New Roman" w:cs="Times New Roman"/>
              </w:rPr>
            </w:pPr>
          </w:p>
        </w:tc>
        <w:tc>
          <w:tcPr>
            <w:tcW w:w="1418" w:type="dxa"/>
          </w:tcPr>
          <w:p w14:paraId="7FDF5806" w14:textId="77777777" w:rsidR="006F2387" w:rsidRPr="00D601B2" w:rsidRDefault="006F2387" w:rsidP="0088469D">
            <w:pPr>
              <w:spacing w:line="240" w:lineRule="auto"/>
              <w:jc w:val="center"/>
              <w:rPr>
                <w:rFonts w:ascii="Times New Roman" w:hAnsi="Times New Roman" w:cs="Times New Roman"/>
              </w:rPr>
            </w:pPr>
          </w:p>
        </w:tc>
        <w:tc>
          <w:tcPr>
            <w:tcW w:w="1134" w:type="dxa"/>
          </w:tcPr>
          <w:p w14:paraId="3640CAC0" w14:textId="77777777" w:rsidR="006F2387" w:rsidRPr="00D601B2" w:rsidRDefault="006F2387" w:rsidP="0088469D">
            <w:pPr>
              <w:spacing w:line="240" w:lineRule="auto"/>
              <w:jc w:val="center"/>
              <w:rPr>
                <w:rFonts w:ascii="Times New Roman" w:hAnsi="Times New Roman" w:cs="Times New Roman"/>
              </w:rPr>
            </w:pPr>
          </w:p>
        </w:tc>
        <w:tc>
          <w:tcPr>
            <w:tcW w:w="993" w:type="dxa"/>
          </w:tcPr>
          <w:p w14:paraId="6EAF093B" w14:textId="77777777" w:rsidR="006F2387" w:rsidRPr="00D601B2" w:rsidRDefault="006F2387" w:rsidP="0088469D">
            <w:pPr>
              <w:spacing w:line="240" w:lineRule="auto"/>
              <w:jc w:val="center"/>
              <w:rPr>
                <w:rFonts w:ascii="Times New Roman" w:hAnsi="Times New Roman" w:cs="Times New Roman"/>
              </w:rPr>
            </w:pPr>
          </w:p>
        </w:tc>
        <w:tc>
          <w:tcPr>
            <w:tcW w:w="991" w:type="dxa"/>
          </w:tcPr>
          <w:p w14:paraId="4C020256" w14:textId="77777777" w:rsidR="006F2387" w:rsidRPr="00D601B2" w:rsidRDefault="006F2387" w:rsidP="0088469D">
            <w:pPr>
              <w:spacing w:line="240" w:lineRule="auto"/>
              <w:jc w:val="center"/>
              <w:rPr>
                <w:rFonts w:ascii="Times New Roman" w:hAnsi="Times New Roman" w:cs="Times New Roman"/>
              </w:rPr>
            </w:pPr>
          </w:p>
        </w:tc>
        <w:tc>
          <w:tcPr>
            <w:tcW w:w="1134" w:type="dxa"/>
          </w:tcPr>
          <w:p w14:paraId="04207849" w14:textId="77777777" w:rsidR="006F2387" w:rsidRPr="00D601B2" w:rsidRDefault="006F2387" w:rsidP="0088469D">
            <w:pPr>
              <w:spacing w:line="240" w:lineRule="auto"/>
              <w:jc w:val="center"/>
              <w:rPr>
                <w:rFonts w:ascii="Times New Roman" w:hAnsi="Times New Roman" w:cs="Times New Roman"/>
              </w:rPr>
            </w:pPr>
          </w:p>
        </w:tc>
      </w:tr>
      <w:tr w:rsidR="006F2387" w14:paraId="4C2579B1" w14:textId="77777777" w:rsidTr="003A729C">
        <w:tc>
          <w:tcPr>
            <w:tcW w:w="1809" w:type="dxa"/>
          </w:tcPr>
          <w:p w14:paraId="314E2B9D"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East Midlands</w:t>
            </w:r>
          </w:p>
        </w:tc>
        <w:tc>
          <w:tcPr>
            <w:tcW w:w="1418" w:type="dxa"/>
          </w:tcPr>
          <w:p w14:paraId="1EEBFA55"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4.3%</w:t>
            </w:r>
          </w:p>
        </w:tc>
        <w:tc>
          <w:tcPr>
            <w:tcW w:w="1418" w:type="dxa"/>
          </w:tcPr>
          <w:p w14:paraId="5DEF4F9E"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5.6%</w:t>
            </w:r>
          </w:p>
        </w:tc>
        <w:tc>
          <w:tcPr>
            <w:tcW w:w="1134" w:type="dxa"/>
          </w:tcPr>
          <w:p w14:paraId="40CE37D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-1.3%</w:t>
            </w:r>
          </w:p>
        </w:tc>
        <w:tc>
          <w:tcPr>
            <w:tcW w:w="993" w:type="dxa"/>
          </w:tcPr>
          <w:p w14:paraId="42410BF8"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0/46</w:t>
            </w:r>
          </w:p>
        </w:tc>
        <w:tc>
          <w:tcPr>
            <w:tcW w:w="991" w:type="dxa"/>
          </w:tcPr>
          <w:p w14:paraId="54751344"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0/46</w:t>
            </w:r>
          </w:p>
        </w:tc>
        <w:tc>
          <w:tcPr>
            <w:tcW w:w="1134" w:type="dxa"/>
          </w:tcPr>
          <w:p w14:paraId="2A71004E"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w:t>
            </w:r>
          </w:p>
        </w:tc>
      </w:tr>
      <w:tr w:rsidR="006F2387" w14:paraId="0B0C2735" w14:textId="77777777" w:rsidTr="003A729C">
        <w:tc>
          <w:tcPr>
            <w:tcW w:w="1809" w:type="dxa"/>
          </w:tcPr>
          <w:p w14:paraId="54BA4E78"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Eastern</w:t>
            </w:r>
          </w:p>
        </w:tc>
        <w:tc>
          <w:tcPr>
            <w:tcW w:w="1418" w:type="dxa"/>
          </w:tcPr>
          <w:p w14:paraId="0A61434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7.9%</w:t>
            </w:r>
          </w:p>
        </w:tc>
        <w:tc>
          <w:tcPr>
            <w:tcW w:w="1418" w:type="dxa"/>
          </w:tcPr>
          <w:p w14:paraId="505E29D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8.3%</w:t>
            </w:r>
          </w:p>
        </w:tc>
        <w:tc>
          <w:tcPr>
            <w:tcW w:w="1134" w:type="dxa"/>
          </w:tcPr>
          <w:p w14:paraId="47792342"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-0.4%</w:t>
            </w:r>
          </w:p>
        </w:tc>
        <w:tc>
          <w:tcPr>
            <w:tcW w:w="993" w:type="dxa"/>
          </w:tcPr>
          <w:p w14:paraId="0D4A6D40"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1/58</w:t>
            </w:r>
          </w:p>
        </w:tc>
        <w:tc>
          <w:tcPr>
            <w:tcW w:w="991" w:type="dxa"/>
          </w:tcPr>
          <w:p w14:paraId="7B4DF4A8"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1/58</w:t>
            </w:r>
          </w:p>
        </w:tc>
        <w:tc>
          <w:tcPr>
            <w:tcW w:w="1134" w:type="dxa"/>
          </w:tcPr>
          <w:p w14:paraId="78AFCB0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w:t>
            </w:r>
          </w:p>
        </w:tc>
      </w:tr>
      <w:tr w:rsidR="006F2387" w14:paraId="02600641" w14:textId="77777777" w:rsidTr="003A729C">
        <w:tc>
          <w:tcPr>
            <w:tcW w:w="1809" w:type="dxa"/>
          </w:tcPr>
          <w:p w14:paraId="6C48CC21"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London</w:t>
            </w:r>
          </w:p>
        </w:tc>
        <w:tc>
          <w:tcPr>
            <w:tcW w:w="1418" w:type="dxa"/>
          </w:tcPr>
          <w:p w14:paraId="3FCC10D0"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8.8%</w:t>
            </w:r>
          </w:p>
        </w:tc>
        <w:tc>
          <w:tcPr>
            <w:tcW w:w="1418" w:type="dxa"/>
          </w:tcPr>
          <w:p w14:paraId="12ADDB19"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7.7%</w:t>
            </w:r>
          </w:p>
        </w:tc>
        <w:tc>
          <w:tcPr>
            <w:tcW w:w="1134" w:type="dxa"/>
          </w:tcPr>
          <w:p w14:paraId="32BB184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+1.1%</w:t>
            </w:r>
          </w:p>
        </w:tc>
        <w:tc>
          <w:tcPr>
            <w:tcW w:w="993" w:type="dxa"/>
          </w:tcPr>
          <w:p w14:paraId="4E9E956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3/73</w:t>
            </w:r>
          </w:p>
        </w:tc>
        <w:tc>
          <w:tcPr>
            <w:tcW w:w="991" w:type="dxa"/>
          </w:tcPr>
          <w:p w14:paraId="34D7AE0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1/73</w:t>
            </w:r>
          </w:p>
        </w:tc>
        <w:tc>
          <w:tcPr>
            <w:tcW w:w="1134" w:type="dxa"/>
          </w:tcPr>
          <w:p w14:paraId="513BE8D5"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w:t>
            </w:r>
          </w:p>
        </w:tc>
      </w:tr>
      <w:tr w:rsidR="006F2387" w14:paraId="457943F9" w14:textId="77777777" w:rsidTr="003A729C">
        <w:tc>
          <w:tcPr>
            <w:tcW w:w="1809" w:type="dxa"/>
          </w:tcPr>
          <w:p w14:paraId="38DC9B0B"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North East</w:t>
            </w:r>
          </w:p>
        </w:tc>
        <w:tc>
          <w:tcPr>
            <w:tcW w:w="1418" w:type="dxa"/>
          </w:tcPr>
          <w:p w14:paraId="0234CE04"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4.6%</w:t>
            </w:r>
          </w:p>
        </w:tc>
        <w:tc>
          <w:tcPr>
            <w:tcW w:w="1418" w:type="dxa"/>
          </w:tcPr>
          <w:p w14:paraId="3ED031D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6.5%</w:t>
            </w:r>
          </w:p>
        </w:tc>
        <w:tc>
          <w:tcPr>
            <w:tcW w:w="1134" w:type="dxa"/>
          </w:tcPr>
          <w:p w14:paraId="5414DC6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-1.9%</w:t>
            </w:r>
          </w:p>
        </w:tc>
        <w:tc>
          <w:tcPr>
            <w:tcW w:w="993" w:type="dxa"/>
          </w:tcPr>
          <w:p w14:paraId="3F5816FD"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0/29</w:t>
            </w:r>
          </w:p>
        </w:tc>
        <w:tc>
          <w:tcPr>
            <w:tcW w:w="991" w:type="dxa"/>
          </w:tcPr>
          <w:p w14:paraId="3176AAE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0/29</w:t>
            </w:r>
          </w:p>
        </w:tc>
        <w:tc>
          <w:tcPr>
            <w:tcW w:w="1134" w:type="dxa"/>
          </w:tcPr>
          <w:p w14:paraId="3086FBDE"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w:t>
            </w:r>
          </w:p>
        </w:tc>
      </w:tr>
      <w:tr w:rsidR="006F2387" w14:paraId="00284762" w14:textId="77777777" w:rsidTr="003A729C">
        <w:tc>
          <w:tcPr>
            <w:tcW w:w="1809" w:type="dxa"/>
          </w:tcPr>
          <w:p w14:paraId="58317681"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North West</w:t>
            </w:r>
          </w:p>
        </w:tc>
        <w:tc>
          <w:tcPr>
            <w:tcW w:w="1418" w:type="dxa"/>
          </w:tcPr>
          <w:p w14:paraId="7C9C24E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5.4%</w:t>
            </w:r>
          </w:p>
        </w:tc>
        <w:tc>
          <w:tcPr>
            <w:tcW w:w="1418" w:type="dxa"/>
          </w:tcPr>
          <w:p w14:paraId="0D409D4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6.6%</w:t>
            </w:r>
          </w:p>
        </w:tc>
        <w:tc>
          <w:tcPr>
            <w:tcW w:w="1134" w:type="dxa"/>
          </w:tcPr>
          <w:p w14:paraId="02DF04F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-1.2%</w:t>
            </w:r>
          </w:p>
        </w:tc>
        <w:tc>
          <w:tcPr>
            <w:tcW w:w="993" w:type="dxa"/>
          </w:tcPr>
          <w:p w14:paraId="40CE2C7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1/75</w:t>
            </w:r>
          </w:p>
        </w:tc>
        <w:tc>
          <w:tcPr>
            <w:tcW w:w="991" w:type="dxa"/>
          </w:tcPr>
          <w:p w14:paraId="408D3FB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2/75</w:t>
            </w:r>
          </w:p>
        </w:tc>
        <w:tc>
          <w:tcPr>
            <w:tcW w:w="1134" w:type="dxa"/>
          </w:tcPr>
          <w:p w14:paraId="05D2B9A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w:t>
            </w:r>
          </w:p>
        </w:tc>
      </w:tr>
      <w:tr w:rsidR="006F2387" w14:paraId="68A1C6E4" w14:textId="77777777" w:rsidTr="003A729C">
        <w:tc>
          <w:tcPr>
            <w:tcW w:w="1809" w:type="dxa"/>
          </w:tcPr>
          <w:p w14:paraId="244731AD"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South East</w:t>
            </w:r>
          </w:p>
        </w:tc>
        <w:tc>
          <w:tcPr>
            <w:tcW w:w="1418" w:type="dxa"/>
          </w:tcPr>
          <w:p w14:paraId="5A4980B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10.5%</w:t>
            </w:r>
          </w:p>
        </w:tc>
        <w:tc>
          <w:tcPr>
            <w:tcW w:w="1418" w:type="dxa"/>
          </w:tcPr>
          <w:p w14:paraId="50DC67B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9.4%</w:t>
            </w:r>
          </w:p>
        </w:tc>
        <w:tc>
          <w:tcPr>
            <w:tcW w:w="1134" w:type="dxa"/>
          </w:tcPr>
          <w:p w14:paraId="3283B2E5"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+1.1%</w:t>
            </w:r>
          </w:p>
        </w:tc>
        <w:tc>
          <w:tcPr>
            <w:tcW w:w="993" w:type="dxa"/>
          </w:tcPr>
          <w:p w14:paraId="0172C5C0"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2/84</w:t>
            </w:r>
          </w:p>
        </w:tc>
        <w:tc>
          <w:tcPr>
            <w:tcW w:w="991" w:type="dxa"/>
          </w:tcPr>
          <w:p w14:paraId="2B18FFF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0/84</w:t>
            </w:r>
          </w:p>
        </w:tc>
        <w:tc>
          <w:tcPr>
            <w:tcW w:w="1134" w:type="dxa"/>
          </w:tcPr>
          <w:p w14:paraId="79205675"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w:t>
            </w:r>
          </w:p>
        </w:tc>
      </w:tr>
      <w:tr w:rsidR="006F2387" w14:paraId="5DCE8936" w14:textId="77777777" w:rsidTr="003A729C">
        <w:tc>
          <w:tcPr>
            <w:tcW w:w="1809" w:type="dxa"/>
          </w:tcPr>
          <w:p w14:paraId="21580F24"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South West</w:t>
            </w:r>
          </w:p>
        </w:tc>
        <w:tc>
          <w:tcPr>
            <w:tcW w:w="1418" w:type="dxa"/>
          </w:tcPr>
          <w:p w14:paraId="4A49AAA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14.9%</w:t>
            </w:r>
          </w:p>
        </w:tc>
        <w:tc>
          <w:tcPr>
            <w:tcW w:w="1418" w:type="dxa"/>
          </w:tcPr>
          <w:p w14:paraId="0724829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15.1%</w:t>
            </w:r>
          </w:p>
        </w:tc>
        <w:tc>
          <w:tcPr>
            <w:tcW w:w="1134" w:type="dxa"/>
          </w:tcPr>
          <w:p w14:paraId="1EB29DFE"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-0.2%</w:t>
            </w:r>
          </w:p>
        </w:tc>
        <w:tc>
          <w:tcPr>
            <w:tcW w:w="993" w:type="dxa"/>
          </w:tcPr>
          <w:p w14:paraId="4563E986"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1/55</w:t>
            </w:r>
          </w:p>
        </w:tc>
        <w:tc>
          <w:tcPr>
            <w:tcW w:w="991" w:type="dxa"/>
          </w:tcPr>
          <w:p w14:paraId="250281C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0/55</w:t>
            </w:r>
          </w:p>
        </w:tc>
        <w:tc>
          <w:tcPr>
            <w:tcW w:w="1134" w:type="dxa"/>
          </w:tcPr>
          <w:p w14:paraId="6C38E5A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w:t>
            </w:r>
          </w:p>
        </w:tc>
      </w:tr>
      <w:tr w:rsidR="006F2387" w14:paraId="5C27A4EE" w14:textId="77777777" w:rsidTr="003A729C">
        <w:tc>
          <w:tcPr>
            <w:tcW w:w="1809" w:type="dxa"/>
          </w:tcPr>
          <w:p w14:paraId="5772C524"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t>West Midlands</w:t>
            </w:r>
          </w:p>
        </w:tc>
        <w:tc>
          <w:tcPr>
            <w:tcW w:w="1418" w:type="dxa"/>
          </w:tcPr>
          <w:p w14:paraId="6901DED3"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4.4%</w:t>
            </w:r>
          </w:p>
        </w:tc>
        <w:tc>
          <w:tcPr>
            <w:tcW w:w="1418" w:type="dxa"/>
          </w:tcPr>
          <w:p w14:paraId="07CE4250"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5.5%</w:t>
            </w:r>
          </w:p>
        </w:tc>
        <w:tc>
          <w:tcPr>
            <w:tcW w:w="1134" w:type="dxa"/>
          </w:tcPr>
          <w:p w14:paraId="0ED29BA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-1.1%</w:t>
            </w:r>
          </w:p>
        </w:tc>
        <w:tc>
          <w:tcPr>
            <w:tcW w:w="993" w:type="dxa"/>
          </w:tcPr>
          <w:p w14:paraId="40A93B8A"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0/59</w:t>
            </w:r>
          </w:p>
        </w:tc>
        <w:tc>
          <w:tcPr>
            <w:tcW w:w="991" w:type="dxa"/>
          </w:tcPr>
          <w:p w14:paraId="375E04FC"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0/59</w:t>
            </w:r>
          </w:p>
        </w:tc>
        <w:tc>
          <w:tcPr>
            <w:tcW w:w="1134" w:type="dxa"/>
          </w:tcPr>
          <w:p w14:paraId="2CF207F2"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w:t>
            </w:r>
          </w:p>
        </w:tc>
      </w:tr>
      <w:tr w:rsidR="006F2387" w14:paraId="19C27BEE" w14:textId="77777777" w:rsidTr="003A729C">
        <w:tc>
          <w:tcPr>
            <w:tcW w:w="1809" w:type="dxa"/>
          </w:tcPr>
          <w:p w14:paraId="77EF2C61" w14:textId="77777777" w:rsidR="006F2387" w:rsidRPr="00D601B2" w:rsidRDefault="006F2387" w:rsidP="00F542E8">
            <w:pPr>
              <w:spacing w:after="0" w:line="240" w:lineRule="auto"/>
              <w:rPr>
                <w:rFonts w:ascii="Times New Roman" w:hAnsi="Times New Roman" w:cs="Times New Roman"/>
              </w:rPr>
            </w:pPr>
            <w:r w:rsidRPr="00D601B2">
              <w:rPr>
                <w:rFonts w:ascii="Times New Roman" w:hAnsi="Times New Roman" w:cs="Times New Roman"/>
              </w:rPr>
              <w:lastRenderedPageBreak/>
              <w:t>Yorkshire &amp; The Humber</w:t>
            </w:r>
          </w:p>
        </w:tc>
        <w:tc>
          <w:tcPr>
            <w:tcW w:w="1418" w:type="dxa"/>
          </w:tcPr>
          <w:p w14:paraId="2D8670FD"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5.0%</w:t>
            </w:r>
          </w:p>
        </w:tc>
        <w:tc>
          <w:tcPr>
            <w:tcW w:w="1418" w:type="dxa"/>
          </w:tcPr>
          <w:p w14:paraId="19A9552E"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7.1%</w:t>
            </w:r>
          </w:p>
        </w:tc>
        <w:tc>
          <w:tcPr>
            <w:tcW w:w="1134" w:type="dxa"/>
          </w:tcPr>
          <w:p w14:paraId="10359331"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-2.1%</w:t>
            </w:r>
          </w:p>
        </w:tc>
        <w:tc>
          <w:tcPr>
            <w:tcW w:w="993" w:type="dxa"/>
          </w:tcPr>
          <w:p w14:paraId="725C6B3B"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0/54</w:t>
            </w:r>
          </w:p>
        </w:tc>
        <w:tc>
          <w:tcPr>
            <w:tcW w:w="991" w:type="dxa"/>
          </w:tcPr>
          <w:p w14:paraId="5E8AAB9F"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2/54</w:t>
            </w:r>
          </w:p>
        </w:tc>
        <w:tc>
          <w:tcPr>
            <w:tcW w:w="1134" w:type="dxa"/>
          </w:tcPr>
          <w:p w14:paraId="08E6CFE7" w14:textId="77777777" w:rsidR="006F2387" w:rsidRPr="00D601B2" w:rsidRDefault="006F2387" w:rsidP="0088469D">
            <w:pPr>
              <w:spacing w:line="240" w:lineRule="auto"/>
              <w:jc w:val="center"/>
              <w:rPr>
                <w:rFonts w:ascii="Times New Roman" w:hAnsi="Times New Roman" w:cs="Times New Roman"/>
              </w:rPr>
            </w:pPr>
            <w:r w:rsidRPr="00D601B2">
              <w:rPr>
                <w:rFonts w:ascii="Times New Roman" w:hAnsi="Times New Roman" w:cs="Times New Roman"/>
              </w:rPr>
              <w:t>-2</w:t>
            </w:r>
          </w:p>
        </w:tc>
      </w:tr>
    </w:tbl>
    <w:p w14:paraId="294FA171" w14:textId="77777777" w:rsidR="00153C5E" w:rsidRPr="00D601B2" w:rsidRDefault="00153C5E" w:rsidP="00D601B2">
      <w:pPr>
        <w:rPr>
          <w:rFonts w:ascii="Times New Roman" w:eastAsia="Times New Roman" w:hAnsi="Times New Roman" w:cs="Times New Roman"/>
          <w:sz w:val="24"/>
          <w:szCs w:val="24"/>
          <w:lang w:eastAsia="en-GB"/>
        </w:rPr>
      </w:pPr>
    </w:p>
    <w:p w14:paraId="4E920019" w14:textId="39FAA396" w:rsidR="006F2387" w:rsidRPr="00D601B2" w:rsidRDefault="006F2387" w:rsidP="00D601B2">
      <w:pPr>
        <w:rPr>
          <w:rFonts w:ascii="Times New Roman" w:eastAsia="Times New Roman" w:hAnsi="Times New Roman" w:cs="Times New Roman"/>
          <w:b/>
          <w:sz w:val="24"/>
          <w:szCs w:val="24"/>
          <w:lang w:eastAsia="en-GB"/>
        </w:rPr>
      </w:pPr>
      <w:r w:rsidRPr="00D601B2">
        <w:rPr>
          <w:rFonts w:ascii="Times New Roman" w:eastAsia="Times New Roman" w:hAnsi="Times New Roman" w:cs="Times New Roman"/>
          <w:b/>
          <w:sz w:val="24"/>
          <w:szCs w:val="24"/>
          <w:lang w:eastAsia="en-GB"/>
        </w:rPr>
        <w:t>Table</w:t>
      </w:r>
      <w:r w:rsidR="00153C5E" w:rsidRPr="00D601B2">
        <w:rPr>
          <w:rFonts w:ascii="Times New Roman" w:eastAsia="Times New Roman" w:hAnsi="Times New Roman" w:cs="Times New Roman"/>
          <w:b/>
          <w:sz w:val="24"/>
          <w:szCs w:val="24"/>
          <w:lang w:eastAsia="en-GB"/>
        </w:rPr>
        <w:t xml:space="preserve"> 5.</w:t>
      </w:r>
      <w:r w:rsidRPr="00D601B2">
        <w:rPr>
          <w:rFonts w:ascii="Times New Roman" w:eastAsia="Times New Roman" w:hAnsi="Times New Roman" w:cs="Times New Roman"/>
          <w:b/>
          <w:sz w:val="24"/>
          <w:szCs w:val="24"/>
          <w:lang w:eastAsia="en-GB"/>
        </w:rPr>
        <w:t>3 2017 Liberal Democrat Performance by Incumbency and Seat Type</w:t>
      </w:r>
    </w:p>
    <w:tbl>
      <w:tblPr>
        <w:tblStyle w:val="TableGrid"/>
        <w:tblW w:w="8561" w:type="dxa"/>
        <w:tblLayout w:type="fixed"/>
        <w:tblLook w:val="04A0" w:firstRow="1" w:lastRow="0" w:firstColumn="1" w:lastColumn="0" w:noHBand="0" w:noVBand="1"/>
      </w:tblPr>
      <w:tblGrid>
        <w:gridCol w:w="4536"/>
        <w:gridCol w:w="1474"/>
        <w:gridCol w:w="1417"/>
        <w:gridCol w:w="1134"/>
      </w:tblGrid>
      <w:tr w:rsidR="006F2387" w14:paraId="211B224E" w14:textId="77777777" w:rsidTr="00D601B2">
        <w:tc>
          <w:tcPr>
            <w:tcW w:w="4536" w:type="dxa"/>
          </w:tcPr>
          <w:p w14:paraId="521A928D" w14:textId="77777777" w:rsidR="006F2387" w:rsidRPr="00D601B2" w:rsidRDefault="006F2387" w:rsidP="00F542E8">
            <w:pPr>
              <w:spacing w:after="0" w:line="240" w:lineRule="auto"/>
              <w:jc w:val="center"/>
              <w:rPr>
                <w:rFonts w:ascii="Times New Roman" w:hAnsi="Times New Roman" w:cs="Times New Roman"/>
                <w:b/>
              </w:rPr>
            </w:pPr>
            <w:r w:rsidRPr="00D601B2">
              <w:rPr>
                <w:rFonts w:ascii="Times New Roman" w:hAnsi="Times New Roman" w:cs="Times New Roman"/>
                <w:b/>
              </w:rPr>
              <w:t>Seats</w:t>
            </w:r>
          </w:p>
        </w:tc>
        <w:tc>
          <w:tcPr>
            <w:tcW w:w="1474" w:type="dxa"/>
          </w:tcPr>
          <w:p w14:paraId="60751266" w14:textId="77777777" w:rsidR="006F2387" w:rsidRPr="00D601B2" w:rsidRDefault="006F2387" w:rsidP="00F542E8">
            <w:pPr>
              <w:spacing w:after="0" w:line="240" w:lineRule="auto"/>
              <w:rPr>
                <w:rFonts w:ascii="Times New Roman" w:hAnsi="Times New Roman" w:cs="Times New Roman"/>
                <w:b/>
              </w:rPr>
            </w:pPr>
            <w:r w:rsidRPr="00D601B2">
              <w:rPr>
                <w:rFonts w:ascii="Times New Roman" w:hAnsi="Times New Roman" w:cs="Times New Roman"/>
                <w:b/>
              </w:rPr>
              <w:t xml:space="preserve">2017  % LD </w:t>
            </w:r>
          </w:p>
          <w:p w14:paraId="064FB178" w14:textId="77777777" w:rsidR="006F2387" w:rsidRPr="00D601B2" w:rsidRDefault="006F2387" w:rsidP="00F542E8">
            <w:pPr>
              <w:spacing w:after="0" w:line="240" w:lineRule="auto"/>
              <w:jc w:val="center"/>
              <w:rPr>
                <w:rFonts w:ascii="Times New Roman" w:hAnsi="Times New Roman" w:cs="Times New Roman"/>
                <w:b/>
              </w:rPr>
            </w:pPr>
            <w:r w:rsidRPr="00D601B2">
              <w:rPr>
                <w:rFonts w:ascii="Times New Roman" w:hAnsi="Times New Roman" w:cs="Times New Roman"/>
                <w:b/>
              </w:rPr>
              <w:t>Vote</w:t>
            </w:r>
          </w:p>
        </w:tc>
        <w:tc>
          <w:tcPr>
            <w:tcW w:w="1417" w:type="dxa"/>
          </w:tcPr>
          <w:p w14:paraId="3A57F6FA" w14:textId="77777777" w:rsidR="006F2387" w:rsidRPr="00D601B2" w:rsidRDefault="006F2387" w:rsidP="00F542E8">
            <w:pPr>
              <w:spacing w:after="0" w:line="240" w:lineRule="auto"/>
              <w:jc w:val="center"/>
              <w:rPr>
                <w:rFonts w:ascii="Times New Roman" w:hAnsi="Times New Roman" w:cs="Times New Roman"/>
                <w:b/>
              </w:rPr>
            </w:pPr>
            <w:r w:rsidRPr="00D601B2">
              <w:rPr>
                <w:rFonts w:ascii="Times New Roman" w:hAnsi="Times New Roman" w:cs="Times New Roman"/>
                <w:b/>
              </w:rPr>
              <w:t xml:space="preserve">2015 % LD </w:t>
            </w:r>
          </w:p>
          <w:p w14:paraId="5BAA9901" w14:textId="77777777" w:rsidR="006F2387" w:rsidRPr="00D601B2" w:rsidRDefault="006F2387" w:rsidP="00F542E8">
            <w:pPr>
              <w:spacing w:after="0" w:line="240" w:lineRule="auto"/>
              <w:jc w:val="center"/>
              <w:rPr>
                <w:rFonts w:ascii="Times New Roman" w:hAnsi="Times New Roman" w:cs="Times New Roman"/>
                <w:b/>
              </w:rPr>
            </w:pPr>
            <w:r w:rsidRPr="00D601B2">
              <w:rPr>
                <w:rFonts w:ascii="Times New Roman" w:hAnsi="Times New Roman" w:cs="Times New Roman"/>
                <w:b/>
              </w:rPr>
              <w:t>Vote</w:t>
            </w:r>
          </w:p>
        </w:tc>
        <w:tc>
          <w:tcPr>
            <w:tcW w:w="1134" w:type="dxa"/>
          </w:tcPr>
          <w:p w14:paraId="3ABCA071" w14:textId="77777777" w:rsidR="006F2387" w:rsidRPr="00D601B2" w:rsidRDefault="006F2387" w:rsidP="00F542E8">
            <w:pPr>
              <w:spacing w:after="0" w:line="240" w:lineRule="auto"/>
              <w:rPr>
                <w:rFonts w:ascii="Times New Roman" w:hAnsi="Times New Roman" w:cs="Times New Roman"/>
                <w:b/>
              </w:rPr>
            </w:pPr>
            <w:r w:rsidRPr="00D601B2">
              <w:rPr>
                <w:rFonts w:ascii="Times New Roman" w:hAnsi="Times New Roman" w:cs="Times New Roman"/>
                <w:b/>
              </w:rPr>
              <w:t xml:space="preserve">  Change</w:t>
            </w:r>
          </w:p>
          <w:p w14:paraId="7163EA29" w14:textId="77777777" w:rsidR="006F2387" w:rsidRPr="00D601B2" w:rsidRDefault="006F2387" w:rsidP="00F542E8">
            <w:pPr>
              <w:spacing w:after="0" w:line="240" w:lineRule="auto"/>
              <w:jc w:val="center"/>
              <w:rPr>
                <w:rFonts w:ascii="Times New Roman" w:hAnsi="Times New Roman" w:cs="Times New Roman"/>
                <w:b/>
              </w:rPr>
            </w:pPr>
            <w:r w:rsidRPr="00D601B2">
              <w:rPr>
                <w:rFonts w:ascii="Times New Roman" w:hAnsi="Times New Roman" w:cs="Times New Roman"/>
                <w:b/>
              </w:rPr>
              <w:t>+/- 15-17</w:t>
            </w:r>
          </w:p>
        </w:tc>
      </w:tr>
      <w:tr w:rsidR="006F2387" w14:paraId="4D468060" w14:textId="77777777" w:rsidTr="00D601B2">
        <w:tc>
          <w:tcPr>
            <w:tcW w:w="4536" w:type="dxa"/>
          </w:tcPr>
          <w:p w14:paraId="28FFC41B" w14:textId="77777777" w:rsidR="006F2387" w:rsidRPr="00D601B2" w:rsidRDefault="006F2387" w:rsidP="003A729C">
            <w:pPr>
              <w:rPr>
                <w:rFonts w:ascii="Times New Roman" w:hAnsi="Times New Roman" w:cs="Times New Roman"/>
                <w:b/>
              </w:rPr>
            </w:pPr>
            <w:r w:rsidRPr="00D601B2">
              <w:rPr>
                <w:rFonts w:ascii="Times New Roman" w:hAnsi="Times New Roman" w:cs="Times New Roman"/>
                <w:b/>
              </w:rPr>
              <w:t>Incumbency</w:t>
            </w:r>
          </w:p>
        </w:tc>
        <w:tc>
          <w:tcPr>
            <w:tcW w:w="1474" w:type="dxa"/>
          </w:tcPr>
          <w:p w14:paraId="77131B5E" w14:textId="77777777" w:rsidR="006F2387" w:rsidRPr="00D601B2" w:rsidRDefault="006F2387" w:rsidP="003A729C">
            <w:pPr>
              <w:jc w:val="center"/>
              <w:rPr>
                <w:rFonts w:ascii="Times New Roman" w:hAnsi="Times New Roman" w:cs="Times New Roman"/>
              </w:rPr>
            </w:pPr>
          </w:p>
        </w:tc>
        <w:tc>
          <w:tcPr>
            <w:tcW w:w="1417" w:type="dxa"/>
          </w:tcPr>
          <w:p w14:paraId="330DE401" w14:textId="77777777" w:rsidR="006F2387" w:rsidRPr="00D601B2" w:rsidRDefault="006F2387" w:rsidP="003A729C">
            <w:pPr>
              <w:jc w:val="center"/>
              <w:rPr>
                <w:rFonts w:ascii="Times New Roman" w:hAnsi="Times New Roman" w:cs="Times New Roman"/>
              </w:rPr>
            </w:pPr>
          </w:p>
        </w:tc>
        <w:tc>
          <w:tcPr>
            <w:tcW w:w="1134" w:type="dxa"/>
          </w:tcPr>
          <w:p w14:paraId="36F0C1C5" w14:textId="77777777" w:rsidR="006F2387" w:rsidRPr="00D601B2" w:rsidRDefault="006F2387" w:rsidP="003A729C">
            <w:pPr>
              <w:jc w:val="center"/>
              <w:rPr>
                <w:rFonts w:ascii="Times New Roman" w:hAnsi="Times New Roman" w:cs="Times New Roman"/>
              </w:rPr>
            </w:pPr>
          </w:p>
        </w:tc>
      </w:tr>
      <w:tr w:rsidR="006F2387" w14:paraId="1ED55B55" w14:textId="77777777" w:rsidTr="00D601B2">
        <w:tc>
          <w:tcPr>
            <w:tcW w:w="4536" w:type="dxa"/>
          </w:tcPr>
          <w:p w14:paraId="24B7CC9A"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2017 Incumbent Seats (9)</w:t>
            </w:r>
          </w:p>
        </w:tc>
        <w:tc>
          <w:tcPr>
            <w:tcW w:w="1474" w:type="dxa"/>
          </w:tcPr>
          <w:p w14:paraId="3A30EEBC"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39.3%</w:t>
            </w:r>
          </w:p>
        </w:tc>
        <w:tc>
          <w:tcPr>
            <w:tcW w:w="1417" w:type="dxa"/>
          </w:tcPr>
          <w:p w14:paraId="0243846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36.0%</w:t>
            </w:r>
          </w:p>
        </w:tc>
        <w:tc>
          <w:tcPr>
            <w:tcW w:w="1134" w:type="dxa"/>
          </w:tcPr>
          <w:p w14:paraId="733A4E28"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+3.3%</w:t>
            </w:r>
          </w:p>
        </w:tc>
      </w:tr>
      <w:tr w:rsidR="006F2387" w14:paraId="3CE6BD1A" w14:textId="77777777" w:rsidTr="00D601B2">
        <w:tc>
          <w:tcPr>
            <w:tcW w:w="4536" w:type="dxa"/>
          </w:tcPr>
          <w:p w14:paraId="7A1D8D96"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Incumbent Candidates (8)</w:t>
            </w:r>
          </w:p>
        </w:tc>
        <w:tc>
          <w:tcPr>
            <w:tcW w:w="1474" w:type="dxa"/>
          </w:tcPr>
          <w:p w14:paraId="5ACDBF28"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40.9%</w:t>
            </w:r>
          </w:p>
        </w:tc>
        <w:tc>
          <w:tcPr>
            <w:tcW w:w="1417" w:type="dxa"/>
          </w:tcPr>
          <w:p w14:paraId="222B518D"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36.7%</w:t>
            </w:r>
          </w:p>
        </w:tc>
        <w:tc>
          <w:tcPr>
            <w:tcW w:w="1134" w:type="dxa"/>
          </w:tcPr>
          <w:p w14:paraId="72E456E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+4.2%</w:t>
            </w:r>
          </w:p>
        </w:tc>
      </w:tr>
      <w:tr w:rsidR="006F2387" w14:paraId="360F25CF" w14:textId="77777777" w:rsidTr="00D601B2">
        <w:tc>
          <w:tcPr>
            <w:tcW w:w="4536" w:type="dxa"/>
          </w:tcPr>
          <w:p w14:paraId="7AF1588C"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Non-Held Seats (622)</w:t>
            </w:r>
          </w:p>
        </w:tc>
        <w:tc>
          <w:tcPr>
            <w:tcW w:w="1474" w:type="dxa"/>
          </w:tcPr>
          <w:p w14:paraId="17DEE55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7.1%</w:t>
            </w:r>
          </w:p>
        </w:tc>
        <w:tc>
          <w:tcPr>
            <w:tcW w:w="1417" w:type="dxa"/>
          </w:tcPr>
          <w:p w14:paraId="5D11762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7.7%</w:t>
            </w:r>
          </w:p>
        </w:tc>
        <w:tc>
          <w:tcPr>
            <w:tcW w:w="1134" w:type="dxa"/>
          </w:tcPr>
          <w:p w14:paraId="01EE827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-0.6%</w:t>
            </w:r>
          </w:p>
        </w:tc>
      </w:tr>
      <w:tr w:rsidR="006F2387" w14:paraId="658FDE83" w14:textId="77777777" w:rsidTr="00D601B2">
        <w:tc>
          <w:tcPr>
            <w:tcW w:w="4536" w:type="dxa"/>
          </w:tcPr>
          <w:p w14:paraId="7E2A3A3C" w14:textId="77777777" w:rsidR="006F2387" w:rsidRPr="00D601B2" w:rsidRDefault="006F2387" w:rsidP="003A729C">
            <w:pPr>
              <w:rPr>
                <w:rFonts w:ascii="Times New Roman" w:hAnsi="Times New Roman" w:cs="Times New Roman"/>
                <w:b/>
              </w:rPr>
            </w:pPr>
            <w:r w:rsidRPr="00D601B2">
              <w:rPr>
                <w:rFonts w:ascii="Times New Roman" w:hAnsi="Times New Roman" w:cs="Times New Roman"/>
                <w:b/>
              </w:rPr>
              <w:t>2015 Incumbency</w:t>
            </w:r>
          </w:p>
        </w:tc>
        <w:tc>
          <w:tcPr>
            <w:tcW w:w="1474" w:type="dxa"/>
          </w:tcPr>
          <w:p w14:paraId="3508FDF1" w14:textId="77777777" w:rsidR="006F2387" w:rsidRPr="00D601B2" w:rsidRDefault="006F2387" w:rsidP="003A729C">
            <w:pPr>
              <w:jc w:val="center"/>
              <w:rPr>
                <w:rFonts w:ascii="Times New Roman" w:hAnsi="Times New Roman" w:cs="Times New Roman"/>
              </w:rPr>
            </w:pPr>
          </w:p>
        </w:tc>
        <w:tc>
          <w:tcPr>
            <w:tcW w:w="1417" w:type="dxa"/>
          </w:tcPr>
          <w:p w14:paraId="3502E0FD" w14:textId="77777777" w:rsidR="006F2387" w:rsidRPr="00D601B2" w:rsidRDefault="006F2387" w:rsidP="003A729C">
            <w:pPr>
              <w:jc w:val="center"/>
              <w:rPr>
                <w:rFonts w:ascii="Times New Roman" w:hAnsi="Times New Roman" w:cs="Times New Roman"/>
              </w:rPr>
            </w:pPr>
          </w:p>
        </w:tc>
        <w:tc>
          <w:tcPr>
            <w:tcW w:w="1134" w:type="dxa"/>
          </w:tcPr>
          <w:p w14:paraId="4A7E2CF7" w14:textId="77777777" w:rsidR="006F2387" w:rsidRPr="00D601B2" w:rsidRDefault="006F2387" w:rsidP="003A729C">
            <w:pPr>
              <w:jc w:val="center"/>
              <w:rPr>
                <w:rFonts w:ascii="Times New Roman" w:hAnsi="Times New Roman" w:cs="Times New Roman"/>
              </w:rPr>
            </w:pPr>
          </w:p>
        </w:tc>
      </w:tr>
      <w:tr w:rsidR="006F2387" w14:paraId="24E8D8FF" w14:textId="77777777" w:rsidTr="00D601B2">
        <w:tc>
          <w:tcPr>
            <w:tcW w:w="4536" w:type="dxa"/>
          </w:tcPr>
          <w:p w14:paraId="5B583F2D"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2015 Incumbent Seats (57)</w:t>
            </w:r>
          </w:p>
        </w:tc>
        <w:tc>
          <w:tcPr>
            <w:tcW w:w="1474" w:type="dxa"/>
          </w:tcPr>
          <w:p w14:paraId="637C774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27.3%</w:t>
            </w:r>
          </w:p>
        </w:tc>
        <w:tc>
          <w:tcPr>
            <w:tcW w:w="1417" w:type="dxa"/>
          </w:tcPr>
          <w:p w14:paraId="38F938D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30.1%</w:t>
            </w:r>
          </w:p>
        </w:tc>
        <w:tc>
          <w:tcPr>
            <w:tcW w:w="1134" w:type="dxa"/>
          </w:tcPr>
          <w:p w14:paraId="4C06333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-2.8%</w:t>
            </w:r>
          </w:p>
        </w:tc>
      </w:tr>
      <w:tr w:rsidR="006F2387" w14:paraId="38161020" w14:textId="77777777" w:rsidTr="00D601B2">
        <w:tc>
          <w:tcPr>
            <w:tcW w:w="4536" w:type="dxa"/>
          </w:tcPr>
          <w:p w14:paraId="13D971B3"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MPs lost 2015 stood again 2017 (20)</w:t>
            </w:r>
          </w:p>
        </w:tc>
        <w:tc>
          <w:tcPr>
            <w:tcW w:w="1474" w:type="dxa"/>
          </w:tcPr>
          <w:p w14:paraId="17EBA94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31.3%</w:t>
            </w:r>
          </w:p>
        </w:tc>
        <w:tc>
          <w:tcPr>
            <w:tcW w:w="1417" w:type="dxa"/>
          </w:tcPr>
          <w:p w14:paraId="46CB07E7"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30.6%</w:t>
            </w:r>
          </w:p>
        </w:tc>
        <w:tc>
          <w:tcPr>
            <w:tcW w:w="1134" w:type="dxa"/>
          </w:tcPr>
          <w:p w14:paraId="75FAF857"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+0.7%</w:t>
            </w:r>
          </w:p>
        </w:tc>
      </w:tr>
      <w:tr w:rsidR="006F2387" w14:paraId="5CBA6F17" w14:textId="77777777" w:rsidTr="00D601B2">
        <w:tc>
          <w:tcPr>
            <w:tcW w:w="4536" w:type="dxa"/>
          </w:tcPr>
          <w:p w14:paraId="41757278" w14:textId="77777777" w:rsidR="006F2387" w:rsidRPr="00D601B2" w:rsidRDefault="006F2387" w:rsidP="003A729C">
            <w:r w:rsidRPr="00D601B2">
              <w:rPr>
                <w:rFonts w:ascii="Times New Roman" w:hAnsi="Times New Roman" w:cs="Times New Roman"/>
              </w:rPr>
              <w:t>Con-LD MPs lost 15 stood again 2017 (12)</w:t>
            </w:r>
          </w:p>
        </w:tc>
        <w:tc>
          <w:tcPr>
            <w:tcW w:w="1474" w:type="dxa"/>
          </w:tcPr>
          <w:p w14:paraId="51B52D1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37.2%</w:t>
            </w:r>
          </w:p>
        </w:tc>
        <w:tc>
          <w:tcPr>
            <w:tcW w:w="1417" w:type="dxa"/>
          </w:tcPr>
          <w:p w14:paraId="2E8F16A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31.8%</w:t>
            </w:r>
          </w:p>
        </w:tc>
        <w:tc>
          <w:tcPr>
            <w:tcW w:w="1134" w:type="dxa"/>
          </w:tcPr>
          <w:p w14:paraId="4265F6D0"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+5.4%</w:t>
            </w:r>
          </w:p>
        </w:tc>
      </w:tr>
      <w:tr w:rsidR="006F2387" w14:paraId="5A82CEA7" w14:textId="77777777" w:rsidTr="00D601B2">
        <w:tc>
          <w:tcPr>
            <w:tcW w:w="4536" w:type="dxa"/>
          </w:tcPr>
          <w:p w14:paraId="7744A3E9" w14:textId="77777777" w:rsidR="006F2387" w:rsidRPr="00D601B2" w:rsidRDefault="006F2387" w:rsidP="003A729C">
            <w:r w:rsidRPr="00D601B2">
              <w:rPr>
                <w:rFonts w:ascii="Times New Roman" w:hAnsi="Times New Roman" w:cs="Times New Roman"/>
              </w:rPr>
              <w:t>Lab-LD MPs lost 15 stood again 2017 (6)</w:t>
            </w:r>
          </w:p>
        </w:tc>
        <w:tc>
          <w:tcPr>
            <w:tcW w:w="1474" w:type="dxa"/>
          </w:tcPr>
          <w:p w14:paraId="1F512AB1"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19.2%</w:t>
            </w:r>
          </w:p>
        </w:tc>
        <w:tc>
          <w:tcPr>
            <w:tcW w:w="1417" w:type="dxa"/>
          </w:tcPr>
          <w:p w14:paraId="07DF845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27.5%</w:t>
            </w:r>
          </w:p>
        </w:tc>
        <w:tc>
          <w:tcPr>
            <w:tcW w:w="1134" w:type="dxa"/>
          </w:tcPr>
          <w:p w14:paraId="24E40439"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-8.3%</w:t>
            </w:r>
          </w:p>
        </w:tc>
      </w:tr>
      <w:tr w:rsidR="006F2387" w14:paraId="25F2BEF7" w14:textId="77777777" w:rsidTr="00D601B2">
        <w:tc>
          <w:tcPr>
            <w:tcW w:w="4536" w:type="dxa"/>
          </w:tcPr>
          <w:p w14:paraId="673ED59A" w14:textId="77777777" w:rsidR="006F2387" w:rsidRPr="00D601B2" w:rsidRDefault="006F2387" w:rsidP="003A729C">
            <w:r w:rsidRPr="00D601B2">
              <w:rPr>
                <w:rFonts w:ascii="Times New Roman" w:hAnsi="Times New Roman" w:cs="Times New Roman"/>
              </w:rPr>
              <w:t>SNP-LD MPs lost 15 stood again 2017 (2)</w:t>
            </w:r>
          </w:p>
        </w:tc>
        <w:tc>
          <w:tcPr>
            <w:tcW w:w="1474" w:type="dxa"/>
          </w:tcPr>
          <w:p w14:paraId="7095553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29.8%</w:t>
            </w:r>
          </w:p>
        </w:tc>
        <w:tc>
          <w:tcPr>
            <w:tcW w:w="1417" w:type="dxa"/>
          </w:tcPr>
          <w:p w14:paraId="2BF37B9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32.2%</w:t>
            </w:r>
          </w:p>
        </w:tc>
        <w:tc>
          <w:tcPr>
            <w:tcW w:w="1134" w:type="dxa"/>
          </w:tcPr>
          <w:p w14:paraId="36D8604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-2.4%</w:t>
            </w:r>
          </w:p>
        </w:tc>
      </w:tr>
      <w:tr w:rsidR="006F2387" w14:paraId="20811B9A" w14:textId="77777777" w:rsidTr="00D601B2">
        <w:tc>
          <w:tcPr>
            <w:tcW w:w="4536" w:type="dxa"/>
          </w:tcPr>
          <w:p w14:paraId="6C94D987" w14:textId="77777777" w:rsidR="006F2387" w:rsidRPr="00D601B2" w:rsidRDefault="006F2387" w:rsidP="003A729C">
            <w:pPr>
              <w:rPr>
                <w:rFonts w:ascii="Times New Roman" w:hAnsi="Times New Roman" w:cs="Times New Roman"/>
                <w:b/>
              </w:rPr>
            </w:pPr>
            <w:r w:rsidRPr="00D601B2">
              <w:rPr>
                <w:rFonts w:ascii="Times New Roman" w:hAnsi="Times New Roman" w:cs="Times New Roman"/>
                <w:b/>
              </w:rPr>
              <w:t>Seat Type (LDs Second Place)</w:t>
            </w:r>
          </w:p>
        </w:tc>
        <w:tc>
          <w:tcPr>
            <w:tcW w:w="1474" w:type="dxa"/>
          </w:tcPr>
          <w:p w14:paraId="2569FB0B" w14:textId="77777777" w:rsidR="006F2387" w:rsidRPr="00D601B2" w:rsidRDefault="006F2387" w:rsidP="003A729C">
            <w:pPr>
              <w:jc w:val="center"/>
              <w:rPr>
                <w:rFonts w:ascii="Times New Roman" w:hAnsi="Times New Roman" w:cs="Times New Roman"/>
              </w:rPr>
            </w:pPr>
          </w:p>
        </w:tc>
        <w:tc>
          <w:tcPr>
            <w:tcW w:w="1417" w:type="dxa"/>
          </w:tcPr>
          <w:p w14:paraId="6DD09728" w14:textId="77777777" w:rsidR="006F2387" w:rsidRPr="00D601B2" w:rsidRDefault="006F2387" w:rsidP="003A729C">
            <w:pPr>
              <w:jc w:val="center"/>
              <w:rPr>
                <w:rFonts w:ascii="Times New Roman" w:hAnsi="Times New Roman" w:cs="Times New Roman"/>
              </w:rPr>
            </w:pPr>
          </w:p>
        </w:tc>
        <w:tc>
          <w:tcPr>
            <w:tcW w:w="1134" w:type="dxa"/>
          </w:tcPr>
          <w:p w14:paraId="7643C247" w14:textId="77777777" w:rsidR="006F2387" w:rsidRPr="00D601B2" w:rsidRDefault="006F2387" w:rsidP="003A729C">
            <w:pPr>
              <w:jc w:val="center"/>
              <w:rPr>
                <w:rFonts w:ascii="Times New Roman" w:hAnsi="Times New Roman" w:cs="Times New Roman"/>
              </w:rPr>
            </w:pPr>
          </w:p>
        </w:tc>
      </w:tr>
      <w:tr w:rsidR="006F2387" w14:paraId="63167871" w14:textId="77777777" w:rsidTr="00D601B2">
        <w:tc>
          <w:tcPr>
            <w:tcW w:w="4536" w:type="dxa"/>
          </w:tcPr>
          <w:p w14:paraId="140C9586"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All Second Place (62)</w:t>
            </w:r>
          </w:p>
        </w:tc>
        <w:tc>
          <w:tcPr>
            <w:tcW w:w="1474" w:type="dxa"/>
          </w:tcPr>
          <w:p w14:paraId="41D10075"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26.2%</w:t>
            </w:r>
          </w:p>
        </w:tc>
        <w:tc>
          <w:tcPr>
            <w:tcW w:w="1417" w:type="dxa"/>
          </w:tcPr>
          <w:p w14:paraId="0A0B6CFD"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27.2%</w:t>
            </w:r>
          </w:p>
        </w:tc>
        <w:tc>
          <w:tcPr>
            <w:tcW w:w="1134" w:type="dxa"/>
          </w:tcPr>
          <w:p w14:paraId="7360C94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-1.0%</w:t>
            </w:r>
          </w:p>
        </w:tc>
      </w:tr>
      <w:tr w:rsidR="006F2387" w14:paraId="7A17FCDA" w14:textId="77777777" w:rsidTr="00D601B2">
        <w:tc>
          <w:tcPr>
            <w:tcW w:w="4536" w:type="dxa"/>
          </w:tcPr>
          <w:p w14:paraId="7017642F"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Con-LD Seats (45)</w:t>
            </w:r>
          </w:p>
        </w:tc>
        <w:tc>
          <w:tcPr>
            <w:tcW w:w="1474" w:type="dxa"/>
          </w:tcPr>
          <w:p w14:paraId="4C6B56C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27.9%</w:t>
            </w:r>
          </w:p>
        </w:tc>
        <w:tc>
          <w:tcPr>
            <w:tcW w:w="1417" w:type="dxa"/>
          </w:tcPr>
          <w:p w14:paraId="4CEE273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25.9%</w:t>
            </w:r>
          </w:p>
        </w:tc>
        <w:tc>
          <w:tcPr>
            <w:tcW w:w="1134" w:type="dxa"/>
          </w:tcPr>
          <w:p w14:paraId="6763C8B7"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+2.0%</w:t>
            </w:r>
          </w:p>
        </w:tc>
      </w:tr>
      <w:tr w:rsidR="006F2387" w14:paraId="23C282C5" w14:textId="77777777" w:rsidTr="00D601B2">
        <w:tc>
          <w:tcPr>
            <w:tcW w:w="4536" w:type="dxa"/>
          </w:tcPr>
          <w:p w14:paraId="054C3860"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Lab-LD Seats (9)</w:t>
            </w:r>
          </w:p>
        </w:tc>
        <w:tc>
          <w:tcPr>
            <w:tcW w:w="1474" w:type="dxa"/>
          </w:tcPr>
          <w:p w14:paraId="581B740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17.2%</w:t>
            </w:r>
          </w:p>
        </w:tc>
        <w:tc>
          <w:tcPr>
            <w:tcW w:w="1417" w:type="dxa"/>
          </w:tcPr>
          <w:p w14:paraId="303FBA8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28.7%</w:t>
            </w:r>
          </w:p>
        </w:tc>
        <w:tc>
          <w:tcPr>
            <w:tcW w:w="1134" w:type="dxa"/>
          </w:tcPr>
          <w:p w14:paraId="17E4133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-11.5%</w:t>
            </w:r>
          </w:p>
        </w:tc>
      </w:tr>
      <w:tr w:rsidR="006F2387" w14:paraId="57D50750" w14:textId="77777777" w:rsidTr="00D601B2">
        <w:tc>
          <w:tcPr>
            <w:tcW w:w="4536" w:type="dxa"/>
          </w:tcPr>
          <w:p w14:paraId="781F8C37"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SNP-LD Seats (8)</w:t>
            </w:r>
          </w:p>
        </w:tc>
        <w:tc>
          <w:tcPr>
            <w:tcW w:w="1474" w:type="dxa"/>
          </w:tcPr>
          <w:p w14:paraId="6D53133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25.2%</w:t>
            </w:r>
          </w:p>
        </w:tc>
        <w:tc>
          <w:tcPr>
            <w:tcW w:w="1417" w:type="dxa"/>
          </w:tcPr>
          <w:p w14:paraId="2714FAED"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32.8%</w:t>
            </w:r>
          </w:p>
        </w:tc>
        <w:tc>
          <w:tcPr>
            <w:tcW w:w="1134" w:type="dxa"/>
          </w:tcPr>
          <w:p w14:paraId="6AEB16C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-7.6%</w:t>
            </w:r>
          </w:p>
        </w:tc>
      </w:tr>
      <w:tr w:rsidR="006F2387" w14:paraId="5D733186" w14:textId="77777777" w:rsidTr="00D601B2">
        <w:tc>
          <w:tcPr>
            <w:tcW w:w="4536" w:type="dxa"/>
          </w:tcPr>
          <w:p w14:paraId="22866533" w14:textId="77777777" w:rsidR="006F2387" w:rsidRPr="00D601B2" w:rsidRDefault="006F2387" w:rsidP="003A729C">
            <w:pPr>
              <w:rPr>
                <w:rFonts w:ascii="Times New Roman" w:hAnsi="Times New Roman" w:cs="Times New Roman"/>
                <w:b/>
              </w:rPr>
            </w:pPr>
            <w:r w:rsidRPr="00D601B2">
              <w:rPr>
                <w:rFonts w:ascii="Times New Roman" w:hAnsi="Times New Roman" w:cs="Times New Roman"/>
                <w:b/>
              </w:rPr>
              <w:t>Historical Legacy</w:t>
            </w:r>
          </w:p>
        </w:tc>
        <w:tc>
          <w:tcPr>
            <w:tcW w:w="1474" w:type="dxa"/>
          </w:tcPr>
          <w:p w14:paraId="18E526E7" w14:textId="77777777" w:rsidR="006F2387" w:rsidRPr="00D601B2" w:rsidRDefault="006F2387" w:rsidP="003A729C">
            <w:pPr>
              <w:jc w:val="center"/>
              <w:rPr>
                <w:rFonts w:ascii="Times New Roman" w:hAnsi="Times New Roman" w:cs="Times New Roman"/>
              </w:rPr>
            </w:pPr>
          </w:p>
        </w:tc>
        <w:tc>
          <w:tcPr>
            <w:tcW w:w="1417" w:type="dxa"/>
          </w:tcPr>
          <w:p w14:paraId="2A122970" w14:textId="77777777" w:rsidR="006F2387" w:rsidRPr="00D601B2" w:rsidRDefault="006F2387" w:rsidP="003A729C">
            <w:pPr>
              <w:jc w:val="center"/>
              <w:rPr>
                <w:rFonts w:ascii="Times New Roman" w:hAnsi="Times New Roman" w:cs="Times New Roman"/>
              </w:rPr>
            </w:pPr>
          </w:p>
        </w:tc>
        <w:tc>
          <w:tcPr>
            <w:tcW w:w="1134" w:type="dxa"/>
          </w:tcPr>
          <w:p w14:paraId="15CC6609" w14:textId="77777777" w:rsidR="006F2387" w:rsidRPr="00D601B2" w:rsidRDefault="006F2387" w:rsidP="003A729C">
            <w:pPr>
              <w:jc w:val="center"/>
              <w:rPr>
                <w:rFonts w:ascii="Times New Roman" w:hAnsi="Times New Roman" w:cs="Times New Roman"/>
              </w:rPr>
            </w:pPr>
          </w:p>
        </w:tc>
      </w:tr>
      <w:tr w:rsidR="006F2387" w14:paraId="0ED16F64" w14:textId="77777777" w:rsidTr="00D601B2">
        <w:tc>
          <w:tcPr>
            <w:tcW w:w="4536" w:type="dxa"/>
          </w:tcPr>
          <w:p w14:paraId="273FBBBF"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Legacy February 1974 seats (14)</w:t>
            </w:r>
          </w:p>
        </w:tc>
        <w:tc>
          <w:tcPr>
            <w:tcW w:w="1474" w:type="dxa"/>
          </w:tcPr>
          <w:p w14:paraId="53124E99"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18.3%</w:t>
            </w:r>
          </w:p>
        </w:tc>
        <w:tc>
          <w:tcPr>
            <w:tcW w:w="1417" w:type="dxa"/>
          </w:tcPr>
          <w:p w14:paraId="005E36F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20.8%</w:t>
            </w:r>
          </w:p>
        </w:tc>
        <w:tc>
          <w:tcPr>
            <w:tcW w:w="1134" w:type="dxa"/>
          </w:tcPr>
          <w:p w14:paraId="396FBDC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-1.5%</w:t>
            </w:r>
          </w:p>
        </w:tc>
      </w:tr>
      <w:tr w:rsidR="006F2387" w14:paraId="633FC8E4" w14:textId="77777777" w:rsidTr="00D601B2">
        <w:tc>
          <w:tcPr>
            <w:tcW w:w="4536" w:type="dxa"/>
          </w:tcPr>
          <w:p w14:paraId="13AB123E"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Heartland 1992 seats (18)</w:t>
            </w:r>
          </w:p>
        </w:tc>
        <w:tc>
          <w:tcPr>
            <w:tcW w:w="1474" w:type="dxa"/>
          </w:tcPr>
          <w:p w14:paraId="24E78FD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26.3%</w:t>
            </w:r>
          </w:p>
        </w:tc>
        <w:tc>
          <w:tcPr>
            <w:tcW w:w="1417" w:type="dxa"/>
          </w:tcPr>
          <w:p w14:paraId="62870C17"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29.5%</w:t>
            </w:r>
          </w:p>
        </w:tc>
        <w:tc>
          <w:tcPr>
            <w:tcW w:w="1134" w:type="dxa"/>
          </w:tcPr>
          <w:p w14:paraId="71E7C364"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-3.2%</w:t>
            </w:r>
          </w:p>
        </w:tc>
      </w:tr>
      <w:tr w:rsidR="006F2387" w14:paraId="4B2264B7" w14:textId="77777777" w:rsidTr="00D601B2">
        <w:tc>
          <w:tcPr>
            <w:tcW w:w="4536" w:type="dxa"/>
          </w:tcPr>
          <w:p w14:paraId="210AAC85"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LD Breakthrough 1997 seats (29)</w:t>
            </w:r>
          </w:p>
        </w:tc>
        <w:tc>
          <w:tcPr>
            <w:tcW w:w="1474" w:type="dxa"/>
          </w:tcPr>
          <w:p w14:paraId="31892E0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27.8%</w:t>
            </w:r>
          </w:p>
        </w:tc>
        <w:tc>
          <w:tcPr>
            <w:tcW w:w="1417" w:type="dxa"/>
          </w:tcPr>
          <w:p w14:paraId="76B88A5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25.4%</w:t>
            </w:r>
          </w:p>
        </w:tc>
        <w:tc>
          <w:tcPr>
            <w:tcW w:w="1134" w:type="dxa"/>
          </w:tcPr>
          <w:p w14:paraId="20A09289"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+2.4%</w:t>
            </w:r>
          </w:p>
        </w:tc>
      </w:tr>
    </w:tbl>
    <w:p w14:paraId="6C4227E3" w14:textId="21EDF072" w:rsidR="002E3FD4" w:rsidRDefault="006F2387" w:rsidP="003A729C">
      <w:pPr>
        <w:jc w:val="both"/>
        <w:rPr>
          <w:rFonts w:ascii="Times New Roman" w:hAnsi="Times New Roman" w:cs="Times New Roman"/>
          <w:sz w:val="24"/>
          <w:szCs w:val="24"/>
        </w:rPr>
      </w:pPr>
      <w:r w:rsidRPr="00375952">
        <w:rPr>
          <w:rFonts w:ascii="Times New Roman" w:hAnsi="Times New Roman" w:cs="Times New Roman"/>
          <w:sz w:val="24"/>
          <w:szCs w:val="24"/>
        </w:rPr>
        <w:t xml:space="preserve">*Note: </w:t>
      </w:r>
      <w:r>
        <w:rPr>
          <w:rFonts w:ascii="Times New Roman" w:hAnsi="Times New Roman" w:cs="Times New Roman"/>
          <w:sz w:val="24"/>
          <w:szCs w:val="24"/>
        </w:rPr>
        <w:t>Percentages</w:t>
      </w:r>
      <w:r w:rsidRPr="00375952">
        <w:rPr>
          <w:rFonts w:ascii="Times New Roman" w:hAnsi="Times New Roman" w:cs="Times New Roman"/>
          <w:sz w:val="24"/>
          <w:szCs w:val="24"/>
        </w:rPr>
        <w:t xml:space="preserve"> derived from</w:t>
      </w:r>
      <w:r>
        <w:rPr>
          <w:rFonts w:ascii="Times New Roman" w:hAnsi="Times New Roman" w:cs="Times New Roman"/>
          <w:sz w:val="24"/>
          <w:szCs w:val="24"/>
        </w:rPr>
        <w:t xml:space="preserve"> summing</w:t>
      </w:r>
      <w:r w:rsidRPr="00375952">
        <w:rPr>
          <w:rFonts w:ascii="Times New Roman" w:hAnsi="Times New Roman" w:cs="Times New Roman"/>
          <w:sz w:val="24"/>
          <w:szCs w:val="24"/>
        </w:rPr>
        <w:t xml:space="preserve"> LD votes cast/Total Valid Votes Cast*100. 2017 constituencies excludes the Speaker’s seat (Buckingham) and Brighton Pavilion both where the LDs did not stand a candidate. </w:t>
      </w:r>
      <w:r>
        <w:rPr>
          <w:rFonts w:ascii="Times New Roman" w:hAnsi="Times New Roman" w:cs="Times New Roman"/>
          <w:sz w:val="24"/>
          <w:szCs w:val="24"/>
        </w:rPr>
        <w:t xml:space="preserve">Heartland 1992 seats – Liverpool Mossley Hill and Tweeddale, </w:t>
      </w:r>
      <w:r w:rsidR="00153C5E">
        <w:rPr>
          <w:rFonts w:ascii="Times New Roman" w:hAnsi="Times New Roman" w:cs="Times New Roman"/>
          <w:sz w:val="24"/>
          <w:szCs w:val="24"/>
        </w:rPr>
        <w:t xml:space="preserve">Etttrick </w:t>
      </w:r>
      <w:r>
        <w:rPr>
          <w:rFonts w:ascii="Times New Roman" w:hAnsi="Times New Roman" w:cs="Times New Roman"/>
          <w:sz w:val="24"/>
          <w:szCs w:val="24"/>
        </w:rPr>
        <w:t>&amp; Lauderdale were abolished. Of those LD MPs who stood again – David Ward stood as an Independent in Bradford East and there</w:t>
      </w:r>
      <w:r w:rsidR="00153C5E">
        <w:rPr>
          <w:rFonts w:ascii="Times New Roman" w:hAnsi="Times New Roman" w:cs="Times New Roman"/>
          <w:sz w:val="24"/>
          <w:szCs w:val="24"/>
        </w:rPr>
        <w:t>fore</w:t>
      </w:r>
      <w:r>
        <w:rPr>
          <w:rFonts w:ascii="Times New Roman" w:hAnsi="Times New Roman" w:cs="Times New Roman"/>
          <w:sz w:val="24"/>
          <w:szCs w:val="24"/>
        </w:rPr>
        <w:t xml:space="preserve"> is not counted.</w:t>
      </w:r>
    </w:p>
    <w:p w14:paraId="410122B4" w14:textId="77777777" w:rsidR="002E3FD4" w:rsidRDefault="002E3FD4" w:rsidP="003A729C">
      <w:pPr>
        <w:jc w:val="both"/>
        <w:rPr>
          <w:rFonts w:ascii="Times New Roman" w:hAnsi="Times New Roman" w:cs="Times New Roman"/>
          <w:sz w:val="24"/>
          <w:szCs w:val="24"/>
        </w:rPr>
      </w:pPr>
    </w:p>
    <w:p w14:paraId="7752ADBD" w14:textId="50D6800A" w:rsidR="006F2387" w:rsidRPr="00A32C88" w:rsidRDefault="006F2387" w:rsidP="003A729C">
      <w:pPr>
        <w:jc w:val="both"/>
        <w:rPr>
          <w:rFonts w:ascii="Times New Roman" w:hAnsi="Times New Roman" w:cs="Times New Roman"/>
          <w:b/>
          <w:sz w:val="24"/>
          <w:szCs w:val="24"/>
        </w:rPr>
      </w:pPr>
      <w:r w:rsidRPr="00A32C88">
        <w:rPr>
          <w:rFonts w:ascii="Times New Roman" w:hAnsi="Times New Roman" w:cs="Times New Roman"/>
          <w:b/>
          <w:sz w:val="24"/>
          <w:szCs w:val="24"/>
        </w:rPr>
        <w:t xml:space="preserve">Table </w:t>
      </w:r>
      <w:r w:rsidR="00153C5E">
        <w:rPr>
          <w:rFonts w:ascii="Times New Roman" w:hAnsi="Times New Roman" w:cs="Times New Roman"/>
          <w:b/>
          <w:sz w:val="24"/>
          <w:szCs w:val="24"/>
        </w:rPr>
        <w:t>5.</w:t>
      </w:r>
      <w:r w:rsidRPr="00A32C88">
        <w:rPr>
          <w:rFonts w:ascii="Times New Roman" w:hAnsi="Times New Roman" w:cs="Times New Roman"/>
          <w:b/>
          <w:sz w:val="24"/>
          <w:szCs w:val="24"/>
        </w:rPr>
        <w:t xml:space="preserve">4 </w:t>
      </w:r>
      <w:r w:rsidRPr="00A32C88">
        <w:rPr>
          <w:rFonts w:ascii="Times New Roman" w:eastAsia="Times New Roman" w:hAnsi="Times New Roman" w:cs="Times New Roman"/>
          <w:b/>
          <w:sz w:val="24"/>
          <w:szCs w:val="24"/>
          <w:lang w:eastAsia="en-GB"/>
        </w:rPr>
        <w:t xml:space="preserve">2017 Liberal Democrat Performance in </w:t>
      </w:r>
      <w:r w:rsidR="000A6640">
        <w:rPr>
          <w:rFonts w:ascii="Times New Roman" w:hAnsi="Times New Roman" w:cs="Times New Roman"/>
          <w:b/>
          <w:sz w:val="24"/>
          <w:szCs w:val="24"/>
        </w:rPr>
        <w:t>Remain</w:t>
      </w:r>
      <w:r w:rsidRPr="00A32C88">
        <w:rPr>
          <w:rFonts w:ascii="Times New Roman" w:hAnsi="Times New Roman" w:cs="Times New Roman"/>
          <w:b/>
          <w:sz w:val="24"/>
          <w:szCs w:val="24"/>
        </w:rPr>
        <w:t xml:space="preserve"> and Leave Seats</w:t>
      </w:r>
    </w:p>
    <w:tbl>
      <w:tblPr>
        <w:tblStyle w:val="TableGrid"/>
        <w:tblW w:w="0" w:type="auto"/>
        <w:tblInd w:w="534" w:type="dxa"/>
        <w:tblLayout w:type="fixed"/>
        <w:tblLook w:val="04A0" w:firstRow="1" w:lastRow="0" w:firstColumn="1" w:lastColumn="0" w:noHBand="0" w:noVBand="1"/>
      </w:tblPr>
      <w:tblGrid>
        <w:gridCol w:w="2693"/>
        <w:gridCol w:w="1559"/>
        <w:gridCol w:w="1559"/>
        <w:gridCol w:w="1276"/>
      </w:tblGrid>
      <w:tr w:rsidR="006F2387" w:rsidRPr="00366131" w14:paraId="76719BB0" w14:textId="77777777" w:rsidTr="003A729C">
        <w:tc>
          <w:tcPr>
            <w:tcW w:w="2693" w:type="dxa"/>
          </w:tcPr>
          <w:p w14:paraId="39E02CFD" w14:textId="77777777" w:rsidR="006F2387" w:rsidRPr="00D601B2" w:rsidRDefault="006F2387" w:rsidP="00F542E8">
            <w:pPr>
              <w:spacing w:after="0"/>
              <w:jc w:val="center"/>
              <w:rPr>
                <w:rFonts w:ascii="Times New Roman" w:hAnsi="Times New Roman" w:cs="Times New Roman"/>
                <w:b/>
              </w:rPr>
            </w:pPr>
            <w:r w:rsidRPr="00D601B2">
              <w:rPr>
                <w:rFonts w:ascii="Times New Roman" w:hAnsi="Times New Roman" w:cs="Times New Roman"/>
                <w:b/>
              </w:rPr>
              <w:t>Seats</w:t>
            </w:r>
          </w:p>
        </w:tc>
        <w:tc>
          <w:tcPr>
            <w:tcW w:w="1559" w:type="dxa"/>
          </w:tcPr>
          <w:p w14:paraId="682AAD2A" w14:textId="77777777" w:rsidR="006F2387" w:rsidRPr="00D601B2" w:rsidRDefault="006F2387" w:rsidP="00F542E8">
            <w:pPr>
              <w:spacing w:after="0"/>
              <w:rPr>
                <w:rFonts w:ascii="Times New Roman" w:hAnsi="Times New Roman" w:cs="Times New Roman"/>
                <w:b/>
              </w:rPr>
            </w:pPr>
            <w:r w:rsidRPr="00D601B2">
              <w:rPr>
                <w:rFonts w:ascii="Times New Roman" w:hAnsi="Times New Roman" w:cs="Times New Roman"/>
                <w:b/>
              </w:rPr>
              <w:t xml:space="preserve">2017  % LD </w:t>
            </w:r>
          </w:p>
          <w:p w14:paraId="48421A7F" w14:textId="77777777" w:rsidR="006F2387" w:rsidRPr="00D601B2" w:rsidRDefault="006F2387" w:rsidP="00F542E8">
            <w:pPr>
              <w:spacing w:after="0"/>
              <w:jc w:val="center"/>
              <w:rPr>
                <w:rFonts w:ascii="Times New Roman" w:hAnsi="Times New Roman" w:cs="Times New Roman"/>
                <w:b/>
              </w:rPr>
            </w:pPr>
            <w:r w:rsidRPr="00D601B2">
              <w:rPr>
                <w:rFonts w:ascii="Times New Roman" w:hAnsi="Times New Roman" w:cs="Times New Roman"/>
                <w:b/>
              </w:rPr>
              <w:t>Vote</w:t>
            </w:r>
          </w:p>
        </w:tc>
        <w:tc>
          <w:tcPr>
            <w:tcW w:w="1559" w:type="dxa"/>
          </w:tcPr>
          <w:p w14:paraId="2AFF45BE" w14:textId="77777777" w:rsidR="006F2387" w:rsidRPr="00D601B2" w:rsidRDefault="006F2387" w:rsidP="00F542E8">
            <w:pPr>
              <w:spacing w:after="0"/>
              <w:jc w:val="center"/>
              <w:rPr>
                <w:rFonts w:ascii="Times New Roman" w:hAnsi="Times New Roman" w:cs="Times New Roman"/>
                <w:b/>
              </w:rPr>
            </w:pPr>
            <w:r w:rsidRPr="00D601B2">
              <w:rPr>
                <w:rFonts w:ascii="Times New Roman" w:hAnsi="Times New Roman" w:cs="Times New Roman"/>
                <w:b/>
              </w:rPr>
              <w:t xml:space="preserve">2015 % LD </w:t>
            </w:r>
          </w:p>
          <w:p w14:paraId="1E234811" w14:textId="77777777" w:rsidR="006F2387" w:rsidRPr="00D601B2" w:rsidRDefault="006F2387" w:rsidP="00F542E8">
            <w:pPr>
              <w:spacing w:after="0"/>
              <w:jc w:val="center"/>
              <w:rPr>
                <w:rFonts w:ascii="Times New Roman" w:hAnsi="Times New Roman" w:cs="Times New Roman"/>
                <w:b/>
              </w:rPr>
            </w:pPr>
            <w:r w:rsidRPr="00D601B2">
              <w:rPr>
                <w:rFonts w:ascii="Times New Roman" w:hAnsi="Times New Roman" w:cs="Times New Roman"/>
                <w:b/>
              </w:rPr>
              <w:t>Vote</w:t>
            </w:r>
          </w:p>
        </w:tc>
        <w:tc>
          <w:tcPr>
            <w:tcW w:w="1276" w:type="dxa"/>
          </w:tcPr>
          <w:p w14:paraId="4A9076F0" w14:textId="77777777" w:rsidR="006F2387" w:rsidRPr="00D601B2" w:rsidRDefault="006F2387" w:rsidP="00F542E8">
            <w:pPr>
              <w:spacing w:after="0"/>
              <w:rPr>
                <w:rFonts w:ascii="Times New Roman" w:hAnsi="Times New Roman" w:cs="Times New Roman"/>
                <w:b/>
              </w:rPr>
            </w:pPr>
            <w:r w:rsidRPr="00D601B2">
              <w:rPr>
                <w:rFonts w:ascii="Times New Roman" w:hAnsi="Times New Roman" w:cs="Times New Roman"/>
                <w:b/>
              </w:rPr>
              <w:t xml:space="preserve">  Change</w:t>
            </w:r>
          </w:p>
          <w:p w14:paraId="232FA8F6" w14:textId="77777777" w:rsidR="006F2387" w:rsidRPr="00D601B2" w:rsidRDefault="006F2387" w:rsidP="00F542E8">
            <w:pPr>
              <w:spacing w:after="0"/>
              <w:jc w:val="center"/>
              <w:rPr>
                <w:rFonts w:ascii="Times New Roman" w:hAnsi="Times New Roman" w:cs="Times New Roman"/>
                <w:b/>
              </w:rPr>
            </w:pPr>
            <w:r w:rsidRPr="00D601B2">
              <w:rPr>
                <w:rFonts w:ascii="Times New Roman" w:hAnsi="Times New Roman" w:cs="Times New Roman"/>
                <w:b/>
              </w:rPr>
              <w:t>+/- 15-17</w:t>
            </w:r>
          </w:p>
        </w:tc>
      </w:tr>
      <w:tr w:rsidR="006F2387" w14:paraId="59096D75" w14:textId="77777777" w:rsidTr="003A729C">
        <w:tc>
          <w:tcPr>
            <w:tcW w:w="2693" w:type="dxa"/>
          </w:tcPr>
          <w:p w14:paraId="7F6EA339" w14:textId="4FFAF246" w:rsidR="006F2387" w:rsidRPr="00D601B2" w:rsidRDefault="000A6640" w:rsidP="003A729C">
            <w:pPr>
              <w:rPr>
                <w:rFonts w:ascii="Times New Roman" w:hAnsi="Times New Roman" w:cs="Times New Roman"/>
                <w:b/>
              </w:rPr>
            </w:pPr>
            <w:r w:rsidRPr="00D601B2">
              <w:rPr>
                <w:rFonts w:ascii="Times New Roman" w:hAnsi="Times New Roman" w:cs="Times New Roman"/>
                <w:b/>
              </w:rPr>
              <w:t>Remain</w:t>
            </w:r>
            <w:r w:rsidR="006F2387" w:rsidRPr="00D601B2">
              <w:rPr>
                <w:rFonts w:ascii="Times New Roman" w:hAnsi="Times New Roman" w:cs="Times New Roman"/>
                <w:b/>
              </w:rPr>
              <w:t>/Leave</w:t>
            </w:r>
          </w:p>
        </w:tc>
        <w:tc>
          <w:tcPr>
            <w:tcW w:w="1559" w:type="dxa"/>
          </w:tcPr>
          <w:p w14:paraId="5278BE50" w14:textId="77777777" w:rsidR="006F2387" w:rsidRPr="00D601B2" w:rsidRDefault="006F2387" w:rsidP="003A729C">
            <w:pPr>
              <w:jc w:val="center"/>
              <w:rPr>
                <w:rFonts w:ascii="Times New Roman" w:hAnsi="Times New Roman" w:cs="Times New Roman"/>
              </w:rPr>
            </w:pPr>
          </w:p>
        </w:tc>
        <w:tc>
          <w:tcPr>
            <w:tcW w:w="1559" w:type="dxa"/>
          </w:tcPr>
          <w:p w14:paraId="7D29DF98" w14:textId="77777777" w:rsidR="006F2387" w:rsidRPr="00D601B2" w:rsidRDefault="006F2387" w:rsidP="003A729C">
            <w:pPr>
              <w:jc w:val="center"/>
              <w:rPr>
                <w:rFonts w:ascii="Times New Roman" w:hAnsi="Times New Roman" w:cs="Times New Roman"/>
              </w:rPr>
            </w:pPr>
          </w:p>
        </w:tc>
        <w:tc>
          <w:tcPr>
            <w:tcW w:w="1276" w:type="dxa"/>
          </w:tcPr>
          <w:p w14:paraId="4A73D6EF" w14:textId="77777777" w:rsidR="006F2387" w:rsidRPr="00D601B2" w:rsidRDefault="006F2387" w:rsidP="003A729C">
            <w:pPr>
              <w:jc w:val="center"/>
              <w:rPr>
                <w:rFonts w:ascii="Times New Roman" w:hAnsi="Times New Roman" w:cs="Times New Roman"/>
              </w:rPr>
            </w:pPr>
          </w:p>
        </w:tc>
      </w:tr>
      <w:tr w:rsidR="006F2387" w14:paraId="1B0B6C7A" w14:textId="77777777" w:rsidTr="003A729C">
        <w:tc>
          <w:tcPr>
            <w:tcW w:w="2693" w:type="dxa"/>
          </w:tcPr>
          <w:p w14:paraId="59B90B27"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All Leave Seats (393)</w:t>
            </w:r>
          </w:p>
        </w:tc>
        <w:tc>
          <w:tcPr>
            <w:tcW w:w="1559" w:type="dxa"/>
          </w:tcPr>
          <w:p w14:paraId="2AEDB55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6.0%</w:t>
            </w:r>
          </w:p>
        </w:tc>
        <w:tc>
          <w:tcPr>
            <w:tcW w:w="1559" w:type="dxa"/>
          </w:tcPr>
          <w:p w14:paraId="7C5323E5"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7.0%</w:t>
            </w:r>
          </w:p>
        </w:tc>
        <w:tc>
          <w:tcPr>
            <w:tcW w:w="1276" w:type="dxa"/>
          </w:tcPr>
          <w:p w14:paraId="1C94FF1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-1.0%</w:t>
            </w:r>
          </w:p>
        </w:tc>
      </w:tr>
      <w:tr w:rsidR="006F2387" w14:paraId="100519F1" w14:textId="77777777" w:rsidTr="003A729C">
        <w:tc>
          <w:tcPr>
            <w:tcW w:w="2693" w:type="dxa"/>
          </w:tcPr>
          <w:p w14:paraId="204D4A9B" w14:textId="692D3DD2" w:rsidR="006F2387" w:rsidRPr="00D601B2" w:rsidRDefault="006F2387" w:rsidP="003A729C">
            <w:pPr>
              <w:rPr>
                <w:rFonts w:ascii="Times New Roman" w:hAnsi="Times New Roman" w:cs="Times New Roman"/>
              </w:rPr>
            </w:pPr>
            <w:r w:rsidRPr="00D601B2">
              <w:rPr>
                <w:rFonts w:ascii="Times New Roman" w:hAnsi="Times New Roman" w:cs="Times New Roman"/>
              </w:rPr>
              <w:t xml:space="preserve">All </w:t>
            </w:r>
            <w:r w:rsidR="000A6640" w:rsidRPr="00D601B2">
              <w:rPr>
                <w:rFonts w:ascii="Times New Roman" w:hAnsi="Times New Roman" w:cs="Times New Roman"/>
              </w:rPr>
              <w:t>Remain</w:t>
            </w:r>
            <w:r w:rsidRPr="00D601B2">
              <w:rPr>
                <w:rFonts w:ascii="Times New Roman" w:hAnsi="Times New Roman" w:cs="Times New Roman"/>
              </w:rPr>
              <w:t xml:space="preserve"> Seats (237)</w:t>
            </w:r>
          </w:p>
        </w:tc>
        <w:tc>
          <w:tcPr>
            <w:tcW w:w="1559" w:type="dxa"/>
          </w:tcPr>
          <w:p w14:paraId="5033DE5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10.0%</w:t>
            </w:r>
          </w:p>
        </w:tc>
        <w:tc>
          <w:tcPr>
            <w:tcW w:w="1559" w:type="dxa"/>
          </w:tcPr>
          <w:p w14:paraId="70E4CA99"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9.8%</w:t>
            </w:r>
          </w:p>
        </w:tc>
        <w:tc>
          <w:tcPr>
            <w:tcW w:w="1276" w:type="dxa"/>
          </w:tcPr>
          <w:p w14:paraId="143D557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+0.2%</w:t>
            </w:r>
          </w:p>
        </w:tc>
      </w:tr>
      <w:tr w:rsidR="006F2387" w14:paraId="689F7185" w14:textId="77777777" w:rsidTr="003A729C">
        <w:tc>
          <w:tcPr>
            <w:tcW w:w="2693" w:type="dxa"/>
          </w:tcPr>
          <w:p w14:paraId="2EC0E641" w14:textId="77777777" w:rsidR="006F2387" w:rsidRPr="00D601B2" w:rsidRDefault="006F2387" w:rsidP="003A729C">
            <w:pPr>
              <w:rPr>
                <w:rFonts w:ascii="Times New Roman" w:hAnsi="Times New Roman" w:cs="Times New Roman"/>
                <w:b/>
              </w:rPr>
            </w:pPr>
            <w:r w:rsidRPr="00D601B2">
              <w:rPr>
                <w:rFonts w:ascii="Times New Roman" w:hAnsi="Times New Roman" w:cs="Times New Roman"/>
                <w:b/>
              </w:rPr>
              <w:t>Leave</w:t>
            </w:r>
          </w:p>
        </w:tc>
        <w:tc>
          <w:tcPr>
            <w:tcW w:w="1559" w:type="dxa"/>
          </w:tcPr>
          <w:p w14:paraId="394E0BD4" w14:textId="77777777" w:rsidR="006F2387" w:rsidRPr="00D601B2" w:rsidRDefault="006F2387" w:rsidP="003A729C">
            <w:pPr>
              <w:jc w:val="center"/>
              <w:rPr>
                <w:rFonts w:ascii="Times New Roman" w:hAnsi="Times New Roman" w:cs="Times New Roman"/>
              </w:rPr>
            </w:pPr>
          </w:p>
        </w:tc>
        <w:tc>
          <w:tcPr>
            <w:tcW w:w="1559" w:type="dxa"/>
          </w:tcPr>
          <w:p w14:paraId="0228910C" w14:textId="77777777" w:rsidR="006F2387" w:rsidRPr="00D601B2" w:rsidRDefault="006F2387" w:rsidP="003A729C">
            <w:pPr>
              <w:jc w:val="center"/>
              <w:rPr>
                <w:rFonts w:ascii="Times New Roman" w:hAnsi="Times New Roman" w:cs="Times New Roman"/>
              </w:rPr>
            </w:pPr>
          </w:p>
        </w:tc>
        <w:tc>
          <w:tcPr>
            <w:tcW w:w="1276" w:type="dxa"/>
          </w:tcPr>
          <w:p w14:paraId="69512258" w14:textId="77777777" w:rsidR="006F2387" w:rsidRPr="00D601B2" w:rsidRDefault="006F2387" w:rsidP="003A729C">
            <w:pPr>
              <w:jc w:val="center"/>
              <w:rPr>
                <w:rFonts w:ascii="Times New Roman" w:hAnsi="Times New Roman" w:cs="Times New Roman"/>
              </w:rPr>
            </w:pPr>
          </w:p>
        </w:tc>
      </w:tr>
      <w:tr w:rsidR="006F2387" w14:paraId="5FE590CE" w14:textId="77777777" w:rsidTr="003A729C">
        <w:tc>
          <w:tcPr>
            <w:tcW w:w="2693" w:type="dxa"/>
          </w:tcPr>
          <w:p w14:paraId="47D2ED35" w14:textId="3F39AE90" w:rsidR="006F2387" w:rsidRPr="00D601B2" w:rsidRDefault="006F2387" w:rsidP="003A729C">
            <w:pPr>
              <w:rPr>
                <w:rFonts w:ascii="Times New Roman" w:hAnsi="Times New Roman" w:cs="Times New Roman"/>
              </w:rPr>
            </w:pPr>
            <w:r w:rsidRPr="00D601B2">
              <w:rPr>
                <w:rFonts w:ascii="Times New Roman" w:hAnsi="Times New Roman" w:cs="Times New Roman"/>
              </w:rPr>
              <w:t>‘Soft Brexit’ Seats 50</w:t>
            </w:r>
            <w:r w:rsidR="002E3FD4" w:rsidRPr="00D601B2">
              <w:rPr>
                <w:rFonts w:ascii="Times New Roman" w:hAnsi="Times New Roman" w:cs="Times New Roman"/>
              </w:rPr>
              <w:t>.1</w:t>
            </w:r>
            <w:r w:rsidRPr="00D601B2">
              <w:rPr>
                <w:rFonts w:ascii="Times New Roman" w:hAnsi="Times New Roman" w:cs="Times New Roman"/>
              </w:rPr>
              <w:t>-59.9% (240)</w:t>
            </w:r>
          </w:p>
        </w:tc>
        <w:tc>
          <w:tcPr>
            <w:tcW w:w="1559" w:type="dxa"/>
          </w:tcPr>
          <w:p w14:paraId="01E2E7B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7.3%</w:t>
            </w:r>
          </w:p>
        </w:tc>
        <w:tc>
          <w:tcPr>
            <w:tcW w:w="1559" w:type="dxa"/>
          </w:tcPr>
          <w:p w14:paraId="78DF382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8.1%</w:t>
            </w:r>
          </w:p>
        </w:tc>
        <w:tc>
          <w:tcPr>
            <w:tcW w:w="1276" w:type="dxa"/>
          </w:tcPr>
          <w:p w14:paraId="267B3679"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-0.8%</w:t>
            </w:r>
          </w:p>
        </w:tc>
      </w:tr>
      <w:tr w:rsidR="006F2387" w14:paraId="2695CA18" w14:textId="77777777" w:rsidTr="003A729C">
        <w:tc>
          <w:tcPr>
            <w:tcW w:w="2693" w:type="dxa"/>
          </w:tcPr>
          <w:p w14:paraId="04F1084E"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‘Hard Brexit’ Seats 60% plus (153)</w:t>
            </w:r>
          </w:p>
        </w:tc>
        <w:tc>
          <w:tcPr>
            <w:tcW w:w="1559" w:type="dxa"/>
          </w:tcPr>
          <w:p w14:paraId="2DD8472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4.0%</w:t>
            </w:r>
          </w:p>
        </w:tc>
        <w:tc>
          <w:tcPr>
            <w:tcW w:w="1559" w:type="dxa"/>
          </w:tcPr>
          <w:p w14:paraId="5D2F0440"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5.1%</w:t>
            </w:r>
          </w:p>
        </w:tc>
        <w:tc>
          <w:tcPr>
            <w:tcW w:w="1276" w:type="dxa"/>
          </w:tcPr>
          <w:p w14:paraId="6FC2FDF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-1.1%</w:t>
            </w:r>
          </w:p>
        </w:tc>
      </w:tr>
      <w:tr w:rsidR="006F2387" w14:paraId="751ED961" w14:textId="77777777" w:rsidTr="003A729C">
        <w:tc>
          <w:tcPr>
            <w:tcW w:w="2693" w:type="dxa"/>
          </w:tcPr>
          <w:p w14:paraId="5B76BAC8" w14:textId="07A98BB1" w:rsidR="006F2387" w:rsidRPr="00D601B2" w:rsidRDefault="000A6640" w:rsidP="003A729C">
            <w:pPr>
              <w:rPr>
                <w:rFonts w:ascii="Times New Roman" w:hAnsi="Times New Roman" w:cs="Times New Roman"/>
                <w:b/>
              </w:rPr>
            </w:pPr>
            <w:r w:rsidRPr="00D601B2">
              <w:rPr>
                <w:rFonts w:ascii="Times New Roman" w:hAnsi="Times New Roman" w:cs="Times New Roman"/>
                <w:b/>
              </w:rPr>
              <w:t>Remain</w:t>
            </w:r>
          </w:p>
        </w:tc>
        <w:tc>
          <w:tcPr>
            <w:tcW w:w="1559" w:type="dxa"/>
          </w:tcPr>
          <w:p w14:paraId="74E8701B" w14:textId="77777777" w:rsidR="006F2387" w:rsidRPr="00D601B2" w:rsidRDefault="006F2387" w:rsidP="003A729C">
            <w:pPr>
              <w:jc w:val="center"/>
              <w:rPr>
                <w:rFonts w:ascii="Times New Roman" w:hAnsi="Times New Roman" w:cs="Times New Roman"/>
              </w:rPr>
            </w:pPr>
          </w:p>
        </w:tc>
        <w:tc>
          <w:tcPr>
            <w:tcW w:w="1559" w:type="dxa"/>
          </w:tcPr>
          <w:p w14:paraId="1421B9C4" w14:textId="77777777" w:rsidR="006F2387" w:rsidRPr="00D601B2" w:rsidRDefault="006F2387" w:rsidP="003A729C">
            <w:pPr>
              <w:jc w:val="center"/>
              <w:rPr>
                <w:rFonts w:ascii="Times New Roman" w:hAnsi="Times New Roman" w:cs="Times New Roman"/>
              </w:rPr>
            </w:pPr>
          </w:p>
        </w:tc>
        <w:tc>
          <w:tcPr>
            <w:tcW w:w="1276" w:type="dxa"/>
          </w:tcPr>
          <w:p w14:paraId="6CE054B7" w14:textId="77777777" w:rsidR="006F2387" w:rsidRPr="00D601B2" w:rsidRDefault="006F2387" w:rsidP="003A729C">
            <w:pPr>
              <w:jc w:val="center"/>
              <w:rPr>
                <w:rFonts w:ascii="Times New Roman" w:hAnsi="Times New Roman" w:cs="Times New Roman"/>
              </w:rPr>
            </w:pPr>
          </w:p>
        </w:tc>
      </w:tr>
      <w:tr w:rsidR="006F2387" w14:paraId="18C45352" w14:textId="77777777" w:rsidTr="003A729C">
        <w:tc>
          <w:tcPr>
            <w:tcW w:w="2693" w:type="dxa"/>
          </w:tcPr>
          <w:p w14:paraId="3B864378" w14:textId="0E60B615" w:rsidR="006F2387" w:rsidRPr="00D601B2" w:rsidRDefault="006F2387" w:rsidP="003A729C">
            <w:pPr>
              <w:rPr>
                <w:rFonts w:ascii="Times New Roman" w:hAnsi="Times New Roman" w:cs="Times New Roman"/>
              </w:rPr>
            </w:pPr>
            <w:r w:rsidRPr="00D601B2">
              <w:rPr>
                <w:rFonts w:ascii="Times New Roman" w:hAnsi="Times New Roman" w:cs="Times New Roman"/>
              </w:rPr>
              <w:t xml:space="preserve">‘Soft </w:t>
            </w:r>
            <w:r w:rsidR="000A6640" w:rsidRPr="00D601B2">
              <w:rPr>
                <w:rFonts w:ascii="Times New Roman" w:hAnsi="Times New Roman" w:cs="Times New Roman"/>
              </w:rPr>
              <w:t>Remain</w:t>
            </w:r>
            <w:r w:rsidRPr="00D601B2">
              <w:rPr>
                <w:rFonts w:ascii="Times New Roman" w:hAnsi="Times New Roman" w:cs="Times New Roman"/>
              </w:rPr>
              <w:t>’ Seats 50</w:t>
            </w:r>
            <w:r w:rsidR="002E3FD4" w:rsidRPr="00D601B2">
              <w:rPr>
                <w:rFonts w:ascii="Times New Roman" w:hAnsi="Times New Roman" w:cs="Times New Roman"/>
              </w:rPr>
              <w:t>.1</w:t>
            </w:r>
            <w:r w:rsidRPr="00D601B2">
              <w:rPr>
                <w:rFonts w:ascii="Times New Roman" w:hAnsi="Times New Roman" w:cs="Times New Roman"/>
              </w:rPr>
              <w:t>-59.9% (150)</w:t>
            </w:r>
          </w:p>
        </w:tc>
        <w:tc>
          <w:tcPr>
            <w:tcW w:w="1559" w:type="dxa"/>
          </w:tcPr>
          <w:p w14:paraId="28D7155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9.8%</w:t>
            </w:r>
          </w:p>
        </w:tc>
        <w:tc>
          <w:tcPr>
            <w:tcW w:w="1559" w:type="dxa"/>
          </w:tcPr>
          <w:p w14:paraId="5E5B17D4"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9.9%</w:t>
            </w:r>
          </w:p>
        </w:tc>
        <w:tc>
          <w:tcPr>
            <w:tcW w:w="1276" w:type="dxa"/>
          </w:tcPr>
          <w:p w14:paraId="67ADFCB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-0.1%</w:t>
            </w:r>
          </w:p>
        </w:tc>
      </w:tr>
      <w:tr w:rsidR="006F2387" w14:paraId="3EB0C473" w14:textId="77777777" w:rsidTr="003A729C">
        <w:tc>
          <w:tcPr>
            <w:tcW w:w="2693" w:type="dxa"/>
          </w:tcPr>
          <w:p w14:paraId="3EBD20AB" w14:textId="2F36009F" w:rsidR="006F2387" w:rsidRPr="00D601B2" w:rsidRDefault="006F2387" w:rsidP="003A729C">
            <w:pPr>
              <w:rPr>
                <w:rFonts w:ascii="Times New Roman" w:hAnsi="Times New Roman" w:cs="Times New Roman"/>
              </w:rPr>
            </w:pPr>
            <w:r w:rsidRPr="00D601B2">
              <w:rPr>
                <w:rFonts w:ascii="Times New Roman" w:hAnsi="Times New Roman" w:cs="Times New Roman"/>
              </w:rPr>
              <w:t xml:space="preserve">‘Hard </w:t>
            </w:r>
            <w:r w:rsidR="000A6640" w:rsidRPr="00D601B2">
              <w:rPr>
                <w:rFonts w:ascii="Times New Roman" w:hAnsi="Times New Roman" w:cs="Times New Roman"/>
              </w:rPr>
              <w:t>Remain</w:t>
            </w:r>
            <w:r w:rsidRPr="00D601B2">
              <w:rPr>
                <w:rFonts w:ascii="Times New Roman" w:hAnsi="Times New Roman" w:cs="Times New Roman"/>
              </w:rPr>
              <w:t>’ Seats 60% plus (87)</w:t>
            </w:r>
          </w:p>
        </w:tc>
        <w:tc>
          <w:tcPr>
            <w:tcW w:w="1559" w:type="dxa"/>
          </w:tcPr>
          <w:p w14:paraId="789B1C94"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10.4%</w:t>
            </w:r>
          </w:p>
        </w:tc>
        <w:tc>
          <w:tcPr>
            <w:tcW w:w="1559" w:type="dxa"/>
          </w:tcPr>
          <w:p w14:paraId="71A45F8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9.7%</w:t>
            </w:r>
          </w:p>
        </w:tc>
        <w:tc>
          <w:tcPr>
            <w:tcW w:w="1276" w:type="dxa"/>
          </w:tcPr>
          <w:p w14:paraId="49F10745"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+0.7%</w:t>
            </w:r>
          </w:p>
        </w:tc>
      </w:tr>
    </w:tbl>
    <w:p w14:paraId="1E6D3636" w14:textId="77777777" w:rsidR="006F2387" w:rsidRDefault="006F2387" w:rsidP="003A729C">
      <w:pPr>
        <w:jc w:val="both"/>
        <w:rPr>
          <w:rFonts w:ascii="Times New Roman" w:hAnsi="Times New Roman" w:cs="Times New Roman"/>
          <w:sz w:val="24"/>
          <w:szCs w:val="24"/>
        </w:rPr>
      </w:pPr>
      <w:r>
        <w:rPr>
          <w:rFonts w:ascii="Times New Roman" w:hAnsi="Times New Roman" w:cs="Times New Roman"/>
          <w:sz w:val="24"/>
          <w:szCs w:val="24"/>
        </w:rPr>
        <w:t xml:space="preserve">*Note: 630 seats. We exclude Buckingham and Brighton Pavilion. </w:t>
      </w:r>
    </w:p>
    <w:p w14:paraId="5EC58590" w14:textId="77777777" w:rsidR="006F2387" w:rsidRDefault="006F2387" w:rsidP="003A729C">
      <w:pPr>
        <w:jc w:val="both"/>
        <w:rPr>
          <w:rFonts w:ascii="Times New Roman" w:hAnsi="Times New Roman" w:cs="Times New Roman"/>
          <w:sz w:val="24"/>
          <w:szCs w:val="24"/>
        </w:rPr>
      </w:pPr>
    </w:p>
    <w:p w14:paraId="6E450930" w14:textId="77777777" w:rsidR="00B40E09" w:rsidRDefault="00B40E09" w:rsidP="003A729C">
      <w:pPr>
        <w:jc w:val="both"/>
        <w:rPr>
          <w:rFonts w:ascii="Times New Roman" w:hAnsi="Times New Roman" w:cs="Times New Roman"/>
          <w:sz w:val="24"/>
          <w:szCs w:val="24"/>
        </w:rPr>
      </w:pPr>
    </w:p>
    <w:p w14:paraId="697E5825" w14:textId="77777777" w:rsidR="00B40E09" w:rsidRDefault="00B40E09" w:rsidP="003A729C">
      <w:pPr>
        <w:jc w:val="both"/>
        <w:rPr>
          <w:rFonts w:ascii="Times New Roman" w:hAnsi="Times New Roman" w:cs="Times New Roman"/>
          <w:sz w:val="24"/>
          <w:szCs w:val="24"/>
        </w:rPr>
      </w:pPr>
    </w:p>
    <w:p w14:paraId="2F086EF7" w14:textId="77777777" w:rsidR="00B40E09" w:rsidRDefault="00B40E09" w:rsidP="003A729C">
      <w:pPr>
        <w:jc w:val="both"/>
        <w:rPr>
          <w:rFonts w:ascii="Times New Roman" w:hAnsi="Times New Roman" w:cs="Times New Roman"/>
          <w:sz w:val="24"/>
          <w:szCs w:val="24"/>
        </w:rPr>
      </w:pPr>
    </w:p>
    <w:p w14:paraId="7195C64E" w14:textId="77777777" w:rsidR="00B40E09" w:rsidRDefault="00B40E09" w:rsidP="003A729C">
      <w:pPr>
        <w:jc w:val="both"/>
        <w:rPr>
          <w:rFonts w:ascii="Times New Roman" w:hAnsi="Times New Roman" w:cs="Times New Roman"/>
          <w:sz w:val="24"/>
          <w:szCs w:val="24"/>
        </w:rPr>
      </w:pPr>
    </w:p>
    <w:p w14:paraId="19E5909B" w14:textId="77777777" w:rsidR="00B40E09" w:rsidRDefault="00B40E09" w:rsidP="003A729C">
      <w:pPr>
        <w:jc w:val="both"/>
        <w:rPr>
          <w:rFonts w:ascii="Times New Roman" w:hAnsi="Times New Roman" w:cs="Times New Roman"/>
          <w:sz w:val="24"/>
          <w:szCs w:val="24"/>
        </w:rPr>
      </w:pPr>
    </w:p>
    <w:p w14:paraId="4048E764" w14:textId="77777777" w:rsidR="00D601B2" w:rsidRDefault="00D601B2" w:rsidP="003A729C">
      <w:pPr>
        <w:jc w:val="both"/>
        <w:rPr>
          <w:rFonts w:ascii="Times New Roman" w:hAnsi="Times New Roman" w:cs="Times New Roman"/>
          <w:sz w:val="24"/>
          <w:szCs w:val="24"/>
        </w:rPr>
      </w:pPr>
    </w:p>
    <w:p w14:paraId="47E1CA88" w14:textId="77777777" w:rsidR="00D601B2" w:rsidRDefault="00D601B2" w:rsidP="003A729C">
      <w:pPr>
        <w:jc w:val="both"/>
        <w:rPr>
          <w:rFonts w:ascii="Times New Roman" w:hAnsi="Times New Roman" w:cs="Times New Roman"/>
          <w:sz w:val="24"/>
          <w:szCs w:val="24"/>
        </w:rPr>
      </w:pPr>
    </w:p>
    <w:p w14:paraId="7BAC0824" w14:textId="77777777" w:rsidR="00F542E8" w:rsidRDefault="00F542E8" w:rsidP="003A729C">
      <w:pPr>
        <w:jc w:val="both"/>
        <w:rPr>
          <w:rFonts w:ascii="Times New Roman" w:hAnsi="Times New Roman" w:cs="Times New Roman"/>
          <w:sz w:val="24"/>
          <w:szCs w:val="24"/>
        </w:rPr>
      </w:pPr>
    </w:p>
    <w:p w14:paraId="11C137DB" w14:textId="77777777" w:rsidR="00F542E8" w:rsidRDefault="00F542E8" w:rsidP="003A729C">
      <w:pPr>
        <w:jc w:val="both"/>
        <w:rPr>
          <w:rFonts w:ascii="Times New Roman" w:hAnsi="Times New Roman" w:cs="Times New Roman"/>
          <w:sz w:val="24"/>
          <w:szCs w:val="24"/>
        </w:rPr>
      </w:pPr>
    </w:p>
    <w:p w14:paraId="3C8879E4" w14:textId="77777777" w:rsidR="00F542E8" w:rsidRDefault="00F542E8" w:rsidP="003A729C">
      <w:pPr>
        <w:jc w:val="both"/>
        <w:rPr>
          <w:rFonts w:ascii="Times New Roman" w:hAnsi="Times New Roman" w:cs="Times New Roman"/>
          <w:sz w:val="24"/>
          <w:szCs w:val="24"/>
        </w:rPr>
      </w:pPr>
    </w:p>
    <w:p w14:paraId="5AB8F58B" w14:textId="77777777" w:rsidR="00F542E8" w:rsidRDefault="00F542E8" w:rsidP="003A729C">
      <w:pPr>
        <w:jc w:val="both"/>
        <w:rPr>
          <w:rFonts w:ascii="Times New Roman" w:hAnsi="Times New Roman" w:cs="Times New Roman"/>
          <w:sz w:val="24"/>
          <w:szCs w:val="24"/>
        </w:rPr>
      </w:pPr>
    </w:p>
    <w:p w14:paraId="04B0CDE9" w14:textId="77777777" w:rsidR="00F542E8" w:rsidRDefault="00F542E8" w:rsidP="003A729C">
      <w:pPr>
        <w:jc w:val="both"/>
        <w:rPr>
          <w:rFonts w:ascii="Times New Roman" w:hAnsi="Times New Roman" w:cs="Times New Roman"/>
          <w:sz w:val="24"/>
          <w:szCs w:val="24"/>
        </w:rPr>
      </w:pPr>
    </w:p>
    <w:p w14:paraId="5AA1DE3F" w14:textId="7D64F0E0" w:rsidR="006F2387" w:rsidRPr="00AA7C71" w:rsidRDefault="006F2387" w:rsidP="003A729C">
      <w:pPr>
        <w:jc w:val="both"/>
        <w:rPr>
          <w:rFonts w:ascii="Times New Roman" w:hAnsi="Times New Roman" w:cs="Times New Roman"/>
          <w:b/>
          <w:sz w:val="24"/>
          <w:szCs w:val="24"/>
        </w:rPr>
      </w:pPr>
      <w:r w:rsidRPr="00AA7C71">
        <w:rPr>
          <w:rFonts w:ascii="Times New Roman" w:hAnsi="Times New Roman" w:cs="Times New Roman"/>
          <w:b/>
          <w:sz w:val="24"/>
          <w:szCs w:val="24"/>
        </w:rPr>
        <w:t xml:space="preserve">Table </w:t>
      </w:r>
      <w:r w:rsidR="00153C5E">
        <w:rPr>
          <w:rFonts w:ascii="Times New Roman" w:hAnsi="Times New Roman" w:cs="Times New Roman"/>
          <w:b/>
          <w:sz w:val="24"/>
          <w:szCs w:val="24"/>
        </w:rPr>
        <w:t>5.</w:t>
      </w:r>
      <w:r w:rsidRPr="00AA7C71">
        <w:rPr>
          <w:rFonts w:ascii="Times New Roman" w:hAnsi="Times New Roman" w:cs="Times New Roman"/>
          <w:b/>
          <w:sz w:val="24"/>
          <w:szCs w:val="24"/>
        </w:rPr>
        <w:t>5 Best Party on Issues: YouGov Tracking Poll June 5-7 2017</w:t>
      </w:r>
    </w:p>
    <w:tbl>
      <w:tblPr>
        <w:tblStyle w:val="TableGrid"/>
        <w:tblW w:w="0" w:type="auto"/>
        <w:tblInd w:w="-318" w:type="dxa"/>
        <w:tblLayout w:type="fixed"/>
        <w:tblLook w:val="04A0" w:firstRow="1" w:lastRow="0" w:firstColumn="1" w:lastColumn="0" w:noHBand="0" w:noVBand="1"/>
      </w:tblPr>
      <w:tblGrid>
        <w:gridCol w:w="1844"/>
        <w:gridCol w:w="1701"/>
        <w:gridCol w:w="992"/>
        <w:gridCol w:w="1276"/>
        <w:gridCol w:w="992"/>
        <w:gridCol w:w="992"/>
        <w:gridCol w:w="992"/>
      </w:tblGrid>
      <w:tr w:rsidR="006F2387" w:rsidRPr="00366131" w14:paraId="13346A0E" w14:textId="77777777" w:rsidTr="003A729C">
        <w:tc>
          <w:tcPr>
            <w:tcW w:w="1844" w:type="dxa"/>
          </w:tcPr>
          <w:p w14:paraId="0ED7F72C" w14:textId="77777777" w:rsidR="006F2387" w:rsidRPr="00D601B2" w:rsidRDefault="006F2387" w:rsidP="003A729C">
            <w:pPr>
              <w:jc w:val="center"/>
              <w:rPr>
                <w:rFonts w:ascii="Times New Roman" w:hAnsi="Times New Roman" w:cs="Times New Roman"/>
                <w:b/>
              </w:rPr>
            </w:pPr>
            <w:r w:rsidRPr="00D601B2">
              <w:rPr>
                <w:rFonts w:ascii="Times New Roman" w:hAnsi="Times New Roman" w:cs="Times New Roman"/>
                <w:b/>
              </w:rPr>
              <w:t>Issue</w:t>
            </w:r>
          </w:p>
        </w:tc>
        <w:tc>
          <w:tcPr>
            <w:tcW w:w="1701" w:type="dxa"/>
          </w:tcPr>
          <w:p w14:paraId="0E321620" w14:textId="77777777" w:rsidR="006F2387" w:rsidRPr="00D601B2" w:rsidRDefault="006F2387" w:rsidP="003A729C">
            <w:pPr>
              <w:jc w:val="center"/>
              <w:rPr>
                <w:rFonts w:ascii="Times New Roman" w:hAnsi="Times New Roman" w:cs="Times New Roman"/>
                <w:b/>
              </w:rPr>
            </w:pPr>
            <w:r w:rsidRPr="00D601B2">
              <w:rPr>
                <w:rFonts w:ascii="Times New Roman" w:hAnsi="Times New Roman" w:cs="Times New Roman"/>
                <w:b/>
              </w:rPr>
              <w:t>Conservatives</w:t>
            </w:r>
          </w:p>
        </w:tc>
        <w:tc>
          <w:tcPr>
            <w:tcW w:w="992" w:type="dxa"/>
          </w:tcPr>
          <w:p w14:paraId="32877383" w14:textId="77777777" w:rsidR="006F2387" w:rsidRPr="00D601B2" w:rsidRDefault="006F2387" w:rsidP="003A729C">
            <w:pPr>
              <w:jc w:val="center"/>
              <w:rPr>
                <w:rFonts w:ascii="Times New Roman" w:hAnsi="Times New Roman" w:cs="Times New Roman"/>
                <w:b/>
              </w:rPr>
            </w:pPr>
            <w:r w:rsidRPr="00D601B2">
              <w:rPr>
                <w:rFonts w:ascii="Times New Roman" w:hAnsi="Times New Roman" w:cs="Times New Roman"/>
                <w:b/>
              </w:rPr>
              <w:t>Labour</w:t>
            </w:r>
          </w:p>
        </w:tc>
        <w:tc>
          <w:tcPr>
            <w:tcW w:w="1276" w:type="dxa"/>
          </w:tcPr>
          <w:p w14:paraId="116730AD" w14:textId="77777777" w:rsidR="006F2387" w:rsidRPr="00D601B2" w:rsidRDefault="006F2387" w:rsidP="003A729C">
            <w:pPr>
              <w:jc w:val="center"/>
              <w:rPr>
                <w:rFonts w:ascii="Times New Roman" w:hAnsi="Times New Roman" w:cs="Times New Roman"/>
                <w:b/>
              </w:rPr>
            </w:pPr>
            <w:r w:rsidRPr="00D601B2">
              <w:rPr>
                <w:rFonts w:ascii="Times New Roman" w:hAnsi="Times New Roman" w:cs="Times New Roman"/>
                <w:b/>
              </w:rPr>
              <w:t>Lib Dems</w:t>
            </w:r>
          </w:p>
        </w:tc>
        <w:tc>
          <w:tcPr>
            <w:tcW w:w="992" w:type="dxa"/>
          </w:tcPr>
          <w:p w14:paraId="3EC30649" w14:textId="77777777" w:rsidR="006F2387" w:rsidRPr="00D601B2" w:rsidRDefault="006F2387" w:rsidP="003A729C">
            <w:pPr>
              <w:jc w:val="center"/>
              <w:rPr>
                <w:rFonts w:ascii="Times New Roman" w:hAnsi="Times New Roman" w:cs="Times New Roman"/>
                <w:b/>
              </w:rPr>
            </w:pPr>
            <w:r w:rsidRPr="00D601B2">
              <w:rPr>
                <w:rFonts w:ascii="Times New Roman" w:hAnsi="Times New Roman" w:cs="Times New Roman"/>
                <w:b/>
              </w:rPr>
              <w:t>Others</w:t>
            </w:r>
          </w:p>
        </w:tc>
        <w:tc>
          <w:tcPr>
            <w:tcW w:w="992" w:type="dxa"/>
          </w:tcPr>
          <w:p w14:paraId="5AD4E327" w14:textId="77777777" w:rsidR="006F2387" w:rsidRPr="00D601B2" w:rsidRDefault="006F2387" w:rsidP="003A729C">
            <w:pPr>
              <w:jc w:val="center"/>
              <w:rPr>
                <w:rFonts w:ascii="Times New Roman" w:hAnsi="Times New Roman" w:cs="Times New Roman"/>
                <w:b/>
              </w:rPr>
            </w:pPr>
            <w:r w:rsidRPr="00D601B2">
              <w:rPr>
                <w:rFonts w:ascii="Times New Roman" w:hAnsi="Times New Roman" w:cs="Times New Roman"/>
                <w:b/>
              </w:rPr>
              <w:t>None</w:t>
            </w:r>
          </w:p>
        </w:tc>
        <w:tc>
          <w:tcPr>
            <w:tcW w:w="992" w:type="dxa"/>
          </w:tcPr>
          <w:p w14:paraId="341B37B2" w14:textId="77777777" w:rsidR="006F2387" w:rsidRPr="00D601B2" w:rsidRDefault="006F2387" w:rsidP="003A729C">
            <w:pPr>
              <w:jc w:val="center"/>
              <w:rPr>
                <w:rFonts w:ascii="Times New Roman" w:hAnsi="Times New Roman" w:cs="Times New Roman"/>
                <w:b/>
              </w:rPr>
            </w:pPr>
            <w:r w:rsidRPr="00D601B2">
              <w:rPr>
                <w:rFonts w:ascii="Times New Roman" w:hAnsi="Times New Roman" w:cs="Times New Roman"/>
                <w:b/>
              </w:rPr>
              <w:t>DK</w:t>
            </w:r>
          </w:p>
        </w:tc>
      </w:tr>
      <w:tr w:rsidR="006F2387" w14:paraId="348BFF26" w14:textId="77777777" w:rsidTr="003A729C">
        <w:tc>
          <w:tcPr>
            <w:tcW w:w="1844" w:type="dxa"/>
          </w:tcPr>
          <w:p w14:paraId="5CD54C03"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Health</w:t>
            </w:r>
          </w:p>
        </w:tc>
        <w:tc>
          <w:tcPr>
            <w:tcW w:w="1701" w:type="dxa"/>
          </w:tcPr>
          <w:p w14:paraId="7DD20061"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22%</w:t>
            </w:r>
          </w:p>
        </w:tc>
        <w:tc>
          <w:tcPr>
            <w:tcW w:w="992" w:type="dxa"/>
          </w:tcPr>
          <w:p w14:paraId="7C657BA7"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41%</w:t>
            </w:r>
          </w:p>
        </w:tc>
        <w:tc>
          <w:tcPr>
            <w:tcW w:w="1276" w:type="dxa"/>
          </w:tcPr>
          <w:p w14:paraId="5C459D98"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75BBA7A8"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w:t>
            </w:r>
          </w:p>
        </w:tc>
        <w:tc>
          <w:tcPr>
            <w:tcW w:w="992" w:type="dxa"/>
          </w:tcPr>
          <w:p w14:paraId="3B1BD74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8%</w:t>
            </w:r>
          </w:p>
        </w:tc>
        <w:tc>
          <w:tcPr>
            <w:tcW w:w="992" w:type="dxa"/>
          </w:tcPr>
          <w:p w14:paraId="361DE94D"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22%</w:t>
            </w:r>
          </w:p>
        </w:tc>
      </w:tr>
      <w:tr w:rsidR="006F2387" w14:paraId="1B0C0352" w14:textId="77777777" w:rsidTr="003A729C">
        <w:tc>
          <w:tcPr>
            <w:tcW w:w="1844" w:type="dxa"/>
          </w:tcPr>
          <w:p w14:paraId="79C815EA"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Immigration</w:t>
            </w:r>
          </w:p>
        </w:tc>
        <w:tc>
          <w:tcPr>
            <w:tcW w:w="1701" w:type="dxa"/>
          </w:tcPr>
          <w:p w14:paraId="0BFDAC4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30%</w:t>
            </w:r>
          </w:p>
        </w:tc>
        <w:tc>
          <w:tcPr>
            <w:tcW w:w="992" w:type="dxa"/>
          </w:tcPr>
          <w:p w14:paraId="1DC77D8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25%</w:t>
            </w:r>
          </w:p>
        </w:tc>
        <w:tc>
          <w:tcPr>
            <w:tcW w:w="1276" w:type="dxa"/>
          </w:tcPr>
          <w:p w14:paraId="0926A9E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5%</w:t>
            </w:r>
          </w:p>
        </w:tc>
        <w:tc>
          <w:tcPr>
            <w:tcW w:w="992" w:type="dxa"/>
          </w:tcPr>
          <w:p w14:paraId="2B5126A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17%</w:t>
            </w:r>
          </w:p>
        </w:tc>
        <w:tc>
          <w:tcPr>
            <w:tcW w:w="992" w:type="dxa"/>
          </w:tcPr>
          <w:p w14:paraId="634410A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8%</w:t>
            </w:r>
          </w:p>
        </w:tc>
        <w:tc>
          <w:tcPr>
            <w:tcW w:w="992" w:type="dxa"/>
          </w:tcPr>
          <w:p w14:paraId="453EF36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20%</w:t>
            </w:r>
          </w:p>
        </w:tc>
      </w:tr>
      <w:tr w:rsidR="006F2387" w14:paraId="28F4B32F" w14:textId="77777777" w:rsidTr="003A729C">
        <w:tc>
          <w:tcPr>
            <w:tcW w:w="1844" w:type="dxa"/>
          </w:tcPr>
          <w:p w14:paraId="36E818E9"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Law &amp; Order</w:t>
            </w:r>
          </w:p>
        </w:tc>
        <w:tc>
          <w:tcPr>
            <w:tcW w:w="1701" w:type="dxa"/>
          </w:tcPr>
          <w:p w14:paraId="01107E5C"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36%</w:t>
            </w:r>
          </w:p>
        </w:tc>
        <w:tc>
          <w:tcPr>
            <w:tcW w:w="992" w:type="dxa"/>
          </w:tcPr>
          <w:p w14:paraId="70CC4F7C"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26%</w:t>
            </w:r>
          </w:p>
        </w:tc>
        <w:tc>
          <w:tcPr>
            <w:tcW w:w="1276" w:type="dxa"/>
          </w:tcPr>
          <w:p w14:paraId="69122D80"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79686AA0"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5%</w:t>
            </w:r>
          </w:p>
        </w:tc>
        <w:tc>
          <w:tcPr>
            <w:tcW w:w="992" w:type="dxa"/>
          </w:tcPr>
          <w:p w14:paraId="35CF883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6%</w:t>
            </w:r>
          </w:p>
        </w:tc>
        <w:tc>
          <w:tcPr>
            <w:tcW w:w="992" w:type="dxa"/>
          </w:tcPr>
          <w:p w14:paraId="75AA7FC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23%</w:t>
            </w:r>
          </w:p>
        </w:tc>
      </w:tr>
      <w:tr w:rsidR="006F2387" w14:paraId="765C400F" w14:textId="77777777" w:rsidTr="003A729C">
        <w:tc>
          <w:tcPr>
            <w:tcW w:w="1844" w:type="dxa"/>
          </w:tcPr>
          <w:p w14:paraId="4E8AED69"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Education</w:t>
            </w:r>
          </w:p>
        </w:tc>
        <w:tc>
          <w:tcPr>
            <w:tcW w:w="1701" w:type="dxa"/>
          </w:tcPr>
          <w:p w14:paraId="42C2BF18"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25%</w:t>
            </w:r>
          </w:p>
        </w:tc>
        <w:tc>
          <w:tcPr>
            <w:tcW w:w="992" w:type="dxa"/>
          </w:tcPr>
          <w:p w14:paraId="4429CF6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36%</w:t>
            </w:r>
          </w:p>
        </w:tc>
        <w:tc>
          <w:tcPr>
            <w:tcW w:w="1276" w:type="dxa"/>
          </w:tcPr>
          <w:p w14:paraId="1306EB3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5%</w:t>
            </w:r>
          </w:p>
        </w:tc>
        <w:tc>
          <w:tcPr>
            <w:tcW w:w="992" w:type="dxa"/>
          </w:tcPr>
          <w:p w14:paraId="0B7AE21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04416EC5"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w:t>
            </w:r>
          </w:p>
        </w:tc>
        <w:tc>
          <w:tcPr>
            <w:tcW w:w="992" w:type="dxa"/>
          </w:tcPr>
          <w:p w14:paraId="5D43352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24%</w:t>
            </w:r>
          </w:p>
        </w:tc>
      </w:tr>
      <w:tr w:rsidR="006F2387" w14:paraId="3DDEADC8" w14:textId="77777777" w:rsidTr="003A729C">
        <w:tc>
          <w:tcPr>
            <w:tcW w:w="1844" w:type="dxa"/>
          </w:tcPr>
          <w:p w14:paraId="4C12868B"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Unemployment</w:t>
            </w:r>
          </w:p>
        </w:tc>
        <w:tc>
          <w:tcPr>
            <w:tcW w:w="1701" w:type="dxa"/>
          </w:tcPr>
          <w:p w14:paraId="7DC06F8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29%</w:t>
            </w:r>
          </w:p>
        </w:tc>
        <w:tc>
          <w:tcPr>
            <w:tcW w:w="992" w:type="dxa"/>
          </w:tcPr>
          <w:p w14:paraId="5A82FFC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30%</w:t>
            </w:r>
          </w:p>
        </w:tc>
        <w:tc>
          <w:tcPr>
            <w:tcW w:w="1276" w:type="dxa"/>
          </w:tcPr>
          <w:p w14:paraId="6E9C6E8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w:t>
            </w:r>
          </w:p>
        </w:tc>
        <w:tc>
          <w:tcPr>
            <w:tcW w:w="992" w:type="dxa"/>
          </w:tcPr>
          <w:p w14:paraId="024A2CE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72AA7D4D"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8%</w:t>
            </w:r>
          </w:p>
        </w:tc>
        <w:tc>
          <w:tcPr>
            <w:tcW w:w="992" w:type="dxa"/>
          </w:tcPr>
          <w:p w14:paraId="1195E0D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26%</w:t>
            </w:r>
          </w:p>
        </w:tc>
      </w:tr>
      <w:tr w:rsidR="006F2387" w14:paraId="24D192E8" w14:textId="77777777" w:rsidTr="003A729C">
        <w:tc>
          <w:tcPr>
            <w:tcW w:w="1844" w:type="dxa"/>
          </w:tcPr>
          <w:p w14:paraId="22BDB52A"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Economy</w:t>
            </w:r>
          </w:p>
        </w:tc>
        <w:tc>
          <w:tcPr>
            <w:tcW w:w="1701" w:type="dxa"/>
          </w:tcPr>
          <w:p w14:paraId="62DBC820"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39%</w:t>
            </w:r>
          </w:p>
        </w:tc>
        <w:tc>
          <w:tcPr>
            <w:tcW w:w="992" w:type="dxa"/>
          </w:tcPr>
          <w:p w14:paraId="2499527C"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25%</w:t>
            </w:r>
          </w:p>
        </w:tc>
        <w:tc>
          <w:tcPr>
            <w:tcW w:w="1276" w:type="dxa"/>
          </w:tcPr>
          <w:p w14:paraId="28FE373D"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3B99F0FC"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1BBEB48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w:t>
            </w:r>
          </w:p>
        </w:tc>
        <w:tc>
          <w:tcPr>
            <w:tcW w:w="992" w:type="dxa"/>
          </w:tcPr>
          <w:p w14:paraId="7E1FCB92"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24%</w:t>
            </w:r>
          </w:p>
        </w:tc>
      </w:tr>
      <w:tr w:rsidR="006F2387" w14:paraId="0DB360CF" w14:textId="77777777" w:rsidTr="003A729C">
        <w:tc>
          <w:tcPr>
            <w:tcW w:w="1844" w:type="dxa"/>
          </w:tcPr>
          <w:p w14:paraId="16FD934B"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Housing</w:t>
            </w:r>
          </w:p>
        </w:tc>
        <w:tc>
          <w:tcPr>
            <w:tcW w:w="1701" w:type="dxa"/>
          </w:tcPr>
          <w:p w14:paraId="190862E4"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21%</w:t>
            </w:r>
          </w:p>
        </w:tc>
        <w:tc>
          <w:tcPr>
            <w:tcW w:w="992" w:type="dxa"/>
          </w:tcPr>
          <w:p w14:paraId="71C6729B"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35%</w:t>
            </w:r>
          </w:p>
        </w:tc>
        <w:tc>
          <w:tcPr>
            <w:tcW w:w="1276" w:type="dxa"/>
          </w:tcPr>
          <w:p w14:paraId="6527A3D6"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3CC52893"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4%</w:t>
            </w:r>
          </w:p>
        </w:tc>
        <w:tc>
          <w:tcPr>
            <w:tcW w:w="992" w:type="dxa"/>
          </w:tcPr>
          <w:p w14:paraId="72B27574"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9%</w:t>
            </w:r>
          </w:p>
        </w:tc>
        <w:tc>
          <w:tcPr>
            <w:tcW w:w="992" w:type="dxa"/>
          </w:tcPr>
          <w:p w14:paraId="4350CC1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27%</w:t>
            </w:r>
          </w:p>
        </w:tc>
      </w:tr>
      <w:tr w:rsidR="006F2387" w14:paraId="21E13145" w14:textId="77777777" w:rsidTr="003A729C">
        <w:tc>
          <w:tcPr>
            <w:tcW w:w="1844" w:type="dxa"/>
          </w:tcPr>
          <w:p w14:paraId="3595AABC"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EU exit</w:t>
            </w:r>
          </w:p>
        </w:tc>
        <w:tc>
          <w:tcPr>
            <w:tcW w:w="1701" w:type="dxa"/>
          </w:tcPr>
          <w:p w14:paraId="49C3B75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37%</w:t>
            </w:r>
          </w:p>
        </w:tc>
        <w:tc>
          <w:tcPr>
            <w:tcW w:w="992" w:type="dxa"/>
          </w:tcPr>
          <w:p w14:paraId="745DD55A"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19%</w:t>
            </w:r>
          </w:p>
        </w:tc>
        <w:tc>
          <w:tcPr>
            <w:tcW w:w="1276" w:type="dxa"/>
          </w:tcPr>
          <w:p w14:paraId="4ECEDFD8"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w:t>
            </w:r>
          </w:p>
        </w:tc>
        <w:tc>
          <w:tcPr>
            <w:tcW w:w="992" w:type="dxa"/>
          </w:tcPr>
          <w:p w14:paraId="716E4EF0"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8%</w:t>
            </w:r>
          </w:p>
        </w:tc>
        <w:tc>
          <w:tcPr>
            <w:tcW w:w="992" w:type="dxa"/>
          </w:tcPr>
          <w:p w14:paraId="2FD7357D"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8%</w:t>
            </w:r>
          </w:p>
        </w:tc>
        <w:tc>
          <w:tcPr>
            <w:tcW w:w="992" w:type="dxa"/>
          </w:tcPr>
          <w:p w14:paraId="6E2BD041"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21%</w:t>
            </w:r>
          </w:p>
        </w:tc>
      </w:tr>
      <w:tr w:rsidR="006F2387" w14:paraId="06F1257C" w14:textId="77777777" w:rsidTr="003A729C">
        <w:tc>
          <w:tcPr>
            <w:tcW w:w="1844" w:type="dxa"/>
          </w:tcPr>
          <w:p w14:paraId="572BEE05" w14:textId="77777777" w:rsidR="006F2387" w:rsidRPr="00D601B2" w:rsidRDefault="006F2387" w:rsidP="003A729C">
            <w:pPr>
              <w:rPr>
                <w:rFonts w:ascii="Times New Roman" w:hAnsi="Times New Roman" w:cs="Times New Roman"/>
              </w:rPr>
            </w:pPr>
            <w:r w:rsidRPr="00D601B2">
              <w:rPr>
                <w:rFonts w:ascii="Times New Roman" w:hAnsi="Times New Roman" w:cs="Times New Roman"/>
              </w:rPr>
              <w:t>Security</w:t>
            </w:r>
          </w:p>
        </w:tc>
        <w:tc>
          <w:tcPr>
            <w:tcW w:w="1701" w:type="dxa"/>
          </w:tcPr>
          <w:p w14:paraId="4B571A5F"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37%</w:t>
            </w:r>
          </w:p>
        </w:tc>
        <w:tc>
          <w:tcPr>
            <w:tcW w:w="992" w:type="dxa"/>
          </w:tcPr>
          <w:p w14:paraId="679B7F35"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22%</w:t>
            </w:r>
          </w:p>
        </w:tc>
        <w:tc>
          <w:tcPr>
            <w:tcW w:w="1276" w:type="dxa"/>
          </w:tcPr>
          <w:p w14:paraId="536C0625"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3%</w:t>
            </w:r>
          </w:p>
        </w:tc>
        <w:tc>
          <w:tcPr>
            <w:tcW w:w="992" w:type="dxa"/>
          </w:tcPr>
          <w:p w14:paraId="723496E0"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6%</w:t>
            </w:r>
          </w:p>
        </w:tc>
        <w:tc>
          <w:tcPr>
            <w:tcW w:w="992" w:type="dxa"/>
          </w:tcPr>
          <w:p w14:paraId="668CFC9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7%</w:t>
            </w:r>
          </w:p>
        </w:tc>
        <w:tc>
          <w:tcPr>
            <w:tcW w:w="992" w:type="dxa"/>
          </w:tcPr>
          <w:p w14:paraId="49C4334E" w14:textId="77777777" w:rsidR="006F2387" w:rsidRPr="00D601B2" w:rsidRDefault="006F2387" w:rsidP="003A729C">
            <w:pPr>
              <w:jc w:val="center"/>
              <w:rPr>
                <w:rFonts w:ascii="Times New Roman" w:hAnsi="Times New Roman" w:cs="Times New Roman"/>
              </w:rPr>
            </w:pPr>
            <w:r w:rsidRPr="00D601B2">
              <w:rPr>
                <w:rFonts w:ascii="Times New Roman" w:hAnsi="Times New Roman" w:cs="Times New Roman"/>
              </w:rPr>
              <w:t>25%</w:t>
            </w:r>
          </w:p>
        </w:tc>
      </w:tr>
    </w:tbl>
    <w:p w14:paraId="6C37B9F8" w14:textId="77777777" w:rsidR="006F2387" w:rsidRDefault="006F2387" w:rsidP="003A729C">
      <w:pPr>
        <w:jc w:val="both"/>
        <w:rPr>
          <w:rFonts w:ascii="Times New Roman" w:hAnsi="Times New Roman" w:cs="Times New Roman"/>
          <w:sz w:val="24"/>
          <w:szCs w:val="24"/>
        </w:rPr>
      </w:pPr>
    </w:p>
    <w:p w14:paraId="30E65A94" w14:textId="77777777" w:rsidR="006F2387" w:rsidRDefault="006F2387" w:rsidP="003A729C">
      <w:pPr>
        <w:jc w:val="both"/>
        <w:rPr>
          <w:rFonts w:ascii="Times New Roman" w:hAnsi="Times New Roman" w:cs="Times New Roman"/>
          <w:sz w:val="24"/>
          <w:szCs w:val="24"/>
        </w:rPr>
      </w:pPr>
    </w:p>
    <w:p w14:paraId="102DA06F" w14:textId="77777777" w:rsidR="006F2387" w:rsidRDefault="006F2387" w:rsidP="003A729C">
      <w:pPr>
        <w:jc w:val="both"/>
        <w:rPr>
          <w:rFonts w:ascii="Times New Roman" w:hAnsi="Times New Roman" w:cs="Times New Roman"/>
          <w:sz w:val="24"/>
          <w:szCs w:val="24"/>
        </w:rPr>
      </w:pPr>
    </w:p>
    <w:p w14:paraId="41706C6F" w14:textId="77777777" w:rsidR="006F2387" w:rsidRDefault="006F2387" w:rsidP="003A729C">
      <w:pPr>
        <w:jc w:val="both"/>
        <w:rPr>
          <w:rFonts w:ascii="Times New Roman" w:hAnsi="Times New Roman" w:cs="Times New Roman"/>
          <w:sz w:val="24"/>
          <w:szCs w:val="24"/>
        </w:rPr>
      </w:pPr>
    </w:p>
    <w:p w14:paraId="10FCBB50" w14:textId="77777777" w:rsidR="006F2387" w:rsidRDefault="006F2387" w:rsidP="003A729C">
      <w:pPr>
        <w:jc w:val="both"/>
        <w:rPr>
          <w:rFonts w:ascii="Times New Roman" w:hAnsi="Times New Roman" w:cs="Times New Roman"/>
          <w:sz w:val="24"/>
          <w:szCs w:val="24"/>
        </w:rPr>
      </w:pPr>
    </w:p>
    <w:p w14:paraId="4AAAAF7F" w14:textId="77777777" w:rsidR="006F2387" w:rsidRDefault="006F2387" w:rsidP="003A729C">
      <w:pPr>
        <w:jc w:val="both"/>
        <w:rPr>
          <w:rFonts w:ascii="Times New Roman" w:hAnsi="Times New Roman" w:cs="Times New Roman"/>
          <w:sz w:val="24"/>
          <w:szCs w:val="24"/>
        </w:rPr>
      </w:pPr>
    </w:p>
    <w:p w14:paraId="111B8743" w14:textId="77777777" w:rsidR="006F2387" w:rsidRDefault="006F2387" w:rsidP="003A729C">
      <w:pPr>
        <w:jc w:val="both"/>
        <w:rPr>
          <w:rFonts w:ascii="Times New Roman" w:hAnsi="Times New Roman" w:cs="Times New Roman"/>
          <w:sz w:val="24"/>
          <w:szCs w:val="24"/>
        </w:rPr>
      </w:pPr>
    </w:p>
    <w:p w14:paraId="6820CCEF" w14:textId="77777777" w:rsidR="006F2387" w:rsidRDefault="006F2387" w:rsidP="003A729C">
      <w:pPr>
        <w:jc w:val="both"/>
        <w:rPr>
          <w:rFonts w:ascii="Times New Roman" w:hAnsi="Times New Roman" w:cs="Times New Roman"/>
          <w:sz w:val="24"/>
          <w:szCs w:val="24"/>
        </w:rPr>
      </w:pPr>
    </w:p>
    <w:p w14:paraId="44EC93B5" w14:textId="77777777" w:rsidR="00153C5E" w:rsidRDefault="00153C5E" w:rsidP="003A729C">
      <w:pPr>
        <w:jc w:val="center"/>
        <w:rPr>
          <w:rFonts w:ascii="Times New Roman" w:hAnsi="Times New Roman" w:cs="Times New Roman"/>
          <w:b/>
          <w:sz w:val="24"/>
          <w:szCs w:val="24"/>
        </w:rPr>
      </w:pPr>
    </w:p>
    <w:p w14:paraId="42EB5414" w14:textId="77777777" w:rsidR="00153C5E" w:rsidRDefault="00153C5E" w:rsidP="003A729C">
      <w:pPr>
        <w:jc w:val="center"/>
        <w:rPr>
          <w:rFonts w:ascii="Times New Roman" w:hAnsi="Times New Roman" w:cs="Times New Roman"/>
          <w:b/>
          <w:sz w:val="24"/>
          <w:szCs w:val="24"/>
        </w:rPr>
      </w:pPr>
    </w:p>
    <w:p w14:paraId="59056E7D" w14:textId="77777777" w:rsidR="00153C5E" w:rsidRDefault="00153C5E" w:rsidP="003A729C">
      <w:pPr>
        <w:jc w:val="center"/>
        <w:rPr>
          <w:rFonts w:ascii="Times New Roman" w:hAnsi="Times New Roman" w:cs="Times New Roman"/>
          <w:b/>
          <w:sz w:val="24"/>
          <w:szCs w:val="24"/>
        </w:rPr>
      </w:pPr>
    </w:p>
    <w:p w14:paraId="406C887A" w14:textId="77777777" w:rsidR="00153C5E" w:rsidRDefault="00153C5E" w:rsidP="003A729C">
      <w:pPr>
        <w:jc w:val="center"/>
        <w:rPr>
          <w:rFonts w:ascii="Times New Roman" w:hAnsi="Times New Roman" w:cs="Times New Roman"/>
          <w:b/>
          <w:sz w:val="24"/>
          <w:szCs w:val="24"/>
        </w:rPr>
      </w:pPr>
    </w:p>
    <w:p w14:paraId="1EBC8CB6" w14:textId="77777777" w:rsidR="00153C5E" w:rsidRDefault="00153C5E" w:rsidP="003A729C">
      <w:pPr>
        <w:jc w:val="center"/>
        <w:rPr>
          <w:rFonts w:ascii="Times New Roman" w:hAnsi="Times New Roman" w:cs="Times New Roman"/>
          <w:b/>
          <w:sz w:val="24"/>
          <w:szCs w:val="24"/>
        </w:rPr>
      </w:pPr>
    </w:p>
    <w:p w14:paraId="426ED42B" w14:textId="77777777" w:rsidR="00153C5E" w:rsidRDefault="00153C5E" w:rsidP="003A729C">
      <w:pPr>
        <w:jc w:val="center"/>
        <w:rPr>
          <w:rFonts w:ascii="Times New Roman" w:hAnsi="Times New Roman" w:cs="Times New Roman"/>
          <w:b/>
          <w:sz w:val="24"/>
          <w:szCs w:val="24"/>
        </w:rPr>
      </w:pPr>
    </w:p>
    <w:p w14:paraId="4360091E" w14:textId="77777777" w:rsidR="00D601B2" w:rsidRDefault="00D601B2" w:rsidP="003A729C">
      <w:pPr>
        <w:jc w:val="center"/>
        <w:rPr>
          <w:rFonts w:ascii="Times New Roman" w:hAnsi="Times New Roman" w:cs="Times New Roman"/>
          <w:b/>
          <w:sz w:val="24"/>
          <w:szCs w:val="24"/>
        </w:rPr>
      </w:pPr>
    </w:p>
    <w:p w14:paraId="30CE5C59" w14:textId="77777777" w:rsidR="00153C5E" w:rsidRDefault="00153C5E" w:rsidP="003A729C">
      <w:pPr>
        <w:jc w:val="center"/>
        <w:rPr>
          <w:rFonts w:ascii="Times New Roman" w:hAnsi="Times New Roman" w:cs="Times New Roman"/>
          <w:b/>
          <w:sz w:val="24"/>
          <w:szCs w:val="24"/>
        </w:rPr>
      </w:pPr>
    </w:p>
    <w:p w14:paraId="4D62E47C" w14:textId="564AA8C0" w:rsidR="006F2387" w:rsidRPr="00096BC0" w:rsidRDefault="00D601B2" w:rsidP="003A729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F2387" w:rsidRPr="002B725A">
        <w:rPr>
          <w:rFonts w:ascii="Times New Roman" w:hAnsi="Times New Roman" w:cs="Times New Roman"/>
          <w:b/>
          <w:sz w:val="24"/>
          <w:szCs w:val="24"/>
        </w:rPr>
        <w:t xml:space="preserve">Figure </w:t>
      </w:r>
      <w:r w:rsidR="00153C5E">
        <w:rPr>
          <w:rFonts w:ascii="Times New Roman" w:hAnsi="Times New Roman" w:cs="Times New Roman"/>
          <w:b/>
          <w:sz w:val="24"/>
          <w:szCs w:val="24"/>
        </w:rPr>
        <w:t>5.</w:t>
      </w:r>
      <w:r w:rsidR="006F2387" w:rsidRPr="002B725A">
        <w:rPr>
          <w:rFonts w:ascii="Times New Roman" w:hAnsi="Times New Roman" w:cs="Times New Roman"/>
          <w:b/>
          <w:sz w:val="24"/>
          <w:szCs w:val="24"/>
        </w:rPr>
        <w:t>1</w:t>
      </w:r>
      <w:r w:rsidR="006F2387">
        <w:rPr>
          <w:rFonts w:ascii="Times New Roman" w:hAnsi="Times New Roman" w:cs="Times New Roman"/>
          <w:b/>
          <w:sz w:val="24"/>
          <w:szCs w:val="24"/>
        </w:rPr>
        <w:t xml:space="preserve">: </w:t>
      </w:r>
      <w:r w:rsidR="006F2387" w:rsidRPr="00096BC0">
        <w:rPr>
          <w:rFonts w:ascii="Times New Roman" w:hAnsi="Times New Roman" w:cs="Times New Roman"/>
          <w:b/>
          <w:sz w:val="24"/>
          <w:szCs w:val="24"/>
        </w:rPr>
        <w:t xml:space="preserve">% Constituency </w:t>
      </w:r>
      <w:r w:rsidR="000A6640">
        <w:rPr>
          <w:rFonts w:ascii="Times New Roman" w:hAnsi="Times New Roman" w:cs="Times New Roman"/>
          <w:b/>
          <w:sz w:val="24"/>
          <w:szCs w:val="24"/>
        </w:rPr>
        <w:t>Remain</w:t>
      </w:r>
      <w:r w:rsidR="006F2387" w:rsidRPr="00096BC0">
        <w:rPr>
          <w:rFonts w:ascii="Times New Roman" w:hAnsi="Times New Roman" w:cs="Times New Roman"/>
          <w:b/>
          <w:sz w:val="24"/>
          <w:szCs w:val="24"/>
        </w:rPr>
        <w:t xml:space="preserve"> Vote by</w:t>
      </w:r>
      <w:r w:rsidR="006F2387">
        <w:rPr>
          <w:rFonts w:ascii="Times New Roman" w:hAnsi="Times New Roman" w:cs="Times New Roman"/>
          <w:b/>
          <w:sz w:val="24"/>
          <w:szCs w:val="24"/>
        </w:rPr>
        <w:t xml:space="preserve"> %</w:t>
      </w:r>
      <w:r w:rsidR="006F2387" w:rsidRPr="00096BC0">
        <w:rPr>
          <w:rFonts w:ascii="Times New Roman" w:hAnsi="Times New Roman" w:cs="Times New Roman"/>
          <w:b/>
          <w:sz w:val="24"/>
          <w:szCs w:val="24"/>
        </w:rPr>
        <w:t xml:space="preserve"> 2015 Liberal Democrat Margin </w:t>
      </w:r>
    </w:p>
    <w:p w14:paraId="65E445F5" w14:textId="77777777" w:rsidR="006F2387" w:rsidRPr="00096BC0" w:rsidRDefault="006F2387" w:rsidP="003A729C">
      <w:pPr>
        <w:autoSpaceDE w:val="0"/>
        <w:autoSpaceDN w:val="0"/>
        <w:adjustRightInd w:val="0"/>
        <w:spacing w:after="0" w:line="240" w:lineRule="auto"/>
        <w:jc w:val="center"/>
        <w:rPr>
          <w:rFonts w:ascii="Times New Roman" w:hAnsi="Times New Roman" w:cs="Times New Roman"/>
          <w:sz w:val="24"/>
          <w:szCs w:val="24"/>
        </w:rPr>
      </w:pPr>
    </w:p>
    <w:p w14:paraId="015CAAD7" w14:textId="77777777" w:rsidR="006F2387" w:rsidRPr="00096BC0" w:rsidRDefault="006F2387" w:rsidP="003A729C">
      <w:pPr>
        <w:autoSpaceDE w:val="0"/>
        <w:autoSpaceDN w:val="0"/>
        <w:adjustRightInd w:val="0"/>
        <w:spacing w:after="0" w:line="400" w:lineRule="atLeast"/>
        <w:rPr>
          <w:rFonts w:ascii="Times New Roman" w:hAnsi="Times New Roman" w:cs="Times New Roman"/>
          <w:sz w:val="24"/>
          <w:szCs w:val="24"/>
        </w:rPr>
      </w:pPr>
      <w:r w:rsidRPr="006E7C4E">
        <w:rPr>
          <w:rFonts w:ascii="Times New Roman" w:hAnsi="Times New Roman" w:cs="Times New Roman"/>
          <w:noProof/>
          <w:sz w:val="24"/>
          <w:szCs w:val="24"/>
          <w:lang w:val="en-US"/>
        </w:rPr>
        <w:drawing>
          <wp:inline distT="0" distB="0" distL="0" distR="0" wp14:anchorId="3989AB0B" wp14:editId="71739684">
            <wp:extent cx="5731510" cy="48234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4823409"/>
                    </a:xfrm>
                    <a:prstGeom prst="rect">
                      <a:avLst/>
                    </a:prstGeom>
                  </pic:spPr>
                </pic:pic>
              </a:graphicData>
            </a:graphic>
          </wp:inline>
        </w:drawing>
      </w:r>
    </w:p>
    <w:p w14:paraId="5B129D9F" w14:textId="77777777" w:rsidR="006F2387" w:rsidRDefault="006F2387" w:rsidP="003A729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*Key: Blue = Conservative held; Red = Labour held; Yellow = SNP Held</w:t>
      </w:r>
    </w:p>
    <w:p w14:paraId="7435BA58" w14:textId="77777777" w:rsidR="006F2387" w:rsidRDefault="006F2387" w:rsidP="003A729C">
      <w:pPr>
        <w:jc w:val="both"/>
        <w:rPr>
          <w:rFonts w:ascii="Times New Roman" w:hAnsi="Times New Roman" w:cs="Times New Roman"/>
          <w:sz w:val="24"/>
          <w:szCs w:val="24"/>
        </w:rPr>
      </w:pPr>
    </w:p>
    <w:p w14:paraId="4C3AC89D" w14:textId="77777777" w:rsidR="006F2387" w:rsidRDefault="006F2387" w:rsidP="003A729C">
      <w:pPr>
        <w:jc w:val="both"/>
        <w:rPr>
          <w:rFonts w:ascii="Times New Roman" w:hAnsi="Times New Roman" w:cs="Times New Roman"/>
          <w:sz w:val="24"/>
          <w:szCs w:val="24"/>
        </w:rPr>
      </w:pPr>
    </w:p>
    <w:p w14:paraId="062F189D" w14:textId="77777777" w:rsidR="006F2387" w:rsidRDefault="006F2387" w:rsidP="003A729C">
      <w:pPr>
        <w:jc w:val="both"/>
        <w:rPr>
          <w:rFonts w:ascii="Times New Roman" w:hAnsi="Times New Roman" w:cs="Times New Roman"/>
          <w:sz w:val="24"/>
          <w:szCs w:val="24"/>
        </w:rPr>
      </w:pPr>
    </w:p>
    <w:p w14:paraId="57CFEFE3" w14:textId="77777777" w:rsidR="006F2387" w:rsidRDefault="006F2387" w:rsidP="003A729C">
      <w:pPr>
        <w:jc w:val="both"/>
        <w:rPr>
          <w:rFonts w:ascii="Times New Roman" w:hAnsi="Times New Roman" w:cs="Times New Roman"/>
          <w:sz w:val="24"/>
          <w:szCs w:val="24"/>
        </w:rPr>
      </w:pPr>
    </w:p>
    <w:p w14:paraId="5F32C1C9" w14:textId="77777777" w:rsidR="006F2387" w:rsidRDefault="006F2387" w:rsidP="003A729C">
      <w:pPr>
        <w:jc w:val="both"/>
        <w:rPr>
          <w:rFonts w:ascii="Times New Roman" w:hAnsi="Times New Roman" w:cs="Times New Roman"/>
          <w:sz w:val="24"/>
          <w:szCs w:val="24"/>
        </w:rPr>
      </w:pPr>
    </w:p>
    <w:p w14:paraId="3941328F" w14:textId="77777777" w:rsidR="006F2387" w:rsidRDefault="006F2387" w:rsidP="003A729C">
      <w:pPr>
        <w:jc w:val="both"/>
        <w:rPr>
          <w:rFonts w:ascii="Times New Roman" w:hAnsi="Times New Roman" w:cs="Times New Roman"/>
          <w:sz w:val="24"/>
          <w:szCs w:val="24"/>
        </w:rPr>
      </w:pPr>
    </w:p>
    <w:p w14:paraId="153D5911" w14:textId="77777777" w:rsidR="006F2387" w:rsidRDefault="006F2387" w:rsidP="003A729C">
      <w:pPr>
        <w:jc w:val="both"/>
        <w:rPr>
          <w:rFonts w:ascii="Times New Roman" w:hAnsi="Times New Roman" w:cs="Times New Roman"/>
          <w:sz w:val="24"/>
          <w:szCs w:val="24"/>
        </w:rPr>
      </w:pPr>
    </w:p>
    <w:p w14:paraId="6D8E8EBB" w14:textId="77777777" w:rsidR="006F2387" w:rsidRDefault="006F2387" w:rsidP="003A729C">
      <w:pPr>
        <w:jc w:val="both"/>
        <w:rPr>
          <w:rFonts w:ascii="Times New Roman" w:hAnsi="Times New Roman" w:cs="Times New Roman"/>
          <w:sz w:val="24"/>
          <w:szCs w:val="24"/>
        </w:rPr>
      </w:pPr>
    </w:p>
    <w:p w14:paraId="1106868F" w14:textId="77777777" w:rsidR="006F2387" w:rsidRDefault="006F2387" w:rsidP="003A729C">
      <w:pPr>
        <w:jc w:val="both"/>
        <w:rPr>
          <w:rFonts w:ascii="Times New Roman" w:hAnsi="Times New Roman" w:cs="Times New Roman"/>
          <w:sz w:val="24"/>
          <w:szCs w:val="24"/>
        </w:rPr>
      </w:pPr>
    </w:p>
    <w:p w14:paraId="4264E1B5" w14:textId="77777777" w:rsidR="006F2387" w:rsidRDefault="006F2387" w:rsidP="003A729C">
      <w:pPr>
        <w:jc w:val="both"/>
        <w:rPr>
          <w:rFonts w:ascii="Times New Roman" w:hAnsi="Times New Roman" w:cs="Times New Roman"/>
          <w:sz w:val="24"/>
          <w:szCs w:val="24"/>
        </w:rPr>
      </w:pPr>
    </w:p>
    <w:p w14:paraId="3333BAB7" w14:textId="6DDEBE1E" w:rsidR="006F2387" w:rsidRPr="00AE5A32" w:rsidRDefault="006F2387" w:rsidP="003A729C">
      <w:pPr>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153C5E">
        <w:rPr>
          <w:rFonts w:ascii="Times New Roman" w:hAnsi="Times New Roman" w:cs="Times New Roman"/>
          <w:b/>
          <w:sz w:val="24"/>
          <w:szCs w:val="24"/>
        </w:rPr>
        <w:t>5.</w:t>
      </w:r>
      <w:r>
        <w:rPr>
          <w:rFonts w:ascii="Times New Roman" w:hAnsi="Times New Roman" w:cs="Times New Roman"/>
          <w:b/>
          <w:sz w:val="24"/>
          <w:szCs w:val="24"/>
        </w:rPr>
        <w:t>2</w:t>
      </w:r>
      <w:r w:rsidRPr="00AE5A32">
        <w:rPr>
          <w:rFonts w:ascii="Times New Roman" w:hAnsi="Times New Roman" w:cs="Times New Roman"/>
          <w:b/>
          <w:sz w:val="24"/>
          <w:szCs w:val="24"/>
        </w:rPr>
        <w:t xml:space="preserve">: Change in Liberal Democrat Vote 2015-17 by EU Referendum </w:t>
      </w:r>
      <w:r w:rsidR="000A6640">
        <w:rPr>
          <w:rFonts w:ascii="Times New Roman" w:hAnsi="Times New Roman" w:cs="Times New Roman"/>
          <w:b/>
          <w:sz w:val="24"/>
          <w:szCs w:val="24"/>
        </w:rPr>
        <w:t>Remain</w:t>
      </w:r>
      <w:r w:rsidRPr="00AE5A32">
        <w:rPr>
          <w:rFonts w:ascii="Times New Roman" w:hAnsi="Times New Roman" w:cs="Times New Roman"/>
          <w:b/>
          <w:sz w:val="24"/>
          <w:szCs w:val="24"/>
        </w:rPr>
        <w:t xml:space="preserve"> Vote</w:t>
      </w:r>
    </w:p>
    <w:p w14:paraId="628ECFC7" w14:textId="77777777" w:rsidR="006F2387" w:rsidRDefault="006F2387" w:rsidP="003A72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A6237C4" wp14:editId="2502571C">
            <wp:extent cx="5969000" cy="477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14:paraId="1BC5E235" w14:textId="77777777" w:rsidR="006F2387" w:rsidRDefault="006F2387" w:rsidP="003A729C">
      <w:pPr>
        <w:autoSpaceDE w:val="0"/>
        <w:autoSpaceDN w:val="0"/>
        <w:adjustRightInd w:val="0"/>
        <w:spacing w:after="0" w:line="240" w:lineRule="auto"/>
        <w:rPr>
          <w:rFonts w:ascii="Times New Roman" w:hAnsi="Times New Roman" w:cs="Times New Roman"/>
          <w:sz w:val="24"/>
          <w:szCs w:val="24"/>
        </w:rPr>
      </w:pPr>
    </w:p>
    <w:p w14:paraId="1183C7B9" w14:textId="15306D80" w:rsidR="006F2387" w:rsidRDefault="006F2387" w:rsidP="003A729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Correlation – </w:t>
      </w:r>
      <w:r w:rsidR="000A6640">
        <w:rPr>
          <w:rFonts w:ascii="Times New Roman" w:hAnsi="Times New Roman" w:cs="Times New Roman"/>
          <w:sz w:val="24"/>
          <w:szCs w:val="24"/>
        </w:rPr>
        <w:t>Remain</w:t>
      </w:r>
      <w:r>
        <w:rPr>
          <w:rFonts w:ascii="Times New Roman" w:hAnsi="Times New Roman" w:cs="Times New Roman"/>
          <w:sz w:val="24"/>
          <w:szCs w:val="24"/>
        </w:rPr>
        <w:t xml:space="preserve"> vote &amp; LD 2017 vote share = 0.25*</w:t>
      </w:r>
    </w:p>
    <w:p w14:paraId="0791CE17" w14:textId="7DE590DA" w:rsidR="006F2387" w:rsidRDefault="006F2387" w:rsidP="003A729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Correlation – </w:t>
      </w:r>
      <w:r w:rsidR="000A6640">
        <w:rPr>
          <w:rFonts w:ascii="Times New Roman" w:hAnsi="Times New Roman" w:cs="Times New Roman"/>
          <w:sz w:val="24"/>
          <w:szCs w:val="24"/>
        </w:rPr>
        <w:t>Remain</w:t>
      </w:r>
      <w:r>
        <w:rPr>
          <w:rFonts w:ascii="Times New Roman" w:hAnsi="Times New Roman" w:cs="Times New Roman"/>
          <w:sz w:val="24"/>
          <w:szCs w:val="24"/>
        </w:rPr>
        <w:t xml:space="preserve"> vote &amp; LD 2015 vote share = 0.19*</w:t>
      </w:r>
    </w:p>
    <w:p w14:paraId="7F9BFF93" w14:textId="6AF2F4BA" w:rsidR="006F2387" w:rsidRDefault="006F2387" w:rsidP="003A729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Correlation – </w:t>
      </w:r>
      <w:r w:rsidR="000A6640">
        <w:rPr>
          <w:rFonts w:ascii="Times New Roman" w:hAnsi="Times New Roman" w:cs="Times New Roman"/>
          <w:sz w:val="24"/>
          <w:szCs w:val="24"/>
        </w:rPr>
        <w:t>Remain</w:t>
      </w:r>
      <w:r>
        <w:rPr>
          <w:rFonts w:ascii="Times New Roman" w:hAnsi="Times New Roman" w:cs="Times New Roman"/>
          <w:sz w:val="24"/>
          <w:szCs w:val="24"/>
        </w:rPr>
        <w:t xml:space="preserve"> vote &amp; Change LD 2015-17 vote share = 0.15*</w:t>
      </w:r>
    </w:p>
    <w:p w14:paraId="1EA8A596" w14:textId="77777777" w:rsidR="006F2387" w:rsidRDefault="006F2387" w:rsidP="003A729C">
      <w:pPr>
        <w:autoSpaceDE w:val="0"/>
        <w:autoSpaceDN w:val="0"/>
        <w:adjustRightInd w:val="0"/>
        <w:spacing w:after="0" w:line="400" w:lineRule="atLeast"/>
        <w:rPr>
          <w:rFonts w:ascii="Times New Roman" w:hAnsi="Times New Roman" w:cs="Times New Roman"/>
          <w:sz w:val="24"/>
          <w:szCs w:val="24"/>
        </w:rPr>
      </w:pPr>
    </w:p>
    <w:p w14:paraId="46E536A5" w14:textId="77777777" w:rsidR="006F2387" w:rsidRDefault="006F2387" w:rsidP="003A729C">
      <w:pPr>
        <w:autoSpaceDE w:val="0"/>
        <w:autoSpaceDN w:val="0"/>
        <w:adjustRightInd w:val="0"/>
        <w:spacing w:after="0" w:line="400" w:lineRule="atLeast"/>
        <w:rPr>
          <w:rFonts w:ascii="Times New Roman" w:hAnsi="Times New Roman" w:cs="Times New Roman"/>
          <w:sz w:val="24"/>
          <w:szCs w:val="24"/>
        </w:rPr>
      </w:pPr>
    </w:p>
    <w:p w14:paraId="626E38E6" w14:textId="77777777" w:rsidR="006F2387" w:rsidRPr="00375952" w:rsidRDefault="006F2387" w:rsidP="003A729C">
      <w:pPr>
        <w:jc w:val="both"/>
        <w:rPr>
          <w:rFonts w:ascii="Times New Roman" w:hAnsi="Times New Roman" w:cs="Times New Roman"/>
          <w:sz w:val="24"/>
          <w:szCs w:val="24"/>
        </w:rPr>
      </w:pPr>
    </w:p>
    <w:p w14:paraId="5CA11FAC" w14:textId="77777777" w:rsidR="006F2387" w:rsidRDefault="006F2387"/>
    <w:sectPr w:rsidR="006F2387" w:rsidSect="00EF21F1">
      <w:footerReference w:type="even" r:id="rId18"/>
      <w:footerReference w:type="default" r:id="rId1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E170" w14:textId="77777777" w:rsidR="00006932" w:rsidRDefault="00006932" w:rsidP="00EF21F1">
      <w:pPr>
        <w:spacing w:after="0" w:line="240" w:lineRule="auto"/>
      </w:pPr>
      <w:r>
        <w:separator/>
      </w:r>
    </w:p>
  </w:endnote>
  <w:endnote w:type="continuationSeparator" w:id="0">
    <w:p w14:paraId="22A5E8EB" w14:textId="77777777" w:rsidR="00006932" w:rsidRDefault="00006932" w:rsidP="00EF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ADEA" w14:textId="77777777" w:rsidR="00D601B2" w:rsidRDefault="00D601B2" w:rsidP="00EF2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4D768" w14:textId="77777777" w:rsidR="00D601B2" w:rsidRDefault="00D601B2" w:rsidP="00EF21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A7CB7" w14:textId="6EAA1729" w:rsidR="00D601B2" w:rsidRDefault="00D601B2" w:rsidP="00EF2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2F2">
      <w:rPr>
        <w:rStyle w:val="PageNumber"/>
        <w:noProof/>
      </w:rPr>
      <w:t>29</w:t>
    </w:r>
    <w:r>
      <w:rPr>
        <w:rStyle w:val="PageNumber"/>
      </w:rPr>
      <w:fldChar w:fldCharType="end"/>
    </w:r>
  </w:p>
  <w:p w14:paraId="7E6F5BC2" w14:textId="77777777" w:rsidR="00D601B2" w:rsidRDefault="00D601B2" w:rsidP="00EF21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EF6CE" w14:textId="77777777" w:rsidR="00006932" w:rsidRDefault="00006932" w:rsidP="00EF21F1">
      <w:pPr>
        <w:spacing w:after="0" w:line="240" w:lineRule="auto"/>
      </w:pPr>
      <w:r>
        <w:separator/>
      </w:r>
    </w:p>
  </w:footnote>
  <w:footnote w:type="continuationSeparator" w:id="0">
    <w:p w14:paraId="4CEB0A49" w14:textId="77777777" w:rsidR="00006932" w:rsidRDefault="00006932" w:rsidP="00EF2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F1"/>
    <w:rsid w:val="00006932"/>
    <w:rsid w:val="00051C65"/>
    <w:rsid w:val="000A6640"/>
    <w:rsid w:val="000E0EF3"/>
    <w:rsid w:val="001142EF"/>
    <w:rsid w:val="0012086C"/>
    <w:rsid w:val="00153C5E"/>
    <w:rsid w:val="00167F0B"/>
    <w:rsid w:val="00175D4B"/>
    <w:rsid w:val="00190660"/>
    <w:rsid w:val="001A46D5"/>
    <w:rsid w:val="001A48EF"/>
    <w:rsid w:val="001B269D"/>
    <w:rsid w:val="001C439D"/>
    <w:rsid w:val="002116DD"/>
    <w:rsid w:val="002402A7"/>
    <w:rsid w:val="00281AD7"/>
    <w:rsid w:val="002830C3"/>
    <w:rsid w:val="0028434D"/>
    <w:rsid w:val="00290ED4"/>
    <w:rsid w:val="00293B09"/>
    <w:rsid w:val="002B7826"/>
    <w:rsid w:val="002E194C"/>
    <w:rsid w:val="002E3FD4"/>
    <w:rsid w:val="002F768E"/>
    <w:rsid w:val="00360907"/>
    <w:rsid w:val="0038604F"/>
    <w:rsid w:val="003A729C"/>
    <w:rsid w:val="003F390B"/>
    <w:rsid w:val="0042467A"/>
    <w:rsid w:val="004F1310"/>
    <w:rsid w:val="00500108"/>
    <w:rsid w:val="00521522"/>
    <w:rsid w:val="005450C0"/>
    <w:rsid w:val="00560E70"/>
    <w:rsid w:val="005F42AD"/>
    <w:rsid w:val="00626F55"/>
    <w:rsid w:val="006F2387"/>
    <w:rsid w:val="00743DA0"/>
    <w:rsid w:val="007572F2"/>
    <w:rsid w:val="007A58E7"/>
    <w:rsid w:val="007C7F1A"/>
    <w:rsid w:val="007F6B5D"/>
    <w:rsid w:val="0086742E"/>
    <w:rsid w:val="0088469D"/>
    <w:rsid w:val="008B59AC"/>
    <w:rsid w:val="008C2518"/>
    <w:rsid w:val="00915A80"/>
    <w:rsid w:val="009178A9"/>
    <w:rsid w:val="009A2E88"/>
    <w:rsid w:val="00AA2B5F"/>
    <w:rsid w:val="00B21052"/>
    <w:rsid w:val="00B40E09"/>
    <w:rsid w:val="00B60ECB"/>
    <w:rsid w:val="00BA3C86"/>
    <w:rsid w:val="00BC0741"/>
    <w:rsid w:val="00BC16D9"/>
    <w:rsid w:val="00C02D6F"/>
    <w:rsid w:val="00C27D41"/>
    <w:rsid w:val="00D01EFF"/>
    <w:rsid w:val="00D0549E"/>
    <w:rsid w:val="00D34CF9"/>
    <w:rsid w:val="00D43984"/>
    <w:rsid w:val="00D601B2"/>
    <w:rsid w:val="00E02BA8"/>
    <w:rsid w:val="00E07919"/>
    <w:rsid w:val="00E13CFD"/>
    <w:rsid w:val="00E178CF"/>
    <w:rsid w:val="00E757FE"/>
    <w:rsid w:val="00EE5A5B"/>
    <w:rsid w:val="00EE67B7"/>
    <w:rsid w:val="00EF21F1"/>
    <w:rsid w:val="00F06B7B"/>
    <w:rsid w:val="00F520C0"/>
    <w:rsid w:val="00F52869"/>
    <w:rsid w:val="00F542E8"/>
    <w:rsid w:val="00F6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05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F1"/>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12086C"/>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1F1"/>
    <w:rPr>
      <w:rFonts w:eastAsiaTheme="minorHAnsi"/>
      <w:sz w:val="20"/>
      <w:szCs w:val="20"/>
      <w:lang w:val="en-GB"/>
    </w:rPr>
  </w:style>
  <w:style w:type="character" w:styleId="FootnoteReference">
    <w:name w:val="footnote reference"/>
    <w:basedOn w:val="DefaultParagraphFont"/>
    <w:uiPriority w:val="99"/>
    <w:semiHidden/>
    <w:unhideWhenUsed/>
    <w:rsid w:val="00EF21F1"/>
    <w:rPr>
      <w:vertAlign w:val="superscript"/>
    </w:rPr>
  </w:style>
  <w:style w:type="character" w:styleId="CommentReference">
    <w:name w:val="annotation reference"/>
    <w:basedOn w:val="DefaultParagraphFont"/>
    <w:uiPriority w:val="99"/>
    <w:semiHidden/>
    <w:unhideWhenUsed/>
    <w:rsid w:val="00EF21F1"/>
    <w:rPr>
      <w:sz w:val="18"/>
      <w:szCs w:val="18"/>
    </w:rPr>
  </w:style>
  <w:style w:type="paragraph" w:styleId="CommentText">
    <w:name w:val="annotation text"/>
    <w:basedOn w:val="Normal"/>
    <w:link w:val="CommentTextChar"/>
    <w:uiPriority w:val="99"/>
    <w:unhideWhenUsed/>
    <w:rsid w:val="00EF21F1"/>
    <w:pPr>
      <w:spacing w:line="240" w:lineRule="auto"/>
    </w:pPr>
    <w:rPr>
      <w:sz w:val="24"/>
      <w:szCs w:val="24"/>
    </w:rPr>
  </w:style>
  <w:style w:type="character" w:customStyle="1" w:styleId="CommentTextChar">
    <w:name w:val="Comment Text Char"/>
    <w:basedOn w:val="DefaultParagraphFont"/>
    <w:link w:val="CommentText"/>
    <w:uiPriority w:val="99"/>
    <w:rsid w:val="00EF21F1"/>
    <w:rPr>
      <w:rFonts w:eastAsiaTheme="minorHAnsi"/>
      <w:lang w:val="en-GB"/>
    </w:rPr>
  </w:style>
  <w:style w:type="paragraph" w:styleId="BalloonText">
    <w:name w:val="Balloon Text"/>
    <w:basedOn w:val="Normal"/>
    <w:link w:val="BalloonTextChar"/>
    <w:uiPriority w:val="99"/>
    <w:semiHidden/>
    <w:unhideWhenUsed/>
    <w:rsid w:val="00EF21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1F1"/>
    <w:rPr>
      <w:rFonts w:ascii="Lucida Grande" w:eastAsiaTheme="minorHAnsi" w:hAnsi="Lucida Grande" w:cs="Lucida Grande"/>
      <w:sz w:val="18"/>
      <w:szCs w:val="18"/>
      <w:lang w:val="en-GB"/>
    </w:rPr>
  </w:style>
  <w:style w:type="paragraph" w:styleId="Footer">
    <w:name w:val="footer"/>
    <w:basedOn w:val="Normal"/>
    <w:link w:val="FooterChar"/>
    <w:uiPriority w:val="99"/>
    <w:unhideWhenUsed/>
    <w:rsid w:val="00EF21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1F1"/>
    <w:rPr>
      <w:rFonts w:eastAsiaTheme="minorHAnsi"/>
      <w:sz w:val="22"/>
      <w:szCs w:val="22"/>
      <w:lang w:val="en-GB"/>
    </w:rPr>
  </w:style>
  <w:style w:type="character" w:styleId="PageNumber">
    <w:name w:val="page number"/>
    <w:basedOn w:val="DefaultParagraphFont"/>
    <w:uiPriority w:val="99"/>
    <w:semiHidden/>
    <w:unhideWhenUsed/>
    <w:rsid w:val="00EF21F1"/>
  </w:style>
  <w:style w:type="paragraph" w:styleId="CommentSubject">
    <w:name w:val="annotation subject"/>
    <w:basedOn w:val="CommentText"/>
    <w:next w:val="CommentText"/>
    <w:link w:val="CommentSubjectChar"/>
    <w:uiPriority w:val="99"/>
    <w:semiHidden/>
    <w:unhideWhenUsed/>
    <w:rsid w:val="00EE67B7"/>
    <w:rPr>
      <w:b/>
      <w:bCs/>
      <w:sz w:val="20"/>
      <w:szCs w:val="20"/>
    </w:rPr>
  </w:style>
  <w:style w:type="character" w:customStyle="1" w:styleId="CommentSubjectChar">
    <w:name w:val="Comment Subject Char"/>
    <w:basedOn w:val="CommentTextChar"/>
    <w:link w:val="CommentSubject"/>
    <w:uiPriority w:val="99"/>
    <w:semiHidden/>
    <w:rsid w:val="00EE67B7"/>
    <w:rPr>
      <w:rFonts w:eastAsiaTheme="minorHAnsi"/>
      <w:b/>
      <w:bCs/>
      <w:sz w:val="20"/>
      <w:szCs w:val="20"/>
      <w:lang w:val="en-GB"/>
    </w:rPr>
  </w:style>
  <w:style w:type="table" w:styleId="TableGrid">
    <w:name w:val="Table Grid"/>
    <w:basedOn w:val="TableNormal"/>
    <w:uiPriority w:val="59"/>
    <w:rsid w:val="006F238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387"/>
    <w:pPr>
      <w:ind w:left="720"/>
      <w:contextualSpacing/>
    </w:pPr>
  </w:style>
  <w:style w:type="paragraph" w:styleId="EndnoteText">
    <w:name w:val="endnote text"/>
    <w:basedOn w:val="Normal"/>
    <w:link w:val="EndnoteTextChar"/>
    <w:uiPriority w:val="99"/>
    <w:semiHidden/>
    <w:unhideWhenUsed/>
    <w:rsid w:val="000A66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640"/>
    <w:rPr>
      <w:rFonts w:eastAsiaTheme="minorHAnsi"/>
      <w:sz w:val="20"/>
      <w:szCs w:val="20"/>
      <w:lang w:val="en-GB"/>
    </w:rPr>
  </w:style>
  <w:style w:type="character" w:styleId="EndnoteReference">
    <w:name w:val="endnote reference"/>
    <w:basedOn w:val="DefaultParagraphFont"/>
    <w:uiPriority w:val="99"/>
    <w:semiHidden/>
    <w:unhideWhenUsed/>
    <w:rsid w:val="000A6640"/>
    <w:rPr>
      <w:vertAlign w:val="superscript"/>
    </w:rPr>
  </w:style>
  <w:style w:type="character" w:customStyle="1" w:styleId="Heading1Char">
    <w:name w:val="Heading 1 Char"/>
    <w:basedOn w:val="DefaultParagraphFont"/>
    <w:link w:val="Heading1"/>
    <w:uiPriority w:val="9"/>
    <w:rsid w:val="0012086C"/>
    <w:rPr>
      <w:rFonts w:ascii="Times New Roman" w:eastAsia="Times New Roman" w:hAnsi="Times New Roman" w:cs="Times New Roman"/>
      <w:b/>
      <w:bCs/>
      <w:kern w:val="36"/>
      <w:sz w:val="42"/>
      <w:szCs w:val="42"/>
      <w:lang w:val="en-GB" w:eastAsia="en-GB"/>
    </w:rPr>
  </w:style>
  <w:style w:type="character" w:styleId="Hyperlink">
    <w:name w:val="Hyperlink"/>
    <w:basedOn w:val="DefaultParagraphFont"/>
    <w:uiPriority w:val="99"/>
    <w:unhideWhenUsed/>
    <w:rsid w:val="0012086C"/>
    <w:rPr>
      <w:strike w:val="0"/>
      <w:dstrike w:val="0"/>
      <w:color w:val="26747A"/>
      <w:u w:val="none"/>
      <w:effect w:val="none"/>
      <w:shd w:val="clear" w:color="auto" w:fill="auto"/>
    </w:rPr>
  </w:style>
  <w:style w:type="character" w:styleId="HTMLCite">
    <w:name w:val="HTML Cite"/>
    <w:basedOn w:val="DefaultParagraphFont"/>
    <w:uiPriority w:val="99"/>
    <w:semiHidden/>
    <w:unhideWhenUsed/>
    <w:rsid w:val="002402A7"/>
    <w:rPr>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F1"/>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12086C"/>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1F1"/>
    <w:rPr>
      <w:rFonts w:eastAsiaTheme="minorHAnsi"/>
      <w:sz w:val="20"/>
      <w:szCs w:val="20"/>
      <w:lang w:val="en-GB"/>
    </w:rPr>
  </w:style>
  <w:style w:type="character" w:styleId="FootnoteReference">
    <w:name w:val="footnote reference"/>
    <w:basedOn w:val="DefaultParagraphFont"/>
    <w:uiPriority w:val="99"/>
    <w:semiHidden/>
    <w:unhideWhenUsed/>
    <w:rsid w:val="00EF21F1"/>
    <w:rPr>
      <w:vertAlign w:val="superscript"/>
    </w:rPr>
  </w:style>
  <w:style w:type="character" w:styleId="CommentReference">
    <w:name w:val="annotation reference"/>
    <w:basedOn w:val="DefaultParagraphFont"/>
    <w:uiPriority w:val="99"/>
    <w:semiHidden/>
    <w:unhideWhenUsed/>
    <w:rsid w:val="00EF21F1"/>
    <w:rPr>
      <w:sz w:val="18"/>
      <w:szCs w:val="18"/>
    </w:rPr>
  </w:style>
  <w:style w:type="paragraph" w:styleId="CommentText">
    <w:name w:val="annotation text"/>
    <w:basedOn w:val="Normal"/>
    <w:link w:val="CommentTextChar"/>
    <w:uiPriority w:val="99"/>
    <w:unhideWhenUsed/>
    <w:rsid w:val="00EF21F1"/>
    <w:pPr>
      <w:spacing w:line="240" w:lineRule="auto"/>
    </w:pPr>
    <w:rPr>
      <w:sz w:val="24"/>
      <w:szCs w:val="24"/>
    </w:rPr>
  </w:style>
  <w:style w:type="character" w:customStyle="1" w:styleId="CommentTextChar">
    <w:name w:val="Comment Text Char"/>
    <w:basedOn w:val="DefaultParagraphFont"/>
    <w:link w:val="CommentText"/>
    <w:uiPriority w:val="99"/>
    <w:rsid w:val="00EF21F1"/>
    <w:rPr>
      <w:rFonts w:eastAsiaTheme="minorHAnsi"/>
      <w:lang w:val="en-GB"/>
    </w:rPr>
  </w:style>
  <w:style w:type="paragraph" w:styleId="BalloonText">
    <w:name w:val="Balloon Text"/>
    <w:basedOn w:val="Normal"/>
    <w:link w:val="BalloonTextChar"/>
    <w:uiPriority w:val="99"/>
    <w:semiHidden/>
    <w:unhideWhenUsed/>
    <w:rsid w:val="00EF21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1F1"/>
    <w:rPr>
      <w:rFonts w:ascii="Lucida Grande" w:eastAsiaTheme="minorHAnsi" w:hAnsi="Lucida Grande" w:cs="Lucida Grande"/>
      <w:sz w:val="18"/>
      <w:szCs w:val="18"/>
      <w:lang w:val="en-GB"/>
    </w:rPr>
  </w:style>
  <w:style w:type="paragraph" w:styleId="Footer">
    <w:name w:val="footer"/>
    <w:basedOn w:val="Normal"/>
    <w:link w:val="FooterChar"/>
    <w:uiPriority w:val="99"/>
    <w:unhideWhenUsed/>
    <w:rsid w:val="00EF21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1F1"/>
    <w:rPr>
      <w:rFonts w:eastAsiaTheme="minorHAnsi"/>
      <w:sz w:val="22"/>
      <w:szCs w:val="22"/>
      <w:lang w:val="en-GB"/>
    </w:rPr>
  </w:style>
  <w:style w:type="character" w:styleId="PageNumber">
    <w:name w:val="page number"/>
    <w:basedOn w:val="DefaultParagraphFont"/>
    <w:uiPriority w:val="99"/>
    <w:semiHidden/>
    <w:unhideWhenUsed/>
    <w:rsid w:val="00EF21F1"/>
  </w:style>
  <w:style w:type="paragraph" w:styleId="CommentSubject">
    <w:name w:val="annotation subject"/>
    <w:basedOn w:val="CommentText"/>
    <w:next w:val="CommentText"/>
    <w:link w:val="CommentSubjectChar"/>
    <w:uiPriority w:val="99"/>
    <w:semiHidden/>
    <w:unhideWhenUsed/>
    <w:rsid w:val="00EE67B7"/>
    <w:rPr>
      <w:b/>
      <w:bCs/>
      <w:sz w:val="20"/>
      <w:szCs w:val="20"/>
    </w:rPr>
  </w:style>
  <w:style w:type="character" w:customStyle="1" w:styleId="CommentSubjectChar">
    <w:name w:val="Comment Subject Char"/>
    <w:basedOn w:val="CommentTextChar"/>
    <w:link w:val="CommentSubject"/>
    <w:uiPriority w:val="99"/>
    <w:semiHidden/>
    <w:rsid w:val="00EE67B7"/>
    <w:rPr>
      <w:rFonts w:eastAsiaTheme="minorHAnsi"/>
      <w:b/>
      <w:bCs/>
      <w:sz w:val="20"/>
      <w:szCs w:val="20"/>
      <w:lang w:val="en-GB"/>
    </w:rPr>
  </w:style>
  <w:style w:type="table" w:styleId="TableGrid">
    <w:name w:val="Table Grid"/>
    <w:basedOn w:val="TableNormal"/>
    <w:uiPriority w:val="59"/>
    <w:rsid w:val="006F238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387"/>
    <w:pPr>
      <w:ind w:left="720"/>
      <w:contextualSpacing/>
    </w:pPr>
  </w:style>
  <w:style w:type="paragraph" w:styleId="EndnoteText">
    <w:name w:val="endnote text"/>
    <w:basedOn w:val="Normal"/>
    <w:link w:val="EndnoteTextChar"/>
    <w:uiPriority w:val="99"/>
    <w:semiHidden/>
    <w:unhideWhenUsed/>
    <w:rsid w:val="000A66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640"/>
    <w:rPr>
      <w:rFonts w:eastAsiaTheme="minorHAnsi"/>
      <w:sz w:val="20"/>
      <w:szCs w:val="20"/>
      <w:lang w:val="en-GB"/>
    </w:rPr>
  </w:style>
  <w:style w:type="character" w:styleId="EndnoteReference">
    <w:name w:val="endnote reference"/>
    <w:basedOn w:val="DefaultParagraphFont"/>
    <w:uiPriority w:val="99"/>
    <w:semiHidden/>
    <w:unhideWhenUsed/>
    <w:rsid w:val="000A6640"/>
    <w:rPr>
      <w:vertAlign w:val="superscript"/>
    </w:rPr>
  </w:style>
  <w:style w:type="character" w:customStyle="1" w:styleId="Heading1Char">
    <w:name w:val="Heading 1 Char"/>
    <w:basedOn w:val="DefaultParagraphFont"/>
    <w:link w:val="Heading1"/>
    <w:uiPriority w:val="9"/>
    <w:rsid w:val="0012086C"/>
    <w:rPr>
      <w:rFonts w:ascii="Times New Roman" w:eastAsia="Times New Roman" w:hAnsi="Times New Roman" w:cs="Times New Roman"/>
      <w:b/>
      <w:bCs/>
      <w:kern w:val="36"/>
      <w:sz w:val="42"/>
      <w:szCs w:val="42"/>
      <w:lang w:val="en-GB" w:eastAsia="en-GB"/>
    </w:rPr>
  </w:style>
  <w:style w:type="character" w:styleId="Hyperlink">
    <w:name w:val="Hyperlink"/>
    <w:basedOn w:val="DefaultParagraphFont"/>
    <w:uiPriority w:val="99"/>
    <w:unhideWhenUsed/>
    <w:rsid w:val="0012086C"/>
    <w:rPr>
      <w:strike w:val="0"/>
      <w:dstrike w:val="0"/>
      <w:color w:val="26747A"/>
      <w:u w:val="none"/>
      <w:effect w:val="none"/>
      <w:shd w:val="clear" w:color="auto" w:fill="auto"/>
    </w:rPr>
  </w:style>
  <w:style w:type="character" w:styleId="HTMLCite">
    <w:name w:val="HTML Cite"/>
    <w:basedOn w:val="DefaultParagraphFont"/>
    <w:uiPriority w:val="99"/>
    <w:semiHidden/>
    <w:unhideWhenUsed/>
    <w:rsid w:val="002402A7"/>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cademic.oup.com/search-results?f_Authors=Jon+Mell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holar.google.com/scholar?q=%22author:Mellon%20author:J.%22" TargetMode="External"/><Relationship Id="rId11" Type="http://schemas.openxmlformats.org/officeDocument/2006/relationships/hyperlink" Target="http://www.independent.co.uk/news/uk/politics/tim-farron-general-election-liberal-democrat-leader-snap-change-country-direction-chance-june-8-a7688486.html" TargetMode="External"/><Relationship Id="rId12" Type="http://schemas.openxmlformats.org/officeDocument/2006/relationships/hyperlink" Target="http://www.politico.eu/article/tim-farron-liberal-democrats-back-second-brexit-vote-deal-theresa-may-uk/" TargetMode="External"/><Relationship Id="rId13" Type="http://schemas.openxmlformats.org/officeDocument/2006/relationships/hyperlink" Target="http://www.telegraph.co.uk/news/2017/05/26/tim-half-voters-do-not-know-tim-farron/" TargetMode="External"/><Relationship Id="rId14" Type="http://schemas.openxmlformats.org/officeDocument/2006/relationships/hyperlink" Target="https://yougov.co.uk/news/2016/09/19/tim-who-where-now-liberal-democrats/" TargetMode="External"/><Relationship Id="rId15" Type="http://schemas.openxmlformats.org/officeDocument/2006/relationships/hyperlink" Target="https://yougov.co.uk/news/2017/03/29/attitudes-brexit-everything-we-know-so-far/"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kandeu.ac.uk/project-comeback-will-the-liberal-democrats-really-give-may-a-bloody-n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411F-A053-EE4F-AFA4-6EF782E0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7253</Words>
  <Characters>41347</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Representation</Company>
  <LinksUpToDate>false</LinksUpToDate>
  <CharactersWithSpaces>48503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Russell</dc:creator>
  <cp:lastModifiedBy>Andrew Russell</cp:lastModifiedBy>
  <cp:revision>2</cp:revision>
  <dcterms:created xsi:type="dcterms:W3CDTF">2019-09-12T15:05:00Z</dcterms:created>
  <dcterms:modified xsi:type="dcterms:W3CDTF">2019-09-12T15:05:00Z</dcterms:modified>
</cp:coreProperties>
</file>