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988" w:rsidRDefault="00E52988" w:rsidP="00E52988">
      <w:pPr>
        <w:pStyle w:val="BodyText"/>
        <w:rPr>
          <w:b/>
        </w:rPr>
      </w:pPr>
    </w:p>
    <w:p w:rsidR="00E52988" w:rsidRDefault="00E52988" w:rsidP="00E52988">
      <w:pPr>
        <w:pStyle w:val="BodyText"/>
        <w:rPr>
          <w:b/>
        </w:rPr>
      </w:pPr>
    </w:p>
    <w:p w:rsidR="00E52988" w:rsidRPr="0086243A" w:rsidRDefault="00E52988" w:rsidP="003420FE">
      <w:pPr>
        <w:pStyle w:val="BodyText"/>
        <w:jc w:val="center"/>
        <w:rPr>
          <w:b/>
        </w:rPr>
      </w:pPr>
      <w:r w:rsidRPr="0086243A">
        <w:rPr>
          <w:b/>
        </w:rPr>
        <w:t xml:space="preserve">TRANSFORMATION OR REPRODUCTION? </w:t>
      </w:r>
      <w:r w:rsidR="00944970">
        <w:rPr>
          <w:b/>
        </w:rPr>
        <w:t xml:space="preserve">TRENDS WITH AGE IN </w:t>
      </w:r>
      <w:r w:rsidRPr="0086243A">
        <w:rPr>
          <w:b/>
        </w:rPr>
        <w:t xml:space="preserve">GENDER AND CLASS </w:t>
      </w:r>
      <w:r w:rsidR="00944970">
        <w:rPr>
          <w:b/>
        </w:rPr>
        <w:t>DIVISIONS</w:t>
      </w:r>
      <w:r w:rsidRPr="0086243A">
        <w:rPr>
          <w:b/>
        </w:rPr>
        <w:t xml:space="preserve"> IN YOUNG SINGLE ADULTS’ USES OF FREE TIME IN SOUTH AND EAST MEDITERRANEAN COUNTRIES SINCE ‘THE EVENTS OF 2011’*</w:t>
      </w:r>
    </w:p>
    <w:p w:rsidR="00E52988" w:rsidRPr="00EE6A4A" w:rsidRDefault="00E52988" w:rsidP="00E52988">
      <w:pPr>
        <w:spacing w:line="360" w:lineRule="auto"/>
        <w:jc w:val="center"/>
        <w:rPr>
          <w:b/>
        </w:rPr>
      </w:pPr>
      <w:r w:rsidRPr="00EE6A4A">
        <w:rPr>
          <w:b/>
        </w:rPr>
        <w:t>Ken Roberts</w:t>
      </w:r>
    </w:p>
    <w:p w:rsidR="00E52988" w:rsidRPr="00EE6A4A" w:rsidRDefault="00E52988" w:rsidP="00E52988">
      <w:pPr>
        <w:spacing w:line="360" w:lineRule="auto"/>
        <w:jc w:val="center"/>
        <w:rPr>
          <w:b/>
          <w:lang w:val="en-US"/>
        </w:rPr>
      </w:pPr>
      <w:r w:rsidRPr="00EE6A4A">
        <w:rPr>
          <w:b/>
        </w:rPr>
        <w:t>University of Liverpool</w:t>
      </w:r>
      <w:r w:rsidRPr="00EE6A4A">
        <w:rPr>
          <w:b/>
          <w:lang w:val="en-US"/>
        </w:rPr>
        <w:t>,</w:t>
      </w:r>
    </w:p>
    <w:p w:rsidR="00E52988" w:rsidRPr="00EE6A4A" w:rsidRDefault="00E52988" w:rsidP="00E52988">
      <w:pPr>
        <w:spacing w:line="360" w:lineRule="auto"/>
        <w:jc w:val="center"/>
        <w:rPr>
          <w:b/>
        </w:rPr>
      </w:pPr>
      <w:r w:rsidRPr="00EE6A4A">
        <w:rPr>
          <w:b/>
        </w:rPr>
        <w:t>Siyka Kovacheva</w:t>
      </w:r>
    </w:p>
    <w:p w:rsidR="00E52988" w:rsidRPr="00EE6A4A" w:rsidRDefault="00E52988" w:rsidP="00E52988">
      <w:pPr>
        <w:spacing w:line="360" w:lineRule="auto"/>
        <w:jc w:val="center"/>
        <w:rPr>
          <w:b/>
        </w:rPr>
      </w:pPr>
      <w:r w:rsidRPr="00EE6A4A">
        <w:rPr>
          <w:b/>
        </w:rPr>
        <w:t>University of Plovdiv,</w:t>
      </w:r>
    </w:p>
    <w:p w:rsidR="00E52988" w:rsidRPr="00EE6A4A" w:rsidRDefault="00E52988" w:rsidP="00E52988">
      <w:pPr>
        <w:spacing w:line="360" w:lineRule="auto"/>
        <w:jc w:val="center"/>
        <w:rPr>
          <w:b/>
          <w:lang w:val="en-US"/>
        </w:rPr>
      </w:pPr>
      <w:r w:rsidRPr="00EE6A4A">
        <w:rPr>
          <w:b/>
          <w:lang w:val="en-US"/>
        </w:rPr>
        <w:t>and</w:t>
      </w:r>
    </w:p>
    <w:p w:rsidR="00E52988" w:rsidRPr="00EE6A4A" w:rsidRDefault="00E52988" w:rsidP="00E52988">
      <w:pPr>
        <w:pStyle w:val="Title"/>
        <w:spacing w:line="360" w:lineRule="auto"/>
        <w:jc w:val="center"/>
        <w:rPr>
          <w:rFonts w:ascii="Times New Roman" w:hAnsi="Times New Roman" w:cs="Times New Roman"/>
          <w:b/>
          <w:sz w:val="24"/>
          <w:szCs w:val="24"/>
        </w:rPr>
      </w:pPr>
      <w:r w:rsidRPr="00EE6A4A">
        <w:rPr>
          <w:rFonts w:ascii="Times New Roman" w:hAnsi="Times New Roman" w:cs="Times New Roman"/>
          <w:b/>
          <w:sz w:val="24"/>
          <w:szCs w:val="24"/>
        </w:rPr>
        <w:t>Stanimir Kabaivanov</w:t>
      </w:r>
    </w:p>
    <w:p w:rsidR="00E52988" w:rsidRPr="00EE6A4A" w:rsidRDefault="00E52988" w:rsidP="00E52988">
      <w:pPr>
        <w:pStyle w:val="Subtitle"/>
        <w:spacing w:line="360" w:lineRule="auto"/>
        <w:jc w:val="center"/>
        <w:rPr>
          <w:rFonts w:ascii="Times New Roman" w:hAnsi="Times New Roman" w:cs="Times New Roman"/>
          <w:b/>
          <w:sz w:val="24"/>
          <w:szCs w:val="24"/>
        </w:rPr>
      </w:pPr>
      <w:r w:rsidRPr="00EE6A4A">
        <w:rPr>
          <w:rFonts w:ascii="Times New Roman" w:hAnsi="Times New Roman" w:cs="Times New Roman"/>
          <w:b/>
          <w:sz w:val="24"/>
          <w:szCs w:val="24"/>
        </w:rPr>
        <w:t>University of Plovdiv</w:t>
      </w:r>
    </w:p>
    <w:p w:rsidR="00E52988" w:rsidRPr="00ED1686" w:rsidRDefault="00E52988" w:rsidP="00E52988">
      <w:pPr>
        <w:jc w:val="center"/>
      </w:pPr>
    </w:p>
    <w:p w:rsidR="00E52988" w:rsidRDefault="00E52988" w:rsidP="00E52988">
      <w:pPr>
        <w:pStyle w:val="BodyText"/>
        <w:spacing w:line="240" w:lineRule="auto"/>
      </w:pPr>
      <w:r w:rsidRPr="00ED1686">
        <w:t xml:space="preserve">*This paper has been prepared within the research project FP7-SSH-2013-2 SAHWA: </w:t>
      </w:r>
      <w:r w:rsidRPr="00ED1686">
        <w:rPr>
          <w:rFonts w:eastAsia="Times New Roman"/>
          <w:kern w:val="36"/>
          <w:lang w:val="en-US"/>
        </w:rPr>
        <w:t xml:space="preserve">Researching Arab Mediterranean Youth: </w:t>
      </w:r>
      <w:r w:rsidRPr="00ED1686">
        <w:rPr>
          <w:rFonts w:eastAsia="Times New Roman"/>
          <w:lang w:val="en-US"/>
        </w:rPr>
        <w:t xml:space="preserve">Towards a New Social Contract. </w:t>
      </w:r>
      <w:r w:rsidRPr="00ED1686">
        <w:t xml:space="preserve">We acknowledge the contributions of research teams from The Centre for International Affairs (CIDOB), Barcelona who coordinated the project; the Centre of Arab Women for Training and Research, Tunis; the Centre de Recherche en Economie Appliquee pour le Developpement, Algiers; the Insitut des Hautes Etudes de Management, Rabat; the Lebanese American University, Beirut; and the American University in Cairo who supervised the survey work in their respective countries. </w:t>
      </w:r>
    </w:p>
    <w:p w:rsidR="00B9553B" w:rsidRDefault="00B9553B" w:rsidP="00E52988">
      <w:pPr>
        <w:pStyle w:val="BodyText"/>
        <w:spacing w:line="240" w:lineRule="auto"/>
      </w:pPr>
    </w:p>
    <w:p w:rsidR="00B9553B" w:rsidRDefault="00B9553B" w:rsidP="00B9553B">
      <w:pPr>
        <w:pStyle w:val="Date"/>
        <w:jc w:val="right"/>
      </w:pPr>
      <w:r>
        <w:t>April 2019</w:t>
      </w:r>
    </w:p>
    <w:p w:rsidR="00B9553B" w:rsidRDefault="00B9553B" w:rsidP="00E52988">
      <w:pPr>
        <w:pStyle w:val="BodyText"/>
        <w:spacing w:line="240" w:lineRule="auto"/>
      </w:pPr>
    </w:p>
    <w:p w:rsidR="00E52988" w:rsidRDefault="00E52988" w:rsidP="00E52988">
      <w:pPr>
        <w:spacing w:after="160" w:line="240" w:lineRule="auto"/>
      </w:pPr>
      <w:r>
        <w:br w:type="page"/>
      </w:r>
    </w:p>
    <w:p w:rsidR="00E52988" w:rsidRDefault="00E52988" w:rsidP="00E52988">
      <w:pPr>
        <w:rPr>
          <w:b/>
        </w:rPr>
      </w:pPr>
      <w:r w:rsidRPr="00EE6A4A">
        <w:rPr>
          <w:b/>
        </w:rPr>
        <w:lastRenderedPageBreak/>
        <w:t>Abstract</w:t>
      </w:r>
    </w:p>
    <w:p w:rsidR="00950E43" w:rsidRPr="00950E43" w:rsidRDefault="00950E43" w:rsidP="00E52988">
      <w:r>
        <w:t xml:space="preserve">This paper urges resetting research into youth and leisure to match recent extensions of the life stage. It also proposes that the special mission of sociology within studies of youth and leisure should be to focus on ‘Big Leisure’, all of it, rather than a series of ‘little leisures’. These proposals are applied in analysing the findings from surveys of nationally representative samples totalling approximately 2000 15-29 year olds in each of five South and East Mediterranean countries (Algeria, Egypt, Lebanon, Morocco and Tunisia). The results show gender differences in uses of free time widening, and </w:t>
      </w:r>
      <w:r w:rsidR="003662E8">
        <w:t xml:space="preserve">differences by </w:t>
      </w:r>
      <w:r>
        <w:t>social class origins</w:t>
      </w:r>
      <w:r w:rsidR="003662E8">
        <w:t xml:space="preserve"> weakening but remaining</w:t>
      </w:r>
      <w:r>
        <w:t xml:space="preserve"> influential throughout the extended youth life stage, w</w:t>
      </w:r>
      <w:r w:rsidR="00440D4D">
        <w:t>hile</w:t>
      </w:r>
      <w:r>
        <w:t xml:space="preserve"> the influence on leisure of levels of educational attainment and labour force experience assist the</w:t>
      </w:r>
      <w:r w:rsidR="00440D4D">
        <w:t xml:space="preserve"> </w:t>
      </w:r>
      <w:r>
        <w:t xml:space="preserve">reproduction of existing social </w:t>
      </w:r>
      <w:r w:rsidR="003662E8">
        <w:t xml:space="preserve">class </w:t>
      </w:r>
      <w:r>
        <w:t>formations. It is argued that the fa</w:t>
      </w:r>
      <w:r w:rsidR="00440D4D">
        <w:t>i</w:t>
      </w:r>
      <w:r>
        <w:t>l</w:t>
      </w:r>
      <w:r w:rsidR="00440D4D">
        <w:t>u</w:t>
      </w:r>
      <w:r>
        <w:t>re of the ‘Arab Spring’ to trigger wider social and economic transformation</w:t>
      </w:r>
      <w:r w:rsidR="00440D4D">
        <w:t>s</w:t>
      </w:r>
      <w:r>
        <w:t xml:space="preserve"> in the region is mirrored in young people’s uses of leisure </w:t>
      </w:r>
      <w:r w:rsidR="00440D4D">
        <w:t xml:space="preserve">which are helping to </w:t>
      </w:r>
      <w:r>
        <w:t>perpetuat</w:t>
      </w:r>
      <w:r w:rsidR="00440D4D">
        <w:t>e</w:t>
      </w:r>
      <w:r>
        <w:t xml:space="preserve"> existing di</w:t>
      </w:r>
      <w:r w:rsidR="008E7802">
        <w:t>visions</w:t>
      </w:r>
      <w:r>
        <w:t>, thereby tending to stabilise rather than undermine the region’s Arab-Islamic version of modernity.</w:t>
      </w:r>
    </w:p>
    <w:p w:rsidR="00E52988" w:rsidRPr="00C142B0" w:rsidRDefault="00E52988" w:rsidP="00E52988">
      <w:r w:rsidRPr="00EE6A4A">
        <w:rPr>
          <w:b/>
        </w:rPr>
        <w:t>Keywords:</w:t>
      </w:r>
      <w:r>
        <w:rPr>
          <w:b/>
        </w:rPr>
        <w:t xml:space="preserve"> </w:t>
      </w:r>
      <w:r>
        <w:t xml:space="preserve">Arab, free time, </w:t>
      </w:r>
      <w:r w:rsidR="00440D4D">
        <w:t>ge</w:t>
      </w:r>
      <w:r>
        <w:t>nder, leisure, leisure careers, social class, youth.</w:t>
      </w:r>
      <w:r w:rsidRPr="00C142B0">
        <w:br w:type="page"/>
      </w:r>
    </w:p>
    <w:p w:rsidR="00E52988" w:rsidRPr="00EE6A4A" w:rsidRDefault="00E52988" w:rsidP="00E52988">
      <w:pPr>
        <w:jc w:val="center"/>
        <w:rPr>
          <w:b/>
        </w:rPr>
      </w:pPr>
      <w:r w:rsidRPr="00EE6A4A">
        <w:rPr>
          <w:b/>
        </w:rPr>
        <w:lastRenderedPageBreak/>
        <w:t>INTRODUCTION</w:t>
      </w:r>
    </w:p>
    <w:p w:rsidR="00E52988" w:rsidRPr="00EE6A4A" w:rsidRDefault="00E52988" w:rsidP="00E52988">
      <w:pPr>
        <w:rPr>
          <w:b/>
        </w:rPr>
      </w:pPr>
      <w:r w:rsidRPr="00EE6A4A">
        <w:rPr>
          <w:b/>
        </w:rPr>
        <w:t>Leisure during the youth life stage</w:t>
      </w:r>
    </w:p>
    <w:p w:rsidR="00E52988" w:rsidRDefault="00E52988" w:rsidP="00E52988">
      <w:pPr>
        <w:pStyle w:val="BodyText"/>
      </w:pPr>
      <w:r>
        <w:t>Studies of youth and leisure need a new paradigm: a new set of questions and methods for their investigation. The field needs a thorough decoupling from the early-20</w:t>
      </w:r>
      <w:r w:rsidRPr="00032FA7">
        <w:rPr>
          <w:vertAlign w:val="superscript"/>
        </w:rPr>
        <w:t>th</w:t>
      </w:r>
      <w:r>
        <w:t xml:space="preserve"> century bio-psychology of adolescence (see Hall, 1904) and its later neo-Freudian elaborations (for example, Erikson, 1968). The field also needs releasing from a 20</w:t>
      </w:r>
      <w:r w:rsidRPr="00032FA7">
        <w:rPr>
          <w:vertAlign w:val="superscript"/>
        </w:rPr>
        <w:t>th</w:t>
      </w:r>
      <w:r>
        <w:t xml:space="preserve"> century pre-occupation with ‘at risk’ youth. The risks have been updated from delinquency through alcohol, tobacco, drugs, unsafe sex, online grooming and bullying, and body image neuroses, but a desire to shift youth from ‘unhealthy’ to ‘wholesome’ uses of free time has remained pivotal (as, for example, in Witt and Crompton, 1998). A new paradigm is needed because </w:t>
      </w:r>
      <w:r w:rsidR="003662E8">
        <w:t xml:space="preserve">during and </w:t>
      </w:r>
      <w:r>
        <w:t>since the closing decades of the 20</w:t>
      </w:r>
      <w:r w:rsidRPr="009252B8">
        <w:rPr>
          <w:vertAlign w:val="superscript"/>
        </w:rPr>
        <w:t>th</w:t>
      </w:r>
      <w:r>
        <w:t xml:space="preserve"> century there has been a worldwide lengthening of the youth life stage. Young people have been spending more years in education. It has taken even longer for them to obtain jobs with the salaries and security that will support an adult life. There have been upward movements in the typical ages of first marriages and parenthood. The South and East Mediterranean countries which feature in the following passages have not been exceptions to these trends.</w:t>
      </w:r>
    </w:p>
    <w:p w:rsidR="00E52988" w:rsidRDefault="00E52988" w:rsidP="00E52988">
      <w:pPr>
        <w:pStyle w:val="BodyText"/>
      </w:pPr>
    </w:p>
    <w:p w:rsidR="00E52988" w:rsidRDefault="00E52988" w:rsidP="00E52988">
      <w:pPr>
        <w:pStyle w:val="BodyText"/>
      </w:pPr>
      <w:r>
        <w:t xml:space="preserve">Other ‘youth and…’ research fields have adjusted. Instead of studying one-step education-to-work transitions, youth researchers have been identifying more complex sequences of steps through upper secondary and tertiary education, training, spells of unemployment, and in part-time, temporary or otherwise stop-gap jobs. Rather than young couples each leaving their parents’ homes, marrying and starting life in a new family home, all within a single day as an outcome of their first serious relationship, researchers have needed to engage with sequences of sexually intimate and romantic relationships and also, in some countries, housing careers out of parental homes followed by sequences of stays in rented accommodation, solo or sharing. Youth and leisure researchers need to engage with careers in uses of free time as, with increasing age, young people and young adults must find new age appropriate places to go and things to do (Hendry, 1983; Hendry et al, 1993, 2002). This applies to how and exactly where young people just ‘hang about’ in town centres and in their neighbourhoods (MacDonald and Shildrick, 2007). Up to now youth careers in participant sport have been examined with especially detailed and sustained attention (for example, see Birchwood et  al, 2008; Haycock and Smith, 2014; Parry, 2015; Roberts et al, 1991; Smith et al, 2015). There has been a related stream of research into how leisure tastes and skills acquired during childhood and youth may (or may not) be continued into and throughout adulthood (Bennett, 2006, 2013; Bennett and Hodkinson, 2012; Hodkinson, 2011; McGuire et al, 1987; Nagel, 2010; Scott and Willits, 1989). </w:t>
      </w:r>
    </w:p>
    <w:p w:rsidR="00E52988" w:rsidRDefault="00E52988" w:rsidP="00E52988">
      <w:pPr>
        <w:pStyle w:val="BodyText"/>
      </w:pPr>
    </w:p>
    <w:p w:rsidR="00E52988" w:rsidRDefault="00E52988" w:rsidP="00E52988">
      <w:pPr>
        <w:pStyle w:val="BodyText"/>
      </w:pPr>
      <w:r>
        <w:t xml:space="preserve">However, all the above pioneering studies have dealt with just one of the ‘little leisures’. This is not a criticism of specialisation, but the special mission of sociology in youth and leisure research must be to focus on ‘Big Leisure’ (see Roberts, 2011), and the research reported here is the first to cover such a wide youth age range (15-29) and to attempt to scan the whole of leisure. We find that the ‘little leisures’ of the subjects in this research (playing sport, going to the cinema, using libraries, attending festivals and other music events, going to the theatre, and visiting tearooms and cafes, for example) all had specific socio-demographic profiles of participants and trends with age. Leisure studies (plural) has a metaphorical warehouse in which all mixes of genders, sexual orientations, social classes and age groups, examples of resistance and conformity, change and continuity, can be found, but these are of minimal if any macro-societal significance. They tell us nothing about wider social trends. Big Leisure (singular, all of it) is different. Big Leisure is shaped by its surrounding economy, education, political order and family practices. Within leisure studies, the sociology of leisure’s special remit must be to address Big Leisure and discover whatever this can tell us about wider social changes and continuities. </w:t>
      </w:r>
    </w:p>
    <w:p w:rsidR="00E52988" w:rsidRDefault="00E52988" w:rsidP="00E52988">
      <w:pPr>
        <w:pStyle w:val="BodyText"/>
      </w:pPr>
    </w:p>
    <w:p w:rsidR="003662E8" w:rsidRDefault="00E52988" w:rsidP="003662E8">
      <w:pPr>
        <w:pStyle w:val="BodyText"/>
      </w:pPr>
      <w:r>
        <w:t>Here we focus on gender and class differences and how these changed or stayed constant during the extended youth life stage in South and East Mediterranean countries in the years following the tumultuous events of 2011 known as the Arab Spring. In early youth, class and gender differences in uses of free time will be products childhood family, neighbourhood and educational cultures. Then, during youth, family controls weaken, young people acquire agency and encounter a widening range of ways in which they can use their discretionary time and money. Their life chances depend increasingly on their own achievements in education and the labour market. Males and females may draw together or pull apart in their uses of free time. Class differences may widen or narrow, and</w:t>
      </w:r>
      <w:r w:rsidR="003662E8">
        <w:t>/or</w:t>
      </w:r>
      <w:r>
        <w:t xml:space="preserve"> may be reconstructed in the process of achieved positions replacing ascribed statuses in placing individuals within their societies’ systems of social stratification. </w:t>
      </w:r>
      <w:r w:rsidR="003662E8">
        <w:t xml:space="preserve">The social structures of all Arab-majority Mediterranean countries have been built on deep, thorough and (up to now) stable class and gender divisions. Beneath tiny, powerful business, political and military elites there have been middle classes of professionals, administrators and managers in the public sectors, and similar salaried employees alongside proprietors of large and small private businesses. The rest of the people have shared only exclusion from middle class privileges in education, employment, housing and, of course, free time options. Social class divisions have been cross-cut by gender divisions in which the public sphere has been male territory while women have been confined to the private spheres of homes and families. Most exceptions have been within the middle class, thus accentuating this class’s distinction. In what follows we are interested in differences in uses of free time </w:t>
      </w:r>
      <w:r w:rsidR="008E7802">
        <w:t>among</w:t>
      </w:r>
      <w:r w:rsidR="003662E8">
        <w:t xml:space="preserve"> the countries’ young people, and how these differences have changed, or remained as before, </w:t>
      </w:r>
      <w:r w:rsidR="00E419A9">
        <w:t xml:space="preserve">during </w:t>
      </w:r>
      <w:r w:rsidR="008E7802">
        <w:t xml:space="preserve">their </w:t>
      </w:r>
      <w:r w:rsidR="00E419A9">
        <w:t xml:space="preserve">extended life stage transitions </w:t>
      </w:r>
      <w:r w:rsidR="003662E8">
        <w:t xml:space="preserve">since ‘the events of 2011’. </w:t>
      </w:r>
    </w:p>
    <w:p w:rsidR="00E52988" w:rsidRPr="00EE6A4A" w:rsidRDefault="00E52988" w:rsidP="003662E8">
      <w:pPr>
        <w:pStyle w:val="BodyText"/>
        <w:rPr>
          <w:b/>
        </w:rPr>
      </w:pPr>
      <w:r w:rsidRPr="00EE6A4A">
        <w:rPr>
          <w:b/>
        </w:rPr>
        <w:t>Evidence</w:t>
      </w:r>
    </w:p>
    <w:p w:rsidR="00E52988" w:rsidRDefault="00E52988" w:rsidP="00E52988">
      <w:pPr>
        <w:pStyle w:val="BodyText"/>
      </w:pPr>
      <w:r>
        <w:t>This is from interview surveys in 2015-16 among nationally representative samples of 15-29 year olds in each of five South and East Mediterranean countries (Algeria, Egypt, Lebanon, Morocco and Tunisia). The fieldwork was supervised by local academic partners and conducted by survey organisations with experience of identifying nationally representative samples in their respective countries. The initial samples were always households, in which all residents aged 15-29 were interviewed. Fieldworkers went out in pairs and the interviews were always conducted by a same-sex interviewer. There was complementary qualitative fieldwork in three contrasting locations in each of the five countries (see Roberts et al, 2018c), but the following analysis uses data solely from the quantitative surveys.</w:t>
      </w:r>
    </w:p>
    <w:p w:rsidR="00E52988" w:rsidRDefault="00E52988" w:rsidP="00E52988">
      <w:pPr>
        <w:pStyle w:val="BodyText"/>
      </w:pPr>
    </w:p>
    <w:p w:rsidR="00E52988" w:rsidRDefault="00E52988" w:rsidP="00E52988">
      <w:pPr>
        <w:pStyle w:val="BodyText"/>
      </w:pPr>
      <w:r>
        <w:t>The research was planned in the immediate aftermath of the ‘Arab Spring’ of 2011 when there was international interest in the conditions, grievances and aspirations of the region’s youth, and the interviews covered all aspects of respondents’ lives – their childhood families, education, employment and unemployment, profiles of religious and political orientations and activities, plus uses of free time for which respondents were asked about their frequency of participation in 16 different out-of-home leisure activities. Answers were recorded on a six-point scale with a range from never to every day. Throughout the following analysis we use ‘at least once a week’ as the cut-off for distinguishing regular participants from others, and we compare the mean number of activities practised per week by different socio-demographic groups. Respondents were also asked to estimate the time that they spent each day watching television and online. We asked which respondents belonged to from a list of seven types of community associations. Here we use ‘at least one’ to compare the engagement of different socio-demographic groups. We also asked whether, and if so how often, respondents attended a mosque, or less frequently a church, synagogue or another place of worship. Answers were recorded on a six-point scale, like involvement in other out-of-home free time activities, and again we use ‘at least once a week’ to separate regular attenders from others. Public religious practice, and participation in community associations, are uses of free time through which individuals can express and develop affinities with groups wider than their friends, families and neighbours.</w:t>
      </w:r>
    </w:p>
    <w:p w:rsidR="00E52988" w:rsidRDefault="00E52988" w:rsidP="00E52988">
      <w:pPr>
        <w:pStyle w:val="BodyText"/>
      </w:pPr>
    </w:p>
    <w:p w:rsidR="00E52988" w:rsidRDefault="00E52988" w:rsidP="00E52988">
      <w:pPr>
        <w:pStyle w:val="BodyText"/>
      </w:pPr>
      <w:r>
        <w:t>We restrict our analysis to single respondents having shown elsewhere that marriage was associated with a general reduction in out-of-home free time activities by men and women (Roberts et al, 2018a). Thus our comparisons between participation rates in different age groups (15-19, 20-24 and 25-29) are assumed to be age effects, features of normal (in the countries) age-related changes in uses of free time among unmarried youth and young adults, rather than consequences of changes in family circumstances.</w:t>
      </w:r>
    </w:p>
    <w:p w:rsidR="00E52988" w:rsidRDefault="00E52988" w:rsidP="00E52988">
      <w:pPr>
        <w:pStyle w:val="BodyText"/>
      </w:pPr>
    </w:p>
    <w:p w:rsidR="00E52988" w:rsidRDefault="00E52988" w:rsidP="00E52988">
      <w:pPr>
        <w:pStyle w:val="BodyText"/>
      </w:pPr>
      <w:r>
        <w:t xml:space="preserve">Throughout our analysis we divide respondents into age groups and by gender, and also by ‘social class’ origins, indicated most appropriately for our purposes by fathers’ education. Occupation proves a less precise indicator in countries where around a third of all male employment is self-employment which can mean anything from subsistence farming to a substantial enterprise. Father’s education was a good predictor of whether the fathers held (or had held if subsequently retired) ‘salariat’ (non-manual) positions. It is also likely to be a better indicator than occupations of a household’s cultural character. Fathers’ and mother’s education were positively inter-related, but fathers were the better educated: 10 percent of fathers against six percent of respondents’ mothers had been to university. Most mothers had ‘housewife’ as their sole occupation. As we had expected, fathers’ education predicted their children’s educational attainments and thereby indirectly, but also directly, their subsequent employment (Kovacheva et al, 2018a; Roberts et al, 2018b). We are not seeking to explain gender, age or social class differences in uses of free time, but to test whether differences between socio-demographic groups formed by age 15-19 remained unchanged throughout the 20-29 age range, or whether the genders and social classes pulled apart or became more similar in their uses of free time. These are our indicators of whether the Arab Spring had dislocated former social patterns, whether these were being reproduced or reconstituted. For this we also test whether respondents’ post-16 experiences had independent effects on their free time uses. For this purpose we group just the 25-29 age group into those with and without higher education qualifications, and also by their labour force positions. Here we treat males and females differently. Fifty-five percent of all young adult women in our surveys had never entered the labour market after leaving education, and this ‘inactive group’ among the 25-29 year olds are separated from those who were at least seeking jobs. Males are grouped according to the quality of their employment. Those with ‘salariat’ jobs (with written contracts of indefinite duration), or who were in informal jobs or self-employed with incomes above the lowest quartiles in their countries, are separated from a precariat of lower-paid employees, those who were currently unemployed, and others who had become long-term inactive in the labour market (see Roberts et al, 2018b). </w:t>
      </w:r>
    </w:p>
    <w:p w:rsidR="00E52988" w:rsidRDefault="00E52988" w:rsidP="00E52988">
      <w:pPr>
        <w:pStyle w:val="BodyText"/>
      </w:pPr>
    </w:p>
    <w:p w:rsidR="00E52988" w:rsidRDefault="00E52988" w:rsidP="00E52988">
      <w:pPr>
        <w:pStyle w:val="BodyText"/>
      </w:pPr>
      <w:r>
        <w:t xml:space="preserve">We expected differences in uses of free time by our youngest (15-19 year old) respondents to follow ascribed gender and social class positions. Then, during youth, we anticipated the influence of social class origins weakening as a result of social mobility (upward and downward) between social classes, and that achieved statuses in education and the labour market would replace class origins as the more powerful sources of class differences. In the process, it was possible that our research would record radical, transformative changes in which gender and social class differences widened or narrowed, and entirely new differences in uses of free time eroded older and created new socio-cultural formations. During and immediately following the ‘Arab Spring’ of 2011 it appeared that the region might be following a trajectory comparable to the communist bloc before, during and after ‘the events of 1989’ in East-Central Europe (see Pilkington, 1994). By the time that our surveys were underway in 2015 and 2016 we knew that the Arab Spring has not led to sweeping political or economic changes except in the countries that could not be included in the research (Libya and Syria) due to the ongoing civil wars (see Amour, 2018). However, it was possible that experience of the events of 2011 had changed the region’s youth in ways that would unsettle and eventually transform the countries, and focusing on Big Leisure enables </w:t>
      </w:r>
      <w:r w:rsidR="008E7802">
        <w:t xml:space="preserve">us to see whether </w:t>
      </w:r>
      <w:r>
        <w:t xml:space="preserve">what </w:t>
      </w:r>
      <w:r w:rsidR="008E7802">
        <w:t>seemed</w:t>
      </w:r>
      <w:r>
        <w:t xml:space="preserve"> ‘possible’</w:t>
      </w:r>
      <w:r w:rsidR="008E7802">
        <w:t xml:space="preserve"> in 2011 subsequently </w:t>
      </w:r>
      <w:r>
        <w:t>bec</w:t>
      </w:r>
      <w:r w:rsidR="008E7802">
        <w:t>a</w:t>
      </w:r>
      <w:r>
        <w:t>me ‘probable’.</w:t>
      </w:r>
    </w:p>
    <w:p w:rsidR="00E52988" w:rsidRPr="008B1FF5" w:rsidRDefault="00E52988" w:rsidP="00E52988">
      <w:pPr>
        <w:jc w:val="center"/>
        <w:rPr>
          <w:b/>
        </w:rPr>
      </w:pPr>
      <w:r w:rsidRPr="008B1FF5">
        <w:rPr>
          <w:b/>
        </w:rPr>
        <w:t>FINDINGS</w:t>
      </w:r>
    </w:p>
    <w:p w:rsidR="00E52988" w:rsidRPr="008B1FF5" w:rsidRDefault="00E52988" w:rsidP="00E52988">
      <w:pPr>
        <w:rPr>
          <w:b/>
        </w:rPr>
      </w:pPr>
      <w:r w:rsidRPr="008B1FF5">
        <w:rPr>
          <w:b/>
        </w:rPr>
        <w:t>Gender</w:t>
      </w:r>
    </w:p>
    <w:p w:rsidR="00E52988" w:rsidRDefault="00E52988" w:rsidP="00E52988">
      <w:r>
        <w:t>Our respondents’ most common form of out-of-home leisure was simply ‘going out with friends’. ‘Visiting cafes or tea rooms’ was in second place. It was followed by ‘playing sport’ by males. All other activities (and sport among females) had much lower</w:t>
      </w:r>
      <w:r w:rsidR="005D562F">
        <w:t xml:space="preserve"> (single digit)</w:t>
      </w:r>
      <w:r>
        <w:t xml:space="preserve"> participation rates. When a group’s mean score </w:t>
      </w:r>
      <w:r w:rsidR="0028616C">
        <w:t xml:space="preserve">in Table I </w:t>
      </w:r>
      <w:r>
        <w:t>is above 2.0 this typically means that the respondents were going out with friends, meeting them in cafes or tea rooms at least on</w:t>
      </w:r>
      <w:r w:rsidR="005D562F">
        <w:t>c</w:t>
      </w:r>
      <w:r>
        <w:t>e</w:t>
      </w:r>
      <w:r w:rsidR="005D562F">
        <w:t xml:space="preserve"> a</w:t>
      </w:r>
      <w:r>
        <w:t xml:space="preserve"> week, and doing something in addition (attending a music event, the cinema, theatre or library, for example).</w:t>
      </w:r>
    </w:p>
    <w:p w:rsidR="005D562F" w:rsidRDefault="005D562F">
      <w:pPr>
        <w:spacing w:after="160"/>
        <w:rPr>
          <w:b/>
        </w:rPr>
      </w:pPr>
      <w:r>
        <w:rPr>
          <w:b/>
        </w:rPr>
        <w:br w:type="page"/>
      </w:r>
    </w:p>
    <w:p w:rsidR="00E52988" w:rsidRPr="00B86E7C" w:rsidRDefault="00E52988" w:rsidP="00E52988">
      <w:pPr>
        <w:spacing w:line="240" w:lineRule="auto"/>
        <w:rPr>
          <w:b/>
        </w:rPr>
      </w:pPr>
      <w:r w:rsidRPr="00B86E7C">
        <w:rPr>
          <w:b/>
        </w:rPr>
        <w:t>Table I</w:t>
      </w:r>
    </w:p>
    <w:p w:rsidR="00E52988" w:rsidRPr="00B86E7C" w:rsidRDefault="00E52988" w:rsidP="00E52988">
      <w:pPr>
        <w:spacing w:line="240" w:lineRule="auto"/>
        <w:rPr>
          <w:b/>
        </w:rPr>
      </w:pPr>
      <w:r w:rsidRPr="00B86E7C">
        <w:rPr>
          <w:b/>
        </w:rPr>
        <w:t xml:space="preserve">Age, gender and participation in free time activities                                                                       </w:t>
      </w:r>
    </w:p>
    <w:p w:rsidR="00E52988" w:rsidRPr="0086243A" w:rsidRDefault="00E52988" w:rsidP="00E52988">
      <w:pPr>
        <w:pStyle w:val="BodyTextFirstIndent"/>
        <w:spacing w:line="240" w:lineRule="auto"/>
        <w:rPr>
          <w:b/>
        </w:rPr>
      </w:pPr>
      <w:r>
        <w:rPr>
          <w:b/>
        </w:rPr>
        <w:t xml:space="preserve">                                                            </w:t>
      </w:r>
      <w:r w:rsidRPr="0086243A">
        <w:rPr>
          <w:b/>
        </w:rPr>
        <w:t>Males                                      Females</w:t>
      </w:r>
    </w:p>
    <w:tbl>
      <w:tblPr>
        <w:tblStyle w:val="TableGrid"/>
        <w:tblW w:w="9067" w:type="dxa"/>
        <w:tblLook w:val="04A0" w:firstRow="1" w:lastRow="0" w:firstColumn="1" w:lastColumn="0" w:noHBand="0" w:noVBand="1"/>
      </w:tblPr>
      <w:tblGrid>
        <w:gridCol w:w="2745"/>
        <w:gridCol w:w="996"/>
        <w:gridCol w:w="996"/>
        <w:gridCol w:w="996"/>
        <w:gridCol w:w="343"/>
        <w:gridCol w:w="996"/>
        <w:gridCol w:w="999"/>
        <w:gridCol w:w="996"/>
      </w:tblGrid>
      <w:tr w:rsidR="00E52988" w:rsidRPr="00D9791A" w:rsidTr="003420FE">
        <w:tc>
          <w:tcPr>
            <w:tcW w:w="2745" w:type="dxa"/>
          </w:tcPr>
          <w:p w:rsidR="00E52988" w:rsidRPr="00D9791A" w:rsidRDefault="00E52988" w:rsidP="003420FE">
            <w:pPr>
              <w:rPr>
                <w:b/>
              </w:rPr>
            </w:pPr>
          </w:p>
        </w:tc>
        <w:tc>
          <w:tcPr>
            <w:tcW w:w="996" w:type="dxa"/>
          </w:tcPr>
          <w:p w:rsidR="00E52988" w:rsidRPr="00D9791A" w:rsidRDefault="00E52988" w:rsidP="003420FE">
            <w:pPr>
              <w:jc w:val="center"/>
              <w:rPr>
                <w:b/>
              </w:rPr>
            </w:pPr>
            <w:r w:rsidRPr="00D9791A">
              <w:rPr>
                <w:b/>
              </w:rPr>
              <w:t>15-19</w:t>
            </w:r>
          </w:p>
          <w:p w:rsidR="00E52988" w:rsidRPr="00D9791A" w:rsidRDefault="00E52988" w:rsidP="003420FE">
            <w:pPr>
              <w:jc w:val="center"/>
              <w:rPr>
                <w:b/>
              </w:rPr>
            </w:pPr>
          </w:p>
        </w:tc>
        <w:tc>
          <w:tcPr>
            <w:tcW w:w="996" w:type="dxa"/>
          </w:tcPr>
          <w:p w:rsidR="00E52988" w:rsidRPr="00D9791A" w:rsidRDefault="00E52988" w:rsidP="003420FE">
            <w:pPr>
              <w:jc w:val="center"/>
              <w:rPr>
                <w:b/>
              </w:rPr>
            </w:pPr>
            <w:r w:rsidRPr="00D9791A">
              <w:rPr>
                <w:b/>
              </w:rPr>
              <w:t>20-24</w:t>
            </w:r>
          </w:p>
          <w:p w:rsidR="00E52988" w:rsidRPr="00D9791A" w:rsidRDefault="00E52988" w:rsidP="003420FE">
            <w:pPr>
              <w:jc w:val="center"/>
              <w:rPr>
                <w:b/>
              </w:rPr>
            </w:pPr>
          </w:p>
        </w:tc>
        <w:tc>
          <w:tcPr>
            <w:tcW w:w="996" w:type="dxa"/>
          </w:tcPr>
          <w:p w:rsidR="00E52988" w:rsidRPr="00D9791A" w:rsidRDefault="00E52988" w:rsidP="003420FE">
            <w:pPr>
              <w:jc w:val="center"/>
              <w:rPr>
                <w:b/>
              </w:rPr>
            </w:pPr>
            <w:r w:rsidRPr="00D9791A">
              <w:rPr>
                <w:b/>
              </w:rPr>
              <w:t>25-29</w:t>
            </w:r>
          </w:p>
          <w:p w:rsidR="00E52988" w:rsidRPr="00D9791A" w:rsidRDefault="00E52988" w:rsidP="003420FE">
            <w:pPr>
              <w:jc w:val="center"/>
              <w:rPr>
                <w:b/>
              </w:rPr>
            </w:pPr>
          </w:p>
        </w:tc>
        <w:tc>
          <w:tcPr>
            <w:tcW w:w="343" w:type="dxa"/>
          </w:tcPr>
          <w:p w:rsidR="00E52988" w:rsidRPr="00D9791A" w:rsidRDefault="00E52988" w:rsidP="003420FE">
            <w:pPr>
              <w:jc w:val="center"/>
              <w:rPr>
                <w:b/>
              </w:rPr>
            </w:pPr>
          </w:p>
        </w:tc>
        <w:tc>
          <w:tcPr>
            <w:tcW w:w="996" w:type="dxa"/>
          </w:tcPr>
          <w:p w:rsidR="00E52988" w:rsidRPr="00D9791A" w:rsidRDefault="00E52988" w:rsidP="003420FE">
            <w:pPr>
              <w:jc w:val="center"/>
              <w:rPr>
                <w:b/>
              </w:rPr>
            </w:pPr>
            <w:r w:rsidRPr="00D9791A">
              <w:rPr>
                <w:b/>
              </w:rPr>
              <w:t>15-19</w:t>
            </w:r>
          </w:p>
          <w:p w:rsidR="00E52988" w:rsidRPr="00D9791A" w:rsidRDefault="00E52988" w:rsidP="003420FE">
            <w:pPr>
              <w:jc w:val="center"/>
              <w:rPr>
                <w:b/>
              </w:rPr>
            </w:pPr>
          </w:p>
        </w:tc>
        <w:tc>
          <w:tcPr>
            <w:tcW w:w="999" w:type="dxa"/>
          </w:tcPr>
          <w:p w:rsidR="00E52988" w:rsidRPr="00D9791A" w:rsidRDefault="00E52988" w:rsidP="003420FE">
            <w:pPr>
              <w:jc w:val="center"/>
              <w:rPr>
                <w:b/>
              </w:rPr>
            </w:pPr>
            <w:r w:rsidRPr="00D9791A">
              <w:rPr>
                <w:b/>
              </w:rPr>
              <w:t>20-24</w:t>
            </w:r>
          </w:p>
          <w:p w:rsidR="00E52988" w:rsidRPr="00D9791A" w:rsidRDefault="00E52988" w:rsidP="003420FE">
            <w:pPr>
              <w:jc w:val="center"/>
              <w:rPr>
                <w:b/>
              </w:rPr>
            </w:pPr>
          </w:p>
        </w:tc>
        <w:tc>
          <w:tcPr>
            <w:tcW w:w="996" w:type="dxa"/>
          </w:tcPr>
          <w:p w:rsidR="00E52988" w:rsidRPr="00D9791A" w:rsidRDefault="00E52988" w:rsidP="003420FE">
            <w:pPr>
              <w:jc w:val="center"/>
              <w:rPr>
                <w:b/>
              </w:rPr>
            </w:pPr>
            <w:r w:rsidRPr="00D9791A">
              <w:rPr>
                <w:b/>
              </w:rPr>
              <w:t>25-29</w:t>
            </w:r>
          </w:p>
          <w:p w:rsidR="00E52988" w:rsidRPr="00D9791A" w:rsidRDefault="00E52988" w:rsidP="003420FE">
            <w:pPr>
              <w:jc w:val="center"/>
              <w:rPr>
                <w:b/>
              </w:rPr>
            </w:pPr>
          </w:p>
        </w:tc>
      </w:tr>
      <w:tr w:rsidR="00E52988" w:rsidTr="003420FE">
        <w:tc>
          <w:tcPr>
            <w:tcW w:w="2745" w:type="dxa"/>
          </w:tcPr>
          <w:p w:rsidR="00E52988" w:rsidRPr="00DF7925" w:rsidRDefault="00E52988" w:rsidP="003420FE">
            <w:pPr>
              <w:pStyle w:val="BodyText"/>
              <w:jc w:val="left"/>
              <w:rPr>
                <w:b/>
                <w:sz w:val="20"/>
                <w:szCs w:val="20"/>
              </w:rPr>
            </w:pPr>
            <w:r>
              <w:rPr>
                <w:b/>
                <w:sz w:val="20"/>
                <w:szCs w:val="20"/>
              </w:rPr>
              <w:t>T</w:t>
            </w:r>
            <w:r w:rsidRPr="00DB5442">
              <w:rPr>
                <w:b/>
                <w:sz w:val="20"/>
                <w:szCs w:val="20"/>
              </w:rPr>
              <w:t>ake part at least once a week</w:t>
            </w:r>
            <w:r>
              <w:rPr>
                <w:b/>
                <w:sz w:val="20"/>
                <w:szCs w:val="20"/>
              </w:rPr>
              <w:t xml:space="preserve">. </w:t>
            </w:r>
            <w:r w:rsidRPr="00DF7925">
              <w:rPr>
                <w:b/>
                <w:sz w:val="20"/>
                <w:szCs w:val="20"/>
              </w:rPr>
              <w:t xml:space="preserve">Mean number of </w:t>
            </w:r>
            <w:r>
              <w:rPr>
                <w:b/>
                <w:sz w:val="20"/>
                <w:szCs w:val="20"/>
              </w:rPr>
              <w:t>out-of-home free time</w:t>
            </w:r>
            <w:r w:rsidRPr="00DF7925">
              <w:rPr>
                <w:b/>
                <w:sz w:val="20"/>
                <w:szCs w:val="20"/>
              </w:rPr>
              <w:t xml:space="preserve"> activities</w:t>
            </w:r>
          </w:p>
        </w:tc>
        <w:tc>
          <w:tcPr>
            <w:tcW w:w="996" w:type="dxa"/>
          </w:tcPr>
          <w:p w:rsidR="00E52988" w:rsidRDefault="00E52988" w:rsidP="003420FE">
            <w:pPr>
              <w:jc w:val="center"/>
            </w:pPr>
            <w:r>
              <w:t>2.6</w:t>
            </w:r>
          </w:p>
        </w:tc>
        <w:tc>
          <w:tcPr>
            <w:tcW w:w="996" w:type="dxa"/>
          </w:tcPr>
          <w:p w:rsidR="00E52988" w:rsidRDefault="00E52988" w:rsidP="003420FE">
            <w:pPr>
              <w:jc w:val="center"/>
            </w:pPr>
            <w:r>
              <w:t>2.7</w:t>
            </w:r>
          </w:p>
        </w:tc>
        <w:tc>
          <w:tcPr>
            <w:tcW w:w="996" w:type="dxa"/>
          </w:tcPr>
          <w:p w:rsidR="00E52988" w:rsidRDefault="00E52988" w:rsidP="003420FE">
            <w:pPr>
              <w:jc w:val="center"/>
            </w:pPr>
            <w:r>
              <w:t>2.4</w:t>
            </w:r>
          </w:p>
        </w:tc>
        <w:tc>
          <w:tcPr>
            <w:tcW w:w="343" w:type="dxa"/>
          </w:tcPr>
          <w:p w:rsidR="00E52988" w:rsidRDefault="00E52988" w:rsidP="003420FE">
            <w:pPr>
              <w:jc w:val="center"/>
            </w:pPr>
          </w:p>
        </w:tc>
        <w:tc>
          <w:tcPr>
            <w:tcW w:w="996" w:type="dxa"/>
          </w:tcPr>
          <w:p w:rsidR="00E52988" w:rsidRDefault="00E52988" w:rsidP="003420FE">
            <w:pPr>
              <w:jc w:val="center"/>
            </w:pPr>
            <w:r>
              <w:t>1.6</w:t>
            </w:r>
          </w:p>
        </w:tc>
        <w:tc>
          <w:tcPr>
            <w:tcW w:w="999" w:type="dxa"/>
          </w:tcPr>
          <w:p w:rsidR="00E52988" w:rsidRDefault="00E52988" w:rsidP="003420FE">
            <w:pPr>
              <w:jc w:val="center"/>
            </w:pPr>
            <w:r>
              <w:t>1.4</w:t>
            </w:r>
          </w:p>
        </w:tc>
        <w:tc>
          <w:tcPr>
            <w:tcW w:w="996" w:type="dxa"/>
          </w:tcPr>
          <w:p w:rsidR="00E52988" w:rsidRDefault="00E52988" w:rsidP="003420FE">
            <w:pPr>
              <w:jc w:val="center"/>
            </w:pPr>
            <w:r>
              <w:t>1.0</w:t>
            </w:r>
          </w:p>
        </w:tc>
      </w:tr>
      <w:tr w:rsidR="00E52988" w:rsidTr="003420FE">
        <w:tc>
          <w:tcPr>
            <w:tcW w:w="2745" w:type="dxa"/>
          </w:tcPr>
          <w:p w:rsidR="00E52988" w:rsidRPr="00DB5442" w:rsidRDefault="00E52988" w:rsidP="003420FE">
            <w:pPr>
              <w:pStyle w:val="BodyText"/>
              <w:rPr>
                <w:b/>
                <w:sz w:val="20"/>
                <w:szCs w:val="20"/>
              </w:rPr>
            </w:pPr>
            <w:r w:rsidRPr="00DB5442">
              <w:rPr>
                <w:b/>
                <w:sz w:val="20"/>
                <w:szCs w:val="20"/>
              </w:rPr>
              <w:t>Average minutes per day</w:t>
            </w:r>
            <w:r w:rsidRPr="00DB5442">
              <w:rPr>
                <w:sz w:val="20"/>
                <w:szCs w:val="20"/>
              </w:rPr>
              <w:t xml:space="preserve"> </w:t>
            </w:r>
            <w:r w:rsidRPr="00DF7925">
              <w:rPr>
                <w:b/>
                <w:sz w:val="20"/>
                <w:szCs w:val="20"/>
              </w:rPr>
              <w:t>watching television</w:t>
            </w:r>
          </w:p>
        </w:tc>
        <w:tc>
          <w:tcPr>
            <w:tcW w:w="996" w:type="dxa"/>
          </w:tcPr>
          <w:p w:rsidR="00E52988" w:rsidRDefault="00E52988" w:rsidP="003420FE">
            <w:pPr>
              <w:jc w:val="center"/>
            </w:pPr>
            <w:r>
              <w:t>151</w:t>
            </w:r>
          </w:p>
        </w:tc>
        <w:tc>
          <w:tcPr>
            <w:tcW w:w="996" w:type="dxa"/>
          </w:tcPr>
          <w:p w:rsidR="00E52988" w:rsidRDefault="00E52988" w:rsidP="003420FE">
            <w:pPr>
              <w:jc w:val="center"/>
            </w:pPr>
            <w:r>
              <w:t>151</w:t>
            </w:r>
          </w:p>
        </w:tc>
        <w:tc>
          <w:tcPr>
            <w:tcW w:w="996" w:type="dxa"/>
          </w:tcPr>
          <w:p w:rsidR="00E52988" w:rsidRDefault="00E52988" w:rsidP="003420FE">
            <w:pPr>
              <w:jc w:val="center"/>
            </w:pPr>
            <w:r>
              <w:t>146</w:t>
            </w:r>
          </w:p>
        </w:tc>
        <w:tc>
          <w:tcPr>
            <w:tcW w:w="343" w:type="dxa"/>
          </w:tcPr>
          <w:p w:rsidR="00E52988" w:rsidRDefault="00E52988" w:rsidP="003420FE">
            <w:pPr>
              <w:jc w:val="center"/>
            </w:pPr>
          </w:p>
        </w:tc>
        <w:tc>
          <w:tcPr>
            <w:tcW w:w="996" w:type="dxa"/>
          </w:tcPr>
          <w:p w:rsidR="00E52988" w:rsidRDefault="00E52988" w:rsidP="003420FE">
            <w:pPr>
              <w:jc w:val="center"/>
            </w:pPr>
            <w:r>
              <w:t>175</w:t>
            </w:r>
          </w:p>
        </w:tc>
        <w:tc>
          <w:tcPr>
            <w:tcW w:w="999" w:type="dxa"/>
          </w:tcPr>
          <w:p w:rsidR="00E52988" w:rsidRDefault="00E52988" w:rsidP="003420FE">
            <w:pPr>
              <w:jc w:val="center"/>
            </w:pPr>
            <w:r>
              <w:t>182</w:t>
            </w:r>
          </w:p>
        </w:tc>
        <w:tc>
          <w:tcPr>
            <w:tcW w:w="996" w:type="dxa"/>
          </w:tcPr>
          <w:p w:rsidR="00E52988" w:rsidRDefault="00E52988" w:rsidP="003420FE">
            <w:pPr>
              <w:jc w:val="center"/>
            </w:pPr>
            <w:r>
              <w:t>189</w:t>
            </w:r>
          </w:p>
        </w:tc>
      </w:tr>
      <w:tr w:rsidR="00E52988" w:rsidTr="003420FE">
        <w:trPr>
          <w:trHeight w:val="562"/>
        </w:trPr>
        <w:tc>
          <w:tcPr>
            <w:tcW w:w="2745" w:type="dxa"/>
          </w:tcPr>
          <w:p w:rsidR="00E52988" w:rsidRPr="00DB5442" w:rsidRDefault="00E52988" w:rsidP="003420FE">
            <w:pPr>
              <w:pStyle w:val="BodyText"/>
              <w:jc w:val="left"/>
              <w:rPr>
                <w:sz w:val="20"/>
                <w:szCs w:val="20"/>
              </w:rPr>
            </w:pPr>
            <w:r w:rsidRPr="00DB5442">
              <w:rPr>
                <w:b/>
                <w:sz w:val="20"/>
                <w:szCs w:val="20"/>
              </w:rPr>
              <w:t>Average minutes per day</w:t>
            </w:r>
            <w:r w:rsidRPr="00DB5442">
              <w:rPr>
                <w:sz w:val="20"/>
                <w:szCs w:val="20"/>
              </w:rPr>
              <w:t xml:space="preserve"> </w:t>
            </w:r>
            <w:r w:rsidRPr="00DF7925">
              <w:rPr>
                <w:b/>
                <w:sz w:val="20"/>
                <w:szCs w:val="20"/>
              </w:rPr>
              <w:t>online</w:t>
            </w:r>
          </w:p>
        </w:tc>
        <w:tc>
          <w:tcPr>
            <w:tcW w:w="996" w:type="dxa"/>
          </w:tcPr>
          <w:p w:rsidR="00E52988" w:rsidRDefault="00E52988" w:rsidP="003420FE">
            <w:pPr>
              <w:jc w:val="center"/>
            </w:pPr>
            <w:r>
              <w:t>204</w:t>
            </w:r>
          </w:p>
        </w:tc>
        <w:tc>
          <w:tcPr>
            <w:tcW w:w="996" w:type="dxa"/>
          </w:tcPr>
          <w:p w:rsidR="00E52988" w:rsidRDefault="00E52988" w:rsidP="003420FE">
            <w:pPr>
              <w:jc w:val="center"/>
            </w:pPr>
            <w:r>
              <w:t>216</w:t>
            </w:r>
          </w:p>
        </w:tc>
        <w:tc>
          <w:tcPr>
            <w:tcW w:w="996" w:type="dxa"/>
          </w:tcPr>
          <w:p w:rsidR="00E52988" w:rsidRDefault="00E52988" w:rsidP="003420FE">
            <w:pPr>
              <w:jc w:val="center"/>
            </w:pPr>
            <w:r>
              <w:t>210</w:t>
            </w:r>
          </w:p>
        </w:tc>
        <w:tc>
          <w:tcPr>
            <w:tcW w:w="343" w:type="dxa"/>
          </w:tcPr>
          <w:p w:rsidR="00E52988" w:rsidRDefault="00E52988" w:rsidP="003420FE">
            <w:pPr>
              <w:jc w:val="center"/>
            </w:pPr>
          </w:p>
        </w:tc>
        <w:tc>
          <w:tcPr>
            <w:tcW w:w="996" w:type="dxa"/>
          </w:tcPr>
          <w:p w:rsidR="00E52988" w:rsidRDefault="00E52988" w:rsidP="003420FE">
            <w:pPr>
              <w:jc w:val="center"/>
            </w:pPr>
            <w:r>
              <w:t>204</w:t>
            </w:r>
          </w:p>
        </w:tc>
        <w:tc>
          <w:tcPr>
            <w:tcW w:w="999" w:type="dxa"/>
          </w:tcPr>
          <w:p w:rsidR="00E52988" w:rsidRDefault="00E52988" w:rsidP="003420FE">
            <w:pPr>
              <w:jc w:val="center"/>
            </w:pPr>
            <w:r>
              <w:t>234</w:t>
            </w:r>
          </w:p>
        </w:tc>
        <w:tc>
          <w:tcPr>
            <w:tcW w:w="996" w:type="dxa"/>
          </w:tcPr>
          <w:p w:rsidR="00E52988" w:rsidRDefault="00E52988" w:rsidP="003420FE">
            <w:pPr>
              <w:jc w:val="center"/>
            </w:pPr>
            <w:r>
              <w:t>240</w:t>
            </w:r>
          </w:p>
        </w:tc>
      </w:tr>
      <w:tr w:rsidR="00E52988" w:rsidTr="003420FE">
        <w:trPr>
          <w:trHeight w:val="562"/>
        </w:trPr>
        <w:tc>
          <w:tcPr>
            <w:tcW w:w="2745" w:type="dxa"/>
          </w:tcPr>
          <w:p w:rsidR="00E52988" w:rsidRPr="00217486" w:rsidRDefault="00E52988" w:rsidP="003420FE">
            <w:pPr>
              <w:pStyle w:val="BodyText"/>
              <w:jc w:val="left"/>
              <w:rPr>
                <w:sz w:val="20"/>
                <w:szCs w:val="20"/>
              </w:rPr>
            </w:pPr>
            <w:r>
              <w:rPr>
                <w:sz w:val="20"/>
                <w:szCs w:val="20"/>
              </w:rPr>
              <w:t>N =</w:t>
            </w:r>
          </w:p>
        </w:tc>
        <w:tc>
          <w:tcPr>
            <w:tcW w:w="996" w:type="dxa"/>
          </w:tcPr>
          <w:p w:rsidR="00E52988" w:rsidRDefault="00E52988" w:rsidP="003420FE">
            <w:pPr>
              <w:jc w:val="center"/>
            </w:pPr>
            <w:r>
              <w:t>1518</w:t>
            </w:r>
          </w:p>
        </w:tc>
        <w:tc>
          <w:tcPr>
            <w:tcW w:w="996" w:type="dxa"/>
          </w:tcPr>
          <w:p w:rsidR="00E52988" w:rsidRDefault="00E52988" w:rsidP="003420FE">
            <w:pPr>
              <w:jc w:val="center"/>
            </w:pPr>
            <w:r>
              <w:t>1452</w:t>
            </w:r>
          </w:p>
        </w:tc>
        <w:tc>
          <w:tcPr>
            <w:tcW w:w="996" w:type="dxa"/>
          </w:tcPr>
          <w:p w:rsidR="00E52988" w:rsidRDefault="00E52988" w:rsidP="003420FE">
            <w:pPr>
              <w:jc w:val="center"/>
            </w:pPr>
            <w:r>
              <w:t>1043</w:t>
            </w:r>
          </w:p>
        </w:tc>
        <w:tc>
          <w:tcPr>
            <w:tcW w:w="343" w:type="dxa"/>
          </w:tcPr>
          <w:p w:rsidR="00E52988" w:rsidRDefault="00E52988" w:rsidP="003420FE">
            <w:pPr>
              <w:jc w:val="center"/>
            </w:pPr>
          </w:p>
        </w:tc>
        <w:tc>
          <w:tcPr>
            <w:tcW w:w="996" w:type="dxa"/>
          </w:tcPr>
          <w:p w:rsidR="00E52988" w:rsidRDefault="00E52988" w:rsidP="003420FE">
            <w:pPr>
              <w:jc w:val="center"/>
            </w:pPr>
            <w:r>
              <w:t>1208</w:t>
            </w:r>
          </w:p>
        </w:tc>
        <w:tc>
          <w:tcPr>
            <w:tcW w:w="999" w:type="dxa"/>
          </w:tcPr>
          <w:p w:rsidR="00E52988" w:rsidRDefault="00E52988" w:rsidP="003420FE">
            <w:pPr>
              <w:jc w:val="center"/>
            </w:pPr>
            <w:r>
              <w:t>926</w:t>
            </w:r>
          </w:p>
        </w:tc>
        <w:tc>
          <w:tcPr>
            <w:tcW w:w="996" w:type="dxa"/>
          </w:tcPr>
          <w:p w:rsidR="00E52988" w:rsidRDefault="00E52988" w:rsidP="003420FE">
            <w:pPr>
              <w:jc w:val="center"/>
            </w:pPr>
            <w:r>
              <w:t>628</w:t>
            </w:r>
          </w:p>
        </w:tc>
      </w:tr>
    </w:tbl>
    <w:p w:rsidR="00E52988" w:rsidRDefault="00E52988" w:rsidP="00E52988">
      <w:pPr>
        <w:spacing w:line="240" w:lineRule="auto"/>
      </w:pPr>
    </w:p>
    <w:p w:rsidR="00E52988" w:rsidRDefault="00E52988" w:rsidP="00E52988">
      <w:pPr>
        <w:pStyle w:val="BodyText"/>
      </w:pPr>
      <w:r w:rsidRPr="004722B6">
        <w:t>Males wer</w:t>
      </w:r>
      <w:r>
        <w:t xml:space="preserve">e </w:t>
      </w:r>
      <w:r w:rsidRPr="004722B6">
        <w:t>clearly the more active in out-of-</w:t>
      </w:r>
      <w:r>
        <w:t>home</w:t>
      </w:r>
      <w:r w:rsidRPr="004722B6">
        <w:t xml:space="preserve"> leisure and this applied in all age groups</w:t>
      </w:r>
      <w:r>
        <w:t xml:space="preserve">. Their mean score at age 15-19 was 2.6 against 1.6 for the young women whose participation rate then fell steadily to 1.0 among 25-29 year olds and the male lead rose from 1.0 to 1.4. There were no Big Leisure signs in out-of-home activities of a trend towards genderlessness. During youth these divisions actually </w:t>
      </w:r>
      <w:r w:rsidR="0028616C">
        <w:t>widened</w:t>
      </w:r>
      <w:r>
        <w:t>. Males were clearly ahead at age 15-19 and pulled further ahead as they moved towards adulthood.</w:t>
      </w:r>
      <w:r w:rsidR="005D562F">
        <w:t xml:space="preserve"> This was happening prior to marriage and parenthood.</w:t>
      </w:r>
    </w:p>
    <w:p w:rsidR="00E52988" w:rsidRDefault="00E52988" w:rsidP="00E52988">
      <w:pPr>
        <w:pStyle w:val="BodyText"/>
      </w:pPr>
    </w:p>
    <w:p w:rsidR="00E52988" w:rsidRDefault="00E52988" w:rsidP="00E52988">
      <w:pPr>
        <w:pStyle w:val="BodyText"/>
      </w:pPr>
      <w:r>
        <w:t xml:space="preserve">The young women were compensating with greater screen time. At age 15-19 they were watching television for an average of 175 minutes per day against the males’ 151 minutes. By age 25-29 the female lead in television time had increased from 24 to 43 minutes per day (see Table I). There was no difference in time spent online by males and females at age 15-19 but by age 25-29 the young women were averaging 240 minutes on a typical day against 210 minutes by the males. The young women were spending more time at home. </w:t>
      </w:r>
      <w:r w:rsidR="005D562F">
        <w:t>T</w:t>
      </w:r>
      <w:r>
        <w:t>he typical single male was spending six hours</w:t>
      </w:r>
      <w:r w:rsidR="005D562F">
        <w:t xml:space="preserve"> while</w:t>
      </w:r>
      <w:r>
        <w:t xml:space="preserve"> a typical single female was spending seven hours per day watching a screen, and among both sexes online time exceeded television time.</w:t>
      </w:r>
    </w:p>
    <w:p w:rsidR="00E52988" w:rsidRPr="00B86E7C" w:rsidRDefault="00E52988" w:rsidP="00E52988">
      <w:pPr>
        <w:spacing w:line="240" w:lineRule="auto"/>
        <w:rPr>
          <w:b/>
        </w:rPr>
      </w:pPr>
      <w:r w:rsidRPr="00B86E7C">
        <w:rPr>
          <w:b/>
        </w:rPr>
        <w:t>Table II</w:t>
      </w:r>
    </w:p>
    <w:p w:rsidR="00E52988" w:rsidRPr="00B86E7C" w:rsidRDefault="00E52988" w:rsidP="00E52988">
      <w:pPr>
        <w:spacing w:line="240" w:lineRule="auto"/>
        <w:rPr>
          <w:b/>
        </w:rPr>
      </w:pPr>
      <w:r w:rsidRPr="00B86E7C">
        <w:rPr>
          <w:b/>
        </w:rPr>
        <w:t>Age, gender and participation in associations</w:t>
      </w:r>
    </w:p>
    <w:p w:rsidR="00E52988" w:rsidRPr="0086243A" w:rsidRDefault="00E52988" w:rsidP="00E52988">
      <w:pPr>
        <w:pStyle w:val="BodyTextFirstIndent"/>
        <w:spacing w:line="240" w:lineRule="auto"/>
        <w:rPr>
          <w:b/>
        </w:rPr>
      </w:pPr>
      <w:r>
        <w:rPr>
          <w:b/>
        </w:rPr>
        <w:t xml:space="preserve">                                                            </w:t>
      </w:r>
      <w:r w:rsidRPr="0086243A">
        <w:rPr>
          <w:b/>
        </w:rPr>
        <w:t>Males                                           Females</w:t>
      </w:r>
    </w:p>
    <w:tbl>
      <w:tblPr>
        <w:tblStyle w:val="TableGrid"/>
        <w:tblW w:w="9067" w:type="dxa"/>
        <w:tblLook w:val="04A0" w:firstRow="1" w:lastRow="0" w:firstColumn="1" w:lastColumn="0" w:noHBand="0" w:noVBand="1"/>
      </w:tblPr>
      <w:tblGrid>
        <w:gridCol w:w="2745"/>
        <w:gridCol w:w="996"/>
        <w:gridCol w:w="996"/>
        <w:gridCol w:w="996"/>
        <w:gridCol w:w="343"/>
        <w:gridCol w:w="996"/>
        <w:gridCol w:w="999"/>
        <w:gridCol w:w="996"/>
      </w:tblGrid>
      <w:tr w:rsidR="00E52988" w:rsidTr="003420FE">
        <w:tc>
          <w:tcPr>
            <w:tcW w:w="2745" w:type="dxa"/>
          </w:tcPr>
          <w:p w:rsidR="00E52988" w:rsidRPr="00FB324B" w:rsidRDefault="00E52988" w:rsidP="003420FE">
            <w:pPr>
              <w:pStyle w:val="BodyText"/>
              <w:jc w:val="left"/>
              <w:rPr>
                <w:b/>
              </w:rPr>
            </w:pPr>
          </w:p>
        </w:tc>
        <w:tc>
          <w:tcPr>
            <w:tcW w:w="996" w:type="dxa"/>
          </w:tcPr>
          <w:p w:rsidR="00E52988" w:rsidRPr="00D9791A" w:rsidRDefault="00E52988" w:rsidP="003420FE">
            <w:pPr>
              <w:jc w:val="center"/>
              <w:rPr>
                <w:b/>
              </w:rPr>
            </w:pPr>
            <w:r w:rsidRPr="00D9791A">
              <w:rPr>
                <w:b/>
              </w:rPr>
              <w:t>15-19</w:t>
            </w:r>
          </w:p>
          <w:p w:rsidR="00E52988" w:rsidRPr="00D9791A" w:rsidRDefault="00E52988" w:rsidP="003420FE">
            <w:pPr>
              <w:jc w:val="center"/>
              <w:rPr>
                <w:b/>
              </w:rPr>
            </w:pPr>
            <w:r w:rsidRPr="00D9791A">
              <w:rPr>
                <w:b/>
              </w:rPr>
              <w:t>%</w:t>
            </w:r>
          </w:p>
        </w:tc>
        <w:tc>
          <w:tcPr>
            <w:tcW w:w="996" w:type="dxa"/>
          </w:tcPr>
          <w:p w:rsidR="00E52988" w:rsidRPr="00D9791A" w:rsidRDefault="00E52988" w:rsidP="003420FE">
            <w:pPr>
              <w:jc w:val="center"/>
              <w:rPr>
                <w:b/>
              </w:rPr>
            </w:pPr>
            <w:r w:rsidRPr="00D9791A">
              <w:rPr>
                <w:b/>
              </w:rPr>
              <w:t>20-24</w:t>
            </w:r>
          </w:p>
          <w:p w:rsidR="00E52988" w:rsidRPr="00D9791A" w:rsidRDefault="00E52988" w:rsidP="003420FE">
            <w:pPr>
              <w:jc w:val="center"/>
              <w:rPr>
                <w:b/>
              </w:rPr>
            </w:pPr>
            <w:r w:rsidRPr="00D9791A">
              <w:rPr>
                <w:b/>
              </w:rPr>
              <w:t>%</w:t>
            </w:r>
          </w:p>
        </w:tc>
        <w:tc>
          <w:tcPr>
            <w:tcW w:w="996" w:type="dxa"/>
          </w:tcPr>
          <w:p w:rsidR="00E52988" w:rsidRPr="00D9791A" w:rsidRDefault="00E52988" w:rsidP="003420FE">
            <w:pPr>
              <w:jc w:val="center"/>
              <w:rPr>
                <w:b/>
              </w:rPr>
            </w:pPr>
            <w:r w:rsidRPr="00D9791A">
              <w:rPr>
                <w:b/>
              </w:rPr>
              <w:t>25-29</w:t>
            </w:r>
          </w:p>
          <w:p w:rsidR="00E52988" w:rsidRPr="00D9791A" w:rsidRDefault="00E52988" w:rsidP="003420FE">
            <w:pPr>
              <w:jc w:val="center"/>
              <w:rPr>
                <w:b/>
              </w:rPr>
            </w:pPr>
            <w:r w:rsidRPr="00D9791A">
              <w:rPr>
                <w:b/>
              </w:rPr>
              <w:t>%</w:t>
            </w:r>
          </w:p>
        </w:tc>
        <w:tc>
          <w:tcPr>
            <w:tcW w:w="343" w:type="dxa"/>
          </w:tcPr>
          <w:p w:rsidR="00E52988" w:rsidRPr="00D9791A" w:rsidRDefault="00E52988" w:rsidP="003420FE">
            <w:pPr>
              <w:jc w:val="center"/>
              <w:rPr>
                <w:b/>
              </w:rPr>
            </w:pPr>
          </w:p>
        </w:tc>
        <w:tc>
          <w:tcPr>
            <w:tcW w:w="996" w:type="dxa"/>
          </w:tcPr>
          <w:p w:rsidR="00E52988" w:rsidRPr="00D9791A" w:rsidRDefault="00E52988" w:rsidP="003420FE">
            <w:pPr>
              <w:jc w:val="center"/>
              <w:rPr>
                <w:b/>
              </w:rPr>
            </w:pPr>
            <w:r w:rsidRPr="00D9791A">
              <w:rPr>
                <w:b/>
              </w:rPr>
              <w:t>15-19</w:t>
            </w:r>
          </w:p>
          <w:p w:rsidR="00E52988" w:rsidRPr="00D9791A" w:rsidRDefault="00E52988" w:rsidP="003420FE">
            <w:pPr>
              <w:jc w:val="center"/>
              <w:rPr>
                <w:b/>
              </w:rPr>
            </w:pPr>
            <w:r w:rsidRPr="00D9791A">
              <w:rPr>
                <w:b/>
              </w:rPr>
              <w:t>%</w:t>
            </w:r>
          </w:p>
        </w:tc>
        <w:tc>
          <w:tcPr>
            <w:tcW w:w="999" w:type="dxa"/>
          </w:tcPr>
          <w:p w:rsidR="00E52988" w:rsidRPr="00D9791A" w:rsidRDefault="00E52988" w:rsidP="003420FE">
            <w:pPr>
              <w:jc w:val="center"/>
              <w:rPr>
                <w:b/>
              </w:rPr>
            </w:pPr>
            <w:r w:rsidRPr="00D9791A">
              <w:rPr>
                <w:b/>
              </w:rPr>
              <w:t>20-24</w:t>
            </w:r>
          </w:p>
          <w:p w:rsidR="00E52988" w:rsidRPr="00D9791A" w:rsidRDefault="00E52988" w:rsidP="003420FE">
            <w:pPr>
              <w:jc w:val="center"/>
              <w:rPr>
                <w:b/>
              </w:rPr>
            </w:pPr>
            <w:r w:rsidRPr="00D9791A">
              <w:rPr>
                <w:b/>
              </w:rPr>
              <w:t>%</w:t>
            </w:r>
          </w:p>
        </w:tc>
        <w:tc>
          <w:tcPr>
            <w:tcW w:w="996" w:type="dxa"/>
          </w:tcPr>
          <w:p w:rsidR="00E52988" w:rsidRPr="00D9791A" w:rsidRDefault="00E52988" w:rsidP="003420FE">
            <w:pPr>
              <w:jc w:val="center"/>
              <w:rPr>
                <w:b/>
              </w:rPr>
            </w:pPr>
            <w:r w:rsidRPr="00D9791A">
              <w:rPr>
                <w:b/>
              </w:rPr>
              <w:t>25-29</w:t>
            </w:r>
          </w:p>
          <w:p w:rsidR="00E52988" w:rsidRPr="00D9791A" w:rsidRDefault="00E52988" w:rsidP="003420FE">
            <w:pPr>
              <w:jc w:val="center"/>
              <w:rPr>
                <w:b/>
              </w:rPr>
            </w:pPr>
            <w:r w:rsidRPr="00D9791A">
              <w:rPr>
                <w:b/>
              </w:rPr>
              <w:t>%</w:t>
            </w:r>
          </w:p>
        </w:tc>
      </w:tr>
      <w:tr w:rsidR="00E52988" w:rsidTr="003420FE">
        <w:tc>
          <w:tcPr>
            <w:tcW w:w="2745" w:type="dxa"/>
          </w:tcPr>
          <w:p w:rsidR="00E52988" w:rsidRPr="00FB324B" w:rsidRDefault="00E52988" w:rsidP="003420FE">
            <w:pPr>
              <w:pStyle w:val="BodyText"/>
              <w:jc w:val="left"/>
              <w:rPr>
                <w:b/>
              </w:rPr>
            </w:pPr>
            <w:r>
              <w:rPr>
                <w:b/>
              </w:rPr>
              <w:t>Percentages who belonged to an association</w:t>
            </w:r>
          </w:p>
        </w:tc>
        <w:tc>
          <w:tcPr>
            <w:tcW w:w="996" w:type="dxa"/>
          </w:tcPr>
          <w:p w:rsidR="00E52988" w:rsidRDefault="00E52988" w:rsidP="003420FE">
            <w:pPr>
              <w:jc w:val="center"/>
            </w:pPr>
          </w:p>
        </w:tc>
        <w:tc>
          <w:tcPr>
            <w:tcW w:w="996" w:type="dxa"/>
          </w:tcPr>
          <w:p w:rsidR="00E52988" w:rsidRDefault="00E52988" w:rsidP="003420FE">
            <w:pPr>
              <w:jc w:val="center"/>
            </w:pPr>
          </w:p>
        </w:tc>
        <w:tc>
          <w:tcPr>
            <w:tcW w:w="996" w:type="dxa"/>
          </w:tcPr>
          <w:p w:rsidR="00E52988" w:rsidRDefault="00E52988" w:rsidP="003420FE">
            <w:pPr>
              <w:jc w:val="center"/>
            </w:pPr>
          </w:p>
        </w:tc>
        <w:tc>
          <w:tcPr>
            <w:tcW w:w="343" w:type="dxa"/>
          </w:tcPr>
          <w:p w:rsidR="00E52988" w:rsidRDefault="00E52988" w:rsidP="003420FE">
            <w:pPr>
              <w:jc w:val="center"/>
            </w:pPr>
          </w:p>
        </w:tc>
        <w:tc>
          <w:tcPr>
            <w:tcW w:w="996" w:type="dxa"/>
          </w:tcPr>
          <w:p w:rsidR="00E52988" w:rsidRDefault="00E52988" w:rsidP="003420FE">
            <w:pPr>
              <w:jc w:val="center"/>
            </w:pPr>
          </w:p>
        </w:tc>
        <w:tc>
          <w:tcPr>
            <w:tcW w:w="999" w:type="dxa"/>
          </w:tcPr>
          <w:p w:rsidR="00E52988" w:rsidRDefault="00E52988" w:rsidP="003420FE">
            <w:pPr>
              <w:jc w:val="center"/>
            </w:pPr>
          </w:p>
        </w:tc>
        <w:tc>
          <w:tcPr>
            <w:tcW w:w="996" w:type="dxa"/>
          </w:tcPr>
          <w:p w:rsidR="00E52988" w:rsidRDefault="00E52988" w:rsidP="003420FE">
            <w:pPr>
              <w:jc w:val="center"/>
            </w:pPr>
          </w:p>
        </w:tc>
      </w:tr>
      <w:tr w:rsidR="00E52988" w:rsidTr="003420FE">
        <w:tc>
          <w:tcPr>
            <w:tcW w:w="2745" w:type="dxa"/>
          </w:tcPr>
          <w:p w:rsidR="00E52988" w:rsidRPr="00FB324B" w:rsidRDefault="00E52988" w:rsidP="003420FE">
            <w:pPr>
              <w:pStyle w:val="BodyText"/>
              <w:jc w:val="left"/>
            </w:pPr>
            <w:r w:rsidRPr="00FB324B">
              <w:t>Cultural association</w:t>
            </w:r>
          </w:p>
        </w:tc>
        <w:tc>
          <w:tcPr>
            <w:tcW w:w="996" w:type="dxa"/>
          </w:tcPr>
          <w:p w:rsidR="00E52988" w:rsidRDefault="00E52988" w:rsidP="003420FE">
            <w:pPr>
              <w:jc w:val="center"/>
            </w:pPr>
            <w:r>
              <w:t>18</w:t>
            </w:r>
          </w:p>
        </w:tc>
        <w:tc>
          <w:tcPr>
            <w:tcW w:w="996" w:type="dxa"/>
          </w:tcPr>
          <w:p w:rsidR="00E52988" w:rsidRDefault="00E52988" w:rsidP="003420FE">
            <w:pPr>
              <w:jc w:val="center"/>
            </w:pPr>
            <w:r>
              <w:t>20</w:t>
            </w:r>
          </w:p>
        </w:tc>
        <w:tc>
          <w:tcPr>
            <w:tcW w:w="996" w:type="dxa"/>
          </w:tcPr>
          <w:p w:rsidR="00E52988" w:rsidRDefault="00E52988" w:rsidP="003420FE">
            <w:pPr>
              <w:jc w:val="center"/>
            </w:pPr>
            <w:r>
              <w:t>15</w:t>
            </w:r>
          </w:p>
        </w:tc>
        <w:tc>
          <w:tcPr>
            <w:tcW w:w="343" w:type="dxa"/>
          </w:tcPr>
          <w:p w:rsidR="00E52988" w:rsidRDefault="00E52988" w:rsidP="003420FE">
            <w:pPr>
              <w:jc w:val="center"/>
            </w:pPr>
          </w:p>
        </w:tc>
        <w:tc>
          <w:tcPr>
            <w:tcW w:w="996" w:type="dxa"/>
          </w:tcPr>
          <w:p w:rsidR="00E52988" w:rsidRDefault="00E52988" w:rsidP="003420FE">
            <w:pPr>
              <w:jc w:val="center"/>
            </w:pPr>
            <w:r>
              <w:t>20</w:t>
            </w:r>
          </w:p>
        </w:tc>
        <w:tc>
          <w:tcPr>
            <w:tcW w:w="999" w:type="dxa"/>
          </w:tcPr>
          <w:p w:rsidR="00E52988" w:rsidRDefault="00E52988" w:rsidP="003420FE">
            <w:pPr>
              <w:jc w:val="center"/>
            </w:pPr>
            <w:r>
              <w:t>22</w:t>
            </w:r>
          </w:p>
        </w:tc>
        <w:tc>
          <w:tcPr>
            <w:tcW w:w="996" w:type="dxa"/>
          </w:tcPr>
          <w:p w:rsidR="00E52988" w:rsidRDefault="00E52988" w:rsidP="003420FE">
            <w:pPr>
              <w:jc w:val="center"/>
            </w:pPr>
            <w:r>
              <w:t>16</w:t>
            </w:r>
          </w:p>
        </w:tc>
      </w:tr>
      <w:tr w:rsidR="00E52988" w:rsidTr="003420FE">
        <w:tc>
          <w:tcPr>
            <w:tcW w:w="2745" w:type="dxa"/>
          </w:tcPr>
          <w:p w:rsidR="00E52988" w:rsidRPr="00FB324B" w:rsidRDefault="00E52988" w:rsidP="003420FE">
            <w:pPr>
              <w:pStyle w:val="BodyText"/>
              <w:jc w:val="left"/>
            </w:pPr>
            <w:r w:rsidRPr="00FB324B">
              <w:t>Humanitarian association/charity</w:t>
            </w:r>
          </w:p>
        </w:tc>
        <w:tc>
          <w:tcPr>
            <w:tcW w:w="996" w:type="dxa"/>
          </w:tcPr>
          <w:p w:rsidR="00E52988" w:rsidRDefault="00E52988" w:rsidP="003420FE">
            <w:pPr>
              <w:jc w:val="center"/>
            </w:pPr>
            <w:r>
              <w:t>21</w:t>
            </w:r>
          </w:p>
        </w:tc>
        <w:tc>
          <w:tcPr>
            <w:tcW w:w="996" w:type="dxa"/>
          </w:tcPr>
          <w:p w:rsidR="00E52988" w:rsidRDefault="00E52988" w:rsidP="003420FE">
            <w:pPr>
              <w:jc w:val="center"/>
            </w:pPr>
            <w:r>
              <w:t>23</w:t>
            </w:r>
          </w:p>
        </w:tc>
        <w:tc>
          <w:tcPr>
            <w:tcW w:w="996" w:type="dxa"/>
          </w:tcPr>
          <w:p w:rsidR="00E52988" w:rsidRDefault="00E52988" w:rsidP="003420FE">
            <w:pPr>
              <w:jc w:val="center"/>
            </w:pPr>
            <w:r>
              <w:t>18</w:t>
            </w:r>
          </w:p>
        </w:tc>
        <w:tc>
          <w:tcPr>
            <w:tcW w:w="343" w:type="dxa"/>
          </w:tcPr>
          <w:p w:rsidR="00E52988" w:rsidRDefault="00E52988" w:rsidP="003420FE">
            <w:pPr>
              <w:jc w:val="center"/>
            </w:pPr>
          </w:p>
        </w:tc>
        <w:tc>
          <w:tcPr>
            <w:tcW w:w="996" w:type="dxa"/>
          </w:tcPr>
          <w:p w:rsidR="00E52988" w:rsidRDefault="00E52988" w:rsidP="003420FE">
            <w:pPr>
              <w:jc w:val="center"/>
            </w:pPr>
            <w:r>
              <w:t>22</w:t>
            </w:r>
          </w:p>
        </w:tc>
        <w:tc>
          <w:tcPr>
            <w:tcW w:w="999" w:type="dxa"/>
          </w:tcPr>
          <w:p w:rsidR="00E52988" w:rsidRDefault="00E52988" w:rsidP="003420FE">
            <w:pPr>
              <w:jc w:val="center"/>
            </w:pPr>
            <w:r>
              <w:t>24</w:t>
            </w:r>
          </w:p>
        </w:tc>
        <w:tc>
          <w:tcPr>
            <w:tcW w:w="996" w:type="dxa"/>
          </w:tcPr>
          <w:p w:rsidR="00E52988" w:rsidRDefault="00E52988" w:rsidP="003420FE">
            <w:pPr>
              <w:jc w:val="center"/>
            </w:pPr>
            <w:r>
              <w:t>19</w:t>
            </w:r>
          </w:p>
        </w:tc>
      </w:tr>
      <w:tr w:rsidR="00E52988" w:rsidTr="003420FE">
        <w:tc>
          <w:tcPr>
            <w:tcW w:w="2745" w:type="dxa"/>
          </w:tcPr>
          <w:p w:rsidR="00E52988" w:rsidRPr="00FB324B" w:rsidRDefault="00E52988" w:rsidP="003420FE">
            <w:pPr>
              <w:pStyle w:val="BodyText"/>
              <w:jc w:val="left"/>
            </w:pPr>
            <w:r w:rsidRPr="00FB324B">
              <w:t>Neighbourhood association</w:t>
            </w:r>
          </w:p>
        </w:tc>
        <w:tc>
          <w:tcPr>
            <w:tcW w:w="996" w:type="dxa"/>
          </w:tcPr>
          <w:p w:rsidR="00E52988" w:rsidRDefault="00E52988" w:rsidP="003420FE">
            <w:pPr>
              <w:jc w:val="center"/>
            </w:pPr>
            <w:r>
              <w:t>15</w:t>
            </w:r>
          </w:p>
        </w:tc>
        <w:tc>
          <w:tcPr>
            <w:tcW w:w="996" w:type="dxa"/>
          </w:tcPr>
          <w:p w:rsidR="00E52988" w:rsidRDefault="00E52988" w:rsidP="003420FE">
            <w:pPr>
              <w:jc w:val="center"/>
            </w:pPr>
            <w:r>
              <w:t>19</w:t>
            </w:r>
          </w:p>
        </w:tc>
        <w:tc>
          <w:tcPr>
            <w:tcW w:w="996" w:type="dxa"/>
          </w:tcPr>
          <w:p w:rsidR="00E52988" w:rsidRDefault="00E52988" w:rsidP="003420FE">
            <w:pPr>
              <w:jc w:val="center"/>
            </w:pPr>
            <w:r>
              <w:t>14</w:t>
            </w:r>
          </w:p>
        </w:tc>
        <w:tc>
          <w:tcPr>
            <w:tcW w:w="343" w:type="dxa"/>
          </w:tcPr>
          <w:p w:rsidR="00E52988" w:rsidRDefault="00E52988" w:rsidP="003420FE">
            <w:pPr>
              <w:jc w:val="center"/>
            </w:pPr>
          </w:p>
        </w:tc>
        <w:tc>
          <w:tcPr>
            <w:tcW w:w="996" w:type="dxa"/>
          </w:tcPr>
          <w:p w:rsidR="00E52988" w:rsidRDefault="00E52988" w:rsidP="003420FE">
            <w:pPr>
              <w:jc w:val="center"/>
            </w:pPr>
            <w:r>
              <w:t>10</w:t>
            </w:r>
          </w:p>
        </w:tc>
        <w:tc>
          <w:tcPr>
            <w:tcW w:w="999" w:type="dxa"/>
          </w:tcPr>
          <w:p w:rsidR="00E52988" w:rsidRDefault="00E52988" w:rsidP="003420FE">
            <w:pPr>
              <w:jc w:val="center"/>
            </w:pPr>
            <w:r>
              <w:t>15</w:t>
            </w:r>
          </w:p>
        </w:tc>
        <w:tc>
          <w:tcPr>
            <w:tcW w:w="996" w:type="dxa"/>
          </w:tcPr>
          <w:p w:rsidR="00E52988" w:rsidRDefault="00E52988" w:rsidP="003420FE">
            <w:pPr>
              <w:jc w:val="center"/>
            </w:pPr>
            <w:r>
              <w:t>8</w:t>
            </w:r>
          </w:p>
        </w:tc>
      </w:tr>
      <w:tr w:rsidR="00E52988" w:rsidTr="003420FE">
        <w:tc>
          <w:tcPr>
            <w:tcW w:w="2745" w:type="dxa"/>
          </w:tcPr>
          <w:p w:rsidR="00E52988" w:rsidRPr="00FB324B" w:rsidRDefault="00E52988" w:rsidP="003420FE">
            <w:pPr>
              <w:pStyle w:val="BodyText"/>
              <w:jc w:val="left"/>
            </w:pPr>
            <w:r w:rsidRPr="00FB324B">
              <w:t>Women’s association</w:t>
            </w:r>
          </w:p>
        </w:tc>
        <w:tc>
          <w:tcPr>
            <w:tcW w:w="996" w:type="dxa"/>
          </w:tcPr>
          <w:p w:rsidR="00E52988" w:rsidRDefault="00E52988" w:rsidP="003420FE">
            <w:pPr>
              <w:jc w:val="center"/>
            </w:pPr>
            <w:r>
              <w:t>9</w:t>
            </w:r>
          </w:p>
        </w:tc>
        <w:tc>
          <w:tcPr>
            <w:tcW w:w="996" w:type="dxa"/>
          </w:tcPr>
          <w:p w:rsidR="00E52988" w:rsidRDefault="00E52988" w:rsidP="003420FE">
            <w:pPr>
              <w:jc w:val="center"/>
            </w:pPr>
            <w:r>
              <w:t>12</w:t>
            </w:r>
          </w:p>
        </w:tc>
        <w:tc>
          <w:tcPr>
            <w:tcW w:w="996" w:type="dxa"/>
          </w:tcPr>
          <w:p w:rsidR="00E52988" w:rsidRDefault="00E52988" w:rsidP="003420FE">
            <w:pPr>
              <w:jc w:val="center"/>
            </w:pPr>
            <w:r>
              <w:t>6</w:t>
            </w:r>
          </w:p>
        </w:tc>
        <w:tc>
          <w:tcPr>
            <w:tcW w:w="343" w:type="dxa"/>
          </w:tcPr>
          <w:p w:rsidR="00E52988" w:rsidRDefault="00E52988" w:rsidP="003420FE">
            <w:pPr>
              <w:jc w:val="center"/>
            </w:pPr>
          </w:p>
        </w:tc>
        <w:tc>
          <w:tcPr>
            <w:tcW w:w="996" w:type="dxa"/>
          </w:tcPr>
          <w:p w:rsidR="00E52988" w:rsidRDefault="00E52988" w:rsidP="003420FE">
            <w:pPr>
              <w:jc w:val="center"/>
            </w:pPr>
            <w:r>
              <w:t>13</w:t>
            </w:r>
          </w:p>
        </w:tc>
        <w:tc>
          <w:tcPr>
            <w:tcW w:w="999" w:type="dxa"/>
          </w:tcPr>
          <w:p w:rsidR="00E52988" w:rsidRDefault="00E52988" w:rsidP="003420FE">
            <w:pPr>
              <w:jc w:val="center"/>
            </w:pPr>
            <w:r>
              <w:t>19</w:t>
            </w:r>
          </w:p>
        </w:tc>
        <w:tc>
          <w:tcPr>
            <w:tcW w:w="996" w:type="dxa"/>
          </w:tcPr>
          <w:p w:rsidR="00E52988" w:rsidRDefault="00E52988" w:rsidP="003420FE">
            <w:pPr>
              <w:jc w:val="center"/>
            </w:pPr>
            <w:r>
              <w:t>15</w:t>
            </w:r>
          </w:p>
        </w:tc>
      </w:tr>
      <w:tr w:rsidR="00E52988" w:rsidTr="003420FE">
        <w:tc>
          <w:tcPr>
            <w:tcW w:w="2745" w:type="dxa"/>
          </w:tcPr>
          <w:p w:rsidR="00E52988" w:rsidRDefault="00E52988" w:rsidP="003420FE">
            <w:pPr>
              <w:pStyle w:val="BodyText"/>
              <w:jc w:val="left"/>
            </w:pPr>
            <w:r>
              <w:t>Union</w:t>
            </w:r>
          </w:p>
        </w:tc>
        <w:tc>
          <w:tcPr>
            <w:tcW w:w="996" w:type="dxa"/>
          </w:tcPr>
          <w:p w:rsidR="00E52988" w:rsidRDefault="00E52988" w:rsidP="003420FE">
            <w:pPr>
              <w:jc w:val="center"/>
            </w:pPr>
            <w:r>
              <w:t>11</w:t>
            </w:r>
          </w:p>
        </w:tc>
        <w:tc>
          <w:tcPr>
            <w:tcW w:w="996" w:type="dxa"/>
          </w:tcPr>
          <w:p w:rsidR="00E52988" w:rsidRDefault="00E52988" w:rsidP="003420FE">
            <w:pPr>
              <w:jc w:val="center"/>
            </w:pPr>
            <w:r>
              <w:t>15</w:t>
            </w:r>
          </w:p>
        </w:tc>
        <w:tc>
          <w:tcPr>
            <w:tcW w:w="996" w:type="dxa"/>
          </w:tcPr>
          <w:p w:rsidR="00E52988" w:rsidRDefault="00E52988" w:rsidP="003420FE">
            <w:pPr>
              <w:jc w:val="center"/>
            </w:pPr>
            <w:r>
              <w:t>12</w:t>
            </w:r>
          </w:p>
        </w:tc>
        <w:tc>
          <w:tcPr>
            <w:tcW w:w="343" w:type="dxa"/>
          </w:tcPr>
          <w:p w:rsidR="00E52988" w:rsidRDefault="00E52988" w:rsidP="003420FE">
            <w:pPr>
              <w:jc w:val="center"/>
            </w:pPr>
          </w:p>
        </w:tc>
        <w:tc>
          <w:tcPr>
            <w:tcW w:w="996" w:type="dxa"/>
          </w:tcPr>
          <w:p w:rsidR="00E52988" w:rsidRDefault="00E52988" w:rsidP="003420FE">
            <w:pPr>
              <w:jc w:val="center"/>
            </w:pPr>
            <w:r>
              <w:t>10</w:t>
            </w:r>
          </w:p>
        </w:tc>
        <w:tc>
          <w:tcPr>
            <w:tcW w:w="999" w:type="dxa"/>
          </w:tcPr>
          <w:p w:rsidR="00E52988" w:rsidRDefault="00E52988" w:rsidP="003420FE">
            <w:pPr>
              <w:jc w:val="center"/>
            </w:pPr>
            <w:r>
              <w:t>13</w:t>
            </w:r>
          </w:p>
        </w:tc>
        <w:tc>
          <w:tcPr>
            <w:tcW w:w="996" w:type="dxa"/>
          </w:tcPr>
          <w:p w:rsidR="00E52988" w:rsidRDefault="00E52988" w:rsidP="003420FE">
            <w:pPr>
              <w:jc w:val="center"/>
            </w:pPr>
            <w:r>
              <w:t>10</w:t>
            </w:r>
          </w:p>
        </w:tc>
      </w:tr>
      <w:tr w:rsidR="00E52988" w:rsidTr="003420FE">
        <w:tc>
          <w:tcPr>
            <w:tcW w:w="2745" w:type="dxa"/>
          </w:tcPr>
          <w:p w:rsidR="00E52988" w:rsidRDefault="00E52988" w:rsidP="003420FE">
            <w:pPr>
              <w:pStyle w:val="BodyText"/>
              <w:jc w:val="left"/>
            </w:pPr>
            <w:r>
              <w:t>Informal group seeking to provide community services</w:t>
            </w:r>
          </w:p>
        </w:tc>
        <w:tc>
          <w:tcPr>
            <w:tcW w:w="996" w:type="dxa"/>
          </w:tcPr>
          <w:p w:rsidR="00E52988" w:rsidRDefault="00E52988" w:rsidP="003420FE">
            <w:pPr>
              <w:jc w:val="center"/>
            </w:pPr>
            <w:r>
              <w:t>14</w:t>
            </w:r>
          </w:p>
        </w:tc>
        <w:tc>
          <w:tcPr>
            <w:tcW w:w="996" w:type="dxa"/>
          </w:tcPr>
          <w:p w:rsidR="00E52988" w:rsidRDefault="00E52988" w:rsidP="003420FE">
            <w:pPr>
              <w:jc w:val="center"/>
            </w:pPr>
            <w:r>
              <w:t>17</w:t>
            </w:r>
          </w:p>
        </w:tc>
        <w:tc>
          <w:tcPr>
            <w:tcW w:w="996" w:type="dxa"/>
          </w:tcPr>
          <w:p w:rsidR="00E52988" w:rsidRDefault="00E52988" w:rsidP="003420FE">
            <w:pPr>
              <w:jc w:val="center"/>
            </w:pPr>
            <w:r>
              <w:t>12</w:t>
            </w:r>
          </w:p>
        </w:tc>
        <w:tc>
          <w:tcPr>
            <w:tcW w:w="343" w:type="dxa"/>
          </w:tcPr>
          <w:p w:rsidR="00E52988" w:rsidRDefault="00E52988" w:rsidP="003420FE">
            <w:pPr>
              <w:jc w:val="center"/>
            </w:pPr>
          </w:p>
        </w:tc>
        <w:tc>
          <w:tcPr>
            <w:tcW w:w="996" w:type="dxa"/>
          </w:tcPr>
          <w:p w:rsidR="00E52988" w:rsidRDefault="00E52988" w:rsidP="003420FE">
            <w:pPr>
              <w:jc w:val="center"/>
            </w:pPr>
            <w:r>
              <w:t>12</w:t>
            </w:r>
          </w:p>
        </w:tc>
        <w:tc>
          <w:tcPr>
            <w:tcW w:w="999" w:type="dxa"/>
          </w:tcPr>
          <w:p w:rsidR="00E52988" w:rsidRDefault="00E52988" w:rsidP="003420FE">
            <w:pPr>
              <w:jc w:val="center"/>
            </w:pPr>
            <w:r>
              <w:t>14</w:t>
            </w:r>
          </w:p>
        </w:tc>
        <w:tc>
          <w:tcPr>
            <w:tcW w:w="996" w:type="dxa"/>
          </w:tcPr>
          <w:p w:rsidR="00E52988" w:rsidRDefault="00E52988" w:rsidP="003420FE">
            <w:pPr>
              <w:jc w:val="center"/>
            </w:pPr>
            <w:r>
              <w:t>8</w:t>
            </w:r>
          </w:p>
        </w:tc>
      </w:tr>
      <w:tr w:rsidR="00E52988" w:rsidTr="003420FE">
        <w:tc>
          <w:tcPr>
            <w:tcW w:w="2745" w:type="dxa"/>
          </w:tcPr>
          <w:p w:rsidR="00E52988" w:rsidRDefault="00E52988" w:rsidP="003420FE">
            <w:pPr>
              <w:pStyle w:val="BodyText"/>
              <w:jc w:val="left"/>
            </w:pPr>
            <w:r>
              <w:t>Faith-based political group</w:t>
            </w:r>
          </w:p>
        </w:tc>
        <w:tc>
          <w:tcPr>
            <w:tcW w:w="996" w:type="dxa"/>
          </w:tcPr>
          <w:p w:rsidR="00E52988" w:rsidRDefault="00E52988" w:rsidP="003420FE">
            <w:pPr>
              <w:jc w:val="center"/>
            </w:pPr>
            <w:r>
              <w:t>8</w:t>
            </w:r>
          </w:p>
        </w:tc>
        <w:tc>
          <w:tcPr>
            <w:tcW w:w="996" w:type="dxa"/>
          </w:tcPr>
          <w:p w:rsidR="00E52988" w:rsidRDefault="00E52988" w:rsidP="003420FE">
            <w:pPr>
              <w:jc w:val="center"/>
            </w:pPr>
            <w:r>
              <w:t>11</w:t>
            </w:r>
          </w:p>
        </w:tc>
        <w:tc>
          <w:tcPr>
            <w:tcW w:w="996" w:type="dxa"/>
          </w:tcPr>
          <w:p w:rsidR="00E52988" w:rsidRDefault="00E52988" w:rsidP="003420FE">
            <w:pPr>
              <w:jc w:val="center"/>
            </w:pPr>
            <w:r>
              <w:t>7</w:t>
            </w:r>
          </w:p>
        </w:tc>
        <w:tc>
          <w:tcPr>
            <w:tcW w:w="343" w:type="dxa"/>
          </w:tcPr>
          <w:p w:rsidR="00E52988" w:rsidRDefault="00E52988" w:rsidP="003420FE">
            <w:pPr>
              <w:jc w:val="center"/>
            </w:pPr>
          </w:p>
        </w:tc>
        <w:tc>
          <w:tcPr>
            <w:tcW w:w="996" w:type="dxa"/>
          </w:tcPr>
          <w:p w:rsidR="00E52988" w:rsidRDefault="00E52988" w:rsidP="003420FE">
            <w:pPr>
              <w:jc w:val="center"/>
            </w:pPr>
            <w:r>
              <w:t>6</w:t>
            </w:r>
          </w:p>
        </w:tc>
        <w:tc>
          <w:tcPr>
            <w:tcW w:w="999" w:type="dxa"/>
          </w:tcPr>
          <w:p w:rsidR="00E52988" w:rsidRDefault="00E52988" w:rsidP="003420FE">
            <w:pPr>
              <w:jc w:val="center"/>
            </w:pPr>
            <w:r>
              <w:t>8</w:t>
            </w:r>
          </w:p>
        </w:tc>
        <w:tc>
          <w:tcPr>
            <w:tcW w:w="996" w:type="dxa"/>
          </w:tcPr>
          <w:p w:rsidR="00E52988" w:rsidRDefault="00E52988" w:rsidP="003420FE">
            <w:pPr>
              <w:jc w:val="center"/>
            </w:pPr>
            <w:r>
              <w:t>4</w:t>
            </w:r>
          </w:p>
        </w:tc>
      </w:tr>
      <w:tr w:rsidR="00E52988" w:rsidTr="003420FE">
        <w:tc>
          <w:tcPr>
            <w:tcW w:w="2745" w:type="dxa"/>
          </w:tcPr>
          <w:p w:rsidR="00E52988" w:rsidRPr="006835D1" w:rsidRDefault="00E52988" w:rsidP="003420FE">
            <w:pPr>
              <w:pStyle w:val="BodyText"/>
              <w:jc w:val="left"/>
              <w:rPr>
                <w:b/>
              </w:rPr>
            </w:pPr>
            <w:r w:rsidRPr="006835D1">
              <w:rPr>
                <w:b/>
              </w:rPr>
              <w:t>At least one of the above</w:t>
            </w:r>
          </w:p>
        </w:tc>
        <w:tc>
          <w:tcPr>
            <w:tcW w:w="996" w:type="dxa"/>
          </w:tcPr>
          <w:p w:rsidR="00E52988" w:rsidRDefault="00E52988" w:rsidP="003420FE">
            <w:pPr>
              <w:jc w:val="center"/>
            </w:pPr>
            <w:r>
              <w:t>28</w:t>
            </w:r>
          </w:p>
        </w:tc>
        <w:tc>
          <w:tcPr>
            <w:tcW w:w="996" w:type="dxa"/>
          </w:tcPr>
          <w:p w:rsidR="00E52988" w:rsidRDefault="00E52988" w:rsidP="003420FE">
            <w:pPr>
              <w:jc w:val="center"/>
            </w:pPr>
            <w:r>
              <w:t>29</w:t>
            </w:r>
          </w:p>
        </w:tc>
        <w:tc>
          <w:tcPr>
            <w:tcW w:w="996" w:type="dxa"/>
          </w:tcPr>
          <w:p w:rsidR="00E52988" w:rsidRDefault="00E52988" w:rsidP="003420FE">
            <w:pPr>
              <w:jc w:val="center"/>
            </w:pPr>
            <w:r>
              <w:t>25</w:t>
            </w:r>
          </w:p>
        </w:tc>
        <w:tc>
          <w:tcPr>
            <w:tcW w:w="343" w:type="dxa"/>
          </w:tcPr>
          <w:p w:rsidR="00E52988" w:rsidRDefault="00E52988" w:rsidP="003420FE">
            <w:pPr>
              <w:jc w:val="center"/>
            </w:pPr>
          </w:p>
        </w:tc>
        <w:tc>
          <w:tcPr>
            <w:tcW w:w="996" w:type="dxa"/>
          </w:tcPr>
          <w:p w:rsidR="00E52988" w:rsidRDefault="00E52988" w:rsidP="003420FE">
            <w:pPr>
              <w:jc w:val="center"/>
            </w:pPr>
            <w:r>
              <w:t>27</w:t>
            </w:r>
          </w:p>
        </w:tc>
        <w:tc>
          <w:tcPr>
            <w:tcW w:w="999" w:type="dxa"/>
          </w:tcPr>
          <w:p w:rsidR="00E52988" w:rsidRDefault="00E52988" w:rsidP="003420FE">
            <w:pPr>
              <w:jc w:val="center"/>
            </w:pPr>
            <w:r>
              <w:t>31</w:t>
            </w:r>
          </w:p>
        </w:tc>
        <w:tc>
          <w:tcPr>
            <w:tcW w:w="996" w:type="dxa"/>
          </w:tcPr>
          <w:p w:rsidR="00E52988" w:rsidRDefault="00E52988" w:rsidP="003420FE">
            <w:pPr>
              <w:jc w:val="center"/>
            </w:pPr>
            <w:r>
              <w:t>27</w:t>
            </w:r>
          </w:p>
        </w:tc>
      </w:tr>
      <w:tr w:rsidR="00E52988" w:rsidTr="003420FE">
        <w:tc>
          <w:tcPr>
            <w:tcW w:w="2745" w:type="dxa"/>
          </w:tcPr>
          <w:p w:rsidR="00E52988" w:rsidRPr="006835D1" w:rsidRDefault="00E52988" w:rsidP="003420FE">
            <w:pPr>
              <w:pStyle w:val="BodyText"/>
              <w:jc w:val="left"/>
            </w:pPr>
            <w:r w:rsidRPr="00FB324B">
              <w:rPr>
                <w:b/>
              </w:rPr>
              <w:t>Mosque/church attendance</w:t>
            </w:r>
            <w:r>
              <w:rPr>
                <w:b/>
              </w:rPr>
              <w:t>: at least once a week</w:t>
            </w:r>
          </w:p>
        </w:tc>
        <w:tc>
          <w:tcPr>
            <w:tcW w:w="996" w:type="dxa"/>
          </w:tcPr>
          <w:p w:rsidR="00E52988" w:rsidRDefault="00E52988" w:rsidP="003420FE">
            <w:pPr>
              <w:jc w:val="center"/>
            </w:pPr>
            <w:r>
              <w:t>35</w:t>
            </w:r>
          </w:p>
        </w:tc>
        <w:tc>
          <w:tcPr>
            <w:tcW w:w="996" w:type="dxa"/>
          </w:tcPr>
          <w:p w:rsidR="00E52988" w:rsidRDefault="00E52988" w:rsidP="003420FE">
            <w:pPr>
              <w:jc w:val="center"/>
            </w:pPr>
            <w:r>
              <w:t>41</w:t>
            </w:r>
          </w:p>
        </w:tc>
        <w:tc>
          <w:tcPr>
            <w:tcW w:w="996" w:type="dxa"/>
          </w:tcPr>
          <w:p w:rsidR="00E52988" w:rsidRDefault="00E52988" w:rsidP="003420FE">
            <w:pPr>
              <w:jc w:val="center"/>
            </w:pPr>
            <w:r>
              <w:t>38</w:t>
            </w:r>
          </w:p>
        </w:tc>
        <w:tc>
          <w:tcPr>
            <w:tcW w:w="343" w:type="dxa"/>
          </w:tcPr>
          <w:p w:rsidR="00E52988" w:rsidRDefault="00E52988" w:rsidP="003420FE">
            <w:pPr>
              <w:jc w:val="center"/>
            </w:pPr>
          </w:p>
        </w:tc>
        <w:tc>
          <w:tcPr>
            <w:tcW w:w="996" w:type="dxa"/>
          </w:tcPr>
          <w:p w:rsidR="00E52988" w:rsidRDefault="00E52988" w:rsidP="003420FE">
            <w:pPr>
              <w:jc w:val="center"/>
            </w:pPr>
            <w:r>
              <w:t>15</w:t>
            </w:r>
          </w:p>
        </w:tc>
        <w:tc>
          <w:tcPr>
            <w:tcW w:w="999" w:type="dxa"/>
          </w:tcPr>
          <w:p w:rsidR="00E52988" w:rsidRDefault="00E52988" w:rsidP="003420FE">
            <w:pPr>
              <w:jc w:val="center"/>
            </w:pPr>
            <w:r>
              <w:t>16</w:t>
            </w:r>
          </w:p>
        </w:tc>
        <w:tc>
          <w:tcPr>
            <w:tcW w:w="996" w:type="dxa"/>
          </w:tcPr>
          <w:p w:rsidR="00E52988" w:rsidRDefault="00E52988" w:rsidP="003420FE">
            <w:pPr>
              <w:jc w:val="center"/>
            </w:pPr>
            <w:r>
              <w:t>11</w:t>
            </w:r>
          </w:p>
        </w:tc>
      </w:tr>
      <w:tr w:rsidR="00E52988" w:rsidTr="003420FE">
        <w:tc>
          <w:tcPr>
            <w:tcW w:w="2745" w:type="dxa"/>
          </w:tcPr>
          <w:p w:rsidR="00E52988" w:rsidRPr="00DB5442" w:rsidRDefault="00E52988" w:rsidP="003420FE">
            <w:pPr>
              <w:pStyle w:val="BodyText"/>
              <w:rPr>
                <w:b/>
                <w:sz w:val="20"/>
                <w:szCs w:val="20"/>
              </w:rPr>
            </w:pPr>
            <w:r>
              <w:rPr>
                <w:b/>
                <w:sz w:val="20"/>
                <w:szCs w:val="20"/>
              </w:rPr>
              <w:t>N =</w:t>
            </w:r>
          </w:p>
        </w:tc>
        <w:tc>
          <w:tcPr>
            <w:tcW w:w="996" w:type="dxa"/>
          </w:tcPr>
          <w:p w:rsidR="00E52988" w:rsidRDefault="00E52988" w:rsidP="003420FE">
            <w:pPr>
              <w:jc w:val="center"/>
            </w:pPr>
            <w:r>
              <w:t>1518</w:t>
            </w:r>
          </w:p>
        </w:tc>
        <w:tc>
          <w:tcPr>
            <w:tcW w:w="996" w:type="dxa"/>
          </w:tcPr>
          <w:p w:rsidR="00E52988" w:rsidRDefault="00E52988" w:rsidP="003420FE">
            <w:pPr>
              <w:jc w:val="center"/>
            </w:pPr>
            <w:r>
              <w:t>1452</w:t>
            </w:r>
          </w:p>
        </w:tc>
        <w:tc>
          <w:tcPr>
            <w:tcW w:w="996" w:type="dxa"/>
          </w:tcPr>
          <w:p w:rsidR="00E52988" w:rsidRDefault="00E52988" w:rsidP="003420FE">
            <w:pPr>
              <w:jc w:val="center"/>
            </w:pPr>
            <w:r>
              <w:t>1043</w:t>
            </w:r>
          </w:p>
        </w:tc>
        <w:tc>
          <w:tcPr>
            <w:tcW w:w="343" w:type="dxa"/>
          </w:tcPr>
          <w:p w:rsidR="00E52988" w:rsidRDefault="00E52988" w:rsidP="003420FE">
            <w:pPr>
              <w:jc w:val="center"/>
            </w:pPr>
          </w:p>
        </w:tc>
        <w:tc>
          <w:tcPr>
            <w:tcW w:w="996" w:type="dxa"/>
          </w:tcPr>
          <w:p w:rsidR="00E52988" w:rsidRDefault="00E52988" w:rsidP="003420FE">
            <w:pPr>
              <w:jc w:val="center"/>
            </w:pPr>
            <w:r>
              <w:t>1208</w:t>
            </w:r>
          </w:p>
        </w:tc>
        <w:tc>
          <w:tcPr>
            <w:tcW w:w="999" w:type="dxa"/>
          </w:tcPr>
          <w:p w:rsidR="00E52988" w:rsidRDefault="00E52988" w:rsidP="003420FE">
            <w:pPr>
              <w:jc w:val="center"/>
            </w:pPr>
            <w:r>
              <w:t>926</w:t>
            </w:r>
          </w:p>
        </w:tc>
        <w:tc>
          <w:tcPr>
            <w:tcW w:w="996" w:type="dxa"/>
          </w:tcPr>
          <w:p w:rsidR="00E52988" w:rsidRDefault="00E52988" w:rsidP="003420FE">
            <w:pPr>
              <w:jc w:val="center"/>
            </w:pPr>
            <w:r>
              <w:t>628</w:t>
            </w:r>
          </w:p>
        </w:tc>
      </w:tr>
    </w:tbl>
    <w:p w:rsidR="00E52988" w:rsidRDefault="00E52988" w:rsidP="00E52988">
      <w:pPr>
        <w:spacing w:line="240" w:lineRule="auto"/>
      </w:pPr>
    </w:p>
    <w:p w:rsidR="00E52988" w:rsidRDefault="00E52988" w:rsidP="00E52988">
      <w:pPr>
        <w:pStyle w:val="BodyText"/>
      </w:pPr>
      <w:r>
        <w:t>In contrast, there was no difference in the likelihood of the sexes joining community associations. Nor was there any trend with age</w:t>
      </w:r>
      <w:r w:rsidR="0028616C">
        <w:t xml:space="preserve"> (see Table II)</w:t>
      </w:r>
      <w:r>
        <w:t>. All the participation rates in Table II show between 25 percent and 31percent</w:t>
      </w:r>
      <w:r w:rsidR="0028616C">
        <w:t xml:space="preserve"> of the gender and age groups</w:t>
      </w:r>
      <w:r>
        <w:t xml:space="preserve"> belonging to at least one association. Moreover, the young men and women were joining the same types of associations. The highest membership rates were in charities and humanitarian associations, followed by cultural, neighbourhood and community service groups. Other associations – student and worker unions, faith groups and associations addressing women’s and gender issues had lower membership rates. Moslems are expected to support charities with time or money, and just over a quarter of our respondents were complying. They were supporting Palestinians, refugees, the local poor, the disabled, ex-prisoners, orphans and various others. Our finding that males and females had similar rates of membership did not necessarily mean that they were working together. Women would typically work with groups of women, dealing with female clients, children and families. Males were more likely to engage with male clients.</w:t>
      </w:r>
    </w:p>
    <w:p w:rsidR="00E52988" w:rsidRDefault="00E52988" w:rsidP="00E52988">
      <w:pPr>
        <w:pStyle w:val="BodyText"/>
      </w:pPr>
    </w:p>
    <w:p w:rsidR="00E52988" w:rsidRDefault="00E52988" w:rsidP="00E52988">
      <w:pPr>
        <w:pStyle w:val="BodyText"/>
      </w:pPr>
      <w:r>
        <w:t>With public religious participation males exhibited an exaggeration of their lead in out-of-home leisure activities. Among young people and young adults, according to our evidence, the region’s mosques have overwhelmingly male congregations. Males led by 35 percent to 15 percent among 15-19 year olds and by 38 percent to 11 percent among respondents aged 25-29 in terms of ‘at least once a week’ attendance. Here the sexes were always apart, and were growing further apart with age. A point to note here is that public religious participation was only weakly related to measurements of private religiosity (see Roberts et al, 2018d). Mosque attenders were not ultra-devout. They would pray and possibly listen to a preacher, but mosques were basically places where male (and to a lesser extent female) relatives, neighbours and acquaintances could congregate – a respectable alternative to the street or even a tea room or coffee shop.</w:t>
      </w:r>
    </w:p>
    <w:p w:rsidR="00E52988" w:rsidRDefault="00E52988" w:rsidP="00E52988">
      <w:pPr>
        <w:pStyle w:val="BodyText"/>
      </w:pPr>
    </w:p>
    <w:p w:rsidR="00E52988" w:rsidRDefault="00E52988" w:rsidP="00E52988">
      <w:pPr>
        <w:pStyle w:val="BodyText"/>
      </w:pPr>
      <w:r>
        <w:t>Males’ uses of free time remained remarkably stable from age 15 to 29. Throughout, on average, they took part in between 2.4 and 2.7 different out-of-home leisure activities in a typical week. Time spent watching television was always between 146 and 151 minutes on a typical day, and online time was always between 204 and 216 minutes. Association memberships varied only between 25 percent and 29 percent, and the percentages visiting a place of religious worship at least weekly fluctuated only between 35 percent and 41 percent. Young women’s uses of free time did change. There were clear upward or downward trends in most ways in which this time could be used. The average number of out-of-home leisure activities undertaken per week fell steadily from 1.6 to 1.0. Television viewing increased from 175 to 189 minutes per day, and online time from 204 to 240 minutes. The percentages attending a place of religious worship at least weekly fell from 15 percent and 16 percent to 11 percent among the 25-29 year olds. However, between 27 percent and 31 percent throughout belonged to at least one community association.</w:t>
      </w:r>
      <w:r w:rsidR="005D562F">
        <w:t xml:space="preserve"> </w:t>
      </w:r>
      <w:r>
        <w:t>When one sex was ahead at age 15-19, it was further ahead at age 25-29. In terms of overall uses of free time, during the extended youth life stage in the region</w:t>
      </w:r>
      <w:r w:rsidR="005D562F">
        <w:t>,</w:t>
      </w:r>
      <w:r>
        <w:t xml:space="preserve"> the sexes were always apart in most activities, and </w:t>
      </w:r>
      <w:r w:rsidR="0028616C">
        <w:t>t</w:t>
      </w:r>
      <w:r>
        <w:t>he trend with age was for uses of free time to become more, not less, gendered</w:t>
      </w:r>
    </w:p>
    <w:p w:rsidR="00E52988" w:rsidRPr="00B86E7C" w:rsidRDefault="00E52988" w:rsidP="00E52988">
      <w:pPr>
        <w:rPr>
          <w:b/>
        </w:rPr>
      </w:pPr>
      <w:r w:rsidRPr="00B86E7C">
        <w:rPr>
          <w:b/>
        </w:rPr>
        <w:t>Social class origins</w:t>
      </w:r>
    </w:p>
    <w:p w:rsidR="00E52988" w:rsidRDefault="00E52988" w:rsidP="00E52988">
      <w:pPr>
        <w:pStyle w:val="BodyText"/>
      </w:pPr>
      <w:r>
        <w:t>Our expectation was that differences by social class origins (indicated by fathers’ education) would be widest among our youngest</w:t>
      </w:r>
      <w:r w:rsidR="00B66DAD">
        <w:t xml:space="preserve"> respondents, the</w:t>
      </w:r>
      <w:r>
        <w:t xml:space="preserve"> 15-19 year olds, then diminish as achieved statuses became more efficacious. An earlier analysis of evidence from Lebanon had shown that upwardly mobile youth tended to adopt the leisure practices and patterns of their likely classes of destination, and likewise among the downwardly mobile (Roberts and Kovacheva, 2016). We expected this finding to be repeated with fuller evidence from across all five of our research countries. We expected the efficacy of social class origins to diminish among males and females even though only a minority of the latter were entering the labour forces in their countries. Our expectation was based on females being slightly more likely than males to enter and graduate from higher education (30 percent and 28 percent), and higher education graduates were unlike other females in that they typically sought (but </w:t>
      </w:r>
      <w:r w:rsidR="00B66DAD">
        <w:t xml:space="preserve">did </w:t>
      </w:r>
      <w:r>
        <w:t>not necessarily obtain) employment (Kovacheva et al, 2018a).</w:t>
      </w:r>
    </w:p>
    <w:p w:rsidR="00E52988" w:rsidRDefault="00E52988" w:rsidP="00E52988">
      <w:pPr>
        <w:pStyle w:val="BodyText"/>
      </w:pPr>
    </w:p>
    <w:p w:rsidR="00E52988" w:rsidRPr="002D07C2" w:rsidRDefault="00E52988" w:rsidP="00E52988">
      <w:pPr>
        <w:pStyle w:val="BodyText"/>
      </w:pPr>
      <w:r>
        <w:t>Throughout the following analysis we give mini-max figures – the differences in the rates of participation and time spent between the lowest scoring and highest scoring fathers’ education groups. In some cases (out-of-home leisure activities and membership of associations)</w:t>
      </w:r>
      <w:r w:rsidR="00B66DAD">
        <w:t>,</w:t>
      </w:r>
      <w:r>
        <w:t xml:space="preserve"> respondents from the highest social classes had the highest participation rates, whereas the reverse applied in time spent watching television and public religious participation. </w:t>
      </w:r>
    </w:p>
    <w:p w:rsidR="00E52988" w:rsidRDefault="00E52988" w:rsidP="00E52988">
      <w:pPr>
        <w:spacing w:after="160"/>
      </w:pPr>
      <w:r>
        <w:br w:type="page"/>
      </w:r>
    </w:p>
    <w:p w:rsidR="00E52988" w:rsidRPr="00B86E7C" w:rsidRDefault="00E52988" w:rsidP="00E52988">
      <w:pPr>
        <w:spacing w:line="240" w:lineRule="auto"/>
        <w:rPr>
          <w:b/>
        </w:rPr>
      </w:pPr>
      <w:r w:rsidRPr="00B86E7C">
        <w:rPr>
          <w:b/>
        </w:rPr>
        <w:t>Table III</w:t>
      </w:r>
    </w:p>
    <w:p w:rsidR="00E52988" w:rsidRPr="00B86E7C" w:rsidRDefault="00E52988" w:rsidP="00E52988">
      <w:pPr>
        <w:spacing w:line="240" w:lineRule="auto"/>
        <w:rPr>
          <w:b/>
        </w:rPr>
      </w:pPr>
      <w:r w:rsidRPr="00B86E7C">
        <w:rPr>
          <w:b/>
        </w:rPr>
        <w:t>Age, gender, fathers’ education and participation in free time activities</w:t>
      </w:r>
    </w:p>
    <w:p w:rsidR="00E52988" w:rsidRPr="0086243A" w:rsidRDefault="00E52988" w:rsidP="00E52988">
      <w:pPr>
        <w:pStyle w:val="BodyTextFirstIndent"/>
        <w:spacing w:line="240" w:lineRule="auto"/>
        <w:rPr>
          <w:b/>
        </w:rPr>
      </w:pPr>
      <w:r>
        <w:rPr>
          <w:b/>
        </w:rPr>
        <w:t xml:space="preserve">                                                           </w:t>
      </w:r>
      <w:r w:rsidRPr="0086243A">
        <w:rPr>
          <w:b/>
        </w:rPr>
        <w:t>Males                                      Females</w:t>
      </w:r>
    </w:p>
    <w:tbl>
      <w:tblPr>
        <w:tblStyle w:val="TableGrid"/>
        <w:tblW w:w="9067" w:type="dxa"/>
        <w:tblLook w:val="04A0" w:firstRow="1" w:lastRow="0" w:firstColumn="1" w:lastColumn="0" w:noHBand="0" w:noVBand="1"/>
      </w:tblPr>
      <w:tblGrid>
        <w:gridCol w:w="2745"/>
        <w:gridCol w:w="996"/>
        <w:gridCol w:w="996"/>
        <w:gridCol w:w="996"/>
        <w:gridCol w:w="343"/>
        <w:gridCol w:w="996"/>
        <w:gridCol w:w="999"/>
        <w:gridCol w:w="996"/>
      </w:tblGrid>
      <w:tr w:rsidR="00E52988" w:rsidRPr="00D9791A" w:rsidTr="003420FE">
        <w:tc>
          <w:tcPr>
            <w:tcW w:w="2745" w:type="dxa"/>
          </w:tcPr>
          <w:p w:rsidR="00E52988" w:rsidRPr="00D9791A" w:rsidRDefault="00E52988" w:rsidP="003420FE">
            <w:pPr>
              <w:rPr>
                <w:b/>
              </w:rPr>
            </w:pPr>
          </w:p>
        </w:tc>
        <w:tc>
          <w:tcPr>
            <w:tcW w:w="996" w:type="dxa"/>
          </w:tcPr>
          <w:p w:rsidR="00E52988" w:rsidRPr="00D9791A" w:rsidRDefault="00E52988" w:rsidP="003420FE">
            <w:pPr>
              <w:jc w:val="center"/>
              <w:rPr>
                <w:b/>
              </w:rPr>
            </w:pPr>
            <w:r w:rsidRPr="00D9791A">
              <w:rPr>
                <w:b/>
              </w:rPr>
              <w:t>15-19</w:t>
            </w:r>
          </w:p>
          <w:p w:rsidR="00E52988" w:rsidRPr="00D9791A" w:rsidRDefault="00E52988" w:rsidP="003420FE">
            <w:pPr>
              <w:jc w:val="center"/>
              <w:rPr>
                <w:b/>
              </w:rPr>
            </w:pPr>
          </w:p>
        </w:tc>
        <w:tc>
          <w:tcPr>
            <w:tcW w:w="996" w:type="dxa"/>
          </w:tcPr>
          <w:p w:rsidR="00E52988" w:rsidRPr="00D9791A" w:rsidRDefault="00E52988" w:rsidP="003420FE">
            <w:pPr>
              <w:jc w:val="center"/>
              <w:rPr>
                <w:b/>
              </w:rPr>
            </w:pPr>
            <w:r w:rsidRPr="00D9791A">
              <w:rPr>
                <w:b/>
              </w:rPr>
              <w:t>20-24</w:t>
            </w:r>
          </w:p>
          <w:p w:rsidR="00E52988" w:rsidRPr="00D9791A" w:rsidRDefault="00E52988" w:rsidP="003420FE">
            <w:pPr>
              <w:jc w:val="center"/>
              <w:rPr>
                <w:b/>
              </w:rPr>
            </w:pPr>
          </w:p>
        </w:tc>
        <w:tc>
          <w:tcPr>
            <w:tcW w:w="996" w:type="dxa"/>
          </w:tcPr>
          <w:p w:rsidR="00E52988" w:rsidRPr="00D9791A" w:rsidRDefault="00E52988" w:rsidP="003420FE">
            <w:pPr>
              <w:jc w:val="center"/>
              <w:rPr>
                <w:b/>
              </w:rPr>
            </w:pPr>
            <w:r w:rsidRPr="00D9791A">
              <w:rPr>
                <w:b/>
              </w:rPr>
              <w:t>25-29</w:t>
            </w:r>
          </w:p>
          <w:p w:rsidR="00E52988" w:rsidRPr="00D9791A" w:rsidRDefault="00E52988" w:rsidP="003420FE">
            <w:pPr>
              <w:jc w:val="center"/>
              <w:rPr>
                <w:b/>
              </w:rPr>
            </w:pPr>
          </w:p>
        </w:tc>
        <w:tc>
          <w:tcPr>
            <w:tcW w:w="343" w:type="dxa"/>
          </w:tcPr>
          <w:p w:rsidR="00E52988" w:rsidRPr="00D9791A" w:rsidRDefault="00E52988" w:rsidP="003420FE">
            <w:pPr>
              <w:jc w:val="center"/>
              <w:rPr>
                <w:b/>
              </w:rPr>
            </w:pPr>
          </w:p>
        </w:tc>
        <w:tc>
          <w:tcPr>
            <w:tcW w:w="996" w:type="dxa"/>
          </w:tcPr>
          <w:p w:rsidR="00E52988" w:rsidRPr="00D9791A" w:rsidRDefault="00E52988" w:rsidP="003420FE">
            <w:pPr>
              <w:jc w:val="center"/>
              <w:rPr>
                <w:b/>
              </w:rPr>
            </w:pPr>
            <w:r w:rsidRPr="00D9791A">
              <w:rPr>
                <w:b/>
              </w:rPr>
              <w:t>15-19</w:t>
            </w:r>
          </w:p>
          <w:p w:rsidR="00E52988" w:rsidRPr="00D9791A" w:rsidRDefault="00E52988" w:rsidP="003420FE">
            <w:pPr>
              <w:jc w:val="center"/>
              <w:rPr>
                <w:b/>
              </w:rPr>
            </w:pPr>
          </w:p>
        </w:tc>
        <w:tc>
          <w:tcPr>
            <w:tcW w:w="999" w:type="dxa"/>
          </w:tcPr>
          <w:p w:rsidR="00E52988" w:rsidRPr="00D9791A" w:rsidRDefault="00E52988" w:rsidP="003420FE">
            <w:pPr>
              <w:jc w:val="center"/>
              <w:rPr>
                <w:b/>
              </w:rPr>
            </w:pPr>
            <w:r w:rsidRPr="00D9791A">
              <w:rPr>
                <w:b/>
              </w:rPr>
              <w:t>20-24</w:t>
            </w:r>
          </w:p>
          <w:p w:rsidR="00E52988" w:rsidRPr="00D9791A" w:rsidRDefault="00E52988" w:rsidP="003420FE">
            <w:pPr>
              <w:jc w:val="center"/>
              <w:rPr>
                <w:b/>
              </w:rPr>
            </w:pPr>
          </w:p>
        </w:tc>
        <w:tc>
          <w:tcPr>
            <w:tcW w:w="996" w:type="dxa"/>
          </w:tcPr>
          <w:p w:rsidR="00E52988" w:rsidRPr="00D9791A" w:rsidRDefault="00E52988" w:rsidP="003420FE">
            <w:pPr>
              <w:jc w:val="center"/>
              <w:rPr>
                <w:b/>
              </w:rPr>
            </w:pPr>
            <w:r w:rsidRPr="00D9791A">
              <w:rPr>
                <w:b/>
              </w:rPr>
              <w:t>25-29</w:t>
            </w:r>
          </w:p>
          <w:p w:rsidR="00E52988" w:rsidRPr="00D9791A" w:rsidRDefault="00E52988" w:rsidP="003420FE">
            <w:pPr>
              <w:jc w:val="center"/>
              <w:rPr>
                <w:b/>
              </w:rPr>
            </w:pPr>
          </w:p>
        </w:tc>
      </w:tr>
      <w:tr w:rsidR="00E52988" w:rsidTr="003420FE">
        <w:tc>
          <w:tcPr>
            <w:tcW w:w="2745" w:type="dxa"/>
          </w:tcPr>
          <w:p w:rsidR="00E52988" w:rsidRPr="00DF7925" w:rsidRDefault="00E52988" w:rsidP="003420FE">
            <w:pPr>
              <w:pStyle w:val="BodyText"/>
              <w:jc w:val="left"/>
              <w:rPr>
                <w:b/>
                <w:sz w:val="20"/>
                <w:szCs w:val="20"/>
              </w:rPr>
            </w:pPr>
            <w:r>
              <w:rPr>
                <w:b/>
                <w:sz w:val="20"/>
                <w:szCs w:val="20"/>
              </w:rPr>
              <w:t>T</w:t>
            </w:r>
            <w:r w:rsidRPr="00DB5442">
              <w:rPr>
                <w:b/>
                <w:sz w:val="20"/>
                <w:szCs w:val="20"/>
              </w:rPr>
              <w:t>ake part at least once a week</w:t>
            </w:r>
            <w:r>
              <w:rPr>
                <w:b/>
                <w:sz w:val="20"/>
                <w:szCs w:val="20"/>
              </w:rPr>
              <w:t xml:space="preserve">. </w:t>
            </w:r>
            <w:r w:rsidRPr="00DF7925">
              <w:rPr>
                <w:b/>
                <w:sz w:val="20"/>
                <w:szCs w:val="20"/>
              </w:rPr>
              <w:t>Mean number of leisure activities</w:t>
            </w:r>
          </w:p>
        </w:tc>
        <w:tc>
          <w:tcPr>
            <w:tcW w:w="996" w:type="dxa"/>
          </w:tcPr>
          <w:p w:rsidR="00E52988" w:rsidRDefault="00E52988" w:rsidP="003420FE">
            <w:pPr>
              <w:jc w:val="center"/>
            </w:pPr>
          </w:p>
        </w:tc>
        <w:tc>
          <w:tcPr>
            <w:tcW w:w="996" w:type="dxa"/>
          </w:tcPr>
          <w:p w:rsidR="00E52988" w:rsidRDefault="00E52988" w:rsidP="003420FE">
            <w:pPr>
              <w:jc w:val="center"/>
            </w:pPr>
          </w:p>
        </w:tc>
        <w:tc>
          <w:tcPr>
            <w:tcW w:w="996" w:type="dxa"/>
          </w:tcPr>
          <w:p w:rsidR="00E52988" w:rsidRDefault="00E52988" w:rsidP="003420FE">
            <w:pPr>
              <w:jc w:val="center"/>
            </w:pPr>
          </w:p>
        </w:tc>
        <w:tc>
          <w:tcPr>
            <w:tcW w:w="343" w:type="dxa"/>
          </w:tcPr>
          <w:p w:rsidR="00E52988" w:rsidRDefault="00E52988" w:rsidP="003420FE">
            <w:pPr>
              <w:jc w:val="center"/>
            </w:pPr>
          </w:p>
        </w:tc>
        <w:tc>
          <w:tcPr>
            <w:tcW w:w="996" w:type="dxa"/>
          </w:tcPr>
          <w:p w:rsidR="00E52988" w:rsidRDefault="00E52988" w:rsidP="003420FE">
            <w:pPr>
              <w:jc w:val="center"/>
            </w:pPr>
          </w:p>
        </w:tc>
        <w:tc>
          <w:tcPr>
            <w:tcW w:w="999" w:type="dxa"/>
          </w:tcPr>
          <w:p w:rsidR="00E52988" w:rsidRDefault="00E52988" w:rsidP="003420FE">
            <w:pPr>
              <w:jc w:val="center"/>
            </w:pPr>
          </w:p>
        </w:tc>
        <w:tc>
          <w:tcPr>
            <w:tcW w:w="996" w:type="dxa"/>
          </w:tcPr>
          <w:p w:rsidR="00E52988" w:rsidRDefault="00E52988" w:rsidP="003420FE">
            <w:pPr>
              <w:jc w:val="center"/>
            </w:pPr>
          </w:p>
        </w:tc>
      </w:tr>
      <w:tr w:rsidR="00E52988" w:rsidTr="003420FE">
        <w:tc>
          <w:tcPr>
            <w:tcW w:w="2745" w:type="dxa"/>
          </w:tcPr>
          <w:p w:rsidR="00E52988" w:rsidRPr="00DF7925" w:rsidRDefault="00E52988" w:rsidP="003420FE">
            <w:pPr>
              <w:pStyle w:val="BodyText"/>
              <w:jc w:val="left"/>
              <w:rPr>
                <w:sz w:val="20"/>
                <w:szCs w:val="20"/>
              </w:rPr>
            </w:pPr>
            <w:r w:rsidRPr="00DF7925">
              <w:rPr>
                <w:sz w:val="20"/>
                <w:szCs w:val="20"/>
              </w:rPr>
              <w:t>Father’s education: primary school or less</w:t>
            </w:r>
          </w:p>
        </w:tc>
        <w:tc>
          <w:tcPr>
            <w:tcW w:w="996" w:type="dxa"/>
          </w:tcPr>
          <w:p w:rsidR="00E52988" w:rsidRDefault="00E52988" w:rsidP="003420FE">
            <w:pPr>
              <w:jc w:val="center"/>
            </w:pPr>
            <w:r>
              <w:t>2.2</w:t>
            </w:r>
          </w:p>
        </w:tc>
        <w:tc>
          <w:tcPr>
            <w:tcW w:w="996" w:type="dxa"/>
          </w:tcPr>
          <w:p w:rsidR="00E52988" w:rsidRDefault="00E52988" w:rsidP="003420FE">
            <w:pPr>
              <w:jc w:val="center"/>
            </w:pPr>
            <w:r>
              <w:t>2.5</w:t>
            </w:r>
          </w:p>
        </w:tc>
        <w:tc>
          <w:tcPr>
            <w:tcW w:w="996" w:type="dxa"/>
          </w:tcPr>
          <w:p w:rsidR="00E52988" w:rsidRDefault="00E52988" w:rsidP="003420FE">
            <w:pPr>
              <w:jc w:val="center"/>
            </w:pPr>
            <w:r>
              <w:t>2.3</w:t>
            </w:r>
          </w:p>
        </w:tc>
        <w:tc>
          <w:tcPr>
            <w:tcW w:w="343" w:type="dxa"/>
          </w:tcPr>
          <w:p w:rsidR="00E52988" w:rsidRDefault="00E52988" w:rsidP="003420FE">
            <w:pPr>
              <w:jc w:val="center"/>
            </w:pPr>
          </w:p>
        </w:tc>
        <w:tc>
          <w:tcPr>
            <w:tcW w:w="996" w:type="dxa"/>
          </w:tcPr>
          <w:p w:rsidR="00E52988" w:rsidRDefault="00E52988" w:rsidP="003420FE">
            <w:pPr>
              <w:jc w:val="center"/>
            </w:pPr>
            <w:r>
              <w:t>1.2</w:t>
            </w:r>
          </w:p>
        </w:tc>
        <w:tc>
          <w:tcPr>
            <w:tcW w:w="999" w:type="dxa"/>
          </w:tcPr>
          <w:p w:rsidR="00E52988" w:rsidRDefault="00E52988" w:rsidP="003420FE">
            <w:pPr>
              <w:jc w:val="center"/>
            </w:pPr>
            <w:r>
              <w:t>1.0</w:t>
            </w:r>
          </w:p>
        </w:tc>
        <w:tc>
          <w:tcPr>
            <w:tcW w:w="996" w:type="dxa"/>
          </w:tcPr>
          <w:p w:rsidR="00E52988" w:rsidRDefault="00E52988" w:rsidP="003420FE">
            <w:pPr>
              <w:jc w:val="center"/>
            </w:pPr>
            <w:r>
              <w:t>0.8</w:t>
            </w:r>
          </w:p>
        </w:tc>
      </w:tr>
      <w:tr w:rsidR="00E52988" w:rsidTr="003420FE">
        <w:tc>
          <w:tcPr>
            <w:tcW w:w="2745" w:type="dxa"/>
          </w:tcPr>
          <w:p w:rsidR="00E52988" w:rsidRPr="00DF7925" w:rsidRDefault="00E52988" w:rsidP="003420FE">
            <w:pPr>
              <w:pStyle w:val="BodyText"/>
              <w:jc w:val="left"/>
              <w:rPr>
                <w:sz w:val="20"/>
                <w:szCs w:val="20"/>
              </w:rPr>
            </w:pPr>
            <w:r w:rsidRPr="00DF7925">
              <w:rPr>
                <w:sz w:val="20"/>
                <w:szCs w:val="20"/>
              </w:rPr>
              <w:t>Secondary</w:t>
            </w:r>
          </w:p>
        </w:tc>
        <w:tc>
          <w:tcPr>
            <w:tcW w:w="996" w:type="dxa"/>
          </w:tcPr>
          <w:p w:rsidR="00E52988" w:rsidRDefault="00E52988" w:rsidP="003420FE">
            <w:pPr>
              <w:jc w:val="center"/>
            </w:pPr>
            <w:r>
              <w:t>2.9</w:t>
            </w:r>
          </w:p>
        </w:tc>
        <w:tc>
          <w:tcPr>
            <w:tcW w:w="996" w:type="dxa"/>
          </w:tcPr>
          <w:p w:rsidR="00E52988" w:rsidRDefault="00E52988" w:rsidP="003420FE">
            <w:pPr>
              <w:jc w:val="center"/>
            </w:pPr>
            <w:r>
              <w:t>2.9</w:t>
            </w:r>
          </w:p>
        </w:tc>
        <w:tc>
          <w:tcPr>
            <w:tcW w:w="996" w:type="dxa"/>
          </w:tcPr>
          <w:p w:rsidR="00E52988" w:rsidRDefault="00E52988" w:rsidP="003420FE">
            <w:pPr>
              <w:jc w:val="center"/>
            </w:pPr>
            <w:r>
              <w:t>2.5</w:t>
            </w:r>
          </w:p>
        </w:tc>
        <w:tc>
          <w:tcPr>
            <w:tcW w:w="343" w:type="dxa"/>
          </w:tcPr>
          <w:p w:rsidR="00E52988" w:rsidRDefault="00E52988" w:rsidP="003420FE">
            <w:pPr>
              <w:jc w:val="center"/>
            </w:pPr>
          </w:p>
        </w:tc>
        <w:tc>
          <w:tcPr>
            <w:tcW w:w="996" w:type="dxa"/>
          </w:tcPr>
          <w:p w:rsidR="00E52988" w:rsidRDefault="00E52988" w:rsidP="003420FE">
            <w:pPr>
              <w:jc w:val="center"/>
            </w:pPr>
            <w:r>
              <w:t>1.8</w:t>
            </w:r>
          </w:p>
        </w:tc>
        <w:tc>
          <w:tcPr>
            <w:tcW w:w="999" w:type="dxa"/>
          </w:tcPr>
          <w:p w:rsidR="00E52988" w:rsidRDefault="00E52988" w:rsidP="003420FE">
            <w:pPr>
              <w:jc w:val="center"/>
            </w:pPr>
            <w:r>
              <w:t>1.7</w:t>
            </w:r>
          </w:p>
        </w:tc>
        <w:tc>
          <w:tcPr>
            <w:tcW w:w="996" w:type="dxa"/>
          </w:tcPr>
          <w:p w:rsidR="00E52988" w:rsidRDefault="00E52988" w:rsidP="003420FE">
            <w:pPr>
              <w:jc w:val="center"/>
            </w:pPr>
            <w:r>
              <w:t>1.1</w:t>
            </w:r>
          </w:p>
        </w:tc>
      </w:tr>
      <w:tr w:rsidR="00E52988" w:rsidTr="003420FE">
        <w:tc>
          <w:tcPr>
            <w:tcW w:w="2745" w:type="dxa"/>
          </w:tcPr>
          <w:p w:rsidR="00E52988" w:rsidRPr="00DF7925" w:rsidRDefault="00E52988" w:rsidP="003420FE">
            <w:pPr>
              <w:pStyle w:val="BodyText"/>
              <w:jc w:val="left"/>
              <w:rPr>
                <w:sz w:val="20"/>
                <w:szCs w:val="20"/>
              </w:rPr>
            </w:pPr>
            <w:r w:rsidRPr="00DF7925">
              <w:rPr>
                <w:sz w:val="20"/>
                <w:szCs w:val="20"/>
              </w:rPr>
              <w:t>Higher</w:t>
            </w:r>
          </w:p>
        </w:tc>
        <w:tc>
          <w:tcPr>
            <w:tcW w:w="996" w:type="dxa"/>
          </w:tcPr>
          <w:p w:rsidR="00E52988" w:rsidRDefault="00E52988" w:rsidP="003420FE">
            <w:pPr>
              <w:jc w:val="center"/>
            </w:pPr>
            <w:r>
              <w:t>2.8</w:t>
            </w:r>
          </w:p>
        </w:tc>
        <w:tc>
          <w:tcPr>
            <w:tcW w:w="996" w:type="dxa"/>
          </w:tcPr>
          <w:p w:rsidR="00E52988" w:rsidRDefault="00E52988" w:rsidP="003420FE">
            <w:pPr>
              <w:jc w:val="center"/>
            </w:pPr>
            <w:r>
              <w:t>3.0</w:t>
            </w:r>
          </w:p>
        </w:tc>
        <w:tc>
          <w:tcPr>
            <w:tcW w:w="996" w:type="dxa"/>
          </w:tcPr>
          <w:p w:rsidR="00E52988" w:rsidRDefault="00E52988" w:rsidP="003420FE">
            <w:pPr>
              <w:jc w:val="center"/>
            </w:pPr>
            <w:r>
              <w:t>3.1</w:t>
            </w:r>
          </w:p>
        </w:tc>
        <w:tc>
          <w:tcPr>
            <w:tcW w:w="343" w:type="dxa"/>
          </w:tcPr>
          <w:p w:rsidR="00E52988" w:rsidRDefault="00E52988" w:rsidP="003420FE">
            <w:pPr>
              <w:jc w:val="center"/>
            </w:pPr>
          </w:p>
        </w:tc>
        <w:tc>
          <w:tcPr>
            <w:tcW w:w="996" w:type="dxa"/>
          </w:tcPr>
          <w:p w:rsidR="00E52988" w:rsidRDefault="00E52988" w:rsidP="003420FE">
            <w:pPr>
              <w:jc w:val="center"/>
            </w:pPr>
            <w:r>
              <w:t>2.1</w:t>
            </w:r>
          </w:p>
        </w:tc>
        <w:tc>
          <w:tcPr>
            <w:tcW w:w="999" w:type="dxa"/>
          </w:tcPr>
          <w:p w:rsidR="00E52988" w:rsidRDefault="00E52988" w:rsidP="003420FE">
            <w:pPr>
              <w:jc w:val="center"/>
            </w:pPr>
            <w:r>
              <w:t>1.8</w:t>
            </w:r>
          </w:p>
        </w:tc>
        <w:tc>
          <w:tcPr>
            <w:tcW w:w="996" w:type="dxa"/>
          </w:tcPr>
          <w:p w:rsidR="00E52988" w:rsidRDefault="00E52988" w:rsidP="003420FE">
            <w:pPr>
              <w:jc w:val="center"/>
            </w:pPr>
            <w:r>
              <w:t>1.9</w:t>
            </w:r>
          </w:p>
        </w:tc>
      </w:tr>
      <w:tr w:rsidR="00E52988" w:rsidTr="003420FE">
        <w:tc>
          <w:tcPr>
            <w:tcW w:w="2745" w:type="dxa"/>
          </w:tcPr>
          <w:p w:rsidR="00E52988" w:rsidRPr="00DB5442" w:rsidRDefault="00E52988" w:rsidP="003420FE">
            <w:pPr>
              <w:pStyle w:val="BodyText"/>
              <w:rPr>
                <w:b/>
                <w:sz w:val="20"/>
                <w:szCs w:val="20"/>
              </w:rPr>
            </w:pPr>
            <w:r w:rsidRPr="00DB5442">
              <w:rPr>
                <w:b/>
                <w:sz w:val="20"/>
                <w:szCs w:val="20"/>
              </w:rPr>
              <w:t>Average minutes per day</w:t>
            </w:r>
            <w:r w:rsidRPr="00DB5442">
              <w:rPr>
                <w:sz w:val="20"/>
                <w:szCs w:val="20"/>
              </w:rPr>
              <w:t xml:space="preserve"> </w:t>
            </w:r>
            <w:r w:rsidRPr="00DF7925">
              <w:rPr>
                <w:b/>
                <w:sz w:val="20"/>
                <w:szCs w:val="20"/>
              </w:rPr>
              <w:t>watching television</w:t>
            </w:r>
          </w:p>
        </w:tc>
        <w:tc>
          <w:tcPr>
            <w:tcW w:w="996" w:type="dxa"/>
          </w:tcPr>
          <w:p w:rsidR="00E52988" w:rsidRDefault="00E52988" w:rsidP="003420FE">
            <w:pPr>
              <w:jc w:val="center"/>
            </w:pPr>
          </w:p>
        </w:tc>
        <w:tc>
          <w:tcPr>
            <w:tcW w:w="996" w:type="dxa"/>
          </w:tcPr>
          <w:p w:rsidR="00E52988" w:rsidRDefault="00E52988" w:rsidP="003420FE">
            <w:pPr>
              <w:jc w:val="center"/>
            </w:pPr>
          </w:p>
        </w:tc>
        <w:tc>
          <w:tcPr>
            <w:tcW w:w="996" w:type="dxa"/>
          </w:tcPr>
          <w:p w:rsidR="00E52988" w:rsidRDefault="00E52988" w:rsidP="003420FE">
            <w:pPr>
              <w:jc w:val="center"/>
            </w:pPr>
          </w:p>
        </w:tc>
        <w:tc>
          <w:tcPr>
            <w:tcW w:w="343" w:type="dxa"/>
          </w:tcPr>
          <w:p w:rsidR="00E52988" w:rsidRDefault="00E52988" w:rsidP="003420FE">
            <w:pPr>
              <w:jc w:val="center"/>
            </w:pPr>
          </w:p>
        </w:tc>
        <w:tc>
          <w:tcPr>
            <w:tcW w:w="996" w:type="dxa"/>
          </w:tcPr>
          <w:p w:rsidR="00E52988" w:rsidRDefault="00E52988" w:rsidP="003420FE">
            <w:pPr>
              <w:jc w:val="center"/>
            </w:pPr>
          </w:p>
        </w:tc>
        <w:tc>
          <w:tcPr>
            <w:tcW w:w="999" w:type="dxa"/>
          </w:tcPr>
          <w:p w:rsidR="00E52988" w:rsidRDefault="00E52988" w:rsidP="003420FE">
            <w:pPr>
              <w:jc w:val="center"/>
            </w:pPr>
          </w:p>
        </w:tc>
        <w:tc>
          <w:tcPr>
            <w:tcW w:w="996" w:type="dxa"/>
          </w:tcPr>
          <w:p w:rsidR="00E52988" w:rsidRDefault="00E52988" w:rsidP="003420FE">
            <w:pPr>
              <w:jc w:val="center"/>
            </w:pPr>
          </w:p>
        </w:tc>
      </w:tr>
      <w:tr w:rsidR="00E52988" w:rsidTr="003420FE">
        <w:tc>
          <w:tcPr>
            <w:tcW w:w="2745" w:type="dxa"/>
          </w:tcPr>
          <w:p w:rsidR="00E52988" w:rsidRPr="00DF7925" w:rsidRDefault="00E52988" w:rsidP="003420FE">
            <w:pPr>
              <w:pStyle w:val="BodyText"/>
              <w:jc w:val="left"/>
              <w:rPr>
                <w:sz w:val="20"/>
                <w:szCs w:val="20"/>
              </w:rPr>
            </w:pPr>
            <w:r w:rsidRPr="00DF7925">
              <w:rPr>
                <w:sz w:val="20"/>
                <w:szCs w:val="20"/>
              </w:rPr>
              <w:t>Father’s education: primary school or less</w:t>
            </w:r>
          </w:p>
        </w:tc>
        <w:tc>
          <w:tcPr>
            <w:tcW w:w="996" w:type="dxa"/>
          </w:tcPr>
          <w:p w:rsidR="00E52988" w:rsidRDefault="00E52988" w:rsidP="003420FE">
            <w:pPr>
              <w:jc w:val="center"/>
            </w:pPr>
            <w:r>
              <w:t>167</w:t>
            </w:r>
          </w:p>
        </w:tc>
        <w:tc>
          <w:tcPr>
            <w:tcW w:w="996" w:type="dxa"/>
          </w:tcPr>
          <w:p w:rsidR="00E52988" w:rsidRDefault="00E52988" w:rsidP="003420FE">
            <w:pPr>
              <w:jc w:val="center"/>
            </w:pPr>
            <w:r>
              <w:t>161</w:t>
            </w:r>
          </w:p>
        </w:tc>
        <w:tc>
          <w:tcPr>
            <w:tcW w:w="996" w:type="dxa"/>
          </w:tcPr>
          <w:p w:rsidR="00E52988" w:rsidRDefault="00E52988" w:rsidP="003420FE">
            <w:pPr>
              <w:jc w:val="center"/>
            </w:pPr>
            <w:r>
              <w:t>150</w:t>
            </w:r>
          </w:p>
        </w:tc>
        <w:tc>
          <w:tcPr>
            <w:tcW w:w="343" w:type="dxa"/>
          </w:tcPr>
          <w:p w:rsidR="00E52988" w:rsidRDefault="00E52988" w:rsidP="003420FE">
            <w:pPr>
              <w:jc w:val="center"/>
            </w:pPr>
          </w:p>
        </w:tc>
        <w:tc>
          <w:tcPr>
            <w:tcW w:w="996" w:type="dxa"/>
          </w:tcPr>
          <w:p w:rsidR="00E52988" w:rsidRDefault="00E52988" w:rsidP="003420FE">
            <w:pPr>
              <w:jc w:val="center"/>
            </w:pPr>
            <w:r>
              <w:t>196</w:t>
            </w:r>
          </w:p>
        </w:tc>
        <w:tc>
          <w:tcPr>
            <w:tcW w:w="999" w:type="dxa"/>
          </w:tcPr>
          <w:p w:rsidR="00E52988" w:rsidRDefault="00E52988" w:rsidP="003420FE">
            <w:pPr>
              <w:jc w:val="center"/>
            </w:pPr>
            <w:r>
              <w:t>197</w:t>
            </w:r>
          </w:p>
        </w:tc>
        <w:tc>
          <w:tcPr>
            <w:tcW w:w="996" w:type="dxa"/>
          </w:tcPr>
          <w:p w:rsidR="00E52988" w:rsidRDefault="00E52988" w:rsidP="003420FE">
            <w:pPr>
              <w:jc w:val="center"/>
            </w:pPr>
            <w:r>
              <w:t>196</w:t>
            </w:r>
          </w:p>
        </w:tc>
      </w:tr>
      <w:tr w:rsidR="00E52988" w:rsidTr="003420FE">
        <w:tc>
          <w:tcPr>
            <w:tcW w:w="2745" w:type="dxa"/>
          </w:tcPr>
          <w:p w:rsidR="00E52988" w:rsidRPr="00DF7925" w:rsidRDefault="00E52988" w:rsidP="003420FE">
            <w:pPr>
              <w:pStyle w:val="BodyText"/>
              <w:jc w:val="left"/>
              <w:rPr>
                <w:sz w:val="20"/>
                <w:szCs w:val="20"/>
              </w:rPr>
            </w:pPr>
            <w:r w:rsidRPr="00DF7925">
              <w:rPr>
                <w:sz w:val="20"/>
                <w:szCs w:val="20"/>
              </w:rPr>
              <w:t>Secondary</w:t>
            </w:r>
          </w:p>
        </w:tc>
        <w:tc>
          <w:tcPr>
            <w:tcW w:w="996" w:type="dxa"/>
          </w:tcPr>
          <w:p w:rsidR="00E52988" w:rsidRDefault="00E52988" w:rsidP="003420FE">
            <w:pPr>
              <w:jc w:val="center"/>
            </w:pPr>
            <w:r>
              <w:t>141</w:t>
            </w:r>
          </w:p>
        </w:tc>
        <w:tc>
          <w:tcPr>
            <w:tcW w:w="996" w:type="dxa"/>
          </w:tcPr>
          <w:p w:rsidR="00E52988" w:rsidRDefault="00E52988" w:rsidP="003420FE">
            <w:pPr>
              <w:jc w:val="center"/>
            </w:pPr>
            <w:r>
              <w:t>143</w:t>
            </w:r>
          </w:p>
        </w:tc>
        <w:tc>
          <w:tcPr>
            <w:tcW w:w="996" w:type="dxa"/>
          </w:tcPr>
          <w:p w:rsidR="00E52988" w:rsidRDefault="00E52988" w:rsidP="003420FE">
            <w:pPr>
              <w:jc w:val="center"/>
            </w:pPr>
            <w:r>
              <w:t>141</w:t>
            </w:r>
          </w:p>
        </w:tc>
        <w:tc>
          <w:tcPr>
            <w:tcW w:w="343" w:type="dxa"/>
          </w:tcPr>
          <w:p w:rsidR="00E52988" w:rsidRDefault="00E52988" w:rsidP="003420FE">
            <w:pPr>
              <w:jc w:val="center"/>
            </w:pPr>
          </w:p>
        </w:tc>
        <w:tc>
          <w:tcPr>
            <w:tcW w:w="996" w:type="dxa"/>
          </w:tcPr>
          <w:p w:rsidR="00E52988" w:rsidRDefault="00E52988" w:rsidP="003420FE">
            <w:pPr>
              <w:jc w:val="center"/>
            </w:pPr>
            <w:r>
              <w:t>164</w:t>
            </w:r>
          </w:p>
        </w:tc>
        <w:tc>
          <w:tcPr>
            <w:tcW w:w="999" w:type="dxa"/>
          </w:tcPr>
          <w:p w:rsidR="00E52988" w:rsidRDefault="00E52988" w:rsidP="003420FE">
            <w:pPr>
              <w:jc w:val="center"/>
            </w:pPr>
            <w:r>
              <w:t>170</w:t>
            </w:r>
          </w:p>
        </w:tc>
        <w:tc>
          <w:tcPr>
            <w:tcW w:w="996" w:type="dxa"/>
          </w:tcPr>
          <w:p w:rsidR="00E52988" w:rsidRDefault="00E52988" w:rsidP="003420FE">
            <w:pPr>
              <w:jc w:val="center"/>
            </w:pPr>
            <w:r>
              <w:t>184</w:t>
            </w:r>
          </w:p>
        </w:tc>
      </w:tr>
      <w:tr w:rsidR="00E52988" w:rsidTr="003420FE">
        <w:tc>
          <w:tcPr>
            <w:tcW w:w="2745" w:type="dxa"/>
          </w:tcPr>
          <w:p w:rsidR="00E52988" w:rsidRPr="00DF7925" w:rsidRDefault="00E52988" w:rsidP="003420FE">
            <w:pPr>
              <w:pStyle w:val="BodyText"/>
              <w:jc w:val="left"/>
              <w:rPr>
                <w:sz w:val="20"/>
                <w:szCs w:val="20"/>
              </w:rPr>
            </w:pPr>
            <w:r w:rsidRPr="00DF7925">
              <w:rPr>
                <w:sz w:val="20"/>
                <w:szCs w:val="20"/>
              </w:rPr>
              <w:t>Higher</w:t>
            </w:r>
          </w:p>
        </w:tc>
        <w:tc>
          <w:tcPr>
            <w:tcW w:w="996" w:type="dxa"/>
          </w:tcPr>
          <w:p w:rsidR="00E52988" w:rsidRDefault="00E52988" w:rsidP="003420FE">
            <w:pPr>
              <w:jc w:val="center"/>
            </w:pPr>
            <w:r>
              <w:t>132</w:t>
            </w:r>
          </w:p>
        </w:tc>
        <w:tc>
          <w:tcPr>
            <w:tcW w:w="996" w:type="dxa"/>
          </w:tcPr>
          <w:p w:rsidR="00E52988" w:rsidRDefault="00E52988" w:rsidP="003420FE">
            <w:pPr>
              <w:jc w:val="center"/>
            </w:pPr>
            <w:r>
              <w:t>129</w:t>
            </w:r>
          </w:p>
        </w:tc>
        <w:tc>
          <w:tcPr>
            <w:tcW w:w="996" w:type="dxa"/>
          </w:tcPr>
          <w:p w:rsidR="00E52988" w:rsidRDefault="00E52988" w:rsidP="003420FE">
            <w:pPr>
              <w:jc w:val="center"/>
            </w:pPr>
            <w:r>
              <w:t>139</w:t>
            </w:r>
          </w:p>
        </w:tc>
        <w:tc>
          <w:tcPr>
            <w:tcW w:w="343" w:type="dxa"/>
          </w:tcPr>
          <w:p w:rsidR="00E52988" w:rsidRDefault="00E52988" w:rsidP="003420FE">
            <w:pPr>
              <w:jc w:val="center"/>
            </w:pPr>
          </w:p>
        </w:tc>
        <w:tc>
          <w:tcPr>
            <w:tcW w:w="996" w:type="dxa"/>
          </w:tcPr>
          <w:p w:rsidR="00E52988" w:rsidRDefault="00E52988" w:rsidP="003420FE">
            <w:pPr>
              <w:jc w:val="center"/>
            </w:pPr>
            <w:r>
              <w:t>152</w:t>
            </w:r>
          </w:p>
        </w:tc>
        <w:tc>
          <w:tcPr>
            <w:tcW w:w="999" w:type="dxa"/>
          </w:tcPr>
          <w:p w:rsidR="00E52988" w:rsidRDefault="00E52988" w:rsidP="003420FE">
            <w:pPr>
              <w:jc w:val="center"/>
            </w:pPr>
            <w:r>
              <w:t>145</w:t>
            </w:r>
          </w:p>
        </w:tc>
        <w:tc>
          <w:tcPr>
            <w:tcW w:w="996" w:type="dxa"/>
          </w:tcPr>
          <w:p w:rsidR="00E52988" w:rsidRDefault="00E52988" w:rsidP="003420FE">
            <w:pPr>
              <w:jc w:val="center"/>
            </w:pPr>
            <w:r>
              <w:t>172</w:t>
            </w:r>
          </w:p>
        </w:tc>
      </w:tr>
      <w:tr w:rsidR="00E52988" w:rsidTr="003420FE">
        <w:trPr>
          <w:trHeight w:val="562"/>
        </w:trPr>
        <w:tc>
          <w:tcPr>
            <w:tcW w:w="2745" w:type="dxa"/>
          </w:tcPr>
          <w:p w:rsidR="00E52988" w:rsidRPr="00DB5442" w:rsidRDefault="00E52988" w:rsidP="003420FE">
            <w:pPr>
              <w:pStyle w:val="BodyText"/>
              <w:jc w:val="left"/>
              <w:rPr>
                <w:sz w:val="20"/>
                <w:szCs w:val="20"/>
              </w:rPr>
            </w:pPr>
            <w:r w:rsidRPr="00DB5442">
              <w:rPr>
                <w:b/>
                <w:sz w:val="20"/>
                <w:szCs w:val="20"/>
              </w:rPr>
              <w:t>Average minutes per day</w:t>
            </w:r>
            <w:r w:rsidRPr="00DB5442">
              <w:rPr>
                <w:sz w:val="20"/>
                <w:szCs w:val="20"/>
              </w:rPr>
              <w:t xml:space="preserve"> </w:t>
            </w:r>
            <w:r w:rsidRPr="00DF7925">
              <w:rPr>
                <w:b/>
                <w:sz w:val="20"/>
                <w:szCs w:val="20"/>
              </w:rPr>
              <w:t>online</w:t>
            </w:r>
          </w:p>
        </w:tc>
        <w:tc>
          <w:tcPr>
            <w:tcW w:w="996" w:type="dxa"/>
          </w:tcPr>
          <w:p w:rsidR="00E52988" w:rsidRDefault="00E52988" w:rsidP="003420FE">
            <w:pPr>
              <w:jc w:val="center"/>
            </w:pPr>
          </w:p>
        </w:tc>
        <w:tc>
          <w:tcPr>
            <w:tcW w:w="996" w:type="dxa"/>
          </w:tcPr>
          <w:p w:rsidR="00E52988" w:rsidRDefault="00E52988" w:rsidP="003420FE">
            <w:pPr>
              <w:jc w:val="center"/>
            </w:pPr>
          </w:p>
        </w:tc>
        <w:tc>
          <w:tcPr>
            <w:tcW w:w="996" w:type="dxa"/>
          </w:tcPr>
          <w:p w:rsidR="00E52988" w:rsidRDefault="00E52988" w:rsidP="003420FE">
            <w:pPr>
              <w:jc w:val="center"/>
            </w:pPr>
          </w:p>
        </w:tc>
        <w:tc>
          <w:tcPr>
            <w:tcW w:w="343" w:type="dxa"/>
          </w:tcPr>
          <w:p w:rsidR="00E52988" w:rsidRDefault="00E52988" w:rsidP="003420FE">
            <w:pPr>
              <w:jc w:val="center"/>
            </w:pPr>
          </w:p>
        </w:tc>
        <w:tc>
          <w:tcPr>
            <w:tcW w:w="996" w:type="dxa"/>
          </w:tcPr>
          <w:p w:rsidR="00E52988" w:rsidRDefault="00E52988" w:rsidP="003420FE">
            <w:pPr>
              <w:jc w:val="center"/>
            </w:pPr>
          </w:p>
        </w:tc>
        <w:tc>
          <w:tcPr>
            <w:tcW w:w="999" w:type="dxa"/>
          </w:tcPr>
          <w:p w:rsidR="00E52988" w:rsidRDefault="00E52988" w:rsidP="003420FE">
            <w:pPr>
              <w:jc w:val="center"/>
            </w:pPr>
          </w:p>
        </w:tc>
        <w:tc>
          <w:tcPr>
            <w:tcW w:w="996" w:type="dxa"/>
          </w:tcPr>
          <w:p w:rsidR="00E52988" w:rsidRDefault="00E52988" w:rsidP="003420FE">
            <w:pPr>
              <w:jc w:val="center"/>
            </w:pPr>
          </w:p>
        </w:tc>
      </w:tr>
      <w:tr w:rsidR="00E52988" w:rsidTr="003420FE">
        <w:trPr>
          <w:trHeight w:val="562"/>
        </w:trPr>
        <w:tc>
          <w:tcPr>
            <w:tcW w:w="2745" w:type="dxa"/>
          </w:tcPr>
          <w:p w:rsidR="00E52988" w:rsidRPr="00DF7925" w:rsidRDefault="00E52988" w:rsidP="003420FE">
            <w:pPr>
              <w:pStyle w:val="BodyText"/>
              <w:jc w:val="left"/>
              <w:rPr>
                <w:sz w:val="20"/>
                <w:szCs w:val="20"/>
              </w:rPr>
            </w:pPr>
            <w:r w:rsidRPr="00DF7925">
              <w:rPr>
                <w:sz w:val="20"/>
                <w:szCs w:val="20"/>
              </w:rPr>
              <w:t>Father’s education: primary school or less</w:t>
            </w:r>
          </w:p>
        </w:tc>
        <w:tc>
          <w:tcPr>
            <w:tcW w:w="996" w:type="dxa"/>
          </w:tcPr>
          <w:p w:rsidR="00E52988" w:rsidRDefault="00E52988" w:rsidP="003420FE">
            <w:pPr>
              <w:jc w:val="center"/>
            </w:pPr>
            <w:r>
              <w:t>221</w:t>
            </w:r>
          </w:p>
        </w:tc>
        <w:tc>
          <w:tcPr>
            <w:tcW w:w="996" w:type="dxa"/>
          </w:tcPr>
          <w:p w:rsidR="00E52988" w:rsidRDefault="00E52988" w:rsidP="003420FE">
            <w:pPr>
              <w:jc w:val="center"/>
            </w:pPr>
            <w:r>
              <w:t>199</w:t>
            </w:r>
          </w:p>
        </w:tc>
        <w:tc>
          <w:tcPr>
            <w:tcW w:w="996" w:type="dxa"/>
          </w:tcPr>
          <w:p w:rsidR="00E52988" w:rsidRDefault="00E52988" w:rsidP="003420FE">
            <w:pPr>
              <w:jc w:val="center"/>
            </w:pPr>
            <w:r>
              <w:t>214</w:t>
            </w:r>
          </w:p>
        </w:tc>
        <w:tc>
          <w:tcPr>
            <w:tcW w:w="343" w:type="dxa"/>
          </w:tcPr>
          <w:p w:rsidR="00E52988" w:rsidRDefault="00E52988" w:rsidP="003420FE">
            <w:pPr>
              <w:jc w:val="center"/>
            </w:pPr>
          </w:p>
        </w:tc>
        <w:tc>
          <w:tcPr>
            <w:tcW w:w="996" w:type="dxa"/>
          </w:tcPr>
          <w:p w:rsidR="00E52988" w:rsidRDefault="00E52988" w:rsidP="003420FE">
            <w:pPr>
              <w:jc w:val="center"/>
            </w:pPr>
            <w:r>
              <w:t>218</w:t>
            </w:r>
          </w:p>
        </w:tc>
        <w:tc>
          <w:tcPr>
            <w:tcW w:w="999" w:type="dxa"/>
          </w:tcPr>
          <w:p w:rsidR="00E52988" w:rsidRDefault="00E52988" w:rsidP="003420FE">
            <w:pPr>
              <w:jc w:val="center"/>
            </w:pPr>
            <w:r>
              <w:t>238</w:t>
            </w:r>
          </w:p>
        </w:tc>
        <w:tc>
          <w:tcPr>
            <w:tcW w:w="996" w:type="dxa"/>
          </w:tcPr>
          <w:p w:rsidR="00E52988" w:rsidRDefault="00E52988" w:rsidP="003420FE">
            <w:pPr>
              <w:jc w:val="center"/>
            </w:pPr>
            <w:r>
              <w:t>243</w:t>
            </w:r>
          </w:p>
        </w:tc>
      </w:tr>
      <w:tr w:rsidR="00E52988" w:rsidTr="003420FE">
        <w:trPr>
          <w:trHeight w:val="562"/>
        </w:trPr>
        <w:tc>
          <w:tcPr>
            <w:tcW w:w="2745" w:type="dxa"/>
          </w:tcPr>
          <w:p w:rsidR="00E52988" w:rsidRPr="00DF7925" w:rsidRDefault="00E52988" w:rsidP="003420FE">
            <w:pPr>
              <w:pStyle w:val="BodyText"/>
              <w:jc w:val="left"/>
              <w:rPr>
                <w:sz w:val="20"/>
                <w:szCs w:val="20"/>
              </w:rPr>
            </w:pPr>
            <w:r w:rsidRPr="00DF7925">
              <w:rPr>
                <w:sz w:val="20"/>
                <w:szCs w:val="20"/>
              </w:rPr>
              <w:t>Secondary</w:t>
            </w:r>
          </w:p>
        </w:tc>
        <w:tc>
          <w:tcPr>
            <w:tcW w:w="996" w:type="dxa"/>
          </w:tcPr>
          <w:p w:rsidR="00E52988" w:rsidRDefault="00E52988" w:rsidP="003420FE">
            <w:pPr>
              <w:jc w:val="center"/>
            </w:pPr>
            <w:r>
              <w:t>197</w:t>
            </w:r>
          </w:p>
        </w:tc>
        <w:tc>
          <w:tcPr>
            <w:tcW w:w="996" w:type="dxa"/>
          </w:tcPr>
          <w:p w:rsidR="00E52988" w:rsidRDefault="00E52988" w:rsidP="003420FE">
            <w:pPr>
              <w:jc w:val="center"/>
            </w:pPr>
            <w:r>
              <w:t>227</w:t>
            </w:r>
          </w:p>
        </w:tc>
        <w:tc>
          <w:tcPr>
            <w:tcW w:w="996" w:type="dxa"/>
          </w:tcPr>
          <w:p w:rsidR="00E52988" w:rsidRDefault="00E52988" w:rsidP="003420FE">
            <w:pPr>
              <w:jc w:val="center"/>
            </w:pPr>
            <w:r>
              <w:t>207</w:t>
            </w:r>
          </w:p>
        </w:tc>
        <w:tc>
          <w:tcPr>
            <w:tcW w:w="343" w:type="dxa"/>
          </w:tcPr>
          <w:p w:rsidR="00E52988" w:rsidRDefault="00E52988" w:rsidP="003420FE">
            <w:pPr>
              <w:jc w:val="center"/>
            </w:pPr>
          </w:p>
        </w:tc>
        <w:tc>
          <w:tcPr>
            <w:tcW w:w="996" w:type="dxa"/>
          </w:tcPr>
          <w:p w:rsidR="00E52988" w:rsidRDefault="00E52988" w:rsidP="003420FE">
            <w:pPr>
              <w:jc w:val="center"/>
            </w:pPr>
            <w:r>
              <w:t>197</w:t>
            </w:r>
          </w:p>
        </w:tc>
        <w:tc>
          <w:tcPr>
            <w:tcW w:w="999" w:type="dxa"/>
          </w:tcPr>
          <w:p w:rsidR="00E52988" w:rsidRDefault="00E52988" w:rsidP="003420FE">
            <w:pPr>
              <w:jc w:val="center"/>
            </w:pPr>
            <w:r>
              <w:t>244</w:t>
            </w:r>
          </w:p>
        </w:tc>
        <w:tc>
          <w:tcPr>
            <w:tcW w:w="996" w:type="dxa"/>
          </w:tcPr>
          <w:p w:rsidR="00E52988" w:rsidRDefault="00E52988" w:rsidP="003420FE">
            <w:pPr>
              <w:jc w:val="center"/>
            </w:pPr>
            <w:r>
              <w:t>237</w:t>
            </w:r>
          </w:p>
        </w:tc>
      </w:tr>
      <w:tr w:rsidR="00E52988" w:rsidTr="003420FE">
        <w:trPr>
          <w:trHeight w:val="562"/>
        </w:trPr>
        <w:tc>
          <w:tcPr>
            <w:tcW w:w="2745" w:type="dxa"/>
          </w:tcPr>
          <w:p w:rsidR="00E52988" w:rsidRPr="00DF7925" w:rsidRDefault="00E52988" w:rsidP="003420FE">
            <w:pPr>
              <w:pStyle w:val="BodyText"/>
              <w:jc w:val="left"/>
              <w:rPr>
                <w:sz w:val="20"/>
                <w:szCs w:val="20"/>
              </w:rPr>
            </w:pPr>
            <w:r w:rsidRPr="00DF7925">
              <w:rPr>
                <w:sz w:val="20"/>
                <w:szCs w:val="20"/>
              </w:rPr>
              <w:t>Higher</w:t>
            </w:r>
          </w:p>
        </w:tc>
        <w:tc>
          <w:tcPr>
            <w:tcW w:w="996" w:type="dxa"/>
          </w:tcPr>
          <w:p w:rsidR="00E52988" w:rsidRDefault="00E52988" w:rsidP="003420FE">
            <w:pPr>
              <w:jc w:val="center"/>
            </w:pPr>
            <w:r>
              <w:t>196</w:t>
            </w:r>
          </w:p>
        </w:tc>
        <w:tc>
          <w:tcPr>
            <w:tcW w:w="996" w:type="dxa"/>
          </w:tcPr>
          <w:p w:rsidR="00E52988" w:rsidRDefault="00E52988" w:rsidP="003420FE">
            <w:pPr>
              <w:jc w:val="center"/>
            </w:pPr>
            <w:r>
              <w:t>233</w:t>
            </w:r>
          </w:p>
        </w:tc>
        <w:tc>
          <w:tcPr>
            <w:tcW w:w="996" w:type="dxa"/>
          </w:tcPr>
          <w:p w:rsidR="00E52988" w:rsidRDefault="00E52988" w:rsidP="003420FE">
            <w:pPr>
              <w:jc w:val="center"/>
            </w:pPr>
            <w:r>
              <w:t>221</w:t>
            </w:r>
          </w:p>
        </w:tc>
        <w:tc>
          <w:tcPr>
            <w:tcW w:w="343" w:type="dxa"/>
          </w:tcPr>
          <w:p w:rsidR="00E52988" w:rsidRDefault="00E52988" w:rsidP="003420FE">
            <w:pPr>
              <w:jc w:val="center"/>
            </w:pPr>
          </w:p>
        </w:tc>
        <w:tc>
          <w:tcPr>
            <w:tcW w:w="996" w:type="dxa"/>
          </w:tcPr>
          <w:p w:rsidR="00E52988" w:rsidRDefault="00E52988" w:rsidP="003420FE">
            <w:pPr>
              <w:jc w:val="center"/>
            </w:pPr>
            <w:r>
              <w:t>204</w:t>
            </w:r>
          </w:p>
        </w:tc>
        <w:tc>
          <w:tcPr>
            <w:tcW w:w="999" w:type="dxa"/>
          </w:tcPr>
          <w:p w:rsidR="00E52988" w:rsidRDefault="00E52988" w:rsidP="003420FE">
            <w:pPr>
              <w:jc w:val="center"/>
            </w:pPr>
            <w:r>
              <w:t>199</w:t>
            </w:r>
          </w:p>
        </w:tc>
        <w:tc>
          <w:tcPr>
            <w:tcW w:w="996" w:type="dxa"/>
          </w:tcPr>
          <w:p w:rsidR="00E52988" w:rsidRDefault="00E52988" w:rsidP="003420FE">
            <w:pPr>
              <w:jc w:val="center"/>
            </w:pPr>
            <w:r>
              <w:t>241</w:t>
            </w:r>
          </w:p>
        </w:tc>
      </w:tr>
      <w:tr w:rsidR="00E52988" w:rsidTr="003420FE">
        <w:trPr>
          <w:trHeight w:val="562"/>
        </w:trPr>
        <w:tc>
          <w:tcPr>
            <w:tcW w:w="2745" w:type="dxa"/>
          </w:tcPr>
          <w:p w:rsidR="00E52988" w:rsidRPr="00217486" w:rsidRDefault="00E52988" w:rsidP="003420FE">
            <w:pPr>
              <w:pStyle w:val="BodyText"/>
              <w:jc w:val="left"/>
              <w:rPr>
                <w:sz w:val="20"/>
                <w:szCs w:val="20"/>
              </w:rPr>
            </w:pPr>
            <w:r>
              <w:rPr>
                <w:sz w:val="20"/>
                <w:szCs w:val="20"/>
              </w:rPr>
              <w:t>N =</w:t>
            </w:r>
          </w:p>
        </w:tc>
        <w:tc>
          <w:tcPr>
            <w:tcW w:w="996" w:type="dxa"/>
          </w:tcPr>
          <w:p w:rsidR="00E52988" w:rsidRDefault="00E52988" w:rsidP="003420FE">
            <w:pPr>
              <w:jc w:val="center"/>
            </w:pPr>
            <w:r>
              <w:t>1518</w:t>
            </w:r>
          </w:p>
        </w:tc>
        <w:tc>
          <w:tcPr>
            <w:tcW w:w="996" w:type="dxa"/>
          </w:tcPr>
          <w:p w:rsidR="00E52988" w:rsidRDefault="00E52988" w:rsidP="003420FE">
            <w:pPr>
              <w:jc w:val="center"/>
            </w:pPr>
            <w:r>
              <w:t>1452</w:t>
            </w:r>
          </w:p>
        </w:tc>
        <w:tc>
          <w:tcPr>
            <w:tcW w:w="996" w:type="dxa"/>
          </w:tcPr>
          <w:p w:rsidR="00E52988" w:rsidRDefault="00E52988" w:rsidP="003420FE">
            <w:pPr>
              <w:jc w:val="center"/>
            </w:pPr>
            <w:r>
              <w:t>1043</w:t>
            </w:r>
          </w:p>
        </w:tc>
        <w:tc>
          <w:tcPr>
            <w:tcW w:w="343" w:type="dxa"/>
          </w:tcPr>
          <w:p w:rsidR="00E52988" w:rsidRDefault="00E52988" w:rsidP="003420FE">
            <w:pPr>
              <w:jc w:val="center"/>
            </w:pPr>
          </w:p>
        </w:tc>
        <w:tc>
          <w:tcPr>
            <w:tcW w:w="996" w:type="dxa"/>
          </w:tcPr>
          <w:p w:rsidR="00E52988" w:rsidRDefault="00E52988" w:rsidP="003420FE">
            <w:pPr>
              <w:jc w:val="center"/>
            </w:pPr>
            <w:r>
              <w:t>1208</w:t>
            </w:r>
          </w:p>
        </w:tc>
        <w:tc>
          <w:tcPr>
            <w:tcW w:w="999" w:type="dxa"/>
          </w:tcPr>
          <w:p w:rsidR="00E52988" w:rsidRDefault="00E52988" w:rsidP="003420FE">
            <w:pPr>
              <w:jc w:val="center"/>
            </w:pPr>
            <w:r>
              <w:t>926</w:t>
            </w:r>
          </w:p>
        </w:tc>
        <w:tc>
          <w:tcPr>
            <w:tcW w:w="996" w:type="dxa"/>
          </w:tcPr>
          <w:p w:rsidR="00E52988" w:rsidRDefault="00E52988" w:rsidP="003420FE">
            <w:pPr>
              <w:jc w:val="center"/>
            </w:pPr>
            <w:r>
              <w:t>628</w:t>
            </w:r>
          </w:p>
        </w:tc>
      </w:tr>
    </w:tbl>
    <w:p w:rsidR="00E52988" w:rsidRDefault="00E52988" w:rsidP="00E52988"/>
    <w:p w:rsidR="00E52988" w:rsidRDefault="00E52988" w:rsidP="00E52988">
      <w:pPr>
        <w:pStyle w:val="BodyText"/>
      </w:pPr>
      <w:r>
        <w:t xml:space="preserve">Our expectation of diminishing differences with age was confounded in the numbers of out-of-home leisure activities in which our respondents were involved. Among 15-19 year old males the mini-max gap was 0.7 and it was slightly higher, 0.8, among the 25-29 year olds. Among females the gap increased from 0.9 to 1.1 activities. </w:t>
      </w:r>
      <w:r w:rsidR="00A77ACC">
        <w:t>T</w:t>
      </w:r>
      <w:r>
        <w:t xml:space="preserve">he effects of social class origins were persistent </w:t>
      </w:r>
      <w:r w:rsidR="00A77ACC">
        <w:t xml:space="preserve">among both males and females </w:t>
      </w:r>
      <w:r>
        <w:t>(Table III).</w:t>
      </w:r>
    </w:p>
    <w:p w:rsidR="00E52988" w:rsidRDefault="00E52988" w:rsidP="00E52988">
      <w:pPr>
        <w:pStyle w:val="BodyText"/>
      </w:pPr>
    </w:p>
    <w:p w:rsidR="00E52988" w:rsidRDefault="00E52988" w:rsidP="00E52988">
      <w:pPr>
        <w:pStyle w:val="BodyText"/>
      </w:pPr>
      <w:r>
        <w:t xml:space="preserve">It was young people with the least educated fathers who spent the most time watching television, and here the mini-max class gap did close with age. It closed from an average of 35 minutes per day to 11 minutes among males, and from 44 to 24 minutes among the females. The mini-max gap </w:t>
      </w:r>
      <w:r w:rsidR="00B66DAD">
        <w:t xml:space="preserve">in time spent online </w:t>
      </w:r>
      <w:r>
        <w:t>also narrowed from 25 to 14 minutes per day among males, and from 21 to just 6 minutes among the females (Table III).</w:t>
      </w:r>
    </w:p>
    <w:p w:rsidR="00E52988" w:rsidRDefault="00E52988" w:rsidP="00E52988">
      <w:pPr>
        <w:pStyle w:val="BodyText"/>
      </w:pPr>
    </w:p>
    <w:p w:rsidR="00E52988" w:rsidRDefault="00E52988" w:rsidP="00E52988">
      <w:pPr>
        <w:pStyle w:val="BodyText"/>
      </w:pPr>
      <w:r>
        <w:t>Membership of community associations was most common among respondents with the most highly educated fathers. Among males the mini-max gap – the difference between the percentages who belonged to at least  one association – declined from 21 percent among 15-19 year olds to just 6 percent among those aged 25-29. In contrast, among females the gap remained stable at 24 percent (see Table IV). The closure of the male gap was due to the decline in memberships among those with the best educated fathers. This did not happen among females, possibly because most stayed out of their countries’ paid workforces whereas males were spending time in or looking for paid jobs.</w:t>
      </w:r>
    </w:p>
    <w:p w:rsidR="00E52988" w:rsidRDefault="00E52988" w:rsidP="00E52988">
      <w:pPr>
        <w:pStyle w:val="BodyText"/>
      </w:pPr>
    </w:p>
    <w:p w:rsidR="00E52988" w:rsidRDefault="00E52988" w:rsidP="00E52988">
      <w:pPr>
        <w:pStyle w:val="BodyText"/>
        <w:rPr>
          <w:b/>
        </w:rPr>
      </w:pPr>
      <w:r>
        <w:t>With public religious participation it was respondents with the least educated fathers who were most likely to participate, and as with participation in out-of-home leisure activities, the mini-max gaps did not close with age: 6 percent among 15-19 year old males and 11 percent among 25-29 year olds, and 4 percent among females in both age groups (see Table IV).</w:t>
      </w:r>
      <w:r>
        <w:rPr>
          <w:b/>
        </w:rPr>
        <w:br w:type="page"/>
      </w:r>
    </w:p>
    <w:p w:rsidR="00E52988" w:rsidRPr="00B86E7C" w:rsidRDefault="00E52988" w:rsidP="00E52988">
      <w:pPr>
        <w:spacing w:line="240" w:lineRule="auto"/>
        <w:rPr>
          <w:b/>
        </w:rPr>
      </w:pPr>
      <w:r w:rsidRPr="00B86E7C">
        <w:rPr>
          <w:b/>
        </w:rPr>
        <w:t>Table IV</w:t>
      </w:r>
    </w:p>
    <w:p w:rsidR="00E52988" w:rsidRPr="00B86E7C" w:rsidRDefault="00E52988" w:rsidP="00E52988">
      <w:pPr>
        <w:spacing w:line="240" w:lineRule="auto"/>
        <w:rPr>
          <w:b/>
        </w:rPr>
      </w:pPr>
      <w:r w:rsidRPr="00B86E7C">
        <w:rPr>
          <w:b/>
        </w:rPr>
        <w:t>Age, gender, fathers’ education and participation in associations</w:t>
      </w:r>
    </w:p>
    <w:p w:rsidR="00E52988" w:rsidRPr="0086243A" w:rsidRDefault="00E52988" w:rsidP="00E52988">
      <w:pPr>
        <w:spacing w:line="240" w:lineRule="auto"/>
        <w:rPr>
          <w:b/>
        </w:rPr>
      </w:pPr>
      <w:r>
        <w:rPr>
          <w:b/>
        </w:rPr>
        <w:t xml:space="preserve">                                                               </w:t>
      </w:r>
      <w:r w:rsidRPr="0086243A">
        <w:rPr>
          <w:b/>
        </w:rPr>
        <w:t>Males                                          Females</w:t>
      </w:r>
    </w:p>
    <w:tbl>
      <w:tblPr>
        <w:tblStyle w:val="TableGrid"/>
        <w:tblW w:w="9067" w:type="dxa"/>
        <w:tblLook w:val="04A0" w:firstRow="1" w:lastRow="0" w:firstColumn="1" w:lastColumn="0" w:noHBand="0" w:noVBand="1"/>
      </w:tblPr>
      <w:tblGrid>
        <w:gridCol w:w="2745"/>
        <w:gridCol w:w="996"/>
        <w:gridCol w:w="996"/>
        <w:gridCol w:w="996"/>
        <w:gridCol w:w="343"/>
        <w:gridCol w:w="996"/>
        <w:gridCol w:w="999"/>
        <w:gridCol w:w="996"/>
      </w:tblGrid>
      <w:tr w:rsidR="00E52988" w:rsidTr="003420FE">
        <w:tc>
          <w:tcPr>
            <w:tcW w:w="2745" w:type="dxa"/>
          </w:tcPr>
          <w:p w:rsidR="00E52988" w:rsidRDefault="00E52988" w:rsidP="003420FE">
            <w:pPr>
              <w:rPr>
                <w:b/>
              </w:rPr>
            </w:pPr>
          </w:p>
          <w:p w:rsidR="00E52988" w:rsidRPr="00FB324B" w:rsidRDefault="00E52988" w:rsidP="003420FE">
            <w:pPr>
              <w:rPr>
                <w:b/>
              </w:rPr>
            </w:pPr>
          </w:p>
        </w:tc>
        <w:tc>
          <w:tcPr>
            <w:tcW w:w="996" w:type="dxa"/>
          </w:tcPr>
          <w:p w:rsidR="00E52988" w:rsidRPr="00D9791A" w:rsidRDefault="00E52988" w:rsidP="003420FE">
            <w:pPr>
              <w:rPr>
                <w:b/>
              </w:rPr>
            </w:pPr>
            <w:r w:rsidRPr="00D9791A">
              <w:rPr>
                <w:b/>
              </w:rPr>
              <w:t>15-19</w:t>
            </w:r>
          </w:p>
          <w:p w:rsidR="00E52988" w:rsidRPr="00D9791A" w:rsidRDefault="00E52988" w:rsidP="003420FE">
            <w:pPr>
              <w:rPr>
                <w:b/>
              </w:rPr>
            </w:pPr>
            <w:r w:rsidRPr="00D9791A">
              <w:rPr>
                <w:b/>
              </w:rPr>
              <w:t>%</w:t>
            </w:r>
          </w:p>
        </w:tc>
        <w:tc>
          <w:tcPr>
            <w:tcW w:w="996" w:type="dxa"/>
          </w:tcPr>
          <w:p w:rsidR="00E52988" w:rsidRPr="00D9791A" w:rsidRDefault="00E52988" w:rsidP="003420FE">
            <w:pPr>
              <w:rPr>
                <w:b/>
              </w:rPr>
            </w:pPr>
            <w:r w:rsidRPr="00D9791A">
              <w:rPr>
                <w:b/>
              </w:rPr>
              <w:t>20-24</w:t>
            </w:r>
          </w:p>
          <w:p w:rsidR="00E52988" w:rsidRPr="00D9791A" w:rsidRDefault="00E52988" w:rsidP="003420FE">
            <w:pPr>
              <w:rPr>
                <w:b/>
              </w:rPr>
            </w:pPr>
            <w:r w:rsidRPr="00D9791A">
              <w:rPr>
                <w:b/>
              </w:rPr>
              <w:t>%</w:t>
            </w:r>
          </w:p>
        </w:tc>
        <w:tc>
          <w:tcPr>
            <w:tcW w:w="996" w:type="dxa"/>
          </w:tcPr>
          <w:p w:rsidR="00E52988" w:rsidRPr="00D9791A" w:rsidRDefault="00E52988" w:rsidP="003420FE">
            <w:pPr>
              <w:rPr>
                <w:b/>
              </w:rPr>
            </w:pPr>
            <w:r w:rsidRPr="00D9791A">
              <w:rPr>
                <w:b/>
              </w:rPr>
              <w:t>25-29</w:t>
            </w:r>
          </w:p>
          <w:p w:rsidR="00E52988" w:rsidRPr="00D9791A" w:rsidRDefault="00E52988" w:rsidP="003420FE">
            <w:pPr>
              <w:rPr>
                <w:b/>
              </w:rPr>
            </w:pPr>
            <w:r w:rsidRPr="00D9791A">
              <w:rPr>
                <w:b/>
              </w:rPr>
              <w:t>%</w:t>
            </w:r>
          </w:p>
        </w:tc>
        <w:tc>
          <w:tcPr>
            <w:tcW w:w="343" w:type="dxa"/>
          </w:tcPr>
          <w:p w:rsidR="00E52988" w:rsidRPr="00D9791A" w:rsidRDefault="00E52988" w:rsidP="003420FE">
            <w:pPr>
              <w:rPr>
                <w:b/>
              </w:rPr>
            </w:pPr>
          </w:p>
        </w:tc>
        <w:tc>
          <w:tcPr>
            <w:tcW w:w="996" w:type="dxa"/>
          </w:tcPr>
          <w:p w:rsidR="00E52988" w:rsidRPr="00D9791A" w:rsidRDefault="00E52988" w:rsidP="003420FE">
            <w:pPr>
              <w:rPr>
                <w:b/>
              </w:rPr>
            </w:pPr>
            <w:r w:rsidRPr="00D9791A">
              <w:rPr>
                <w:b/>
              </w:rPr>
              <w:t>15-19</w:t>
            </w:r>
          </w:p>
          <w:p w:rsidR="00E52988" w:rsidRPr="00D9791A" w:rsidRDefault="00E52988" w:rsidP="003420FE">
            <w:pPr>
              <w:rPr>
                <w:b/>
              </w:rPr>
            </w:pPr>
            <w:r w:rsidRPr="00D9791A">
              <w:rPr>
                <w:b/>
              </w:rPr>
              <w:t>%</w:t>
            </w:r>
          </w:p>
        </w:tc>
        <w:tc>
          <w:tcPr>
            <w:tcW w:w="999" w:type="dxa"/>
          </w:tcPr>
          <w:p w:rsidR="00E52988" w:rsidRPr="00D9791A" w:rsidRDefault="00E52988" w:rsidP="003420FE">
            <w:pPr>
              <w:rPr>
                <w:b/>
              </w:rPr>
            </w:pPr>
            <w:r w:rsidRPr="00D9791A">
              <w:rPr>
                <w:b/>
              </w:rPr>
              <w:t>20-24</w:t>
            </w:r>
          </w:p>
          <w:p w:rsidR="00E52988" w:rsidRPr="00D9791A" w:rsidRDefault="00E52988" w:rsidP="003420FE">
            <w:pPr>
              <w:rPr>
                <w:b/>
              </w:rPr>
            </w:pPr>
            <w:r w:rsidRPr="00D9791A">
              <w:rPr>
                <w:b/>
              </w:rPr>
              <w:t>%</w:t>
            </w:r>
          </w:p>
        </w:tc>
        <w:tc>
          <w:tcPr>
            <w:tcW w:w="996" w:type="dxa"/>
          </w:tcPr>
          <w:p w:rsidR="00E52988" w:rsidRPr="00D9791A" w:rsidRDefault="00E52988" w:rsidP="003420FE">
            <w:pPr>
              <w:rPr>
                <w:b/>
              </w:rPr>
            </w:pPr>
            <w:r w:rsidRPr="00D9791A">
              <w:rPr>
                <w:b/>
              </w:rPr>
              <w:t>25-29</w:t>
            </w:r>
          </w:p>
          <w:p w:rsidR="00E52988" w:rsidRPr="00D9791A" w:rsidRDefault="00E52988" w:rsidP="003420FE">
            <w:pPr>
              <w:rPr>
                <w:b/>
              </w:rPr>
            </w:pPr>
            <w:r w:rsidRPr="00D9791A">
              <w:rPr>
                <w:b/>
              </w:rPr>
              <w:t>%</w:t>
            </w:r>
          </w:p>
        </w:tc>
      </w:tr>
      <w:tr w:rsidR="00E52988" w:rsidTr="003420FE">
        <w:tc>
          <w:tcPr>
            <w:tcW w:w="2745" w:type="dxa"/>
          </w:tcPr>
          <w:p w:rsidR="00E52988" w:rsidRPr="00FB324B" w:rsidRDefault="00E52988" w:rsidP="003420FE">
            <w:pPr>
              <w:rPr>
                <w:b/>
              </w:rPr>
            </w:pPr>
            <w:r>
              <w:rPr>
                <w:b/>
              </w:rPr>
              <w:t>Percentages who belonged to at least one association</w:t>
            </w:r>
          </w:p>
        </w:tc>
        <w:tc>
          <w:tcPr>
            <w:tcW w:w="996" w:type="dxa"/>
          </w:tcPr>
          <w:p w:rsidR="00E52988" w:rsidRDefault="00E52988" w:rsidP="003420FE"/>
        </w:tc>
        <w:tc>
          <w:tcPr>
            <w:tcW w:w="996" w:type="dxa"/>
          </w:tcPr>
          <w:p w:rsidR="00E52988" w:rsidRDefault="00E52988" w:rsidP="003420FE"/>
        </w:tc>
        <w:tc>
          <w:tcPr>
            <w:tcW w:w="996" w:type="dxa"/>
          </w:tcPr>
          <w:p w:rsidR="00E52988" w:rsidRDefault="00E52988" w:rsidP="003420FE"/>
        </w:tc>
        <w:tc>
          <w:tcPr>
            <w:tcW w:w="343" w:type="dxa"/>
          </w:tcPr>
          <w:p w:rsidR="00E52988" w:rsidRDefault="00E52988" w:rsidP="003420FE"/>
        </w:tc>
        <w:tc>
          <w:tcPr>
            <w:tcW w:w="996" w:type="dxa"/>
          </w:tcPr>
          <w:p w:rsidR="00E52988" w:rsidRDefault="00E52988" w:rsidP="003420FE"/>
        </w:tc>
        <w:tc>
          <w:tcPr>
            <w:tcW w:w="999" w:type="dxa"/>
          </w:tcPr>
          <w:p w:rsidR="00E52988" w:rsidRDefault="00E52988" w:rsidP="003420FE"/>
        </w:tc>
        <w:tc>
          <w:tcPr>
            <w:tcW w:w="996" w:type="dxa"/>
          </w:tcPr>
          <w:p w:rsidR="00E52988" w:rsidRDefault="00E52988" w:rsidP="003420FE"/>
        </w:tc>
      </w:tr>
      <w:tr w:rsidR="00E52988" w:rsidTr="003420FE">
        <w:tc>
          <w:tcPr>
            <w:tcW w:w="2745" w:type="dxa"/>
          </w:tcPr>
          <w:p w:rsidR="00E52988" w:rsidRPr="002920D4" w:rsidRDefault="00E52988" w:rsidP="003420FE">
            <w:pPr>
              <w:pStyle w:val="BodyText"/>
              <w:jc w:val="left"/>
            </w:pPr>
            <w:r w:rsidRPr="002920D4">
              <w:t>Fathers’ education, primary of less</w:t>
            </w:r>
          </w:p>
        </w:tc>
        <w:tc>
          <w:tcPr>
            <w:tcW w:w="996" w:type="dxa"/>
          </w:tcPr>
          <w:p w:rsidR="00E52988" w:rsidRDefault="00E52988" w:rsidP="003420FE">
            <w:pPr>
              <w:jc w:val="center"/>
            </w:pPr>
            <w:r>
              <w:t>20</w:t>
            </w:r>
          </w:p>
        </w:tc>
        <w:tc>
          <w:tcPr>
            <w:tcW w:w="996" w:type="dxa"/>
          </w:tcPr>
          <w:p w:rsidR="00E52988" w:rsidRDefault="00E52988" w:rsidP="003420FE">
            <w:pPr>
              <w:jc w:val="center"/>
            </w:pPr>
            <w:r>
              <w:t>26</w:t>
            </w:r>
          </w:p>
        </w:tc>
        <w:tc>
          <w:tcPr>
            <w:tcW w:w="996" w:type="dxa"/>
          </w:tcPr>
          <w:p w:rsidR="00E52988" w:rsidRDefault="00E52988" w:rsidP="003420FE">
            <w:pPr>
              <w:jc w:val="center"/>
            </w:pPr>
            <w:r>
              <w:t>23</w:t>
            </w:r>
          </w:p>
        </w:tc>
        <w:tc>
          <w:tcPr>
            <w:tcW w:w="343" w:type="dxa"/>
          </w:tcPr>
          <w:p w:rsidR="00E52988" w:rsidRDefault="00E52988" w:rsidP="003420FE">
            <w:pPr>
              <w:jc w:val="center"/>
            </w:pPr>
          </w:p>
        </w:tc>
        <w:tc>
          <w:tcPr>
            <w:tcW w:w="996" w:type="dxa"/>
          </w:tcPr>
          <w:p w:rsidR="00E52988" w:rsidRDefault="00E52988" w:rsidP="003420FE">
            <w:pPr>
              <w:jc w:val="center"/>
            </w:pPr>
            <w:r>
              <w:t>19</w:t>
            </w:r>
          </w:p>
        </w:tc>
        <w:tc>
          <w:tcPr>
            <w:tcW w:w="999" w:type="dxa"/>
          </w:tcPr>
          <w:p w:rsidR="00E52988" w:rsidRDefault="00E52988" w:rsidP="003420FE">
            <w:pPr>
              <w:jc w:val="center"/>
            </w:pPr>
            <w:r>
              <w:t>26</w:t>
            </w:r>
          </w:p>
        </w:tc>
        <w:tc>
          <w:tcPr>
            <w:tcW w:w="996" w:type="dxa"/>
          </w:tcPr>
          <w:p w:rsidR="00E52988" w:rsidRDefault="00E52988" w:rsidP="003420FE">
            <w:pPr>
              <w:jc w:val="center"/>
            </w:pPr>
            <w:r>
              <w:t>20</w:t>
            </w:r>
          </w:p>
        </w:tc>
      </w:tr>
      <w:tr w:rsidR="00E52988" w:rsidTr="003420FE">
        <w:tc>
          <w:tcPr>
            <w:tcW w:w="2745" w:type="dxa"/>
          </w:tcPr>
          <w:p w:rsidR="00E52988" w:rsidRPr="002920D4" w:rsidRDefault="00E52988" w:rsidP="003420FE">
            <w:pPr>
              <w:pStyle w:val="BodyText"/>
              <w:jc w:val="left"/>
            </w:pPr>
            <w:r w:rsidRPr="002920D4">
              <w:t>Middle of full secondary education</w:t>
            </w:r>
          </w:p>
        </w:tc>
        <w:tc>
          <w:tcPr>
            <w:tcW w:w="996" w:type="dxa"/>
          </w:tcPr>
          <w:p w:rsidR="00E52988" w:rsidRDefault="00E52988" w:rsidP="003420FE">
            <w:pPr>
              <w:jc w:val="center"/>
            </w:pPr>
            <w:r>
              <w:t>32</w:t>
            </w:r>
          </w:p>
        </w:tc>
        <w:tc>
          <w:tcPr>
            <w:tcW w:w="996" w:type="dxa"/>
          </w:tcPr>
          <w:p w:rsidR="00E52988" w:rsidRDefault="00E52988" w:rsidP="003420FE">
            <w:pPr>
              <w:jc w:val="center"/>
            </w:pPr>
            <w:r>
              <w:t>33</w:t>
            </w:r>
          </w:p>
        </w:tc>
        <w:tc>
          <w:tcPr>
            <w:tcW w:w="996" w:type="dxa"/>
          </w:tcPr>
          <w:p w:rsidR="00E52988" w:rsidRDefault="00E52988" w:rsidP="003420FE">
            <w:pPr>
              <w:jc w:val="center"/>
            </w:pPr>
            <w:r>
              <w:t>26</w:t>
            </w:r>
          </w:p>
        </w:tc>
        <w:tc>
          <w:tcPr>
            <w:tcW w:w="343" w:type="dxa"/>
          </w:tcPr>
          <w:p w:rsidR="00E52988" w:rsidRDefault="00E52988" w:rsidP="003420FE">
            <w:pPr>
              <w:jc w:val="center"/>
            </w:pPr>
          </w:p>
        </w:tc>
        <w:tc>
          <w:tcPr>
            <w:tcW w:w="996" w:type="dxa"/>
          </w:tcPr>
          <w:p w:rsidR="00E52988" w:rsidRDefault="00E52988" w:rsidP="003420FE">
            <w:pPr>
              <w:jc w:val="center"/>
            </w:pPr>
            <w:r>
              <w:t>30</w:t>
            </w:r>
          </w:p>
        </w:tc>
        <w:tc>
          <w:tcPr>
            <w:tcW w:w="999" w:type="dxa"/>
          </w:tcPr>
          <w:p w:rsidR="00E52988" w:rsidRDefault="00E52988" w:rsidP="003420FE">
            <w:pPr>
              <w:jc w:val="center"/>
            </w:pPr>
            <w:r>
              <w:t>34</w:t>
            </w:r>
          </w:p>
        </w:tc>
        <w:tc>
          <w:tcPr>
            <w:tcW w:w="996" w:type="dxa"/>
          </w:tcPr>
          <w:p w:rsidR="00E52988" w:rsidRDefault="00E52988" w:rsidP="003420FE">
            <w:pPr>
              <w:jc w:val="center"/>
            </w:pPr>
            <w:r>
              <w:t>29</w:t>
            </w:r>
          </w:p>
        </w:tc>
      </w:tr>
      <w:tr w:rsidR="00E52988" w:rsidTr="003420FE">
        <w:tc>
          <w:tcPr>
            <w:tcW w:w="2745" w:type="dxa"/>
          </w:tcPr>
          <w:p w:rsidR="00E52988" w:rsidRPr="002920D4" w:rsidRDefault="00E52988" w:rsidP="003420FE">
            <w:pPr>
              <w:pStyle w:val="BodyText"/>
              <w:jc w:val="left"/>
            </w:pPr>
            <w:r w:rsidRPr="002920D4">
              <w:t>Higher</w:t>
            </w:r>
          </w:p>
        </w:tc>
        <w:tc>
          <w:tcPr>
            <w:tcW w:w="996" w:type="dxa"/>
          </w:tcPr>
          <w:p w:rsidR="00E52988" w:rsidRDefault="00E52988" w:rsidP="003420FE">
            <w:pPr>
              <w:jc w:val="center"/>
            </w:pPr>
            <w:r>
              <w:t>41</w:t>
            </w:r>
          </w:p>
        </w:tc>
        <w:tc>
          <w:tcPr>
            <w:tcW w:w="996" w:type="dxa"/>
          </w:tcPr>
          <w:p w:rsidR="00E52988" w:rsidRDefault="00E52988" w:rsidP="003420FE">
            <w:pPr>
              <w:jc w:val="center"/>
            </w:pPr>
            <w:r>
              <w:t>36</w:t>
            </w:r>
          </w:p>
        </w:tc>
        <w:tc>
          <w:tcPr>
            <w:tcW w:w="996" w:type="dxa"/>
          </w:tcPr>
          <w:p w:rsidR="00E52988" w:rsidRDefault="00E52988" w:rsidP="003420FE">
            <w:pPr>
              <w:jc w:val="center"/>
            </w:pPr>
            <w:r>
              <w:t>29</w:t>
            </w:r>
          </w:p>
        </w:tc>
        <w:tc>
          <w:tcPr>
            <w:tcW w:w="343" w:type="dxa"/>
          </w:tcPr>
          <w:p w:rsidR="00E52988" w:rsidRDefault="00E52988" w:rsidP="003420FE">
            <w:pPr>
              <w:jc w:val="center"/>
            </w:pPr>
          </w:p>
        </w:tc>
        <w:tc>
          <w:tcPr>
            <w:tcW w:w="996" w:type="dxa"/>
          </w:tcPr>
          <w:p w:rsidR="00E52988" w:rsidRDefault="00E52988" w:rsidP="003420FE">
            <w:pPr>
              <w:jc w:val="center"/>
            </w:pPr>
            <w:r>
              <w:t>43</w:t>
            </w:r>
          </w:p>
        </w:tc>
        <w:tc>
          <w:tcPr>
            <w:tcW w:w="999" w:type="dxa"/>
          </w:tcPr>
          <w:p w:rsidR="00E52988" w:rsidRDefault="00E52988" w:rsidP="003420FE">
            <w:pPr>
              <w:jc w:val="center"/>
            </w:pPr>
            <w:r>
              <w:t>49</w:t>
            </w:r>
          </w:p>
        </w:tc>
        <w:tc>
          <w:tcPr>
            <w:tcW w:w="996" w:type="dxa"/>
          </w:tcPr>
          <w:p w:rsidR="00E52988" w:rsidRDefault="00E52988" w:rsidP="003420FE">
            <w:pPr>
              <w:jc w:val="center"/>
            </w:pPr>
            <w:r>
              <w:t>44</w:t>
            </w:r>
          </w:p>
        </w:tc>
      </w:tr>
      <w:tr w:rsidR="00E52988" w:rsidTr="003420FE">
        <w:tc>
          <w:tcPr>
            <w:tcW w:w="2745" w:type="dxa"/>
          </w:tcPr>
          <w:p w:rsidR="00E52988" w:rsidRPr="006835D1" w:rsidRDefault="00E52988" w:rsidP="003420FE">
            <w:pPr>
              <w:pStyle w:val="BodyText"/>
              <w:jc w:val="left"/>
            </w:pPr>
            <w:r w:rsidRPr="00FB324B">
              <w:rPr>
                <w:b/>
              </w:rPr>
              <w:t>Mosque/church attendance</w:t>
            </w:r>
            <w:r>
              <w:rPr>
                <w:b/>
              </w:rPr>
              <w:t>: at least once a week</w:t>
            </w:r>
          </w:p>
        </w:tc>
        <w:tc>
          <w:tcPr>
            <w:tcW w:w="996" w:type="dxa"/>
          </w:tcPr>
          <w:p w:rsidR="00E52988" w:rsidRDefault="00E52988" w:rsidP="003420FE">
            <w:pPr>
              <w:jc w:val="center"/>
            </w:pPr>
          </w:p>
        </w:tc>
        <w:tc>
          <w:tcPr>
            <w:tcW w:w="996" w:type="dxa"/>
          </w:tcPr>
          <w:p w:rsidR="00E52988" w:rsidRDefault="00E52988" w:rsidP="003420FE">
            <w:pPr>
              <w:jc w:val="center"/>
            </w:pPr>
          </w:p>
        </w:tc>
        <w:tc>
          <w:tcPr>
            <w:tcW w:w="996" w:type="dxa"/>
          </w:tcPr>
          <w:p w:rsidR="00E52988" w:rsidRDefault="00E52988" w:rsidP="003420FE">
            <w:pPr>
              <w:jc w:val="center"/>
            </w:pPr>
          </w:p>
        </w:tc>
        <w:tc>
          <w:tcPr>
            <w:tcW w:w="343" w:type="dxa"/>
          </w:tcPr>
          <w:p w:rsidR="00E52988" w:rsidRDefault="00E52988" w:rsidP="003420FE">
            <w:pPr>
              <w:jc w:val="center"/>
            </w:pPr>
          </w:p>
        </w:tc>
        <w:tc>
          <w:tcPr>
            <w:tcW w:w="996" w:type="dxa"/>
          </w:tcPr>
          <w:p w:rsidR="00E52988" w:rsidRDefault="00E52988" w:rsidP="003420FE">
            <w:pPr>
              <w:jc w:val="center"/>
            </w:pPr>
          </w:p>
        </w:tc>
        <w:tc>
          <w:tcPr>
            <w:tcW w:w="999" w:type="dxa"/>
          </w:tcPr>
          <w:p w:rsidR="00E52988" w:rsidRDefault="00E52988" w:rsidP="003420FE">
            <w:pPr>
              <w:jc w:val="center"/>
            </w:pPr>
          </w:p>
        </w:tc>
        <w:tc>
          <w:tcPr>
            <w:tcW w:w="996" w:type="dxa"/>
          </w:tcPr>
          <w:p w:rsidR="00E52988" w:rsidRDefault="00E52988" w:rsidP="003420FE">
            <w:pPr>
              <w:jc w:val="center"/>
            </w:pPr>
          </w:p>
        </w:tc>
      </w:tr>
      <w:tr w:rsidR="00E52988" w:rsidTr="003420FE">
        <w:tc>
          <w:tcPr>
            <w:tcW w:w="2745" w:type="dxa"/>
          </w:tcPr>
          <w:p w:rsidR="00E52988" w:rsidRPr="002920D4" w:rsidRDefault="00E52988" w:rsidP="003420FE">
            <w:pPr>
              <w:pStyle w:val="BodyText"/>
              <w:jc w:val="left"/>
            </w:pPr>
            <w:r w:rsidRPr="002920D4">
              <w:t>Fathers’ education, primary of less</w:t>
            </w:r>
          </w:p>
        </w:tc>
        <w:tc>
          <w:tcPr>
            <w:tcW w:w="996" w:type="dxa"/>
          </w:tcPr>
          <w:p w:rsidR="00E52988" w:rsidRDefault="00E52988" w:rsidP="003420FE">
            <w:pPr>
              <w:jc w:val="center"/>
            </w:pPr>
            <w:r>
              <w:t>35</w:t>
            </w:r>
          </w:p>
        </w:tc>
        <w:tc>
          <w:tcPr>
            <w:tcW w:w="996" w:type="dxa"/>
          </w:tcPr>
          <w:p w:rsidR="00E52988" w:rsidRDefault="00E52988" w:rsidP="003420FE">
            <w:pPr>
              <w:jc w:val="center"/>
            </w:pPr>
            <w:r>
              <w:t>41</w:t>
            </w:r>
          </w:p>
        </w:tc>
        <w:tc>
          <w:tcPr>
            <w:tcW w:w="996" w:type="dxa"/>
          </w:tcPr>
          <w:p w:rsidR="00E52988" w:rsidRDefault="00E52988" w:rsidP="003420FE">
            <w:pPr>
              <w:jc w:val="center"/>
            </w:pPr>
            <w:r>
              <w:t>41</w:t>
            </w:r>
          </w:p>
        </w:tc>
        <w:tc>
          <w:tcPr>
            <w:tcW w:w="343" w:type="dxa"/>
          </w:tcPr>
          <w:p w:rsidR="00E52988" w:rsidRDefault="00E52988" w:rsidP="003420FE">
            <w:pPr>
              <w:jc w:val="center"/>
            </w:pPr>
          </w:p>
        </w:tc>
        <w:tc>
          <w:tcPr>
            <w:tcW w:w="996" w:type="dxa"/>
          </w:tcPr>
          <w:p w:rsidR="00E52988" w:rsidRDefault="00E52988" w:rsidP="003420FE">
            <w:pPr>
              <w:jc w:val="center"/>
            </w:pPr>
            <w:r>
              <w:t>13</w:t>
            </w:r>
          </w:p>
        </w:tc>
        <w:tc>
          <w:tcPr>
            <w:tcW w:w="999" w:type="dxa"/>
          </w:tcPr>
          <w:p w:rsidR="00E52988" w:rsidRDefault="00E52988" w:rsidP="003420FE">
            <w:pPr>
              <w:jc w:val="center"/>
            </w:pPr>
            <w:r>
              <w:t>16</w:t>
            </w:r>
          </w:p>
        </w:tc>
        <w:tc>
          <w:tcPr>
            <w:tcW w:w="996" w:type="dxa"/>
          </w:tcPr>
          <w:p w:rsidR="00E52988" w:rsidRDefault="00E52988" w:rsidP="003420FE">
            <w:pPr>
              <w:jc w:val="center"/>
            </w:pPr>
            <w:r>
              <w:t>12</w:t>
            </w:r>
          </w:p>
        </w:tc>
      </w:tr>
      <w:tr w:rsidR="00E52988" w:rsidTr="003420FE">
        <w:tc>
          <w:tcPr>
            <w:tcW w:w="2745" w:type="dxa"/>
          </w:tcPr>
          <w:p w:rsidR="00E52988" w:rsidRPr="002920D4" w:rsidRDefault="00E52988" w:rsidP="003420FE">
            <w:pPr>
              <w:pStyle w:val="BodyText"/>
              <w:jc w:val="left"/>
            </w:pPr>
            <w:r w:rsidRPr="002920D4">
              <w:t>Middle of full secondary education</w:t>
            </w:r>
          </w:p>
        </w:tc>
        <w:tc>
          <w:tcPr>
            <w:tcW w:w="996" w:type="dxa"/>
          </w:tcPr>
          <w:p w:rsidR="00E52988" w:rsidRDefault="00E52988" w:rsidP="003420FE">
            <w:pPr>
              <w:jc w:val="center"/>
            </w:pPr>
            <w:r>
              <w:t>37</w:t>
            </w:r>
          </w:p>
        </w:tc>
        <w:tc>
          <w:tcPr>
            <w:tcW w:w="996" w:type="dxa"/>
          </w:tcPr>
          <w:p w:rsidR="00E52988" w:rsidRDefault="00E52988" w:rsidP="003420FE">
            <w:pPr>
              <w:jc w:val="center"/>
            </w:pPr>
            <w:r>
              <w:t>41</w:t>
            </w:r>
          </w:p>
        </w:tc>
        <w:tc>
          <w:tcPr>
            <w:tcW w:w="996" w:type="dxa"/>
          </w:tcPr>
          <w:p w:rsidR="00E52988" w:rsidRDefault="00E52988" w:rsidP="003420FE">
            <w:pPr>
              <w:jc w:val="center"/>
            </w:pPr>
            <w:r>
              <w:t>32</w:t>
            </w:r>
          </w:p>
        </w:tc>
        <w:tc>
          <w:tcPr>
            <w:tcW w:w="343" w:type="dxa"/>
          </w:tcPr>
          <w:p w:rsidR="00E52988" w:rsidRDefault="00E52988" w:rsidP="003420FE">
            <w:pPr>
              <w:jc w:val="center"/>
            </w:pPr>
          </w:p>
        </w:tc>
        <w:tc>
          <w:tcPr>
            <w:tcW w:w="996" w:type="dxa"/>
          </w:tcPr>
          <w:p w:rsidR="00E52988" w:rsidRDefault="00E52988" w:rsidP="003420FE">
            <w:pPr>
              <w:jc w:val="center"/>
            </w:pPr>
            <w:r>
              <w:t>17</w:t>
            </w:r>
          </w:p>
        </w:tc>
        <w:tc>
          <w:tcPr>
            <w:tcW w:w="999" w:type="dxa"/>
          </w:tcPr>
          <w:p w:rsidR="00E52988" w:rsidRDefault="00E52988" w:rsidP="003420FE">
            <w:pPr>
              <w:jc w:val="center"/>
            </w:pPr>
            <w:r>
              <w:t>17</w:t>
            </w:r>
          </w:p>
        </w:tc>
        <w:tc>
          <w:tcPr>
            <w:tcW w:w="996" w:type="dxa"/>
          </w:tcPr>
          <w:p w:rsidR="00E52988" w:rsidRDefault="00E52988" w:rsidP="003420FE">
            <w:pPr>
              <w:jc w:val="center"/>
            </w:pPr>
            <w:r>
              <w:t>8</w:t>
            </w:r>
          </w:p>
        </w:tc>
      </w:tr>
      <w:tr w:rsidR="00E52988" w:rsidTr="003420FE">
        <w:tc>
          <w:tcPr>
            <w:tcW w:w="2745" w:type="dxa"/>
          </w:tcPr>
          <w:p w:rsidR="00E52988" w:rsidRPr="002920D4" w:rsidRDefault="00E52988" w:rsidP="003420FE">
            <w:pPr>
              <w:pStyle w:val="BodyText"/>
              <w:jc w:val="left"/>
            </w:pPr>
            <w:r w:rsidRPr="002920D4">
              <w:t>Higher</w:t>
            </w:r>
          </w:p>
        </w:tc>
        <w:tc>
          <w:tcPr>
            <w:tcW w:w="996" w:type="dxa"/>
          </w:tcPr>
          <w:p w:rsidR="00E52988" w:rsidRDefault="00E52988" w:rsidP="003420FE">
            <w:pPr>
              <w:jc w:val="center"/>
            </w:pPr>
            <w:r>
              <w:t>31</w:t>
            </w:r>
          </w:p>
        </w:tc>
        <w:tc>
          <w:tcPr>
            <w:tcW w:w="996" w:type="dxa"/>
          </w:tcPr>
          <w:p w:rsidR="00E52988" w:rsidRDefault="00E52988" w:rsidP="003420FE">
            <w:pPr>
              <w:jc w:val="center"/>
            </w:pPr>
            <w:r>
              <w:t>41</w:t>
            </w:r>
          </w:p>
        </w:tc>
        <w:tc>
          <w:tcPr>
            <w:tcW w:w="996" w:type="dxa"/>
          </w:tcPr>
          <w:p w:rsidR="00E52988" w:rsidRDefault="00E52988" w:rsidP="003420FE">
            <w:pPr>
              <w:jc w:val="center"/>
            </w:pPr>
            <w:r>
              <w:t>30</w:t>
            </w:r>
          </w:p>
        </w:tc>
        <w:tc>
          <w:tcPr>
            <w:tcW w:w="343" w:type="dxa"/>
          </w:tcPr>
          <w:p w:rsidR="00E52988" w:rsidRDefault="00E52988" w:rsidP="003420FE">
            <w:pPr>
              <w:jc w:val="center"/>
            </w:pPr>
          </w:p>
        </w:tc>
        <w:tc>
          <w:tcPr>
            <w:tcW w:w="996" w:type="dxa"/>
          </w:tcPr>
          <w:p w:rsidR="00E52988" w:rsidRDefault="00E52988" w:rsidP="003420FE">
            <w:pPr>
              <w:jc w:val="center"/>
            </w:pPr>
            <w:r>
              <w:t>14</w:t>
            </w:r>
          </w:p>
        </w:tc>
        <w:tc>
          <w:tcPr>
            <w:tcW w:w="999" w:type="dxa"/>
          </w:tcPr>
          <w:p w:rsidR="00E52988" w:rsidRDefault="00E52988" w:rsidP="003420FE">
            <w:pPr>
              <w:jc w:val="center"/>
            </w:pPr>
            <w:r>
              <w:t>12</w:t>
            </w:r>
          </w:p>
        </w:tc>
        <w:tc>
          <w:tcPr>
            <w:tcW w:w="996" w:type="dxa"/>
          </w:tcPr>
          <w:p w:rsidR="00E52988" w:rsidRDefault="00E52988" w:rsidP="003420FE">
            <w:pPr>
              <w:jc w:val="center"/>
            </w:pPr>
            <w:r>
              <w:t>16</w:t>
            </w:r>
          </w:p>
        </w:tc>
      </w:tr>
      <w:tr w:rsidR="00E52988" w:rsidTr="003420FE">
        <w:tc>
          <w:tcPr>
            <w:tcW w:w="2745" w:type="dxa"/>
          </w:tcPr>
          <w:p w:rsidR="00E52988" w:rsidRPr="00DB5442" w:rsidRDefault="00E52988" w:rsidP="003420FE">
            <w:pPr>
              <w:pStyle w:val="BodyText"/>
              <w:rPr>
                <w:b/>
                <w:sz w:val="20"/>
                <w:szCs w:val="20"/>
              </w:rPr>
            </w:pPr>
            <w:r>
              <w:rPr>
                <w:b/>
                <w:sz w:val="20"/>
                <w:szCs w:val="20"/>
              </w:rPr>
              <w:t>N =</w:t>
            </w:r>
          </w:p>
        </w:tc>
        <w:tc>
          <w:tcPr>
            <w:tcW w:w="996" w:type="dxa"/>
          </w:tcPr>
          <w:p w:rsidR="00E52988" w:rsidRDefault="00E52988" w:rsidP="003420FE">
            <w:pPr>
              <w:jc w:val="center"/>
            </w:pPr>
            <w:r>
              <w:t>1518</w:t>
            </w:r>
          </w:p>
        </w:tc>
        <w:tc>
          <w:tcPr>
            <w:tcW w:w="996" w:type="dxa"/>
          </w:tcPr>
          <w:p w:rsidR="00E52988" w:rsidRDefault="00E52988" w:rsidP="003420FE">
            <w:pPr>
              <w:jc w:val="center"/>
            </w:pPr>
            <w:r>
              <w:t>1452</w:t>
            </w:r>
          </w:p>
        </w:tc>
        <w:tc>
          <w:tcPr>
            <w:tcW w:w="996" w:type="dxa"/>
          </w:tcPr>
          <w:p w:rsidR="00E52988" w:rsidRDefault="00E52988" w:rsidP="003420FE">
            <w:pPr>
              <w:jc w:val="center"/>
            </w:pPr>
            <w:r>
              <w:t>1043</w:t>
            </w:r>
          </w:p>
        </w:tc>
        <w:tc>
          <w:tcPr>
            <w:tcW w:w="343" w:type="dxa"/>
          </w:tcPr>
          <w:p w:rsidR="00E52988" w:rsidRDefault="00E52988" w:rsidP="003420FE">
            <w:pPr>
              <w:jc w:val="center"/>
            </w:pPr>
          </w:p>
        </w:tc>
        <w:tc>
          <w:tcPr>
            <w:tcW w:w="996" w:type="dxa"/>
          </w:tcPr>
          <w:p w:rsidR="00E52988" w:rsidRDefault="00E52988" w:rsidP="003420FE">
            <w:pPr>
              <w:jc w:val="center"/>
            </w:pPr>
            <w:r>
              <w:t>1208</w:t>
            </w:r>
          </w:p>
        </w:tc>
        <w:tc>
          <w:tcPr>
            <w:tcW w:w="999" w:type="dxa"/>
          </w:tcPr>
          <w:p w:rsidR="00E52988" w:rsidRDefault="00E52988" w:rsidP="003420FE">
            <w:pPr>
              <w:jc w:val="center"/>
            </w:pPr>
            <w:r>
              <w:t>926</w:t>
            </w:r>
          </w:p>
        </w:tc>
        <w:tc>
          <w:tcPr>
            <w:tcW w:w="996" w:type="dxa"/>
          </w:tcPr>
          <w:p w:rsidR="00E52988" w:rsidRDefault="00E52988" w:rsidP="003420FE">
            <w:pPr>
              <w:jc w:val="center"/>
            </w:pPr>
            <w:r>
              <w:t>628</w:t>
            </w:r>
          </w:p>
        </w:tc>
      </w:tr>
    </w:tbl>
    <w:p w:rsidR="00E52988" w:rsidRDefault="00E52988" w:rsidP="00E52988">
      <w:pPr>
        <w:rPr>
          <w:b/>
        </w:rPr>
      </w:pPr>
      <w:r w:rsidRPr="00FC51D2">
        <w:rPr>
          <w:b/>
        </w:rPr>
        <w:t xml:space="preserve">   </w:t>
      </w:r>
    </w:p>
    <w:p w:rsidR="00E52988" w:rsidRDefault="00E52988" w:rsidP="00E52988">
      <w:pPr>
        <w:pStyle w:val="BodyText"/>
      </w:pPr>
      <w:r>
        <w:t>Overall, therefore, we find that some differences in uses of free time by social class origins did decline between age 15-19 and 25-29, but there were major exceptions, namely involvement in out-of-home leisure activities and public religious participation by both sexes, and association memberships among the young women.</w:t>
      </w:r>
    </w:p>
    <w:p w:rsidR="00E52988" w:rsidRPr="00B86E7C" w:rsidRDefault="00E52988" w:rsidP="00E52988">
      <w:pPr>
        <w:rPr>
          <w:b/>
        </w:rPr>
      </w:pPr>
      <w:r w:rsidRPr="00B86E7C">
        <w:rPr>
          <w:b/>
        </w:rPr>
        <w:t>Higher education</w:t>
      </w:r>
    </w:p>
    <w:p w:rsidR="00BE11B3" w:rsidRDefault="00BE11B3" w:rsidP="00E52988">
      <w:pPr>
        <w:pStyle w:val="BodyText"/>
      </w:pPr>
      <w:r>
        <w:t>It seemed realistic to anticipate higher education acting as a transformative crucible among the region’s youth. Over a quarter of the region’s young men and women were becoming university graduates. It seemed likely, or at least possible, that among students and graduates socio-cultural gender differences would be eroded, and that a new cleavage would be formed between graduates and the rest of their age group, with graduates poised to become the vanguard of a transformative generation. In the event, our findings have not endorsed such expectations.</w:t>
      </w:r>
    </w:p>
    <w:p w:rsidR="00BE11B3" w:rsidRDefault="00BE11B3" w:rsidP="00E52988">
      <w:pPr>
        <w:pStyle w:val="BodyText"/>
      </w:pPr>
    </w:p>
    <w:p w:rsidR="00BE11B3" w:rsidRDefault="00E52988" w:rsidP="00834EE0">
      <w:pPr>
        <w:pStyle w:val="BodyText"/>
        <w:rPr>
          <w:b/>
        </w:rPr>
      </w:pPr>
      <w:r>
        <w:t>This section and the one that follows deal solely with respondents aged 25-29, by when they had nearly all completed full-time</w:t>
      </w:r>
      <w:r w:rsidR="00834EE0">
        <w:t xml:space="preserve"> education</w:t>
      </w:r>
      <w:r>
        <w:t xml:space="preserve">. Restricting analysis to this age group, separating males and females, then dividing each into graduates and others, creates a small N problem among those with fathers who were higher education graduates. This is because only 10 percent of all fathers had achieved this level of education. The percentages for this group of university educated respondents are best ignored. Respondents’ own levels of education (and to a lesser extent their subsequent employment, if any), were related to their fathers’ education, </w:t>
      </w:r>
      <w:r w:rsidR="00BE11B3">
        <w:t>so</w:t>
      </w:r>
      <w:r>
        <w:t xml:space="preserve"> we will claim to have identified a higher education effect on uses of free time only if there were differences between graduates and other respondents overall and with fathers’ education controlled. </w:t>
      </w:r>
    </w:p>
    <w:p w:rsidR="00834EE0" w:rsidRDefault="00834EE0">
      <w:pPr>
        <w:spacing w:after="160"/>
        <w:rPr>
          <w:b/>
        </w:rPr>
      </w:pPr>
      <w:r>
        <w:rPr>
          <w:b/>
        </w:rPr>
        <w:br w:type="page"/>
      </w:r>
    </w:p>
    <w:p w:rsidR="00E52988" w:rsidRPr="00B86E7C" w:rsidRDefault="00E52988" w:rsidP="00E52988">
      <w:pPr>
        <w:spacing w:line="240" w:lineRule="auto"/>
        <w:rPr>
          <w:b/>
        </w:rPr>
      </w:pPr>
      <w:r w:rsidRPr="00B86E7C">
        <w:rPr>
          <w:b/>
        </w:rPr>
        <w:t>Table V</w:t>
      </w:r>
    </w:p>
    <w:p w:rsidR="00E52988" w:rsidRPr="00B86E7C" w:rsidRDefault="00E52988" w:rsidP="00E52988">
      <w:pPr>
        <w:spacing w:line="240" w:lineRule="auto"/>
        <w:rPr>
          <w:b/>
        </w:rPr>
      </w:pPr>
      <w:r w:rsidRPr="00B86E7C">
        <w:rPr>
          <w:b/>
        </w:rPr>
        <w:t>Higher education and uses of free time, 25-29 year olds</w:t>
      </w:r>
    </w:p>
    <w:p w:rsidR="00E52988" w:rsidRPr="0045003F" w:rsidRDefault="00E52988" w:rsidP="00E52988">
      <w:pPr>
        <w:pStyle w:val="BodyTextFirstIndent"/>
        <w:spacing w:line="240" w:lineRule="auto"/>
        <w:rPr>
          <w:b/>
        </w:rPr>
      </w:pPr>
      <w:r>
        <w:rPr>
          <w:b/>
        </w:rPr>
        <w:t xml:space="preserve">                                                                    </w:t>
      </w:r>
      <w:r w:rsidRPr="0045003F">
        <w:rPr>
          <w:b/>
        </w:rPr>
        <w:t>Males                                      Females</w:t>
      </w:r>
    </w:p>
    <w:tbl>
      <w:tblPr>
        <w:tblStyle w:val="TableGrid"/>
        <w:tblW w:w="5000" w:type="pct"/>
        <w:tblLook w:val="04A0" w:firstRow="1" w:lastRow="0" w:firstColumn="1" w:lastColumn="0" w:noHBand="0" w:noVBand="1"/>
      </w:tblPr>
      <w:tblGrid>
        <w:gridCol w:w="3369"/>
        <w:gridCol w:w="1473"/>
        <w:gridCol w:w="1206"/>
        <w:gridCol w:w="435"/>
        <w:gridCol w:w="1473"/>
        <w:gridCol w:w="1060"/>
      </w:tblGrid>
      <w:tr w:rsidR="00E52988" w:rsidRPr="001E3BA8" w:rsidTr="003420FE">
        <w:tc>
          <w:tcPr>
            <w:tcW w:w="1868" w:type="pct"/>
          </w:tcPr>
          <w:p w:rsidR="00E52988" w:rsidRPr="001E3BA8" w:rsidRDefault="00E52988" w:rsidP="003420FE">
            <w:pPr>
              <w:rPr>
                <w:b/>
              </w:rPr>
            </w:pPr>
          </w:p>
        </w:tc>
        <w:tc>
          <w:tcPr>
            <w:tcW w:w="817" w:type="pct"/>
          </w:tcPr>
          <w:p w:rsidR="00E52988" w:rsidRPr="001E3BA8" w:rsidRDefault="00E52988" w:rsidP="003420FE">
            <w:pPr>
              <w:jc w:val="center"/>
              <w:rPr>
                <w:b/>
              </w:rPr>
            </w:pPr>
            <w:r w:rsidRPr="001E3BA8">
              <w:rPr>
                <w:b/>
              </w:rPr>
              <w:t>Higher education</w:t>
            </w:r>
          </w:p>
          <w:p w:rsidR="00E52988" w:rsidRPr="001E3BA8" w:rsidRDefault="00E52988" w:rsidP="003420FE">
            <w:pPr>
              <w:jc w:val="center"/>
              <w:rPr>
                <w:b/>
              </w:rPr>
            </w:pPr>
            <w:r w:rsidRPr="001E3BA8">
              <w:rPr>
                <w:b/>
              </w:rPr>
              <w:t>%</w:t>
            </w:r>
          </w:p>
        </w:tc>
        <w:tc>
          <w:tcPr>
            <w:tcW w:w="669" w:type="pct"/>
          </w:tcPr>
          <w:p w:rsidR="00E52988" w:rsidRPr="001E3BA8" w:rsidRDefault="00E52988" w:rsidP="003420FE">
            <w:pPr>
              <w:jc w:val="center"/>
              <w:rPr>
                <w:b/>
              </w:rPr>
            </w:pPr>
            <w:r w:rsidRPr="001E3BA8">
              <w:rPr>
                <w:b/>
              </w:rPr>
              <w:t>Other</w:t>
            </w:r>
          </w:p>
          <w:p w:rsidR="00E52988" w:rsidRPr="001E3BA8" w:rsidRDefault="00E52988" w:rsidP="003420FE">
            <w:pPr>
              <w:jc w:val="center"/>
              <w:rPr>
                <w:b/>
              </w:rPr>
            </w:pPr>
            <w:r w:rsidRPr="001E3BA8">
              <w:rPr>
                <w:b/>
              </w:rPr>
              <w:t>%</w:t>
            </w:r>
          </w:p>
        </w:tc>
        <w:tc>
          <w:tcPr>
            <w:tcW w:w="241" w:type="pct"/>
          </w:tcPr>
          <w:p w:rsidR="00E52988" w:rsidRPr="001E3BA8" w:rsidRDefault="00E52988" w:rsidP="003420FE">
            <w:pPr>
              <w:jc w:val="center"/>
              <w:rPr>
                <w:b/>
              </w:rPr>
            </w:pPr>
          </w:p>
        </w:tc>
        <w:tc>
          <w:tcPr>
            <w:tcW w:w="817" w:type="pct"/>
          </w:tcPr>
          <w:p w:rsidR="00E52988" w:rsidRPr="001E3BA8" w:rsidRDefault="00E52988" w:rsidP="003420FE">
            <w:pPr>
              <w:jc w:val="center"/>
              <w:rPr>
                <w:b/>
              </w:rPr>
            </w:pPr>
            <w:r w:rsidRPr="001E3BA8">
              <w:rPr>
                <w:b/>
              </w:rPr>
              <w:t>Higher education</w:t>
            </w:r>
          </w:p>
          <w:p w:rsidR="00E52988" w:rsidRPr="001E3BA8" w:rsidRDefault="00E52988" w:rsidP="003420FE">
            <w:pPr>
              <w:jc w:val="center"/>
              <w:rPr>
                <w:b/>
              </w:rPr>
            </w:pPr>
            <w:r w:rsidRPr="001E3BA8">
              <w:rPr>
                <w:b/>
              </w:rPr>
              <w:t>%</w:t>
            </w:r>
          </w:p>
        </w:tc>
        <w:tc>
          <w:tcPr>
            <w:tcW w:w="588" w:type="pct"/>
          </w:tcPr>
          <w:p w:rsidR="00E52988" w:rsidRPr="001E3BA8" w:rsidRDefault="00E52988" w:rsidP="003420FE">
            <w:pPr>
              <w:jc w:val="center"/>
              <w:rPr>
                <w:b/>
              </w:rPr>
            </w:pPr>
            <w:r w:rsidRPr="001E3BA8">
              <w:rPr>
                <w:b/>
              </w:rPr>
              <w:t>Other</w:t>
            </w:r>
          </w:p>
          <w:p w:rsidR="00E52988" w:rsidRPr="001E3BA8" w:rsidRDefault="00E52988" w:rsidP="003420FE">
            <w:pPr>
              <w:jc w:val="center"/>
              <w:rPr>
                <w:b/>
              </w:rPr>
            </w:pPr>
            <w:r w:rsidRPr="001E3BA8">
              <w:rPr>
                <w:b/>
              </w:rPr>
              <w:t>%</w:t>
            </w:r>
          </w:p>
        </w:tc>
      </w:tr>
      <w:tr w:rsidR="00E52988" w:rsidRPr="001E3BA8" w:rsidTr="003420FE">
        <w:tc>
          <w:tcPr>
            <w:tcW w:w="1868" w:type="pct"/>
          </w:tcPr>
          <w:p w:rsidR="00E52988" w:rsidRPr="001E3BA8" w:rsidRDefault="00E52988" w:rsidP="003420FE">
            <w:pPr>
              <w:pStyle w:val="BodyText"/>
              <w:jc w:val="left"/>
              <w:rPr>
                <w:b/>
                <w:sz w:val="20"/>
                <w:szCs w:val="20"/>
              </w:rPr>
            </w:pPr>
            <w:r w:rsidRPr="001E3BA8">
              <w:rPr>
                <w:b/>
                <w:sz w:val="20"/>
                <w:szCs w:val="20"/>
              </w:rPr>
              <w:t>Take part at least once a week</w:t>
            </w:r>
            <w:r>
              <w:rPr>
                <w:b/>
                <w:sz w:val="20"/>
                <w:szCs w:val="20"/>
              </w:rPr>
              <w:t>.</w:t>
            </w:r>
            <w:r w:rsidRPr="001E3BA8">
              <w:rPr>
                <w:sz w:val="20"/>
                <w:szCs w:val="20"/>
              </w:rPr>
              <w:t xml:space="preserve"> </w:t>
            </w:r>
            <w:r w:rsidRPr="001E3BA8">
              <w:rPr>
                <w:b/>
                <w:sz w:val="20"/>
                <w:szCs w:val="20"/>
              </w:rPr>
              <w:t>Mean number of activities</w:t>
            </w:r>
          </w:p>
        </w:tc>
        <w:tc>
          <w:tcPr>
            <w:tcW w:w="817" w:type="pct"/>
          </w:tcPr>
          <w:p w:rsidR="00E52988" w:rsidRPr="001E3BA8" w:rsidRDefault="00E52988" w:rsidP="003420FE"/>
        </w:tc>
        <w:tc>
          <w:tcPr>
            <w:tcW w:w="669" w:type="pct"/>
          </w:tcPr>
          <w:p w:rsidR="00E52988" w:rsidRPr="001E3BA8" w:rsidRDefault="00E52988" w:rsidP="003420FE"/>
        </w:tc>
        <w:tc>
          <w:tcPr>
            <w:tcW w:w="241" w:type="pct"/>
          </w:tcPr>
          <w:p w:rsidR="00E52988" w:rsidRPr="001E3BA8" w:rsidRDefault="00E52988" w:rsidP="003420FE"/>
        </w:tc>
        <w:tc>
          <w:tcPr>
            <w:tcW w:w="817" w:type="pct"/>
          </w:tcPr>
          <w:p w:rsidR="00E52988" w:rsidRPr="001E3BA8" w:rsidRDefault="00E52988" w:rsidP="003420FE"/>
        </w:tc>
        <w:tc>
          <w:tcPr>
            <w:tcW w:w="588" w:type="pct"/>
          </w:tcPr>
          <w:p w:rsidR="00E52988" w:rsidRPr="001E3BA8" w:rsidRDefault="00E52988" w:rsidP="003420FE"/>
        </w:tc>
      </w:tr>
      <w:tr w:rsidR="00E52988" w:rsidRPr="001E3BA8" w:rsidTr="003420FE">
        <w:tc>
          <w:tcPr>
            <w:tcW w:w="1868" w:type="pct"/>
          </w:tcPr>
          <w:p w:rsidR="00E52988" w:rsidRPr="00DF7925" w:rsidRDefault="00E52988" w:rsidP="003420FE">
            <w:pPr>
              <w:pStyle w:val="BodyText"/>
              <w:jc w:val="left"/>
              <w:rPr>
                <w:sz w:val="20"/>
                <w:szCs w:val="20"/>
              </w:rPr>
            </w:pPr>
            <w:r w:rsidRPr="00DF7925">
              <w:rPr>
                <w:sz w:val="20"/>
                <w:szCs w:val="20"/>
              </w:rPr>
              <w:t>Father’s education: primary school or less</w:t>
            </w:r>
          </w:p>
        </w:tc>
        <w:tc>
          <w:tcPr>
            <w:tcW w:w="817" w:type="pct"/>
          </w:tcPr>
          <w:p w:rsidR="00E52988" w:rsidRDefault="00E52988" w:rsidP="003420FE">
            <w:pPr>
              <w:jc w:val="center"/>
            </w:pPr>
            <w:r>
              <w:t>2.2</w:t>
            </w:r>
          </w:p>
        </w:tc>
        <w:tc>
          <w:tcPr>
            <w:tcW w:w="669" w:type="pct"/>
          </w:tcPr>
          <w:p w:rsidR="00E52988" w:rsidRDefault="00E52988" w:rsidP="003420FE">
            <w:pPr>
              <w:jc w:val="center"/>
            </w:pPr>
            <w:r>
              <w:t>2.2</w:t>
            </w:r>
          </w:p>
        </w:tc>
        <w:tc>
          <w:tcPr>
            <w:tcW w:w="241" w:type="pct"/>
          </w:tcPr>
          <w:p w:rsidR="00E52988" w:rsidRDefault="00E52988" w:rsidP="003420FE">
            <w:pPr>
              <w:jc w:val="center"/>
            </w:pPr>
          </w:p>
        </w:tc>
        <w:tc>
          <w:tcPr>
            <w:tcW w:w="817" w:type="pct"/>
          </w:tcPr>
          <w:p w:rsidR="00E52988" w:rsidRDefault="00E52988" w:rsidP="003420FE">
            <w:pPr>
              <w:jc w:val="center"/>
            </w:pPr>
            <w:r>
              <w:t>0.9</w:t>
            </w:r>
          </w:p>
        </w:tc>
        <w:tc>
          <w:tcPr>
            <w:tcW w:w="588" w:type="pct"/>
          </w:tcPr>
          <w:p w:rsidR="00E52988" w:rsidRDefault="00E52988" w:rsidP="003420FE">
            <w:pPr>
              <w:jc w:val="center"/>
            </w:pPr>
            <w:r>
              <w:t>0.9</w:t>
            </w:r>
          </w:p>
        </w:tc>
      </w:tr>
      <w:tr w:rsidR="00E52988" w:rsidRPr="001E3BA8" w:rsidTr="003420FE">
        <w:tc>
          <w:tcPr>
            <w:tcW w:w="1868" w:type="pct"/>
          </w:tcPr>
          <w:p w:rsidR="00E52988" w:rsidRPr="00DF7925" w:rsidRDefault="00E52988" w:rsidP="003420FE">
            <w:pPr>
              <w:pStyle w:val="BodyText"/>
              <w:jc w:val="left"/>
              <w:rPr>
                <w:sz w:val="20"/>
                <w:szCs w:val="20"/>
              </w:rPr>
            </w:pPr>
            <w:r w:rsidRPr="00DF7925">
              <w:rPr>
                <w:sz w:val="20"/>
                <w:szCs w:val="20"/>
              </w:rPr>
              <w:t>Secondary</w:t>
            </w:r>
          </w:p>
        </w:tc>
        <w:tc>
          <w:tcPr>
            <w:tcW w:w="817" w:type="pct"/>
          </w:tcPr>
          <w:p w:rsidR="00E52988" w:rsidRDefault="00E52988" w:rsidP="003420FE">
            <w:pPr>
              <w:jc w:val="center"/>
            </w:pPr>
            <w:r>
              <w:t>2.6</w:t>
            </w:r>
          </w:p>
        </w:tc>
        <w:tc>
          <w:tcPr>
            <w:tcW w:w="669" w:type="pct"/>
          </w:tcPr>
          <w:p w:rsidR="00E52988" w:rsidRDefault="00E52988" w:rsidP="003420FE">
            <w:pPr>
              <w:jc w:val="center"/>
            </w:pPr>
            <w:r>
              <w:t>2.3</w:t>
            </w:r>
          </w:p>
        </w:tc>
        <w:tc>
          <w:tcPr>
            <w:tcW w:w="241" w:type="pct"/>
          </w:tcPr>
          <w:p w:rsidR="00E52988" w:rsidRDefault="00E52988" w:rsidP="003420FE">
            <w:pPr>
              <w:jc w:val="center"/>
            </w:pPr>
          </w:p>
        </w:tc>
        <w:tc>
          <w:tcPr>
            <w:tcW w:w="817" w:type="pct"/>
          </w:tcPr>
          <w:p w:rsidR="00E52988" w:rsidRDefault="00E52988" w:rsidP="003420FE">
            <w:pPr>
              <w:jc w:val="center"/>
            </w:pPr>
            <w:r>
              <w:t>1.4</w:t>
            </w:r>
          </w:p>
        </w:tc>
        <w:tc>
          <w:tcPr>
            <w:tcW w:w="588" w:type="pct"/>
          </w:tcPr>
          <w:p w:rsidR="00E52988" w:rsidRDefault="00E52988" w:rsidP="003420FE">
            <w:pPr>
              <w:jc w:val="center"/>
            </w:pPr>
            <w:r>
              <w:t>0.9</w:t>
            </w:r>
          </w:p>
        </w:tc>
      </w:tr>
      <w:tr w:rsidR="00E52988" w:rsidRPr="001E3BA8" w:rsidTr="003420FE">
        <w:tc>
          <w:tcPr>
            <w:tcW w:w="1868" w:type="pct"/>
          </w:tcPr>
          <w:p w:rsidR="00E52988" w:rsidRPr="00DF7925" w:rsidRDefault="00E52988" w:rsidP="003420FE">
            <w:pPr>
              <w:pStyle w:val="BodyText"/>
              <w:jc w:val="left"/>
              <w:rPr>
                <w:sz w:val="20"/>
                <w:szCs w:val="20"/>
              </w:rPr>
            </w:pPr>
            <w:r w:rsidRPr="00DF7925">
              <w:rPr>
                <w:sz w:val="20"/>
                <w:szCs w:val="20"/>
              </w:rPr>
              <w:t>Higher</w:t>
            </w:r>
          </w:p>
        </w:tc>
        <w:tc>
          <w:tcPr>
            <w:tcW w:w="817" w:type="pct"/>
          </w:tcPr>
          <w:p w:rsidR="00E52988" w:rsidRDefault="00E52988" w:rsidP="003420FE">
            <w:pPr>
              <w:jc w:val="center"/>
            </w:pPr>
            <w:r>
              <w:t>2.9</w:t>
            </w:r>
          </w:p>
        </w:tc>
        <w:tc>
          <w:tcPr>
            <w:tcW w:w="669" w:type="pct"/>
          </w:tcPr>
          <w:p w:rsidR="00E52988" w:rsidRDefault="00E52988" w:rsidP="003420FE">
            <w:pPr>
              <w:jc w:val="center"/>
            </w:pPr>
            <w:r>
              <w:t>3.4</w:t>
            </w:r>
          </w:p>
        </w:tc>
        <w:tc>
          <w:tcPr>
            <w:tcW w:w="241" w:type="pct"/>
          </w:tcPr>
          <w:p w:rsidR="00E52988" w:rsidRDefault="00E52988" w:rsidP="003420FE">
            <w:pPr>
              <w:jc w:val="center"/>
            </w:pPr>
          </w:p>
        </w:tc>
        <w:tc>
          <w:tcPr>
            <w:tcW w:w="817" w:type="pct"/>
          </w:tcPr>
          <w:p w:rsidR="00E52988" w:rsidRDefault="00E52988" w:rsidP="003420FE">
            <w:pPr>
              <w:jc w:val="center"/>
            </w:pPr>
            <w:r>
              <w:t>1.6</w:t>
            </w:r>
          </w:p>
        </w:tc>
        <w:tc>
          <w:tcPr>
            <w:tcW w:w="588" w:type="pct"/>
          </w:tcPr>
          <w:p w:rsidR="00E52988" w:rsidRDefault="00E52988" w:rsidP="003420FE">
            <w:pPr>
              <w:jc w:val="center"/>
            </w:pPr>
            <w:r>
              <w:t>2.6</w:t>
            </w:r>
          </w:p>
        </w:tc>
      </w:tr>
      <w:tr w:rsidR="00E52988" w:rsidRPr="001E3BA8" w:rsidTr="003420FE">
        <w:tc>
          <w:tcPr>
            <w:tcW w:w="1868" w:type="pct"/>
          </w:tcPr>
          <w:p w:rsidR="00E52988" w:rsidRPr="001E3BA8" w:rsidRDefault="00E52988" w:rsidP="003420FE">
            <w:pPr>
              <w:pStyle w:val="BodyText"/>
              <w:rPr>
                <w:sz w:val="20"/>
                <w:szCs w:val="20"/>
              </w:rPr>
            </w:pPr>
            <w:r>
              <w:rPr>
                <w:sz w:val="20"/>
                <w:szCs w:val="20"/>
              </w:rPr>
              <w:t>All</w:t>
            </w:r>
          </w:p>
        </w:tc>
        <w:tc>
          <w:tcPr>
            <w:tcW w:w="817" w:type="pct"/>
          </w:tcPr>
          <w:p w:rsidR="00E52988" w:rsidRPr="0039787F" w:rsidRDefault="00E52988" w:rsidP="003420FE">
            <w:pPr>
              <w:jc w:val="center"/>
            </w:pPr>
            <w:r w:rsidRPr="0039787F">
              <w:t>2.5</w:t>
            </w:r>
          </w:p>
        </w:tc>
        <w:tc>
          <w:tcPr>
            <w:tcW w:w="669" w:type="pct"/>
          </w:tcPr>
          <w:p w:rsidR="00E52988" w:rsidRPr="0039787F" w:rsidRDefault="00E52988" w:rsidP="003420FE">
            <w:pPr>
              <w:jc w:val="center"/>
            </w:pPr>
            <w:r w:rsidRPr="0039787F">
              <w:t>2.3</w:t>
            </w:r>
          </w:p>
        </w:tc>
        <w:tc>
          <w:tcPr>
            <w:tcW w:w="241" w:type="pct"/>
          </w:tcPr>
          <w:p w:rsidR="00E52988" w:rsidRPr="0039787F" w:rsidRDefault="00E52988" w:rsidP="003420FE">
            <w:pPr>
              <w:jc w:val="center"/>
            </w:pPr>
          </w:p>
        </w:tc>
        <w:tc>
          <w:tcPr>
            <w:tcW w:w="817" w:type="pct"/>
          </w:tcPr>
          <w:p w:rsidR="00E52988" w:rsidRPr="0039787F" w:rsidRDefault="00E52988" w:rsidP="003420FE">
            <w:pPr>
              <w:jc w:val="center"/>
            </w:pPr>
            <w:r w:rsidRPr="0039787F">
              <w:t>1.</w:t>
            </w:r>
            <w:r>
              <w:t>2</w:t>
            </w:r>
          </w:p>
        </w:tc>
        <w:tc>
          <w:tcPr>
            <w:tcW w:w="588" w:type="pct"/>
          </w:tcPr>
          <w:p w:rsidR="00E52988" w:rsidRPr="0039787F" w:rsidRDefault="00E52988" w:rsidP="003420FE">
            <w:pPr>
              <w:jc w:val="center"/>
            </w:pPr>
            <w:r w:rsidRPr="0039787F">
              <w:t>1</w:t>
            </w:r>
            <w:r>
              <w:t>.0</w:t>
            </w:r>
          </w:p>
        </w:tc>
      </w:tr>
      <w:tr w:rsidR="00E52988" w:rsidRPr="001E3BA8" w:rsidTr="003420FE">
        <w:tc>
          <w:tcPr>
            <w:tcW w:w="1868" w:type="pct"/>
          </w:tcPr>
          <w:p w:rsidR="00E52988" w:rsidRPr="001E3BA8" w:rsidRDefault="00E52988" w:rsidP="003420FE">
            <w:pPr>
              <w:pStyle w:val="BodyText"/>
              <w:rPr>
                <w:b/>
                <w:sz w:val="20"/>
                <w:szCs w:val="20"/>
              </w:rPr>
            </w:pPr>
            <w:r w:rsidRPr="001E3BA8">
              <w:rPr>
                <w:b/>
                <w:sz w:val="20"/>
                <w:szCs w:val="20"/>
              </w:rPr>
              <w:t>Average minutes per day</w:t>
            </w:r>
          </w:p>
        </w:tc>
        <w:tc>
          <w:tcPr>
            <w:tcW w:w="817" w:type="pct"/>
          </w:tcPr>
          <w:p w:rsidR="00E52988" w:rsidRPr="001E3BA8" w:rsidRDefault="00E52988" w:rsidP="003420FE">
            <w:pPr>
              <w:jc w:val="center"/>
            </w:pPr>
          </w:p>
        </w:tc>
        <w:tc>
          <w:tcPr>
            <w:tcW w:w="669" w:type="pct"/>
          </w:tcPr>
          <w:p w:rsidR="00E52988" w:rsidRPr="001E3BA8" w:rsidRDefault="00E52988" w:rsidP="003420FE">
            <w:pPr>
              <w:jc w:val="center"/>
            </w:pPr>
          </w:p>
        </w:tc>
        <w:tc>
          <w:tcPr>
            <w:tcW w:w="241" w:type="pct"/>
          </w:tcPr>
          <w:p w:rsidR="00E52988" w:rsidRPr="001E3BA8" w:rsidRDefault="00E52988" w:rsidP="003420FE">
            <w:pPr>
              <w:jc w:val="center"/>
            </w:pPr>
          </w:p>
        </w:tc>
        <w:tc>
          <w:tcPr>
            <w:tcW w:w="817" w:type="pct"/>
          </w:tcPr>
          <w:p w:rsidR="00E52988" w:rsidRPr="001E3BA8" w:rsidRDefault="00E52988" w:rsidP="003420FE">
            <w:pPr>
              <w:jc w:val="center"/>
            </w:pPr>
          </w:p>
        </w:tc>
        <w:tc>
          <w:tcPr>
            <w:tcW w:w="588" w:type="pct"/>
          </w:tcPr>
          <w:p w:rsidR="00E52988" w:rsidRPr="001E3BA8" w:rsidRDefault="00E52988" w:rsidP="003420FE">
            <w:pPr>
              <w:jc w:val="center"/>
            </w:pPr>
          </w:p>
        </w:tc>
      </w:tr>
      <w:tr w:rsidR="00E52988" w:rsidRPr="001E3BA8" w:rsidTr="003420FE">
        <w:trPr>
          <w:trHeight w:val="562"/>
        </w:trPr>
        <w:tc>
          <w:tcPr>
            <w:tcW w:w="1868" w:type="pct"/>
          </w:tcPr>
          <w:p w:rsidR="00E52988" w:rsidRPr="001E3BA8" w:rsidRDefault="00E52988" w:rsidP="003420FE">
            <w:pPr>
              <w:pStyle w:val="BodyText"/>
              <w:jc w:val="left"/>
              <w:rPr>
                <w:b/>
                <w:sz w:val="20"/>
                <w:szCs w:val="20"/>
              </w:rPr>
            </w:pPr>
            <w:r w:rsidRPr="001E3BA8">
              <w:rPr>
                <w:b/>
                <w:sz w:val="20"/>
                <w:szCs w:val="20"/>
              </w:rPr>
              <w:t>Watching television</w:t>
            </w:r>
          </w:p>
        </w:tc>
        <w:tc>
          <w:tcPr>
            <w:tcW w:w="817" w:type="pct"/>
          </w:tcPr>
          <w:p w:rsidR="00E52988" w:rsidRPr="001E3BA8" w:rsidRDefault="00E52988" w:rsidP="003420FE">
            <w:pPr>
              <w:jc w:val="center"/>
            </w:pPr>
          </w:p>
        </w:tc>
        <w:tc>
          <w:tcPr>
            <w:tcW w:w="669" w:type="pct"/>
          </w:tcPr>
          <w:p w:rsidR="00E52988" w:rsidRPr="001E3BA8" w:rsidRDefault="00E52988" w:rsidP="003420FE">
            <w:pPr>
              <w:jc w:val="center"/>
            </w:pPr>
          </w:p>
        </w:tc>
        <w:tc>
          <w:tcPr>
            <w:tcW w:w="241" w:type="pct"/>
          </w:tcPr>
          <w:p w:rsidR="00E52988" w:rsidRPr="001E3BA8" w:rsidRDefault="00E52988" w:rsidP="003420FE">
            <w:pPr>
              <w:jc w:val="center"/>
            </w:pPr>
          </w:p>
        </w:tc>
        <w:tc>
          <w:tcPr>
            <w:tcW w:w="817" w:type="pct"/>
          </w:tcPr>
          <w:p w:rsidR="00E52988" w:rsidRPr="001E3BA8" w:rsidRDefault="00E52988" w:rsidP="003420FE">
            <w:pPr>
              <w:jc w:val="center"/>
            </w:pPr>
          </w:p>
        </w:tc>
        <w:tc>
          <w:tcPr>
            <w:tcW w:w="588" w:type="pct"/>
          </w:tcPr>
          <w:p w:rsidR="00E52988" w:rsidRPr="001E3BA8" w:rsidRDefault="00E52988" w:rsidP="003420FE">
            <w:pPr>
              <w:jc w:val="center"/>
            </w:pPr>
          </w:p>
        </w:tc>
      </w:tr>
      <w:tr w:rsidR="00E52988" w:rsidRPr="001E3BA8" w:rsidTr="003420FE">
        <w:trPr>
          <w:trHeight w:val="562"/>
        </w:trPr>
        <w:tc>
          <w:tcPr>
            <w:tcW w:w="1868" w:type="pct"/>
          </w:tcPr>
          <w:p w:rsidR="00E52988" w:rsidRPr="00DF7925" w:rsidRDefault="00E52988" w:rsidP="003420FE">
            <w:pPr>
              <w:pStyle w:val="BodyText"/>
              <w:jc w:val="left"/>
              <w:rPr>
                <w:sz w:val="20"/>
                <w:szCs w:val="20"/>
              </w:rPr>
            </w:pPr>
            <w:r w:rsidRPr="00DF7925">
              <w:rPr>
                <w:sz w:val="20"/>
                <w:szCs w:val="20"/>
              </w:rPr>
              <w:t>Father’s education: primary school or less</w:t>
            </w:r>
          </w:p>
        </w:tc>
        <w:tc>
          <w:tcPr>
            <w:tcW w:w="817" w:type="pct"/>
          </w:tcPr>
          <w:p w:rsidR="00E52988" w:rsidRDefault="00E52988" w:rsidP="003420FE">
            <w:pPr>
              <w:jc w:val="center"/>
            </w:pPr>
            <w:r>
              <w:t>126</w:t>
            </w:r>
          </w:p>
        </w:tc>
        <w:tc>
          <w:tcPr>
            <w:tcW w:w="669" w:type="pct"/>
          </w:tcPr>
          <w:p w:rsidR="00E52988" w:rsidRDefault="00E52988" w:rsidP="003420FE">
            <w:pPr>
              <w:jc w:val="center"/>
            </w:pPr>
            <w:r>
              <w:t>156</w:t>
            </w:r>
          </w:p>
        </w:tc>
        <w:tc>
          <w:tcPr>
            <w:tcW w:w="241" w:type="pct"/>
          </w:tcPr>
          <w:p w:rsidR="00E52988" w:rsidRDefault="00E52988" w:rsidP="003420FE">
            <w:pPr>
              <w:jc w:val="center"/>
            </w:pPr>
          </w:p>
        </w:tc>
        <w:tc>
          <w:tcPr>
            <w:tcW w:w="817" w:type="pct"/>
          </w:tcPr>
          <w:p w:rsidR="00E52988" w:rsidRDefault="00E52988" w:rsidP="003420FE">
            <w:pPr>
              <w:jc w:val="center"/>
            </w:pPr>
            <w:r>
              <w:t>160</w:t>
            </w:r>
          </w:p>
        </w:tc>
        <w:tc>
          <w:tcPr>
            <w:tcW w:w="588" w:type="pct"/>
          </w:tcPr>
          <w:p w:rsidR="00E52988" w:rsidRDefault="00E52988" w:rsidP="003420FE">
            <w:pPr>
              <w:jc w:val="center"/>
            </w:pPr>
            <w:r>
              <w:t>208</w:t>
            </w:r>
          </w:p>
        </w:tc>
      </w:tr>
      <w:tr w:rsidR="00E52988" w:rsidRPr="001E3BA8" w:rsidTr="003420FE">
        <w:trPr>
          <w:trHeight w:val="562"/>
        </w:trPr>
        <w:tc>
          <w:tcPr>
            <w:tcW w:w="1868" w:type="pct"/>
          </w:tcPr>
          <w:p w:rsidR="00E52988" w:rsidRPr="00DF7925" w:rsidRDefault="00E52988" w:rsidP="003420FE">
            <w:pPr>
              <w:pStyle w:val="BodyText"/>
              <w:jc w:val="left"/>
              <w:rPr>
                <w:sz w:val="20"/>
                <w:szCs w:val="20"/>
              </w:rPr>
            </w:pPr>
            <w:r w:rsidRPr="00DF7925">
              <w:rPr>
                <w:sz w:val="20"/>
                <w:szCs w:val="20"/>
              </w:rPr>
              <w:t>Secondary</w:t>
            </w:r>
          </w:p>
        </w:tc>
        <w:tc>
          <w:tcPr>
            <w:tcW w:w="817" w:type="pct"/>
          </w:tcPr>
          <w:p w:rsidR="00E52988" w:rsidRDefault="00E52988" w:rsidP="003420FE">
            <w:pPr>
              <w:jc w:val="center"/>
            </w:pPr>
            <w:r>
              <w:t>127</w:t>
            </w:r>
          </w:p>
        </w:tc>
        <w:tc>
          <w:tcPr>
            <w:tcW w:w="669" w:type="pct"/>
          </w:tcPr>
          <w:p w:rsidR="00E52988" w:rsidRDefault="00E52988" w:rsidP="003420FE">
            <w:pPr>
              <w:jc w:val="center"/>
            </w:pPr>
            <w:r>
              <w:t>143</w:t>
            </w:r>
          </w:p>
        </w:tc>
        <w:tc>
          <w:tcPr>
            <w:tcW w:w="241" w:type="pct"/>
          </w:tcPr>
          <w:p w:rsidR="00E52988" w:rsidRDefault="00E52988" w:rsidP="003420FE">
            <w:pPr>
              <w:jc w:val="center"/>
            </w:pPr>
          </w:p>
        </w:tc>
        <w:tc>
          <w:tcPr>
            <w:tcW w:w="817" w:type="pct"/>
          </w:tcPr>
          <w:p w:rsidR="00E52988" w:rsidRDefault="00E52988" w:rsidP="003420FE">
            <w:pPr>
              <w:jc w:val="center"/>
            </w:pPr>
            <w:r>
              <w:t>144</w:t>
            </w:r>
          </w:p>
        </w:tc>
        <w:tc>
          <w:tcPr>
            <w:tcW w:w="588" w:type="pct"/>
          </w:tcPr>
          <w:p w:rsidR="00E52988" w:rsidRDefault="00E52988" w:rsidP="003420FE">
            <w:pPr>
              <w:jc w:val="center"/>
            </w:pPr>
            <w:r>
              <w:t>205</w:t>
            </w:r>
          </w:p>
        </w:tc>
      </w:tr>
      <w:tr w:rsidR="00E52988" w:rsidRPr="001E3BA8" w:rsidTr="003420FE">
        <w:trPr>
          <w:trHeight w:val="562"/>
        </w:trPr>
        <w:tc>
          <w:tcPr>
            <w:tcW w:w="1868" w:type="pct"/>
          </w:tcPr>
          <w:p w:rsidR="00E52988" w:rsidRPr="00DF7925" w:rsidRDefault="00E52988" w:rsidP="003420FE">
            <w:pPr>
              <w:pStyle w:val="BodyText"/>
              <w:jc w:val="left"/>
              <w:rPr>
                <w:sz w:val="20"/>
                <w:szCs w:val="20"/>
              </w:rPr>
            </w:pPr>
            <w:r w:rsidRPr="00DF7925">
              <w:rPr>
                <w:sz w:val="20"/>
                <w:szCs w:val="20"/>
              </w:rPr>
              <w:t>Higher</w:t>
            </w:r>
          </w:p>
        </w:tc>
        <w:tc>
          <w:tcPr>
            <w:tcW w:w="817" w:type="pct"/>
          </w:tcPr>
          <w:p w:rsidR="00E52988" w:rsidRDefault="00E52988" w:rsidP="003420FE">
            <w:pPr>
              <w:jc w:val="center"/>
            </w:pPr>
            <w:r>
              <w:t>126</w:t>
            </w:r>
          </w:p>
        </w:tc>
        <w:tc>
          <w:tcPr>
            <w:tcW w:w="669" w:type="pct"/>
          </w:tcPr>
          <w:p w:rsidR="00E52988" w:rsidRDefault="00E52988" w:rsidP="003420FE">
            <w:pPr>
              <w:jc w:val="center"/>
            </w:pPr>
            <w:r>
              <w:t>137</w:t>
            </w:r>
          </w:p>
        </w:tc>
        <w:tc>
          <w:tcPr>
            <w:tcW w:w="241" w:type="pct"/>
          </w:tcPr>
          <w:p w:rsidR="00E52988" w:rsidRDefault="00E52988" w:rsidP="003420FE">
            <w:pPr>
              <w:jc w:val="center"/>
            </w:pPr>
          </w:p>
        </w:tc>
        <w:tc>
          <w:tcPr>
            <w:tcW w:w="817" w:type="pct"/>
          </w:tcPr>
          <w:p w:rsidR="00E52988" w:rsidRDefault="00E52988" w:rsidP="003420FE">
            <w:pPr>
              <w:jc w:val="center"/>
            </w:pPr>
            <w:r>
              <w:t>171</w:t>
            </w:r>
          </w:p>
        </w:tc>
        <w:tc>
          <w:tcPr>
            <w:tcW w:w="588" w:type="pct"/>
          </w:tcPr>
          <w:p w:rsidR="00E52988" w:rsidRDefault="00E52988" w:rsidP="003420FE">
            <w:pPr>
              <w:jc w:val="center"/>
            </w:pPr>
            <w:r>
              <w:t>172</w:t>
            </w:r>
          </w:p>
        </w:tc>
      </w:tr>
      <w:tr w:rsidR="00E52988" w:rsidRPr="001E3BA8" w:rsidTr="003420FE">
        <w:trPr>
          <w:trHeight w:val="562"/>
        </w:trPr>
        <w:tc>
          <w:tcPr>
            <w:tcW w:w="1868" w:type="pct"/>
          </w:tcPr>
          <w:p w:rsidR="00E52988" w:rsidRPr="001E3BA8" w:rsidRDefault="00E52988" w:rsidP="003420FE">
            <w:pPr>
              <w:pStyle w:val="BodyText"/>
              <w:jc w:val="left"/>
              <w:rPr>
                <w:sz w:val="20"/>
                <w:szCs w:val="20"/>
              </w:rPr>
            </w:pPr>
            <w:r>
              <w:rPr>
                <w:sz w:val="20"/>
                <w:szCs w:val="20"/>
              </w:rPr>
              <w:t>All</w:t>
            </w:r>
          </w:p>
        </w:tc>
        <w:tc>
          <w:tcPr>
            <w:tcW w:w="817" w:type="pct"/>
          </w:tcPr>
          <w:p w:rsidR="00E52988" w:rsidRPr="001E3BA8" w:rsidRDefault="00E52988" w:rsidP="003420FE">
            <w:pPr>
              <w:jc w:val="center"/>
            </w:pPr>
            <w:r w:rsidRPr="001E3BA8">
              <w:t>126</w:t>
            </w:r>
          </w:p>
        </w:tc>
        <w:tc>
          <w:tcPr>
            <w:tcW w:w="669" w:type="pct"/>
          </w:tcPr>
          <w:p w:rsidR="00E52988" w:rsidRPr="001E3BA8" w:rsidRDefault="00E52988" w:rsidP="003420FE">
            <w:pPr>
              <w:jc w:val="center"/>
            </w:pPr>
            <w:r w:rsidRPr="001E3BA8">
              <w:t>15</w:t>
            </w:r>
            <w:r>
              <w:t>1</w:t>
            </w:r>
          </w:p>
        </w:tc>
        <w:tc>
          <w:tcPr>
            <w:tcW w:w="241" w:type="pct"/>
          </w:tcPr>
          <w:p w:rsidR="00E52988" w:rsidRPr="001E3BA8" w:rsidRDefault="00E52988" w:rsidP="003420FE">
            <w:pPr>
              <w:jc w:val="center"/>
            </w:pPr>
          </w:p>
        </w:tc>
        <w:tc>
          <w:tcPr>
            <w:tcW w:w="817" w:type="pct"/>
          </w:tcPr>
          <w:p w:rsidR="00E52988" w:rsidRPr="001E3BA8" w:rsidRDefault="00E52988" w:rsidP="003420FE">
            <w:pPr>
              <w:jc w:val="center"/>
            </w:pPr>
            <w:r w:rsidRPr="001E3BA8">
              <w:t>156</w:t>
            </w:r>
          </w:p>
        </w:tc>
        <w:tc>
          <w:tcPr>
            <w:tcW w:w="588" w:type="pct"/>
          </w:tcPr>
          <w:p w:rsidR="00E52988" w:rsidRPr="001E3BA8" w:rsidRDefault="00E52988" w:rsidP="003420FE">
            <w:pPr>
              <w:jc w:val="center"/>
            </w:pPr>
            <w:r w:rsidRPr="001E3BA8">
              <w:t>204</w:t>
            </w:r>
          </w:p>
        </w:tc>
      </w:tr>
      <w:tr w:rsidR="00E52988" w:rsidRPr="001E3BA8" w:rsidTr="003420FE">
        <w:trPr>
          <w:trHeight w:val="562"/>
        </w:trPr>
        <w:tc>
          <w:tcPr>
            <w:tcW w:w="1868" w:type="pct"/>
          </w:tcPr>
          <w:p w:rsidR="00E52988" w:rsidRPr="00007CF6" w:rsidRDefault="00E52988" w:rsidP="003420FE">
            <w:pPr>
              <w:pStyle w:val="BodyText"/>
              <w:jc w:val="left"/>
              <w:rPr>
                <w:b/>
                <w:sz w:val="20"/>
                <w:szCs w:val="20"/>
              </w:rPr>
            </w:pPr>
            <w:r w:rsidRPr="00007CF6">
              <w:rPr>
                <w:b/>
                <w:sz w:val="20"/>
                <w:szCs w:val="20"/>
              </w:rPr>
              <w:t>Internet</w:t>
            </w:r>
          </w:p>
        </w:tc>
        <w:tc>
          <w:tcPr>
            <w:tcW w:w="817" w:type="pct"/>
          </w:tcPr>
          <w:p w:rsidR="00E52988" w:rsidRPr="001E3BA8" w:rsidRDefault="00E52988" w:rsidP="003420FE">
            <w:pPr>
              <w:jc w:val="center"/>
            </w:pPr>
          </w:p>
        </w:tc>
        <w:tc>
          <w:tcPr>
            <w:tcW w:w="669" w:type="pct"/>
          </w:tcPr>
          <w:p w:rsidR="00E52988" w:rsidRPr="001E3BA8" w:rsidRDefault="00E52988" w:rsidP="003420FE">
            <w:pPr>
              <w:jc w:val="center"/>
            </w:pPr>
          </w:p>
        </w:tc>
        <w:tc>
          <w:tcPr>
            <w:tcW w:w="241" w:type="pct"/>
          </w:tcPr>
          <w:p w:rsidR="00E52988" w:rsidRPr="001E3BA8" w:rsidRDefault="00E52988" w:rsidP="003420FE">
            <w:pPr>
              <w:jc w:val="center"/>
            </w:pPr>
          </w:p>
        </w:tc>
        <w:tc>
          <w:tcPr>
            <w:tcW w:w="817" w:type="pct"/>
          </w:tcPr>
          <w:p w:rsidR="00E52988" w:rsidRPr="001E3BA8" w:rsidRDefault="00E52988" w:rsidP="003420FE">
            <w:pPr>
              <w:jc w:val="center"/>
            </w:pPr>
          </w:p>
        </w:tc>
        <w:tc>
          <w:tcPr>
            <w:tcW w:w="588" w:type="pct"/>
          </w:tcPr>
          <w:p w:rsidR="00E52988" w:rsidRPr="001E3BA8" w:rsidRDefault="00E52988" w:rsidP="003420FE">
            <w:pPr>
              <w:jc w:val="center"/>
            </w:pPr>
          </w:p>
        </w:tc>
      </w:tr>
      <w:tr w:rsidR="00E52988" w:rsidRPr="001E3BA8" w:rsidTr="003420FE">
        <w:trPr>
          <w:trHeight w:val="562"/>
        </w:trPr>
        <w:tc>
          <w:tcPr>
            <w:tcW w:w="1868" w:type="pct"/>
          </w:tcPr>
          <w:p w:rsidR="00E52988" w:rsidRPr="00DF7925" w:rsidRDefault="00E52988" w:rsidP="003420FE">
            <w:pPr>
              <w:pStyle w:val="BodyText"/>
              <w:jc w:val="left"/>
              <w:rPr>
                <w:sz w:val="20"/>
                <w:szCs w:val="20"/>
              </w:rPr>
            </w:pPr>
            <w:r w:rsidRPr="00DF7925">
              <w:rPr>
                <w:sz w:val="20"/>
                <w:szCs w:val="20"/>
              </w:rPr>
              <w:t>Father’s education: primary school or less</w:t>
            </w:r>
          </w:p>
        </w:tc>
        <w:tc>
          <w:tcPr>
            <w:tcW w:w="817" w:type="pct"/>
          </w:tcPr>
          <w:p w:rsidR="00E52988" w:rsidRDefault="00E52988" w:rsidP="003420FE">
            <w:pPr>
              <w:jc w:val="center"/>
            </w:pPr>
            <w:r>
              <w:t>233</w:t>
            </w:r>
          </w:p>
        </w:tc>
        <w:tc>
          <w:tcPr>
            <w:tcW w:w="669" w:type="pct"/>
          </w:tcPr>
          <w:p w:rsidR="00E52988" w:rsidRDefault="00E52988" w:rsidP="003420FE">
            <w:pPr>
              <w:jc w:val="center"/>
            </w:pPr>
            <w:r>
              <w:t>227</w:t>
            </w:r>
          </w:p>
        </w:tc>
        <w:tc>
          <w:tcPr>
            <w:tcW w:w="241" w:type="pct"/>
          </w:tcPr>
          <w:p w:rsidR="00E52988" w:rsidRDefault="00E52988" w:rsidP="003420FE">
            <w:pPr>
              <w:jc w:val="center"/>
            </w:pPr>
          </w:p>
        </w:tc>
        <w:tc>
          <w:tcPr>
            <w:tcW w:w="817" w:type="pct"/>
          </w:tcPr>
          <w:p w:rsidR="00E52988" w:rsidRDefault="00E52988" w:rsidP="003420FE">
            <w:pPr>
              <w:jc w:val="center"/>
            </w:pPr>
            <w:r>
              <w:t>253</w:t>
            </w:r>
          </w:p>
        </w:tc>
        <w:tc>
          <w:tcPr>
            <w:tcW w:w="588" w:type="pct"/>
          </w:tcPr>
          <w:p w:rsidR="00E52988" w:rsidRDefault="00E52988" w:rsidP="003420FE">
            <w:pPr>
              <w:jc w:val="center"/>
            </w:pPr>
            <w:r>
              <w:t>252</w:t>
            </w:r>
          </w:p>
        </w:tc>
      </w:tr>
      <w:tr w:rsidR="00E52988" w:rsidRPr="001E3BA8" w:rsidTr="003420FE">
        <w:trPr>
          <w:trHeight w:val="562"/>
        </w:trPr>
        <w:tc>
          <w:tcPr>
            <w:tcW w:w="1868" w:type="pct"/>
          </w:tcPr>
          <w:p w:rsidR="00E52988" w:rsidRPr="00DF7925" w:rsidRDefault="00E52988" w:rsidP="003420FE">
            <w:pPr>
              <w:pStyle w:val="BodyText"/>
              <w:jc w:val="left"/>
              <w:rPr>
                <w:sz w:val="20"/>
                <w:szCs w:val="20"/>
              </w:rPr>
            </w:pPr>
            <w:r w:rsidRPr="00DF7925">
              <w:rPr>
                <w:sz w:val="20"/>
                <w:szCs w:val="20"/>
              </w:rPr>
              <w:t>Secondary</w:t>
            </w:r>
          </w:p>
        </w:tc>
        <w:tc>
          <w:tcPr>
            <w:tcW w:w="817" w:type="pct"/>
          </w:tcPr>
          <w:p w:rsidR="00E52988" w:rsidRDefault="00E52988" w:rsidP="003420FE">
            <w:pPr>
              <w:jc w:val="center"/>
            </w:pPr>
            <w:r>
              <w:t>220</w:t>
            </w:r>
          </w:p>
        </w:tc>
        <w:tc>
          <w:tcPr>
            <w:tcW w:w="669" w:type="pct"/>
          </w:tcPr>
          <w:p w:rsidR="00E52988" w:rsidRDefault="00E52988" w:rsidP="003420FE">
            <w:pPr>
              <w:jc w:val="center"/>
            </w:pPr>
            <w:r>
              <w:t>221</w:t>
            </w:r>
          </w:p>
        </w:tc>
        <w:tc>
          <w:tcPr>
            <w:tcW w:w="241" w:type="pct"/>
          </w:tcPr>
          <w:p w:rsidR="00E52988" w:rsidRDefault="00E52988" w:rsidP="003420FE">
            <w:pPr>
              <w:jc w:val="center"/>
            </w:pPr>
          </w:p>
        </w:tc>
        <w:tc>
          <w:tcPr>
            <w:tcW w:w="817" w:type="pct"/>
          </w:tcPr>
          <w:p w:rsidR="00E52988" w:rsidRDefault="00E52988" w:rsidP="003420FE">
            <w:pPr>
              <w:jc w:val="center"/>
            </w:pPr>
            <w:r>
              <w:t>252</w:t>
            </w:r>
          </w:p>
        </w:tc>
        <w:tc>
          <w:tcPr>
            <w:tcW w:w="588" w:type="pct"/>
          </w:tcPr>
          <w:p w:rsidR="00E52988" w:rsidRDefault="00E52988" w:rsidP="003420FE">
            <w:pPr>
              <w:jc w:val="center"/>
            </w:pPr>
            <w:r>
              <w:t>242</w:t>
            </w:r>
          </w:p>
        </w:tc>
      </w:tr>
      <w:tr w:rsidR="00E52988" w:rsidRPr="001E3BA8" w:rsidTr="003420FE">
        <w:trPr>
          <w:trHeight w:val="562"/>
        </w:trPr>
        <w:tc>
          <w:tcPr>
            <w:tcW w:w="1868" w:type="pct"/>
          </w:tcPr>
          <w:p w:rsidR="00E52988" w:rsidRPr="00DF7925" w:rsidRDefault="00E52988" w:rsidP="003420FE">
            <w:pPr>
              <w:pStyle w:val="BodyText"/>
              <w:jc w:val="left"/>
              <w:rPr>
                <w:sz w:val="20"/>
                <w:szCs w:val="20"/>
              </w:rPr>
            </w:pPr>
            <w:r w:rsidRPr="00DF7925">
              <w:rPr>
                <w:sz w:val="20"/>
                <w:szCs w:val="20"/>
              </w:rPr>
              <w:t>Higher</w:t>
            </w:r>
          </w:p>
        </w:tc>
        <w:tc>
          <w:tcPr>
            <w:tcW w:w="817" w:type="pct"/>
          </w:tcPr>
          <w:p w:rsidR="00E52988" w:rsidRDefault="00E52988" w:rsidP="003420FE">
            <w:pPr>
              <w:jc w:val="center"/>
            </w:pPr>
            <w:r>
              <w:t>229</w:t>
            </w:r>
          </w:p>
        </w:tc>
        <w:tc>
          <w:tcPr>
            <w:tcW w:w="669" w:type="pct"/>
          </w:tcPr>
          <w:p w:rsidR="00E52988" w:rsidRDefault="00E52988" w:rsidP="003420FE">
            <w:pPr>
              <w:jc w:val="center"/>
            </w:pPr>
            <w:r>
              <w:t>276</w:t>
            </w:r>
          </w:p>
        </w:tc>
        <w:tc>
          <w:tcPr>
            <w:tcW w:w="241" w:type="pct"/>
          </w:tcPr>
          <w:p w:rsidR="00E52988" w:rsidRDefault="00E52988" w:rsidP="003420FE">
            <w:pPr>
              <w:jc w:val="center"/>
            </w:pPr>
          </w:p>
        </w:tc>
        <w:tc>
          <w:tcPr>
            <w:tcW w:w="817" w:type="pct"/>
          </w:tcPr>
          <w:p w:rsidR="00E52988" w:rsidRDefault="00E52988" w:rsidP="003420FE">
            <w:pPr>
              <w:jc w:val="center"/>
            </w:pPr>
            <w:r>
              <w:t>232</w:t>
            </w:r>
          </w:p>
        </w:tc>
        <w:tc>
          <w:tcPr>
            <w:tcW w:w="588" w:type="pct"/>
          </w:tcPr>
          <w:p w:rsidR="00E52988" w:rsidRDefault="00E52988" w:rsidP="003420FE">
            <w:pPr>
              <w:jc w:val="center"/>
            </w:pPr>
            <w:r>
              <w:t>336</w:t>
            </w:r>
          </w:p>
        </w:tc>
      </w:tr>
      <w:tr w:rsidR="00E52988" w:rsidRPr="001E3BA8" w:rsidTr="003420FE">
        <w:trPr>
          <w:trHeight w:val="562"/>
        </w:trPr>
        <w:tc>
          <w:tcPr>
            <w:tcW w:w="1868" w:type="pct"/>
          </w:tcPr>
          <w:p w:rsidR="00E52988" w:rsidRPr="001E3BA8" w:rsidRDefault="00E52988" w:rsidP="003420FE">
            <w:pPr>
              <w:pStyle w:val="BodyText"/>
              <w:jc w:val="left"/>
              <w:rPr>
                <w:sz w:val="20"/>
                <w:szCs w:val="20"/>
              </w:rPr>
            </w:pPr>
            <w:r>
              <w:rPr>
                <w:sz w:val="20"/>
                <w:szCs w:val="20"/>
              </w:rPr>
              <w:t>All</w:t>
            </w:r>
          </w:p>
        </w:tc>
        <w:tc>
          <w:tcPr>
            <w:tcW w:w="817" w:type="pct"/>
          </w:tcPr>
          <w:p w:rsidR="00E52988" w:rsidRPr="001E3BA8" w:rsidRDefault="00E52988" w:rsidP="003420FE">
            <w:pPr>
              <w:jc w:val="center"/>
            </w:pPr>
            <w:r>
              <w:t>225</w:t>
            </w:r>
          </w:p>
        </w:tc>
        <w:tc>
          <w:tcPr>
            <w:tcW w:w="669" w:type="pct"/>
          </w:tcPr>
          <w:p w:rsidR="00E52988" w:rsidRPr="001E3BA8" w:rsidRDefault="00E52988" w:rsidP="003420FE">
            <w:pPr>
              <w:jc w:val="center"/>
            </w:pPr>
            <w:r>
              <w:t>226</w:t>
            </w:r>
          </w:p>
        </w:tc>
        <w:tc>
          <w:tcPr>
            <w:tcW w:w="241" w:type="pct"/>
          </w:tcPr>
          <w:p w:rsidR="00E52988" w:rsidRPr="001E3BA8" w:rsidRDefault="00E52988" w:rsidP="003420FE">
            <w:pPr>
              <w:jc w:val="center"/>
            </w:pPr>
          </w:p>
        </w:tc>
        <w:tc>
          <w:tcPr>
            <w:tcW w:w="817" w:type="pct"/>
          </w:tcPr>
          <w:p w:rsidR="00E52988" w:rsidRPr="001E3BA8" w:rsidRDefault="00E52988" w:rsidP="003420FE">
            <w:pPr>
              <w:jc w:val="center"/>
            </w:pPr>
            <w:r>
              <w:t>249</w:t>
            </w:r>
          </w:p>
        </w:tc>
        <w:tc>
          <w:tcPr>
            <w:tcW w:w="588" w:type="pct"/>
          </w:tcPr>
          <w:p w:rsidR="00E52988" w:rsidRPr="001E3BA8" w:rsidRDefault="00E52988" w:rsidP="003420FE">
            <w:pPr>
              <w:jc w:val="center"/>
            </w:pPr>
            <w:r>
              <w:t>253</w:t>
            </w:r>
          </w:p>
        </w:tc>
      </w:tr>
      <w:tr w:rsidR="00E52988" w:rsidRPr="001E3BA8" w:rsidTr="003420FE">
        <w:trPr>
          <w:trHeight w:val="562"/>
        </w:trPr>
        <w:tc>
          <w:tcPr>
            <w:tcW w:w="1868" w:type="pct"/>
          </w:tcPr>
          <w:p w:rsidR="00E52988" w:rsidRPr="001E3BA8" w:rsidRDefault="00E52988" w:rsidP="003420FE">
            <w:pPr>
              <w:pStyle w:val="BodyText"/>
              <w:jc w:val="left"/>
              <w:rPr>
                <w:b/>
                <w:sz w:val="20"/>
                <w:szCs w:val="20"/>
              </w:rPr>
            </w:pPr>
            <w:r w:rsidRPr="001E3BA8">
              <w:rPr>
                <w:b/>
                <w:sz w:val="20"/>
                <w:szCs w:val="20"/>
              </w:rPr>
              <w:t>N</w:t>
            </w:r>
          </w:p>
        </w:tc>
        <w:tc>
          <w:tcPr>
            <w:tcW w:w="817" w:type="pct"/>
          </w:tcPr>
          <w:p w:rsidR="00E52988" w:rsidRPr="001E3BA8" w:rsidRDefault="00E52988" w:rsidP="003420FE">
            <w:pPr>
              <w:jc w:val="center"/>
            </w:pPr>
            <w:r w:rsidRPr="001E3BA8">
              <w:t>196</w:t>
            </w:r>
          </w:p>
        </w:tc>
        <w:tc>
          <w:tcPr>
            <w:tcW w:w="669" w:type="pct"/>
          </w:tcPr>
          <w:p w:rsidR="00E52988" w:rsidRPr="001E3BA8" w:rsidRDefault="00E52988" w:rsidP="003420FE">
            <w:pPr>
              <w:jc w:val="center"/>
            </w:pPr>
            <w:r w:rsidRPr="001E3BA8">
              <w:t>642</w:t>
            </w:r>
          </w:p>
        </w:tc>
        <w:tc>
          <w:tcPr>
            <w:tcW w:w="241" w:type="pct"/>
          </w:tcPr>
          <w:p w:rsidR="00E52988" w:rsidRPr="001E3BA8" w:rsidRDefault="00E52988" w:rsidP="003420FE">
            <w:pPr>
              <w:jc w:val="center"/>
            </w:pPr>
          </w:p>
        </w:tc>
        <w:tc>
          <w:tcPr>
            <w:tcW w:w="817" w:type="pct"/>
          </w:tcPr>
          <w:p w:rsidR="00E52988" w:rsidRPr="001E3BA8" w:rsidRDefault="00E52988" w:rsidP="003420FE">
            <w:pPr>
              <w:jc w:val="center"/>
            </w:pPr>
            <w:r w:rsidRPr="001E3BA8">
              <w:t>163</w:t>
            </w:r>
          </w:p>
        </w:tc>
        <w:tc>
          <w:tcPr>
            <w:tcW w:w="588" w:type="pct"/>
          </w:tcPr>
          <w:p w:rsidR="00E52988" w:rsidRPr="001E3BA8" w:rsidRDefault="00E52988" w:rsidP="003420FE">
            <w:pPr>
              <w:jc w:val="center"/>
            </w:pPr>
            <w:r w:rsidRPr="001E3BA8">
              <w:t>342</w:t>
            </w:r>
          </w:p>
        </w:tc>
      </w:tr>
    </w:tbl>
    <w:p w:rsidR="00E52988" w:rsidRPr="001E3BA8" w:rsidRDefault="00E52988" w:rsidP="00E52988"/>
    <w:p w:rsidR="00E52988" w:rsidRDefault="00E52988" w:rsidP="00E52988">
      <w:pPr>
        <w:pStyle w:val="BodyText"/>
      </w:pPr>
      <w:r>
        <w:t>Male and female higher education graduates took part in more out-of-home leisure activities than other respondents, but this was not a higher education effect. It fails to appear consistently among both males and females with fathers’ levels of education controlled. In contrast, there was a substantial higher education effect on time spent watching television – graduates watched for far fewer minutes per day than other respondents. However, there was no higher education effect on time spent online (see Table V).</w:t>
      </w:r>
    </w:p>
    <w:p w:rsidR="00E52988" w:rsidRDefault="00E52988" w:rsidP="00E52988">
      <w:pPr>
        <w:pStyle w:val="BodyText"/>
      </w:pPr>
    </w:p>
    <w:p w:rsidR="00E52988" w:rsidRDefault="00E52988" w:rsidP="00E52988">
      <w:pPr>
        <w:pStyle w:val="BodyText"/>
      </w:pPr>
      <w:r>
        <w:t xml:space="preserve">There was a higher education effect among males and females which boosted the percentages who belonged to community associations, especially among the young women. In contrast, higher education was making no overall difference to the likelihood of respondents attending a place of religious worship at least once a week. However, among male graduates with the least educated fathers there was an intriguing huge boost from 32 percent to 55 percent in regular mosque attendance (Table VI). </w:t>
      </w:r>
    </w:p>
    <w:p w:rsidR="00E52988" w:rsidRPr="001E3BA8" w:rsidRDefault="00E52988" w:rsidP="00E52988">
      <w:pPr>
        <w:spacing w:after="160"/>
      </w:pPr>
      <w:r w:rsidRPr="001E3BA8">
        <w:br w:type="page"/>
      </w:r>
    </w:p>
    <w:p w:rsidR="00E52988" w:rsidRPr="00B86E7C" w:rsidRDefault="00E52988" w:rsidP="00E52988">
      <w:pPr>
        <w:spacing w:line="240" w:lineRule="auto"/>
        <w:rPr>
          <w:b/>
        </w:rPr>
      </w:pPr>
      <w:r w:rsidRPr="00B86E7C">
        <w:rPr>
          <w:b/>
        </w:rPr>
        <w:t>Table V</w:t>
      </w:r>
      <w:r>
        <w:rPr>
          <w:b/>
        </w:rPr>
        <w:t>I</w:t>
      </w:r>
    </w:p>
    <w:p w:rsidR="00E52988" w:rsidRPr="00B86E7C" w:rsidRDefault="00E52988" w:rsidP="00E52988">
      <w:pPr>
        <w:spacing w:line="240" w:lineRule="auto"/>
        <w:rPr>
          <w:b/>
        </w:rPr>
      </w:pPr>
      <w:r w:rsidRPr="00B86E7C">
        <w:rPr>
          <w:b/>
        </w:rPr>
        <w:t>Higher education and uses of free time, 25-29 year olds</w:t>
      </w:r>
    </w:p>
    <w:p w:rsidR="00E52988" w:rsidRPr="00B86E7C" w:rsidRDefault="00E52988" w:rsidP="00E52988">
      <w:pPr>
        <w:spacing w:line="240" w:lineRule="auto"/>
        <w:rPr>
          <w:b/>
        </w:rPr>
      </w:pPr>
      <w:r w:rsidRPr="00B86E7C">
        <w:rPr>
          <w:b/>
        </w:rPr>
        <w:t>Males                                      Females</w:t>
      </w:r>
    </w:p>
    <w:tbl>
      <w:tblPr>
        <w:tblStyle w:val="TableGrid"/>
        <w:tblW w:w="5000" w:type="pct"/>
        <w:tblLook w:val="04A0" w:firstRow="1" w:lastRow="0" w:firstColumn="1" w:lastColumn="0" w:noHBand="0" w:noVBand="1"/>
      </w:tblPr>
      <w:tblGrid>
        <w:gridCol w:w="3468"/>
        <w:gridCol w:w="1518"/>
        <w:gridCol w:w="1049"/>
        <w:gridCol w:w="415"/>
        <w:gridCol w:w="1518"/>
        <w:gridCol w:w="1048"/>
      </w:tblGrid>
      <w:tr w:rsidR="00E52988" w:rsidRPr="001E3BA8" w:rsidTr="003420FE">
        <w:tc>
          <w:tcPr>
            <w:tcW w:w="1923" w:type="pct"/>
          </w:tcPr>
          <w:p w:rsidR="00E52988" w:rsidRPr="001E3BA8" w:rsidRDefault="00E52988" w:rsidP="003420FE">
            <w:pPr>
              <w:rPr>
                <w:b/>
              </w:rPr>
            </w:pPr>
          </w:p>
        </w:tc>
        <w:tc>
          <w:tcPr>
            <w:tcW w:w="842" w:type="pct"/>
          </w:tcPr>
          <w:p w:rsidR="00E52988" w:rsidRPr="001E3BA8" w:rsidRDefault="00E52988" w:rsidP="003420FE">
            <w:pPr>
              <w:jc w:val="center"/>
              <w:rPr>
                <w:b/>
              </w:rPr>
            </w:pPr>
            <w:r w:rsidRPr="001E3BA8">
              <w:rPr>
                <w:b/>
              </w:rPr>
              <w:t>Higher education</w:t>
            </w:r>
          </w:p>
          <w:p w:rsidR="00E52988" w:rsidRPr="001E3BA8" w:rsidRDefault="00E52988" w:rsidP="003420FE">
            <w:pPr>
              <w:jc w:val="center"/>
              <w:rPr>
                <w:b/>
              </w:rPr>
            </w:pPr>
            <w:r w:rsidRPr="001E3BA8">
              <w:rPr>
                <w:b/>
              </w:rPr>
              <w:t>%</w:t>
            </w:r>
          </w:p>
        </w:tc>
        <w:tc>
          <w:tcPr>
            <w:tcW w:w="582" w:type="pct"/>
          </w:tcPr>
          <w:p w:rsidR="00E52988" w:rsidRPr="001E3BA8" w:rsidRDefault="00E52988" w:rsidP="003420FE">
            <w:pPr>
              <w:jc w:val="center"/>
              <w:rPr>
                <w:b/>
              </w:rPr>
            </w:pPr>
            <w:r w:rsidRPr="001E3BA8">
              <w:rPr>
                <w:b/>
              </w:rPr>
              <w:t>Other</w:t>
            </w:r>
          </w:p>
          <w:p w:rsidR="00E52988" w:rsidRPr="001E3BA8" w:rsidRDefault="00E52988" w:rsidP="003420FE">
            <w:pPr>
              <w:jc w:val="center"/>
              <w:rPr>
                <w:b/>
              </w:rPr>
            </w:pPr>
            <w:r w:rsidRPr="001E3BA8">
              <w:rPr>
                <w:b/>
              </w:rPr>
              <w:t>%</w:t>
            </w:r>
          </w:p>
        </w:tc>
        <w:tc>
          <w:tcPr>
            <w:tcW w:w="230" w:type="pct"/>
          </w:tcPr>
          <w:p w:rsidR="00E52988" w:rsidRPr="001E3BA8" w:rsidRDefault="00E52988" w:rsidP="003420FE">
            <w:pPr>
              <w:jc w:val="center"/>
              <w:rPr>
                <w:b/>
              </w:rPr>
            </w:pPr>
          </w:p>
        </w:tc>
        <w:tc>
          <w:tcPr>
            <w:tcW w:w="842" w:type="pct"/>
          </w:tcPr>
          <w:p w:rsidR="00E52988" w:rsidRPr="001E3BA8" w:rsidRDefault="00E52988" w:rsidP="003420FE">
            <w:pPr>
              <w:jc w:val="center"/>
              <w:rPr>
                <w:b/>
              </w:rPr>
            </w:pPr>
            <w:r w:rsidRPr="001E3BA8">
              <w:rPr>
                <w:b/>
              </w:rPr>
              <w:t>Higher education</w:t>
            </w:r>
          </w:p>
          <w:p w:rsidR="00E52988" w:rsidRPr="001E3BA8" w:rsidRDefault="00E52988" w:rsidP="003420FE">
            <w:pPr>
              <w:jc w:val="center"/>
              <w:rPr>
                <w:b/>
              </w:rPr>
            </w:pPr>
            <w:r w:rsidRPr="001E3BA8">
              <w:rPr>
                <w:b/>
              </w:rPr>
              <w:t>%</w:t>
            </w:r>
          </w:p>
        </w:tc>
        <w:tc>
          <w:tcPr>
            <w:tcW w:w="581" w:type="pct"/>
          </w:tcPr>
          <w:p w:rsidR="00E52988" w:rsidRPr="001E3BA8" w:rsidRDefault="00E52988" w:rsidP="003420FE">
            <w:pPr>
              <w:jc w:val="center"/>
              <w:rPr>
                <w:b/>
              </w:rPr>
            </w:pPr>
            <w:r w:rsidRPr="001E3BA8">
              <w:rPr>
                <w:b/>
              </w:rPr>
              <w:t>Other</w:t>
            </w:r>
          </w:p>
          <w:p w:rsidR="00E52988" w:rsidRPr="001E3BA8" w:rsidRDefault="00E52988" w:rsidP="003420FE">
            <w:pPr>
              <w:jc w:val="center"/>
              <w:rPr>
                <w:b/>
              </w:rPr>
            </w:pPr>
            <w:r w:rsidRPr="001E3BA8">
              <w:rPr>
                <w:b/>
              </w:rPr>
              <w:t>%</w:t>
            </w:r>
          </w:p>
        </w:tc>
      </w:tr>
      <w:tr w:rsidR="00E52988" w:rsidRPr="001E3BA8" w:rsidTr="003420FE">
        <w:tc>
          <w:tcPr>
            <w:tcW w:w="1923" w:type="pct"/>
          </w:tcPr>
          <w:p w:rsidR="00E52988" w:rsidRPr="001E3BA8" w:rsidRDefault="00E52988" w:rsidP="003420FE">
            <w:pPr>
              <w:pStyle w:val="BodyText"/>
              <w:jc w:val="left"/>
              <w:rPr>
                <w:b/>
              </w:rPr>
            </w:pPr>
            <w:r w:rsidRPr="001E3BA8">
              <w:rPr>
                <w:b/>
              </w:rPr>
              <w:t>Community politics</w:t>
            </w:r>
            <w:r>
              <w:rPr>
                <w:b/>
              </w:rPr>
              <w:t>: belongs to at least one association</w:t>
            </w:r>
          </w:p>
        </w:tc>
        <w:tc>
          <w:tcPr>
            <w:tcW w:w="842" w:type="pct"/>
          </w:tcPr>
          <w:p w:rsidR="00E52988" w:rsidRPr="001E3BA8" w:rsidRDefault="00E52988" w:rsidP="003420FE">
            <w:pPr>
              <w:jc w:val="center"/>
            </w:pPr>
          </w:p>
        </w:tc>
        <w:tc>
          <w:tcPr>
            <w:tcW w:w="582" w:type="pct"/>
          </w:tcPr>
          <w:p w:rsidR="00E52988" w:rsidRPr="001E3BA8" w:rsidRDefault="00E52988" w:rsidP="003420FE">
            <w:pPr>
              <w:jc w:val="center"/>
            </w:pPr>
          </w:p>
        </w:tc>
        <w:tc>
          <w:tcPr>
            <w:tcW w:w="230" w:type="pct"/>
          </w:tcPr>
          <w:p w:rsidR="00E52988" w:rsidRPr="001E3BA8" w:rsidRDefault="00E52988" w:rsidP="003420FE">
            <w:pPr>
              <w:jc w:val="center"/>
            </w:pPr>
          </w:p>
        </w:tc>
        <w:tc>
          <w:tcPr>
            <w:tcW w:w="842" w:type="pct"/>
          </w:tcPr>
          <w:p w:rsidR="00E52988" w:rsidRPr="001E3BA8" w:rsidRDefault="00E52988" w:rsidP="003420FE">
            <w:pPr>
              <w:jc w:val="center"/>
            </w:pPr>
          </w:p>
        </w:tc>
        <w:tc>
          <w:tcPr>
            <w:tcW w:w="581" w:type="pct"/>
          </w:tcPr>
          <w:p w:rsidR="00E52988" w:rsidRPr="001E3BA8" w:rsidRDefault="00E52988" w:rsidP="003420FE">
            <w:pPr>
              <w:jc w:val="center"/>
            </w:pPr>
          </w:p>
        </w:tc>
      </w:tr>
      <w:tr w:rsidR="00E52988" w:rsidRPr="001E3BA8" w:rsidTr="003420FE">
        <w:tc>
          <w:tcPr>
            <w:tcW w:w="1923" w:type="pct"/>
          </w:tcPr>
          <w:p w:rsidR="00E52988" w:rsidRPr="00DF7925" w:rsidRDefault="00E52988" w:rsidP="003420FE">
            <w:pPr>
              <w:pStyle w:val="BodyText"/>
              <w:jc w:val="left"/>
              <w:rPr>
                <w:sz w:val="20"/>
                <w:szCs w:val="20"/>
              </w:rPr>
            </w:pPr>
            <w:r w:rsidRPr="00DF7925">
              <w:rPr>
                <w:sz w:val="20"/>
                <w:szCs w:val="20"/>
              </w:rPr>
              <w:t>Father’s education: primary school or less</w:t>
            </w:r>
          </w:p>
        </w:tc>
        <w:tc>
          <w:tcPr>
            <w:tcW w:w="842" w:type="pct"/>
          </w:tcPr>
          <w:p w:rsidR="00E52988" w:rsidRDefault="00E52988" w:rsidP="003420FE">
            <w:pPr>
              <w:jc w:val="center"/>
            </w:pPr>
            <w:r>
              <w:t>27</w:t>
            </w:r>
          </w:p>
        </w:tc>
        <w:tc>
          <w:tcPr>
            <w:tcW w:w="582" w:type="pct"/>
          </w:tcPr>
          <w:p w:rsidR="00E52988" w:rsidRDefault="00E52988" w:rsidP="003420FE">
            <w:pPr>
              <w:jc w:val="center"/>
            </w:pPr>
            <w:r>
              <w:t>21</w:t>
            </w:r>
          </w:p>
        </w:tc>
        <w:tc>
          <w:tcPr>
            <w:tcW w:w="230" w:type="pct"/>
          </w:tcPr>
          <w:p w:rsidR="00E52988" w:rsidRDefault="00E52988" w:rsidP="003420FE">
            <w:pPr>
              <w:jc w:val="center"/>
            </w:pPr>
          </w:p>
        </w:tc>
        <w:tc>
          <w:tcPr>
            <w:tcW w:w="842" w:type="pct"/>
          </w:tcPr>
          <w:p w:rsidR="00E52988" w:rsidRDefault="00E52988" w:rsidP="003420FE">
            <w:pPr>
              <w:jc w:val="center"/>
            </w:pPr>
            <w:r>
              <w:t>29</w:t>
            </w:r>
          </w:p>
        </w:tc>
        <w:tc>
          <w:tcPr>
            <w:tcW w:w="581" w:type="pct"/>
          </w:tcPr>
          <w:p w:rsidR="00E52988" w:rsidRDefault="00E52988" w:rsidP="003420FE">
            <w:pPr>
              <w:jc w:val="center"/>
            </w:pPr>
            <w:r>
              <w:t>19</w:t>
            </w:r>
          </w:p>
        </w:tc>
      </w:tr>
      <w:tr w:rsidR="00E52988" w:rsidRPr="001E3BA8" w:rsidTr="003420FE">
        <w:tc>
          <w:tcPr>
            <w:tcW w:w="1923" w:type="pct"/>
          </w:tcPr>
          <w:p w:rsidR="00E52988" w:rsidRPr="00DF7925" w:rsidRDefault="00E52988" w:rsidP="003420FE">
            <w:pPr>
              <w:pStyle w:val="BodyText"/>
              <w:jc w:val="left"/>
              <w:rPr>
                <w:sz w:val="20"/>
                <w:szCs w:val="20"/>
              </w:rPr>
            </w:pPr>
            <w:r w:rsidRPr="00DF7925">
              <w:rPr>
                <w:sz w:val="20"/>
                <w:szCs w:val="20"/>
              </w:rPr>
              <w:t>Secondary</w:t>
            </w:r>
          </w:p>
        </w:tc>
        <w:tc>
          <w:tcPr>
            <w:tcW w:w="842" w:type="pct"/>
          </w:tcPr>
          <w:p w:rsidR="00E52988" w:rsidRDefault="00E52988" w:rsidP="003420FE">
            <w:pPr>
              <w:jc w:val="center"/>
            </w:pPr>
            <w:r>
              <w:t>27</w:t>
            </w:r>
          </w:p>
        </w:tc>
        <w:tc>
          <w:tcPr>
            <w:tcW w:w="582" w:type="pct"/>
          </w:tcPr>
          <w:p w:rsidR="00E52988" w:rsidRDefault="00E52988" w:rsidP="003420FE">
            <w:pPr>
              <w:jc w:val="center"/>
            </w:pPr>
            <w:r>
              <w:t>25</w:t>
            </w:r>
          </w:p>
        </w:tc>
        <w:tc>
          <w:tcPr>
            <w:tcW w:w="230" w:type="pct"/>
          </w:tcPr>
          <w:p w:rsidR="00E52988" w:rsidRDefault="00E52988" w:rsidP="003420FE">
            <w:pPr>
              <w:jc w:val="center"/>
            </w:pPr>
          </w:p>
        </w:tc>
        <w:tc>
          <w:tcPr>
            <w:tcW w:w="842" w:type="pct"/>
          </w:tcPr>
          <w:p w:rsidR="00E52988" w:rsidRDefault="00E52988" w:rsidP="003420FE">
            <w:pPr>
              <w:jc w:val="center"/>
            </w:pPr>
            <w:r>
              <w:t>37</w:t>
            </w:r>
          </w:p>
        </w:tc>
        <w:tc>
          <w:tcPr>
            <w:tcW w:w="581" w:type="pct"/>
          </w:tcPr>
          <w:p w:rsidR="00E52988" w:rsidRDefault="00E52988" w:rsidP="003420FE">
            <w:pPr>
              <w:jc w:val="center"/>
            </w:pPr>
            <w:r>
              <w:t>30</w:t>
            </w:r>
          </w:p>
        </w:tc>
      </w:tr>
      <w:tr w:rsidR="00E52988" w:rsidRPr="001E3BA8" w:rsidTr="003420FE">
        <w:tc>
          <w:tcPr>
            <w:tcW w:w="1923" w:type="pct"/>
          </w:tcPr>
          <w:p w:rsidR="00E52988" w:rsidRPr="00DF7925" w:rsidRDefault="00E52988" w:rsidP="003420FE">
            <w:pPr>
              <w:pStyle w:val="BodyText"/>
              <w:jc w:val="left"/>
              <w:rPr>
                <w:sz w:val="20"/>
                <w:szCs w:val="20"/>
              </w:rPr>
            </w:pPr>
            <w:r w:rsidRPr="00DF7925">
              <w:rPr>
                <w:sz w:val="20"/>
                <w:szCs w:val="20"/>
              </w:rPr>
              <w:t>Higher</w:t>
            </w:r>
          </w:p>
        </w:tc>
        <w:tc>
          <w:tcPr>
            <w:tcW w:w="842" w:type="pct"/>
          </w:tcPr>
          <w:p w:rsidR="00E52988" w:rsidRDefault="00E52988" w:rsidP="003420FE">
            <w:pPr>
              <w:jc w:val="center"/>
            </w:pPr>
            <w:r>
              <w:t>27</w:t>
            </w:r>
          </w:p>
        </w:tc>
        <w:tc>
          <w:tcPr>
            <w:tcW w:w="582" w:type="pct"/>
          </w:tcPr>
          <w:p w:rsidR="00E52988" w:rsidRDefault="00E52988" w:rsidP="003420FE">
            <w:pPr>
              <w:jc w:val="center"/>
            </w:pPr>
            <w:r>
              <w:t>35</w:t>
            </w:r>
          </w:p>
        </w:tc>
        <w:tc>
          <w:tcPr>
            <w:tcW w:w="230" w:type="pct"/>
          </w:tcPr>
          <w:p w:rsidR="00E52988" w:rsidRDefault="00E52988" w:rsidP="003420FE">
            <w:pPr>
              <w:jc w:val="center"/>
            </w:pPr>
          </w:p>
        </w:tc>
        <w:tc>
          <w:tcPr>
            <w:tcW w:w="842" w:type="pct"/>
          </w:tcPr>
          <w:p w:rsidR="00E52988" w:rsidRDefault="00E52988" w:rsidP="003420FE">
            <w:pPr>
              <w:jc w:val="center"/>
            </w:pPr>
            <w:r>
              <w:t>54</w:t>
            </w:r>
          </w:p>
        </w:tc>
        <w:tc>
          <w:tcPr>
            <w:tcW w:w="581" w:type="pct"/>
          </w:tcPr>
          <w:p w:rsidR="00E52988" w:rsidRDefault="00E52988" w:rsidP="003420FE">
            <w:pPr>
              <w:jc w:val="center"/>
            </w:pPr>
            <w:r>
              <w:t>57</w:t>
            </w:r>
          </w:p>
        </w:tc>
      </w:tr>
      <w:tr w:rsidR="00E52988" w:rsidRPr="001E3BA8" w:rsidTr="003420FE">
        <w:tc>
          <w:tcPr>
            <w:tcW w:w="1923" w:type="pct"/>
          </w:tcPr>
          <w:p w:rsidR="00E52988" w:rsidRPr="001E3BA8" w:rsidRDefault="00E52988" w:rsidP="003420FE">
            <w:pPr>
              <w:pStyle w:val="BodyText"/>
              <w:jc w:val="left"/>
            </w:pPr>
            <w:r>
              <w:t>All</w:t>
            </w:r>
          </w:p>
        </w:tc>
        <w:tc>
          <w:tcPr>
            <w:tcW w:w="842" w:type="pct"/>
          </w:tcPr>
          <w:p w:rsidR="00E52988" w:rsidRPr="001E3BA8" w:rsidRDefault="00E52988" w:rsidP="003420FE">
            <w:pPr>
              <w:jc w:val="center"/>
            </w:pPr>
            <w:r w:rsidRPr="001E3BA8">
              <w:t>2</w:t>
            </w:r>
            <w:r>
              <w:t>7</w:t>
            </w:r>
          </w:p>
        </w:tc>
        <w:tc>
          <w:tcPr>
            <w:tcW w:w="582" w:type="pct"/>
          </w:tcPr>
          <w:p w:rsidR="00E52988" w:rsidRPr="001E3BA8" w:rsidRDefault="00E52988" w:rsidP="003420FE">
            <w:pPr>
              <w:jc w:val="center"/>
            </w:pPr>
            <w:r w:rsidRPr="001E3BA8">
              <w:t>23</w:t>
            </w:r>
          </w:p>
        </w:tc>
        <w:tc>
          <w:tcPr>
            <w:tcW w:w="230" w:type="pct"/>
          </w:tcPr>
          <w:p w:rsidR="00E52988" w:rsidRPr="001E3BA8" w:rsidRDefault="00E52988" w:rsidP="003420FE">
            <w:pPr>
              <w:jc w:val="center"/>
            </w:pPr>
          </w:p>
        </w:tc>
        <w:tc>
          <w:tcPr>
            <w:tcW w:w="842" w:type="pct"/>
          </w:tcPr>
          <w:p w:rsidR="00E52988" w:rsidRPr="001E3BA8" w:rsidRDefault="00E52988" w:rsidP="003420FE">
            <w:pPr>
              <w:jc w:val="center"/>
            </w:pPr>
            <w:r w:rsidRPr="001E3BA8">
              <w:t>36</w:t>
            </w:r>
          </w:p>
        </w:tc>
        <w:tc>
          <w:tcPr>
            <w:tcW w:w="581" w:type="pct"/>
          </w:tcPr>
          <w:p w:rsidR="00E52988" w:rsidRPr="001E3BA8" w:rsidRDefault="00E52988" w:rsidP="003420FE">
            <w:pPr>
              <w:jc w:val="center"/>
            </w:pPr>
            <w:r w:rsidRPr="001E3BA8">
              <w:t>2</w:t>
            </w:r>
            <w:r>
              <w:t>2</w:t>
            </w:r>
          </w:p>
        </w:tc>
      </w:tr>
      <w:tr w:rsidR="00E52988" w:rsidRPr="001E3BA8" w:rsidTr="003420FE">
        <w:tc>
          <w:tcPr>
            <w:tcW w:w="1923" w:type="pct"/>
          </w:tcPr>
          <w:p w:rsidR="00E52988" w:rsidRPr="00BA1104" w:rsidRDefault="00E52988" w:rsidP="003420FE">
            <w:pPr>
              <w:pStyle w:val="BodyText"/>
              <w:jc w:val="left"/>
              <w:rPr>
                <w:b/>
              </w:rPr>
            </w:pPr>
            <w:r w:rsidRPr="00BA1104">
              <w:rPr>
                <w:b/>
              </w:rPr>
              <w:t>Mosque/church attendance: at least once a week</w:t>
            </w:r>
          </w:p>
        </w:tc>
        <w:tc>
          <w:tcPr>
            <w:tcW w:w="842" w:type="pct"/>
          </w:tcPr>
          <w:p w:rsidR="00E52988" w:rsidRPr="001E3BA8" w:rsidRDefault="00E52988" w:rsidP="003420FE">
            <w:pPr>
              <w:jc w:val="center"/>
            </w:pPr>
          </w:p>
        </w:tc>
        <w:tc>
          <w:tcPr>
            <w:tcW w:w="582" w:type="pct"/>
          </w:tcPr>
          <w:p w:rsidR="00E52988" w:rsidRPr="001E3BA8" w:rsidRDefault="00E52988" w:rsidP="003420FE">
            <w:pPr>
              <w:jc w:val="center"/>
            </w:pPr>
          </w:p>
        </w:tc>
        <w:tc>
          <w:tcPr>
            <w:tcW w:w="230" w:type="pct"/>
          </w:tcPr>
          <w:p w:rsidR="00E52988" w:rsidRPr="001E3BA8" w:rsidRDefault="00E52988" w:rsidP="003420FE">
            <w:pPr>
              <w:jc w:val="center"/>
            </w:pPr>
          </w:p>
        </w:tc>
        <w:tc>
          <w:tcPr>
            <w:tcW w:w="842" w:type="pct"/>
          </w:tcPr>
          <w:p w:rsidR="00E52988" w:rsidRPr="001E3BA8" w:rsidRDefault="00E52988" w:rsidP="003420FE">
            <w:pPr>
              <w:jc w:val="center"/>
            </w:pPr>
          </w:p>
        </w:tc>
        <w:tc>
          <w:tcPr>
            <w:tcW w:w="581" w:type="pct"/>
          </w:tcPr>
          <w:p w:rsidR="00E52988" w:rsidRPr="001E3BA8" w:rsidRDefault="00E52988" w:rsidP="003420FE">
            <w:pPr>
              <w:jc w:val="center"/>
            </w:pPr>
          </w:p>
        </w:tc>
      </w:tr>
      <w:tr w:rsidR="00E52988" w:rsidRPr="001E3BA8" w:rsidTr="003420FE">
        <w:tc>
          <w:tcPr>
            <w:tcW w:w="1923" w:type="pct"/>
          </w:tcPr>
          <w:p w:rsidR="00E52988" w:rsidRPr="00DF7925" w:rsidRDefault="00E52988" w:rsidP="003420FE">
            <w:pPr>
              <w:pStyle w:val="BodyText"/>
              <w:jc w:val="left"/>
              <w:rPr>
                <w:sz w:val="20"/>
                <w:szCs w:val="20"/>
              </w:rPr>
            </w:pPr>
            <w:r w:rsidRPr="00DF7925">
              <w:rPr>
                <w:sz w:val="20"/>
                <w:szCs w:val="20"/>
              </w:rPr>
              <w:t>Father’s education: primary school or less</w:t>
            </w:r>
          </w:p>
        </w:tc>
        <w:tc>
          <w:tcPr>
            <w:tcW w:w="842" w:type="pct"/>
          </w:tcPr>
          <w:p w:rsidR="00E52988" w:rsidRPr="001E3BA8" w:rsidRDefault="00E52988" w:rsidP="003420FE">
            <w:pPr>
              <w:jc w:val="center"/>
            </w:pPr>
            <w:r>
              <w:t>55</w:t>
            </w:r>
          </w:p>
        </w:tc>
        <w:tc>
          <w:tcPr>
            <w:tcW w:w="582" w:type="pct"/>
          </w:tcPr>
          <w:p w:rsidR="00E52988" w:rsidRPr="001E3BA8" w:rsidRDefault="00E52988" w:rsidP="003420FE">
            <w:pPr>
              <w:jc w:val="center"/>
            </w:pPr>
            <w:r>
              <w:t>32</w:t>
            </w:r>
          </w:p>
        </w:tc>
        <w:tc>
          <w:tcPr>
            <w:tcW w:w="230" w:type="pct"/>
          </w:tcPr>
          <w:p w:rsidR="00E52988" w:rsidRPr="001E3BA8" w:rsidRDefault="00E52988" w:rsidP="003420FE">
            <w:pPr>
              <w:jc w:val="center"/>
            </w:pPr>
          </w:p>
        </w:tc>
        <w:tc>
          <w:tcPr>
            <w:tcW w:w="842" w:type="pct"/>
          </w:tcPr>
          <w:p w:rsidR="00E52988" w:rsidRPr="001E3BA8" w:rsidRDefault="00E52988" w:rsidP="003420FE">
            <w:pPr>
              <w:jc w:val="center"/>
            </w:pPr>
            <w:r>
              <w:t>3</w:t>
            </w:r>
          </w:p>
        </w:tc>
        <w:tc>
          <w:tcPr>
            <w:tcW w:w="581" w:type="pct"/>
          </w:tcPr>
          <w:p w:rsidR="00E52988" w:rsidRPr="001E3BA8" w:rsidRDefault="00E52988" w:rsidP="003420FE">
            <w:pPr>
              <w:jc w:val="center"/>
            </w:pPr>
            <w:r>
              <w:t>3</w:t>
            </w:r>
          </w:p>
        </w:tc>
      </w:tr>
      <w:tr w:rsidR="00E52988" w:rsidRPr="001E3BA8" w:rsidTr="003420FE">
        <w:tc>
          <w:tcPr>
            <w:tcW w:w="1923" w:type="pct"/>
          </w:tcPr>
          <w:p w:rsidR="00E52988" w:rsidRPr="00DF7925" w:rsidRDefault="00E52988" w:rsidP="003420FE">
            <w:pPr>
              <w:pStyle w:val="BodyText"/>
              <w:jc w:val="left"/>
              <w:rPr>
                <w:sz w:val="20"/>
                <w:szCs w:val="20"/>
              </w:rPr>
            </w:pPr>
            <w:r w:rsidRPr="00DF7925">
              <w:rPr>
                <w:sz w:val="20"/>
                <w:szCs w:val="20"/>
              </w:rPr>
              <w:t>Secondary</w:t>
            </w:r>
          </w:p>
        </w:tc>
        <w:tc>
          <w:tcPr>
            <w:tcW w:w="842" w:type="pct"/>
          </w:tcPr>
          <w:p w:rsidR="00E52988" w:rsidRPr="001E3BA8" w:rsidRDefault="00E52988" w:rsidP="003420FE">
            <w:pPr>
              <w:jc w:val="center"/>
            </w:pPr>
            <w:r>
              <w:t>25</w:t>
            </w:r>
          </w:p>
        </w:tc>
        <w:tc>
          <w:tcPr>
            <w:tcW w:w="582" w:type="pct"/>
          </w:tcPr>
          <w:p w:rsidR="00E52988" w:rsidRPr="001E3BA8" w:rsidRDefault="00E52988" w:rsidP="003420FE">
            <w:pPr>
              <w:jc w:val="center"/>
            </w:pPr>
            <w:r>
              <w:t>24</w:t>
            </w:r>
          </w:p>
        </w:tc>
        <w:tc>
          <w:tcPr>
            <w:tcW w:w="230" w:type="pct"/>
          </w:tcPr>
          <w:p w:rsidR="00E52988" w:rsidRPr="001E3BA8" w:rsidRDefault="00E52988" w:rsidP="003420FE">
            <w:pPr>
              <w:jc w:val="center"/>
            </w:pPr>
          </w:p>
        </w:tc>
        <w:tc>
          <w:tcPr>
            <w:tcW w:w="842" w:type="pct"/>
          </w:tcPr>
          <w:p w:rsidR="00E52988" w:rsidRPr="001E3BA8" w:rsidRDefault="00E52988" w:rsidP="003420FE">
            <w:pPr>
              <w:jc w:val="center"/>
            </w:pPr>
            <w:r>
              <w:t>10</w:t>
            </w:r>
          </w:p>
        </w:tc>
        <w:tc>
          <w:tcPr>
            <w:tcW w:w="581" w:type="pct"/>
          </w:tcPr>
          <w:p w:rsidR="00E52988" w:rsidRPr="001E3BA8" w:rsidRDefault="00E52988" w:rsidP="003420FE">
            <w:pPr>
              <w:jc w:val="center"/>
            </w:pPr>
            <w:r>
              <w:t>8</w:t>
            </w:r>
          </w:p>
        </w:tc>
      </w:tr>
      <w:tr w:rsidR="00E52988" w:rsidRPr="001E3BA8" w:rsidTr="003420FE">
        <w:tc>
          <w:tcPr>
            <w:tcW w:w="1923" w:type="pct"/>
          </w:tcPr>
          <w:p w:rsidR="00E52988" w:rsidRPr="00DF7925" w:rsidRDefault="00E52988" w:rsidP="003420FE">
            <w:pPr>
              <w:pStyle w:val="BodyText"/>
              <w:jc w:val="left"/>
              <w:rPr>
                <w:sz w:val="20"/>
                <w:szCs w:val="20"/>
              </w:rPr>
            </w:pPr>
            <w:r w:rsidRPr="00DF7925">
              <w:rPr>
                <w:sz w:val="20"/>
                <w:szCs w:val="20"/>
              </w:rPr>
              <w:t>Higher</w:t>
            </w:r>
          </w:p>
        </w:tc>
        <w:tc>
          <w:tcPr>
            <w:tcW w:w="842" w:type="pct"/>
          </w:tcPr>
          <w:p w:rsidR="00E52988" w:rsidRPr="001E3BA8" w:rsidRDefault="00E52988" w:rsidP="003420FE">
            <w:pPr>
              <w:jc w:val="center"/>
            </w:pPr>
            <w:r>
              <w:t>16</w:t>
            </w:r>
          </w:p>
        </w:tc>
        <w:tc>
          <w:tcPr>
            <w:tcW w:w="582" w:type="pct"/>
          </w:tcPr>
          <w:p w:rsidR="00E52988" w:rsidRPr="001E3BA8" w:rsidRDefault="00E52988" w:rsidP="003420FE">
            <w:pPr>
              <w:jc w:val="center"/>
            </w:pPr>
            <w:r>
              <w:t>38</w:t>
            </w:r>
          </w:p>
        </w:tc>
        <w:tc>
          <w:tcPr>
            <w:tcW w:w="230" w:type="pct"/>
          </w:tcPr>
          <w:p w:rsidR="00E52988" w:rsidRPr="001E3BA8" w:rsidRDefault="00E52988" w:rsidP="003420FE">
            <w:pPr>
              <w:jc w:val="center"/>
            </w:pPr>
          </w:p>
        </w:tc>
        <w:tc>
          <w:tcPr>
            <w:tcW w:w="842" w:type="pct"/>
          </w:tcPr>
          <w:p w:rsidR="00E52988" w:rsidRPr="001E3BA8" w:rsidRDefault="00E52988" w:rsidP="003420FE">
            <w:pPr>
              <w:jc w:val="center"/>
            </w:pPr>
            <w:r>
              <w:t>7</w:t>
            </w:r>
          </w:p>
        </w:tc>
        <w:tc>
          <w:tcPr>
            <w:tcW w:w="581" w:type="pct"/>
          </w:tcPr>
          <w:p w:rsidR="00E52988" w:rsidRPr="001E3BA8" w:rsidRDefault="00E52988" w:rsidP="003420FE">
            <w:pPr>
              <w:jc w:val="center"/>
            </w:pPr>
            <w:r>
              <w:t>22</w:t>
            </w:r>
          </w:p>
        </w:tc>
      </w:tr>
      <w:tr w:rsidR="00E52988" w:rsidRPr="001E3BA8" w:rsidTr="003420FE">
        <w:tc>
          <w:tcPr>
            <w:tcW w:w="1923" w:type="pct"/>
          </w:tcPr>
          <w:p w:rsidR="00E52988" w:rsidRPr="001E3BA8" w:rsidRDefault="00E52988" w:rsidP="003420FE">
            <w:pPr>
              <w:pStyle w:val="BodyText"/>
              <w:jc w:val="left"/>
            </w:pPr>
            <w:r>
              <w:t>All</w:t>
            </w:r>
          </w:p>
        </w:tc>
        <w:tc>
          <w:tcPr>
            <w:tcW w:w="842" w:type="pct"/>
          </w:tcPr>
          <w:p w:rsidR="00E52988" w:rsidRPr="001E3BA8" w:rsidRDefault="00E52988" w:rsidP="003420FE">
            <w:pPr>
              <w:jc w:val="center"/>
            </w:pPr>
            <w:r>
              <w:t>28</w:t>
            </w:r>
          </w:p>
        </w:tc>
        <w:tc>
          <w:tcPr>
            <w:tcW w:w="582" w:type="pct"/>
          </w:tcPr>
          <w:p w:rsidR="00E52988" w:rsidRPr="001E3BA8" w:rsidRDefault="00E52988" w:rsidP="003420FE">
            <w:pPr>
              <w:jc w:val="center"/>
            </w:pPr>
            <w:r>
              <w:t>30</w:t>
            </w:r>
          </w:p>
        </w:tc>
        <w:tc>
          <w:tcPr>
            <w:tcW w:w="230" w:type="pct"/>
          </w:tcPr>
          <w:p w:rsidR="00E52988" w:rsidRPr="001E3BA8" w:rsidRDefault="00E52988" w:rsidP="003420FE">
            <w:pPr>
              <w:jc w:val="center"/>
            </w:pPr>
          </w:p>
        </w:tc>
        <w:tc>
          <w:tcPr>
            <w:tcW w:w="842" w:type="pct"/>
          </w:tcPr>
          <w:p w:rsidR="00E52988" w:rsidRPr="001E3BA8" w:rsidRDefault="00E52988" w:rsidP="003420FE">
            <w:pPr>
              <w:jc w:val="center"/>
            </w:pPr>
            <w:r>
              <w:t>9</w:t>
            </w:r>
          </w:p>
        </w:tc>
        <w:tc>
          <w:tcPr>
            <w:tcW w:w="581" w:type="pct"/>
          </w:tcPr>
          <w:p w:rsidR="00E52988" w:rsidRPr="001E3BA8" w:rsidRDefault="00E52988" w:rsidP="003420FE">
            <w:pPr>
              <w:jc w:val="center"/>
            </w:pPr>
            <w:r>
              <w:t>12</w:t>
            </w:r>
          </w:p>
        </w:tc>
      </w:tr>
      <w:tr w:rsidR="00E52988" w:rsidRPr="001E3BA8" w:rsidTr="003420FE">
        <w:tc>
          <w:tcPr>
            <w:tcW w:w="1923" w:type="pct"/>
          </w:tcPr>
          <w:p w:rsidR="00E52988" w:rsidRPr="001E3BA8" w:rsidRDefault="00E52988" w:rsidP="003420FE">
            <w:pPr>
              <w:pStyle w:val="BodyText"/>
              <w:rPr>
                <w:b/>
                <w:sz w:val="20"/>
                <w:szCs w:val="20"/>
              </w:rPr>
            </w:pPr>
            <w:r w:rsidRPr="001E3BA8">
              <w:rPr>
                <w:b/>
                <w:sz w:val="20"/>
                <w:szCs w:val="20"/>
              </w:rPr>
              <w:t>N =</w:t>
            </w:r>
          </w:p>
        </w:tc>
        <w:tc>
          <w:tcPr>
            <w:tcW w:w="842" w:type="pct"/>
          </w:tcPr>
          <w:p w:rsidR="00E52988" w:rsidRPr="001E3BA8" w:rsidRDefault="00E52988" w:rsidP="003420FE">
            <w:pPr>
              <w:jc w:val="center"/>
            </w:pPr>
            <w:r w:rsidRPr="001E3BA8">
              <w:t>196</w:t>
            </w:r>
          </w:p>
        </w:tc>
        <w:tc>
          <w:tcPr>
            <w:tcW w:w="582" w:type="pct"/>
          </w:tcPr>
          <w:p w:rsidR="00E52988" w:rsidRPr="001E3BA8" w:rsidRDefault="00E52988" w:rsidP="003420FE">
            <w:pPr>
              <w:jc w:val="center"/>
            </w:pPr>
            <w:r w:rsidRPr="001E3BA8">
              <w:t>642</w:t>
            </w:r>
          </w:p>
        </w:tc>
        <w:tc>
          <w:tcPr>
            <w:tcW w:w="230" w:type="pct"/>
          </w:tcPr>
          <w:p w:rsidR="00E52988" w:rsidRPr="001E3BA8" w:rsidRDefault="00E52988" w:rsidP="003420FE">
            <w:pPr>
              <w:jc w:val="center"/>
            </w:pPr>
          </w:p>
        </w:tc>
        <w:tc>
          <w:tcPr>
            <w:tcW w:w="842" w:type="pct"/>
          </w:tcPr>
          <w:p w:rsidR="00E52988" w:rsidRPr="001E3BA8" w:rsidRDefault="00E52988" w:rsidP="003420FE">
            <w:pPr>
              <w:jc w:val="center"/>
            </w:pPr>
            <w:r w:rsidRPr="001E3BA8">
              <w:t>163</w:t>
            </w:r>
          </w:p>
        </w:tc>
        <w:tc>
          <w:tcPr>
            <w:tcW w:w="581" w:type="pct"/>
          </w:tcPr>
          <w:p w:rsidR="00E52988" w:rsidRPr="001E3BA8" w:rsidRDefault="00E52988" w:rsidP="003420FE">
            <w:pPr>
              <w:jc w:val="center"/>
            </w:pPr>
            <w:r w:rsidRPr="001E3BA8">
              <w:t>342</w:t>
            </w:r>
          </w:p>
        </w:tc>
      </w:tr>
    </w:tbl>
    <w:p w:rsidR="00E52988" w:rsidRPr="001E3BA8" w:rsidRDefault="00E52988" w:rsidP="00E52988">
      <w:pPr>
        <w:rPr>
          <w:highlight w:val="yellow"/>
        </w:rPr>
      </w:pPr>
    </w:p>
    <w:p w:rsidR="00E52988" w:rsidRPr="0031564F" w:rsidRDefault="00E52988" w:rsidP="00E52988">
      <w:pPr>
        <w:pStyle w:val="BodyText"/>
      </w:pPr>
      <w:r>
        <w:t xml:space="preserve">Overall, there were often crude differences in the participation rates of graduates and other respondents, but </w:t>
      </w:r>
      <w:r w:rsidR="00834EE0">
        <w:t xml:space="preserve">most of </w:t>
      </w:r>
      <w:r>
        <w:t xml:space="preserve">the differences prove spurious, due to the fathers’ levels of education, and therefore </w:t>
      </w:r>
      <w:r w:rsidR="00834EE0">
        <w:t>a</w:t>
      </w:r>
      <w:r>
        <w:t>re examples of uses of free time being transmitted from generation to generation. The main exceptions, where there were clear higher education effects, were in reducing television viewing by males and females, and a substantial boost to young women’s likelihood of joining one or more community associations.</w:t>
      </w:r>
      <w:r w:rsidR="00BE11B3">
        <w:t xml:space="preserve"> These </w:t>
      </w:r>
      <w:r w:rsidR="00834EE0">
        <w:t xml:space="preserve">findings </w:t>
      </w:r>
      <w:r w:rsidR="00BE11B3">
        <w:t xml:space="preserve">seem insufficient to treat higher education as the incubator of a socio-cultural </w:t>
      </w:r>
      <w:r w:rsidR="00834EE0">
        <w:t xml:space="preserve">change </w:t>
      </w:r>
      <w:r w:rsidR="00BE11B3">
        <w:t>vanguard.</w:t>
      </w:r>
    </w:p>
    <w:p w:rsidR="00E52988" w:rsidRPr="00B86E7C" w:rsidRDefault="00E52988" w:rsidP="00E52988">
      <w:pPr>
        <w:rPr>
          <w:b/>
        </w:rPr>
      </w:pPr>
      <w:r w:rsidRPr="00B86E7C">
        <w:rPr>
          <w:b/>
        </w:rPr>
        <w:t>Labour force participation</w:t>
      </w:r>
    </w:p>
    <w:p w:rsidR="00E52988" w:rsidRPr="008934C0" w:rsidRDefault="00E52988" w:rsidP="00E52988">
      <w:pPr>
        <w:pStyle w:val="BodyText"/>
      </w:pPr>
      <w:r>
        <w:t xml:space="preserve">Males and females are divided differently here. </w:t>
      </w:r>
      <w:r w:rsidR="00F74096">
        <w:t xml:space="preserve">As explained above, </w:t>
      </w:r>
      <w:r>
        <w:t>males are split into those with decent jobs (by standards in their own countries), and a larger number who were earning very low incomes from self-employment or informal jobs, unemployed at the time of our surveys or completely inactive in the labour market. Females are divided into those who were at least active in the labour market, and those who had left education and never looked for jobs or, in all probability, even contemplated employment.</w:t>
      </w:r>
    </w:p>
    <w:p w:rsidR="00E52988" w:rsidRDefault="00E52988" w:rsidP="00E52988">
      <w:pPr>
        <w:spacing w:after="160"/>
        <w:rPr>
          <w:b/>
        </w:rPr>
      </w:pPr>
      <w:r>
        <w:rPr>
          <w:b/>
        </w:rPr>
        <w:br w:type="page"/>
      </w:r>
    </w:p>
    <w:p w:rsidR="00E52988" w:rsidRPr="00B86E7C" w:rsidRDefault="00E52988" w:rsidP="00E52988">
      <w:pPr>
        <w:spacing w:line="240" w:lineRule="auto"/>
        <w:rPr>
          <w:b/>
        </w:rPr>
      </w:pPr>
      <w:r w:rsidRPr="00B86E7C">
        <w:rPr>
          <w:b/>
        </w:rPr>
        <w:t>Table VI</w:t>
      </w:r>
      <w:r>
        <w:rPr>
          <w:b/>
        </w:rPr>
        <w:t>I</w:t>
      </w:r>
    </w:p>
    <w:p w:rsidR="00E52988" w:rsidRPr="00B86E7C" w:rsidRDefault="00E52988" w:rsidP="00E52988">
      <w:pPr>
        <w:spacing w:line="240" w:lineRule="auto"/>
        <w:rPr>
          <w:b/>
        </w:rPr>
      </w:pPr>
      <w:r w:rsidRPr="00B86E7C">
        <w:rPr>
          <w:b/>
        </w:rPr>
        <w:t>Labour force positions and uses of free time, 25-29 year olds</w:t>
      </w:r>
    </w:p>
    <w:p w:rsidR="00E52988" w:rsidRPr="00B86E7C" w:rsidRDefault="00E52988" w:rsidP="00E52988">
      <w:pPr>
        <w:spacing w:line="240" w:lineRule="auto"/>
        <w:rPr>
          <w:b/>
        </w:rPr>
      </w:pPr>
      <w:r>
        <w:rPr>
          <w:b/>
        </w:rPr>
        <w:t xml:space="preserve">                                                                  </w:t>
      </w:r>
      <w:r w:rsidRPr="00B86E7C">
        <w:rPr>
          <w:b/>
        </w:rPr>
        <w:t>Males                                          Females</w:t>
      </w:r>
    </w:p>
    <w:tbl>
      <w:tblPr>
        <w:tblStyle w:val="TableGrid"/>
        <w:tblW w:w="5131" w:type="pct"/>
        <w:tblLook w:val="04A0" w:firstRow="1" w:lastRow="0" w:firstColumn="1" w:lastColumn="0" w:noHBand="0" w:noVBand="1"/>
      </w:tblPr>
      <w:tblGrid>
        <w:gridCol w:w="2658"/>
        <w:gridCol w:w="1681"/>
        <w:gridCol w:w="1603"/>
        <w:gridCol w:w="222"/>
        <w:gridCol w:w="1604"/>
        <w:gridCol w:w="1484"/>
      </w:tblGrid>
      <w:tr w:rsidR="00E52988" w:rsidRPr="00C142B0" w:rsidTr="003420FE">
        <w:tc>
          <w:tcPr>
            <w:tcW w:w="1436" w:type="pct"/>
          </w:tcPr>
          <w:p w:rsidR="00E52988" w:rsidRPr="00C142B0" w:rsidRDefault="00E52988" w:rsidP="003420FE">
            <w:pPr>
              <w:rPr>
                <w:b/>
                <w:highlight w:val="yellow"/>
              </w:rPr>
            </w:pPr>
          </w:p>
        </w:tc>
        <w:tc>
          <w:tcPr>
            <w:tcW w:w="908" w:type="pct"/>
          </w:tcPr>
          <w:p w:rsidR="00E52988" w:rsidRPr="00C142B0" w:rsidRDefault="00E52988" w:rsidP="003420FE">
            <w:pPr>
              <w:rPr>
                <w:b/>
              </w:rPr>
            </w:pPr>
            <w:r w:rsidRPr="00C142B0">
              <w:rPr>
                <w:b/>
              </w:rPr>
              <w:t>Business or sub-business, salariat or sub-salariat, informals</w:t>
            </w:r>
          </w:p>
          <w:p w:rsidR="00E52988" w:rsidRPr="00C142B0" w:rsidRDefault="00E52988" w:rsidP="003420FE">
            <w:pPr>
              <w:rPr>
                <w:b/>
              </w:rPr>
            </w:pPr>
            <w:r w:rsidRPr="00C142B0">
              <w:rPr>
                <w:b/>
              </w:rPr>
              <w:t>%</w:t>
            </w:r>
          </w:p>
        </w:tc>
        <w:tc>
          <w:tcPr>
            <w:tcW w:w="866" w:type="pct"/>
          </w:tcPr>
          <w:p w:rsidR="00E52988" w:rsidRPr="00C142B0" w:rsidRDefault="00E52988" w:rsidP="003420FE">
            <w:pPr>
              <w:rPr>
                <w:b/>
              </w:rPr>
            </w:pPr>
            <w:r w:rsidRPr="00C142B0">
              <w:rPr>
                <w:b/>
              </w:rPr>
              <w:t>Other</w:t>
            </w:r>
          </w:p>
          <w:p w:rsidR="00E52988" w:rsidRPr="00C142B0" w:rsidRDefault="00E52988" w:rsidP="003420FE">
            <w:pPr>
              <w:rPr>
                <w:b/>
              </w:rPr>
            </w:pPr>
            <w:r w:rsidRPr="00C142B0">
              <w:rPr>
                <w:b/>
              </w:rPr>
              <w:t>%</w:t>
            </w:r>
          </w:p>
        </w:tc>
        <w:tc>
          <w:tcPr>
            <w:tcW w:w="120" w:type="pct"/>
          </w:tcPr>
          <w:p w:rsidR="00E52988" w:rsidRPr="00C142B0" w:rsidRDefault="00E52988" w:rsidP="003420FE">
            <w:pPr>
              <w:rPr>
                <w:b/>
              </w:rPr>
            </w:pPr>
          </w:p>
        </w:tc>
        <w:tc>
          <w:tcPr>
            <w:tcW w:w="867" w:type="pct"/>
          </w:tcPr>
          <w:p w:rsidR="00E52988" w:rsidRPr="00C142B0" w:rsidRDefault="00E52988" w:rsidP="003420FE">
            <w:pPr>
              <w:rPr>
                <w:b/>
              </w:rPr>
            </w:pPr>
            <w:r w:rsidRPr="00C142B0">
              <w:rPr>
                <w:b/>
              </w:rPr>
              <w:t>Any class in labour force</w:t>
            </w:r>
          </w:p>
          <w:p w:rsidR="00E52988" w:rsidRPr="00C142B0" w:rsidRDefault="00E52988" w:rsidP="003420FE">
            <w:pPr>
              <w:rPr>
                <w:b/>
              </w:rPr>
            </w:pPr>
            <w:r w:rsidRPr="00C142B0">
              <w:rPr>
                <w:b/>
              </w:rPr>
              <w:t>%</w:t>
            </w:r>
          </w:p>
        </w:tc>
        <w:tc>
          <w:tcPr>
            <w:tcW w:w="802" w:type="pct"/>
          </w:tcPr>
          <w:p w:rsidR="00E52988" w:rsidRPr="00C142B0" w:rsidRDefault="00E52988" w:rsidP="003420FE">
            <w:pPr>
              <w:rPr>
                <w:b/>
              </w:rPr>
            </w:pPr>
            <w:r w:rsidRPr="00C142B0">
              <w:rPr>
                <w:b/>
              </w:rPr>
              <w:t>Inactive</w:t>
            </w:r>
          </w:p>
          <w:p w:rsidR="00E52988" w:rsidRPr="00C142B0" w:rsidRDefault="00E52988" w:rsidP="003420FE">
            <w:pPr>
              <w:rPr>
                <w:b/>
              </w:rPr>
            </w:pPr>
            <w:r w:rsidRPr="00C142B0">
              <w:rPr>
                <w:b/>
              </w:rPr>
              <w:t>%</w:t>
            </w:r>
          </w:p>
        </w:tc>
      </w:tr>
      <w:tr w:rsidR="00E52988" w:rsidRPr="005D388A" w:rsidTr="003420FE">
        <w:tc>
          <w:tcPr>
            <w:tcW w:w="1436" w:type="pct"/>
          </w:tcPr>
          <w:p w:rsidR="00E52988" w:rsidRPr="001F3F5D" w:rsidRDefault="00E52988" w:rsidP="003420FE">
            <w:pPr>
              <w:pStyle w:val="BodyText"/>
              <w:jc w:val="left"/>
              <w:rPr>
                <w:b/>
                <w:sz w:val="20"/>
                <w:szCs w:val="20"/>
              </w:rPr>
            </w:pPr>
            <w:r w:rsidRPr="001F3F5D">
              <w:rPr>
                <w:b/>
                <w:sz w:val="20"/>
                <w:szCs w:val="20"/>
              </w:rPr>
              <w:t>Take part at least once a week: mean number of</w:t>
            </w:r>
            <w:r>
              <w:rPr>
                <w:b/>
                <w:sz w:val="20"/>
                <w:szCs w:val="20"/>
              </w:rPr>
              <w:t xml:space="preserve"> free time</w:t>
            </w:r>
            <w:r w:rsidRPr="001F3F5D">
              <w:rPr>
                <w:b/>
                <w:sz w:val="20"/>
                <w:szCs w:val="20"/>
              </w:rPr>
              <w:t xml:space="preserve"> activities</w:t>
            </w:r>
          </w:p>
        </w:tc>
        <w:tc>
          <w:tcPr>
            <w:tcW w:w="908" w:type="pct"/>
          </w:tcPr>
          <w:p w:rsidR="00E52988" w:rsidRPr="006A0E8C" w:rsidRDefault="00E52988" w:rsidP="003420FE">
            <w:pPr>
              <w:jc w:val="center"/>
            </w:pPr>
          </w:p>
        </w:tc>
        <w:tc>
          <w:tcPr>
            <w:tcW w:w="866" w:type="pct"/>
          </w:tcPr>
          <w:p w:rsidR="00E52988" w:rsidRPr="006A0E8C" w:rsidRDefault="00E52988" w:rsidP="003420FE">
            <w:pPr>
              <w:jc w:val="center"/>
            </w:pPr>
          </w:p>
        </w:tc>
        <w:tc>
          <w:tcPr>
            <w:tcW w:w="120" w:type="pct"/>
          </w:tcPr>
          <w:p w:rsidR="00E52988" w:rsidRPr="006A0E8C" w:rsidRDefault="00E52988" w:rsidP="003420FE">
            <w:pPr>
              <w:jc w:val="center"/>
            </w:pPr>
          </w:p>
        </w:tc>
        <w:tc>
          <w:tcPr>
            <w:tcW w:w="867" w:type="pct"/>
          </w:tcPr>
          <w:p w:rsidR="00E52988" w:rsidRPr="006A0E8C" w:rsidRDefault="00E52988" w:rsidP="003420FE">
            <w:pPr>
              <w:jc w:val="center"/>
            </w:pPr>
          </w:p>
        </w:tc>
        <w:tc>
          <w:tcPr>
            <w:tcW w:w="802" w:type="pct"/>
          </w:tcPr>
          <w:p w:rsidR="00E52988" w:rsidRPr="006A0E8C" w:rsidRDefault="00E52988" w:rsidP="003420FE">
            <w:pPr>
              <w:jc w:val="center"/>
            </w:pPr>
          </w:p>
        </w:tc>
      </w:tr>
      <w:tr w:rsidR="00E52988" w:rsidRPr="005D388A" w:rsidTr="003420FE">
        <w:tc>
          <w:tcPr>
            <w:tcW w:w="1436" w:type="pct"/>
          </w:tcPr>
          <w:p w:rsidR="00E52988" w:rsidRPr="00DF7925" w:rsidRDefault="00E52988" w:rsidP="003420FE">
            <w:pPr>
              <w:pStyle w:val="BodyText"/>
              <w:jc w:val="left"/>
              <w:rPr>
                <w:sz w:val="20"/>
                <w:szCs w:val="20"/>
              </w:rPr>
            </w:pPr>
            <w:r w:rsidRPr="00DF7925">
              <w:rPr>
                <w:sz w:val="20"/>
                <w:szCs w:val="20"/>
              </w:rPr>
              <w:t>Father’s education: primary school or less</w:t>
            </w:r>
          </w:p>
        </w:tc>
        <w:tc>
          <w:tcPr>
            <w:tcW w:w="908" w:type="pct"/>
          </w:tcPr>
          <w:p w:rsidR="00E52988" w:rsidRPr="006A0E8C" w:rsidRDefault="00E52988" w:rsidP="003420FE">
            <w:pPr>
              <w:jc w:val="center"/>
            </w:pPr>
            <w:r>
              <w:t>2.3</w:t>
            </w:r>
          </w:p>
        </w:tc>
        <w:tc>
          <w:tcPr>
            <w:tcW w:w="866" w:type="pct"/>
          </w:tcPr>
          <w:p w:rsidR="00E52988" w:rsidRPr="006A0E8C" w:rsidRDefault="00E52988" w:rsidP="003420FE">
            <w:pPr>
              <w:jc w:val="center"/>
            </w:pPr>
            <w:r>
              <w:t>2.1</w:t>
            </w:r>
          </w:p>
        </w:tc>
        <w:tc>
          <w:tcPr>
            <w:tcW w:w="120" w:type="pct"/>
          </w:tcPr>
          <w:p w:rsidR="00E52988" w:rsidRPr="006A0E8C" w:rsidRDefault="00E52988" w:rsidP="003420FE">
            <w:pPr>
              <w:jc w:val="center"/>
            </w:pPr>
          </w:p>
        </w:tc>
        <w:tc>
          <w:tcPr>
            <w:tcW w:w="867" w:type="pct"/>
          </w:tcPr>
          <w:p w:rsidR="00E52988" w:rsidRPr="006A0E8C" w:rsidRDefault="00E52988" w:rsidP="003420FE">
            <w:pPr>
              <w:jc w:val="center"/>
            </w:pPr>
            <w:r>
              <w:t>2.2</w:t>
            </w:r>
          </w:p>
        </w:tc>
        <w:tc>
          <w:tcPr>
            <w:tcW w:w="802" w:type="pct"/>
          </w:tcPr>
          <w:p w:rsidR="00E52988" w:rsidRPr="006A0E8C" w:rsidRDefault="00E52988" w:rsidP="003420FE">
            <w:pPr>
              <w:jc w:val="center"/>
            </w:pPr>
            <w:r>
              <w:t>2.1</w:t>
            </w:r>
          </w:p>
        </w:tc>
      </w:tr>
      <w:tr w:rsidR="00E52988" w:rsidRPr="005D388A" w:rsidTr="003420FE">
        <w:tc>
          <w:tcPr>
            <w:tcW w:w="1436" w:type="pct"/>
          </w:tcPr>
          <w:p w:rsidR="00E52988" w:rsidRPr="00DF7925" w:rsidRDefault="00E52988" w:rsidP="003420FE">
            <w:pPr>
              <w:pStyle w:val="BodyText"/>
              <w:jc w:val="left"/>
              <w:rPr>
                <w:sz w:val="20"/>
                <w:szCs w:val="20"/>
              </w:rPr>
            </w:pPr>
            <w:r w:rsidRPr="00DF7925">
              <w:rPr>
                <w:sz w:val="20"/>
                <w:szCs w:val="20"/>
              </w:rPr>
              <w:t>Secondary</w:t>
            </w:r>
          </w:p>
        </w:tc>
        <w:tc>
          <w:tcPr>
            <w:tcW w:w="908" w:type="pct"/>
          </w:tcPr>
          <w:p w:rsidR="00E52988" w:rsidRPr="006A0E8C" w:rsidRDefault="00E52988" w:rsidP="003420FE">
            <w:pPr>
              <w:jc w:val="center"/>
            </w:pPr>
            <w:r>
              <w:t>2.2</w:t>
            </w:r>
          </w:p>
        </w:tc>
        <w:tc>
          <w:tcPr>
            <w:tcW w:w="866" w:type="pct"/>
          </w:tcPr>
          <w:p w:rsidR="00E52988" w:rsidRPr="006A0E8C" w:rsidRDefault="00E52988" w:rsidP="003420FE">
            <w:pPr>
              <w:jc w:val="center"/>
            </w:pPr>
            <w:r>
              <w:t>2.7</w:t>
            </w:r>
          </w:p>
        </w:tc>
        <w:tc>
          <w:tcPr>
            <w:tcW w:w="120" w:type="pct"/>
          </w:tcPr>
          <w:p w:rsidR="00E52988" w:rsidRPr="006A0E8C" w:rsidRDefault="00E52988" w:rsidP="003420FE">
            <w:pPr>
              <w:jc w:val="center"/>
            </w:pPr>
          </w:p>
        </w:tc>
        <w:tc>
          <w:tcPr>
            <w:tcW w:w="867" w:type="pct"/>
          </w:tcPr>
          <w:p w:rsidR="00E52988" w:rsidRPr="006A0E8C" w:rsidRDefault="00E52988" w:rsidP="003420FE">
            <w:pPr>
              <w:jc w:val="center"/>
            </w:pPr>
            <w:r>
              <w:t>2.3</w:t>
            </w:r>
          </w:p>
        </w:tc>
        <w:tc>
          <w:tcPr>
            <w:tcW w:w="802" w:type="pct"/>
          </w:tcPr>
          <w:p w:rsidR="00E52988" w:rsidRPr="006A0E8C" w:rsidRDefault="00E52988" w:rsidP="003420FE">
            <w:pPr>
              <w:jc w:val="center"/>
            </w:pPr>
            <w:r>
              <w:t>3.1</w:t>
            </w:r>
          </w:p>
        </w:tc>
      </w:tr>
      <w:tr w:rsidR="00E52988" w:rsidRPr="005D388A" w:rsidTr="003420FE">
        <w:tc>
          <w:tcPr>
            <w:tcW w:w="1436" w:type="pct"/>
          </w:tcPr>
          <w:p w:rsidR="00E52988" w:rsidRPr="00DF7925" w:rsidRDefault="00E52988" w:rsidP="003420FE">
            <w:pPr>
              <w:pStyle w:val="BodyText"/>
              <w:jc w:val="left"/>
              <w:rPr>
                <w:sz w:val="20"/>
                <w:szCs w:val="20"/>
              </w:rPr>
            </w:pPr>
            <w:r w:rsidRPr="00DF7925">
              <w:rPr>
                <w:sz w:val="20"/>
                <w:szCs w:val="20"/>
              </w:rPr>
              <w:t>Higher</w:t>
            </w:r>
          </w:p>
        </w:tc>
        <w:tc>
          <w:tcPr>
            <w:tcW w:w="908" w:type="pct"/>
          </w:tcPr>
          <w:p w:rsidR="00E52988" w:rsidRPr="006A0E8C" w:rsidRDefault="00E52988" w:rsidP="003420FE">
            <w:pPr>
              <w:jc w:val="center"/>
            </w:pPr>
            <w:r>
              <w:t>2.9</w:t>
            </w:r>
          </w:p>
        </w:tc>
        <w:tc>
          <w:tcPr>
            <w:tcW w:w="866" w:type="pct"/>
          </w:tcPr>
          <w:p w:rsidR="00E52988" w:rsidRPr="006A0E8C" w:rsidRDefault="00E52988" w:rsidP="003420FE">
            <w:pPr>
              <w:jc w:val="center"/>
            </w:pPr>
            <w:r>
              <w:t>2.5</w:t>
            </w:r>
          </w:p>
        </w:tc>
        <w:tc>
          <w:tcPr>
            <w:tcW w:w="120" w:type="pct"/>
          </w:tcPr>
          <w:p w:rsidR="00E52988" w:rsidRPr="006A0E8C" w:rsidRDefault="00E52988" w:rsidP="003420FE">
            <w:pPr>
              <w:jc w:val="center"/>
            </w:pPr>
          </w:p>
        </w:tc>
        <w:tc>
          <w:tcPr>
            <w:tcW w:w="867" w:type="pct"/>
          </w:tcPr>
          <w:p w:rsidR="00E52988" w:rsidRPr="006A0E8C" w:rsidRDefault="00E52988" w:rsidP="003420FE">
            <w:pPr>
              <w:jc w:val="center"/>
            </w:pPr>
            <w:r>
              <w:t>2.9</w:t>
            </w:r>
          </w:p>
        </w:tc>
        <w:tc>
          <w:tcPr>
            <w:tcW w:w="802" w:type="pct"/>
          </w:tcPr>
          <w:p w:rsidR="00E52988" w:rsidRPr="006A0E8C" w:rsidRDefault="00E52988" w:rsidP="003420FE">
            <w:pPr>
              <w:jc w:val="center"/>
            </w:pPr>
            <w:r>
              <w:t>2.5</w:t>
            </w:r>
          </w:p>
        </w:tc>
      </w:tr>
      <w:tr w:rsidR="00E52988" w:rsidRPr="005D388A" w:rsidTr="003420FE">
        <w:tc>
          <w:tcPr>
            <w:tcW w:w="1436" w:type="pct"/>
          </w:tcPr>
          <w:p w:rsidR="00E52988" w:rsidRPr="006A0E8C" w:rsidRDefault="00E52988" w:rsidP="003420FE">
            <w:pPr>
              <w:pStyle w:val="BodyText"/>
              <w:rPr>
                <w:sz w:val="20"/>
                <w:szCs w:val="20"/>
              </w:rPr>
            </w:pPr>
            <w:r>
              <w:rPr>
                <w:sz w:val="20"/>
                <w:szCs w:val="20"/>
              </w:rPr>
              <w:t>All</w:t>
            </w:r>
          </w:p>
        </w:tc>
        <w:tc>
          <w:tcPr>
            <w:tcW w:w="908" w:type="pct"/>
          </w:tcPr>
          <w:p w:rsidR="00E52988" w:rsidRPr="006A0E8C" w:rsidRDefault="00E52988" w:rsidP="003420FE">
            <w:pPr>
              <w:jc w:val="center"/>
            </w:pPr>
            <w:r w:rsidRPr="006A0E8C">
              <w:t>2.</w:t>
            </w:r>
            <w:r>
              <w:t>3</w:t>
            </w:r>
          </w:p>
        </w:tc>
        <w:tc>
          <w:tcPr>
            <w:tcW w:w="866" w:type="pct"/>
          </w:tcPr>
          <w:p w:rsidR="00E52988" w:rsidRPr="006A0E8C" w:rsidRDefault="00E52988" w:rsidP="003420FE">
            <w:pPr>
              <w:jc w:val="center"/>
            </w:pPr>
            <w:r w:rsidRPr="006A0E8C">
              <w:t>2.3</w:t>
            </w:r>
          </w:p>
        </w:tc>
        <w:tc>
          <w:tcPr>
            <w:tcW w:w="120" w:type="pct"/>
          </w:tcPr>
          <w:p w:rsidR="00E52988" w:rsidRPr="006A0E8C" w:rsidRDefault="00E52988" w:rsidP="003420FE">
            <w:pPr>
              <w:jc w:val="center"/>
            </w:pPr>
          </w:p>
        </w:tc>
        <w:tc>
          <w:tcPr>
            <w:tcW w:w="867" w:type="pct"/>
          </w:tcPr>
          <w:p w:rsidR="00E52988" w:rsidRPr="006A0E8C" w:rsidRDefault="00E52988" w:rsidP="003420FE">
            <w:pPr>
              <w:jc w:val="center"/>
            </w:pPr>
            <w:r w:rsidRPr="006A0E8C">
              <w:t>2.</w:t>
            </w:r>
            <w:r>
              <w:t>3</w:t>
            </w:r>
          </w:p>
        </w:tc>
        <w:tc>
          <w:tcPr>
            <w:tcW w:w="802" w:type="pct"/>
          </w:tcPr>
          <w:p w:rsidR="00E52988" w:rsidRPr="006A0E8C" w:rsidRDefault="00E52988" w:rsidP="003420FE">
            <w:pPr>
              <w:jc w:val="center"/>
            </w:pPr>
            <w:r w:rsidRPr="006A0E8C">
              <w:t>2.4</w:t>
            </w:r>
          </w:p>
        </w:tc>
      </w:tr>
      <w:tr w:rsidR="00E52988" w:rsidRPr="005D388A" w:rsidTr="003420FE">
        <w:tc>
          <w:tcPr>
            <w:tcW w:w="1436" w:type="pct"/>
          </w:tcPr>
          <w:p w:rsidR="00E52988" w:rsidRPr="006A0E8C" w:rsidRDefault="00E52988" w:rsidP="003420FE">
            <w:pPr>
              <w:pStyle w:val="BodyText"/>
              <w:rPr>
                <w:b/>
                <w:sz w:val="20"/>
                <w:szCs w:val="20"/>
              </w:rPr>
            </w:pPr>
            <w:r w:rsidRPr="006A0E8C">
              <w:rPr>
                <w:b/>
                <w:sz w:val="20"/>
                <w:szCs w:val="20"/>
              </w:rPr>
              <w:t>Average minutes per day</w:t>
            </w:r>
          </w:p>
        </w:tc>
        <w:tc>
          <w:tcPr>
            <w:tcW w:w="908" w:type="pct"/>
          </w:tcPr>
          <w:p w:rsidR="00E52988" w:rsidRPr="006A0E8C" w:rsidRDefault="00E52988" w:rsidP="003420FE">
            <w:pPr>
              <w:jc w:val="center"/>
            </w:pPr>
          </w:p>
        </w:tc>
        <w:tc>
          <w:tcPr>
            <w:tcW w:w="866" w:type="pct"/>
          </w:tcPr>
          <w:p w:rsidR="00E52988" w:rsidRPr="006A0E8C" w:rsidRDefault="00E52988" w:rsidP="003420FE">
            <w:pPr>
              <w:jc w:val="center"/>
            </w:pPr>
          </w:p>
        </w:tc>
        <w:tc>
          <w:tcPr>
            <w:tcW w:w="120" w:type="pct"/>
          </w:tcPr>
          <w:p w:rsidR="00E52988" w:rsidRPr="006A0E8C" w:rsidRDefault="00E52988" w:rsidP="003420FE">
            <w:pPr>
              <w:jc w:val="center"/>
            </w:pPr>
          </w:p>
        </w:tc>
        <w:tc>
          <w:tcPr>
            <w:tcW w:w="867" w:type="pct"/>
          </w:tcPr>
          <w:p w:rsidR="00E52988" w:rsidRPr="006A0E8C" w:rsidRDefault="00E52988" w:rsidP="003420FE">
            <w:pPr>
              <w:jc w:val="center"/>
            </w:pPr>
          </w:p>
        </w:tc>
        <w:tc>
          <w:tcPr>
            <w:tcW w:w="802" w:type="pct"/>
          </w:tcPr>
          <w:p w:rsidR="00E52988" w:rsidRPr="006A0E8C" w:rsidRDefault="00E52988" w:rsidP="003420FE">
            <w:pPr>
              <w:jc w:val="center"/>
            </w:pPr>
          </w:p>
        </w:tc>
      </w:tr>
      <w:tr w:rsidR="00E52988" w:rsidRPr="005D388A" w:rsidTr="003420FE">
        <w:trPr>
          <w:trHeight w:val="562"/>
        </w:trPr>
        <w:tc>
          <w:tcPr>
            <w:tcW w:w="1436" w:type="pct"/>
          </w:tcPr>
          <w:p w:rsidR="00E52988" w:rsidRPr="001F3F5D" w:rsidRDefault="00E52988" w:rsidP="003420FE">
            <w:pPr>
              <w:pStyle w:val="BodyText"/>
              <w:jc w:val="left"/>
              <w:rPr>
                <w:b/>
                <w:sz w:val="20"/>
                <w:szCs w:val="20"/>
              </w:rPr>
            </w:pPr>
            <w:r w:rsidRPr="001F3F5D">
              <w:rPr>
                <w:b/>
                <w:sz w:val="20"/>
                <w:szCs w:val="20"/>
              </w:rPr>
              <w:t>Watching television</w:t>
            </w:r>
          </w:p>
        </w:tc>
        <w:tc>
          <w:tcPr>
            <w:tcW w:w="908" w:type="pct"/>
          </w:tcPr>
          <w:p w:rsidR="00E52988" w:rsidRPr="006A0E8C" w:rsidRDefault="00E52988" w:rsidP="003420FE">
            <w:pPr>
              <w:jc w:val="center"/>
            </w:pPr>
          </w:p>
        </w:tc>
        <w:tc>
          <w:tcPr>
            <w:tcW w:w="866" w:type="pct"/>
          </w:tcPr>
          <w:p w:rsidR="00E52988" w:rsidRPr="006A0E8C" w:rsidRDefault="00E52988" w:rsidP="003420FE">
            <w:pPr>
              <w:jc w:val="center"/>
            </w:pPr>
          </w:p>
        </w:tc>
        <w:tc>
          <w:tcPr>
            <w:tcW w:w="120" w:type="pct"/>
          </w:tcPr>
          <w:p w:rsidR="00E52988" w:rsidRPr="006A0E8C" w:rsidRDefault="00E52988" w:rsidP="003420FE">
            <w:pPr>
              <w:jc w:val="center"/>
            </w:pPr>
          </w:p>
        </w:tc>
        <w:tc>
          <w:tcPr>
            <w:tcW w:w="867" w:type="pct"/>
          </w:tcPr>
          <w:p w:rsidR="00E52988" w:rsidRPr="006A0E8C" w:rsidRDefault="00E52988" w:rsidP="003420FE">
            <w:pPr>
              <w:jc w:val="center"/>
            </w:pPr>
          </w:p>
        </w:tc>
        <w:tc>
          <w:tcPr>
            <w:tcW w:w="802" w:type="pct"/>
          </w:tcPr>
          <w:p w:rsidR="00E52988" w:rsidRPr="006A0E8C" w:rsidRDefault="00E52988" w:rsidP="003420FE">
            <w:pPr>
              <w:jc w:val="center"/>
            </w:pPr>
          </w:p>
        </w:tc>
      </w:tr>
      <w:tr w:rsidR="00E52988" w:rsidRPr="005D388A" w:rsidTr="003420FE">
        <w:trPr>
          <w:trHeight w:val="562"/>
        </w:trPr>
        <w:tc>
          <w:tcPr>
            <w:tcW w:w="1436" w:type="pct"/>
          </w:tcPr>
          <w:p w:rsidR="00E52988" w:rsidRPr="00DF7925" w:rsidRDefault="00E52988" w:rsidP="003420FE">
            <w:pPr>
              <w:pStyle w:val="BodyText"/>
              <w:jc w:val="left"/>
              <w:rPr>
                <w:sz w:val="20"/>
                <w:szCs w:val="20"/>
              </w:rPr>
            </w:pPr>
            <w:r w:rsidRPr="00DF7925">
              <w:rPr>
                <w:sz w:val="20"/>
                <w:szCs w:val="20"/>
              </w:rPr>
              <w:t>Father’s education: primary school or less</w:t>
            </w:r>
          </w:p>
        </w:tc>
        <w:tc>
          <w:tcPr>
            <w:tcW w:w="908" w:type="pct"/>
          </w:tcPr>
          <w:p w:rsidR="00E52988" w:rsidRPr="006A0E8C" w:rsidRDefault="00E52988" w:rsidP="003420FE">
            <w:pPr>
              <w:jc w:val="center"/>
            </w:pPr>
            <w:r>
              <w:t>164</w:t>
            </w:r>
          </w:p>
        </w:tc>
        <w:tc>
          <w:tcPr>
            <w:tcW w:w="866" w:type="pct"/>
          </w:tcPr>
          <w:p w:rsidR="00E52988" w:rsidRPr="006A0E8C" w:rsidRDefault="00E52988" w:rsidP="003420FE">
            <w:pPr>
              <w:jc w:val="center"/>
            </w:pPr>
            <w:r>
              <w:t>209</w:t>
            </w:r>
          </w:p>
        </w:tc>
        <w:tc>
          <w:tcPr>
            <w:tcW w:w="120" w:type="pct"/>
          </w:tcPr>
          <w:p w:rsidR="00E52988" w:rsidRPr="006A0E8C" w:rsidRDefault="00E52988" w:rsidP="003420FE">
            <w:pPr>
              <w:jc w:val="center"/>
            </w:pPr>
          </w:p>
        </w:tc>
        <w:tc>
          <w:tcPr>
            <w:tcW w:w="867" w:type="pct"/>
          </w:tcPr>
          <w:p w:rsidR="00E52988" w:rsidRPr="006A0E8C" w:rsidRDefault="00E52988" w:rsidP="003420FE">
            <w:pPr>
              <w:jc w:val="center"/>
            </w:pPr>
            <w:r>
              <w:t>175</w:t>
            </w:r>
          </w:p>
        </w:tc>
        <w:tc>
          <w:tcPr>
            <w:tcW w:w="802" w:type="pct"/>
          </w:tcPr>
          <w:p w:rsidR="00E52988" w:rsidRPr="006A0E8C" w:rsidRDefault="00E52988" w:rsidP="003420FE">
            <w:pPr>
              <w:jc w:val="center"/>
            </w:pPr>
            <w:r>
              <w:t>222</w:t>
            </w:r>
          </w:p>
        </w:tc>
      </w:tr>
      <w:tr w:rsidR="00E52988" w:rsidRPr="005D388A" w:rsidTr="003420FE">
        <w:trPr>
          <w:trHeight w:val="562"/>
        </w:trPr>
        <w:tc>
          <w:tcPr>
            <w:tcW w:w="1436" w:type="pct"/>
          </w:tcPr>
          <w:p w:rsidR="00E52988" w:rsidRPr="00DF7925" w:rsidRDefault="00E52988" w:rsidP="003420FE">
            <w:pPr>
              <w:pStyle w:val="BodyText"/>
              <w:jc w:val="left"/>
              <w:rPr>
                <w:sz w:val="20"/>
                <w:szCs w:val="20"/>
              </w:rPr>
            </w:pPr>
            <w:r w:rsidRPr="00DF7925">
              <w:rPr>
                <w:sz w:val="20"/>
                <w:szCs w:val="20"/>
              </w:rPr>
              <w:t>Secondary</w:t>
            </w:r>
          </w:p>
        </w:tc>
        <w:tc>
          <w:tcPr>
            <w:tcW w:w="908" w:type="pct"/>
          </w:tcPr>
          <w:p w:rsidR="00E52988" w:rsidRPr="006A0E8C" w:rsidRDefault="00E52988" w:rsidP="003420FE">
            <w:pPr>
              <w:jc w:val="center"/>
            </w:pPr>
            <w:r>
              <w:t>149</w:t>
            </w:r>
          </w:p>
        </w:tc>
        <w:tc>
          <w:tcPr>
            <w:tcW w:w="866" w:type="pct"/>
          </w:tcPr>
          <w:p w:rsidR="00E52988" w:rsidRPr="006A0E8C" w:rsidRDefault="00E52988" w:rsidP="003420FE">
            <w:pPr>
              <w:jc w:val="center"/>
            </w:pPr>
            <w:r>
              <w:t>216</w:t>
            </w:r>
          </w:p>
        </w:tc>
        <w:tc>
          <w:tcPr>
            <w:tcW w:w="120" w:type="pct"/>
          </w:tcPr>
          <w:p w:rsidR="00E52988" w:rsidRPr="006A0E8C" w:rsidRDefault="00E52988" w:rsidP="003420FE">
            <w:pPr>
              <w:jc w:val="center"/>
            </w:pPr>
          </w:p>
        </w:tc>
        <w:tc>
          <w:tcPr>
            <w:tcW w:w="867" w:type="pct"/>
          </w:tcPr>
          <w:p w:rsidR="00E52988" w:rsidRPr="006A0E8C" w:rsidRDefault="00E52988" w:rsidP="003420FE">
            <w:pPr>
              <w:jc w:val="center"/>
            </w:pPr>
            <w:r>
              <w:t>150</w:t>
            </w:r>
          </w:p>
        </w:tc>
        <w:tc>
          <w:tcPr>
            <w:tcW w:w="802" w:type="pct"/>
          </w:tcPr>
          <w:p w:rsidR="00E52988" w:rsidRPr="006A0E8C" w:rsidRDefault="00E52988" w:rsidP="003420FE">
            <w:pPr>
              <w:jc w:val="center"/>
            </w:pPr>
            <w:r>
              <w:t>238</w:t>
            </w:r>
          </w:p>
        </w:tc>
      </w:tr>
      <w:tr w:rsidR="00E52988" w:rsidRPr="005D388A" w:rsidTr="003420FE">
        <w:trPr>
          <w:trHeight w:val="562"/>
        </w:trPr>
        <w:tc>
          <w:tcPr>
            <w:tcW w:w="1436" w:type="pct"/>
          </w:tcPr>
          <w:p w:rsidR="00E52988" w:rsidRPr="00DF7925" w:rsidRDefault="00E52988" w:rsidP="003420FE">
            <w:pPr>
              <w:pStyle w:val="BodyText"/>
              <w:jc w:val="left"/>
              <w:rPr>
                <w:sz w:val="20"/>
                <w:szCs w:val="20"/>
              </w:rPr>
            </w:pPr>
            <w:r w:rsidRPr="00DF7925">
              <w:rPr>
                <w:sz w:val="20"/>
                <w:szCs w:val="20"/>
              </w:rPr>
              <w:t>Higher</w:t>
            </w:r>
          </w:p>
        </w:tc>
        <w:tc>
          <w:tcPr>
            <w:tcW w:w="908" w:type="pct"/>
          </w:tcPr>
          <w:p w:rsidR="00E52988" w:rsidRPr="006A0E8C" w:rsidRDefault="00E52988" w:rsidP="003420FE">
            <w:pPr>
              <w:jc w:val="center"/>
            </w:pPr>
            <w:r>
              <w:t>147</w:t>
            </w:r>
          </w:p>
        </w:tc>
        <w:tc>
          <w:tcPr>
            <w:tcW w:w="866" w:type="pct"/>
          </w:tcPr>
          <w:p w:rsidR="00E52988" w:rsidRPr="006A0E8C" w:rsidRDefault="00E52988" w:rsidP="003420FE">
            <w:pPr>
              <w:jc w:val="center"/>
            </w:pPr>
            <w:r>
              <w:t>207</w:t>
            </w:r>
          </w:p>
        </w:tc>
        <w:tc>
          <w:tcPr>
            <w:tcW w:w="120" w:type="pct"/>
          </w:tcPr>
          <w:p w:rsidR="00E52988" w:rsidRPr="006A0E8C" w:rsidRDefault="00E52988" w:rsidP="003420FE">
            <w:pPr>
              <w:jc w:val="center"/>
            </w:pPr>
          </w:p>
        </w:tc>
        <w:tc>
          <w:tcPr>
            <w:tcW w:w="867" w:type="pct"/>
          </w:tcPr>
          <w:p w:rsidR="00E52988" w:rsidRPr="006A0E8C" w:rsidRDefault="00E52988" w:rsidP="003420FE">
            <w:pPr>
              <w:jc w:val="center"/>
            </w:pPr>
            <w:r>
              <w:t>182</w:t>
            </w:r>
          </w:p>
        </w:tc>
        <w:tc>
          <w:tcPr>
            <w:tcW w:w="802" w:type="pct"/>
          </w:tcPr>
          <w:p w:rsidR="00E52988" w:rsidRPr="006A0E8C" w:rsidRDefault="00E52988" w:rsidP="003420FE">
            <w:pPr>
              <w:jc w:val="center"/>
            </w:pPr>
            <w:r>
              <w:t>185</w:t>
            </w:r>
          </w:p>
        </w:tc>
      </w:tr>
      <w:tr w:rsidR="00E52988" w:rsidRPr="005D388A" w:rsidTr="003420FE">
        <w:trPr>
          <w:trHeight w:val="562"/>
        </w:trPr>
        <w:tc>
          <w:tcPr>
            <w:tcW w:w="1436" w:type="pct"/>
          </w:tcPr>
          <w:p w:rsidR="00E52988" w:rsidRPr="006A0E8C" w:rsidRDefault="00E52988" w:rsidP="003420FE">
            <w:pPr>
              <w:pStyle w:val="BodyText"/>
              <w:jc w:val="left"/>
              <w:rPr>
                <w:sz w:val="20"/>
                <w:szCs w:val="20"/>
              </w:rPr>
            </w:pPr>
            <w:r>
              <w:rPr>
                <w:sz w:val="20"/>
                <w:szCs w:val="20"/>
              </w:rPr>
              <w:t>All</w:t>
            </w:r>
          </w:p>
        </w:tc>
        <w:tc>
          <w:tcPr>
            <w:tcW w:w="908" w:type="pct"/>
          </w:tcPr>
          <w:p w:rsidR="00E52988" w:rsidRPr="006A0E8C" w:rsidRDefault="00E52988" w:rsidP="003420FE">
            <w:pPr>
              <w:jc w:val="center"/>
            </w:pPr>
            <w:r w:rsidRPr="006A0E8C">
              <w:t>15</w:t>
            </w:r>
            <w:r>
              <w:t>5</w:t>
            </w:r>
          </w:p>
        </w:tc>
        <w:tc>
          <w:tcPr>
            <w:tcW w:w="866" w:type="pct"/>
          </w:tcPr>
          <w:p w:rsidR="00E52988" w:rsidRPr="006A0E8C" w:rsidRDefault="00E52988" w:rsidP="003420FE">
            <w:pPr>
              <w:jc w:val="center"/>
            </w:pPr>
            <w:r w:rsidRPr="006A0E8C">
              <w:t>211</w:t>
            </w:r>
          </w:p>
        </w:tc>
        <w:tc>
          <w:tcPr>
            <w:tcW w:w="120" w:type="pct"/>
          </w:tcPr>
          <w:p w:rsidR="00E52988" w:rsidRPr="006A0E8C" w:rsidRDefault="00E52988" w:rsidP="003420FE">
            <w:pPr>
              <w:jc w:val="center"/>
            </w:pPr>
          </w:p>
        </w:tc>
        <w:tc>
          <w:tcPr>
            <w:tcW w:w="867" w:type="pct"/>
          </w:tcPr>
          <w:p w:rsidR="00E52988" w:rsidRPr="006A0E8C" w:rsidRDefault="00E52988" w:rsidP="003420FE">
            <w:pPr>
              <w:jc w:val="center"/>
            </w:pPr>
            <w:r w:rsidRPr="006A0E8C">
              <w:t>166</w:t>
            </w:r>
          </w:p>
        </w:tc>
        <w:tc>
          <w:tcPr>
            <w:tcW w:w="802" w:type="pct"/>
          </w:tcPr>
          <w:p w:rsidR="00E52988" w:rsidRPr="006A0E8C" w:rsidRDefault="00E52988" w:rsidP="003420FE">
            <w:pPr>
              <w:jc w:val="center"/>
            </w:pPr>
            <w:r w:rsidRPr="006A0E8C">
              <w:t>225</w:t>
            </w:r>
          </w:p>
        </w:tc>
      </w:tr>
      <w:tr w:rsidR="00E52988" w:rsidRPr="005D388A" w:rsidTr="003420FE">
        <w:trPr>
          <w:trHeight w:val="562"/>
        </w:trPr>
        <w:tc>
          <w:tcPr>
            <w:tcW w:w="1436" w:type="pct"/>
          </w:tcPr>
          <w:p w:rsidR="00E52988" w:rsidRPr="001F3F5D" w:rsidRDefault="00E52988" w:rsidP="003420FE">
            <w:pPr>
              <w:pStyle w:val="BodyText"/>
              <w:jc w:val="left"/>
              <w:rPr>
                <w:b/>
                <w:sz w:val="20"/>
                <w:szCs w:val="20"/>
              </w:rPr>
            </w:pPr>
            <w:r w:rsidRPr="001F3F5D">
              <w:rPr>
                <w:b/>
                <w:sz w:val="20"/>
                <w:szCs w:val="20"/>
              </w:rPr>
              <w:t xml:space="preserve">Internet </w:t>
            </w:r>
          </w:p>
        </w:tc>
        <w:tc>
          <w:tcPr>
            <w:tcW w:w="908" w:type="pct"/>
          </w:tcPr>
          <w:p w:rsidR="00E52988" w:rsidRPr="006A0E8C" w:rsidRDefault="00E52988" w:rsidP="003420FE">
            <w:pPr>
              <w:jc w:val="center"/>
            </w:pPr>
          </w:p>
        </w:tc>
        <w:tc>
          <w:tcPr>
            <w:tcW w:w="866" w:type="pct"/>
          </w:tcPr>
          <w:p w:rsidR="00E52988" w:rsidRPr="006A0E8C" w:rsidRDefault="00E52988" w:rsidP="003420FE">
            <w:pPr>
              <w:jc w:val="center"/>
            </w:pPr>
          </w:p>
        </w:tc>
        <w:tc>
          <w:tcPr>
            <w:tcW w:w="120" w:type="pct"/>
          </w:tcPr>
          <w:p w:rsidR="00E52988" w:rsidRPr="006A0E8C" w:rsidRDefault="00E52988" w:rsidP="003420FE">
            <w:pPr>
              <w:jc w:val="center"/>
            </w:pPr>
          </w:p>
        </w:tc>
        <w:tc>
          <w:tcPr>
            <w:tcW w:w="867" w:type="pct"/>
          </w:tcPr>
          <w:p w:rsidR="00E52988" w:rsidRPr="006A0E8C" w:rsidRDefault="00E52988" w:rsidP="003420FE">
            <w:pPr>
              <w:jc w:val="center"/>
            </w:pPr>
          </w:p>
        </w:tc>
        <w:tc>
          <w:tcPr>
            <w:tcW w:w="802" w:type="pct"/>
          </w:tcPr>
          <w:p w:rsidR="00E52988" w:rsidRPr="006A0E8C" w:rsidRDefault="00E52988" w:rsidP="003420FE">
            <w:pPr>
              <w:jc w:val="center"/>
            </w:pPr>
          </w:p>
        </w:tc>
      </w:tr>
      <w:tr w:rsidR="00E52988" w:rsidRPr="005D388A" w:rsidTr="003420FE">
        <w:trPr>
          <w:trHeight w:val="562"/>
        </w:trPr>
        <w:tc>
          <w:tcPr>
            <w:tcW w:w="1436" w:type="pct"/>
          </w:tcPr>
          <w:p w:rsidR="00E52988" w:rsidRPr="00DF7925" w:rsidRDefault="00E52988" w:rsidP="003420FE">
            <w:pPr>
              <w:pStyle w:val="BodyText"/>
              <w:jc w:val="left"/>
              <w:rPr>
                <w:sz w:val="20"/>
                <w:szCs w:val="20"/>
              </w:rPr>
            </w:pPr>
            <w:r w:rsidRPr="00DF7925">
              <w:rPr>
                <w:sz w:val="20"/>
                <w:szCs w:val="20"/>
              </w:rPr>
              <w:t>Father’s education: primary school or less</w:t>
            </w:r>
          </w:p>
        </w:tc>
        <w:tc>
          <w:tcPr>
            <w:tcW w:w="908" w:type="pct"/>
          </w:tcPr>
          <w:p w:rsidR="00E52988" w:rsidRPr="006A0E8C" w:rsidRDefault="00E52988" w:rsidP="003420FE">
            <w:pPr>
              <w:jc w:val="center"/>
            </w:pPr>
            <w:r>
              <w:t>218</w:t>
            </w:r>
          </w:p>
        </w:tc>
        <w:tc>
          <w:tcPr>
            <w:tcW w:w="866" w:type="pct"/>
          </w:tcPr>
          <w:p w:rsidR="00E52988" w:rsidRPr="006A0E8C" w:rsidRDefault="00E52988" w:rsidP="003420FE">
            <w:pPr>
              <w:jc w:val="center"/>
            </w:pPr>
            <w:r>
              <w:t>262</w:t>
            </w:r>
          </w:p>
        </w:tc>
        <w:tc>
          <w:tcPr>
            <w:tcW w:w="120" w:type="pct"/>
          </w:tcPr>
          <w:p w:rsidR="00E52988" w:rsidRPr="006A0E8C" w:rsidRDefault="00E52988" w:rsidP="003420FE">
            <w:pPr>
              <w:jc w:val="center"/>
            </w:pPr>
          </w:p>
        </w:tc>
        <w:tc>
          <w:tcPr>
            <w:tcW w:w="867" w:type="pct"/>
          </w:tcPr>
          <w:p w:rsidR="00E52988" w:rsidRPr="006A0E8C" w:rsidRDefault="00E52988" w:rsidP="003420FE">
            <w:pPr>
              <w:jc w:val="center"/>
            </w:pPr>
            <w:r>
              <w:t>245</w:t>
            </w:r>
          </w:p>
        </w:tc>
        <w:tc>
          <w:tcPr>
            <w:tcW w:w="802" w:type="pct"/>
          </w:tcPr>
          <w:p w:rsidR="00E52988" w:rsidRPr="006A0E8C" w:rsidRDefault="00E52988" w:rsidP="003420FE">
            <w:pPr>
              <w:jc w:val="center"/>
            </w:pPr>
            <w:r>
              <w:t>252</w:t>
            </w:r>
          </w:p>
        </w:tc>
      </w:tr>
      <w:tr w:rsidR="00E52988" w:rsidRPr="005D388A" w:rsidTr="003420FE">
        <w:trPr>
          <w:trHeight w:val="562"/>
        </w:trPr>
        <w:tc>
          <w:tcPr>
            <w:tcW w:w="1436" w:type="pct"/>
          </w:tcPr>
          <w:p w:rsidR="00E52988" w:rsidRPr="00DF7925" w:rsidRDefault="00E52988" w:rsidP="003420FE">
            <w:pPr>
              <w:pStyle w:val="BodyText"/>
              <w:jc w:val="left"/>
              <w:rPr>
                <w:sz w:val="20"/>
                <w:szCs w:val="20"/>
              </w:rPr>
            </w:pPr>
            <w:r w:rsidRPr="00DF7925">
              <w:rPr>
                <w:sz w:val="20"/>
                <w:szCs w:val="20"/>
              </w:rPr>
              <w:t>Secondary</w:t>
            </w:r>
          </w:p>
        </w:tc>
        <w:tc>
          <w:tcPr>
            <w:tcW w:w="908" w:type="pct"/>
          </w:tcPr>
          <w:p w:rsidR="00E52988" w:rsidRPr="006A0E8C" w:rsidRDefault="00E52988" w:rsidP="003420FE">
            <w:pPr>
              <w:jc w:val="center"/>
            </w:pPr>
            <w:r>
              <w:t>249</w:t>
            </w:r>
          </w:p>
        </w:tc>
        <w:tc>
          <w:tcPr>
            <w:tcW w:w="866" w:type="pct"/>
          </w:tcPr>
          <w:p w:rsidR="00E52988" w:rsidRPr="006A0E8C" w:rsidRDefault="00E52988" w:rsidP="003420FE">
            <w:pPr>
              <w:jc w:val="center"/>
            </w:pPr>
            <w:r>
              <w:t>263</w:t>
            </w:r>
          </w:p>
        </w:tc>
        <w:tc>
          <w:tcPr>
            <w:tcW w:w="120" w:type="pct"/>
          </w:tcPr>
          <w:p w:rsidR="00E52988" w:rsidRPr="006A0E8C" w:rsidRDefault="00E52988" w:rsidP="003420FE">
            <w:pPr>
              <w:jc w:val="center"/>
            </w:pPr>
          </w:p>
        </w:tc>
        <w:tc>
          <w:tcPr>
            <w:tcW w:w="867" w:type="pct"/>
          </w:tcPr>
          <w:p w:rsidR="00E52988" w:rsidRPr="006A0E8C" w:rsidRDefault="00E52988" w:rsidP="003420FE">
            <w:pPr>
              <w:jc w:val="center"/>
            </w:pPr>
            <w:r>
              <w:t>236</w:t>
            </w:r>
          </w:p>
        </w:tc>
        <w:tc>
          <w:tcPr>
            <w:tcW w:w="802" w:type="pct"/>
          </w:tcPr>
          <w:p w:rsidR="00E52988" w:rsidRPr="006A0E8C" w:rsidRDefault="00E52988" w:rsidP="003420FE">
            <w:pPr>
              <w:jc w:val="center"/>
            </w:pPr>
            <w:r>
              <w:t>213</w:t>
            </w:r>
          </w:p>
        </w:tc>
      </w:tr>
      <w:tr w:rsidR="00E52988" w:rsidRPr="005D388A" w:rsidTr="003420FE">
        <w:trPr>
          <w:trHeight w:val="562"/>
        </w:trPr>
        <w:tc>
          <w:tcPr>
            <w:tcW w:w="1436" w:type="pct"/>
          </w:tcPr>
          <w:p w:rsidR="00E52988" w:rsidRPr="00DF7925" w:rsidRDefault="00E52988" w:rsidP="003420FE">
            <w:pPr>
              <w:pStyle w:val="BodyText"/>
              <w:jc w:val="left"/>
              <w:rPr>
                <w:sz w:val="20"/>
                <w:szCs w:val="20"/>
              </w:rPr>
            </w:pPr>
            <w:r w:rsidRPr="00DF7925">
              <w:rPr>
                <w:sz w:val="20"/>
                <w:szCs w:val="20"/>
              </w:rPr>
              <w:t>Higher</w:t>
            </w:r>
          </w:p>
        </w:tc>
        <w:tc>
          <w:tcPr>
            <w:tcW w:w="908" w:type="pct"/>
          </w:tcPr>
          <w:p w:rsidR="00E52988" w:rsidRPr="006A0E8C" w:rsidRDefault="00E52988" w:rsidP="003420FE">
            <w:pPr>
              <w:jc w:val="center"/>
            </w:pPr>
            <w:r>
              <w:t>219</w:t>
            </w:r>
          </w:p>
        </w:tc>
        <w:tc>
          <w:tcPr>
            <w:tcW w:w="866" w:type="pct"/>
          </w:tcPr>
          <w:p w:rsidR="00E52988" w:rsidRPr="006A0E8C" w:rsidRDefault="00E52988" w:rsidP="003420FE">
            <w:pPr>
              <w:jc w:val="center"/>
            </w:pPr>
            <w:r>
              <w:t>237</w:t>
            </w:r>
          </w:p>
        </w:tc>
        <w:tc>
          <w:tcPr>
            <w:tcW w:w="120" w:type="pct"/>
          </w:tcPr>
          <w:p w:rsidR="00E52988" w:rsidRPr="006A0E8C" w:rsidRDefault="00E52988" w:rsidP="003420FE">
            <w:pPr>
              <w:jc w:val="center"/>
            </w:pPr>
          </w:p>
        </w:tc>
        <w:tc>
          <w:tcPr>
            <w:tcW w:w="867" w:type="pct"/>
          </w:tcPr>
          <w:p w:rsidR="00E52988" w:rsidRPr="006A0E8C" w:rsidRDefault="00E52988" w:rsidP="003420FE">
            <w:pPr>
              <w:jc w:val="center"/>
            </w:pPr>
            <w:r>
              <w:t>212</w:t>
            </w:r>
          </w:p>
        </w:tc>
        <w:tc>
          <w:tcPr>
            <w:tcW w:w="802" w:type="pct"/>
          </w:tcPr>
          <w:p w:rsidR="00E52988" w:rsidRPr="006A0E8C" w:rsidRDefault="00E52988" w:rsidP="003420FE">
            <w:pPr>
              <w:jc w:val="center"/>
            </w:pPr>
            <w:r>
              <w:t>260</w:t>
            </w:r>
          </w:p>
        </w:tc>
      </w:tr>
      <w:tr w:rsidR="00E52988" w:rsidRPr="005D388A" w:rsidTr="003420FE">
        <w:trPr>
          <w:trHeight w:val="562"/>
        </w:trPr>
        <w:tc>
          <w:tcPr>
            <w:tcW w:w="1436" w:type="pct"/>
          </w:tcPr>
          <w:p w:rsidR="00E52988" w:rsidRPr="006A0E8C" w:rsidRDefault="00E52988" w:rsidP="003420FE">
            <w:pPr>
              <w:pStyle w:val="BodyText"/>
              <w:jc w:val="left"/>
              <w:rPr>
                <w:sz w:val="20"/>
                <w:szCs w:val="20"/>
              </w:rPr>
            </w:pPr>
            <w:r>
              <w:rPr>
                <w:sz w:val="20"/>
                <w:szCs w:val="20"/>
              </w:rPr>
              <w:t>All</w:t>
            </w:r>
          </w:p>
        </w:tc>
        <w:tc>
          <w:tcPr>
            <w:tcW w:w="908" w:type="pct"/>
          </w:tcPr>
          <w:p w:rsidR="00E52988" w:rsidRPr="006A0E8C" w:rsidRDefault="00E52988" w:rsidP="003420FE">
            <w:pPr>
              <w:jc w:val="center"/>
            </w:pPr>
            <w:r>
              <w:t>221</w:t>
            </w:r>
          </w:p>
        </w:tc>
        <w:tc>
          <w:tcPr>
            <w:tcW w:w="866" w:type="pct"/>
          </w:tcPr>
          <w:p w:rsidR="00E52988" w:rsidRPr="006A0E8C" w:rsidRDefault="00E52988" w:rsidP="003420FE">
            <w:pPr>
              <w:jc w:val="center"/>
            </w:pPr>
            <w:r>
              <w:t>241</w:t>
            </w:r>
          </w:p>
        </w:tc>
        <w:tc>
          <w:tcPr>
            <w:tcW w:w="120" w:type="pct"/>
          </w:tcPr>
          <w:p w:rsidR="00E52988" w:rsidRPr="006A0E8C" w:rsidRDefault="00E52988" w:rsidP="003420FE">
            <w:pPr>
              <w:jc w:val="center"/>
            </w:pPr>
          </w:p>
        </w:tc>
        <w:tc>
          <w:tcPr>
            <w:tcW w:w="867" w:type="pct"/>
          </w:tcPr>
          <w:p w:rsidR="00E52988" w:rsidRPr="006A0E8C" w:rsidRDefault="00E52988" w:rsidP="003420FE">
            <w:pPr>
              <w:jc w:val="center"/>
            </w:pPr>
            <w:r>
              <w:t>217</w:t>
            </w:r>
          </w:p>
        </w:tc>
        <w:tc>
          <w:tcPr>
            <w:tcW w:w="802" w:type="pct"/>
          </w:tcPr>
          <w:p w:rsidR="00E52988" w:rsidRPr="006A0E8C" w:rsidRDefault="00E52988" w:rsidP="003420FE">
            <w:pPr>
              <w:jc w:val="center"/>
            </w:pPr>
            <w:r>
              <w:t>239</w:t>
            </w:r>
          </w:p>
        </w:tc>
      </w:tr>
      <w:tr w:rsidR="00E52988" w:rsidRPr="005D388A" w:rsidTr="003420FE">
        <w:trPr>
          <w:trHeight w:val="562"/>
        </w:trPr>
        <w:tc>
          <w:tcPr>
            <w:tcW w:w="1436" w:type="pct"/>
          </w:tcPr>
          <w:p w:rsidR="00E52988" w:rsidRPr="006A0E8C" w:rsidRDefault="00E52988" w:rsidP="003420FE">
            <w:pPr>
              <w:pStyle w:val="BodyText"/>
              <w:jc w:val="left"/>
              <w:rPr>
                <w:b/>
                <w:sz w:val="20"/>
                <w:szCs w:val="20"/>
              </w:rPr>
            </w:pPr>
            <w:r>
              <w:rPr>
                <w:b/>
                <w:sz w:val="20"/>
                <w:szCs w:val="20"/>
              </w:rPr>
              <w:t>N =</w:t>
            </w:r>
          </w:p>
        </w:tc>
        <w:tc>
          <w:tcPr>
            <w:tcW w:w="908" w:type="pct"/>
          </w:tcPr>
          <w:p w:rsidR="00E52988" w:rsidRPr="006A0E8C" w:rsidRDefault="00E52988" w:rsidP="003420FE">
            <w:pPr>
              <w:jc w:val="center"/>
            </w:pPr>
            <w:r>
              <w:t>457</w:t>
            </w:r>
          </w:p>
        </w:tc>
        <w:tc>
          <w:tcPr>
            <w:tcW w:w="866" w:type="pct"/>
          </w:tcPr>
          <w:p w:rsidR="00E52988" w:rsidRPr="006A0E8C" w:rsidRDefault="00E52988" w:rsidP="003420FE">
            <w:pPr>
              <w:jc w:val="center"/>
            </w:pPr>
            <w:r>
              <w:t>424</w:t>
            </w:r>
          </w:p>
        </w:tc>
        <w:tc>
          <w:tcPr>
            <w:tcW w:w="120" w:type="pct"/>
          </w:tcPr>
          <w:p w:rsidR="00E52988" w:rsidRPr="006A0E8C" w:rsidRDefault="00E52988" w:rsidP="003420FE">
            <w:pPr>
              <w:jc w:val="center"/>
            </w:pPr>
          </w:p>
        </w:tc>
        <w:tc>
          <w:tcPr>
            <w:tcW w:w="867" w:type="pct"/>
          </w:tcPr>
          <w:p w:rsidR="00E52988" w:rsidRPr="006A0E8C" w:rsidRDefault="00E52988" w:rsidP="003420FE">
            <w:pPr>
              <w:jc w:val="center"/>
            </w:pPr>
            <w:r>
              <w:t>674</w:t>
            </w:r>
          </w:p>
        </w:tc>
        <w:tc>
          <w:tcPr>
            <w:tcW w:w="802" w:type="pct"/>
          </w:tcPr>
          <w:p w:rsidR="00E52988" w:rsidRPr="006A0E8C" w:rsidRDefault="00E52988" w:rsidP="003420FE">
            <w:pPr>
              <w:jc w:val="center"/>
            </w:pPr>
            <w:r>
              <w:t>207</w:t>
            </w:r>
          </w:p>
        </w:tc>
      </w:tr>
    </w:tbl>
    <w:p w:rsidR="00E52988" w:rsidRPr="005D388A" w:rsidRDefault="00E52988" w:rsidP="00E52988">
      <w:pPr>
        <w:rPr>
          <w:highlight w:val="yellow"/>
        </w:rPr>
      </w:pPr>
    </w:p>
    <w:p w:rsidR="00E52988" w:rsidRPr="008934C0" w:rsidRDefault="00E52988" w:rsidP="00E52988">
      <w:pPr>
        <w:pStyle w:val="BodyText"/>
      </w:pPr>
      <w:r w:rsidRPr="008934C0">
        <w:t>Overall, and with social origins controlled,</w:t>
      </w:r>
      <w:r>
        <w:t xml:space="preserve"> the higher labour force achievers in both sexes were spending less time watching television, </w:t>
      </w:r>
      <w:r w:rsidR="00F74096">
        <w:t xml:space="preserve">and </w:t>
      </w:r>
      <w:r>
        <w:t>males (but not females) were also spending less time online (Table VII)</w:t>
      </w:r>
      <w:r w:rsidR="00F74096">
        <w:t>. Employment was squeezing screen time, but not the propensity to join</w:t>
      </w:r>
      <w:r>
        <w:t xml:space="preserve"> community associations</w:t>
      </w:r>
      <w:r w:rsidR="00F74096">
        <w:t xml:space="preserve"> </w:t>
      </w:r>
      <w:r>
        <w:t xml:space="preserve">(Table VIII). </w:t>
      </w:r>
      <w:r w:rsidR="00F74096">
        <w:t>Likewise</w:t>
      </w:r>
      <w:r>
        <w:t>, labour force status was making no difference to participation in out-of-home leisure activities or public religious participation except among males with the least educated fathers who, atypically for males from such family backgrounds, and possibly their wider families and neighbourhood or village communities, had graduated from higher education (see Table VI) and/or obtained decent jobs (Table VIII). It appeared that such upwardly mobile young men were retaining contact with childhood ‘roots’ through mosque attendance which, as explained above, had  a social as well as a religious dimension.</w:t>
      </w:r>
    </w:p>
    <w:p w:rsidR="00E52988" w:rsidRDefault="00E52988" w:rsidP="00E52988">
      <w:pPr>
        <w:spacing w:after="160"/>
        <w:rPr>
          <w:b/>
        </w:rPr>
      </w:pPr>
      <w:r>
        <w:rPr>
          <w:b/>
        </w:rPr>
        <w:br w:type="page"/>
      </w:r>
    </w:p>
    <w:p w:rsidR="00E52988" w:rsidRPr="00B86E7C" w:rsidRDefault="00E52988" w:rsidP="00E52988">
      <w:pPr>
        <w:spacing w:line="240" w:lineRule="auto"/>
        <w:rPr>
          <w:b/>
        </w:rPr>
      </w:pPr>
      <w:r w:rsidRPr="00B86E7C">
        <w:rPr>
          <w:b/>
        </w:rPr>
        <w:t>Table VI</w:t>
      </w:r>
      <w:r>
        <w:rPr>
          <w:b/>
        </w:rPr>
        <w:t>II</w:t>
      </w:r>
    </w:p>
    <w:p w:rsidR="00E52988" w:rsidRPr="00B86E7C" w:rsidRDefault="00E52988" w:rsidP="00E52988">
      <w:pPr>
        <w:spacing w:line="240" w:lineRule="auto"/>
        <w:rPr>
          <w:b/>
        </w:rPr>
      </w:pPr>
      <w:r w:rsidRPr="00B86E7C">
        <w:rPr>
          <w:b/>
        </w:rPr>
        <w:t>Labour force positions and uses of free time, 25-29 year olds</w:t>
      </w:r>
    </w:p>
    <w:p w:rsidR="00E52988" w:rsidRPr="00B86E7C" w:rsidRDefault="00E52988" w:rsidP="00E52988">
      <w:pPr>
        <w:spacing w:line="240" w:lineRule="auto"/>
        <w:rPr>
          <w:b/>
        </w:rPr>
      </w:pPr>
      <w:r>
        <w:rPr>
          <w:b/>
        </w:rPr>
        <w:t xml:space="preserve">                                                                        </w:t>
      </w:r>
      <w:r w:rsidRPr="00B86E7C">
        <w:rPr>
          <w:b/>
        </w:rPr>
        <w:t>Males                                     Females</w:t>
      </w:r>
    </w:p>
    <w:tbl>
      <w:tblPr>
        <w:tblStyle w:val="TableGrid"/>
        <w:tblW w:w="5000" w:type="pct"/>
        <w:tblLook w:val="04A0" w:firstRow="1" w:lastRow="0" w:firstColumn="1" w:lastColumn="0" w:noHBand="0" w:noVBand="1"/>
      </w:tblPr>
      <w:tblGrid>
        <w:gridCol w:w="3587"/>
        <w:gridCol w:w="1482"/>
        <w:gridCol w:w="1123"/>
        <w:gridCol w:w="417"/>
        <w:gridCol w:w="1123"/>
        <w:gridCol w:w="1284"/>
      </w:tblGrid>
      <w:tr w:rsidR="00E52988" w:rsidRPr="006A0E8C" w:rsidTr="003420FE">
        <w:tc>
          <w:tcPr>
            <w:tcW w:w="1989" w:type="pct"/>
          </w:tcPr>
          <w:p w:rsidR="00E52988" w:rsidRPr="006A0E8C" w:rsidRDefault="00E52988" w:rsidP="003420FE">
            <w:pPr>
              <w:rPr>
                <w:b/>
              </w:rPr>
            </w:pPr>
          </w:p>
        </w:tc>
        <w:tc>
          <w:tcPr>
            <w:tcW w:w="822" w:type="pct"/>
          </w:tcPr>
          <w:p w:rsidR="00E52988" w:rsidRPr="006A0E8C" w:rsidRDefault="00E52988" w:rsidP="003420FE">
            <w:pPr>
              <w:jc w:val="center"/>
              <w:rPr>
                <w:b/>
              </w:rPr>
            </w:pPr>
            <w:r w:rsidRPr="006A0E8C">
              <w:rPr>
                <w:b/>
              </w:rPr>
              <w:t>Business or sub-business, salariat or sub-salariat, informals</w:t>
            </w:r>
          </w:p>
          <w:p w:rsidR="00E52988" w:rsidRPr="006A0E8C" w:rsidRDefault="00E52988" w:rsidP="003420FE">
            <w:pPr>
              <w:jc w:val="center"/>
              <w:rPr>
                <w:b/>
              </w:rPr>
            </w:pPr>
            <w:r w:rsidRPr="006A0E8C">
              <w:rPr>
                <w:b/>
              </w:rPr>
              <w:t>%</w:t>
            </w:r>
          </w:p>
        </w:tc>
        <w:tc>
          <w:tcPr>
            <w:tcW w:w="623" w:type="pct"/>
          </w:tcPr>
          <w:p w:rsidR="00E52988" w:rsidRPr="006A0E8C" w:rsidRDefault="00E52988" w:rsidP="003420FE">
            <w:pPr>
              <w:jc w:val="center"/>
              <w:rPr>
                <w:b/>
              </w:rPr>
            </w:pPr>
            <w:r w:rsidRPr="006A0E8C">
              <w:rPr>
                <w:b/>
              </w:rPr>
              <w:t>Other</w:t>
            </w:r>
          </w:p>
          <w:p w:rsidR="00E52988" w:rsidRPr="006A0E8C" w:rsidRDefault="00E52988" w:rsidP="003420FE">
            <w:pPr>
              <w:jc w:val="center"/>
              <w:rPr>
                <w:b/>
              </w:rPr>
            </w:pPr>
            <w:r w:rsidRPr="006A0E8C">
              <w:rPr>
                <w:b/>
              </w:rPr>
              <w:t>%</w:t>
            </w:r>
          </w:p>
        </w:tc>
        <w:tc>
          <w:tcPr>
            <w:tcW w:w="231" w:type="pct"/>
          </w:tcPr>
          <w:p w:rsidR="00E52988" w:rsidRPr="006A0E8C" w:rsidRDefault="00E52988" w:rsidP="003420FE">
            <w:pPr>
              <w:jc w:val="center"/>
              <w:rPr>
                <w:b/>
              </w:rPr>
            </w:pPr>
          </w:p>
        </w:tc>
        <w:tc>
          <w:tcPr>
            <w:tcW w:w="623" w:type="pct"/>
          </w:tcPr>
          <w:p w:rsidR="00E52988" w:rsidRPr="006A0E8C" w:rsidRDefault="00E52988" w:rsidP="003420FE">
            <w:pPr>
              <w:jc w:val="center"/>
              <w:rPr>
                <w:b/>
              </w:rPr>
            </w:pPr>
            <w:r w:rsidRPr="006A0E8C">
              <w:rPr>
                <w:b/>
              </w:rPr>
              <w:t>Any class in labour force</w:t>
            </w:r>
          </w:p>
          <w:p w:rsidR="00E52988" w:rsidRPr="006A0E8C" w:rsidRDefault="00E52988" w:rsidP="003420FE">
            <w:pPr>
              <w:jc w:val="center"/>
              <w:rPr>
                <w:b/>
              </w:rPr>
            </w:pPr>
            <w:r w:rsidRPr="006A0E8C">
              <w:rPr>
                <w:b/>
              </w:rPr>
              <w:t>%</w:t>
            </w:r>
          </w:p>
        </w:tc>
        <w:tc>
          <w:tcPr>
            <w:tcW w:w="712" w:type="pct"/>
          </w:tcPr>
          <w:p w:rsidR="00E52988" w:rsidRPr="006A0E8C" w:rsidRDefault="00E52988" w:rsidP="003420FE">
            <w:pPr>
              <w:jc w:val="center"/>
              <w:rPr>
                <w:b/>
              </w:rPr>
            </w:pPr>
            <w:r w:rsidRPr="006A0E8C">
              <w:rPr>
                <w:b/>
              </w:rPr>
              <w:t>Inactive</w:t>
            </w:r>
          </w:p>
          <w:p w:rsidR="00E52988" w:rsidRPr="006A0E8C" w:rsidRDefault="00E52988" w:rsidP="003420FE">
            <w:pPr>
              <w:jc w:val="center"/>
              <w:rPr>
                <w:b/>
              </w:rPr>
            </w:pPr>
            <w:r w:rsidRPr="006A0E8C">
              <w:rPr>
                <w:b/>
              </w:rPr>
              <w:t>%</w:t>
            </w:r>
          </w:p>
        </w:tc>
      </w:tr>
      <w:tr w:rsidR="00E52988" w:rsidRPr="006A0E8C" w:rsidTr="003420FE">
        <w:tc>
          <w:tcPr>
            <w:tcW w:w="1989" w:type="pct"/>
          </w:tcPr>
          <w:p w:rsidR="00E52988" w:rsidRPr="006A0E8C" w:rsidRDefault="00E52988" w:rsidP="003420FE">
            <w:pPr>
              <w:pStyle w:val="BodyText"/>
              <w:jc w:val="left"/>
              <w:rPr>
                <w:b/>
              </w:rPr>
            </w:pPr>
            <w:r w:rsidRPr="006A0E8C">
              <w:rPr>
                <w:b/>
              </w:rPr>
              <w:t>Community politics</w:t>
            </w:r>
            <w:r>
              <w:rPr>
                <w:b/>
              </w:rPr>
              <w:t>: belongs to at least one association</w:t>
            </w:r>
          </w:p>
        </w:tc>
        <w:tc>
          <w:tcPr>
            <w:tcW w:w="822" w:type="pct"/>
          </w:tcPr>
          <w:p w:rsidR="00E52988" w:rsidRPr="006A0E8C" w:rsidRDefault="00E52988" w:rsidP="003420FE"/>
        </w:tc>
        <w:tc>
          <w:tcPr>
            <w:tcW w:w="623" w:type="pct"/>
          </w:tcPr>
          <w:p w:rsidR="00E52988" w:rsidRPr="006A0E8C" w:rsidRDefault="00E52988" w:rsidP="003420FE"/>
        </w:tc>
        <w:tc>
          <w:tcPr>
            <w:tcW w:w="231" w:type="pct"/>
          </w:tcPr>
          <w:p w:rsidR="00E52988" w:rsidRPr="006A0E8C" w:rsidRDefault="00E52988" w:rsidP="003420FE"/>
        </w:tc>
        <w:tc>
          <w:tcPr>
            <w:tcW w:w="623" w:type="pct"/>
          </w:tcPr>
          <w:p w:rsidR="00E52988" w:rsidRPr="006A0E8C" w:rsidRDefault="00E52988" w:rsidP="003420FE"/>
        </w:tc>
        <w:tc>
          <w:tcPr>
            <w:tcW w:w="712" w:type="pct"/>
          </w:tcPr>
          <w:p w:rsidR="00E52988" w:rsidRPr="006A0E8C" w:rsidRDefault="00E52988" w:rsidP="003420FE"/>
        </w:tc>
      </w:tr>
      <w:tr w:rsidR="00E52988" w:rsidRPr="006A0E8C" w:rsidTr="003420FE">
        <w:tc>
          <w:tcPr>
            <w:tcW w:w="1989" w:type="pct"/>
          </w:tcPr>
          <w:p w:rsidR="00E52988" w:rsidRPr="00DF7925" w:rsidRDefault="00E52988" w:rsidP="003420FE">
            <w:pPr>
              <w:pStyle w:val="BodyText"/>
              <w:jc w:val="left"/>
              <w:rPr>
                <w:sz w:val="20"/>
                <w:szCs w:val="20"/>
              </w:rPr>
            </w:pPr>
            <w:r w:rsidRPr="00DF7925">
              <w:rPr>
                <w:sz w:val="20"/>
                <w:szCs w:val="20"/>
              </w:rPr>
              <w:t>Father’s education: primary school or less</w:t>
            </w:r>
          </w:p>
        </w:tc>
        <w:tc>
          <w:tcPr>
            <w:tcW w:w="822" w:type="pct"/>
          </w:tcPr>
          <w:p w:rsidR="00E52988" w:rsidRPr="006A0E8C" w:rsidRDefault="00E52988" w:rsidP="003420FE">
            <w:pPr>
              <w:jc w:val="center"/>
            </w:pPr>
            <w:r>
              <w:t>29</w:t>
            </w:r>
          </w:p>
        </w:tc>
        <w:tc>
          <w:tcPr>
            <w:tcW w:w="623" w:type="pct"/>
          </w:tcPr>
          <w:p w:rsidR="00E52988" w:rsidRPr="006A0E8C" w:rsidRDefault="00E52988" w:rsidP="003420FE">
            <w:pPr>
              <w:jc w:val="center"/>
            </w:pPr>
            <w:r>
              <w:t>17</w:t>
            </w:r>
          </w:p>
        </w:tc>
        <w:tc>
          <w:tcPr>
            <w:tcW w:w="231" w:type="pct"/>
          </w:tcPr>
          <w:p w:rsidR="00E52988" w:rsidRPr="006A0E8C" w:rsidRDefault="00E52988" w:rsidP="003420FE">
            <w:pPr>
              <w:jc w:val="center"/>
            </w:pPr>
          </w:p>
        </w:tc>
        <w:tc>
          <w:tcPr>
            <w:tcW w:w="623" w:type="pct"/>
          </w:tcPr>
          <w:p w:rsidR="00E52988" w:rsidRPr="006A0E8C" w:rsidRDefault="00E52988" w:rsidP="003420FE">
            <w:pPr>
              <w:jc w:val="center"/>
            </w:pPr>
            <w:r>
              <w:t>24</w:t>
            </w:r>
          </w:p>
        </w:tc>
        <w:tc>
          <w:tcPr>
            <w:tcW w:w="712" w:type="pct"/>
          </w:tcPr>
          <w:p w:rsidR="00E52988" w:rsidRPr="006A0E8C" w:rsidRDefault="00E52988" w:rsidP="003420FE">
            <w:pPr>
              <w:jc w:val="center"/>
            </w:pPr>
            <w:r>
              <w:t>19</w:t>
            </w:r>
          </w:p>
        </w:tc>
      </w:tr>
      <w:tr w:rsidR="00E52988" w:rsidRPr="006A0E8C" w:rsidTr="003420FE">
        <w:tc>
          <w:tcPr>
            <w:tcW w:w="1989" w:type="pct"/>
          </w:tcPr>
          <w:p w:rsidR="00E52988" w:rsidRPr="00DF7925" w:rsidRDefault="00E52988" w:rsidP="003420FE">
            <w:pPr>
              <w:pStyle w:val="BodyText"/>
              <w:jc w:val="left"/>
              <w:rPr>
                <w:sz w:val="20"/>
                <w:szCs w:val="20"/>
              </w:rPr>
            </w:pPr>
            <w:r w:rsidRPr="00DF7925">
              <w:rPr>
                <w:sz w:val="20"/>
                <w:szCs w:val="20"/>
              </w:rPr>
              <w:t>Secondary</w:t>
            </w:r>
          </w:p>
        </w:tc>
        <w:tc>
          <w:tcPr>
            <w:tcW w:w="822" w:type="pct"/>
          </w:tcPr>
          <w:p w:rsidR="00E52988" w:rsidRPr="006A0E8C" w:rsidRDefault="00E52988" w:rsidP="003420FE">
            <w:pPr>
              <w:jc w:val="center"/>
            </w:pPr>
            <w:r>
              <w:t>28</w:t>
            </w:r>
          </w:p>
        </w:tc>
        <w:tc>
          <w:tcPr>
            <w:tcW w:w="623" w:type="pct"/>
          </w:tcPr>
          <w:p w:rsidR="00E52988" w:rsidRPr="006A0E8C" w:rsidRDefault="00E52988" w:rsidP="003420FE">
            <w:pPr>
              <w:jc w:val="center"/>
            </w:pPr>
            <w:r>
              <w:t>24</w:t>
            </w:r>
          </w:p>
        </w:tc>
        <w:tc>
          <w:tcPr>
            <w:tcW w:w="231" w:type="pct"/>
          </w:tcPr>
          <w:p w:rsidR="00E52988" w:rsidRPr="006A0E8C" w:rsidRDefault="00E52988" w:rsidP="003420FE">
            <w:pPr>
              <w:jc w:val="center"/>
            </w:pPr>
          </w:p>
        </w:tc>
        <w:tc>
          <w:tcPr>
            <w:tcW w:w="623" w:type="pct"/>
          </w:tcPr>
          <w:p w:rsidR="00E52988" w:rsidRPr="006A0E8C" w:rsidRDefault="00E52988" w:rsidP="003420FE">
            <w:pPr>
              <w:jc w:val="center"/>
            </w:pPr>
            <w:r>
              <w:t>26</w:t>
            </w:r>
          </w:p>
        </w:tc>
        <w:tc>
          <w:tcPr>
            <w:tcW w:w="712" w:type="pct"/>
          </w:tcPr>
          <w:p w:rsidR="00E52988" w:rsidRPr="006A0E8C" w:rsidRDefault="00E52988" w:rsidP="003420FE">
            <w:pPr>
              <w:jc w:val="center"/>
            </w:pPr>
            <w:r>
              <w:t>24</w:t>
            </w:r>
          </w:p>
        </w:tc>
      </w:tr>
      <w:tr w:rsidR="00E52988" w:rsidRPr="006A0E8C" w:rsidTr="003420FE">
        <w:tc>
          <w:tcPr>
            <w:tcW w:w="1989" w:type="pct"/>
          </w:tcPr>
          <w:p w:rsidR="00E52988" w:rsidRPr="00DF7925" w:rsidRDefault="00E52988" w:rsidP="003420FE">
            <w:pPr>
              <w:pStyle w:val="BodyText"/>
              <w:jc w:val="left"/>
              <w:rPr>
                <w:sz w:val="20"/>
                <w:szCs w:val="20"/>
              </w:rPr>
            </w:pPr>
            <w:r w:rsidRPr="00DF7925">
              <w:rPr>
                <w:sz w:val="20"/>
                <w:szCs w:val="20"/>
              </w:rPr>
              <w:t>Higher</w:t>
            </w:r>
          </w:p>
        </w:tc>
        <w:tc>
          <w:tcPr>
            <w:tcW w:w="822" w:type="pct"/>
          </w:tcPr>
          <w:p w:rsidR="00E52988" w:rsidRPr="006A0E8C" w:rsidRDefault="00E52988" w:rsidP="003420FE">
            <w:pPr>
              <w:jc w:val="center"/>
            </w:pPr>
            <w:r>
              <w:t>38</w:t>
            </w:r>
          </w:p>
        </w:tc>
        <w:tc>
          <w:tcPr>
            <w:tcW w:w="623" w:type="pct"/>
          </w:tcPr>
          <w:p w:rsidR="00E52988" w:rsidRPr="006A0E8C" w:rsidRDefault="00E52988" w:rsidP="003420FE">
            <w:pPr>
              <w:jc w:val="center"/>
            </w:pPr>
            <w:r>
              <w:t>14</w:t>
            </w:r>
          </w:p>
        </w:tc>
        <w:tc>
          <w:tcPr>
            <w:tcW w:w="231" w:type="pct"/>
          </w:tcPr>
          <w:p w:rsidR="00E52988" w:rsidRPr="006A0E8C" w:rsidRDefault="00E52988" w:rsidP="003420FE">
            <w:pPr>
              <w:jc w:val="center"/>
            </w:pPr>
          </w:p>
        </w:tc>
        <w:tc>
          <w:tcPr>
            <w:tcW w:w="623" w:type="pct"/>
          </w:tcPr>
          <w:p w:rsidR="00E52988" w:rsidRPr="006A0E8C" w:rsidRDefault="00E52988" w:rsidP="003420FE">
            <w:pPr>
              <w:jc w:val="center"/>
            </w:pPr>
            <w:r>
              <w:t>33</w:t>
            </w:r>
          </w:p>
        </w:tc>
        <w:tc>
          <w:tcPr>
            <w:tcW w:w="712" w:type="pct"/>
          </w:tcPr>
          <w:p w:rsidR="00E52988" w:rsidRPr="006A0E8C" w:rsidRDefault="00E52988" w:rsidP="003420FE">
            <w:pPr>
              <w:jc w:val="center"/>
            </w:pPr>
            <w:r>
              <w:t>15</w:t>
            </w:r>
          </w:p>
        </w:tc>
      </w:tr>
      <w:tr w:rsidR="00E52988" w:rsidRPr="006A0E8C" w:rsidTr="003420FE">
        <w:tc>
          <w:tcPr>
            <w:tcW w:w="1989" w:type="pct"/>
          </w:tcPr>
          <w:p w:rsidR="00E52988" w:rsidRPr="008443C9" w:rsidRDefault="00E52988" w:rsidP="003420FE">
            <w:pPr>
              <w:pStyle w:val="BodyText"/>
              <w:rPr>
                <w:sz w:val="20"/>
                <w:szCs w:val="20"/>
              </w:rPr>
            </w:pPr>
            <w:r w:rsidRPr="008443C9">
              <w:rPr>
                <w:sz w:val="20"/>
                <w:szCs w:val="20"/>
              </w:rPr>
              <w:t>All</w:t>
            </w:r>
          </w:p>
        </w:tc>
        <w:tc>
          <w:tcPr>
            <w:tcW w:w="822" w:type="pct"/>
          </w:tcPr>
          <w:p w:rsidR="00E52988" w:rsidRPr="006A0E8C" w:rsidRDefault="00E52988" w:rsidP="003420FE">
            <w:pPr>
              <w:jc w:val="center"/>
            </w:pPr>
            <w:r>
              <w:t>29</w:t>
            </w:r>
          </w:p>
        </w:tc>
        <w:tc>
          <w:tcPr>
            <w:tcW w:w="623" w:type="pct"/>
          </w:tcPr>
          <w:p w:rsidR="00E52988" w:rsidRPr="006A0E8C" w:rsidRDefault="00E52988" w:rsidP="003420FE">
            <w:pPr>
              <w:jc w:val="center"/>
            </w:pPr>
            <w:r>
              <w:t>19</w:t>
            </w:r>
          </w:p>
        </w:tc>
        <w:tc>
          <w:tcPr>
            <w:tcW w:w="231" w:type="pct"/>
          </w:tcPr>
          <w:p w:rsidR="00E52988" w:rsidRPr="006A0E8C" w:rsidRDefault="00E52988" w:rsidP="003420FE">
            <w:pPr>
              <w:jc w:val="center"/>
            </w:pPr>
          </w:p>
        </w:tc>
        <w:tc>
          <w:tcPr>
            <w:tcW w:w="623" w:type="pct"/>
          </w:tcPr>
          <w:p w:rsidR="00E52988" w:rsidRPr="006A0E8C" w:rsidRDefault="00E52988" w:rsidP="003420FE">
            <w:pPr>
              <w:jc w:val="center"/>
            </w:pPr>
            <w:r>
              <w:t>25</w:t>
            </w:r>
          </w:p>
        </w:tc>
        <w:tc>
          <w:tcPr>
            <w:tcW w:w="712" w:type="pct"/>
          </w:tcPr>
          <w:p w:rsidR="00E52988" w:rsidRPr="006A0E8C" w:rsidRDefault="00E52988" w:rsidP="003420FE">
            <w:pPr>
              <w:jc w:val="center"/>
            </w:pPr>
            <w:r>
              <w:t>20</w:t>
            </w:r>
          </w:p>
        </w:tc>
      </w:tr>
      <w:tr w:rsidR="00E52988" w:rsidRPr="006A0E8C" w:rsidTr="003420FE">
        <w:tc>
          <w:tcPr>
            <w:tcW w:w="1989" w:type="pct"/>
          </w:tcPr>
          <w:p w:rsidR="00E52988" w:rsidRPr="008443C9" w:rsidRDefault="00E52988" w:rsidP="003420FE">
            <w:pPr>
              <w:pStyle w:val="BodyText"/>
              <w:rPr>
                <w:b/>
                <w:sz w:val="20"/>
                <w:szCs w:val="20"/>
              </w:rPr>
            </w:pPr>
            <w:r w:rsidRPr="008443C9">
              <w:rPr>
                <w:b/>
                <w:sz w:val="20"/>
                <w:szCs w:val="20"/>
              </w:rPr>
              <w:t>Attends mosque/church at least once a week</w:t>
            </w:r>
          </w:p>
        </w:tc>
        <w:tc>
          <w:tcPr>
            <w:tcW w:w="822" w:type="pct"/>
          </w:tcPr>
          <w:p w:rsidR="00E52988" w:rsidRDefault="00E52988" w:rsidP="003420FE">
            <w:pPr>
              <w:jc w:val="center"/>
            </w:pPr>
          </w:p>
        </w:tc>
        <w:tc>
          <w:tcPr>
            <w:tcW w:w="623" w:type="pct"/>
          </w:tcPr>
          <w:p w:rsidR="00E52988" w:rsidRDefault="00E52988" w:rsidP="003420FE">
            <w:pPr>
              <w:jc w:val="center"/>
            </w:pPr>
          </w:p>
        </w:tc>
        <w:tc>
          <w:tcPr>
            <w:tcW w:w="231" w:type="pct"/>
          </w:tcPr>
          <w:p w:rsidR="00E52988" w:rsidRPr="006A0E8C" w:rsidRDefault="00E52988" w:rsidP="003420FE">
            <w:pPr>
              <w:jc w:val="center"/>
            </w:pPr>
          </w:p>
        </w:tc>
        <w:tc>
          <w:tcPr>
            <w:tcW w:w="623" w:type="pct"/>
          </w:tcPr>
          <w:p w:rsidR="00E52988" w:rsidRDefault="00E52988" w:rsidP="003420FE">
            <w:pPr>
              <w:jc w:val="center"/>
            </w:pPr>
          </w:p>
        </w:tc>
        <w:tc>
          <w:tcPr>
            <w:tcW w:w="712" w:type="pct"/>
          </w:tcPr>
          <w:p w:rsidR="00E52988" w:rsidRDefault="00E52988" w:rsidP="003420FE">
            <w:pPr>
              <w:jc w:val="center"/>
            </w:pPr>
          </w:p>
        </w:tc>
      </w:tr>
      <w:tr w:rsidR="00E52988" w:rsidRPr="006A0E8C" w:rsidTr="003420FE">
        <w:tc>
          <w:tcPr>
            <w:tcW w:w="1989" w:type="pct"/>
          </w:tcPr>
          <w:p w:rsidR="00E52988" w:rsidRPr="00DF7925" w:rsidRDefault="00E52988" w:rsidP="003420FE">
            <w:pPr>
              <w:pStyle w:val="BodyText"/>
              <w:jc w:val="left"/>
              <w:rPr>
                <w:sz w:val="20"/>
                <w:szCs w:val="20"/>
              </w:rPr>
            </w:pPr>
            <w:r w:rsidRPr="00DF7925">
              <w:rPr>
                <w:sz w:val="20"/>
                <w:szCs w:val="20"/>
              </w:rPr>
              <w:t>Father’s education: primary school or less</w:t>
            </w:r>
          </w:p>
        </w:tc>
        <w:tc>
          <w:tcPr>
            <w:tcW w:w="822" w:type="pct"/>
          </w:tcPr>
          <w:p w:rsidR="00E52988" w:rsidRDefault="00E52988" w:rsidP="003420FE">
            <w:pPr>
              <w:jc w:val="center"/>
            </w:pPr>
            <w:r>
              <w:t>47</w:t>
            </w:r>
          </w:p>
        </w:tc>
        <w:tc>
          <w:tcPr>
            <w:tcW w:w="623" w:type="pct"/>
          </w:tcPr>
          <w:p w:rsidR="00E52988" w:rsidRDefault="00E52988" w:rsidP="003420FE">
            <w:pPr>
              <w:jc w:val="center"/>
            </w:pPr>
            <w:r>
              <w:t>36</w:t>
            </w:r>
          </w:p>
        </w:tc>
        <w:tc>
          <w:tcPr>
            <w:tcW w:w="231" w:type="pct"/>
          </w:tcPr>
          <w:p w:rsidR="00E52988" w:rsidRPr="006A0E8C" w:rsidRDefault="00E52988" w:rsidP="003420FE">
            <w:pPr>
              <w:jc w:val="center"/>
            </w:pPr>
          </w:p>
        </w:tc>
        <w:tc>
          <w:tcPr>
            <w:tcW w:w="623" w:type="pct"/>
          </w:tcPr>
          <w:p w:rsidR="00E52988" w:rsidRDefault="00E52988" w:rsidP="003420FE">
            <w:pPr>
              <w:jc w:val="center"/>
            </w:pPr>
            <w:r>
              <w:t>11</w:t>
            </w:r>
          </w:p>
        </w:tc>
        <w:tc>
          <w:tcPr>
            <w:tcW w:w="712" w:type="pct"/>
          </w:tcPr>
          <w:p w:rsidR="00E52988" w:rsidRDefault="00E52988" w:rsidP="003420FE">
            <w:pPr>
              <w:jc w:val="center"/>
            </w:pPr>
            <w:r>
              <w:t>11</w:t>
            </w:r>
          </w:p>
        </w:tc>
      </w:tr>
      <w:tr w:rsidR="00E52988" w:rsidRPr="006A0E8C" w:rsidTr="003420FE">
        <w:tc>
          <w:tcPr>
            <w:tcW w:w="1989" w:type="pct"/>
          </w:tcPr>
          <w:p w:rsidR="00E52988" w:rsidRPr="00DF7925" w:rsidRDefault="00E52988" w:rsidP="003420FE">
            <w:pPr>
              <w:pStyle w:val="BodyText"/>
              <w:jc w:val="left"/>
              <w:rPr>
                <w:sz w:val="20"/>
                <w:szCs w:val="20"/>
              </w:rPr>
            </w:pPr>
            <w:r w:rsidRPr="00DF7925">
              <w:rPr>
                <w:sz w:val="20"/>
                <w:szCs w:val="20"/>
              </w:rPr>
              <w:t>Secondary</w:t>
            </w:r>
          </w:p>
        </w:tc>
        <w:tc>
          <w:tcPr>
            <w:tcW w:w="822" w:type="pct"/>
          </w:tcPr>
          <w:p w:rsidR="00E52988" w:rsidRDefault="00E52988" w:rsidP="003420FE">
            <w:pPr>
              <w:jc w:val="center"/>
            </w:pPr>
            <w:r>
              <w:t>33</w:t>
            </w:r>
          </w:p>
        </w:tc>
        <w:tc>
          <w:tcPr>
            <w:tcW w:w="623" w:type="pct"/>
          </w:tcPr>
          <w:p w:rsidR="00E52988" w:rsidRDefault="00E52988" w:rsidP="003420FE">
            <w:pPr>
              <w:jc w:val="center"/>
            </w:pPr>
            <w:r>
              <w:t>31</w:t>
            </w:r>
          </w:p>
        </w:tc>
        <w:tc>
          <w:tcPr>
            <w:tcW w:w="231" w:type="pct"/>
          </w:tcPr>
          <w:p w:rsidR="00E52988" w:rsidRPr="006A0E8C" w:rsidRDefault="00E52988" w:rsidP="003420FE">
            <w:pPr>
              <w:jc w:val="center"/>
            </w:pPr>
          </w:p>
        </w:tc>
        <w:tc>
          <w:tcPr>
            <w:tcW w:w="623" w:type="pct"/>
          </w:tcPr>
          <w:p w:rsidR="00E52988" w:rsidRDefault="00E52988" w:rsidP="003420FE">
            <w:pPr>
              <w:jc w:val="center"/>
            </w:pPr>
            <w:r>
              <w:t>9</w:t>
            </w:r>
          </w:p>
        </w:tc>
        <w:tc>
          <w:tcPr>
            <w:tcW w:w="712" w:type="pct"/>
          </w:tcPr>
          <w:p w:rsidR="00E52988" w:rsidRDefault="00E52988" w:rsidP="003420FE">
            <w:pPr>
              <w:jc w:val="center"/>
            </w:pPr>
            <w:r>
              <w:t>4</w:t>
            </w:r>
          </w:p>
        </w:tc>
      </w:tr>
      <w:tr w:rsidR="00E52988" w:rsidRPr="006A0E8C" w:rsidTr="003420FE">
        <w:tc>
          <w:tcPr>
            <w:tcW w:w="1989" w:type="pct"/>
          </w:tcPr>
          <w:p w:rsidR="00E52988" w:rsidRPr="00DF7925" w:rsidRDefault="00E52988" w:rsidP="003420FE">
            <w:pPr>
              <w:pStyle w:val="BodyText"/>
              <w:jc w:val="left"/>
              <w:rPr>
                <w:sz w:val="20"/>
                <w:szCs w:val="20"/>
              </w:rPr>
            </w:pPr>
            <w:r w:rsidRPr="00DF7925">
              <w:rPr>
                <w:sz w:val="20"/>
                <w:szCs w:val="20"/>
              </w:rPr>
              <w:t>Higher</w:t>
            </w:r>
          </w:p>
        </w:tc>
        <w:tc>
          <w:tcPr>
            <w:tcW w:w="822" w:type="pct"/>
          </w:tcPr>
          <w:p w:rsidR="00E52988" w:rsidRDefault="00E52988" w:rsidP="003420FE">
            <w:pPr>
              <w:jc w:val="center"/>
            </w:pPr>
            <w:r>
              <w:t>8</w:t>
            </w:r>
          </w:p>
        </w:tc>
        <w:tc>
          <w:tcPr>
            <w:tcW w:w="623" w:type="pct"/>
          </w:tcPr>
          <w:p w:rsidR="00E52988" w:rsidRDefault="00E52988" w:rsidP="003420FE">
            <w:pPr>
              <w:jc w:val="center"/>
            </w:pPr>
            <w:r>
              <w:t>7</w:t>
            </w:r>
          </w:p>
        </w:tc>
        <w:tc>
          <w:tcPr>
            <w:tcW w:w="231" w:type="pct"/>
          </w:tcPr>
          <w:p w:rsidR="00E52988" w:rsidRPr="006A0E8C" w:rsidRDefault="00E52988" w:rsidP="003420FE">
            <w:pPr>
              <w:jc w:val="center"/>
            </w:pPr>
          </w:p>
        </w:tc>
        <w:tc>
          <w:tcPr>
            <w:tcW w:w="623" w:type="pct"/>
          </w:tcPr>
          <w:p w:rsidR="00E52988" w:rsidRDefault="00E52988" w:rsidP="003420FE">
            <w:pPr>
              <w:jc w:val="center"/>
            </w:pPr>
            <w:r>
              <w:t>0</w:t>
            </w:r>
          </w:p>
        </w:tc>
        <w:tc>
          <w:tcPr>
            <w:tcW w:w="712" w:type="pct"/>
          </w:tcPr>
          <w:p w:rsidR="00E52988" w:rsidRDefault="00E52988" w:rsidP="003420FE">
            <w:pPr>
              <w:jc w:val="center"/>
            </w:pPr>
            <w:r>
              <w:t>6</w:t>
            </w:r>
          </w:p>
        </w:tc>
      </w:tr>
      <w:tr w:rsidR="00E52988" w:rsidRPr="006A0E8C" w:rsidTr="003420FE">
        <w:tc>
          <w:tcPr>
            <w:tcW w:w="1989" w:type="pct"/>
          </w:tcPr>
          <w:p w:rsidR="00E52988" w:rsidRPr="008443C9" w:rsidRDefault="00E52988" w:rsidP="003420FE">
            <w:pPr>
              <w:pStyle w:val="BodyText"/>
              <w:rPr>
                <w:sz w:val="20"/>
                <w:szCs w:val="20"/>
              </w:rPr>
            </w:pPr>
            <w:r>
              <w:rPr>
                <w:sz w:val="20"/>
                <w:szCs w:val="20"/>
              </w:rPr>
              <w:t>All</w:t>
            </w:r>
          </w:p>
        </w:tc>
        <w:tc>
          <w:tcPr>
            <w:tcW w:w="822" w:type="pct"/>
          </w:tcPr>
          <w:p w:rsidR="00E52988" w:rsidRDefault="00E52988" w:rsidP="003420FE">
            <w:pPr>
              <w:jc w:val="center"/>
            </w:pPr>
            <w:r>
              <w:t>30</w:t>
            </w:r>
          </w:p>
        </w:tc>
        <w:tc>
          <w:tcPr>
            <w:tcW w:w="623" w:type="pct"/>
          </w:tcPr>
          <w:p w:rsidR="00E52988" w:rsidRDefault="00E52988" w:rsidP="003420FE">
            <w:pPr>
              <w:jc w:val="center"/>
            </w:pPr>
            <w:r>
              <w:t>34</w:t>
            </w:r>
          </w:p>
        </w:tc>
        <w:tc>
          <w:tcPr>
            <w:tcW w:w="231" w:type="pct"/>
          </w:tcPr>
          <w:p w:rsidR="00E52988" w:rsidRPr="006A0E8C" w:rsidRDefault="00E52988" w:rsidP="003420FE">
            <w:pPr>
              <w:jc w:val="center"/>
            </w:pPr>
          </w:p>
        </w:tc>
        <w:tc>
          <w:tcPr>
            <w:tcW w:w="623" w:type="pct"/>
          </w:tcPr>
          <w:p w:rsidR="00E52988" w:rsidRDefault="00E52988" w:rsidP="003420FE">
            <w:pPr>
              <w:jc w:val="center"/>
            </w:pPr>
            <w:r>
              <w:t>9</w:t>
            </w:r>
          </w:p>
        </w:tc>
        <w:tc>
          <w:tcPr>
            <w:tcW w:w="712" w:type="pct"/>
          </w:tcPr>
          <w:p w:rsidR="00E52988" w:rsidRDefault="00E52988" w:rsidP="003420FE">
            <w:pPr>
              <w:jc w:val="center"/>
            </w:pPr>
            <w:r>
              <w:t>9</w:t>
            </w:r>
          </w:p>
        </w:tc>
      </w:tr>
      <w:tr w:rsidR="00E52988" w:rsidRPr="006A0E8C" w:rsidTr="003420FE">
        <w:tc>
          <w:tcPr>
            <w:tcW w:w="1989" w:type="pct"/>
          </w:tcPr>
          <w:p w:rsidR="00E52988" w:rsidRPr="006A0E8C" w:rsidRDefault="00E52988" w:rsidP="003420FE">
            <w:pPr>
              <w:pStyle w:val="BodyText"/>
              <w:rPr>
                <w:b/>
                <w:sz w:val="20"/>
                <w:szCs w:val="20"/>
              </w:rPr>
            </w:pPr>
            <w:r w:rsidRPr="006A0E8C">
              <w:rPr>
                <w:b/>
                <w:sz w:val="20"/>
                <w:szCs w:val="20"/>
              </w:rPr>
              <w:t>N =</w:t>
            </w:r>
          </w:p>
        </w:tc>
        <w:tc>
          <w:tcPr>
            <w:tcW w:w="822" w:type="pct"/>
          </w:tcPr>
          <w:p w:rsidR="00E52988" w:rsidRPr="006A0E8C" w:rsidRDefault="00E52988" w:rsidP="003420FE">
            <w:pPr>
              <w:jc w:val="center"/>
            </w:pPr>
            <w:r w:rsidRPr="006A0E8C">
              <w:t>457</w:t>
            </w:r>
          </w:p>
        </w:tc>
        <w:tc>
          <w:tcPr>
            <w:tcW w:w="623" w:type="pct"/>
          </w:tcPr>
          <w:p w:rsidR="00E52988" w:rsidRPr="006A0E8C" w:rsidRDefault="00E52988" w:rsidP="003420FE">
            <w:pPr>
              <w:jc w:val="center"/>
            </w:pPr>
            <w:r w:rsidRPr="006A0E8C">
              <w:t>424</w:t>
            </w:r>
          </w:p>
        </w:tc>
        <w:tc>
          <w:tcPr>
            <w:tcW w:w="231" w:type="pct"/>
          </w:tcPr>
          <w:p w:rsidR="00E52988" w:rsidRPr="006A0E8C" w:rsidRDefault="00E52988" w:rsidP="003420FE">
            <w:pPr>
              <w:jc w:val="center"/>
            </w:pPr>
          </w:p>
        </w:tc>
        <w:tc>
          <w:tcPr>
            <w:tcW w:w="623" w:type="pct"/>
          </w:tcPr>
          <w:p w:rsidR="00E52988" w:rsidRPr="006A0E8C" w:rsidRDefault="00E52988" w:rsidP="003420FE">
            <w:pPr>
              <w:jc w:val="center"/>
            </w:pPr>
            <w:r w:rsidRPr="006A0E8C">
              <w:t>674</w:t>
            </w:r>
          </w:p>
        </w:tc>
        <w:tc>
          <w:tcPr>
            <w:tcW w:w="712" w:type="pct"/>
          </w:tcPr>
          <w:p w:rsidR="00E52988" w:rsidRPr="006A0E8C" w:rsidRDefault="00E52988" w:rsidP="003420FE">
            <w:pPr>
              <w:jc w:val="center"/>
            </w:pPr>
            <w:r w:rsidRPr="006A0E8C">
              <w:t>207</w:t>
            </w:r>
          </w:p>
        </w:tc>
      </w:tr>
    </w:tbl>
    <w:p w:rsidR="00E52988" w:rsidRDefault="00E52988" w:rsidP="00E52988">
      <w:pPr>
        <w:spacing w:line="240" w:lineRule="auto"/>
      </w:pPr>
    </w:p>
    <w:p w:rsidR="00E52988" w:rsidRPr="00B86E7C" w:rsidRDefault="00E52988" w:rsidP="00E52988">
      <w:pPr>
        <w:jc w:val="center"/>
        <w:rPr>
          <w:b/>
        </w:rPr>
      </w:pPr>
      <w:r w:rsidRPr="00B86E7C">
        <w:rPr>
          <w:b/>
        </w:rPr>
        <w:t>DISCUSSION</w:t>
      </w:r>
    </w:p>
    <w:p w:rsidR="00E52988" w:rsidRDefault="00E52988" w:rsidP="00E52988">
      <w:pPr>
        <w:pStyle w:val="BodyText"/>
      </w:pPr>
      <w:r>
        <w:t>When we began presenting our findings we noted that single males’ uses of free time remained remarkably constant from late-teens to late-20s. Single women were different. Their uses of free time did change. They curtailed ‘going out’ and spent more time with the media. Boys and girls, brothers and sisters, were growing up in the same families, and gender differences in education had been eliminated. Then after finishing education the sexes’ lives diverged. Males sought (and most obtained) jobs. Young women were far less likely to seek employment (see Kovacheva et al, 2018a). They stayed at home, and while still single their uses of free time changed in ways that seemed to anticipate their futures as wives and mothers.</w:t>
      </w:r>
    </w:p>
    <w:p w:rsidR="00E52988" w:rsidRDefault="00E52988" w:rsidP="00E52988">
      <w:pPr>
        <w:pStyle w:val="BodyText"/>
      </w:pPr>
    </w:p>
    <w:p w:rsidR="00E52988" w:rsidRDefault="00E52988" w:rsidP="00E52988">
      <w:pPr>
        <w:pStyle w:val="BodyText"/>
      </w:pPr>
      <w:r>
        <w:t>We would not expect the findings from our research to be replicated in Europe or North America. Change drivers that operate during youth in the Global North are absent in South and East Mediterranean countries</w:t>
      </w:r>
      <w:r w:rsidR="00572E64">
        <w:t xml:space="preserve"> where</w:t>
      </w:r>
      <w:r>
        <w:t xml:space="preserve"> public romantic, and any sexually intimate, relationships between young singles are neither expected nor acceptable. This makes it impossible for single males’ free time behaviour to change from mixing with same-sex peers to mixed crowds then to couples, with a consequential merging of the sexes’ uses of free time. Marriages are always arranged through families. Most couples have to marry in the hope that love or at least mutual respect will follow (see Kovacheva et al, 2018b).</w:t>
      </w:r>
    </w:p>
    <w:p w:rsidR="00E52988" w:rsidRDefault="00E52988" w:rsidP="00E52988">
      <w:pPr>
        <w:pStyle w:val="BodyText"/>
      </w:pPr>
    </w:p>
    <w:p w:rsidR="00E52988" w:rsidRDefault="00E52988" w:rsidP="00E52988">
      <w:pPr>
        <w:pStyle w:val="BodyText"/>
      </w:pPr>
      <w:r>
        <w:t xml:space="preserve">Alcohol is another change driver that is absent in the South and East Mediterranean. The sale of alcohol </w:t>
      </w:r>
      <w:r w:rsidR="00B4698B">
        <w:t>wa</w:t>
      </w:r>
      <w:r>
        <w:t xml:space="preserve">s not prohibited in any of our research countries, but it </w:t>
      </w:r>
      <w:r w:rsidR="00B4698B">
        <w:t>wa</w:t>
      </w:r>
      <w:r>
        <w:t xml:space="preserve">s not usually available outside the places (hotels and restaurants) used by foreigners who </w:t>
      </w:r>
      <w:r w:rsidR="00B4698B">
        <w:t>we</w:t>
      </w:r>
      <w:r>
        <w:t xml:space="preserve">re in the countries for business or leisure. This </w:t>
      </w:r>
      <w:r w:rsidR="00B4698B">
        <w:t xml:space="preserve">was </w:t>
      </w:r>
      <w:r>
        <w:t>depriv</w:t>
      </w:r>
      <w:r w:rsidR="00B4698B">
        <w:t>ing</w:t>
      </w:r>
      <w:r>
        <w:t xml:space="preserve"> young males of the ability to exchange teenage ways of passing free time with a more varied and larger number of adult practices.</w:t>
      </w:r>
    </w:p>
    <w:p w:rsidR="00E52988" w:rsidRDefault="00E52988" w:rsidP="00E52988">
      <w:pPr>
        <w:pStyle w:val="yiv5397122630msonormal"/>
        <w:tabs>
          <w:tab w:val="center" w:pos="4513"/>
        </w:tabs>
        <w:spacing w:line="480" w:lineRule="auto"/>
        <w:jc w:val="both"/>
      </w:pPr>
    </w:p>
    <w:p w:rsidR="00E52988" w:rsidRPr="009452E3" w:rsidRDefault="00E52988" w:rsidP="00E52988">
      <w:pPr>
        <w:pStyle w:val="yiv5397122630msonormal"/>
        <w:tabs>
          <w:tab w:val="center" w:pos="4513"/>
        </w:tabs>
        <w:spacing w:line="480" w:lineRule="auto"/>
        <w:jc w:val="both"/>
      </w:pPr>
      <w:r w:rsidRPr="009452E3">
        <w:t xml:space="preserve">A third </w:t>
      </w:r>
      <w:r w:rsidR="00572E64">
        <w:t xml:space="preserve">set of </w:t>
      </w:r>
      <w:r w:rsidRPr="009452E3">
        <w:t>absent change driver</w:t>
      </w:r>
      <w:r w:rsidR="00572E64">
        <w:t>s</w:t>
      </w:r>
      <w:r>
        <w:t xml:space="preserve"> has been the expansion of jobs in manufacturing that occurred when the Global North industrialised, and the expansion of non-manual, especially management and professional-grade, jobs that triggered upsurges in absolute upward social mobility from the mid-20</w:t>
      </w:r>
      <w:r w:rsidRPr="00562708">
        <w:rPr>
          <w:vertAlign w:val="superscript"/>
        </w:rPr>
        <w:t>th</w:t>
      </w:r>
      <w:r>
        <w:t xml:space="preserve"> century, and diminished class differences in uses of free time by young people whose adult destinations remained uncertain (Roberts and Parsell, 1994).</w:t>
      </w:r>
    </w:p>
    <w:p w:rsidR="00E52988" w:rsidRDefault="00E52988" w:rsidP="00E52988">
      <w:pPr>
        <w:pStyle w:val="yiv5397122630msonormal"/>
        <w:tabs>
          <w:tab w:val="center" w:pos="4513"/>
        </w:tabs>
        <w:rPr>
          <w:b/>
        </w:rPr>
      </w:pPr>
      <w:r>
        <w:rPr>
          <w:b/>
        </w:rPr>
        <w:t>Table IX</w:t>
      </w:r>
    </w:p>
    <w:p w:rsidR="00E52988" w:rsidRPr="007F75F3" w:rsidRDefault="00E52988" w:rsidP="00E52988">
      <w:pPr>
        <w:pStyle w:val="yiv5397122630msonormal"/>
        <w:tabs>
          <w:tab w:val="center" w:pos="4513"/>
        </w:tabs>
        <w:rPr>
          <w:b/>
        </w:rPr>
      </w:pPr>
      <w:r w:rsidRPr="007F75F3">
        <w:rPr>
          <w:b/>
        </w:rPr>
        <w:t>Mini-max gaps</w:t>
      </w:r>
    </w:p>
    <w:tbl>
      <w:tblPr>
        <w:tblStyle w:val="TableGrid"/>
        <w:tblW w:w="0" w:type="auto"/>
        <w:tblLook w:val="04A0" w:firstRow="1" w:lastRow="0" w:firstColumn="1" w:lastColumn="0" w:noHBand="0" w:noVBand="1"/>
      </w:tblPr>
      <w:tblGrid>
        <w:gridCol w:w="2066"/>
        <w:gridCol w:w="1518"/>
        <w:gridCol w:w="1398"/>
        <w:gridCol w:w="1041"/>
        <w:gridCol w:w="1443"/>
        <w:gridCol w:w="1550"/>
      </w:tblGrid>
      <w:tr w:rsidR="00E52988" w:rsidTr="003420FE">
        <w:tc>
          <w:tcPr>
            <w:tcW w:w="2122" w:type="dxa"/>
          </w:tcPr>
          <w:p w:rsidR="00E52988" w:rsidRDefault="00E52988" w:rsidP="003420FE">
            <w:pPr>
              <w:pStyle w:val="yiv5397122630msonormal"/>
              <w:tabs>
                <w:tab w:val="center" w:pos="4513"/>
              </w:tabs>
            </w:pPr>
          </w:p>
        </w:tc>
        <w:tc>
          <w:tcPr>
            <w:tcW w:w="1559" w:type="dxa"/>
          </w:tcPr>
          <w:p w:rsidR="00E52988" w:rsidRPr="007F75F3" w:rsidRDefault="00E52988" w:rsidP="003420FE">
            <w:pPr>
              <w:pStyle w:val="yiv5397122630msonormal"/>
              <w:tabs>
                <w:tab w:val="center" w:pos="4513"/>
              </w:tabs>
              <w:rPr>
                <w:b/>
              </w:rPr>
            </w:pPr>
            <w:r w:rsidRPr="007F75F3">
              <w:rPr>
                <w:b/>
              </w:rPr>
              <w:t>Out of home leisure activities</w:t>
            </w:r>
          </w:p>
        </w:tc>
        <w:tc>
          <w:tcPr>
            <w:tcW w:w="1417" w:type="dxa"/>
          </w:tcPr>
          <w:p w:rsidR="00E52988" w:rsidRPr="007F75F3" w:rsidRDefault="00E52988" w:rsidP="003420FE">
            <w:pPr>
              <w:pStyle w:val="yiv5397122630msonormal"/>
              <w:tabs>
                <w:tab w:val="center" w:pos="4513"/>
              </w:tabs>
              <w:rPr>
                <w:b/>
              </w:rPr>
            </w:pPr>
            <w:r w:rsidRPr="007F75F3">
              <w:rPr>
                <w:b/>
              </w:rPr>
              <w:t>Watching television</w:t>
            </w:r>
          </w:p>
        </w:tc>
        <w:tc>
          <w:tcPr>
            <w:tcW w:w="1055" w:type="dxa"/>
          </w:tcPr>
          <w:p w:rsidR="00E52988" w:rsidRPr="007F75F3" w:rsidRDefault="00E52988" w:rsidP="003420FE">
            <w:pPr>
              <w:pStyle w:val="yiv5397122630msonormal"/>
              <w:tabs>
                <w:tab w:val="center" w:pos="4513"/>
              </w:tabs>
              <w:rPr>
                <w:b/>
              </w:rPr>
            </w:pPr>
            <w:r w:rsidRPr="007F75F3">
              <w:rPr>
                <w:b/>
              </w:rPr>
              <w:t>Online</w:t>
            </w:r>
          </w:p>
        </w:tc>
        <w:tc>
          <w:tcPr>
            <w:tcW w:w="1430" w:type="dxa"/>
          </w:tcPr>
          <w:p w:rsidR="00E52988" w:rsidRPr="007F75F3" w:rsidRDefault="00E52988" w:rsidP="003420FE">
            <w:pPr>
              <w:pStyle w:val="yiv5397122630msonormal"/>
              <w:tabs>
                <w:tab w:val="center" w:pos="4513"/>
              </w:tabs>
              <w:rPr>
                <w:b/>
              </w:rPr>
            </w:pPr>
            <w:r w:rsidRPr="007F75F3">
              <w:rPr>
                <w:b/>
              </w:rPr>
              <w:t>Community associations</w:t>
            </w:r>
          </w:p>
        </w:tc>
        <w:tc>
          <w:tcPr>
            <w:tcW w:w="1433" w:type="dxa"/>
          </w:tcPr>
          <w:p w:rsidR="00E52988" w:rsidRPr="007F75F3" w:rsidRDefault="00E52988" w:rsidP="003420FE">
            <w:pPr>
              <w:pStyle w:val="yiv5397122630msonormal"/>
              <w:tabs>
                <w:tab w:val="center" w:pos="4513"/>
              </w:tabs>
              <w:rPr>
                <w:b/>
              </w:rPr>
            </w:pPr>
            <w:r w:rsidRPr="007F75F3">
              <w:rPr>
                <w:b/>
              </w:rPr>
              <w:t>Public religious participation</w:t>
            </w:r>
          </w:p>
        </w:tc>
      </w:tr>
      <w:tr w:rsidR="00E52988" w:rsidTr="003420FE">
        <w:tc>
          <w:tcPr>
            <w:tcW w:w="2122" w:type="dxa"/>
          </w:tcPr>
          <w:p w:rsidR="00E52988" w:rsidRDefault="00E52988" w:rsidP="003420FE">
            <w:pPr>
              <w:pStyle w:val="yiv5397122630msonormal"/>
              <w:tabs>
                <w:tab w:val="center" w:pos="4513"/>
              </w:tabs>
            </w:pPr>
            <w:r>
              <w:t>Gender, 15-19*</w:t>
            </w:r>
          </w:p>
        </w:tc>
        <w:tc>
          <w:tcPr>
            <w:tcW w:w="1559" w:type="dxa"/>
          </w:tcPr>
          <w:p w:rsidR="00E52988" w:rsidRDefault="00E52988" w:rsidP="003420FE">
            <w:pPr>
              <w:pStyle w:val="yiv5397122630msonormal"/>
              <w:tabs>
                <w:tab w:val="center" w:pos="4513"/>
              </w:tabs>
              <w:jc w:val="center"/>
            </w:pPr>
            <w:r>
              <w:t>+1.0</w:t>
            </w:r>
          </w:p>
        </w:tc>
        <w:tc>
          <w:tcPr>
            <w:tcW w:w="1417" w:type="dxa"/>
          </w:tcPr>
          <w:p w:rsidR="00E52988" w:rsidRDefault="00E52988" w:rsidP="003420FE">
            <w:pPr>
              <w:pStyle w:val="yiv5397122630msonormal"/>
              <w:tabs>
                <w:tab w:val="center" w:pos="4513"/>
              </w:tabs>
              <w:jc w:val="center"/>
            </w:pPr>
            <w:r>
              <w:t>-24</w:t>
            </w:r>
          </w:p>
        </w:tc>
        <w:tc>
          <w:tcPr>
            <w:tcW w:w="1055" w:type="dxa"/>
          </w:tcPr>
          <w:p w:rsidR="00E52988" w:rsidRDefault="00E52988" w:rsidP="003420FE">
            <w:pPr>
              <w:pStyle w:val="yiv5397122630msonormal"/>
              <w:tabs>
                <w:tab w:val="center" w:pos="4513"/>
              </w:tabs>
              <w:jc w:val="center"/>
            </w:pPr>
            <w:r>
              <w:t>0</w:t>
            </w:r>
          </w:p>
        </w:tc>
        <w:tc>
          <w:tcPr>
            <w:tcW w:w="1430" w:type="dxa"/>
          </w:tcPr>
          <w:p w:rsidR="00E52988" w:rsidRDefault="00E52988" w:rsidP="003420FE">
            <w:pPr>
              <w:pStyle w:val="yiv5397122630msonormal"/>
              <w:tabs>
                <w:tab w:val="center" w:pos="4513"/>
              </w:tabs>
              <w:jc w:val="center"/>
            </w:pPr>
            <w:r>
              <w:t>+1</w:t>
            </w:r>
          </w:p>
        </w:tc>
        <w:tc>
          <w:tcPr>
            <w:tcW w:w="1433" w:type="dxa"/>
          </w:tcPr>
          <w:p w:rsidR="00E52988" w:rsidRDefault="00E52988" w:rsidP="003420FE">
            <w:pPr>
              <w:pStyle w:val="yiv5397122630msonormal"/>
              <w:tabs>
                <w:tab w:val="center" w:pos="4513"/>
              </w:tabs>
              <w:jc w:val="center"/>
            </w:pPr>
            <w:r>
              <w:t>+20</w:t>
            </w:r>
          </w:p>
        </w:tc>
      </w:tr>
      <w:tr w:rsidR="00E52988" w:rsidTr="003420FE">
        <w:tc>
          <w:tcPr>
            <w:tcW w:w="2122" w:type="dxa"/>
          </w:tcPr>
          <w:p w:rsidR="00E52988" w:rsidRDefault="00E52988" w:rsidP="003420FE">
            <w:pPr>
              <w:pStyle w:val="yiv5397122630msonormal"/>
              <w:tabs>
                <w:tab w:val="center" w:pos="4513"/>
              </w:tabs>
            </w:pPr>
            <w:r>
              <w:t>Gender 25-29*</w:t>
            </w:r>
          </w:p>
        </w:tc>
        <w:tc>
          <w:tcPr>
            <w:tcW w:w="1559" w:type="dxa"/>
          </w:tcPr>
          <w:p w:rsidR="00E52988" w:rsidRDefault="00E52988" w:rsidP="003420FE">
            <w:pPr>
              <w:pStyle w:val="yiv5397122630msonormal"/>
              <w:tabs>
                <w:tab w:val="center" w:pos="4513"/>
              </w:tabs>
              <w:jc w:val="center"/>
            </w:pPr>
            <w:r>
              <w:t>+1.4</w:t>
            </w:r>
          </w:p>
        </w:tc>
        <w:tc>
          <w:tcPr>
            <w:tcW w:w="1417" w:type="dxa"/>
          </w:tcPr>
          <w:p w:rsidR="00E52988" w:rsidRDefault="00E52988" w:rsidP="003420FE">
            <w:pPr>
              <w:pStyle w:val="yiv5397122630msonormal"/>
              <w:tabs>
                <w:tab w:val="center" w:pos="4513"/>
              </w:tabs>
              <w:jc w:val="center"/>
            </w:pPr>
            <w:r>
              <w:t>-43</w:t>
            </w:r>
          </w:p>
        </w:tc>
        <w:tc>
          <w:tcPr>
            <w:tcW w:w="1055" w:type="dxa"/>
          </w:tcPr>
          <w:p w:rsidR="00E52988" w:rsidRDefault="00E52988" w:rsidP="003420FE">
            <w:pPr>
              <w:pStyle w:val="yiv5397122630msonormal"/>
              <w:tabs>
                <w:tab w:val="center" w:pos="4513"/>
              </w:tabs>
              <w:jc w:val="center"/>
            </w:pPr>
            <w:r>
              <w:t>-30</w:t>
            </w:r>
          </w:p>
        </w:tc>
        <w:tc>
          <w:tcPr>
            <w:tcW w:w="1430" w:type="dxa"/>
          </w:tcPr>
          <w:p w:rsidR="00E52988" w:rsidRDefault="00E52988" w:rsidP="003420FE">
            <w:pPr>
              <w:pStyle w:val="yiv5397122630msonormal"/>
              <w:tabs>
                <w:tab w:val="center" w:pos="4513"/>
              </w:tabs>
              <w:jc w:val="center"/>
            </w:pPr>
            <w:r>
              <w:t>-2</w:t>
            </w:r>
          </w:p>
        </w:tc>
        <w:tc>
          <w:tcPr>
            <w:tcW w:w="1433" w:type="dxa"/>
          </w:tcPr>
          <w:p w:rsidR="00E52988" w:rsidRDefault="00E52988" w:rsidP="003420FE">
            <w:pPr>
              <w:pStyle w:val="yiv5397122630msonormal"/>
              <w:tabs>
                <w:tab w:val="center" w:pos="4513"/>
              </w:tabs>
              <w:jc w:val="center"/>
            </w:pPr>
            <w:r>
              <w:t>+27</w:t>
            </w:r>
          </w:p>
        </w:tc>
      </w:tr>
      <w:tr w:rsidR="00E52988" w:rsidTr="003420FE">
        <w:tc>
          <w:tcPr>
            <w:tcW w:w="2122" w:type="dxa"/>
          </w:tcPr>
          <w:p w:rsidR="00E52988" w:rsidRDefault="00E52988" w:rsidP="003420FE">
            <w:pPr>
              <w:pStyle w:val="yiv5397122630msonormal"/>
              <w:tabs>
                <w:tab w:val="center" w:pos="4513"/>
              </w:tabs>
            </w:pPr>
            <w:r>
              <w:t>Fathers’ education 15-19, males**</w:t>
            </w:r>
          </w:p>
        </w:tc>
        <w:tc>
          <w:tcPr>
            <w:tcW w:w="1559" w:type="dxa"/>
          </w:tcPr>
          <w:p w:rsidR="00E52988" w:rsidRDefault="00E52988" w:rsidP="003420FE">
            <w:pPr>
              <w:pStyle w:val="yiv5397122630msonormal"/>
              <w:tabs>
                <w:tab w:val="center" w:pos="4513"/>
              </w:tabs>
              <w:jc w:val="center"/>
            </w:pPr>
            <w:r>
              <w:t>+0.7</w:t>
            </w:r>
          </w:p>
        </w:tc>
        <w:tc>
          <w:tcPr>
            <w:tcW w:w="1417" w:type="dxa"/>
          </w:tcPr>
          <w:p w:rsidR="00E52988" w:rsidRDefault="00E52988" w:rsidP="003420FE">
            <w:pPr>
              <w:pStyle w:val="yiv5397122630msonormal"/>
              <w:tabs>
                <w:tab w:val="center" w:pos="4513"/>
              </w:tabs>
              <w:jc w:val="center"/>
            </w:pPr>
            <w:r>
              <w:t>-35</w:t>
            </w:r>
          </w:p>
        </w:tc>
        <w:tc>
          <w:tcPr>
            <w:tcW w:w="1055" w:type="dxa"/>
          </w:tcPr>
          <w:p w:rsidR="00E52988" w:rsidRDefault="00E52988" w:rsidP="003420FE">
            <w:pPr>
              <w:pStyle w:val="yiv5397122630msonormal"/>
              <w:tabs>
                <w:tab w:val="center" w:pos="4513"/>
              </w:tabs>
              <w:jc w:val="center"/>
            </w:pPr>
            <w:r>
              <w:t>-25</w:t>
            </w:r>
          </w:p>
        </w:tc>
        <w:tc>
          <w:tcPr>
            <w:tcW w:w="1430" w:type="dxa"/>
          </w:tcPr>
          <w:p w:rsidR="00E52988" w:rsidRDefault="00E52988" w:rsidP="003420FE">
            <w:pPr>
              <w:pStyle w:val="yiv5397122630msonormal"/>
              <w:tabs>
                <w:tab w:val="center" w:pos="4513"/>
              </w:tabs>
              <w:jc w:val="center"/>
            </w:pPr>
            <w:r>
              <w:t>+21</w:t>
            </w:r>
          </w:p>
        </w:tc>
        <w:tc>
          <w:tcPr>
            <w:tcW w:w="1433" w:type="dxa"/>
          </w:tcPr>
          <w:p w:rsidR="00E52988" w:rsidRDefault="00E52988" w:rsidP="003420FE">
            <w:pPr>
              <w:pStyle w:val="yiv5397122630msonormal"/>
              <w:tabs>
                <w:tab w:val="center" w:pos="4513"/>
              </w:tabs>
              <w:jc w:val="center"/>
            </w:pPr>
            <w:r>
              <w:t>-6</w:t>
            </w:r>
          </w:p>
        </w:tc>
      </w:tr>
      <w:tr w:rsidR="00E52988" w:rsidTr="003420FE">
        <w:tc>
          <w:tcPr>
            <w:tcW w:w="2122" w:type="dxa"/>
          </w:tcPr>
          <w:p w:rsidR="00E52988" w:rsidRDefault="00E52988" w:rsidP="003420FE">
            <w:pPr>
              <w:pStyle w:val="yiv5397122630msonormal"/>
              <w:tabs>
                <w:tab w:val="center" w:pos="4513"/>
              </w:tabs>
            </w:pPr>
            <w:r>
              <w:t>Fathers’ education 25-29, males**</w:t>
            </w:r>
          </w:p>
        </w:tc>
        <w:tc>
          <w:tcPr>
            <w:tcW w:w="1559" w:type="dxa"/>
          </w:tcPr>
          <w:p w:rsidR="00E52988" w:rsidRDefault="00E52988" w:rsidP="003420FE">
            <w:pPr>
              <w:pStyle w:val="yiv5397122630msonormal"/>
              <w:tabs>
                <w:tab w:val="center" w:pos="4513"/>
              </w:tabs>
              <w:jc w:val="center"/>
            </w:pPr>
            <w:r>
              <w:t>+0.8</w:t>
            </w:r>
          </w:p>
        </w:tc>
        <w:tc>
          <w:tcPr>
            <w:tcW w:w="1417" w:type="dxa"/>
          </w:tcPr>
          <w:p w:rsidR="00E52988" w:rsidRDefault="00E52988" w:rsidP="003420FE">
            <w:pPr>
              <w:pStyle w:val="yiv5397122630msonormal"/>
              <w:tabs>
                <w:tab w:val="center" w:pos="4513"/>
              </w:tabs>
              <w:jc w:val="center"/>
            </w:pPr>
            <w:r>
              <w:t>-11</w:t>
            </w:r>
          </w:p>
        </w:tc>
        <w:tc>
          <w:tcPr>
            <w:tcW w:w="1055" w:type="dxa"/>
          </w:tcPr>
          <w:p w:rsidR="00E52988" w:rsidRDefault="00E52988" w:rsidP="003420FE">
            <w:pPr>
              <w:pStyle w:val="yiv5397122630msonormal"/>
              <w:tabs>
                <w:tab w:val="center" w:pos="4513"/>
              </w:tabs>
              <w:jc w:val="center"/>
            </w:pPr>
            <w:r>
              <w:t>-14</w:t>
            </w:r>
          </w:p>
        </w:tc>
        <w:tc>
          <w:tcPr>
            <w:tcW w:w="1430" w:type="dxa"/>
          </w:tcPr>
          <w:p w:rsidR="00E52988" w:rsidRDefault="00E52988" w:rsidP="003420FE">
            <w:pPr>
              <w:pStyle w:val="yiv5397122630msonormal"/>
              <w:tabs>
                <w:tab w:val="center" w:pos="4513"/>
              </w:tabs>
              <w:jc w:val="center"/>
            </w:pPr>
            <w:r>
              <w:t>+6</w:t>
            </w:r>
          </w:p>
        </w:tc>
        <w:tc>
          <w:tcPr>
            <w:tcW w:w="1433" w:type="dxa"/>
          </w:tcPr>
          <w:p w:rsidR="00E52988" w:rsidRDefault="00E52988" w:rsidP="003420FE">
            <w:pPr>
              <w:pStyle w:val="yiv5397122630msonormal"/>
              <w:tabs>
                <w:tab w:val="center" w:pos="4513"/>
              </w:tabs>
              <w:jc w:val="center"/>
            </w:pPr>
            <w:r>
              <w:t>-11</w:t>
            </w:r>
          </w:p>
        </w:tc>
      </w:tr>
      <w:tr w:rsidR="00E52988" w:rsidTr="003420FE">
        <w:tc>
          <w:tcPr>
            <w:tcW w:w="2122" w:type="dxa"/>
          </w:tcPr>
          <w:p w:rsidR="00E52988" w:rsidRDefault="00E52988" w:rsidP="003420FE">
            <w:pPr>
              <w:pStyle w:val="yiv5397122630msonormal"/>
              <w:tabs>
                <w:tab w:val="center" w:pos="4513"/>
              </w:tabs>
            </w:pPr>
            <w:r>
              <w:t>Fathers’ education 15-19, females**</w:t>
            </w:r>
          </w:p>
        </w:tc>
        <w:tc>
          <w:tcPr>
            <w:tcW w:w="1559" w:type="dxa"/>
          </w:tcPr>
          <w:p w:rsidR="00E52988" w:rsidRDefault="00E52988" w:rsidP="003420FE">
            <w:pPr>
              <w:pStyle w:val="yiv5397122630msonormal"/>
              <w:tabs>
                <w:tab w:val="center" w:pos="4513"/>
              </w:tabs>
              <w:jc w:val="center"/>
            </w:pPr>
            <w:r>
              <w:t>+0.9</w:t>
            </w:r>
          </w:p>
        </w:tc>
        <w:tc>
          <w:tcPr>
            <w:tcW w:w="1417" w:type="dxa"/>
          </w:tcPr>
          <w:p w:rsidR="00E52988" w:rsidRDefault="00E52988" w:rsidP="003420FE">
            <w:pPr>
              <w:pStyle w:val="yiv5397122630msonormal"/>
              <w:tabs>
                <w:tab w:val="center" w:pos="4513"/>
              </w:tabs>
              <w:jc w:val="center"/>
            </w:pPr>
            <w:r>
              <w:t>-29</w:t>
            </w:r>
          </w:p>
        </w:tc>
        <w:tc>
          <w:tcPr>
            <w:tcW w:w="1055" w:type="dxa"/>
          </w:tcPr>
          <w:p w:rsidR="00E52988" w:rsidRDefault="00E52988" w:rsidP="003420FE">
            <w:pPr>
              <w:pStyle w:val="yiv5397122630msonormal"/>
              <w:tabs>
                <w:tab w:val="center" w:pos="4513"/>
              </w:tabs>
              <w:jc w:val="center"/>
            </w:pPr>
            <w:r>
              <w:t>-21</w:t>
            </w:r>
          </w:p>
        </w:tc>
        <w:tc>
          <w:tcPr>
            <w:tcW w:w="1430" w:type="dxa"/>
          </w:tcPr>
          <w:p w:rsidR="00E52988" w:rsidRDefault="00E52988" w:rsidP="003420FE">
            <w:pPr>
              <w:pStyle w:val="yiv5397122630msonormal"/>
              <w:tabs>
                <w:tab w:val="center" w:pos="4513"/>
              </w:tabs>
              <w:jc w:val="center"/>
            </w:pPr>
            <w:r>
              <w:t>+24</w:t>
            </w:r>
          </w:p>
        </w:tc>
        <w:tc>
          <w:tcPr>
            <w:tcW w:w="1433" w:type="dxa"/>
          </w:tcPr>
          <w:p w:rsidR="00E52988" w:rsidRDefault="00E52988" w:rsidP="003420FE">
            <w:pPr>
              <w:pStyle w:val="yiv5397122630msonormal"/>
              <w:tabs>
                <w:tab w:val="center" w:pos="4513"/>
              </w:tabs>
              <w:jc w:val="center"/>
            </w:pPr>
            <w:r>
              <w:t>-4</w:t>
            </w:r>
          </w:p>
        </w:tc>
      </w:tr>
      <w:tr w:rsidR="00E52988" w:rsidTr="003420FE">
        <w:tc>
          <w:tcPr>
            <w:tcW w:w="2122" w:type="dxa"/>
          </w:tcPr>
          <w:p w:rsidR="00E52988" w:rsidRDefault="00E52988" w:rsidP="003420FE">
            <w:pPr>
              <w:pStyle w:val="yiv5397122630msonormal"/>
              <w:tabs>
                <w:tab w:val="center" w:pos="4513"/>
              </w:tabs>
            </w:pPr>
            <w:r>
              <w:t>Fathers’ education 25-29, females**</w:t>
            </w:r>
          </w:p>
        </w:tc>
        <w:tc>
          <w:tcPr>
            <w:tcW w:w="1559" w:type="dxa"/>
          </w:tcPr>
          <w:p w:rsidR="00E52988" w:rsidRDefault="00E52988" w:rsidP="003420FE">
            <w:pPr>
              <w:pStyle w:val="yiv5397122630msonormal"/>
              <w:tabs>
                <w:tab w:val="center" w:pos="4513"/>
              </w:tabs>
              <w:jc w:val="center"/>
            </w:pPr>
            <w:r>
              <w:t>+1.1</w:t>
            </w:r>
          </w:p>
        </w:tc>
        <w:tc>
          <w:tcPr>
            <w:tcW w:w="1417" w:type="dxa"/>
          </w:tcPr>
          <w:p w:rsidR="00E52988" w:rsidRDefault="00E52988" w:rsidP="003420FE">
            <w:pPr>
              <w:pStyle w:val="yiv5397122630msonormal"/>
              <w:tabs>
                <w:tab w:val="center" w:pos="4513"/>
              </w:tabs>
              <w:jc w:val="center"/>
            </w:pPr>
            <w:r>
              <w:t>-14</w:t>
            </w:r>
          </w:p>
        </w:tc>
        <w:tc>
          <w:tcPr>
            <w:tcW w:w="1055" w:type="dxa"/>
          </w:tcPr>
          <w:p w:rsidR="00E52988" w:rsidRDefault="00E52988" w:rsidP="003420FE">
            <w:pPr>
              <w:pStyle w:val="yiv5397122630msonormal"/>
              <w:tabs>
                <w:tab w:val="center" w:pos="4513"/>
              </w:tabs>
              <w:jc w:val="center"/>
            </w:pPr>
            <w:r>
              <w:t>-6</w:t>
            </w:r>
          </w:p>
        </w:tc>
        <w:tc>
          <w:tcPr>
            <w:tcW w:w="1430" w:type="dxa"/>
          </w:tcPr>
          <w:p w:rsidR="00E52988" w:rsidRDefault="00E52988" w:rsidP="003420FE">
            <w:pPr>
              <w:pStyle w:val="yiv5397122630msonormal"/>
              <w:tabs>
                <w:tab w:val="center" w:pos="4513"/>
              </w:tabs>
              <w:jc w:val="center"/>
            </w:pPr>
            <w:r>
              <w:t>+24</w:t>
            </w:r>
          </w:p>
        </w:tc>
        <w:tc>
          <w:tcPr>
            <w:tcW w:w="1433" w:type="dxa"/>
          </w:tcPr>
          <w:p w:rsidR="00E52988" w:rsidRDefault="00E52988" w:rsidP="003420FE">
            <w:pPr>
              <w:pStyle w:val="yiv5397122630msonormal"/>
              <w:tabs>
                <w:tab w:val="center" w:pos="4513"/>
              </w:tabs>
              <w:jc w:val="center"/>
            </w:pPr>
            <w:r>
              <w:t>-4</w:t>
            </w:r>
          </w:p>
        </w:tc>
      </w:tr>
      <w:tr w:rsidR="00E52988" w:rsidTr="003420FE">
        <w:tc>
          <w:tcPr>
            <w:tcW w:w="2122" w:type="dxa"/>
          </w:tcPr>
          <w:p w:rsidR="00E52988" w:rsidRDefault="00E52988" w:rsidP="003420FE">
            <w:pPr>
              <w:pStyle w:val="yiv5397122630msonormal"/>
              <w:tabs>
                <w:tab w:val="center" w:pos="4513"/>
              </w:tabs>
            </w:pPr>
            <w:r>
              <w:t>Respondents’ higher education,  25-29, males**</w:t>
            </w:r>
          </w:p>
        </w:tc>
        <w:tc>
          <w:tcPr>
            <w:tcW w:w="1559" w:type="dxa"/>
          </w:tcPr>
          <w:p w:rsidR="00E52988" w:rsidRDefault="00E52988" w:rsidP="003420FE">
            <w:pPr>
              <w:pStyle w:val="yiv5397122630msonormal"/>
              <w:tabs>
                <w:tab w:val="center" w:pos="4513"/>
              </w:tabs>
              <w:jc w:val="center"/>
            </w:pPr>
            <w:r>
              <w:t>+0.2</w:t>
            </w:r>
          </w:p>
        </w:tc>
        <w:tc>
          <w:tcPr>
            <w:tcW w:w="1417" w:type="dxa"/>
          </w:tcPr>
          <w:p w:rsidR="00E52988" w:rsidRDefault="00E52988" w:rsidP="003420FE">
            <w:pPr>
              <w:pStyle w:val="yiv5397122630msonormal"/>
              <w:tabs>
                <w:tab w:val="center" w:pos="4513"/>
              </w:tabs>
              <w:jc w:val="center"/>
            </w:pPr>
            <w:r>
              <w:t>-25</w:t>
            </w:r>
          </w:p>
        </w:tc>
        <w:tc>
          <w:tcPr>
            <w:tcW w:w="1055" w:type="dxa"/>
          </w:tcPr>
          <w:p w:rsidR="00E52988" w:rsidRDefault="00E52988" w:rsidP="003420FE">
            <w:pPr>
              <w:pStyle w:val="yiv5397122630msonormal"/>
              <w:tabs>
                <w:tab w:val="center" w:pos="4513"/>
              </w:tabs>
              <w:jc w:val="center"/>
            </w:pPr>
            <w:r>
              <w:t>-1</w:t>
            </w:r>
          </w:p>
        </w:tc>
        <w:tc>
          <w:tcPr>
            <w:tcW w:w="1430" w:type="dxa"/>
          </w:tcPr>
          <w:p w:rsidR="00E52988" w:rsidRDefault="00E52988" w:rsidP="003420FE">
            <w:pPr>
              <w:pStyle w:val="yiv5397122630msonormal"/>
              <w:tabs>
                <w:tab w:val="center" w:pos="4513"/>
              </w:tabs>
              <w:jc w:val="center"/>
            </w:pPr>
            <w:r>
              <w:t>+4</w:t>
            </w:r>
          </w:p>
        </w:tc>
        <w:tc>
          <w:tcPr>
            <w:tcW w:w="1433" w:type="dxa"/>
          </w:tcPr>
          <w:p w:rsidR="00E52988" w:rsidRDefault="00E52988" w:rsidP="003420FE">
            <w:pPr>
              <w:pStyle w:val="yiv5397122630msonormal"/>
              <w:tabs>
                <w:tab w:val="center" w:pos="4513"/>
              </w:tabs>
              <w:jc w:val="center"/>
            </w:pPr>
            <w:r>
              <w:t>-2</w:t>
            </w:r>
          </w:p>
        </w:tc>
      </w:tr>
      <w:tr w:rsidR="00E52988" w:rsidTr="003420FE">
        <w:tc>
          <w:tcPr>
            <w:tcW w:w="2122" w:type="dxa"/>
          </w:tcPr>
          <w:p w:rsidR="00E52988" w:rsidRDefault="00E52988" w:rsidP="003420FE">
            <w:pPr>
              <w:pStyle w:val="yiv5397122630msonormal"/>
              <w:tabs>
                <w:tab w:val="center" w:pos="4513"/>
              </w:tabs>
            </w:pPr>
            <w:r>
              <w:t>Respondents’ higher education, 25-29, females**</w:t>
            </w:r>
          </w:p>
        </w:tc>
        <w:tc>
          <w:tcPr>
            <w:tcW w:w="1559" w:type="dxa"/>
          </w:tcPr>
          <w:p w:rsidR="00E52988" w:rsidRDefault="00E52988" w:rsidP="003420FE">
            <w:pPr>
              <w:pStyle w:val="yiv5397122630msonormal"/>
              <w:tabs>
                <w:tab w:val="center" w:pos="4513"/>
              </w:tabs>
              <w:jc w:val="center"/>
            </w:pPr>
            <w:r>
              <w:t>+0.2</w:t>
            </w:r>
          </w:p>
        </w:tc>
        <w:tc>
          <w:tcPr>
            <w:tcW w:w="1417" w:type="dxa"/>
          </w:tcPr>
          <w:p w:rsidR="00E52988" w:rsidRDefault="00E52988" w:rsidP="003420FE">
            <w:pPr>
              <w:pStyle w:val="yiv5397122630msonormal"/>
              <w:tabs>
                <w:tab w:val="center" w:pos="4513"/>
              </w:tabs>
              <w:jc w:val="center"/>
            </w:pPr>
            <w:r>
              <w:t>-48</w:t>
            </w:r>
          </w:p>
        </w:tc>
        <w:tc>
          <w:tcPr>
            <w:tcW w:w="1055" w:type="dxa"/>
          </w:tcPr>
          <w:p w:rsidR="00E52988" w:rsidRDefault="00E52988" w:rsidP="003420FE">
            <w:pPr>
              <w:pStyle w:val="yiv5397122630msonormal"/>
              <w:tabs>
                <w:tab w:val="center" w:pos="4513"/>
              </w:tabs>
              <w:jc w:val="center"/>
            </w:pPr>
            <w:r>
              <w:t>-4</w:t>
            </w:r>
          </w:p>
        </w:tc>
        <w:tc>
          <w:tcPr>
            <w:tcW w:w="1430" w:type="dxa"/>
          </w:tcPr>
          <w:p w:rsidR="00E52988" w:rsidRDefault="00E52988" w:rsidP="003420FE">
            <w:pPr>
              <w:pStyle w:val="yiv5397122630msonormal"/>
              <w:tabs>
                <w:tab w:val="center" w:pos="4513"/>
              </w:tabs>
              <w:jc w:val="center"/>
            </w:pPr>
            <w:r>
              <w:t>+14</w:t>
            </w:r>
          </w:p>
        </w:tc>
        <w:tc>
          <w:tcPr>
            <w:tcW w:w="1433" w:type="dxa"/>
          </w:tcPr>
          <w:p w:rsidR="00E52988" w:rsidRDefault="00E52988" w:rsidP="003420FE">
            <w:pPr>
              <w:pStyle w:val="yiv5397122630msonormal"/>
              <w:tabs>
                <w:tab w:val="center" w:pos="4513"/>
              </w:tabs>
              <w:jc w:val="center"/>
            </w:pPr>
            <w:r>
              <w:t>-3</w:t>
            </w:r>
          </w:p>
        </w:tc>
      </w:tr>
      <w:tr w:rsidR="00E52988" w:rsidTr="003420FE">
        <w:tc>
          <w:tcPr>
            <w:tcW w:w="2122" w:type="dxa"/>
          </w:tcPr>
          <w:p w:rsidR="00E52988" w:rsidRDefault="00E52988" w:rsidP="003420FE">
            <w:pPr>
              <w:pStyle w:val="yiv5397122630msonormal"/>
              <w:tabs>
                <w:tab w:val="center" w:pos="4513"/>
              </w:tabs>
            </w:pPr>
            <w:r>
              <w:t>Respondents’ labour force positions, 25-29, males***</w:t>
            </w:r>
          </w:p>
        </w:tc>
        <w:tc>
          <w:tcPr>
            <w:tcW w:w="1559" w:type="dxa"/>
          </w:tcPr>
          <w:p w:rsidR="00E52988" w:rsidRDefault="00E52988" w:rsidP="003420FE">
            <w:pPr>
              <w:pStyle w:val="yiv5397122630msonormal"/>
              <w:tabs>
                <w:tab w:val="center" w:pos="4513"/>
              </w:tabs>
              <w:jc w:val="center"/>
            </w:pPr>
            <w:r>
              <w:t>0</w:t>
            </w:r>
          </w:p>
        </w:tc>
        <w:tc>
          <w:tcPr>
            <w:tcW w:w="1417" w:type="dxa"/>
          </w:tcPr>
          <w:p w:rsidR="00E52988" w:rsidRDefault="00E52988" w:rsidP="003420FE">
            <w:pPr>
              <w:pStyle w:val="yiv5397122630msonormal"/>
              <w:tabs>
                <w:tab w:val="center" w:pos="4513"/>
              </w:tabs>
              <w:jc w:val="center"/>
            </w:pPr>
            <w:r>
              <w:t>-56</w:t>
            </w:r>
          </w:p>
        </w:tc>
        <w:tc>
          <w:tcPr>
            <w:tcW w:w="1055" w:type="dxa"/>
          </w:tcPr>
          <w:p w:rsidR="00E52988" w:rsidRDefault="00E52988" w:rsidP="003420FE">
            <w:pPr>
              <w:pStyle w:val="yiv5397122630msonormal"/>
              <w:tabs>
                <w:tab w:val="center" w:pos="4513"/>
              </w:tabs>
              <w:jc w:val="center"/>
            </w:pPr>
            <w:r>
              <w:t>-20</w:t>
            </w:r>
          </w:p>
        </w:tc>
        <w:tc>
          <w:tcPr>
            <w:tcW w:w="1430" w:type="dxa"/>
          </w:tcPr>
          <w:p w:rsidR="00E52988" w:rsidRDefault="00E52988" w:rsidP="003420FE">
            <w:pPr>
              <w:pStyle w:val="yiv5397122630msonormal"/>
              <w:tabs>
                <w:tab w:val="center" w:pos="4513"/>
              </w:tabs>
              <w:jc w:val="center"/>
            </w:pPr>
            <w:r>
              <w:t>+10</w:t>
            </w:r>
          </w:p>
        </w:tc>
        <w:tc>
          <w:tcPr>
            <w:tcW w:w="1433" w:type="dxa"/>
          </w:tcPr>
          <w:p w:rsidR="00E52988" w:rsidRDefault="00E52988" w:rsidP="003420FE">
            <w:pPr>
              <w:pStyle w:val="yiv5397122630msonormal"/>
              <w:tabs>
                <w:tab w:val="center" w:pos="4513"/>
              </w:tabs>
              <w:jc w:val="center"/>
            </w:pPr>
            <w:r>
              <w:t>-4</w:t>
            </w:r>
          </w:p>
        </w:tc>
      </w:tr>
      <w:tr w:rsidR="00E52988" w:rsidTr="003420FE">
        <w:tc>
          <w:tcPr>
            <w:tcW w:w="2122" w:type="dxa"/>
          </w:tcPr>
          <w:p w:rsidR="00E52988" w:rsidRDefault="00E52988" w:rsidP="003420FE">
            <w:pPr>
              <w:pStyle w:val="yiv5397122630msonormal"/>
              <w:tabs>
                <w:tab w:val="center" w:pos="4513"/>
              </w:tabs>
            </w:pPr>
            <w:r>
              <w:t>Respondents’ labour force positions, 25-29, females***</w:t>
            </w:r>
          </w:p>
        </w:tc>
        <w:tc>
          <w:tcPr>
            <w:tcW w:w="1559" w:type="dxa"/>
          </w:tcPr>
          <w:p w:rsidR="00E52988" w:rsidRDefault="00E52988" w:rsidP="003420FE">
            <w:pPr>
              <w:pStyle w:val="yiv5397122630msonormal"/>
              <w:tabs>
                <w:tab w:val="center" w:pos="4513"/>
              </w:tabs>
              <w:jc w:val="center"/>
            </w:pPr>
            <w:r>
              <w:t>-0.1</w:t>
            </w:r>
          </w:p>
        </w:tc>
        <w:tc>
          <w:tcPr>
            <w:tcW w:w="1417" w:type="dxa"/>
          </w:tcPr>
          <w:p w:rsidR="00E52988" w:rsidRDefault="00E52988" w:rsidP="003420FE">
            <w:pPr>
              <w:pStyle w:val="yiv5397122630msonormal"/>
              <w:tabs>
                <w:tab w:val="center" w:pos="4513"/>
              </w:tabs>
              <w:jc w:val="center"/>
            </w:pPr>
            <w:r>
              <w:t>-59</w:t>
            </w:r>
          </w:p>
        </w:tc>
        <w:tc>
          <w:tcPr>
            <w:tcW w:w="1055" w:type="dxa"/>
          </w:tcPr>
          <w:p w:rsidR="00E52988" w:rsidRDefault="00E52988" w:rsidP="003420FE">
            <w:pPr>
              <w:pStyle w:val="yiv5397122630msonormal"/>
              <w:tabs>
                <w:tab w:val="center" w:pos="4513"/>
              </w:tabs>
              <w:jc w:val="center"/>
            </w:pPr>
            <w:r>
              <w:t>-22</w:t>
            </w:r>
          </w:p>
        </w:tc>
        <w:tc>
          <w:tcPr>
            <w:tcW w:w="1430" w:type="dxa"/>
          </w:tcPr>
          <w:p w:rsidR="00E52988" w:rsidRDefault="00E52988" w:rsidP="003420FE">
            <w:pPr>
              <w:pStyle w:val="yiv5397122630msonormal"/>
              <w:tabs>
                <w:tab w:val="center" w:pos="4513"/>
              </w:tabs>
              <w:jc w:val="center"/>
            </w:pPr>
            <w:r>
              <w:t>+5</w:t>
            </w:r>
          </w:p>
        </w:tc>
        <w:tc>
          <w:tcPr>
            <w:tcW w:w="1433" w:type="dxa"/>
          </w:tcPr>
          <w:p w:rsidR="00E52988" w:rsidRDefault="00E52988" w:rsidP="003420FE">
            <w:pPr>
              <w:pStyle w:val="yiv5397122630msonormal"/>
              <w:tabs>
                <w:tab w:val="center" w:pos="4513"/>
              </w:tabs>
              <w:jc w:val="center"/>
            </w:pPr>
            <w:r>
              <w:t>0</w:t>
            </w:r>
          </w:p>
        </w:tc>
      </w:tr>
    </w:tbl>
    <w:p w:rsidR="00E52988" w:rsidRDefault="00E52988" w:rsidP="00E52988">
      <w:pPr>
        <w:pStyle w:val="yiv5397122630msonormal"/>
        <w:tabs>
          <w:tab w:val="center" w:pos="4513"/>
        </w:tabs>
      </w:pPr>
      <w:r>
        <w:t>*Males ahead +, females ahead -.</w:t>
      </w:r>
    </w:p>
    <w:p w:rsidR="00E52988" w:rsidRDefault="00E52988" w:rsidP="00E52988">
      <w:pPr>
        <w:pStyle w:val="yiv5397122630msonormal"/>
        <w:tabs>
          <w:tab w:val="center" w:pos="4513"/>
        </w:tabs>
      </w:pPr>
      <w:r>
        <w:t>**Higher educated ahead +, less educated ahead –.</w:t>
      </w:r>
    </w:p>
    <w:p w:rsidR="00E52988" w:rsidRDefault="00E52988" w:rsidP="00E52988">
      <w:pPr>
        <w:pStyle w:val="yiv5397122630msonormal"/>
        <w:tabs>
          <w:tab w:val="center" w:pos="4513"/>
        </w:tabs>
      </w:pPr>
      <w:r>
        <w:t>****Higher positions ahead +, other positions ahead -.</w:t>
      </w:r>
    </w:p>
    <w:p w:rsidR="00E52988" w:rsidRDefault="00E52988" w:rsidP="00E52988">
      <w:pPr>
        <w:pStyle w:val="yiv5397122630msonormal"/>
        <w:tabs>
          <w:tab w:val="center" w:pos="4513"/>
        </w:tabs>
      </w:pPr>
    </w:p>
    <w:p w:rsidR="00E52988" w:rsidRDefault="00E52988" w:rsidP="00E52988">
      <w:pPr>
        <w:pStyle w:val="BodyText"/>
      </w:pPr>
      <w:r w:rsidRPr="00562708">
        <w:t xml:space="preserve">Table </w:t>
      </w:r>
      <w:r>
        <w:t xml:space="preserve">IX condenses our findings by presenting the mini-max gaps in uses of free time by the variables listed in the left-hand column. Downward comparisons show which variables were making the greatest difference to the various uses of free time. We can see immediately the widespread and enduring influence of gender except in memberships of community associations. Family class origins also make an enduring difference to participation in out-of-home leisure activities and community associations. Respondents’ achievements in education and positions in or outside the labour force have become major influences on time spent watching television and online by age 25-29, and community association memberships also, thereby partly replacing class origins while reproducing the class differences that were found among 15-19 year olds (see also Roberts et al, 2018b). Social class origins, alongside gender, remained the main source of differences in rates of ‘going out’ in our oldest. 25-29 year old, age group. Thus in terms of free time uses, during the extended youth life stage the sexes were pulling further apart while social classes stayed apart. </w:t>
      </w:r>
    </w:p>
    <w:p w:rsidR="00E52988" w:rsidRPr="00B86E7C" w:rsidRDefault="00E52988" w:rsidP="00E52988">
      <w:pPr>
        <w:jc w:val="center"/>
        <w:rPr>
          <w:b/>
        </w:rPr>
      </w:pPr>
      <w:r w:rsidRPr="00B86E7C">
        <w:rPr>
          <w:b/>
        </w:rPr>
        <w:t>CONCLUSIONS</w:t>
      </w:r>
    </w:p>
    <w:p w:rsidR="00E52988" w:rsidRDefault="00E52988" w:rsidP="00E52988">
      <w:pPr>
        <w:pStyle w:val="BodyText"/>
      </w:pPr>
      <w:r>
        <w:t xml:space="preserve">The case for examining Big Leisure during </w:t>
      </w:r>
      <w:r w:rsidR="006A33CF">
        <w:t xml:space="preserve">an </w:t>
      </w:r>
      <w:r>
        <w:t>extended present-day youth life stage is the possibility of identifying underlying reformation</w:t>
      </w:r>
      <w:r w:rsidR="006A33CF">
        <w:t>s</w:t>
      </w:r>
      <w:r>
        <w:t xml:space="preserve"> of class, gender and other social divisions. Examining different ‘little leisures’ produces mixed results, all societally inconsequential (Roberts et al, 2011). Changes in social </w:t>
      </w:r>
      <w:r w:rsidR="006A33CF">
        <w:t>divisions</w:t>
      </w:r>
      <w:r>
        <w:t xml:space="preserve"> in Big Leisure are more likely to destabilise a societal status quo, and both researchers and politicians have usually looked to youth to propel reforms. However, researchers must allow their findings to offer evidence of reproduction as well as transformation, and we have found more of the former in the South and East Mediterranean. The countries have been changing with young people in the vanguard, but in experiencing the effects rather than as change drivers. Demography has been the main driver. Since the mid-20</w:t>
      </w:r>
      <w:r w:rsidRPr="00802B09">
        <w:rPr>
          <w:vertAlign w:val="superscript"/>
        </w:rPr>
        <w:t>th</w:t>
      </w:r>
      <w:r>
        <w:t xml:space="preserve"> century the populations have quadrupled. The economies have not created jobs at an equivalent pace, and unemployment had been held in check only through the creation of swaths of low income self-employment and precarious low paid informal jobs, and leaving most women outside the labour force (Kovacheva et al, 2018a). Many young people are discontented and express this in recurrent street protests, then nothing changes (Roberts et al, 2018d).</w:t>
      </w:r>
      <w:r w:rsidR="006A33CF">
        <w:t xml:space="preserve"> Protests were recurrent throughout the years preceding and have continued since 2011. Throughout political turbulence and stability, social divisions have remained constant in young people’s uses of free time.</w:t>
      </w:r>
    </w:p>
    <w:p w:rsidR="00E52988" w:rsidRDefault="00E52988" w:rsidP="001E1D74">
      <w:pPr>
        <w:pStyle w:val="BodyText"/>
      </w:pPr>
    </w:p>
    <w:p w:rsidR="00E52988" w:rsidRPr="00C142B0" w:rsidRDefault="00E52988" w:rsidP="001E1D74">
      <w:pPr>
        <w:pStyle w:val="BodyText"/>
        <w:rPr>
          <w:b/>
        </w:rPr>
      </w:pPr>
      <w:r>
        <w:t xml:space="preserve">It is a mistake to treat the South and East Mediterranean region as ‘developing’, situated somewhere between tradition and Western modernity. These are already modern societies. They have modern systems of public administration, education and health services (hence the decline in mortality rates and spectacular population growth). The societies and their people are part of global information flows and networks, and of the financialised global market economy. It is no longer possible for such recently modernised countries to absorb their swollen populations in manufacturing which then generates the wealth to employ more in business and consumer services, draws women into the paid workforces, and creates surges in upward social mobility. Young people are reproducing their countries’ versions of modern social roles and divisions in the course of building the best lives possible for themselves in the societies as they find them. These processes are exposed in Big Leisure. </w:t>
      </w:r>
      <w:r w:rsidR="006A33CF">
        <w:t>Here we see g</w:t>
      </w:r>
      <w:r>
        <w:t>ender divisions being reproduced, and likewise class divisions that were originally formed in young people’s childhood families. These processes of reproduction are sustaining Arab-Islamic examples in a</w:t>
      </w:r>
      <w:r w:rsidR="006A33CF">
        <w:t xml:space="preserve"> 21</w:t>
      </w:r>
      <w:r w:rsidR="006A33CF" w:rsidRPr="006A33CF">
        <w:rPr>
          <w:vertAlign w:val="superscript"/>
        </w:rPr>
        <w:t>st</w:t>
      </w:r>
      <w:r w:rsidR="006A33CF">
        <w:t xml:space="preserve"> century era </w:t>
      </w:r>
      <w:r>
        <w:t>of multiple m</w:t>
      </w:r>
      <w:bookmarkStart w:id="0" w:name="_GoBack"/>
      <w:bookmarkEnd w:id="0"/>
      <w:r>
        <w:t xml:space="preserve">odernities (see Roberts et al, 2017).  </w:t>
      </w:r>
      <w:r w:rsidRPr="00D30FF1">
        <w:rPr>
          <w:b/>
        </w:rPr>
        <w:br w:type="page"/>
      </w:r>
      <w:r w:rsidRPr="00C142B0">
        <w:rPr>
          <w:b/>
        </w:rPr>
        <w:t>References</w:t>
      </w:r>
    </w:p>
    <w:p w:rsidR="00E52988" w:rsidRDefault="00E52988" w:rsidP="00E52988">
      <w:pPr>
        <w:spacing w:after="160" w:line="240" w:lineRule="auto"/>
      </w:pPr>
      <w:r>
        <w:t xml:space="preserve">Amour P O (2018), ‘The Arab Spring movement: the failed revolution. Preliminary theoretical and empirical deliberation’, in Amour, P O, ed, </w:t>
      </w:r>
      <w:r w:rsidRPr="0041659A">
        <w:rPr>
          <w:i/>
        </w:rPr>
        <w:t>The Middle East Reloaded: Revolutionary Changes, Power Dynamics and Regional Rivalries Since the Arab Spring,</w:t>
      </w:r>
      <w:r>
        <w:t xml:space="preserve"> Academia Press, Washington DC, 199-224. </w:t>
      </w:r>
    </w:p>
    <w:p w:rsidR="00E52988" w:rsidRDefault="00E52988" w:rsidP="00E52988">
      <w:pPr>
        <w:pStyle w:val="BodyText"/>
        <w:spacing w:line="240" w:lineRule="auto"/>
      </w:pPr>
      <w:r>
        <w:t xml:space="preserve">Bennett A (2006), ‘Punk’s not dead: the continuing significance of punk rock for an older generation of fans’, </w:t>
      </w:r>
      <w:r w:rsidRPr="002618C9">
        <w:rPr>
          <w:i/>
        </w:rPr>
        <w:t>Sociology,</w:t>
      </w:r>
      <w:r>
        <w:t xml:space="preserve"> 40, 219-235.</w:t>
      </w:r>
    </w:p>
    <w:p w:rsidR="00E52988" w:rsidRPr="008B6107" w:rsidRDefault="00E52988" w:rsidP="00E52988">
      <w:pPr>
        <w:pStyle w:val="BodyText"/>
        <w:spacing w:line="240" w:lineRule="auto"/>
      </w:pPr>
      <w:r w:rsidRPr="008B6107">
        <w:t xml:space="preserve">Bennett A (2013), </w:t>
      </w:r>
      <w:r w:rsidRPr="008B6107">
        <w:rPr>
          <w:i/>
        </w:rPr>
        <w:t>Music, Style and Ageing: Growing Old Disgracefully</w:t>
      </w:r>
      <w:r w:rsidRPr="008B6107">
        <w:t>, Temple University Press, Philadelphia.</w:t>
      </w:r>
    </w:p>
    <w:p w:rsidR="00E52988" w:rsidRPr="00B73B82" w:rsidRDefault="00E52988" w:rsidP="00E52988">
      <w:pPr>
        <w:pStyle w:val="BodyText"/>
        <w:spacing w:line="240" w:lineRule="auto"/>
      </w:pPr>
      <w:r w:rsidRPr="00B73B82">
        <w:t xml:space="preserve">Bennett A and Hodkinson P, eds (2012), </w:t>
      </w:r>
      <w:r w:rsidRPr="00B73B82">
        <w:rPr>
          <w:i/>
        </w:rPr>
        <w:t>Ageing and Youth Cultures</w:t>
      </w:r>
      <w:r w:rsidRPr="00B73B82">
        <w:t>, Berg, Oxford.</w:t>
      </w:r>
    </w:p>
    <w:p w:rsidR="00E52988" w:rsidRDefault="00E52988" w:rsidP="00E52988">
      <w:pPr>
        <w:pStyle w:val="BodyText"/>
        <w:spacing w:line="240" w:lineRule="auto"/>
      </w:pPr>
      <w:r w:rsidRPr="00B73B82">
        <w:t xml:space="preserve">Birchwood D, Roberts K and Pollock G (2008), ‘Explaining differences in sport participation rates among young adults: evidence from the South Caucasus’, </w:t>
      </w:r>
      <w:r w:rsidRPr="00B73B82">
        <w:rPr>
          <w:i/>
        </w:rPr>
        <w:t>European Physical Education Review,</w:t>
      </w:r>
      <w:r w:rsidRPr="00B73B82">
        <w:t xml:space="preserve"> 14, 283-300.</w:t>
      </w:r>
    </w:p>
    <w:p w:rsidR="00E52988" w:rsidRPr="00B73B82" w:rsidRDefault="00E52988" w:rsidP="00E52988">
      <w:pPr>
        <w:pStyle w:val="BodyText"/>
        <w:spacing w:line="240" w:lineRule="auto"/>
      </w:pPr>
      <w:r>
        <w:t xml:space="preserve">Erikson E H (1968), </w:t>
      </w:r>
      <w:r w:rsidRPr="00740BCB">
        <w:rPr>
          <w:i/>
        </w:rPr>
        <w:t>Identity: Youth and Crisis</w:t>
      </w:r>
      <w:r>
        <w:t>, Norton, New York.</w:t>
      </w:r>
    </w:p>
    <w:p w:rsidR="00E52988" w:rsidRDefault="00E52988" w:rsidP="00E52988">
      <w:pPr>
        <w:pStyle w:val="BodyText"/>
        <w:spacing w:line="240" w:lineRule="auto"/>
      </w:pPr>
      <w:r>
        <w:t xml:space="preserve">Hall G S (1904), </w:t>
      </w:r>
      <w:r w:rsidRPr="00196C62">
        <w:rPr>
          <w:i/>
        </w:rPr>
        <w:t>Adolescence,</w:t>
      </w:r>
      <w:r>
        <w:t xml:space="preserve"> Appleton, New York.</w:t>
      </w:r>
    </w:p>
    <w:p w:rsidR="00E52988" w:rsidRDefault="00E52988" w:rsidP="00E52988">
      <w:pPr>
        <w:pStyle w:val="BodyText"/>
        <w:spacing w:line="240" w:lineRule="auto"/>
      </w:pPr>
      <w:r>
        <w:t xml:space="preserve">Haycock D and Smith A (2014), ‘A family affair? Exploring the influence of childhood sports socialisation on young adults’ leisure sports careers in north-west England’, </w:t>
      </w:r>
      <w:r w:rsidRPr="00025B7C">
        <w:rPr>
          <w:i/>
        </w:rPr>
        <w:t>Leisure Studies</w:t>
      </w:r>
      <w:r>
        <w:t>, 33, 285-304.</w:t>
      </w:r>
    </w:p>
    <w:p w:rsidR="00E52988" w:rsidRDefault="00E52988" w:rsidP="00E52988">
      <w:pPr>
        <w:pStyle w:val="BodyText"/>
        <w:spacing w:line="240" w:lineRule="auto"/>
      </w:pPr>
      <w:r>
        <w:t xml:space="preserve">Hendry L B (1983), </w:t>
      </w:r>
      <w:r w:rsidRPr="002141B9">
        <w:rPr>
          <w:i/>
        </w:rPr>
        <w:t>Growing Up and Going Out,</w:t>
      </w:r>
      <w:r>
        <w:t xml:space="preserve"> Aberdeen University Press, Aberdeen.</w:t>
      </w:r>
    </w:p>
    <w:p w:rsidR="00E52988" w:rsidRDefault="00E52988" w:rsidP="00E52988">
      <w:pPr>
        <w:pStyle w:val="BodyText"/>
        <w:spacing w:line="240" w:lineRule="auto"/>
      </w:pPr>
      <w:r>
        <w:t xml:space="preserve">Hendry L B, Kloep M, Espnes G A, Ingebrigtsen J E, Glendinning A and Wood S (2002), ‘Leisure transitions – a rural perspective’, </w:t>
      </w:r>
      <w:r w:rsidRPr="002141B9">
        <w:rPr>
          <w:i/>
        </w:rPr>
        <w:t>Leisure Studies</w:t>
      </w:r>
      <w:r>
        <w:t>, 21, 1-14.</w:t>
      </w:r>
    </w:p>
    <w:p w:rsidR="00E52988" w:rsidRDefault="00E52988" w:rsidP="00E52988">
      <w:pPr>
        <w:pStyle w:val="BodyText"/>
        <w:spacing w:line="240" w:lineRule="auto"/>
      </w:pPr>
      <w:r>
        <w:t xml:space="preserve">Hendry L B, Shucksmith J, Love J G and Glendinning A (1993), </w:t>
      </w:r>
      <w:r>
        <w:rPr>
          <w:i/>
        </w:rPr>
        <w:t>Young People’s Leisure and Lifestyles</w:t>
      </w:r>
      <w:r>
        <w:t>, Routledge, London.</w:t>
      </w:r>
    </w:p>
    <w:p w:rsidR="00E52988" w:rsidRDefault="00E52988" w:rsidP="00E52988">
      <w:pPr>
        <w:pStyle w:val="BodyText"/>
        <w:spacing w:line="240" w:lineRule="auto"/>
      </w:pPr>
      <w:r>
        <w:t xml:space="preserve">Hodkinson P (2011), ‘Ageing in a spectacular “youth culture”: continuity, change and community amongst older goths’, </w:t>
      </w:r>
      <w:r w:rsidRPr="002618C9">
        <w:rPr>
          <w:i/>
        </w:rPr>
        <w:t>British Journal of Sociology</w:t>
      </w:r>
      <w:r>
        <w:t>, 62, 262-282.</w:t>
      </w:r>
    </w:p>
    <w:p w:rsidR="00E52988" w:rsidRDefault="00E52988" w:rsidP="00E52988">
      <w:pPr>
        <w:pStyle w:val="BodyText"/>
        <w:spacing w:line="240" w:lineRule="auto"/>
      </w:pPr>
      <w:r>
        <w:t xml:space="preserve">Kovacheva S, Roberts K and Kabaivanov S (2018a), ‘Education to employment transitions in South and East Mediterranean countries’, </w:t>
      </w:r>
      <w:r w:rsidRPr="005936C7">
        <w:rPr>
          <w:i/>
        </w:rPr>
        <w:t>International Journal of Social Science and Economic Research,</w:t>
      </w:r>
      <w:r>
        <w:t xml:space="preserve"> 3, 2018, 532-559.</w:t>
      </w:r>
    </w:p>
    <w:p w:rsidR="00E52988" w:rsidRPr="006E7FCE" w:rsidRDefault="00E52988" w:rsidP="00E52988">
      <w:pPr>
        <w:pStyle w:val="BodyText"/>
        <w:spacing w:line="240" w:lineRule="auto"/>
      </w:pPr>
      <w:r>
        <w:t xml:space="preserve">Kovacheva S, Kabaivanov S and Roberts K (2018b), ‘Interrogating waithood: family and housing life stage transitions among young adults in North-West Africa countries’, </w:t>
      </w:r>
      <w:r w:rsidRPr="00961480">
        <w:rPr>
          <w:i/>
        </w:rPr>
        <w:t>International Journal of Adolescence and Youth</w:t>
      </w:r>
      <w:r>
        <w:t xml:space="preserve">. </w:t>
      </w:r>
      <w:hyperlink r:id="rId7" w:history="1">
        <w:r w:rsidRPr="006E7FCE">
          <w:rPr>
            <w:rStyle w:val="Hyperlink"/>
            <w:color w:val="000000" w:themeColor="text1"/>
          </w:rPr>
          <w:t>https://doi.org/10.1080/02673843.2018.1430595</w:t>
        </w:r>
      </w:hyperlink>
      <w:r w:rsidRPr="006E7FCE">
        <w:rPr>
          <w:color w:val="000000" w:themeColor="text1"/>
          <w:lang w:eastAsia="en-GB"/>
        </w:rPr>
        <w:t>.</w:t>
      </w:r>
    </w:p>
    <w:p w:rsidR="00E52988" w:rsidRDefault="00E52988" w:rsidP="00E52988">
      <w:pPr>
        <w:tabs>
          <w:tab w:val="left" w:pos="-720"/>
        </w:tabs>
        <w:suppressAutoHyphens/>
        <w:spacing w:line="240" w:lineRule="auto"/>
        <w:rPr>
          <w:spacing w:val="-3"/>
        </w:rPr>
      </w:pPr>
      <w:r>
        <w:rPr>
          <w:spacing w:val="-3"/>
        </w:rPr>
        <w:t xml:space="preserve">MacDonald R and Shildrick T (2007), ‘Street corner society: leisure careers, youth (sub)culture   and social exclusion’, </w:t>
      </w:r>
      <w:r w:rsidRPr="002618C9">
        <w:rPr>
          <w:i/>
          <w:spacing w:val="-3"/>
        </w:rPr>
        <w:t>Leisure Studies</w:t>
      </w:r>
      <w:r>
        <w:rPr>
          <w:spacing w:val="-3"/>
        </w:rPr>
        <w:t>, 26, 339-355.</w:t>
      </w:r>
    </w:p>
    <w:p w:rsidR="00E52988" w:rsidRDefault="00E52988" w:rsidP="00E52988">
      <w:pPr>
        <w:tabs>
          <w:tab w:val="left" w:pos="-720"/>
        </w:tabs>
        <w:suppressAutoHyphens/>
        <w:spacing w:line="240" w:lineRule="auto"/>
        <w:rPr>
          <w:spacing w:val="-3"/>
        </w:rPr>
      </w:pPr>
      <w:r>
        <w:rPr>
          <w:spacing w:val="-3"/>
        </w:rPr>
        <w:t xml:space="preserve">McGuire F A, Dottavio F D and O’Leary J T (1987), ‘The relationship of early life experiences to later life leisure involvement’, </w:t>
      </w:r>
      <w:r>
        <w:rPr>
          <w:i/>
          <w:spacing w:val="-3"/>
        </w:rPr>
        <w:t>Leisure Sciences</w:t>
      </w:r>
      <w:r>
        <w:rPr>
          <w:spacing w:val="-3"/>
        </w:rPr>
        <w:t>, 9, 251-257.</w:t>
      </w:r>
    </w:p>
    <w:p w:rsidR="00E52988" w:rsidRDefault="00E52988" w:rsidP="00E52988">
      <w:pPr>
        <w:tabs>
          <w:tab w:val="left" w:pos="-720"/>
        </w:tabs>
        <w:suppressAutoHyphens/>
        <w:spacing w:line="240" w:lineRule="auto"/>
        <w:rPr>
          <w:spacing w:val="-3"/>
        </w:rPr>
      </w:pPr>
      <w:r>
        <w:rPr>
          <w:spacing w:val="-3"/>
        </w:rPr>
        <w:t xml:space="preserve">Nagel I (2010), ‘Cultural participation between the ages of 14 and 24: intergenerational transmission or cultural mobility?’ </w:t>
      </w:r>
      <w:r w:rsidRPr="00192273">
        <w:rPr>
          <w:i/>
          <w:spacing w:val="-3"/>
        </w:rPr>
        <w:t>European Sociological Review,</w:t>
      </w:r>
      <w:r>
        <w:rPr>
          <w:spacing w:val="-3"/>
        </w:rPr>
        <w:t xml:space="preserve"> 26, 541-556</w:t>
      </w:r>
    </w:p>
    <w:p w:rsidR="00E52988" w:rsidRDefault="00E52988" w:rsidP="00E52988">
      <w:pPr>
        <w:tabs>
          <w:tab w:val="left" w:pos="-720"/>
        </w:tabs>
        <w:suppressAutoHyphens/>
        <w:spacing w:line="240" w:lineRule="auto"/>
        <w:rPr>
          <w:spacing w:val="-3"/>
        </w:rPr>
      </w:pPr>
      <w:r>
        <w:rPr>
          <w:spacing w:val="-3"/>
        </w:rPr>
        <w:t xml:space="preserve">Parry W (2015), </w:t>
      </w:r>
      <w:r w:rsidRPr="00190655">
        <w:rPr>
          <w:i/>
          <w:spacing w:val="-3"/>
        </w:rPr>
        <w:t>Do Active Children Become Active Adults? Investigating Experiences of Sport and Exercise Using the 1970 British Cohort Study,</w:t>
      </w:r>
      <w:r>
        <w:rPr>
          <w:spacing w:val="-3"/>
        </w:rPr>
        <w:t xml:space="preserve"> PhD thesis, Institute of Education, University College, London.</w:t>
      </w:r>
    </w:p>
    <w:p w:rsidR="00E52988" w:rsidRDefault="00E52988" w:rsidP="00E52988">
      <w:pPr>
        <w:spacing w:line="240" w:lineRule="auto"/>
      </w:pPr>
      <w:r>
        <w:t xml:space="preserve">H Pilkington (1994), </w:t>
      </w:r>
      <w:r>
        <w:rPr>
          <w:i/>
          <w:iCs/>
        </w:rPr>
        <w:t>Russia’s Youth and its Culture,</w:t>
      </w:r>
      <w:r>
        <w:t xml:space="preserve"> Routledge, London.</w:t>
      </w:r>
    </w:p>
    <w:p w:rsidR="00E52988" w:rsidRDefault="00E52988" w:rsidP="00E52988">
      <w:pPr>
        <w:tabs>
          <w:tab w:val="left" w:pos="-720"/>
        </w:tabs>
        <w:suppressAutoHyphens/>
        <w:spacing w:line="240" w:lineRule="auto"/>
        <w:rPr>
          <w:spacing w:val="-3"/>
          <w:lang w:val="en-US"/>
        </w:rPr>
      </w:pPr>
      <w:r>
        <w:rPr>
          <w:spacing w:val="-3"/>
          <w:lang w:val="en-US"/>
        </w:rPr>
        <w:t xml:space="preserve">Roberts K (2011),’Leisure: the importance of being inconsequential’, </w:t>
      </w:r>
      <w:r w:rsidRPr="000B2CBC">
        <w:rPr>
          <w:i/>
          <w:spacing w:val="-3"/>
          <w:lang w:val="en-US"/>
        </w:rPr>
        <w:t>Leisure Studies</w:t>
      </w:r>
      <w:r>
        <w:rPr>
          <w:spacing w:val="-3"/>
          <w:lang w:val="en-US"/>
        </w:rPr>
        <w:t xml:space="preserve">, 30, 1, 5-20. </w:t>
      </w:r>
    </w:p>
    <w:p w:rsidR="00E52988" w:rsidRDefault="00E52988" w:rsidP="00E52988">
      <w:pPr>
        <w:tabs>
          <w:tab w:val="left" w:pos="-720"/>
        </w:tabs>
        <w:suppressAutoHyphens/>
        <w:spacing w:line="240" w:lineRule="auto"/>
        <w:rPr>
          <w:spacing w:val="-3"/>
          <w:lang w:val="en-US"/>
        </w:rPr>
      </w:pPr>
      <w:r>
        <w:rPr>
          <w:spacing w:val="-3"/>
          <w:lang w:val="en-US"/>
        </w:rPr>
        <w:t xml:space="preserve">Roberts K and Kovacheva S (2016), ‘Use of free time by young people, and social inclusion and exclusion in Lebanon’, </w:t>
      </w:r>
      <w:r w:rsidRPr="008B6107">
        <w:rPr>
          <w:i/>
          <w:spacing w:val="-3"/>
          <w:lang w:val="en-US"/>
        </w:rPr>
        <w:t>International Journal of Social Science and Economic Research,</w:t>
      </w:r>
      <w:r>
        <w:rPr>
          <w:spacing w:val="-3"/>
          <w:lang w:val="en-US"/>
        </w:rPr>
        <w:t xml:space="preserve"> 1, 1190-1214. </w:t>
      </w:r>
    </w:p>
    <w:p w:rsidR="00E52988" w:rsidRPr="006E7FCE" w:rsidRDefault="00E52988" w:rsidP="00E52988">
      <w:pPr>
        <w:tabs>
          <w:tab w:val="left" w:pos="-720"/>
        </w:tabs>
        <w:suppressAutoHyphens/>
        <w:spacing w:line="240" w:lineRule="auto"/>
        <w:rPr>
          <w:color w:val="000000" w:themeColor="text1"/>
          <w:lang w:eastAsia="en-GB"/>
        </w:rPr>
      </w:pPr>
      <w:r>
        <w:rPr>
          <w:lang w:eastAsia="en-GB"/>
        </w:rPr>
        <w:t xml:space="preserve">Roberts K, Kovacheva S and Kabaivanov S (2017), </w:t>
      </w:r>
      <w:r w:rsidRPr="006E7FCE">
        <w:rPr>
          <w:i/>
          <w:lang w:eastAsia="en-GB"/>
        </w:rPr>
        <w:t xml:space="preserve">Modernisation </w:t>
      </w:r>
      <w:r>
        <w:rPr>
          <w:i/>
          <w:lang w:eastAsia="en-GB"/>
        </w:rPr>
        <w:t>T</w:t>
      </w:r>
      <w:r w:rsidRPr="006E7FCE">
        <w:rPr>
          <w:i/>
          <w:lang w:eastAsia="en-GB"/>
        </w:rPr>
        <w:t xml:space="preserve">heory meets Tunisia’s </w:t>
      </w:r>
      <w:r>
        <w:rPr>
          <w:i/>
          <w:lang w:eastAsia="en-GB"/>
        </w:rPr>
        <w:t>Y</w:t>
      </w:r>
      <w:r w:rsidRPr="006E7FCE">
        <w:rPr>
          <w:i/>
          <w:lang w:eastAsia="en-GB"/>
        </w:rPr>
        <w:t xml:space="preserve">outh </w:t>
      </w:r>
      <w:r>
        <w:rPr>
          <w:i/>
          <w:lang w:eastAsia="en-GB"/>
        </w:rPr>
        <w:t>D</w:t>
      </w:r>
      <w:r w:rsidRPr="006E7FCE">
        <w:rPr>
          <w:i/>
          <w:lang w:eastAsia="en-GB"/>
        </w:rPr>
        <w:t xml:space="preserve">uring and </w:t>
      </w:r>
      <w:r>
        <w:rPr>
          <w:i/>
          <w:lang w:eastAsia="en-GB"/>
        </w:rPr>
        <w:t>S</w:t>
      </w:r>
      <w:r w:rsidRPr="006E7FCE">
        <w:rPr>
          <w:i/>
          <w:lang w:eastAsia="en-GB"/>
        </w:rPr>
        <w:t xml:space="preserve">ince the </w:t>
      </w:r>
      <w:r>
        <w:rPr>
          <w:i/>
          <w:lang w:eastAsia="en-GB"/>
        </w:rPr>
        <w:t>R</w:t>
      </w:r>
      <w:r w:rsidRPr="006E7FCE">
        <w:rPr>
          <w:i/>
          <w:lang w:eastAsia="en-GB"/>
        </w:rPr>
        <w:t>evolution of 2011</w:t>
      </w:r>
      <w:r>
        <w:rPr>
          <w:lang w:eastAsia="en-GB"/>
        </w:rPr>
        <w:t xml:space="preserve">. Scientific Report, Sahwa Project, CIDOB, Barcelona. </w:t>
      </w:r>
      <w:hyperlink r:id="rId8" w:history="1">
        <w:r w:rsidRPr="006E7FCE">
          <w:rPr>
            <w:rStyle w:val="Hyperlink"/>
            <w:color w:val="000000" w:themeColor="text1"/>
            <w:lang w:eastAsia="en-GB"/>
          </w:rPr>
          <w:t>http://sahwa.eu/OUTPUTS/Publications/Scientific-Report-on-youth-political-engagement-in-Tunisia</w:t>
        </w:r>
      </w:hyperlink>
      <w:r>
        <w:rPr>
          <w:rStyle w:val="Hyperlink"/>
          <w:color w:val="000000" w:themeColor="text1"/>
          <w:lang w:eastAsia="en-GB"/>
        </w:rPr>
        <w:t>.</w:t>
      </w:r>
    </w:p>
    <w:p w:rsidR="00E52988" w:rsidRDefault="00E52988" w:rsidP="00E52988">
      <w:pPr>
        <w:tabs>
          <w:tab w:val="left" w:pos="-720"/>
        </w:tabs>
        <w:suppressAutoHyphens/>
        <w:spacing w:line="240" w:lineRule="auto"/>
        <w:rPr>
          <w:lang w:eastAsia="en-GB"/>
        </w:rPr>
      </w:pPr>
      <w:r>
        <w:rPr>
          <w:lang w:eastAsia="en-GB"/>
        </w:rPr>
        <w:t xml:space="preserve">Roberts K, Kovacheva S and Kabaivanov S (2018a) ‘Leisure and the life-cycle squeeze among young adults in North Africa countries’, </w:t>
      </w:r>
      <w:r w:rsidRPr="005936C7">
        <w:rPr>
          <w:i/>
          <w:lang w:eastAsia="en-GB"/>
        </w:rPr>
        <w:t>International Journal of the Sociology of Leisure,</w:t>
      </w:r>
      <w:r>
        <w:rPr>
          <w:lang w:eastAsia="en-GB"/>
        </w:rPr>
        <w:t xml:space="preserve"> 1, 29-42.</w:t>
      </w:r>
    </w:p>
    <w:p w:rsidR="00E52988" w:rsidRDefault="00E52988" w:rsidP="00E52988">
      <w:pPr>
        <w:tabs>
          <w:tab w:val="left" w:pos="-720"/>
        </w:tabs>
        <w:suppressAutoHyphens/>
        <w:spacing w:line="240" w:lineRule="auto"/>
        <w:rPr>
          <w:spacing w:val="-3"/>
        </w:rPr>
      </w:pPr>
      <w:r>
        <w:rPr>
          <w:spacing w:val="-3"/>
        </w:rPr>
        <w:t xml:space="preserve">Roberts K, Kovacheva S and Kabaivanov S (2018b), ‘Class reproduction and re-formation during young people’s education to employment transitions in South and East Mediterranean countries’, </w:t>
      </w:r>
      <w:r w:rsidRPr="00317945">
        <w:rPr>
          <w:i/>
          <w:spacing w:val="-3"/>
        </w:rPr>
        <w:t>Athens Journal of Mediterranean Studies</w:t>
      </w:r>
      <w:r>
        <w:rPr>
          <w:spacing w:val="-3"/>
        </w:rPr>
        <w:t xml:space="preserve">, </w:t>
      </w:r>
      <w:r>
        <w:rPr>
          <w:bCs/>
        </w:rPr>
        <w:t>4, 179-200.</w:t>
      </w:r>
    </w:p>
    <w:p w:rsidR="00E52988" w:rsidRDefault="00E52988" w:rsidP="00E52988">
      <w:pPr>
        <w:tabs>
          <w:tab w:val="left" w:pos="-720"/>
        </w:tabs>
        <w:suppressAutoHyphens/>
        <w:spacing w:line="240" w:lineRule="auto"/>
        <w:rPr>
          <w:color w:val="0000FF"/>
          <w:lang w:eastAsia="en-GB"/>
        </w:rPr>
      </w:pPr>
      <w:r>
        <w:rPr>
          <w:bCs/>
        </w:rPr>
        <w:t xml:space="preserve">Roberts K, </w:t>
      </w:r>
      <w:r w:rsidRPr="00F10105">
        <w:rPr>
          <w:bCs/>
        </w:rPr>
        <w:t>Kovacheva</w:t>
      </w:r>
      <w:r>
        <w:rPr>
          <w:bCs/>
        </w:rPr>
        <w:t xml:space="preserve"> S</w:t>
      </w:r>
      <w:r w:rsidRPr="00F10105">
        <w:rPr>
          <w:bCs/>
        </w:rPr>
        <w:t xml:space="preserve"> and Kabaivanov</w:t>
      </w:r>
      <w:r>
        <w:rPr>
          <w:bCs/>
        </w:rPr>
        <w:t xml:space="preserve"> S (2018c</w:t>
      </w:r>
      <w:r w:rsidRPr="00F10105">
        <w:rPr>
          <w:bCs/>
        </w:rPr>
        <w:t xml:space="preserve">), ‘Uses of free time by young adults in Arab Mediterranean countries: exposing and addressing boundary issues in leisure studies’, </w:t>
      </w:r>
      <w:r w:rsidRPr="00317945">
        <w:rPr>
          <w:bCs/>
          <w:i/>
        </w:rPr>
        <w:t>International Journal of Humanities and Social Science Research,</w:t>
      </w:r>
      <w:r w:rsidRPr="00F10105">
        <w:rPr>
          <w:bCs/>
        </w:rPr>
        <w:t xml:space="preserve"> 2018, 4, 10-21, </w:t>
      </w:r>
    </w:p>
    <w:p w:rsidR="00E52988" w:rsidRDefault="00E52988" w:rsidP="00E52988">
      <w:pPr>
        <w:tabs>
          <w:tab w:val="left" w:pos="-720"/>
        </w:tabs>
        <w:suppressAutoHyphens/>
        <w:spacing w:line="240" w:lineRule="auto"/>
        <w:rPr>
          <w:bCs/>
        </w:rPr>
      </w:pPr>
      <w:r>
        <w:rPr>
          <w:bCs/>
        </w:rPr>
        <w:t xml:space="preserve">Roberts K, Kovacheva S and Kabaivanov S (2018d), ‘Juventud Arabe Mediterranea: participacion politica y religiosa’ (Arab Mediterranean youth: political and religious participation), </w:t>
      </w:r>
      <w:r w:rsidRPr="007F3EEC">
        <w:rPr>
          <w:bCs/>
          <w:i/>
        </w:rPr>
        <w:t>Revista Afers Internacionals</w:t>
      </w:r>
      <w:r>
        <w:rPr>
          <w:bCs/>
        </w:rPr>
        <w:t>, 118, 103-126.</w:t>
      </w:r>
    </w:p>
    <w:p w:rsidR="00E52988" w:rsidRDefault="00E52988" w:rsidP="00E52988">
      <w:pPr>
        <w:tabs>
          <w:tab w:val="left" w:pos="-720"/>
        </w:tabs>
        <w:suppressAutoHyphens/>
        <w:spacing w:line="240" w:lineRule="auto"/>
        <w:rPr>
          <w:spacing w:val="-3"/>
        </w:rPr>
      </w:pPr>
      <w:r>
        <w:rPr>
          <w:bCs/>
        </w:rPr>
        <w:t>R</w:t>
      </w:r>
      <w:r>
        <w:rPr>
          <w:spacing w:val="-3"/>
        </w:rPr>
        <w:t xml:space="preserve">oberts K, Minten J H, Chadwick C, Lamb K L and Brodie D A (1991), ‘Sporting lives: a case study of leisure careers’, </w:t>
      </w:r>
      <w:r>
        <w:rPr>
          <w:i/>
          <w:spacing w:val="-3"/>
        </w:rPr>
        <w:t>Society and Leisure</w:t>
      </w:r>
      <w:r>
        <w:rPr>
          <w:spacing w:val="-3"/>
        </w:rPr>
        <w:t>, 14, 261-284.</w:t>
      </w:r>
    </w:p>
    <w:p w:rsidR="00E52988" w:rsidRDefault="00E52988" w:rsidP="00E52988">
      <w:pPr>
        <w:tabs>
          <w:tab w:val="left" w:pos="-720"/>
        </w:tabs>
        <w:suppressAutoHyphens/>
        <w:spacing w:line="240" w:lineRule="auto"/>
        <w:rPr>
          <w:spacing w:val="-3"/>
          <w:lang w:val="en-US"/>
        </w:rPr>
      </w:pPr>
      <w:r>
        <w:rPr>
          <w:spacing w:val="-3"/>
          <w:lang w:val="en-US"/>
        </w:rPr>
        <w:t xml:space="preserve">Roberts K and Parsell G (1994), ‘Youth cultures in Britain: the middle class take-over’, </w:t>
      </w:r>
      <w:r w:rsidRPr="00827CB7">
        <w:rPr>
          <w:i/>
          <w:spacing w:val="-3"/>
          <w:lang w:val="en-US"/>
        </w:rPr>
        <w:t>Leisure Studies,</w:t>
      </w:r>
      <w:r>
        <w:rPr>
          <w:spacing w:val="-3"/>
          <w:lang w:val="en-US"/>
        </w:rPr>
        <w:t xml:space="preserve"> 13, 33-48.</w:t>
      </w:r>
    </w:p>
    <w:p w:rsidR="00E52988" w:rsidRDefault="00E52988" w:rsidP="00E52988">
      <w:pPr>
        <w:tabs>
          <w:tab w:val="left" w:pos="-720"/>
        </w:tabs>
        <w:suppressAutoHyphens/>
        <w:spacing w:line="240" w:lineRule="auto"/>
        <w:rPr>
          <w:spacing w:val="-3"/>
        </w:rPr>
      </w:pPr>
      <w:r>
        <w:rPr>
          <w:spacing w:val="-3"/>
        </w:rPr>
        <w:t xml:space="preserve">Scott D and Willits F K (1989), ‘Adolescent and adult leisure patterns: a 37 year follow-up study’, </w:t>
      </w:r>
      <w:r>
        <w:rPr>
          <w:i/>
          <w:spacing w:val="-3"/>
        </w:rPr>
        <w:t>Leisure Sciences</w:t>
      </w:r>
      <w:r>
        <w:rPr>
          <w:spacing w:val="-3"/>
        </w:rPr>
        <w:t>, 11, 323-335.</w:t>
      </w:r>
    </w:p>
    <w:p w:rsidR="00E52988" w:rsidRDefault="00E52988" w:rsidP="00E52988">
      <w:pPr>
        <w:tabs>
          <w:tab w:val="left" w:pos="-720"/>
        </w:tabs>
        <w:suppressAutoHyphens/>
        <w:spacing w:line="240" w:lineRule="auto"/>
        <w:rPr>
          <w:spacing w:val="-3"/>
        </w:rPr>
      </w:pPr>
      <w:r>
        <w:rPr>
          <w:spacing w:val="-3"/>
        </w:rPr>
        <w:t xml:space="preserve">Smith L, Gardner B, Aggio D and Hamer M (2015), ‘Association between participation in outdoor play and sport at age 10 with physical activity in adulthood’, </w:t>
      </w:r>
      <w:r w:rsidRPr="00025B7C">
        <w:rPr>
          <w:i/>
          <w:spacing w:val="-3"/>
        </w:rPr>
        <w:t>Preventive Medicine</w:t>
      </w:r>
      <w:r>
        <w:rPr>
          <w:spacing w:val="-3"/>
        </w:rPr>
        <w:t>. Doi: 10.1016/j.ypmed.2015.02.004.</w:t>
      </w:r>
    </w:p>
    <w:p w:rsidR="00E52988" w:rsidRDefault="00E52988" w:rsidP="00E52988">
      <w:pPr>
        <w:tabs>
          <w:tab w:val="left" w:pos="-720"/>
        </w:tabs>
        <w:suppressAutoHyphens/>
        <w:spacing w:line="240" w:lineRule="auto"/>
        <w:rPr>
          <w:spacing w:val="-3"/>
        </w:rPr>
      </w:pPr>
      <w:r>
        <w:rPr>
          <w:spacing w:val="-3"/>
        </w:rPr>
        <w:t xml:space="preserve">Witt P A and Crompton J L, eds (1996), </w:t>
      </w:r>
      <w:r w:rsidRPr="00740BCB">
        <w:rPr>
          <w:i/>
          <w:spacing w:val="-3"/>
        </w:rPr>
        <w:t>Recreation Programs that Work for At-Risk Youth,</w:t>
      </w:r>
      <w:r>
        <w:rPr>
          <w:spacing w:val="-3"/>
        </w:rPr>
        <w:t xml:space="preserve"> Venture Publishing, Pennsylvania.</w:t>
      </w:r>
    </w:p>
    <w:p w:rsidR="00E52988" w:rsidRDefault="00E52988" w:rsidP="00E52988">
      <w:pPr>
        <w:spacing w:after="160" w:line="240" w:lineRule="auto"/>
      </w:pPr>
      <w:r>
        <w:br w:type="page"/>
      </w:r>
    </w:p>
    <w:p w:rsidR="00E52988" w:rsidRPr="00165134" w:rsidRDefault="00E52988" w:rsidP="00E52988">
      <w:pPr>
        <w:pStyle w:val="BodyText"/>
        <w:spacing w:line="240" w:lineRule="auto"/>
      </w:pPr>
      <w:r w:rsidRPr="00165134">
        <w:t xml:space="preserve">Ken Roberts is Emeritus Professor of Sociology at the University of Liverpool. His books include </w:t>
      </w:r>
      <w:r w:rsidRPr="00165134">
        <w:rPr>
          <w:i/>
        </w:rPr>
        <w:t>Surviving Post-Communism: Young People in the Former Soviet Union</w:t>
      </w:r>
      <w:r w:rsidRPr="00165134">
        <w:t xml:space="preserve"> (2000), </w:t>
      </w:r>
      <w:r w:rsidRPr="00165134">
        <w:rPr>
          <w:i/>
        </w:rPr>
        <w:t xml:space="preserve">Youth in Transition: Eastern Europe and in the West </w:t>
      </w:r>
      <w:r w:rsidRPr="00165134">
        <w:t xml:space="preserve">(2009), </w:t>
      </w:r>
      <w:r w:rsidRPr="00165134">
        <w:rPr>
          <w:i/>
        </w:rPr>
        <w:t>Class in Contemporary Britain</w:t>
      </w:r>
      <w:r w:rsidRPr="00165134">
        <w:t xml:space="preserve"> (2011), </w:t>
      </w:r>
      <w:r w:rsidRPr="00165134">
        <w:rPr>
          <w:i/>
        </w:rPr>
        <w:t xml:space="preserve">Sociology: An Introduction </w:t>
      </w:r>
      <w:r w:rsidRPr="00165134">
        <w:t xml:space="preserve">(2012), </w:t>
      </w:r>
      <w:r w:rsidRPr="00165134">
        <w:rPr>
          <w:i/>
        </w:rPr>
        <w:t>The Business of Leisure</w:t>
      </w:r>
      <w:r w:rsidRPr="00165134">
        <w:t xml:space="preserve"> (2016), and </w:t>
      </w:r>
      <w:r w:rsidRPr="00165134">
        <w:rPr>
          <w:i/>
        </w:rPr>
        <w:t>Social Theory, Sport, Leisure</w:t>
      </w:r>
      <w:r w:rsidRPr="00165134">
        <w:t xml:space="preserve"> (2016).</w:t>
      </w:r>
    </w:p>
    <w:p w:rsidR="00E52988" w:rsidRPr="00ED1686" w:rsidRDefault="00E52988" w:rsidP="00E52988">
      <w:pPr>
        <w:spacing w:line="240" w:lineRule="auto"/>
        <w:jc w:val="left"/>
      </w:pPr>
      <w:r w:rsidRPr="00ED1686">
        <w:t>Ken Roberts</w:t>
      </w:r>
    </w:p>
    <w:p w:rsidR="00E52988" w:rsidRPr="00ED1686" w:rsidRDefault="00E52988" w:rsidP="00E52988">
      <w:pPr>
        <w:spacing w:line="240" w:lineRule="auto"/>
        <w:jc w:val="left"/>
      </w:pPr>
      <w:r w:rsidRPr="00ED1686">
        <w:t>University of Liverpool,</w:t>
      </w:r>
    </w:p>
    <w:p w:rsidR="00E52988" w:rsidRPr="00ED1686" w:rsidRDefault="00E52988" w:rsidP="00E52988">
      <w:pPr>
        <w:spacing w:line="240" w:lineRule="auto"/>
        <w:jc w:val="left"/>
      </w:pPr>
      <w:r w:rsidRPr="00ED1686">
        <w:t>Eleanor Rathbone Building,</w:t>
      </w:r>
    </w:p>
    <w:p w:rsidR="00E52988" w:rsidRPr="00ED1686" w:rsidRDefault="00E52988" w:rsidP="00E52988">
      <w:pPr>
        <w:spacing w:line="240" w:lineRule="auto"/>
        <w:jc w:val="left"/>
      </w:pPr>
      <w:r w:rsidRPr="00ED1686">
        <w:t>Bedford Street South,</w:t>
      </w:r>
    </w:p>
    <w:p w:rsidR="00E52988" w:rsidRPr="00ED1686" w:rsidRDefault="00E52988" w:rsidP="00E52988">
      <w:pPr>
        <w:spacing w:line="240" w:lineRule="auto"/>
        <w:jc w:val="left"/>
      </w:pPr>
      <w:r w:rsidRPr="00ED1686">
        <w:t>Liverpool L69 7ZA</w:t>
      </w:r>
    </w:p>
    <w:p w:rsidR="00E52988" w:rsidRPr="00ED1686" w:rsidRDefault="00E52988" w:rsidP="00E52988">
      <w:pPr>
        <w:spacing w:line="240" w:lineRule="auto"/>
        <w:jc w:val="left"/>
      </w:pPr>
      <w:r w:rsidRPr="00ED1686">
        <w:t>England</w:t>
      </w:r>
    </w:p>
    <w:p w:rsidR="00E52988" w:rsidRPr="00ED1686" w:rsidRDefault="00E52988" w:rsidP="00E52988">
      <w:pPr>
        <w:spacing w:line="240" w:lineRule="auto"/>
        <w:jc w:val="left"/>
      </w:pPr>
      <w:r w:rsidRPr="00ED1686">
        <w:t>Phone: 44-(0)1695 574962</w:t>
      </w:r>
    </w:p>
    <w:p w:rsidR="00E52988" w:rsidRPr="00ED1686" w:rsidRDefault="00E52988" w:rsidP="00E52988">
      <w:pPr>
        <w:pStyle w:val="Heading2"/>
        <w:spacing w:line="240" w:lineRule="auto"/>
        <w:rPr>
          <w:rStyle w:val="Hyperlink"/>
        </w:rPr>
      </w:pPr>
      <w:r w:rsidRPr="00ED1686">
        <w:t xml:space="preserve">Email: </w:t>
      </w:r>
      <w:hyperlink r:id="rId9" w:history="1">
        <w:r w:rsidRPr="00ED1686">
          <w:rPr>
            <w:rStyle w:val="Hyperlink"/>
          </w:rPr>
          <w:t>bert@liverpool.ac.uk</w:t>
        </w:r>
      </w:hyperlink>
    </w:p>
    <w:p w:rsidR="00E52988" w:rsidRPr="00ED1686" w:rsidRDefault="00E52988" w:rsidP="00E52988">
      <w:pPr>
        <w:pStyle w:val="yiv5476883432msonormal"/>
        <w:spacing w:before="240" w:beforeAutospacing="0" w:after="200" w:afterAutospacing="0"/>
        <w:ind w:right="26"/>
      </w:pPr>
      <w:r w:rsidRPr="00ED1686">
        <w:t xml:space="preserve">Siyka Kovacheva is Associate Professor at the University of Plovdiv. Her books include </w:t>
      </w:r>
      <w:r w:rsidRPr="00ED1686">
        <w:rPr>
          <w:i/>
          <w:iCs/>
        </w:rPr>
        <w:t>Youth in Society. The Construction and Deconstruction of Youth in East and West Europe</w:t>
      </w:r>
      <w:r w:rsidRPr="00ED1686">
        <w:t xml:space="preserve"> (with C. Wallace) (1998), </w:t>
      </w:r>
      <w:r w:rsidRPr="00ED1686">
        <w:rPr>
          <w:i/>
          <w:iCs/>
        </w:rPr>
        <w:t>Sinking or Swimming in the Waves of Transformation? Young People and Social Protection in Central and Eastern Europe</w:t>
      </w:r>
      <w:r w:rsidRPr="00ED1686">
        <w:t xml:space="preserve"> (2000), </w:t>
      </w:r>
      <w:r w:rsidRPr="00ED1686">
        <w:rPr>
          <w:i/>
          <w:iCs/>
          <w:lang w:val="en-US"/>
        </w:rPr>
        <w:t>Work-Life Balance: Young Working Parents between Opportunities and Constraints</w:t>
      </w:r>
      <w:r w:rsidRPr="00ED1686">
        <w:rPr>
          <w:lang w:val="en-US"/>
        </w:rPr>
        <w:t xml:space="preserve"> (2010), </w:t>
      </w:r>
      <w:r w:rsidRPr="00ED1686">
        <w:rPr>
          <w:rStyle w:val="Strong"/>
          <w:i/>
          <w:iCs/>
        </w:rPr>
        <w:t>1989 - Young People and Social Change after the Fall of the Berlin Wall</w:t>
      </w:r>
      <w:r w:rsidRPr="00ED1686">
        <w:rPr>
          <w:rStyle w:val="Emphasis"/>
        </w:rPr>
        <w:t xml:space="preserve"> (with C Leccardi, C Feixa, H Reiter and T Sekulić) (2012), and Young People in European Bulgaria: A Sociological Portrait. (with P-E Mitev) (2014)</w:t>
      </w:r>
      <w:r w:rsidRPr="00ED1686">
        <w:t>.</w:t>
      </w:r>
    </w:p>
    <w:p w:rsidR="00E52988" w:rsidRPr="00ED1686" w:rsidRDefault="00E52988" w:rsidP="00E52988">
      <w:pPr>
        <w:pStyle w:val="yiv5397122630msonormal"/>
      </w:pPr>
      <w:r w:rsidRPr="00ED1686">
        <w:t>Siyka Kovacheva,</w:t>
      </w:r>
    </w:p>
    <w:p w:rsidR="00E52988" w:rsidRPr="00ED1686" w:rsidRDefault="00E52988" w:rsidP="00E52988">
      <w:pPr>
        <w:pStyle w:val="yiv5397122630msonormal"/>
      </w:pPr>
      <w:r w:rsidRPr="00ED1686">
        <w:t>Department of Applied Sociology</w:t>
      </w:r>
    </w:p>
    <w:p w:rsidR="00E52988" w:rsidRPr="00ED1686" w:rsidRDefault="00E52988" w:rsidP="00E52988">
      <w:pPr>
        <w:pStyle w:val="yiv5397122630msonormal"/>
      </w:pPr>
      <w:r w:rsidRPr="00ED1686">
        <w:t>University of Plovdiv</w:t>
      </w:r>
    </w:p>
    <w:p w:rsidR="00E52988" w:rsidRPr="00ED1686" w:rsidRDefault="00E52988" w:rsidP="00E52988">
      <w:pPr>
        <w:pStyle w:val="yiv5397122630msonormal"/>
        <w:rPr>
          <w:lang w:val="es-ES"/>
        </w:rPr>
      </w:pPr>
      <w:r w:rsidRPr="00ED1686">
        <w:rPr>
          <w:lang w:val="es-ES"/>
        </w:rPr>
        <w:t>Tsar Asen 24</w:t>
      </w:r>
    </w:p>
    <w:p w:rsidR="00E52988" w:rsidRPr="00ED1686" w:rsidRDefault="00E52988" w:rsidP="00E52988">
      <w:pPr>
        <w:pStyle w:val="yiv5397122630msonormal"/>
        <w:rPr>
          <w:lang w:val="es-ES"/>
        </w:rPr>
      </w:pPr>
      <w:r w:rsidRPr="00ED1686">
        <w:rPr>
          <w:lang w:val="es-ES"/>
        </w:rPr>
        <w:t>Plovdiv 4000</w:t>
      </w:r>
    </w:p>
    <w:p w:rsidR="00E52988" w:rsidRPr="00ED1686" w:rsidRDefault="00E52988" w:rsidP="00E52988">
      <w:pPr>
        <w:pStyle w:val="yiv5397122630msonormal"/>
        <w:rPr>
          <w:lang w:val="es-ES"/>
        </w:rPr>
      </w:pPr>
      <w:r w:rsidRPr="00ED1686">
        <w:rPr>
          <w:lang w:val="es-ES"/>
        </w:rPr>
        <w:t>Bulgaria</w:t>
      </w:r>
    </w:p>
    <w:p w:rsidR="00E52988" w:rsidRPr="00ED1686" w:rsidRDefault="00E52988" w:rsidP="00E52988">
      <w:pPr>
        <w:pStyle w:val="yiv5397122630msonormal"/>
        <w:rPr>
          <w:lang w:val="es-ES"/>
        </w:rPr>
      </w:pPr>
      <w:r w:rsidRPr="00ED1686">
        <w:rPr>
          <w:lang w:val="es-ES"/>
        </w:rPr>
        <w:t xml:space="preserve">Email: </w:t>
      </w:r>
      <w:hyperlink r:id="rId10" w:tgtFrame="_blank" w:history="1">
        <w:r w:rsidRPr="00ED1686">
          <w:rPr>
            <w:rStyle w:val="Hyperlink"/>
            <w:lang w:val="es-ES"/>
          </w:rPr>
          <w:t>siykakovacheva@gmail.com</w:t>
        </w:r>
      </w:hyperlink>
    </w:p>
    <w:p w:rsidR="00E52988" w:rsidRPr="00ED1686" w:rsidRDefault="00E52988" w:rsidP="00E52988">
      <w:pPr>
        <w:pStyle w:val="yiv5397122630msonormal"/>
        <w:tabs>
          <w:tab w:val="center" w:pos="4513"/>
        </w:tabs>
      </w:pPr>
      <w:r w:rsidRPr="00ED1686">
        <w:t>Phone: +359 885832066</w:t>
      </w:r>
    </w:p>
    <w:p w:rsidR="00E52988" w:rsidRPr="00ED1686" w:rsidRDefault="00E52988" w:rsidP="00E52988">
      <w:pPr>
        <w:pStyle w:val="yiv5397122630msonormal"/>
        <w:tabs>
          <w:tab w:val="center" w:pos="4513"/>
        </w:tabs>
      </w:pPr>
    </w:p>
    <w:p w:rsidR="00E52988" w:rsidRPr="00ED1686" w:rsidRDefault="00E52988" w:rsidP="00E52988">
      <w:pPr>
        <w:pStyle w:val="yiv5397122630msonormal"/>
        <w:tabs>
          <w:tab w:val="center" w:pos="4513"/>
        </w:tabs>
      </w:pPr>
      <w:r w:rsidRPr="00ED1686">
        <w:t xml:space="preserve">Stanimir Kabaivanov is Associate Professor at the University of Plovdiv. His research interests are in finance, artificial intelligence and the application of computational methods in social sciences. Works of interest are </w:t>
      </w:r>
      <w:r w:rsidRPr="00ED1686">
        <w:rPr>
          <w:i/>
        </w:rPr>
        <w:t xml:space="preserve">Competing demands: Work and Child Well-being, </w:t>
      </w:r>
      <w:r w:rsidRPr="00ED1686">
        <w:t xml:space="preserve">in </w:t>
      </w:r>
      <w:r w:rsidRPr="00ED1686">
        <w:rPr>
          <w:i/>
        </w:rPr>
        <w:t>Ed/s “Quality of Life and Work in Europe</w:t>
      </w:r>
      <w:r w:rsidRPr="00ED1686">
        <w:t>” (2011 with</w:t>
      </w:r>
      <w:r w:rsidRPr="00ED1686">
        <w:rPr>
          <w:sz w:val="22"/>
          <w:szCs w:val="22"/>
        </w:rPr>
        <w:t xml:space="preserve"> Lane L., van der Lippe T. and Back-Wiklund M.), </w:t>
      </w:r>
      <w:r w:rsidRPr="00ED1686">
        <w:rPr>
          <w:i/>
          <w:sz w:val="22"/>
          <w:szCs w:val="22"/>
        </w:rPr>
        <w:t xml:space="preserve">An overview of work-life balance (WLB) in Bulgaria. </w:t>
      </w:r>
      <w:r w:rsidRPr="00ED1686">
        <w:rPr>
          <w:sz w:val="22"/>
          <w:szCs w:val="22"/>
        </w:rPr>
        <w:t>(2012, with S. Kovacheva)</w:t>
      </w:r>
      <w:r w:rsidRPr="00ED1686">
        <w:rPr>
          <w:i/>
          <w:sz w:val="22"/>
          <w:szCs w:val="22"/>
        </w:rPr>
        <w:t xml:space="preserve">, Young people in search of a work-family balance (Changing landscapes for childhood and youth in Europe) </w:t>
      </w:r>
      <w:r w:rsidRPr="00ED1686">
        <w:rPr>
          <w:sz w:val="22"/>
          <w:szCs w:val="22"/>
        </w:rPr>
        <w:t xml:space="preserve">(2012 with S. Kovacheva) and </w:t>
      </w:r>
      <w:r w:rsidRPr="00ED1686">
        <w:rPr>
          <w:i/>
          <w:sz w:val="22"/>
          <w:szCs w:val="22"/>
        </w:rPr>
        <w:t xml:space="preserve">Econometrics for students in finance </w:t>
      </w:r>
      <w:r w:rsidRPr="00ED1686">
        <w:rPr>
          <w:sz w:val="22"/>
          <w:szCs w:val="22"/>
        </w:rPr>
        <w:t>(2013).</w:t>
      </w:r>
    </w:p>
    <w:p w:rsidR="00E52988" w:rsidRPr="00ED1686" w:rsidRDefault="00E52988" w:rsidP="00E52988">
      <w:pPr>
        <w:pStyle w:val="yiv5397122630msonormal"/>
        <w:tabs>
          <w:tab w:val="center" w:pos="4513"/>
        </w:tabs>
      </w:pPr>
      <w:r w:rsidRPr="00ED1686">
        <w:t>Stanimir Kabaivanov</w:t>
      </w:r>
    </w:p>
    <w:p w:rsidR="00E52988" w:rsidRPr="00ED1686" w:rsidRDefault="00E52988" w:rsidP="00E52988">
      <w:pPr>
        <w:pStyle w:val="yiv5397122630msonormal"/>
        <w:tabs>
          <w:tab w:val="center" w:pos="4513"/>
        </w:tabs>
      </w:pPr>
      <w:r w:rsidRPr="00ED1686">
        <w:t>Department of Finance and Accounting</w:t>
      </w:r>
    </w:p>
    <w:p w:rsidR="00E52988" w:rsidRPr="00ED1686" w:rsidRDefault="00E52988" w:rsidP="00E52988">
      <w:pPr>
        <w:pStyle w:val="yiv5397122630msonormal"/>
        <w:tabs>
          <w:tab w:val="center" w:pos="4513"/>
        </w:tabs>
      </w:pPr>
      <w:r w:rsidRPr="00ED1686">
        <w:t>University of Plovdiv</w:t>
      </w:r>
    </w:p>
    <w:p w:rsidR="00E52988" w:rsidRPr="00ED1686" w:rsidRDefault="00E52988" w:rsidP="00E52988">
      <w:pPr>
        <w:pStyle w:val="yiv5397122630msonormal"/>
        <w:tabs>
          <w:tab w:val="center" w:pos="4513"/>
        </w:tabs>
      </w:pPr>
      <w:r w:rsidRPr="00ED1686">
        <w:t>Tsar Asen 24</w:t>
      </w:r>
    </w:p>
    <w:p w:rsidR="00E52988" w:rsidRPr="00ED1686" w:rsidRDefault="00E52988" w:rsidP="00E52988">
      <w:pPr>
        <w:pStyle w:val="yiv5397122630msonormal"/>
        <w:tabs>
          <w:tab w:val="center" w:pos="4513"/>
        </w:tabs>
        <w:rPr>
          <w:lang w:val="es-ES"/>
        </w:rPr>
      </w:pPr>
      <w:r w:rsidRPr="00ED1686">
        <w:rPr>
          <w:lang w:val="es-ES"/>
        </w:rPr>
        <w:t>Plovdiv 4000</w:t>
      </w:r>
    </w:p>
    <w:p w:rsidR="00E52988" w:rsidRPr="00ED1686" w:rsidRDefault="00E52988" w:rsidP="00E52988">
      <w:pPr>
        <w:pStyle w:val="yiv5397122630msonormal"/>
        <w:tabs>
          <w:tab w:val="center" w:pos="4513"/>
        </w:tabs>
        <w:rPr>
          <w:lang w:val="es-ES"/>
        </w:rPr>
      </w:pPr>
      <w:r w:rsidRPr="00ED1686">
        <w:rPr>
          <w:lang w:val="es-ES"/>
        </w:rPr>
        <w:t>Bulgaria</w:t>
      </w:r>
    </w:p>
    <w:p w:rsidR="00E52988" w:rsidRDefault="00E52988" w:rsidP="00E52988">
      <w:pPr>
        <w:pStyle w:val="yiv5397122630msonormal"/>
        <w:tabs>
          <w:tab w:val="center" w:pos="4513"/>
        </w:tabs>
        <w:rPr>
          <w:rStyle w:val="Hyperlink"/>
          <w:lang w:val="es-ES"/>
        </w:rPr>
      </w:pPr>
      <w:r w:rsidRPr="00ED1686">
        <w:rPr>
          <w:lang w:val="es-ES"/>
        </w:rPr>
        <w:t xml:space="preserve">Email: </w:t>
      </w:r>
      <w:hyperlink r:id="rId11" w:history="1">
        <w:r w:rsidRPr="00ED1686">
          <w:rPr>
            <w:rStyle w:val="Hyperlink"/>
            <w:lang w:val="es-ES"/>
          </w:rPr>
          <w:t>Stanimir.kabaivanov@gmail.com</w:t>
        </w:r>
      </w:hyperlink>
    </w:p>
    <w:p w:rsidR="00E52988" w:rsidRDefault="00E52988" w:rsidP="00E52988">
      <w:pPr>
        <w:pStyle w:val="yiv5397122630msonormal"/>
        <w:tabs>
          <w:tab w:val="center" w:pos="4513"/>
        </w:tabs>
      </w:pPr>
      <w:r w:rsidRPr="00ED1686">
        <w:t>Phone: +359 898619567</w:t>
      </w:r>
    </w:p>
    <w:p w:rsidR="003420FE" w:rsidRDefault="003420FE"/>
    <w:sectPr w:rsidR="003420FE">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7CC2" w:rsidRDefault="009F7CC2">
      <w:pPr>
        <w:spacing w:after="0" w:line="240" w:lineRule="auto"/>
      </w:pPr>
      <w:r>
        <w:separator/>
      </w:r>
    </w:p>
  </w:endnote>
  <w:endnote w:type="continuationSeparator" w:id="0">
    <w:p w:rsidR="009F7CC2" w:rsidRDefault="009F7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4967521"/>
      <w:docPartObj>
        <w:docPartGallery w:val="Page Numbers (Bottom of Page)"/>
        <w:docPartUnique/>
      </w:docPartObj>
    </w:sdtPr>
    <w:sdtEndPr>
      <w:rPr>
        <w:noProof/>
      </w:rPr>
    </w:sdtEndPr>
    <w:sdtContent>
      <w:p w:rsidR="003662E8" w:rsidRDefault="003662E8">
        <w:pPr>
          <w:pStyle w:val="Footer"/>
          <w:jc w:val="center"/>
        </w:pPr>
        <w:r>
          <w:fldChar w:fldCharType="begin"/>
        </w:r>
        <w:r>
          <w:instrText xml:space="preserve"> PAGE   \* MERGEFORMAT </w:instrText>
        </w:r>
        <w:r>
          <w:fldChar w:fldCharType="separate"/>
        </w:r>
        <w:r w:rsidR="006A33CF">
          <w:rPr>
            <w:noProof/>
          </w:rPr>
          <w:t>29</w:t>
        </w:r>
        <w:r>
          <w:rPr>
            <w:noProof/>
          </w:rPr>
          <w:fldChar w:fldCharType="end"/>
        </w:r>
      </w:p>
    </w:sdtContent>
  </w:sdt>
  <w:p w:rsidR="003662E8" w:rsidRDefault="003662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7CC2" w:rsidRDefault="009F7CC2">
      <w:pPr>
        <w:spacing w:after="0" w:line="240" w:lineRule="auto"/>
      </w:pPr>
      <w:r>
        <w:separator/>
      </w:r>
    </w:p>
  </w:footnote>
  <w:footnote w:type="continuationSeparator" w:id="0">
    <w:p w:rsidR="009F7CC2" w:rsidRDefault="009F7C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5C4A39"/>
    <w:multiLevelType w:val="hybridMultilevel"/>
    <w:tmpl w:val="DCD2096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988"/>
    <w:rsid w:val="0001478E"/>
    <w:rsid w:val="000362F8"/>
    <w:rsid w:val="000640F7"/>
    <w:rsid w:val="001527BB"/>
    <w:rsid w:val="001E1D74"/>
    <w:rsid w:val="001F3D2F"/>
    <w:rsid w:val="0028616C"/>
    <w:rsid w:val="003420FE"/>
    <w:rsid w:val="003662E8"/>
    <w:rsid w:val="003720C1"/>
    <w:rsid w:val="00387004"/>
    <w:rsid w:val="003B58C9"/>
    <w:rsid w:val="003E3D20"/>
    <w:rsid w:val="00440D4D"/>
    <w:rsid w:val="00473DE1"/>
    <w:rsid w:val="00521061"/>
    <w:rsid w:val="00572E64"/>
    <w:rsid w:val="005C1CBC"/>
    <w:rsid w:val="005D562F"/>
    <w:rsid w:val="00695B4B"/>
    <w:rsid w:val="006A33CF"/>
    <w:rsid w:val="0079087A"/>
    <w:rsid w:val="007B07BF"/>
    <w:rsid w:val="007E18B8"/>
    <w:rsid w:val="00804ABC"/>
    <w:rsid w:val="00834EE0"/>
    <w:rsid w:val="008E7802"/>
    <w:rsid w:val="00944970"/>
    <w:rsid w:val="00950E43"/>
    <w:rsid w:val="009719B0"/>
    <w:rsid w:val="009F7CC2"/>
    <w:rsid w:val="00A77ACC"/>
    <w:rsid w:val="00B4698B"/>
    <w:rsid w:val="00B66DAD"/>
    <w:rsid w:val="00B9362F"/>
    <w:rsid w:val="00B9553B"/>
    <w:rsid w:val="00BE11B3"/>
    <w:rsid w:val="00D94385"/>
    <w:rsid w:val="00DA3D5A"/>
    <w:rsid w:val="00E419A9"/>
    <w:rsid w:val="00E50A6F"/>
    <w:rsid w:val="00E52988"/>
    <w:rsid w:val="00E67515"/>
    <w:rsid w:val="00EC2C90"/>
    <w:rsid w:val="00F74096"/>
    <w:rsid w:val="00FE5A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6502EC-581B-4B9B-998F-C67FE22B5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GB" w:eastAsia="en-US" w:bidi="ar-SA"/>
      </w:rPr>
    </w:rPrDefault>
    <w:pPrDefault>
      <w:pPr>
        <w:spacing w:after="160" w:line="48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988"/>
    <w:pPr>
      <w:spacing w:after="200"/>
    </w:pPr>
  </w:style>
  <w:style w:type="paragraph" w:styleId="Heading1">
    <w:name w:val="heading 1"/>
    <w:basedOn w:val="Normal"/>
    <w:next w:val="Normal"/>
    <w:link w:val="Heading1Char"/>
    <w:uiPriority w:val="9"/>
    <w:qFormat/>
    <w:rsid w:val="00E5298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5298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298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52988"/>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E529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E52988"/>
    <w:pPr>
      <w:spacing w:after="120"/>
    </w:pPr>
  </w:style>
  <w:style w:type="character" w:customStyle="1" w:styleId="BodyTextChar">
    <w:name w:val="Body Text Char"/>
    <w:basedOn w:val="DefaultParagraphFont"/>
    <w:link w:val="BodyText"/>
    <w:uiPriority w:val="99"/>
    <w:rsid w:val="00E52988"/>
  </w:style>
  <w:style w:type="paragraph" w:styleId="Header">
    <w:name w:val="header"/>
    <w:basedOn w:val="Normal"/>
    <w:link w:val="HeaderChar"/>
    <w:uiPriority w:val="99"/>
    <w:unhideWhenUsed/>
    <w:rsid w:val="00E529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2988"/>
  </w:style>
  <w:style w:type="paragraph" w:styleId="Footer">
    <w:name w:val="footer"/>
    <w:basedOn w:val="Normal"/>
    <w:link w:val="FooterChar"/>
    <w:uiPriority w:val="99"/>
    <w:unhideWhenUsed/>
    <w:rsid w:val="00E529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2988"/>
  </w:style>
  <w:style w:type="character" w:styleId="Strong">
    <w:name w:val="Strong"/>
    <w:basedOn w:val="DefaultParagraphFont"/>
    <w:uiPriority w:val="22"/>
    <w:qFormat/>
    <w:rsid w:val="00E52988"/>
    <w:rPr>
      <w:b/>
      <w:bCs/>
    </w:rPr>
  </w:style>
  <w:style w:type="character" w:styleId="Emphasis">
    <w:name w:val="Emphasis"/>
    <w:basedOn w:val="DefaultParagraphFont"/>
    <w:uiPriority w:val="20"/>
    <w:qFormat/>
    <w:rsid w:val="00E52988"/>
    <w:rPr>
      <w:i/>
      <w:iCs/>
    </w:rPr>
  </w:style>
  <w:style w:type="paragraph" w:customStyle="1" w:styleId="Default">
    <w:name w:val="Default"/>
    <w:rsid w:val="00E52988"/>
    <w:pPr>
      <w:autoSpaceDE w:val="0"/>
      <w:autoSpaceDN w:val="0"/>
      <w:adjustRightInd w:val="0"/>
      <w:spacing w:after="0" w:line="240" w:lineRule="auto"/>
      <w:jc w:val="left"/>
    </w:pPr>
    <w:rPr>
      <w:rFonts w:eastAsia="Times New Roman"/>
      <w:color w:val="000000"/>
      <w:lang w:eastAsia="en-GB"/>
    </w:rPr>
  </w:style>
  <w:style w:type="paragraph" w:styleId="BalloonText">
    <w:name w:val="Balloon Text"/>
    <w:basedOn w:val="Normal"/>
    <w:link w:val="BalloonTextChar"/>
    <w:uiPriority w:val="99"/>
    <w:semiHidden/>
    <w:unhideWhenUsed/>
    <w:rsid w:val="00E529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2988"/>
    <w:rPr>
      <w:rFonts w:ascii="Segoe UI" w:hAnsi="Segoe UI" w:cs="Segoe UI"/>
      <w:sz w:val="18"/>
      <w:szCs w:val="18"/>
    </w:rPr>
  </w:style>
  <w:style w:type="character" w:styleId="Hyperlink">
    <w:name w:val="Hyperlink"/>
    <w:uiPriority w:val="99"/>
    <w:unhideWhenUsed/>
    <w:rsid w:val="00E52988"/>
    <w:rPr>
      <w:color w:val="0000FF"/>
      <w:u w:val="single"/>
    </w:rPr>
  </w:style>
  <w:style w:type="paragraph" w:customStyle="1" w:styleId="yiv5476883432msonormal">
    <w:name w:val="yiv5476883432msonormal"/>
    <w:basedOn w:val="Normal"/>
    <w:rsid w:val="00E52988"/>
    <w:pPr>
      <w:spacing w:before="100" w:beforeAutospacing="1" w:after="100" w:afterAutospacing="1" w:line="240" w:lineRule="auto"/>
      <w:jc w:val="left"/>
    </w:pPr>
    <w:rPr>
      <w:rFonts w:eastAsia="Times New Roman"/>
      <w:lang w:eastAsia="en-GB"/>
    </w:rPr>
  </w:style>
  <w:style w:type="paragraph" w:customStyle="1" w:styleId="yiv5397122630msonormal">
    <w:name w:val="yiv5397122630msonormal"/>
    <w:basedOn w:val="Normal"/>
    <w:rsid w:val="00E52988"/>
    <w:pPr>
      <w:spacing w:before="100" w:beforeAutospacing="1" w:after="100" w:afterAutospacing="1" w:line="240" w:lineRule="auto"/>
      <w:jc w:val="left"/>
    </w:pPr>
    <w:rPr>
      <w:rFonts w:eastAsia="Times New Roman"/>
      <w:lang w:eastAsia="en-GB"/>
    </w:rPr>
  </w:style>
  <w:style w:type="paragraph" w:styleId="FootnoteText">
    <w:name w:val="footnote text"/>
    <w:basedOn w:val="Normal"/>
    <w:link w:val="FootnoteTextChar"/>
    <w:uiPriority w:val="99"/>
    <w:semiHidden/>
    <w:unhideWhenUsed/>
    <w:rsid w:val="00E529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2988"/>
    <w:rPr>
      <w:sz w:val="20"/>
      <w:szCs w:val="20"/>
    </w:rPr>
  </w:style>
  <w:style w:type="character" w:styleId="FootnoteReference">
    <w:name w:val="footnote reference"/>
    <w:basedOn w:val="DefaultParagraphFont"/>
    <w:uiPriority w:val="99"/>
    <w:semiHidden/>
    <w:unhideWhenUsed/>
    <w:rsid w:val="00E52988"/>
    <w:rPr>
      <w:vertAlign w:val="superscript"/>
    </w:rPr>
  </w:style>
  <w:style w:type="paragraph" w:styleId="Date">
    <w:name w:val="Date"/>
    <w:basedOn w:val="Normal"/>
    <w:next w:val="Normal"/>
    <w:link w:val="DateChar"/>
    <w:uiPriority w:val="99"/>
    <w:unhideWhenUsed/>
    <w:rsid w:val="00E52988"/>
  </w:style>
  <w:style w:type="character" w:customStyle="1" w:styleId="DateChar">
    <w:name w:val="Date Char"/>
    <w:basedOn w:val="DefaultParagraphFont"/>
    <w:link w:val="Date"/>
    <w:uiPriority w:val="99"/>
    <w:rsid w:val="00E52988"/>
  </w:style>
  <w:style w:type="paragraph" w:styleId="Title">
    <w:name w:val="Title"/>
    <w:basedOn w:val="Normal"/>
    <w:next w:val="Normal"/>
    <w:link w:val="TitleChar"/>
    <w:uiPriority w:val="10"/>
    <w:qFormat/>
    <w:rsid w:val="00E5298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2988"/>
    <w:rPr>
      <w:rFonts w:asciiTheme="majorHAnsi" w:eastAsiaTheme="majorEastAsia" w:hAnsiTheme="majorHAnsi" w:cstheme="majorBidi"/>
      <w:spacing w:val="-10"/>
      <w:kern w:val="28"/>
      <w:sz w:val="56"/>
      <w:szCs w:val="56"/>
    </w:rPr>
  </w:style>
  <w:style w:type="paragraph" w:styleId="BodyTextIndent">
    <w:name w:val="Body Text Indent"/>
    <w:basedOn w:val="Normal"/>
    <w:link w:val="BodyTextIndentChar"/>
    <w:uiPriority w:val="99"/>
    <w:unhideWhenUsed/>
    <w:rsid w:val="00E52988"/>
    <w:pPr>
      <w:spacing w:after="120"/>
      <w:ind w:left="283"/>
    </w:pPr>
  </w:style>
  <w:style w:type="character" w:customStyle="1" w:styleId="BodyTextIndentChar">
    <w:name w:val="Body Text Indent Char"/>
    <w:basedOn w:val="DefaultParagraphFont"/>
    <w:link w:val="BodyTextIndent"/>
    <w:uiPriority w:val="99"/>
    <w:rsid w:val="00E52988"/>
  </w:style>
  <w:style w:type="paragraph" w:styleId="Subtitle">
    <w:name w:val="Subtitle"/>
    <w:basedOn w:val="Normal"/>
    <w:next w:val="Normal"/>
    <w:link w:val="SubtitleChar"/>
    <w:uiPriority w:val="11"/>
    <w:qFormat/>
    <w:rsid w:val="00E5298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52988"/>
    <w:rPr>
      <w:rFonts w:asciiTheme="minorHAnsi" w:eastAsiaTheme="minorEastAsia" w:hAnsiTheme="minorHAnsi" w:cstheme="minorBidi"/>
      <w:color w:val="5A5A5A" w:themeColor="text1" w:themeTint="A5"/>
      <w:spacing w:val="15"/>
      <w:sz w:val="22"/>
      <w:szCs w:val="22"/>
    </w:rPr>
  </w:style>
  <w:style w:type="paragraph" w:styleId="BodyTextFirstIndent">
    <w:name w:val="Body Text First Indent"/>
    <w:basedOn w:val="BodyText"/>
    <w:link w:val="BodyTextFirstIndentChar"/>
    <w:uiPriority w:val="99"/>
    <w:unhideWhenUsed/>
    <w:rsid w:val="00E52988"/>
    <w:pPr>
      <w:spacing w:after="200"/>
      <w:ind w:firstLine="360"/>
    </w:pPr>
  </w:style>
  <w:style w:type="character" w:customStyle="1" w:styleId="BodyTextFirstIndentChar">
    <w:name w:val="Body Text First Indent Char"/>
    <w:basedOn w:val="BodyTextChar"/>
    <w:link w:val="BodyTextFirstIndent"/>
    <w:uiPriority w:val="99"/>
    <w:rsid w:val="00E52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hwa.eu/OUTPUTS/Publications/Scientific-Report-on-youth-political-engagement-in-Tunisi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80/02673843.2018.1430595"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animir.kabaivanov@gmail.com" TargetMode="External"/><Relationship Id="rId5" Type="http://schemas.openxmlformats.org/officeDocument/2006/relationships/footnotes" Target="footnotes.xml"/><Relationship Id="rId10" Type="http://schemas.openxmlformats.org/officeDocument/2006/relationships/hyperlink" Target="mailto:siykakovacheva@gmail.com" TargetMode="External"/><Relationship Id="rId4" Type="http://schemas.openxmlformats.org/officeDocument/2006/relationships/webSettings" Target="webSettings.xml"/><Relationship Id="rId9" Type="http://schemas.openxmlformats.org/officeDocument/2006/relationships/hyperlink" Target="mailto:bert@liverpool.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33</Pages>
  <Words>7425</Words>
  <Characters>42326</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kenneth.roberts18@btopenworld.com</dc:creator>
  <cp:keywords/>
  <dc:description/>
  <cp:lastModifiedBy>kenneth.roberts18@btopenworld.com</cp:lastModifiedBy>
  <cp:revision>3</cp:revision>
  <cp:lastPrinted>2019-03-28T15:01:00Z</cp:lastPrinted>
  <dcterms:created xsi:type="dcterms:W3CDTF">2019-03-29T09:41:00Z</dcterms:created>
  <dcterms:modified xsi:type="dcterms:W3CDTF">2019-03-29T10:04:00Z</dcterms:modified>
</cp:coreProperties>
</file>