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9BE97" w14:textId="77777777" w:rsidR="00C03F02" w:rsidRPr="0031394A" w:rsidRDefault="00522F20" w:rsidP="007F6778">
      <w:pPr>
        <w:spacing w:after="0" w:line="240" w:lineRule="auto"/>
        <w:ind w:right="11"/>
        <w:jc w:val="both"/>
        <w:rPr>
          <w:rFonts w:ascii="Times New Roman" w:hAnsi="Times New Roman"/>
          <w:b/>
          <w:sz w:val="28"/>
          <w:lang w:val="en-GB"/>
        </w:rPr>
      </w:pPr>
      <w:r w:rsidRPr="0031394A">
        <w:rPr>
          <w:rFonts w:ascii="Times New Roman" w:hAnsi="Times New Roman"/>
          <w:b/>
          <w:sz w:val="28"/>
          <w:lang w:val="en-GB"/>
        </w:rPr>
        <w:t xml:space="preserve">Automatic Balancing Mechanisms for </w:t>
      </w:r>
      <w:r w:rsidR="00E60DA9" w:rsidRPr="0031394A">
        <w:rPr>
          <w:rFonts w:ascii="Times New Roman" w:hAnsi="Times New Roman"/>
          <w:b/>
          <w:sz w:val="28"/>
          <w:lang w:val="en-GB"/>
        </w:rPr>
        <w:t>M</w:t>
      </w:r>
      <w:r w:rsidRPr="0031394A">
        <w:rPr>
          <w:rFonts w:ascii="Times New Roman" w:hAnsi="Times New Roman"/>
          <w:b/>
          <w:sz w:val="28"/>
          <w:lang w:val="en-GB"/>
        </w:rPr>
        <w:t xml:space="preserve">ixed </w:t>
      </w:r>
      <w:r w:rsidR="00E60DA9" w:rsidRPr="0031394A">
        <w:rPr>
          <w:rFonts w:ascii="Times New Roman" w:hAnsi="Times New Roman"/>
          <w:b/>
          <w:sz w:val="28"/>
          <w:lang w:val="en-GB"/>
        </w:rPr>
        <w:t>P</w:t>
      </w:r>
      <w:r w:rsidRPr="0031394A">
        <w:rPr>
          <w:rFonts w:ascii="Times New Roman" w:hAnsi="Times New Roman"/>
          <w:b/>
          <w:sz w:val="28"/>
          <w:lang w:val="en-GB"/>
        </w:rPr>
        <w:t xml:space="preserve">ension </w:t>
      </w:r>
      <w:r w:rsidR="00E60DA9" w:rsidRPr="0031394A">
        <w:rPr>
          <w:rFonts w:ascii="Times New Roman" w:hAnsi="Times New Roman"/>
          <w:b/>
          <w:sz w:val="28"/>
          <w:lang w:val="en-GB"/>
        </w:rPr>
        <w:t>S</w:t>
      </w:r>
      <w:r w:rsidRPr="0031394A">
        <w:rPr>
          <w:rFonts w:ascii="Times New Roman" w:hAnsi="Times New Roman"/>
          <w:b/>
          <w:sz w:val="28"/>
          <w:lang w:val="en-GB"/>
        </w:rPr>
        <w:t>ystems</w:t>
      </w:r>
      <w:r w:rsidR="00750279" w:rsidRPr="0031394A">
        <w:rPr>
          <w:rFonts w:ascii="Times New Roman" w:hAnsi="Times New Roman"/>
          <w:b/>
          <w:sz w:val="28"/>
          <w:lang w:val="en-GB"/>
        </w:rPr>
        <w:t xml:space="preserve"> under </w:t>
      </w:r>
      <w:r w:rsidR="007C1370" w:rsidRPr="0031394A">
        <w:rPr>
          <w:rFonts w:ascii="Times New Roman" w:hAnsi="Times New Roman"/>
          <w:b/>
          <w:sz w:val="28"/>
          <w:lang w:val="en-GB"/>
        </w:rPr>
        <w:t>D</w:t>
      </w:r>
      <w:r w:rsidR="00750279" w:rsidRPr="0031394A">
        <w:rPr>
          <w:rFonts w:ascii="Times New Roman" w:hAnsi="Times New Roman"/>
          <w:b/>
          <w:sz w:val="28"/>
          <w:lang w:val="en-GB"/>
        </w:rPr>
        <w:t xml:space="preserve">ifferent </w:t>
      </w:r>
      <w:r w:rsidR="007C1370" w:rsidRPr="0031394A">
        <w:rPr>
          <w:rFonts w:ascii="Times New Roman" w:hAnsi="Times New Roman"/>
          <w:b/>
          <w:sz w:val="28"/>
          <w:lang w:val="en-GB"/>
        </w:rPr>
        <w:t>I</w:t>
      </w:r>
      <w:r w:rsidR="00750279" w:rsidRPr="0031394A">
        <w:rPr>
          <w:rFonts w:ascii="Times New Roman" w:hAnsi="Times New Roman"/>
          <w:b/>
          <w:sz w:val="28"/>
          <w:lang w:val="en-GB"/>
        </w:rPr>
        <w:t xml:space="preserve">nvestment </w:t>
      </w:r>
      <w:r w:rsidR="007C1370" w:rsidRPr="0031394A">
        <w:rPr>
          <w:rFonts w:ascii="Times New Roman" w:hAnsi="Times New Roman"/>
          <w:b/>
          <w:sz w:val="28"/>
          <w:lang w:val="en-GB"/>
        </w:rPr>
        <w:t>S</w:t>
      </w:r>
      <w:r w:rsidR="00750279" w:rsidRPr="0031394A">
        <w:rPr>
          <w:rFonts w:ascii="Times New Roman" w:hAnsi="Times New Roman"/>
          <w:b/>
          <w:sz w:val="28"/>
          <w:lang w:val="en-GB"/>
        </w:rPr>
        <w:t>trategies</w:t>
      </w:r>
    </w:p>
    <w:p w14:paraId="2C919035" w14:textId="77777777" w:rsidR="007F6778" w:rsidRPr="0031394A" w:rsidRDefault="007F6778" w:rsidP="003A7393">
      <w:pPr>
        <w:spacing w:line="240" w:lineRule="auto"/>
        <w:ind w:right="9"/>
        <w:jc w:val="both"/>
        <w:rPr>
          <w:rFonts w:ascii="Times New Roman" w:hAnsi="Times New Roman"/>
          <w:b/>
          <w:sz w:val="28"/>
          <w:lang w:val="en-GB"/>
        </w:rPr>
      </w:pPr>
    </w:p>
    <w:p w14:paraId="67561AA4" w14:textId="77777777" w:rsidR="00031CE7" w:rsidRPr="0031394A" w:rsidRDefault="00031CE7" w:rsidP="007F6778">
      <w:pPr>
        <w:spacing w:before="120" w:after="240" w:line="240" w:lineRule="auto"/>
        <w:jc w:val="both"/>
        <w:rPr>
          <w:rFonts w:ascii="Times New Roman" w:hAnsi="Times New Roman" w:cs="Times New Roman"/>
          <w:b/>
          <w:bCs/>
          <w:sz w:val="24"/>
          <w:szCs w:val="24"/>
          <w:lang w:val="es-ES"/>
        </w:rPr>
      </w:pPr>
      <w:r w:rsidRPr="0031394A">
        <w:rPr>
          <w:rFonts w:ascii="Times New Roman" w:hAnsi="Times New Roman" w:cs="Times New Roman"/>
          <w:b/>
          <w:bCs/>
          <w:sz w:val="24"/>
          <w:szCs w:val="24"/>
          <w:lang w:val="sv-SE"/>
        </w:rPr>
        <w:t>María del Carmen Boado-Penas</w:t>
      </w:r>
      <w:r w:rsidR="00B934DD" w:rsidRPr="0031394A">
        <w:rPr>
          <w:rStyle w:val="FootnoteReference"/>
          <w:rFonts w:ascii="Symbol" w:hAnsi="Symbol"/>
          <w:b/>
          <w:sz w:val="20"/>
          <w:lang w:val="en-GB"/>
        </w:rPr>
        <w:footnoteReference w:customMarkFollows="1" w:id="1"/>
        <w:sym w:font="Symbol" w:char="F0AA"/>
      </w:r>
      <w:r w:rsidRPr="0031394A">
        <w:rPr>
          <w:rFonts w:ascii="Times New Roman" w:hAnsi="Times New Roman" w:cs="Times New Roman"/>
          <w:b/>
          <w:bCs/>
          <w:sz w:val="24"/>
          <w:szCs w:val="24"/>
          <w:lang w:val="sv-SE"/>
        </w:rPr>
        <w:t xml:space="preserve">, </w:t>
      </w:r>
      <w:r w:rsidR="00C71E1D" w:rsidRPr="0031394A">
        <w:rPr>
          <w:rFonts w:ascii="Times New Roman" w:hAnsi="Times New Roman" w:cs="Times New Roman"/>
          <w:b/>
          <w:bCs/>
          <w:sz w:val="24"/>
          <w:szCs w:val="24"/>
          <w:lang w:val="sv-SE"/>
        </w:rPr>
        <w:t>Humberto Godí</w:t>
      </w:r>
      <w:r w:rsidRPr="0031394A">
        <w:rPr>
          <w:rFonts w:ascii="Times New Roman" w:hAnsi="Times New Roman" w:cs="Times New Roman"/>
          <w:b/>
          <w:bCs/>
          <w:sz w:val="24"/>
          <w:szCs w:val="24"/>
          <w:lang w:val="sv-SE"/>
        </w:rPr>
        <w:t>nez-Olivares</w:t>
      </w:r>
      <w:r w:rsidRPr="0031394A">
        <w:rPr>
          <w:rStyle w:val="FootnoteReference"/>
          <w:rFonts w:ascii="Times New Roman" w:hAnsi="Times New Roman" w:cs="Times New Roman"/>
          <w:b/>
          <w:bCs/>
          <w:sz w:val="24"/>
          <w:szCs w:val="24"/>
        </w:rPr>
        <w:footnoteReference w:id="2"/>
      </w:r>
      <w:r w:rsidRPr="0031394A">
        <w:rPr>
          <w:rFonts w:ascii="Times New Roman" w:hAnsi="Times New Roman" w:cs="Times New Roman"/>
          <w:b/>
          <w:bCs/>
          <w:sz w:val="24"/>
          <w:szCs w:val="24"/>
          <w:lang w:val="sv-SE"/>
        </w:rPr>
        <w:t>, Steven Haberman</w:t>
      </w:r>
      <w:r w:rsidR="00A2035A" w:rsidRPr="0031394A">
        <w:rPr>
          <w:rStyle w:val="FootnoteReference"/>
          <w:rFonts w:ascii="Times New Roman" w:hAnsi="Times New Roman" w:cs="Times New Roman"/>
          <w:b/>
          <w:bCs/>
          <w:sz w:val="24"/>
          <w:szCs w:val="24"/>
        </w:rPr>
        <w:footnoteReference w:id="3"/>
      </w:r>
      <w:r w:rsidRPr="0031394A">
        <w:rPr>
          <w:rFonts w:ascii="Times New Roman" w:hAnsi="Times New Roman" w:cs="Times New Roman"/>
          <w:b/>
          <w:bCs/>
          <w:sz w:val="24"/>
          <w:szCs w:val="24"/>
          <w:lang w:val="sv-SE"/>
        </w:rPr>
        <w:t xml:space="preserve"> and Pedro Serrano</w:t>
      </w:r>
      <w:r w:rsidR="00FE2D8C" w:rsidRPr="0031394A">
        <w:rPr>
          <w:rStyle w:val="FootnoteReference"/>
          <w:rFonts w:ascii="Times New Roman" w:hAnsi="Times New Roman" w:cs="Times New Roman"/>
          <w:b/>
          <w:bCs/>
          <w:sz w:val="24"/>
          <w:szCs w:val="24"/>
        </w:rPr>
        <w:footnoteReference w:id="4"/>
      </w:r>
      <w:r w:rsidR="007306FF" w:rsidRPr="0031394A">
        <w:rPr>
          <w:rFonts w:ascii="Times New Roman" w:hAnsi="Times New Roman" w:cs="Times New Roman"/>
          <w:b/>
          <w:bCs/>
          <w:sz w:val="24"/>
          <w:szCs w:val="24"/>
          <w:lang w:val="es-ES"/>
        </w:rPr>
        <w:t xml:space="preserve"> </w:t>
      </w:r>
      <w:r w:rsidR="0018545B" w:rsidRPr="0031394A">
        <w:rPr>
          <w:rStyle w:val="FootnoteReference"/>
          <w:rFonts w:ascii="Times New Roman" w:hAnsi="Times New Roman" w:cs="Times New Roman"/>
          <w:b/>
          <w:bCs/>
          <w:sz w:val="24"/>
          <w:szCs w:val="24"/>
        </w:rPr>
        <w:footnoteReference w:id="5"/>
      </w:r>
    </w:p>
    <w:p w14:paraId="6D48FA2A" w14:textId="77777777" w:rsidR="00031CE7" w:rsidRPr="0031394A" w:rsidRDefault="00031CE7" w:rsidP="00031CE7">
      <w:pPr>
        <w:spacing w:line="240" w:lineRule="auto"/>
        <w:ind w:right="9"/>
        <w:jc w:val="center"/>
        <w:rPr>
          <w:rFonts w:ascii="Times New Roman" w:hAnsi="Times New Roman"/>
          <w:b/>
          <w:sz w:val="24"/>
          <w:szCs w:val="24"/>
          <w:lang w:val="en-GB"/>
        </w:rPr>
      </w:pPr>
      <w:r w:rsidRPr="0031394A">
        <w:rPr>
          <w:rFonts w:ascii="Times New Roman" w:hAnsi="Times New Roman"/>
          <w:b/>
          <w:sz w:val="24"/>
          <w:szCs w:val="24"/>
          <w:lang w:val="en-GB"/>
        </w:rPr>
        <w:t>Abstract</w:t>
      </w:r>
    </w:p>
    <w:p w14:paraId="23B20F60" w14:textId="72B37707" w:rsidR="00591DB0" w:rsidRPr="000A1823" w:rsidRDefault="00BB145D" w:rsidP="00C825A0">
      <w:pPr>
        <w:spacing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 xml:space="preserve">State pension systems are usually pay-as-you-go financed, i.e. current contributions cover pension expenditure. However, some countries combine funding and pay-as-you-go </w:t>
      </w:r>
      <w:r w:rsidR="00306768" w:rsidRPr="000A1823">
        <w:rPr>
          <w:rFonts w:ascii="Times New Roman" w:hAnsi="Times New Roman" w:cs="Times New Roman"/>
          <w:sz w:val="24"/>
          <w:szCs w:val="24"/>
          <w:lang w:val="en-GB"/>
        </w:rPr>
        <w:t xml:space="preserve">(PAYG) </w:t>
      </w:r>
      <w:r w:rsidRPr="000A1823">
        <w:rPr>
          <w:rFonts w:ascii="Times New Roman" w:hAnsi="Times New Roman" w:cs="Times New Roman"/>
          <w:sz w:val="24"/>
          <w:szCs w:val="24"/>
          <w:lang w:val="en-GB"/>
        </w:rPr>
        <w:t xml:space="preserve">elements within the first pillar. </w:t>
      </w:r>
      <w:r w:rsidR="00D17FB0" w:rsidRPr="000A1823">
        <w:rPr>
          <w:rFonts w:ascii="Times New Roman" w:hAnsi="Times New Roman" w:cs="Times New Roman"/>
          <w:sz w:val="24"/>
          <w:szCs w:val="24"/>
          <w:lang w:val="en-GB"/>
        </w:rPr>
        <w:t xml:space="preserve">The aim of this </w:t>
      </w:r>
      <w:r w:rsidR="0078512B" w:rsidRPr="000A1823">
        <w:rPr>
          <w:rFonts w:ascii="Times New Roman" w:hAnsi="Times New Roman" w:cs="Times New Roman"/>
          <w:sz w:val="24"/>
          <w:szCs w:val="24"/>
          <w:lang w:val="en-GB"/>
        </w:rPr>
        <w:t>paper</w:t>
      </w:r>
      <w:r w:rsidR="00D17FB0" w:rsidRPr="000A1823">
        <w:rPr>
          <w:rFonts w:ascii="Times New Roman" w:hAnsi="Times New Roman" w:cs="Times New Roman"/>
          <w:sz w:val="24"/>
          <w:szCs w:val="24"/>
          <w:lang w:val="en-GB"/>
        </w:rPr>
        <w:t xml:space="preserve"> is two</w:t>
      </w:r>
      <w:r w:rsidR="008B3617" w:rsidRPr="000A1823">
        <w:rPr>
          <w:rFonts w:ascii="Times New Roman" w:hAnsi="Times New Roman" w:cs="Times New Roman"/>
          <w:sz w:val="24"/>
          <w:szCs w:val="24"/>
          <w:lang w:val="en-GB"/>
        </w:rPr>
        <w:t xml:space="preserve">fold. First, using nonlinear </w:t>
      </w:r>
      <w:r w:rsidR="005C2D9E" w:rsidRPr="000A1823">
        <w:rPr>
          <w:rFonts w:ascii="Times New Roman" w:hAnsi="Times New Roman" w:cs="Times New Roman"/>
          <w:sz w:val="24"/>
          <w:szCs w:val="24"/>
          <w:lang w:val="en-GB"/>
        </w:rPr>
        <w:t>optimisation</w:t>
      </w:r>
      <w:r w:rsidR="008B3617" w:rsidRPr="000A1823">
        <w:rPr>
          <w:rFonts w:ascii="Times New Roman" w:hAnsi="Times New Roman" w:cs="Times New Roman"/>
          <w:sz w:val="24"/>
          <w:szCs w:val="24"/>
          <w:lang w:val="en-GB"/>
        </w:rPr>
        <w:t xml:space="preserve"> based on </w:t>
      </w:r>
      <w:proofErr w:type="spellStart"/>
      <w:r w:rsidR="00C71E1D" w:rsidRPr="000A1823">
        <w:rPr>
          <w:rFonts w:ascii="Times New Roman" w:hAnsi="Times New Roman" w:cs="Times New Roman"/>
          <w:sz w:val="24"/>
          <w:szCs w:val="24"/>
          <w:lang w:val="en-GB"/>
        </w:rPr>
        <w:t>Godínez</w:t>
      </w:r>
      <w:proofErr w:type="spellEnd"/>
      <w:r w:rsidR="00C71E1D" w:rsidRPr="000A1823">
        <w:rPr>
          <w:rFonts w:ascii="Times New Roman" w:hAnsi="Times New Roman" w:cs="Times New Roman"/>
          <w:sz w:val="24"/>
          <w:szCs w:val="24"/>
          <w:lang w:val="en-GB"/>
        </w:rPr>
        <w:t>-Olivares, Boado-Penas, and Haberman (2016)</w:t>
      </w:r>
      <w:r w:rsidR="008B3617" w:rsidRPr="000A1823">
        <w:rPr>
          <w:rFonts w:ascii="Times New Roman" w:hAnsi="Times New Roman" w:cs="Times New Roman"/>
          <w:sz w:val="24"/>
          <w:szCs w:val="24"/>
          <w:lang w:val="en-GB"/>
        </w:rPr>
        <w:t xml:space="preserve">, it seeks to assess the impact of a compulsory funded </w:t>
      </w:r>
      <w:r w:rsidR="00CC3E16" w:rsidRPr="000A1823">
        <w:rPr>
          <w:rFonts w:ascii="Times New Roman" w:hAnsi="Times New Roman" w:cs="Times New Roman"/>
          <w:sz w:val="24"/>
          <w:szCs w:val="24"/>
          <w:lang w:val="en-GB"/>
        </w:rPr>
        <w:t xml:space="preserve">defined contribution </w:t>
      </w:r>
      <w:r w:rsidR="000529C0" w:rsidRPr="000A1823">
        <w:rPr>
          <w:rFonts w:ascii="Times New Roman" w:hAnsi="Times New Roman" w:cs="Times New Roman"/>
          <w:sz w:val="24"/>
          <w:szCs w:val="24"/>
          <w:lang w:val="en-GB"/>
        </w:rPr>
        <w:t xml:space="preserve">(DC) </w:t>
      </w:r>
      <w:r w:rsidR="008B3617" w:rsidRPr="000A1823">
        <w:rPr>
          <w:rFonts w:ascii="Times New Roman" w:hAnsi="Times New Roman" w:cs="Times New Roman"/>
          <w:sz w:val="24"/>
          <w:szCs w:val="24"/>
          <w:lang w:val="en-GB"/>
        </w:rPr>
        <w:t>pension scheme that complements the traditional</w:t>
      </w:r>
      <w:r w:rsidR="00D70294" w:rsidRPr="000A1823">
        <w:rPr>
          <w:rFonts w:ascii="Times New Roman" w:hAnsi="Times New Roman" w:cs="Times New Roman"/>
          <w:sz w:val="24"/>
          <w:szCs w:val="24"/>
          <w:lang w:val="en-GB"/>
        </w:rPr>
        <w:t xml:space="preserve"> defined</w:t>
      </w:r>
      <w:r w:rsidR="000529C0" w:rsidRPr="000A1823">
        <w:rPr>
          <w:rFonts w:ascii="Times New Roman" w:hAnsi="Times New Roman" w:cs="Times New Roman"/>
          <w:sz w:val="24"/>
          <w:szCs w:val="24"/>
          <w:lang w:val="en-GB"/>
        </w:rPr>
        <w:t xml:space="preserve"> benefit (DB)</w:t>
      </w:r>
      <w:r w:rsidR="008B3617" w:rsidRPr="000A1823">
        <w:rPr>
          <w:rFonts w:ascii="Times New Roman" w:hAnsi="Times New Roman" w:cs="Times New Roman"/>
          <w:sz w:val="24"/>
          <w:szCs w:val="24"/>
          <w:lang w:val="en-GB"/>
        </w:rPr>
        <w:t xml:space="preserve"> PAYG</w:t>
      </w:r>
      <w:r w:rsidR="00B76798" w:rsidRPr="000A1823">
        <w:rPr>
          <w:rFonts w:ascii="Times New Roman" w:hAnsi="Times New Roman" w:cs="Times New Roman"/>
          <w:sz w:val="24"/>
          <w:szCs w:val="24"/>
          <w:lang w:val="en-GB"/>
        </w:rPr>
        <w:t xml:space="preserve"> on the level of pension benefits</w:t>
      </w:r>
      <w:r w:rsidR="00AC4DA6" w:rsidRPr="000A1823">
        <w:rPr>
          <w:rFonts w:ascii="Times New Roman" w:hAnsi="Times New Roman" w:cs="Times New Roman"/>
          <w:sz w:val="24"/>
          <w:szCs w:val="24"/>
          <w:lang w:val="en-GB"/>
        </w:rPr>
        <w:t>. F</w:t>
      </w:r>
      <w:r w:rsidR="003649A5" w:rsidRPr="000A1823">
        <w:rPr>
          <w:rFonts w:ascii="Times New Roman" w:hAnsi="Times New Roman" w:cs="Times New Roman"/>
          <w:sz w:val="24"/>
          <w:szCs w:val="24"/>
          <w:lang w:val="en-GB"/>
        </w:rPr>
        <w:t xml:space="preserve">uture expected returns </w:t>
      </w:r>
      <w:r w:rsidR="00AC4DA6" w:rsidRPr="000A1823">
        <w:rPr>
          <w:rFonts w:ascii="Times New Roman" w:hAnsi="Times New Roman" w:cs="Times New Roman"/>
          <w:sz w:val="24"/>
          <w:szCs w:val="24"/>
          <w:lang w:val="en-GB"/>
        </w:rPr>
        <w:t xml:space="preserve">for both the funded part and the buffer fund of the PAYG </w:t>
      </w:r>
      <w:r w:rsidR="003649A5" w:rsidRPr="000A1823">
        <w:rPr>
          <w:rFonts w:ascii="Times New Roman" w:hAnsi="Times New Roman" w:cs="Times New Roman"/>
          <w:sz w:val="24"/>
          <w:szCs w:val="24"/>
          <w:lang w:val="en-GB"/>
        </w:rPr>
        <w:t xml:space="preserve">are simulated </w:t>
      </w:r>
      <w:r w:rsidR="003649A5" w:rsidRPr="000A1823">
        <w:rPr>
          <w:rFonts w:ascii="Times New Roman" w:eastAsia="Times New Roman" w:hAnsi="Times New Roman" w:cs="Times New Roman"/>
          <w:sz w:val="24"/>
          <w:szCs w:val="24"/>
          <w:lang w:val="en-GB" w:eastAsia="es-ES"/>
        </w:rPr>
        <w:t>through the non-overlapping block bootstrap technique</w:t>
      </w:r>
      <w:r w:rsidR="003649A5" w:rsidRPr="000A1823">
        <w:rPr>
          <w:rFonts w:ascii="Times New Roman" w:hAnsi="Times New Roman" w:cs="Times New Roman"/>
          <w:sz w:val="24"/>
          <w:szCs w:val="24"/>
          <w:lang w:val="en-GB"/>
        </w:rPr>
        <w:t xml:space="preserve">. </w:t>
      </w:r>
      <w:r w:rsidR="00D17FB0" w:rsidRPr="000A1823">
        <w:rPr>
          <w:rFonts w:ascii="Times New Roman" w:hAnsi="Times New Roman" w:cs="Times New Roman"/>
          <w:sz w:val="24"/>
          <w:szCs w:val="24"/>
          <w:lang w:val="en-GB"/>
        </w:rPr>
        <w:t>Second</w:t>
      </w:r>
      <w:r w:rsidR="008B3617" w:rsidRPr="000A1823">
        <w:rPr>
          <w:rFonts w:ascii="Times New Roman" w:hAnsi="Times New Roman" w:cs="Times New Roman"/>
          <w:sz w:val="24"/>
          <w:szCs w:val="24"/>
          <w:lang w:val="en-GB"/>
        </w:rPr>
        <w:t>, in the case of a partial financial sustainability, we design different optimal strategies, that involve variables such as the contribution rate, age of retirement and indexation of pensions, to restore the long-term financial equilibrium of the sy</w:t>
      </w:r>
      <w:r w:rsidR="00D17FB0" w:rsidRPr="000A1823">
        <w:rPr>
          <w:rFonts w:ascii="Times New Roman" w:hAnsi="Times New Roman" w:cs="Times New Roman"/>
          <w:sz w:val="24"/>
          <w:szCs w:val="24"/>
          <w:lang w:val="en-GB"/>
        </w:rPr>
        <w:t xml:space="preserve">stem. </w:t>
      </w:r>
      <w:bookmarkStart w:id="0" w:name="_Hlk4007674"/>
      <w:r w:rsidR="000705B3" w:rsidRPr="000A1823">
        <w:rPr>
          <w:rFonts w:ascii="Times New Roman" w:hAnsi="Times New Roman" w:cs="Times New Roman"/>
          <w:sz w:val="24"/>
          <w:szCs w:val="24"/>
          <w:lang w:val="en-GB"/>
        </w:rPr>
        <w:t>We show that the adjustments needed to ensure sustainability for the mixed pension system</w:t>
      </w:r>
      <w:r w:rsidR="00661175" w:rsidRPr="000A1823">
        <w:rPr>
          <w:rFonts w:ascii="Times New Roman" w:hAnsi="Times New Roman" w:cs="Times New Roman"/>
          <w:sz w:val="24"/>
          <w:szCs w:val="24"/>
          <w:lang w:val="en-GB"/>
        </w:rPr>
        <w:t>s</w:t>
      </w:r>
      <w:r w:rsidR="000705B3" w:rsidRPr="000A1823">
        <w:rPr>
          <w:rFonts w:ascii="Times New Roman" w:hAnsi="Times New Roman" w:cs="Times New Roman"/>
          <w:sz w:val="24"/>
          <w:szCs w:val="24"/>
          <w:lang w:val="en-GB"/>
        </w:rPr>
        <w:t xml:space="preserve"> are less severe that the </w:t>
      </w:r>
      <w:r w:rsidR="00661175" w:rsidRPr="000A1823">
        <w:rPr>
          <w:rFonts w:ascii="Times New Roman" w:hAnsi="Times New Roman" w:cs="Times New Roman"/>
          <w:sz w:val="24"/>
          <w:szCs w:val="24"/>
          <w:lang w:val="en-GB"/>
        </w:rPr>
        <w:t xml:space="preserve">pure </w:t>
      </w:r>
      <w:r w:rsidR="000705B3" w:rsidRPr="000A1823">
        <w:rPr>
          <w:rFonts w:ascii="Times New Roman" w:hAnsi="Times New Roman" w:cs="Times New Roman"/>
          <w:sz w:val="24"/>
          <w:szCs w:val="24"/>
          <w:lang w:val="en-GB"/>
        </w:rPr>
        <w:t xml:space="preserve">DB PAYG but the total replacement rate for the former is lower in most of the cases studied. When calculating the return </w:t>
      </w:r>
      <w:r w:rsidR="00591DB0" w:rsidRPr="000A1823">
        <w:rPr>
          <w:rFonts w:ascii="Times New Roman" w:hAnsi="Times New Roman" w:cs="Times New Roman"/>
          <w:sz w:val="24"/>
          <w:szCs w:val="24"/>
          <w:lang w:val="en-GB"/>
        </w:rPr>
        <w:t xml:space="preserve">that the individuals would receive, </w:t>
      </w:r>
      <w:r w:rsidR="000705B3" w:rsidRPr="000A1823">
        <w:rPr>
          <w:rFonts w:ascii="Times New Roman" w:hAnsi="Times New Roman" w:cs="Times New Roman"/>
          <w:sz w:val="24"/>
          <w:szCs w:val="24"/>
          <w:lang w:val="en-GB"/>
        </w:rPr>
        <w:t>we prove that some cohorts</w:t>
      </w:r>
      <w:r w:rsidR="00591DB0" w:rsidRPr="000A1823">
        <w:rPr>
          <w:rFonts w:ascii="Times New Roman" w:hAnsi="Times New Roman" w:cs="Times New Roman"/>
          <w:sz w:val="24"/>
          <w:szCs w:val="24"/>
          <w:lang w:val="en-GB"/>
        </w:rPr>
        <w:t xml:space="preserve"> are better off under a mixed pension system.</w:t>
      </w:r>
      <w:bookmarkEnd w:id="0"/>
    </w:p>
    <w:p w14:paraId="0104A1EE" w14:textId="77777777" w:rsidR="00031CE7" w:rsidRPr="000A1823" w:rsidRDefault="00031CE7" w:rsidP="007F6778">
      <w:pPr>
        <w:spacing w:before="120" w:after="120" w:line="240" w:lineRule="auto"/>
        <w:jc w:val="both"/>
        <w:rPr>
          <w:rFonts w:ascii="Times New Roman" w:hAnsi="Times New Roman" w:cs="Times New Roman"/>
          <w:sz w:val="24"/>
          <w:szCs w:val="24"/>
        </w:rPr>
      </w:pPr>
      <w:r w:rsidRPr="000A1823">
        <w:rPr>
          <w:rFonts w:ascii="Times New Roman" w:hAnsi="Times New Roman" w:cs="Times New Roman"/>
          <w:b/>
          <w:bCs/>
          <w:sz w:val="24"/>
          <w:szCs w:val="24"/>
        </w:rPr>
        <w:t>Keywords</w:t>
      </w:r>
      <w:r w:rsidRPr="000A1823">
        <w:rPr>
          <w:rFonts w:ascii="Times New Roman" w:hAnsi="Times New Roman" w:cs="Times New Roman"/>
          <w:sz w:val="24"/>
          <w:szCs w:val="24"/>
        </w:rPr>
        <w:t xml:space="preserve">: </w:t>
      </w:r>
      <w:r w:rsidR="0070619C" w:rsidRPr="000A1823">
        <w:rPr>
          <w:rFonts w:ascii="Times New Roman" w:hAnsi="Times New Roman" w:cs="Times New Roman"/>
          <w:sz w:val="24"/>
          <w:szCs w:val="24"/>
        </w:rPr>
        <w:t xml:space="preserve">Investment allocation, </w:t>
      </w:r>
      <w:proofErr w:type="spellStart"/>
      <w:r w:rsidR="00F402EF" w:rsidRPr="000A1823">
        <w:rPr>
          <w:rFonts w:ascii="Times New Roman" w:hAnsi="Times New Roman" w:cs="Times New Roman"/>
          <w:sz w:val="24"/>
          <w:szCs w:val="24"/>
        </w:rPr>
        <w:t>Optimi</w:t>
      </w:r>
      <w:r w:rsidR="004A376F" w:rsidRPr="000A1823">
        <w:rPr>
          <w:rFonts w:ascii="Times New Roman" w:hAnsi="Times New Roman" w:cs="Times New Roman"/>
          <w:sz w:val="24"/>
          <w:szCs w:val="24"/>
        </w:rPr>
        <w:t>s</w:t>
      </w:r>
      <w:r w:rsidR="00F402EF" w:rsidRPr="000A1823">
        <w:rPr>
          <w:rFonts w:ascii="Times New Roman" w:hAnsi="Times New Roman" w:cs="Times New Roman"/>
          <w:sz w:val="24"/>
          <w:szCs w:val="24"/>
        </w:rPr>
        <w:t>ation</w:t>
      </w:r>
      <w:proofErr w:type="spellEnd"/>
      <w:r w:rsidR="002A5681" w:rsidRPr="000A1823">
        <w:rPr>
          <w:rFonts w:ascii="Times New Roman" w:hAnsi="Times New Roman" w:cs="Times New Roman"/>
          <w:sz w:val="24"/>
          <w:szCs w:val="24"/>
        </w:rPr>
        <w:t xml:space="preserve">, Pay-as-you-go, Public pensions, Risk, </w:t>
      </w:r>
      <w:r w:rsidR="0005536F" w:rsidRPr="000A1823">
        <w:rPr>
          <w:rFonts w:ascii="Times New Roman" w:hAnsi="Times New Roman" w:cs="Times New Roman"/>
          <w:sz w:val="24"/>
          <w:szCs w:val="24"/>
        </w:rPr>
        <w:t xml:space="preserve">Simulation, </w:t>
      </w:r>
      <w:r w:rsidR="002A5681" w:rsidRPr="000A1823">
        <w:rPr>
          <w:rFonts w:ascii="Times New Roman" w:hAnsi="Times New Roman" w:cs="Times New Roman"/>
          <w:sz w:val="24"/>
          <w:szCs w:val="24"/>
        </w:rPr>
        <w:t>Sustainability</w:t>
      </w:r>
    </w:p>
    <w:p w14:paraId="29C4E8F3" w14:textId="4B4B0A75" w:rsidR="007F6778" w:rsidRPr="000A1823" w:rsidRDefault="007F6778" w:rsidP="00C03F02">
      <w:pPr>
        <w:spacing w:before="120" w:after="480" w:line="240" w:lineRule="auto"/>
        <w:jc w:val="both"/>
        <w:rPr>
          <w:rFonts w:ascii="Times New Roman" w:hAnsi="Times New Roman" w:cs="Times New Roman"/>
          <w:sz w:val="24"/>
          <w:szCs w:val="24"/>
        </w:rPr>
      </w:pPr>
      <w:r w:rsidRPr="000A1823">
        <w:rPr>
          <w:rFonts w:ascii="Times New Roman" w:hAnsi="Times New Roman" w:cs="Times New Roman"/>
          <w:b/>
          <w:i/>
          <w:sz w:val="24"/>
          <w:szCs w:val="24"/>
        </w:rPr>
        <w:t>JEL</w:t>
      </w:r>
      <w:r w:rsidRPr="000A1823">
        <w:rPr>
          <w:rFonts w:ascii="Times New Roman" w:hAnsi="Times New Roman" w:cs="Times New Roman"/>
          <w:sz w:val="24"/>
          <w:szCs w:val="24"/>
        </w:rPr>
        <w:t xml:space="preserve"> classification: E62, G17, H55, J11, J26</w:t>
      </w:r>
    </w:p>
    <w:p w14:paraId="18DD035F" w14:textId="77777777" w:rsidR="00C825A0" w:rsidRPr="000A1823" w:rsidRDefault="00C825A0" w:rsidP="00C03F02">
      <w:pPr>
        <w:spacing w:before="120" w:after="480" w:line="240" w:lineRule="auto"/>
        <w:jc w:val="both"/>
        <w:rPr>
          <w:rFonts w:ascii="Times New Roman" w:hAnsi="Times New Roman" w:cs="Times New Roman"/>
          <w:sz w:val="24"/>
          <w:szCs w:val="24"/>
        </w:rPr>
      </w:pPr>
    </w:p>
    <w:p w14:paraId="022982AE" w14:textId="77777777" w:rsidR="00661175" w:rsidRPr="0031394A" w:rsidRDefault="00661175" w:rsidP="003A7393">
      <w:pPr>
        <w:pStyle w:val="Heading2"/>
        <w:tabs>
          <w:tab w:val="center" w:pos="4800"/>
          <w:tab w:val="right" w:pos="9500"/>
        </w:tabs>
        <w:spacing w:after="120" w:line="259" w:lineRule="auto"/>
        <w:ind w:firstLine="0"/>
        <w:rPr>
          <w:rFonts w:ascii="Times New Roman" w:hAnsi="Times New Roman" w:cs="Times New Roman"/>
          <w:noProof w:val="0"/>
          <w:sz w:val="24"/>
          <w:szCs w:val="24"/>
        </w:rPr>
      </w:pPr>
    </w:p>
    <w:p w14:paraId="0D87085F" w14:textId="77777777" w:rsidR="00473D86" w:rsidRPr="0031394A" w:rsidRDefault="007E3F44" w:rsidP="003A7393">
      <w:pPr>
        <w:pStyle w:val="Heading2"/>
        <w:tabs>
          <w:tab w:val="center" w:pos="4800"/>
          <w:tab w:val="right" w:pos="9500"/>
        </w:tabs>
        <w:spacing w:after="120" w:line="259" w:lineRule="auto"/>
        <w:ind w:firstLine="0"/>
        <w:rPr>
          <w:rFonts w:ascii="Times New Roman" w:hAnsi="Times New Roman" w:cs="Times New Roman"/>
          <w:noProof w:val="0"/>
          <w:sz w:val="24"/>
          <w:szCs w:val="24"/>
        </w:rPr>
      </w:pPr>
      <w:r w:rsidRPr="0031394A">
        <w:rPr>
          <w:rFonts w:ascii="Times New Roman" w:hAnsi="Times New Roman" w:cs="Times New Roman"/>
          <w:noProof w:val="0"/>
          <w:sz w:val="24"/>
          <w:szCs w:val="24"/>
        </w:rPr>
        <w:lastRenderedPageBreak/>
        <w:t xml:space="preserve">1. </w:t>
      </w:r>
      <w:r w:rsidR="00473D86" w:rsidRPr="0031394A">
        <w:rPr>
          <w:rFonts w:ascii="Times New Roman" w:hAnsi="Times New Roman" w:cs="Times New Roman"/>
          <w:noProof w:val="0"/>
          <w:sz w:val="24"/>
          <w:szCs w:val="24"/>
        </w:rPr>
        <w:t>Introduction</w:t>
      </w:r>
    </w:p>
    <w:p w14:paraId="1058D45C" w14:textId="77777777" w:rsidR="00473D86" w:rsidRPr="0031394A" w:rsidRDefault="00C67900" w:rsidP="00C825A0">
      <w:pPr>
        <w:tabs>
          <w:tab w:val="center" w:pos="4800"/>
          <w:tab w:val="right" w:pos="9500"/>
        </w:tabs>
        <w:spacing w:before="120" w:after="120" w:line="240" w:lineRule="auto"/>
        <w:jc w:val="both"/>
        <w:rPr>
          <w:rFonts w:ascii="Times New Roman" w:hAnsi="Times New Roman" w:cs="Times New Roman"/>
          <w:sz w:val="24"/>
          <w:szCs w:val="24"/>
          <w:lang w:val="en-GB"/>
        </w:rPr>
      </w:pPr>
      <w:bookmarkStart w:id="1" w:name="OLE_LINK36"/>
      <w:bookmarkStart w:id="2" w:name="OLE_LINK37"/>
      <w:bookmarkStart w:id="3" w:name="OLE_LINK31"/>
      <w:bookmarkStart w:id="4" w:name="OLE_LINK32"/>
      <w:r w:rsidRPr="0031394A">
        <w:rPr>
          <w:rFonts w:ascii="Times New Roman" w:hAnsi="Times New Roman" w:cs="Times New Roman"/>
          <w:sz w:val="24"/>
          <w:szCs w:val="24"/>
          <w:lang w:val="en-GB"/>
        </w:rPr>
        <w:t>P</w:t>
      </w:r>
      <w:r w:rsidR="00FD7528" w:rsidRPr="0031394A">
        <w:rPr>
          <w:rFonts w:ascii="Times New Roman" w:hAnsi="Times New Roman" w:cs="Times New Roman"/>
          <w:sz w:val="24"/>
          <w:szCs w:val="24"/>
          <w:lang w:val="en-GB"/>
        </w:rPr>
        <w:t xml:space="preserve">ay-as-you-go </w:t>
      </w:r>
      <w:r w:rsidRPr="0031394A">
        <w:rPr>
          <w:rFonts w:ascii="Times New Roman" w:hAnsi="Times New Roman" w:cs="Times New Roman"/>
          <w:sz w:val="24"/>
          <w:szCs w:val="24"/>
          <w:lang w:val="en-GB"/>
        </w:rPr>
        <w:t xml:space="preserve">(PAYG) </w:t>
      </w:r>
      <w:r w:rsidR="00FD7528" w:rsidRPr="0031394A">
        <w:rPr>
          <w:rFonts w:ascii="Times New Roman" w:hAnsi="Times New Roman" w:cs="Times New Roman"/>
          <w:sz w:val="24"/>
          <w:szCs w:val="24"/>
          <w:lang w:val="en-GB"/>
        </w:rPr>
        <w:t>pension schemes</w:t>
      </w:r>
      <w:r w:rsidRPr="0031394A">
        <w:rPr>
          <w:rFonts w:ascii="Times New Roman" w:hAnsi="Times New Roman" w:cs="Times New Roman"/>
          <w:sz w:val="24"/>
          <w:szCs w:val="24"/>
          <w:lang w:val="en-GB"/>
        </w:rPr>
        <w:t xml:space="preserve"> require a balance between income from contributions and pension spending as</w:t>
      </w:r>
      <w:r w:rsidR="00FD7528" w:rsidRPr="0031394A">
        <w:rPr>
          <w:rFonts w:ascii="Times New Roman" w:hAnsi="Times New Roman" w:cs="Times New Roman"/>
          <w:sz w:val="24"/>
          <w:szCs w:val="24"/>
          <w:lang w:val="en-GB"/>
        </w:rPr>
        <w:t xml:space="preserve"> the revenue from current contributions is used </w:t>
      </w:r>
      <w:r w:rsidRPr="0031394A">
        <w:rPr>
          <w:rFonts w:ascii="Times New Roman" w:hAnsi="Times New Roman" w:cs="Times New Roman"/>
          <w:sz w:val="24"/>
          <w:szCs w:val="24"/>
          <w:lang w:val="en-GB"/>
        </w:rPr>
        <w:t>directly</w:t>
      </w:r>
      <w:r w:rsidR="00FD7528" w:rsidRPr="0031394A">
        <w:rPr>
          <w:rFonts w:ascii="Times New Roman" w:hAnsi="Times New Roman" w:cs="Times New Roman"/>
          <w:sz w:val="24"/>
          <w:szCs w:val="24"/>
          <w:lang w:val="en-GB"/>
        </w:rPr>
        <w:t xml:space="preserve"> to pay for current pensioners</w:t>
      </w:r>
      <w:r w:rsidRPr="0031394A">
        <w:rPr>
          <w:rFonts w:ascii="Times New Roman" w:hAnsi="Times New Roman" w:cs="Times New Roman"/>
          <w:sz w:val="24"/>
          <w:szCs w:val="24"/>
          <w:lang w:val="en-GB"/>
        </w:rPr>
        <w:t xml:space="preserve">. </w:t>
      </w:r>
      <w:r w:rsidR="00473D86" w:rsidRPr="0031394A">
        <w:rPr>
          <w:rFonts w:ascii="Times New Roman" w:hAnsi="Times New Roman" w:cs="Times New Roman"/>
          <w:sz w:val="24"/>
          <w:szCs w:val="24"/>
          <w:lang w:val="en-GB"/>
        </w:rPr>
        <w:t xml:space="preserve">The decline in fertility rates, the increase in longevity and the current forecasts for the ageing of the baby-boom generation all point to a substantial increase in the age dependency ratio, and this will raise serious concerns for the sustainability of PAYG pension systems. </w:t>
      </w:r>
      <w:r w:rsidR="00906C5A" w:rsidRPr="0031394A">
        <w:rPr>
          <w:rFonts w:ascii="Times New Roman" w:hAnsi="Times New Roman" w:cs="Times New Roman"/>
          <w:sz w:val="24"/>
          <w:szCs w:val="24"/>
          <w:lang w:val="en-GB"/>
        </w:rPr>
        <w:t>In particular, the life expectancy at birth is expected to increase by 7.8 for males and 6.6 years for females in 2010 comparing with 20</w:t>
      </w:r>
      <w:r w:rsidR="009C0CA9" w:rsidRPr="0031394A">
        <w:rPr>
          <w:rFonts w:ascii="Times New Roman" w:hAnsi="Times New Roman" w:cs="Times New Roman"/>
          <w:sz w:val="24"/>
          <w:szCs w:val="24"/>
          <w:lang w:val="en-GB"/>
        </w:rPr>
        <w:t>70</w:t>
      </w:r>
      <w:r w:rsidR="00E56AD5" w:rsidRPr="0031394A">
        <w:rPr>
          <w:rFonts w:ascii="Times New Roman" w:hAnsi="Times New Roman" w:cs="Times New Roman"/>
          <w:sz w:val="24"/>
          <w:szCs w:val="24"/>
          <w:lang w:val="en-GB"/>
        </w:rPr>
        <w:t xml:space="preserve"> (European Commission 2018)</w:t>
      </w:r>
      <w:r w:rsidR="009C0CA9" w:rsidRPr="0031394A">
        <w:rPr>
          <w:rFonts w:ascii="Times New Roman" w:hAnsi="Times New Roman" w:cs="Times New Roman"/>
          <w:sz w:val="24"/>
          <w:szCs w:val="24"/>
          <w:lang w:val="en-GB"/>
        </w:rPr>
        <w:t>.</w:t>
      </w:r>
      <w:r w:rsidR="00E72294" w:rsidRPr="0031394A">
        <w:rPr>
          <w:rFonts w:ascii="Times New Roman" w:hAnsi="Times New Roman" w:cs="Times New Roman"/>
          <w:sz w:val="24"/>
          <w:szCs w:val="24"/>
          <w:lang w:val="en-GB"/>
        </w:rPr>
        <w:t xml:space="preserve"> </w:t>
      </w:r>
      <w:r w:rsidR="00473D86" w:rsidRPr="0031394A">
        <w:rPr>
          <w:rFonts w:ascii="Times New Roman" w:hAnsi="Times New Roman" w:cs="Times New Roman"/>
          <w:sz w:val="24"/>
          <w:szCs w:val="24"/>
          <w:lang w:val="en-GB"/>
        </w:rPr>
        <w:t xml:space="preserve">This is a worldwide problem, and consequently, many European </w:t>
      </w:r>
      <w:r w:rsidR="002F1841" w:rsidRPr="0031394A">
        <w:rPr>
          <w:rFonts w:ascii="Times New Roman" w:hAnsi="Times New Roman" w:cs="Times New Roman"/>
          <w:sz w:val="24"/>
          <w:szCs w:val="24"/>
          <w:lang w:val="en-GB"/>
        </w:rPr>
        <w:t>countries (European Commission 2010, 2012</w:t>
      </w:r>
      <w:r w:rsidR="00473D86" w:rsidRPr="0031394A">
        <w:rPr>
          <w:rFonts w:ascii="Times New Roman" w:hAnsi="Times New Roman" w:cs="Times New Roman"/>
          <w:sz w:val="24"/>
          <w:szCs w:val="24"/>
          <w:lang w:val="en-GB"/>
        </w:rPr>
        <w:t>) have already carried out some parametric reform</w:t>
      </w:r>
      <w:r w:rsidR="00E56AD5" w:rsidRPr="0031394A">
        <w:rPr>
          <w:rFonts w:ascii="Times New Roman" w:hAnsi="Times New Roman" w:cs="Times New Roman"/>
          <w:sz w:val="24"/>
          <w:szCs w:val="24"/>
          <w:lang w:val="en-GB"/>
        </w:rPr>
        <w:t>s</w:t>
      </w:r>
      <w:r w:rsidR="00473D86" w:rsidRPr="0031394A">
        <w:rPr>
          <w:rFonts w:ascii="Times New Roman" w:hAnsi="Times New Roman" w:cs="Times New Roman"/>
          <w:sz w:val="24"/>
          <w:szCs w:val="24"/>
          <w:lang w:val="en-GB"/>
        </w:rPr>
        <w:t>, or even structural ref</w:t>
      </w:r>
      <w:r w:rsidR="00BE75D5" w:rsidRPr="0031394A">
        <w:rPr>
          <w:rFonts w:ascii="Times New Roman" w:hAnsi="Times New Roman" w:cs="Times New Roman"/>
          <w:sz w:val="24"/>
          <w:szCs w:val="24"/>
          <w:lang w:val="en-GB"/>
        </w:rPr>
        <w:t>orms, of their pension systems.</w:t>
      </w:r>
    </w:p>
    <w:p w14:paraId="3AD783DC" w14:textId="77777777" w:rsidR="00CF48BD" w:rsidRPr="0031394A" w:rsidRDefault="00CF48BD" w:rsidP="00C825A0">
      <w:pPr>
        <w:pStyle w:val="NormalWeb"/>
        <w:spacing w:before="120" w:beforeAutospacing="0" w:after="120" w:afterAutospacing="0"/>
        <w:jc w:val="both"/>
        <w:rPr>
          <w:highlight w:val="yellow"/>
          <w:lang w:val="en-GB"/>
        </w:rPr>
      </w:pPr>
      <w:r w:rsidRPr="0031394A">
        <w:rPr>
          <w:lang w:val="en-GB"/>
        </w:rPr>
        <w:t xml:space="preserve">In Europe, the common trend of the </w:t>
      </w:r>
      <w:r w:rsidR="000D2A0B" w:rsidRPr="0031394A">
        <w:rPr>
          <w:lang w:val="en-GB"/>
        </w:rPr>
        <w:t xml:space="preserve">pension </w:t>
      </w:r>
      <w:r w:rsidRPr="0031394A">
        <w:rPr>
          <w:lang w:val="en-GB"/>
        </w:rPr>
        <w:t xml:space="preserve">crisis is a wave of parametric adjustments including countries, among others, France, Greece, Hungary, Romania and Spain (see </w:t>
      </w:r>
      <w:bookmarkStart w:id="5" w:name="OLE_LINK52"/>
      <w:r w:rsidR="004645D1" w:rsidRPr="0031394A">
        <w:rPr>
          <w:lang w:val="en-GB"/>
        </w:rPr>
        <w:t xml:space="preserve">Whitehouse </w:t>
      </w:r>
      <w:r w:rsidRPr="0031394A">
        <w:rPr>
          <w:lang w:val="en-GB"/>
        </w:rPr>
        <w:t>2009a,</w:t>
      </w:r>
      <w:r w:rsidR="007A5A77" w:rsidRPr="0031394A">
        <w:rPr>
          <w:lang w:val="en-GB"/>
        </w:rPr>
        <w:t xml:space="preserve"> 2009</w:t>
      </w:r>
      <w:r w:rsidRPr="0031394A">
        <w:rPr>
          <w:lang w:val="en-GB"/>
        </w:rPr>
        <w:t>b) and OECD (2011, 2012, 2013)</w:t>
      </w:r>
      <w:bookmarkEnd w:id="5"/>
      <w:r w:rsidR="00A33804" w:rsidRPr="0031394A">
        <w:rPr>
          <w:lang w:val="en-GB"/>
        </w:rPr>
        <w:t xml:space="preserve">. </w:t>
      </w:r>
      <w:r w:rsidRPr="0031394A">
        <w:rPr>
          <w:lang w:val="en-GB"/>
        </w:rPr>
        <w:t xml:space="preserve">Among the major changes in pension reform is </w:t>
      </w:r>
      <w:r w:rsidR="00E72294" w:rsidRPr="0031394A">
        <w:rPr>
          <w:lang w:val="en-GB"/>
        </w:rPr>
        <w:t xml:space="preserve">the introduction of </w:t>
      </w:r>
      <w:r w:rsidRPr="0031394A">
        <w:rPr>
          <w:lang w:val="en-GB"/>
        </w:rPr>
        <w:t>what is known as Notional Defined Contribution pension schemes (NDCs), first developed about twenty years ago in countries such as Italy, Latvia, Poland and Sweden.</w:t>
      </w:r>
      <w:r w:rsidR="00092D12" w:rsidRPr="0031394A">
        <w:rPr>
          <w:lang w:val="en-GB"/>
        </w:rPr>
        <w:t xml:space="preserve"> </w:t>
      </w:r>
      <w:r w:rsidR="00253893" w:rsidRPr="0031394A">
        <w:rPr>
          <w:noProof/>
          <w:lang w:val="en-GB"/>
        </w:rPr>
        <w:t xml:space="preserve">NDCs aim at reproducing the logic of a </w:t>
      </w:r>
      <w:r w:rsidR="00712D76" w:rsidRPr="0031394A">
        <w:rPr>
          <w:noProof/>
          <w:lang w:val="en-GB"/>
        </w:rPr>
        <w:t>funded</w:t>
      </w:r>
      <w:r w:rsidR="00253893" w:rsidRPr="0031394A">
        <w:rPr>
          <w:noProof/>
          <w:lang w:val="en-GB"/>
        </w:rPr>
        <w:t xml:space="preserve"> defined contribution plan </w:t>
      </w:r>
      <w:r w:rsidR="007A2B13" w:rsidRPr="0031394A">
        <w:rPr>
          <w:noProof/>
          <w:lang w:val="en-GB"/>
        </w:rPr>
        <w:t xml:space="preserve">- </w:t>
      </w:r>
      <w:r w:rsidR="007A2B13" w:rsidRPr="0031394A">
        <w:rPr>
          <w:lang w:val="en-GB"/>
        </w:rPr>
        <w:t xml:space="preserve">(accumulated contributions are converted into a life pension annuity </w:t>
      </w:r>
      <w:proofErr w:type="gramStart"/>
      <w:r w:rsidR="007A2B13" w:rsidRPr="0031394A">
        <w:rPr>
          <w:lang w:val="en-GB"/>
        </w:rPr>
        <w:t>taking into account</w:t>
      </w:r>
      <w:proofErr w:type="gramEnd"/>
      <w:r w:rsidR="007A2B13" w:rsidRPr="0031394A">
        <w:rPr>
          <w:lang w:val="en-GB"/>
        </w:rPr>
        <w:t xml:space="preserve"> life expectancy according to standard actuarial practice) </w:t>
      </w:r>
      <w:r w:rsidR="00712D76" w:rsidRPr="0031394A">
        <w:rPr>
          <w:lang w:val="en-GB"/>
        </w:rPr>
        <w:t>–</w:t>
      </w:r>
      <w:r w:rsidR="007A2B13" w:rsidRPr="0031394A">
        <w:rPr>
          <w:lang w:val="en-GB"/>
        </w:rPr>
        <w:t xml:space="preserve"> </w:t>
      </w:r>
      <w:r w:rsidR="00712D76" w:rsidRPr="0031394A">
        <w:rPr>
          <w:lang w:val="en-GB"/>
        </w:rPr>
        <w:t xml:space="preserve">albeit, </w:t>
      </w:r>
      <w:r w:rsidR="00253893" w:rsidRPr="0031394A">
        <w:rPr>
          <w:noProof/>
          <w:lang w:val="en-GB"/>
        </w:rPr>
        <w:t>under a pay-as-you-go</w:t>
      </w:r>
      <w:r w:rsidR="005D36C5" w:rsidRPr="0031394A">
        <w:rPr>
          <w:noProof/>
          <w:lang w:val="en-GB"/>
        </w:rPr>
        <w:t xml:space="preserve"> </w:t>
      </w:r>
      <w:r w:rsidR="00253893" w:rsidRPr="0031394A">
        <w:rPr>
          <w:noProof/>
          <w:lang w:val="en-GB"/>
        </w:rPr>
        <w:t>framework</w:t>
      </w:r>
      <w:r w:rsidR="005D36C5" w:rsidRPr="0031394A">
        <w:rPr>
          <w:noProof/>
          <w:lang w:val="en-GB"/>
        </w:rPr>
        <w:t>.</w:t>
      </w:r>
      <w:r w:rsidR="005D36C5" w:rsidRPr="0031394A">
        <w:rPr>
          <w:rStyle w:val="FootnoteReference"/>
          <w:lang w:val="en-GB"/>
        </w:rPr>
        <w:footnoteReference w:id="6"/>
      </w:r>
    </w:p>
    <w:p w14:paraId="78EA541D" w14:textId="11ACDCE9" w:rsidR="00F262FC" w:rsidRPr="0031394A" w:rsidRDefault="00092D12" w:rsidP="00C825A0">
      <w:pPr>
        <w:pStyle w:val="NormalWeb"/>
        <w:spacing w:before="120" w:beforeAutospacing="0" w:after="120" w:afterAutospacing="0"/>
        <w:jc w:val="both"/>
        <w:rPr>
          <w:lang w:val="en-GB"/>
        </w:rPr>
      </w:pPr>
      <w:r w:rsidRPr="0031394A">
        <w:rPr>
          <w:lang w:val="en-GB"/>
        </w:rPr>
        <w:t xml:space="preserve">In Latin America, for most of their history, social protection systems have been based on </w:t>
      </w:r>
      <w:r w:rsidRPr="000A1823">
        <w:rPr>
          <w:lang w:val="en-GB"/>
        </w:rPr>
        <w:t xml:space="preserve">a </w:t>
      </w:r>
      <w:r w:rsidR="000529C0" w:rsidRPr="000A1823">
        <w:rPr>
          <w:lang w:val="en-GB"/>
        </w:rPr>
        <w:t>PAYG</w:t>
      </w:r>
      <w:r w:rsidR="004645D1" w:rsidRPr="000A1823">
        <w:rPr>
          <w:lang w:val="en-GB"/>
        </w:rPr>
        <w:t xml:space="preserve"> finance (</w:t>
      </w:r>
      <w:proofErr w:type="spellStart"/>
      <w:r w:rsidR="004645D1" w:rsidRPr="000A1823">
        <w:rPr>
          <w:lang w:val="en-GB"/>
        </w:rPr>
        <w:t>Rofman</w:t>
      </w:r>
      <w:proofErr w:type="spellEnd"/>
      <w:r w:rsidR="00352037" w:rsidRPr="000A1823">
        <w:rPr>
          <w:lang w:val="en-GB"/>
        </w:rPr>
        <w:t xml:space="preserve">, </w:t>
      </w:r>
      <w:proofErr w:type="spellStart"/>
      <w:r w:rsidR="00352037" w:rsidRPr="000A1823">
        <w:rPr>
          <w:lang w:val="en-GB"/>
        </w:rPr>
        <w:t>Apella</w:t>
      </w:r>
      <w:proofErr w:type="spellEnd"/>
      <w:r w:rsidR="00352037" w:rsidRPr="000A1823">
        <w:rPr>
          <w:lang w:val="en-GB"/>
        </w:rPr>
        <w:t xml:space="preserve"> and </w:t>
      </w:r>
      <w:proofErr w:type="spellStart"/>
      <w:r w:rsidR="00352037" w:rsidRPr="000A1823">
        <w:rPr>
          <w:lang w:val="en-GB"/>
        </w:rPr>
        <w:t>Vezza</w:t>
      </w:r>
      <w:proofErr w:type="spellEnd"/>
      <w:r w:rsidR="007A5A77" w:rsidRPr="000A1823">
        <w:rPr>
          <w:lang w:val="en-GB"/>
        </w:rPr>
        <w:t xml:space="preserve"> 2015</w:t>
      </w:r>
      <w:r w:rsidRPr="000A1823">
        <w:rPr>
          <w:lang w:val="en-GB"/>
        </w:rPr>
        <w:t>). However, the pressure</w:t>
      </w:r>
      <w:r w:rsidR="00712D76" w:rsidRPr="000A1823">
        <w:rPr>
          <w:lang w:val="en-GB"/>
        </w:rPr>
        <w:t>s on</w:t>
      </w:r>
      <w:r w:rsidRPr="000A1823">
        <w:rPr>
          <w:lang w:val="en-GB"/>
        </w:rPr>
        <w:t xml:space="preserve"> their finance</w:t>
      </w:r>
      <w:r w:rsidR="00712D76" w:rsidRPr="000A1823">
        <w:rPr>
          <w:lang w:val="en-GB"/>
        </w:rPr>
        <w:t>s</w:t>
      </w:r>
      <w:r w:rsidRPr="000A1823">
        <w:rPr>
          <w:lang w:val="en-GB"/>
        </w:rPr>
        <w:t xml:space="preserve"> forced them to implement several reforms. Since the 1980's, most of the countries </w:t>
      </w:r>
      <w:r w:rsidR="00712D76" w:rsidRPr="000A1823">
        <w:rPr>
          <w:lang w:val="en-GB"/>
        </w:rPr>
        <w:t xml:space="preserve">in the region </w:t>
      </w:r>
      <w:r w:rsidRPr="000A1823">
        <w:rPr>
          <w:lang w:val="en-GB"/>
        </w:rPr>
        <w:t xml:space="preserve">made structural reforms replacing </w:t>
      </w:r>
      <w:r w:rsidR="00E72294" w:rsidRPr="000A1823">
        <w:rPr>
          <w:lang w:val="en-GB"/>
        </w:rPr>
        <w:t>completely</w:t>
      </w:r>
      <w:r w:rsidRPr="000A1823">
        <w:rPr>
          <w:lang w:val="en-GB"/>
        </w:rPr>
        <w:t xml:space="preserve"> or partially their PAYG system with programs containing a fully funded component of indivi</w:t>
      </w:r>
      <w:r w:rsidR="004645D1" w:rsidRPr="000A1823">
        <w:rPr>
          <w:lang w:val="en-GB"/>
        </w:rPr>
        <w:t>dually capitalized accounts (</w:t>
      </w:r>
      <w:bookmarkStart w:id="6" w:name="OLE_LINK50"/>
      <w:bookmarkStart w:id="7" w:name="OLE_LINK51"/>
      <w:proofErr w:type="spellStart"/>
      <w:r w:rsidR="004645D1" w:rsidRPr="000A1823">
        <w:rPr>
          <w:lang w:val="en-GB"/>
        </w:rPr>
        <w:t>Rofman</w:t>
      </w:r>
      <w:proofErr w:type="spellEnd"/>
      <w:r w:rsidR="00352037" w:rsidRPr="000A1823">
        <w:rPr>
          <w:lang w:val="en-GB"/>
        </w:rPr>
        <w:t xml:space="preserve">, </w:t>
      </w:r>
      <w:proofErr w:type="spellStart"/>
      <w:r w:rsidR="00352037" w:rsidRPr="000A1823">
        <w:rPr>
          <w:lang w:val="en-GB"/>
        </w:rPr>
        <w:t>Apella</w:t>
      </w:r>
      <w:proofErr w:type="spellEnd"/>
      <w:r w:rsidR="00352037" w:rsidRPr="000A1823">
        <w:rPr>
          <w:lang w:val="en-GB"/>
        </w:rPr>
        <w:t xml:space="preserve"> and </w:t>
      </w:r>
      <w:proofErr w:type="spellStart"/>
      <w:r w:rsidR="00352037" w:rsidRPr="000A1823">
        <w:rPr>
          <w:lang w:val="en-GB"/>
        </w:rPr>
        <w:t>Vezza</w:t>
      </w:r>
      <w:proofErr w:type="spellEnd"/>
      <w:r w:rsidR="00352037" w:rsidRPr="000A1823">
        <w:rPr>
          <w:lang w:val="en-GB"/>
        </w:rPr>
        <w:t xml:space="preserve"> </w:t>
      </w:r>
      <w:r w:rsidRPr="000A1823">
        <w:rPr>
          <w:lang w:val="en-GB"/>
        </w:rPr>
        <w:t>2015</w:t>
      </w:r>
      <w:r w:rsidR="004645D1" w:rsidRPr="000A1823">
        <w:rPr>
          <w:lang w:val="en-GB"/>
        </w:rPr>
        <w:t xml:space="preserve">; </w:t>
      </w:r>
      <w:proofErr w:type="spellStart"/>
      <w:r w:rsidRPr="000A1823">
        <w:rPr>
          <w:lang w:val="en-GB"/>
        </w:rPr>
        <w:t>Ti</w:t>
      </w:r>
      <w:r w:rsidR="004645D1" w:rsidRPr="000A1823">
        <w:rPr>
          <w:lang w:val="en-GB"/>
        </w:rPr>
        <w:t>telman</w:t>
      </w:r>
      <w:proofErr w:type="spellEnd"/>
      <w:r w:rsidR="00352037" w:rsidRPr="000A1823">
        <w:rPr>
          <w:lang w:val="en-GB"/>
        </w:rPr>
        <w:t>, Vera and Pérez-</w:t>
      </w:r>
      <w:proofErr w:type="spellStart"/>
      <w:r w:rsidR="00352037" w:rsidRPr="000A1823">
        <w:rPr>
          <w:lang w:val="en-GB"/>
        </w:rPr>
        <w:t>Caldentey</w:t>
      </w:r>
      <w:proofErr w:type="spellEnd"/>
      <w:r w:rsidR="00352037" w:rsidRPr="000A1823">
        <w:rPr>
          <w:lang w:val="en-GB"/>
        </w:rPr>
        <w:t xml:space="preserve"> </w:t>
      </w:r>
      <w:r w:rsidR="004645D1" w:rsidRPr="000A1823">
        <w:rPr>
          <w:lang w:val="en-GB"/>
        </w:rPr>
        <w:t>2009</w:t>
      </w:r>
      <w:r w:rsidRPr="000A1823">
        <w:rPr>
          <w:lang w:val="en-GB"/>
        </w:rPr>
        <w:t xml:space="preserve">). </w:t>
      </w:r>
      <w:bookmarkEnd w:id="6"/>
      <w:bookmarkEnd w:id="7"/>
      <w:r w:rsidRPr="000A1823">
        <w:rPr>
          <w:lang w:val="en-GB"/>
        </w:rPr>
        <w:t xml:space="preserve">The reforms began in Chile in 1981 and after 1993 expanded to various countries in the region. Chile exchanged its traditional system of </w:t>
      </w:r>
      <w:r w:rsidR="00D70294" w:rsidRPr="000A1823">
        <w:rPr>
          <w:lang w:val="en-GB"/>
        </w:rPr>
        <w:t>defined</w:t>
      </w:r>
      <w:r w:rsidR="00F82572" w:rsidRPr="000A1823">
        <w:rPr>
          <w:lang w:val="en-GB"/>
        </w:rPr>
        <w:t xml:space="preserve"> benefit</w:t>
      </w:r>
      <w:r w:rsidR="000529C0" w:rsidRPr="000A1823">
        <w:rPr>
          <w:lang w:val="en-GB"/>
        </w:rPr>
        <w:t xml:space="preserve"> (DB)</w:t>
      </w:r>
      <w:r w:rsidR="00D70294" w:rsidRPr="000A1823">
        <w:rPr>
          <w:lang w:val="en-GB"/>
        </w:rPr>
        <w:t xml:space="preserve"> </w:t>
      </w:r>
      <w:r w:rsidR="000529C0" w:rsidRPr="000A1823">
        <w:rPr>
          <w:lang w:val="en-GB"/>
        </w:rPr>
        <w:t>PAYG</w:t>
      </w:r>
      <w:r w:rsidRPr="000A1823">
        <w:rPr>
          <w:lang w:val="en-GB"/>
        </w:rPr>
        <w:t xml:space="preserve"> social protection for one of individually funded accounts to pay for retirement. As a result, a </w:t>
      </w:r>
      <w:r w:rsidRPr="0031394A">
        <w:rPr>
          <w:lang w:val="en-GB"/>
        </w:rPr>
        <w:t>transfer of financial market and volatility risk from the state to the individual happened.</w:t>
      </w:r>
      <w:r w:rsidR="009450F8" w:rsidRPr="0031394A">
        <w:rPr>
          <w:rStyle w:val="FootnoteReference"/>
          <w:lang w:val="en-GB"/>
        </w:rPr>
        <w:footnoteReference w:id="7"/>
      </w:r>
      <w:r w:rsidRPr="0031394A">
        <w:rPr>
          <w:lang w:val="en-GB"/>
        </w:rPr>
        <w:t xml:space="preserve"> </w:t>
      </w:r>
      <w:bookmarkStart w:id="8" w:name="OLE_LINK48"/>
      <w:bookmarkEnd w:id="1"/>
      <w:bookmarkEnd w:id="2"/>
      <w:bookmarkEnd w:id="3"/>
      <w:bookmarkEnd w:id="4"/>
    </w:p>
    <w:p w14:paraId="50A9E61A" w14:textId="77777777" w:rsidR="00712D76" w:rsidRPr="0031394A" w:rsidRDefault="0014497F" w:rsidP="00C825A0">
      <w:pPr>
        <w:pStyle w:val="NormalWeb"/>
        <w:spacing w:before="120" w:beforeAutospacing="0" w:after="120" w:afterAutospacing="0"/>
        <w:jc w:val="both"/>
        <w:rPr>
          <w:lang w:val="en-GB"/>
        </w:rPr>
      </w:pPr>
      <w:r w:rsidRPr="0031394A">
        <w:rPr>
          <w:lang w:val="en-GB"/>
        </w:rPr>
        <w:t>The PAYG rate of return can be lower than the rate of return of funding schemes, especially in co</w:t>
      </w:r>
      <w:r w:rsidR="00E67704" w:rsidRPr="0031394A">
        <w:rPr>
          <w:lang w:val="en-GB"/>
        </w:rPr>
        <w:t>u</w:t>
      </w:r>
      <w:r w:rsidRPr="0031394A">
        <w:rPr>
          <w:lang w:val="en-GB"/>
        </w:rPr>
        <w:t xml:space="preserve">ntries where the working population is </w:t>
      </w:r>
      <w:r w:rsidR="00712D76" w:rsidRPr="0031394A">
        <w:rPr>
          <w:lang w:val="en-GB"/>
        </w:rPr>
        <w:t>not growing</w:t>
      </w:r>
      <w:r w:rsidRPr="0031394A">
        <w:rPr>
          <w:lang w:val="en-GB"/>
        </w:rPr>
        <w:t xml:space="preserve">. </w:t>
      </w:r>
      <w:r w:rsidR="00E67704" w:rsidRPr="0031394A">
        <w:rPr>
          <w:lang w:val="en-GB"/>
        </w:rPr>
        <w:t>In this case, the individual might consider that there is an implicit cost equivalent t</w:t>
      </w:r>
      <w:r w:rsidR="004645D1" w:rsidRPr="0031394A">
        <w:rPr>
          <w:lang w:val="en-GB"/>
        </w:rPr>
        <w:t xml:space="preserve">o the difference in return; see </w:t>
      </w:r>
      <w:proofErr w:type="spellStart"/>
      <w:r w:rsidR="004645D1" w:rsidRPr="0031394A">
        <w:rPr>
          <w:lang w:val="en-GB"/>
        </w:rPr>
        <w:t>Robalino</w:t>
      </w:r>
      <w:proofErr w:type="spellEnd"/>
      <w:r w:rsidR="004645D1" w:rsidRPr="0031394A">
        <w:rPr>
          <w:lang w:val="en-GB"/>
        </w:rPr>
        <w:t xml:space="preserve"> and </w:t>
      </w:r>
      <w:proofErr w:type="spellStart"/>
      <w:r w:rsidR="004645D1" w:rsidRPr="0031394A">
        <w:rPr>
          <w:lang w:val="en-GB"/>
        </w:rPr>
        <w:t>Bodor</w:t>
      </w:r>
      <w:proofErr w:type="spellEnd"/>
      <w:r w:rsidR="004645D1" w:rsidRPr="0031394A">
        <w:rPr>
          <w:lang w:val="en-GB"/>
        </w:rPr>
        <w:t xml:space="preserve"> (</w:t>
      </w:r>
      <w:r w:rsidR="00E67704" w:rsidRPr="0031394A">
        <w:rPr>
          <w:lang w:val="en-GB"/>
        </w:rPr>
        <w:t>2009</w:t>
      </w:r>
      <w:r w:rsidR="004645D1" w:rsidRPr="0031394A">
        <w:rPr>
          <w:lang w:val="en-GB"/>
        </w:rPr>
        <w:t>)</w:t>
      </w:r>
      <w:r w:rsidR="00E67704" w:rsidRPr="0031394A">
        <w:rPr>
          <w:lang w:val="en-GB"/>
        </w:rPr>
        <w:t xml:space="preserve"> and Valdés-Prieto (2005) for</w:t>
      </w:r>
      <w:r w:rsidR="004645D1" w:rsidRPr="0031394A">
        <w:rPr>
          <w:lang w:val="en-GB"/>
        </w:rPr>
        <w:t xml:space="preserve"> taxes implicit to PAYG schemes</w:t>
      </w:r>
      <w:r w:rsidR="00E67704" w:rsidRPr="0031394A">
        <w:rPr>
          <w:lang w:val="en-GB"/>
        </w:rPr>
        <w:t>.</w:t>
      </w:r>
    </w:p>
    <w:p w14:paraId="20ED602B" w14:textId="10DBD495" w:rsidR="00473D86" w:rsidRPr="0031394A" w:rsidRDefault="0014497F"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lastRenderedPageBreak/>
        <w:t xml:space="preserve">However, the </w:t>
      </w:r>
      <w:proofErr w:type="gramStart"/>
      <w:r w:rsidRPr="0031394A">
        <w:rPr>
          <w:rFonts w:ascii="Times New Roman" w:hAnsi="Times New Roman" w:cs="Times New Roman"/>
          <w:sz w:val="24"/>
          <w:szCs w:val="24"/>
          <w:lang w:val="en-GB"/>
        </w:rPr>
        <w:t>high-variability</w:t>
      </w:r>
      <w:proofErr w:type="gramEnd"/>
      <w:r w:rsidRPr="0031394A">
        <w:rPr>
          <w:rFonts w:ascii="Times New Roman" w:hAnsi="Times New Roman" w:cs="Times New Roman"/>
          <w:sz w:val="24"/>
          <w:szCs w:val="24"/>
          <w:lang w:val="en-GB"/>
        </w:rPr>
        <w:t xml:space="preserve"> of the funding rate of return makes the choice between PAYG and funding less obvious and there might be advantages of mixi</w:t>
      </w:r>
      <w:r w:rsidR="00F71CA0" w:rsidRPr="0031394A">
        <w:rPr>
          <w:rFonts w:ascii="Times New Roman" w:hAnsi="Times New Roman" w:cs="Times New Roman"/>
          <w:sz w:val="24"/>
          <w:szCs w:val="24"/>
          <w:lang w:val="en-GB"/>
        </w:rPr>
        <w:t xml:space="preserve">ng PAYG and funded schemes (De </w:t>
      </w:r>
      <w:proofErr w:type="spellStart"/>
      <w:r w:rsidR="00F71CA0" w:rsidRPr="0031394A">
        <w:rPr>
          <w:rFonts w:ascii="Times New Roman" w:hAnsi="Times New Roman" w:cs="Times New Roman"/>
          <w:sz w:val="24"/>
          <w:szCs w:val="24"/>
          <w:lang w:val="en-GB"/>
        </w:rPr>
        <w:t>Menil</w:t>
      </w:r>
      <w:proofErr w:type="spellEnd"/>
      <w:r w:rsidR="00C71E1D" w:rsidRPr="0031394A">
        <w:rPr>
          <w:rFonts w:ascii="Times New Roman" w:hAnsi="Times New Roman" w:cs="Times New Roman"/>
          <w:sz w:val="24"/>
          <w:szCs w:val="24"/>
          <w:lang w:val="en-GB"/>
        </w:rPr>
        <w:t xml:space="preserve">, </w:t>
      </w:r>
      <w:proofErr w:type="spellStart"/>
      <w:r w:rsidR="00C71E1D" w:rsidRPr="0031394A">
        <w:rPr>
          <w:rFonts w:ascii="Times New Roman" w:hAnsi="Times New Roman" w:cs="Times New Roman"/>
          <w:sz w:val="24"/>
          <w:szCs w:val="24"/>
          <w:lang w:val="en-GB"/>
        </w:rPr>
        <w:t>Murtin</w:t>
      </w:r>
      <w:proofErr w:type="spellEnd"/>
      <w:r w:rsidR="00C71E1D" w:rsidRPr="0031394A">
        <w:rPr>
          <w:rFonts w:ascii="Times New Roman" w:hAnsi="Times New Roman" w:cs="Times New Roman"/>
          <w:sz w:val="24"/>
          <w:szCs w:val="24"/>
          <w:lang w:val="en-GB"/>
        </w:rPr>
        <w:t xml:space="preserve">, and </w:t>
      </w:r>
      <w:proofErr w:type="spellStart"/>
      <w:r w:rsidR="00C71E1D" w:rsidRPr="0031394A">
        <w:rPr>
          <w:rFonts w:ascii="Times New Roman" w:hAnsi="Times New Roman" w:cs="Times New Roman"/>
          <w:sz w:val="24"/>
          <w:szCs w:val="24"/>
          <w:lang w:val="en-GB"/>
        </w:rPr>
        <w:t>Sheshinski</w:t>
      </w:r>
      <w:proofErr w:type="spellEnd"/>
      <w:r w:rsidR="00F71CA0"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2006</w:t>
      </w:r>
      <w:r w:rsidR="000529C0">
        <w:rPr>
          <w:rFonts w:ascii="Times New Roman" w:hAnsi="Times New Roman" w:cs="Times New Roman"/>
          <w:sz w:val="24"/>
          <w:szCs w:val="24"/>
          <w:lang w:val="en-GB"/>
        </w:rPr>
        <w:t xml:space="preserve"> and</w:t>
      </w:r>
      <w:r w:rsidRPr="0031394A">
        <w:rPr>
          <w:rFonts w:ascii="Times New Roman" w:hAnsi="Times New Roman" w:cs="Times New Roman"/>
          <w:sz w:val="24"/>
          <w:szCs w:val="24"/>
          <w:lang w:val="en-GB"/>
        </w:rPr>
        <w:t xml:space="preserve"> Persson 2002).</w:t>
      </w:r>
      <w:r w:rsidR="00E67ABA"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 xml:space="preserve">Also, PAYG is a useful social security financing technique which ensures income redistribution </w:t>
      </w:r>
      <w:r w:rsidR="00712D76" w:rsidRPr="0031394A">
        <w:rPr>
          <w:rFonts w:ascii="Times New Roman" w:hAnsi="Times New Roman" w:cs="Times New Roman"/>
          <w:sz w:val="24"/>
          <w:szCs w:val="24"/>
          <w:lang w:val="en-GB"/>
        </w:rPr>
        <w:t xml:space="preserve">at </w:t>
      </w:r>
      <w:r w:rsidRPr="0031394A">
        <w:rPr>
          <w:rFonts w:ascii="Times New Roman" w:hAnsi="Times New Roman" w:cs="Times New Roman"/>
          <w:sz w:val="24"/>
          <w:szCs w:val="24"/>
          <w:lang w:val="en-GB"/>
        </w:rPr>
        <w:t xml:space="preserve">both </w:t>
      </w:r>
      <w:r w:rsidR="00712D76" w:rsidRPr="0031394A">
        <w:rPr>
          <w:rFonts w:ascii="Times New Roman" w:hAnsi="Times New Roman" w:cs="Times New Roman"/>
          <w:sz w:val="24"/>
          <w:szCs w:val="24"/>
          <w:lang w:val="en-GB"/>
        </w:rPr>
        <w:t xml:space="preserve">the </w:t>
      </w:r>
      <w:r w:rsidRPr="0031394A">
        <w:rPr>
          <w:rFonts w:ascii="Times New Roman" w:hAnsi="Times New Roman" w:cs="Times New Roman"/>
          <w:sz w:val="24"/>
          <w:szCs w:val="24"/>
          <w:lang w:val="en-GB"/>
        </w:rPr>
        <w:t>inter and intra generation</w:t>
      </w:r>
      <w:r w:rsidR="00712D76" w:rsidRPr="0031394A">
        <w:rPr>
          <w:rFonts w:ascii="Times New Roman" w:hAnsi="Times New Roman" w:cs="Times New Roman"/>
          <w:sz w:val="24"/>
          <w:szCs w:val="24"/>
          <w:lang w:val="en-GB"/>
        </w:rPr>
        <w:t>al level</w:t>
      </w:r>
      <w:r w:rsidRPr="0031394A">
        <w:rPr>
          <w:rFonts w:ascii="Times New Roman" w:hAnsi="Times New Roman" w:cs="Times New Roman"/>
          <w:sz w:val="24"/>
          <w:szCs w:val="24"/>
          <w:lang w:val="en-GB"/>
        </w:rPr>
        <w:t xml:space="preserve">s. </w:t>
      </w:r>
      <w:r w:rsidR="00E67ABA" w:rsidRPr="0031394A">
        <w:rPr>
          <w:rFonts w:ascii="Times New Roman" w:hAnsi="Times New Roman" w:cs="Times New Roman"/>
          <w:sz w:val="24"/>
          <w:szCs w:val="24"/>
          <w:lang w:val="en-GB"/>
        </w:rPr>
        <w:t xml:space="preserve">On the other hand, </w:t>
      </w:r>
      <w:proofErr w:type="spellStart"/>
      <w:r w:rsidRPr="0031394A">
        <w:rPr>
          <w:rFonts w:ascii="Times New Roman" w:hAnsi="Times New Roman" w:cs="Times New Roman"/>
          <w:sz w:val="24"/>
          <w:szCs w:val="24"/>
          <w:lang w:val="en-GB"/>
        </w:rPr>
        <w:t>Fajnzylber</w:t>
      </w:r>
      <w:proofErr w:type="spellEnd"/>
      <w:r w:rsidRPr="0031394A">
        <w:rPr>
          <w:rFonts w:ascii="Times New Roman" w:hAnsi="Times New Roman" w:cs="Times New Roman"/>
          <w:sz w:val="24"/>
          <w:szCs w:val="24"/>
          <w:lang w:val="en-GB"/>
        </w:rPr>
        <w:t xml:space="preserve"> and </w:t>
      </w:r>
      <w:proofErr w:type="spellStart"/>
      <w:r w:rsidRPr="0031394A">
        <w:rPr>
          <w:rFonts w:ascii="Times New Roman" w:hAnsi="Times New Roman" w:cs="Times New Roman"/>
          <w:sz w:val="24"/>
          <w:szCs w:val="24"/>
          <w:lang w:val="en-GB"/>
        </w:rPr>
        <w:t>Robalino</w:t>
      </w:r>
      <w:proofErr w:type="spellEnd"/>
      <w:r w:rsidRPr="0031394A">
        <w:rPr>
          <w:rFonts w:ascii="Times New Roman" w:hAnsi="Times New Roman" w:cs="Times New Roman"/>
          <w:sz w:val="24"/>
          <w:szCs w:val="24"/>
          <w:lang w:val="en-GB"/>
        </w:rPr>
        <w:t xml:space="preserve"> (2012) state that the transition from a PAYG to a fully funded scheme has a high transition cost where current contributors pay twice: first to finance their own retirement capital and second to finance pensio</w:t>
      </w:r>
      <w:r w:rsidR="002F1841" w:rsidRPr="0031394A">
        <w:rPr>
          <w:rFonts w:ascii="Times New Roman" w:hAnsi="Times New Roman" w:cs="Times New Roman"/>
          <w:sz w:val="24"/>
          <w:szCs w:val="24"/>
          <w:lang w:val="en-GB"/>
        </w:rPr>
        <w:t>n benefits of current retirees.</w:t>
      </w:r>
      <w:r w:rsidR="00473D86" w:rsidRPr="0031394A">
        <w:rPr>
          <w:rFonts w:ascii="Times New Roman" w:hAnsi="Times New Roman" w:cs="Times New Roman"/>
          <w:sz w:val="24"/>
          <w:szCs w:val="24"/>
          <w:lang w:val="en-GB"/>
        </w:rPr>
        <w:t xml:space="preserve"> </w:t>
      </w:r>
    </w:p>
    <w:p w14:paraId="4D8F1A9A" w14:textId="77777777" w:rsidR="00E67704" w:rsidRPr="0031394A" w:rsidRDefault="000139EE" w:rsidP="00C825A0">
      <w:pPr>
        <w:pStyle w:val="COSTNormal"/>
        <w:spacing w:before="120" w:after="120"/>
        <w:rPr>
          <w:rFonts w:ascii="Times New Roman" w:hAnsi="Times New Roman" w:cs="Times New Roman"/>
          <w:color w:val="auto"/>
          <w:sz w:val="24"/>
          <w:szCs w:val="24"/>
          <w:lang w:val="en-GB"/>
        </w:rPr>
      </w:pPr>
      <w:r w:rsidRPr="0031394A">
        <w:rPr>
          <w:rFonts w:ascii="Times New Roman" w:hAnsi="Times New Roman" w:cs="Times New Roman"/>
          <w:color w:val="auto"/>
          <w:sz w:val="24"/>
          <w:szCs w:val="24"/>
          <w:lang w:val="en-GB"/>
        </w:rPr>
        <w:t>Currently, c</w:t>
      </w:r>
      <w:r w:rsidR="008B3617" w:rsidRPr="0031394A">
        <w:rPr>
          <w:rFonts w:ascii="Times New Roman" w:hAnsi="Times New Roman" w:cs="Times New Roman"/>
          <w:color w:val="auto"/>
          <w:sz w:val="24"/>
          <w:szCs w:val="24"/>
          <w:lang w:val="en-GB"/>
        </w:rPr>
        <w:t xml:space="preserve">ountries, such as </w:t>
      </w:r>
      <w:r w:rsidR="00A13B27" w:rsidRPr="0031394A">
        <w:rPr>
          <w:rFonts w:ascii="Times New Roman" w:hAnsi="Times New Roman" w:cs="Times New Roman"/>
          <w:color w:val="auto"/>
          <w:sz w:val="24"/>
          <w:szCs w:val="24"/>
          <w:lang w:val="en-GB"/>
        </w:rPr>
        <w:t>Australia, Canada, Norway</w:t>
      </w:r>
      <w:r w:rsidR="002168DE" w:rsidRPr="0031394A">
        <w:rPr>
          <w:rFonts w:ascii="Times New Roman" w:hAnsi="Times New Roman" w:cs="Times New Roman"/>
          <w:color w:val="auto"/>
          <w:sz w:val="24"/>
          <w:szCs w:val="24"/>
          <w:lang w:val="en-GB"/>
        </w:rPr>
        <w:t xml:space="preserve">, </w:t>
      </w:r>
      <w:r w:rsidR="008B3617" w:rsidRPr="0031394A">
        <w:rPr>
          <w:rFonts w:ascii="Times New Roman" w:hAnsi="Times New Roman" w:cs="Times New Roman"/>
          <w:color w:val="auto"/>
          <w:sz w:val="24"/>
          <w:szCs w:val="24"/>
          <w:lang w:val="en-GB"/>
        </w:rPr>
        <w:t xml:space="preserve">Sweden, Latvia and Poland, </w:t>
      </w:r>
      <w:r w:rsidR="00A13B27" w:rsidRPr="0031394A">
        <w:rPr>
          <w:rFonts w:ascii="Times New Roman" w:hAnsi="Times New Roman" w:cs="Times New Roman"/>
          <w:color w:val="auto"/>
          <w:sz w:val="24"/>
          <w:szCs w:val="24"/>
          <w:lang w:val="en-GB"/>
        </w:rPr>
        <w:t xml:space="preserve">amongst others, </w:t>
      </w:r>
      <w:r w:rsidR="008B3617" w:rsidRPr="0031394A">
        <w:rPr>
          <w:rFonts w:ascii="Times New Roman" w:hAnsi="Times New Roman" w:cs="Times New Roman"/>
          <w:color w:val="auto"/>
          <w:sz w:val="24"/>
          <w:szCs w:val="24"/>
          <w:lang w:val="en-GB"/>
        </w:rPr>
        <w:t>combine funded and PAYG elements within a compulsory basic pension system.</w:t>
      </w:r>
      <w:r w:rsidR="007D467F" w:rsidRPr="0031394A">
        <w:rPr>
          <w:rStyle w:val="FootnoteReference"/>
          <w:rFonts w:ascii="Times New Roman" w:hAnsi="Times New Roman" w:cs="Times New Roman"/>
          <w:color w:val="auto"/>
          <w:sz w:val="24"/>
          <w:szCs w:val="24"/>
          <w:lang w:val="en-GB"/>
        </w:rPr>
        <w:footnoteReference w:id="8"/>
      </w:r>
      <w:r w:rsidR="008B3617" w:rsidRPr="0031394A">
        <w:rPr>
          <w:rFonts w:ascii="Times New Roman" w:hAnsi="Times New Roman" w:cs="Times New Roman"/>
          <w:color w:val="auto"/>
          <w:sz w:val="24"/>
          <w:szCs w:val="24"/>
          <w:lang w:val="en-GB"/>
        </w:rPr>
        <w:t xml:space="preserve"> </w:t>
      </w:r>
      <w:r w:rsidR="007D467F" w:rsidRPr="0031394A">
        <w:rPr>
          <w:rFonts w:ascii="Times New Roman" w:hAnsi="Times New Roman" w:cs="Times New Roman"/>
          <w:color w:val="auto"/>
          <w:sz w:val="24"/>
          <w:szCs w:val="24"/>
          <w:lang w:val="en-GB"/>
        </w:rPr>
        <w:t>In particular</w:t>
      </w:r>
      <w:r w:rsidR="00D2615F" w:rsidRPr="0031394A">
        <w:rPr>
          <w:rFonts w:ascii="Times New Roman" w:hAnsi="Times New Roman" w:cs="Times New Roman"/>
          <w:color w:val="auto"/>
          <w:sz w:val="24"/>
          <w:szCs w:val="24"/>
          <w:lang w:val="en-GB"/>
        </w:rPr>
        <w:t>,</w:t>
      </w:r>
      <w:r w:rsidR="007D467F" w:rsidRPr="0031394A">
        <w:rPr>
          <w:rFonts w:ascii="Times New Roman" w:hAnsi="Times New Roman" w:cs="Times New Roman"/>
          <w:color w:val="auto"/>
          <w:sz w:val="24"/>
          <w:szCs w:val="24"/>
          <w:lang w:val="en-GB"/>
        </w:rPr>
        <w:t xml:space="preserve"> Sweden allocated 86.5% of the </w:t>
      </w:r>
      <w:r w:rsidRPr="0031394A">
        <w:rPr>
          <w:rFonts w:ascii="Times New Roman" w:hAnsi="Times New Roman" w:cs="Times New Roman"/>
          <w:color w:val="auto"/>
          <w:sz w:val="24"/>
          <w:szCs w:val="24"/>
          <w:lang w:val="en-GB"/>
        </w:rPr>
        <w:t xml:space="preserve">pension </w:t>
      </w:r>
      <w:r w:rsidR="007D467F" w:rsidRPr="0031394A">
        <w:rPr>
          <w:rFonts w:ascii="Times New Roman" w:hAnsi="Times New Roman" w:cs="Times New Roman"/>
          <w:color w:val="auto"/>
          <w:sz w:val="24"/>
          <w:szCs w:val="24"/>
          <w:lang w:val="en-GB"/>
        </w:rPr>
        <w:t>contributions to PAYG whereas Latvia and Poland allocate 70% and 62.6% respectively. The</w:t>
      </w:r>
      <w:r w:rsidR="005D36C5" w:rsidRPr="0031394A">
        <w:rPr>
          <w:rFonts w:ascii="Times New Roman" w:hAnsi="Times New Roman" w:cs="Times New Roman"/>
          <w:color w:val="auto"/>
          <w:sz w:val="24"/>
          <w:szCs w:val="24"/>
          <w:lang w:val="en-GB"/>
        </w:rPr>
        <w:t xml:space="preserve"> remaining part accrues funded </w:t>
      </w:r>
      <w:r w:rsidR="007D467F" w:rsidRPr="0031394A">
        <w:rPr>
          <w:rFonts w:ascii="Times New Roman" w:hAnsi="Times New Roman" w:cs="Times New Roman"/>
          <w:color w:val="auto"/>
          <w:sz w:val="24"/>
          <w:szCs w:val="24"/>
          <w:lang w:val="en-GB"/>
        </w:rPr>
        <w:t xml:space="preserve">pension rights and earns the market rate of return. </w:t>
      </w:r>
      <w:r w:rsidR="008B3617" w:rsidRPr="0031394A">
        <w:rPr>
          <w:rFonts w:ascii="Times New Roman" w:hAnsi="Times New Roman" w:cs="Times New Roman"/>
          <w:color w:val="auto"/>
          <w:sz w:val="24"/>
          <w:szCs w:val="24"/>
          <w:lang w:val="en-GB"/>
        </w:rPr>
        <w:t>These mixed systems have been advocated, particularly by the World Bank, as a practical way to reconcile the higher financial market returns compared with GDP growth with the costs of a scheme with a greater funded element.</w:t>
      </w:r>
      <w:bookmarkEnd w:id="8"/>
    </w:p>
    <w:p w14:paraId="05FC5CA4" w14:textId="244D50E6" w:rsidR="008C0350" w:rsidRDefault="007D467F" w:rsidP="00C825A0">
      <w:pPr>
        <w:spacing w:before="120" w:after="120" w:line="240" w:lineRule="auto"/>
        <w:jc w:val="both"/>
        <w:rPr>
          <w:rFonts w:ascii="Times New Roman" w:hAnsi="Times New Roman" w:cs="Times New Roman"/>
          <w:sz w:val="24"/>
          <w:szCs w:val="24"/>
          <w:lang w:val="en-GB"/>
        </w:rPr>
      </w:pPr>
      <w:bookmarkStart w:id="9" w:name="_Hlk4007066"/>
      <w:proofErr w:type="gramStart"/>
      <w:r w:rsidRPr="0031394A">
        <w:rPr>
          <w:rFonts w:ascii="Times New Roman" w:hAnsi="Times New Roman" w:cs="Times New Roman"/>
          <w:sz w:val="24"/>
          <w:szCs w:val="24"/>
          <w:lang w:val="en-GB"/>
        </w:rPr>
        <w:t xml:space="preserve">With this in mind, </w:t>
      </w:r>
      <w:r w:rsidR="00964B05" w:rsidRPr="0031394A">
        <w:rPr>
          <w:rFonts w:ascii="Times New Roman" w:hAnsi="Times New Roman" w:cs="Times New Roman"/>
          <w:sz w:val="24"/>
          <w:szCs w:val="24"/>
          <w:lang w:val="en-GB"/>
        </w:rPr>
        <w:t>the</w:t>
      </w:r>
      <w:proofErr w:type="gramEnd"/>
      <w:r w:rsidR="00964B05" w:rsidRPr="0031394A">
        <w:rPr>
          <w:rFonts w:ascii="Times New Roman" w:hAnsi="Times New Roman" w:cs="Times New Roman"/>
          <w:sz w:val="24"/>
          <w:szCs w:val="24"/>
          <w:lang w:val="en-GB"/>
        </w:rPr>
        <w:t xml:space="preserve"> aim of this research is to assess both sustainability and adequacy for different types of pension systems.</w:t>
      </w:r>
      <w:r w:rsidR="00D94759" w:rsidRPr="0031394A">
        <w:rPr>
          <w:rFonts w:ascii="Times New Roman" w:hAnsi="Times New Roman" w:cs="Times New Roman"/>
          <w:sz w:val="24"/>
          <w:szCs w:val="24"/>
          <w:lang w:val="en-GB"/>
        </w:rPr>
        <w:t xml:space="preserve"> In the case of partial financial sustainability, we design different optimal strategies – automatic balancing mechanisms-, that involve variables such as the contribution rate, age of retirement and indexation of pensions, to restore the long-term financial equilibrium of the system. These mechanisms negatively affect the adequacy of the system in an ageing world. To counteract this, different types of mixed pension systems - with different exposure to equities- are proposed. Finally, we analyse the implications of the mixed systems on the return that the individual would </w:t>
      </w:r>
      <w:r w:rsidR="000705B3" w:rsidRPr="0031394A">
        <w:rPr>
          <w:rFonts w:ascii="Times New Roman" w:hAnsi="Times New Roman" w:cs="Times New Roman"/>
          <w:sz w:val="24"/>
          <w:szCs w:val="24"/>
          <w:lang w:val="en-GB"/>
        </w:rPr>
        <w:t>receive.</w:t>
      </w:r>
    </w:p>
    <w:p w14:paraId="15DAD7B8" w14:textId="79C7CC82" w:rsidR="00C825A0" w:rsidRPr="000A1823" w:rsidRDefault="00C825A0" w:rsidP="00C825A0">
      <w:pPr>
        <w:pStyle w:val="NormalWeb"/>
        <w:spacing w:before="120" w:beforeAutospacing="0" w:after="120" w:afterAutospacing="0"/>
        <w:jc w:val="both"/>
      </w:pPr>
      <w:r w:rsidRPr="000A1823">
        <w:t>We acknowledge that there are 2 limitations to our research methodology. The first limitation concerns the exogenous nature of the funded defined contribution (DC) pension system.</w:t>
      </w:r>
      <w:r w:rsidR="000529C0" w:rsidRPr="000A1823">
        <w:t xml:space="preserve"> </w:t>
      </w:r>
      <w:r w:rsidRPr="000A1823">
        <w:t xml:space="preserve">Our main objective in this paper is to </w:t>
      </w:r>
      <w:proofErr w:type="spellStart"/>
      <w:r w:rsidRPr="000A1823">
        <w:t>analyse</w:t>
      </w:r>
      <w:proofErr w:type="spellEnd"/>
      <w:r w:rsidRPr="000A1823">
        <w:t xml:space="preserve"> whether mixing the classical DB PAYG and funding systems could lead to higher or lower replacement rates for pensioners and the consequences for the sustainability of the pension system. Thus, we assume the existence of an exogenous funded DC pension system in addition to the current DB PAYG scheme where the DC is superposed on the optimal path of the automatic balancing mechanism (ABM) of the DB scheme. We show how the inclusion of a DC scheme can affect the replacement rate, and other key financial measures, using a fixed contribution rate to the DC scheme. In this approach, we are working with real-world data which involves taking the real forecast demographic structure of the European population, the real salary structure, real initial age of retirement, contribution rate and indexation of pensions over 75 years. If we were to include of both the DC and DB elements in a single mathematical problem, the multi-stage stochastic optimization would become computationally very challenging. We are leaving this extension for future consideration.</w:t>
      </w:r>
    </w:p>
    <w:p w14:paraId="45255136" w14:textId="19D5544E" w:rsidR="00C825A0" w:rsidRPr="000A1823" w:rsidRDefault="00C825A0" w:rsidP="00C825A0">
      <w:pPr>
        <w:pStyle w:val="NormalWeb"/>
        <w:spacing w:before="120" w:beforeAutospacing="0" w:after="120" w:afterAutospacing="0"/>
        <w:jc w:val="both"/>
      </w:pPr>
      <w:r w:rsidRPr="000A1823">
        <w:t xml:space="preserve">The second limitation concerns our use of a complicated stochastic model for the financial risks facing the fund but no consideration of demographic uncertainty. We have taken this route on grounds of simplicity while </w:t>
      </w:r>
      <w:proofErr w:type="spellStart"/>
      <w:r w:rsidRPr="000A1823">
        <w:t>recognising</w:t>
      </w:r>
      <w:proofErr w:type="spellEnd"/>
      <w:r w:rsidRPr="000A1823">
        <w:t xml:space="preserve"> that the introduction of the </w:t>
      </w:r>
      <w:r w:rsidRPr="000A1823">
        <w:lastRenderedPageBreak/>
        <w:t>demographic uncertainty would be very valuable to compute, for example, in terms of the optimal path of the key variables. In further research, we will introduce demographic and other risks and a multi-stage stochastic optimization problem.</w:t>
      </w:r>
    </w:p>
    <w:bookmarkEnd w:id="9"/>
    <w:p w14:paraId="3D7AB920" w14:textId="77777777" w:rsidR="002168DE" w:rsidRPr="000A1823" w:rsidRDefault="00473D86"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 xml:space="preserve">Following this introduction, the next section of the </w:t>
      </w:r>
      <w:r w:rsidR="00C67900" w:rsidRPr="000A1823">
        <w:rPr>
          <w:rFonts w:ascii="Times New Roman" w:hAnsi="Times New Roman" w:cs="Times New Roman"/>
          <w:sz w:val="24"/>
          <w:szCs w:val="24"/>
          <w:lang w:val="en-GB"/>
        </w:rPr>
        <w:t xml:space="preserve">paper describes the methodology to calculate the optimal path of the decision variables to restore the financial sustainability together with the replacement rates for mixed pension systems. The procedure to follow to calculate future expected returns is also described in detail. Section 3 presents the data </w:t>
      </w:r>
      <w:r w:rsidR="009948AE" w:rsidRPr="000A1823">
        <w:rPr>
          <w:rFonts w:ascii="Times New Roman" w:hAnsi="Times New Roman" w:cs="Times New Roman"/>
          <w:sz w:val="24"/>
          <w:szCs w:val="24"/>
          <w:lang w:val="en-GB"/>
        </w:rPr>
        <w:t>for</w:t>
      </w:r>
      <w:r w:rsidR="00C67900" w:rsidRPr="000A1823">
        <w:rPr>
          <w:rFonts w:ascii="Times New Roman" w:hAnsi="Times New Roman" w:cs="Times New Roman"/>
          <w:sz w:val="24"/>
          <w:szCs w:val="24"/>
          <w:lang w:val="en-GB"/>
        </w:rPr>
        <w:t xml:space="preserve"> a representative example together with the results and some sensitivity analysis</w:t>
      </w:r>
      <w:r w:rsidR="00E9123E" w:rsidRPr="000A1823">
        <w:rPr>
          <w:rFonts w:ascii="Times New Roman" w:hAnsi="Times New Roman" w:cs="Times New Roman"/>
          <w:sz w:val="24"/>
          <w:szCs w:val="24"/>
          <w:lang w:val="en-GB"/>
        </w:rPr>
        <w:t xml:space="preserve"> under different investment strategies</w:t>
      </w:r>
      <w:r w:rsidR="00C67900" w:rsidRPr="000A1823">
        <w:rPr>
          <w:rFonts w:ascii="Times New Roman" w:hAnsi="Times New Roman" w:cs="Times New Roman"/>
          <w:sz w:val="24"/>
          <w:szCs w:val="24"/>
          <w:lang w:val="en-GB"/>
        </w:rPr>
        <w:t xml:space="preserve">. </w:t>
      </w:r>
      <w:r w:rsidR="008516D2" w:rsidRPr="000A1823">
        <w:rPr>
          <w:rFonts w:ascii="Times New Roman" w:hAnsi="Times New Roman" w:cs="Times New Roman"/>
          <w:noProof/>
          <w:sz w:val="24"/>
          <w:szCs w:val="24"/>
          <w:lang w:val="en-GB"/>
        </w:rPr>
        <w:t xml:space="preserve">Section </w:t>
      </w:r>
      <w:r w:rsidR="00C67900" w:rsidRPr="000A1823">
        <w:rPr>
          <w:rFonts w:ascii="Times New Roman" w:hAnsi="Times New Roman" w:cs="Times New Roman"/>
          <w:noProof/>
          <w:sz w:val="24"/>
          <w:szCs w:val="24"/>
          <w:lang w:val="en-GB"/>
        </w:rPr>
        <w:t>4</w:t>
      </w:r>
      <w:r w:rsidR="002168DE" w:rsidRPr="000A1823">
        <w:rPr>
          <w:rFonts w:ascii="Times New Roman" w:hAnsi="Times New Roman" w:cs="Times New Roman"/>
          <w:noProof/>
          <w:sz w:val="24"/>
          <w:szCs w:val="24"/>
          <w:lang w:val="en-GB"/>
        </w:rPr>
        <w:t xml:space="preserve"> </w:t>
      </w:r>
      <w:r w:rsidR="00AF3FCC" w:rsidRPr="000A1823">
        <w:rPr>
          <w:rFonts w:ascii="Times New Roman" w:hAnsi="Times New Roman" w:cs="Times New Roman"/>
          <w:noProof/>
          <w:sz w:val="24"/>
          <w:szCs w:val="24"/>
          <w:lang w:val="en-GB"/>
        </w:rPr>
        <w:t>concludes and make</w:t>
      </w:r>
      <w:r w:rsidR="009948AE" w:rsidRPr="000A1823">
        <w:rPr>
          <w:rFonts w:ascii="Times New Roman" w:hAnsi="Times New Roman" w:cs="Times New Roman"/>
          <w:noProof/>
          <w:sz w:val="24"/>
          <w:szCs w:val="24"/>
          <w:lang w:val="en-GB"/>
        </w:rPr>
        <w:t>s</w:t>
      </w:r>
      <w:r w:rsidR="00AF3FCC" w:rsidRPr="000A1823">
        <w:rPr>
          <w:rFonts w:ascii="Times New Roman" w:hAnsi="Times New Roman" w:cs="Times New Roman"/>
          <w:noProof/>
          <w:sz w:val="24"/>
          <w:szCs w:val="24"/>
          <w:lang w:val="en-GB"/>
        </w:rPr>
        <w:t xml:space="preserve"> suggestions for further research.</w:t>
      </w:r>
    </w:p>
    <w:p w14:paraId="281CC749" w14:textId="77777777" w:rsidR="00473D86" w:rsidRPr="000A1823" w:rsidRDefault="00FF7432" w:rsidP="003A7393">
      <w:pPr>
        <w:tabs>
          <w:tab w:val="center" w:pos="4800"/>
          <w:tab w:val="right" w:pos="9500"/>
        </w:tabs>
        <w:jc w:val="both"/>
        <w:rPr>
          <w:rFonts w:ascii="Times New Roman" w:hAnsi="Times New Roman" w:cs="Times New Roman"/>
          <w:b/>
          <w:sz w:val="24"/>
          <w:szCs w:val="24"/>
          <w:lang w:val="en-GB"/>
        </w:rPr>
      </w:pPr>
      <w:r w:rsidRPr="000A1823">
        <w:rPr>
          <w:rFonts w:ascii="Times New Roman" w:hAnsi="Times New Roman" w:cs="Times New Roman"/>
          <w:b/>
          <w:sz w:val="24"/>
          <w:szCs w:val="24"/>
          <w:lang w:val="en-GB"/>
        </w:rPr>
        <w:t xml:space="preserve">2. </w:t>
      </w:r>
      <w:r w:rsidR="00AF3FCC" w:rsidRPr="000A1823">
        <w:rPr>
          <w:rFonts w:ascii="Times New Roman" w:hAnsi="Times New Roman" w:cs="Times New Roman"/>
          <w:b/>
          <w:sz w:val="24"/>
          <w:szCs w:val="24"/>
          <w:lang w:val="en-GB"/>
        </w:rPr>
        <w:t xml:space="preserve">Methodology to calculate the optimal path of the variables </w:t>
      </w:r>
      <w:r w:rsidR="008B4F97" w:rsidRPr="000A1823">
        <w:rPr>
          <w:rFonts w:ascii="Times New Roman" w:hAnsi="Times New Roman" w:cs="Times New Roman"/>
          <w:b/>
          <w:sz w:val="24"/>
          <w:szCs w:val="24"/>
          <w:lang w:val="en-GB"/>
        </w:rPr>
        <w:t xml:space="preserve">and replacement rates </w:t>
      </w:r>
      <w:r w:rsidR="00AF3FCC" w:rsidRPr="000A1823">
        <w:rPr>
          <w:rFonts w:ascii="Times New Roman" w:hAnsi="Times New Roman" w:cs="Times New Roman"/>
          <w:b/>
          <w:sz w:val="24"/>
          <w:szCs w:val="24"/>
          <w:lang w:val="en-GB"/>
        </w:rPr>
        <w:t>for mixed pension systems</w:t>
      </w:r>
    </w:p>
    <w:p w14:paraId="7315FA02" w14:textId="66A65C1D" w:rsidR="008B4F97" w:rsidRPr="000A1823" w:rsidRDefault="00B11BD8"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 xml:space="preserve">This section </w:t>
      </w:r>
      <w:r w:rsidR="0055485F" w:rsidRPr="000A1823">
        <w:rPr>
          <w:rFonts w:ascii="Times New Roman" w:hAnsi="Times New Roman" w:cs="Times New Roman"/>
          <w:sz w:val="24"/>
          <w:szCs w:val="24"/>
          <w:lang w:val="en-GB"/>
        </w:rPr>
        <w:t>describes first</w:t>
      </w:r>
      <w:r w:rsidRPr="000A1823">
        <w:rPr>
          <w:rFonts w:ascii="Times New Roman" w:hAnsi="Times New Roman" w:cs="Times New Roman"/>
          <w:sz w:val="24"/>
          <w:szCs w:val="24"/>
          <w:lang w:val="en-GB"/>
        </w:rPr>
        <w:t xml:space="preserve"> the </w:t>
      </w:r>
      <w:r w:rsidR="005C2D9E" w:rsidRPr="000A1823">
        <w:rPr>
          <w:rFonts w:ascii="Times New Roman" w:hAnsi="Times New Roman" w:cs="Times New Roman"/>
          <w:sz w:val="24"/>
          <w:szCs w:val="24"/>
          <w:lang w:val="en-GB"/>
        </w:rPr>
        <w:t>optimisation</w:t>
      </w:r>
      <w:r w:rsidRPr="000A1823">
        <w:rPr>
          <w:rFonts w:ascii="Times New Roman" w:hAnsi="Times New Roman" w:cs="Times New Roman"/>
          <w:sz w:val="24"/>
          <w:szCs w:val="24"/>
          <w:lang w:val="en-GB"/>
        </w:rPr>
        <w:t xml:space="preserve"> model deve</w:t>
      </w:r>
      <w:r w:rsidR="002F1841" w:rsidRPr="000A1823">
        <w:rPr>
          <w:rFonts w:ascii="Times New Roman" w:hAnsi="Times New Roman" w:cs="Times New Roman"/>
          <w:sz w:val="24"/>
          <w:szCs w:val="24"/>
          <w:lang w:val="en-GB"/>
        </w:rPr>
        <w:t xml:space="preserve">loped by </w:t>
      </w:r>
      <w:proofErr w:type="spellStart"/>
      <w:r w:rsidR="00352037" w:rsidRPr="000A1823">
        <w:rPr>
          <w:rFonts w:ascii="Times New Roman" w:hAnsi="Times New Roman" w:cs="Times New Roman"/>
          <w:sz w:val="24"/>
          <w:szCs w:val="24"/>
          <w:lang w:val="en-GB"/>
        </w:rPr>
        <w:t>Godínez</w:t>
      </w:r>
      <w:proofErr w:type="spellEnd"/>
      <w:r w:rsidR="00352037" w:rsidRPr="000A1823">
        <w:rPr>
          <w:rFonts w:ascii="Times New Roman" w:hAnsi="Times New Roman" w:cs="Times New Roman"/>
          <w:sz w:val="24"/>
          <w:szCs w:val="24"/>
          <w:lang w:val="en-GB"/>
        </w:rPr>
        <w:t xml:space="preserve">-Olivares, Boado-Penas, and Haberman </w:t>
      </w:r>
      <w:r w:rsidR="00C71E1D" w:rsidRPr="000A1823">
        <w:rPr>
          <w:rFonts w:ascii="Times New Roman" w:hAnsi="Times New Roman" w:cs="Times New Roman"/>
          <w:sz w:val="24"/>
          <w:szCs w:val="24"/>
          <w:lang w:val="en-GB"/>
        </w:rPr>
        <w:t>(2016)</w:t>
      </w:r>
      <w:r w:rsidRPr="000A1823">
        <w:rPr>
          <w:rFonts w:ascii="Times New Roman" w:hAnsi="Times New Roman" w:cs="Times New Roman"/>
          <w:sz w:val="24"/>
          <w:szCs w:val="24"/>
          <w:lang w:val="en-GB"/>
        </w:rPr>
        <w:t xml:space="preserve"> </w:t>
      </w:r>
      <w:r w:rsidR="00B3088E" w:rsidRPr="000A1823">
        <w:rPr>
          <w:rFonts w:ascii="Times New Roman" w:hAnsi="Times New Roman" w:cs="Times New Roman"/>
          <w:sz w:val="24"/>
          <w:szCs w:val="24"/>
          <w:lang w:val="en-GB"/>
        </w:rPr>
        <w:t xml:space="preserve">to </w:t>
      </w:r>
      <w:r w:rsidR="00630645" w:rsidRPr="000A1823">
        <w:rPr>
          <w:rFonts w:ascii="Times New Roman" w:hAnsi="Times New Roman" w:cs="Times New Roman"/>
          <w:sz w:val="24"/>
          <w:szCs w:val="24"/>
          <w:lang w:val="en-GB"/>
        </w:rPr>
        <w:t>identify</w:t>
      </w:r>
      <w:r w:rsidR="00B3088E" w:rsidRPr="000A1823">
        <w:rPr>
          <w:rFonts w:ascii="Times New Roman" w:hAnsi="Times New Roman" w:cs="Times New Roman"/>
          <w:sz w:val="24"/>
          <w:szCs w:val="24"/>
          <w:lang w:val="en-GB"/>
        </w:rPr>
        <w:t xml:space="preserve"> the optimal paths of the key variables – contribution rate, retirement age and indexation of pensions – that guarantee not only the short run equilibrium (liquidity </w:t>
      </w:r>
      <w:r w:rsidR="00F82572" w:rsidRPr="000A1823">
        <w:rPr>
          <w:rFonts w:ascii="Times New Roman" w:hAnsi="Times New Roman" w:cs="Times New Roman"/>
          <w:sz w:val="24"/>
          <w:szCs w:val="24"/>
          <w:lang w:val="en-GB"/>
        </w:rPr>
        <w:t>of</w:t>
      </w:r>
      <w:r w:rsidR="00B3088E" w:rsidRPr="000A1823">
        <w:rPr>
          <w:rFonts w:ascii="Times New Roman" w:hAnsi="Times New Roman" w:cs="Times New Roman"/>
          <w:sz w:val="24"/>
          <w:szCs w:val="24"/>
          <w:lang w:val="en-GB"/>
        </w:rPr>
        <w:t xml:space="preserve"> the system) but also the long-run financial sustainability of the system.</w:t>
      </w:r>
      <w:r w:rsidR="0092436F" w:rsidRPr="000A1823">
        <w:rPr>
          <w:rFonts w:ascii="Times New Roman" w:hAnsi="Times New Roman" w:cs="Times New Roman"/>
          <w:sz w:val="24"/>
          <w:szCs w:val="24"/>
          <w:lang w:val="en-GB"/>
        </w:rPr>
        <w:t xml:space="preserve"> Sustainability is measured as the difference between the net present value of the future income from contributions and the expenditure on pensions in the long run.</w:t>
      </w:r>
      <w:r w:rsidR="00B3088E" w:rsidRPr="000A1823">
        <w:rPr>
          <w:rFonts w:ascii="Times New Roman" w:hAnsi="Times New Roman" w:cs="Times New Roman"/>
          <w:sz w:val="24"/>
          <w:szCs w:val="24"/>
          <w:lang w:val="en-GB"/>
        </w:rPr>
        <w:t xml:space="preserve"> </w:t>
      </w:r>
      <w:r w:rsidR="0055485F" w:rsidRPr="000A1823">
        <w:rPr>
          <w:rFonts w:ascii="Times New Roman" w:hAnsi="Times New Roman" w:cs="Times New Roman"/>
          <w:sz w:val="24"/>
          <w:szCs w:val="24"/>
          <w:lang w:val="en-GB"/>
        </w:rPr>
        <w:t>Second, t</w:t>
      </w:r>
      <w:r w:rsidR="008B4F97" w:rsidRPr="000A1823">
        <w:rPr>
          <w:rFonts w:ascii="Times New Roman" w:hAnsi="Times New Roman" w:cs="Times New Roman"/>
          <w:sz w:val="24"/>
          <w:szCs w:val="24"/>
          <w:lang w:val="en-GB"/>
        </w:rPr>
        <w:t>he non-overlapping block bootstrap technique, that is used to simulate future expected returns for both buffer fund and accumulated capital of the funding scheme, is also described in this section.</w:t>
      </w:r>
      <w:r w:rsidR="0055485F" w:rsidRPr="000A1823">
        <w:rPr>
          <w:rFonts w:ascii="Times New Roman" w:hAnsi="Times New Roman" w:cs="Times New Roman"/>
          <w:sz w:val="24"/>
          <w:szCs w:val="24"/>
          <w:lang w:val="en-GB"/>
        </w:rPr>
        <w:t xml:space="preserve"> Future expected returns have a</w:t>
      </w:r>
      <w:r w:rsidR="0035503F" w:rsidRPr="000A1823">
        <w:rPr>
          <w:rFonts w:ascii="Times New Roman" w:hAnsi="Times New Roman" w:cs="Times New Roman"/>
          <w:sz w:val="24"/>
          <w:szCs w:val="24"/>
          <w:lang w:val="en-GB"/>
        </w:rPr>
        <w:t xml:space="preserve"> direct </w:t>
      </w:r>
      <w:r w:rsidR="0055485F" w:rsidRPr="000A1823">
        <w:rPr>
          <w:rFonts w:ascii="Times New Roman" w:hAnsi="Times New Roman" w:cs="Times New Roman"/>
          <w:sz w:val="24"/>
          <w:szCs w:val="24"/>
          <w:lang w:val="en-GB"/>
        </w:rPr>
        <w:t>impact on pension leve</w:t>
      </w:r>
      <w:r w:rsidR="0035503F" w:rsidRPr="000A1823">
        <w:rPr>
          <w:rFonts w:ascii="Times New Roman" w:hAnsi="Times New Roman" w:cs="Times New Roman"/>
          <w:sz w:val="24"/>
          <w:szCs w:val="24"/>
          <w:lang w:val="en-GB"/>
        </w:rPr>
        <w:t>ls the participants are expected to receive under the mixed pension system.</w:t>
      </w:r>
    </w:p>
    <w:p w14:paraId="2D250B4D" w14:textId="77777777" w:rsidR="00C03F02" w:rsidRPr="000A1823" w:rsidRDefault="00C03F02"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 xml:space="preserve">The objective of the optimal paths of the decision variables, also be named automatic balancing mechanisms (ABMs), is to re-establish the financial equilibrium of PAYG pension systems. </w:t>
      </w:r>
      <w:r w:rsidR="00B94253" w:rsidRPr="000A1823">
        <w:rPr>
          <w:rFonts w:ascii="Times New Roman" w:hAnsi="Times New Roman" w:cs="Times New Roman"/>
          <w:sz w:val="24"/>
          <w:szCs w:val="24"/>
        </w:rPr>
        <w:t xml:space="preserve">ABMs are defined, </w:t>
      </w:r>
      <w:r w:rsidR="00B94253" w:rsidRPr="000A1823">
        <w:rPr>
          <w:rFonts w:ascii="Times New Roman" w:hAnsi="Times New Roman" w:cs="Times New Roman"/>
          <w:noProof/>
          <w:sz w:val="24"/>
          <w:szCs w:val="24"/>
        </w:rPr>
        <w:t>Vidal-Meli</w:t>
      </w:r>
      <w:r w:rsidR="00B94253" w:rsidRPr="000A1823">
        <w:rPr>
          <w:rFonts w:ascii="Times New Roman" w:hAnsi="Times New Roman" w:cs="Times New Roman"/>
          <w:sz w:val="24"/>
          <w:szCs w:val="24"/>
          <w:lang w:val="en-GB"/>
        </w:rPr>
        <w:t xml:space="preserve">á, Boado-Penas, and </w:t>
      </w:r>
      <w:proofErr w:type="spellStart"/>
      <w:r w:rsidR="00B94253" w:rsidRPr="000A1823">
        <w:rPr>
          <w:rFonts w:ascii="Times New Roman" w:hAnsi="Times New Roman" w:cs="Times New Roman"/>
          <w:sz w:val="24"/>
          <w:szCs w:val="24"/>
          <w:lang w:val="en-GB"/>
        </w:rPr>
        <w:t>Settergren</w:t>
      </w:r>
      <w:proofErr w:type="spellEnd"/>
      <w:r w:rsidR="00B94253" w:rsidRPr="000A1823">
        <w:rPr>
          <w:rFonts w:ascii="Times New Roman" w:hAnsi="Times New Roman" w:cs="Times New Roman"/>
          <w:sz w:val="24"/>
          <w:szCs w:val="24"/>
          <w:lang w:val="en-GB"/>
        </w:rPr>
        <w:t xml:space="preserve"> (2009), as a set of pre-determined measures to be applied immediately as required according to an indicator that reflects the financial health of the system.</w:t>
      </w:r>
      <w:r w:rsidR="00B94253" w:rsidRPr="000A1823">
        <w:rPr>
          <w:rStyle w:val="FootnoteReference"/>
          <w:rFonts w:ascii="Times New Roman" w:hAnsi="Times New Roman" w:cs="Times New Roman"/>
          <w:sz w:val="24"/>
          <w:szCs w:val="24"/>
          <w:lang w:val="en-GB"/>
        </w:rPr>
        <w:footnoteReference w:id="9"/>
      </w:r>
      <w:r w:rsidR="00B94253" w:rsidRPr="000A1823">
        <w:rPr>
          <w:rFonts w:ascii="Times New Roman" w:hAnsi="Times New Roman" w:cs="Times New Roman"/>
          <w:sz w:val="20"/>
          <w:szCs w:val="20"/>
          <w:lang w:val="en-GB"/>
        </w:rPr>
        <w:t xml:space="preserve"> </w:t>
      </w:r>
      <w:r w:rsidRPr="000A1823">
        <w:rPr>
          <w:rFonts w:ascii="Times New Roman" w:hAnsi="Times New Roman" w:cs="Times New Roman"/>
          <w:sz w:val="24"/>
          <w:szCs w:val="24"/>
          <w:lang w:val="en-GB"/>
        </w:rPr>
        <w:t xml:space="preserve">The design of our ABM is asymmetric in the sense that adjustments in the decision variables only occur with negative deviations from the financial health indicator. In our setting, we include the amount of the buffer fund, </w:t>
      </w:r>
      <w:proofErr w:type="spellStart"/>
      <w:r w:rsidRPr="000A1823">
        <w:rPr>
          <w:rFonts w:ascii="Times New Roman" w:hAnsi="Times New Roman" w:cs="Times New Roman"/>
          <w:i/>
          <w:sz w:val="24"/>
          <w:szCs w:val="24"/>
          <w:lang w:val="en-GB"/>
        </w:rPr>
        <w:t>F</w:t>
      </w:r>
      <w:r w:rsidRPr="000A1823">
        <w:rPr>
          <w:rFonts w:ascii="Times New Roman" w:hAnsi="Times New Roman" w:cs="Times New Roman"/>
          <w:i/>
          <w:sz w:val="24"/>
          <w:szCs w:val="24"/>
          <w:vertAlign w:val="subscript"/>
          <w:lang w:val="en-GB"/>
        </w:rPr>
        <w:t>n</w:t>
      </w:r>
      <w:proofErr w:type="spellEnd"/>
      <w:r w:rsidRPr="000A1823">
        <w:rPr>
          <w:rFonts w:ascii="Times New Roman" w:hAnsi="Times New Roman" w:cs="Times New Roman"/>
          <w:sz w:val="24"/>
          <w:szCs w:val="24"/>
          <w:lang w:val="en-GB"/>
        </w:rPr>
        <w:t>, because the amount of the fund, or even the return that it generates, might have a positive impact on a pension system facing unexpected changes in demographic, economic or financial conditions.</w:t>
      </w:r>
    </w:p>
    <w:p w14:paraId="012F4418" w14:textId="77777777" w:rsidR="00630645" w:rsidRPr="000A1823" w:rsidRDefault="00630645"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 xml:space="preserve">As per </w:t>
      </w:r>
      <w:proofErr w:type="spellStart"/>
      <w:r w:rsidR="00352037" w:rsidRPr="000A1823">
        <w:rPr>
          <w:rFonts w:ascii="Times New Roman" w:hAnsi="Times New Roman" w:cs="Times New Roman"/>
          <w:sz w:val="24"/>
          <w:szCs w:val="24"/>
          <w:lang w:val="en-GB"/>
        </w:rPr>
        <w:t>Godínez</w:t>
      </w:r>
      <w:proofErr w:type="spellEnd"/>
      <w:r w:rsidR="00352037" w:rsidRPr="000A1823">
        <w:rPr>
          <w:rFonts w:ascii="Times New Roman" w:hAnsi="Times New Roman" w:cs="Times New Roman"/>
          <w:sz w:val="24"/>
          <w:szCs w:val="24"/>
          <w:lang w:val="en-GB"/>
        </w:rPr>
        <w:t xml:space="preserve">-Olivares, Boado-Penas, and Haberman (2016), </w:t>
      </w:r>
      <w:r w:rsidRPr="000A1823">
        <w:rPr>
          <w:rFonts w:ascii="Times New Roman" w:hAnsi="Times New Roman" w:cs="Times New Roman"/>
          <w:sz w:val="24"/>
          <w:szCs w:val="24"/>
          <w:lang w:val="en-GB"/>
        </w:rPr>
        <w:t xml:space="preserve">the objective function to </w:t>
      </w:r>
      <w:r w:rsidR="00DB1F6A" w:rsidRPr="000A1823">
        <w:rPr>
          <w:rFonts w:ascii="Times New Roman" w:hAnsi="Times New Roman" w:cs="Times New Roman"/>
          <w:sz w:val="24"/>
          <w:szCs w:val="24"/>
          <w:lang w:val="en-GB"/>
        </w:rPr>
        <w:t xml:space="preserve">be </w:t>
      </w:r>
      <w:r w:rsidRPr="000A1823">
        <w:rPr>
          <w:rFonts w:ascii="Times New Roman" w:hAnsi="Times New Roman" w:cs="Times New Roman"/>
          <w:sz w:val="24"/>
          <w:szCs w:val="24"/>
          <w:lang w:val="en-GB"/>
        </w:rPr>
        <w:t>minimise</w:t>
      </w:r>
      <w:r w:rsidR="00DB1F6A" w:rsidRPr="000A1823">
        <w:rPr>
          <w:rFonts w:ascii="Times New Roman" w:hAnsi="Times New Roman" w:cs="Times New Roman"/>
          <w:sz w:val="24"/>
          <w:szCs w:val="24"/>
          <w:lang w:val="en-GB"/>
        </w:rPr>
        <w:t>d</w:t>
      </w:r>
      <w:r w:rsidRPr="000A1823">
        <w:rPr>
          <w:rFonts w:ascii="Times New Roman" w:hAnsi="Times New Roman" w:cs="Times New Roman"/>
          <w:sz w:val="24"/>
          <w:szCs w:val="24"/>
          <w:lang w:val="en-GB"/>
        </w:rPr>
        <w:t xml:space="preserve">, subject to some constraints, is as follows: </w:t>
      </w:r>
    </w:p>
    <w:p w14:paraId="0D540C43" w14:textId="77777777" w:rsidR="00473D86" w:rsidRPr="000A1823" w:rsidRDefault="00473D86" w:rsidP="00C825A0">
      <w:pPr>
        <w:tabs>
          <w:tab w:val="center" w:pos="4800"/>
          <w:tab w:val="right" w:pos="9500"/>
        </w:tabs>
        <w:spacing w:before="120" w:after="120" w:line="240" w:lineRule="auto"/>
        <w:ind w:firstLine="720"/>
        <w:jc w:val="both"/>
        <w:rPr>
          <w:rFonts w:ascii="Times New Roman" w:hAnsi="Times New Roman" w:cs="Times New Roman"/>
          <w:sz w:val="24"/>
          <w:szCs w:val="24"/>
          <w:lang w:val="en-GB"/>
        </w:rPr>
      </w:pPr>
    </w:p>
    <w:p w14:paraId="6C671B03" w14:textId="01476AE0" w:rsidR="00473D86" w:rsidRPr="000A1823" w:rsidRDefault="004E132D" w:rsidP="004E132D">
      <w:pPr>
        <w:tabs>
          <w:tab w:val="center" w:pos="4800"/>
          <w:tab w:val="right" w:pos="9500"/>
        </w:tabs>
        <w:jc w:val="center"/>
        <w:rPr>
          <w:rFonts w:ascii="Times New Roman" w:hAnsi="Times New Roman" w:cs="Times New Roman"/>
          <w:sz w:val="24"/>
          <w:szCs w:val="24"/>
          <w:lang w:val="en-GB"/>
        </w:rPr>
      </w:pPr>
      <w:r w:rsidRPr="000A1823">
        <w:rPr>
          <w:rFonts w:ascii="Times New Roman" w:eastAsiaTheme="minorEastAsia" w:hAnsi="Times New Roman" w:cs="Times New Roman"/>
          <w:sz w:val="24"/>
          <w:szCs w:val="24"/>
          <w:lang w:val="en-GB"/>
        </w:rPr>
        <w:t xml:space="preserve">                             </w:t>
      </w:r>
      <m:oMath>
        <m:r>
          <w:rPr>
            <w:rFonts w:ascii="Cambria Math" w:hAnsi="Times New Roman" w:cs="Times New Roman"/>
            <w:sz w:val="24"/>
            <w:szCs w:val="24"/>
            <w:lang w:val="en-GB"/>
          </w:rPr>
          <m:t>mi</m:t>
        </m:r>
        <m:sSub>
          <m:sSubPr>
            <m:ctrlPr>
              <w:rPr>
                <w:rFonts w:ascii="Cambria Math" w:hAnsi="Times New Roman" w:cs="Times New Roman"/>
                <w:i/>
                <w:sz w:val="24"/>
                <w:szCs w:val="24"/>
                <w:lang w:val="en-GB"/>
              </w:rPr>
            </m:ctrlPr>
          </m:sSubPr>
          <m:e>
            <m:r>
              <w:rPr>
                <w:rFonts w:ascii="Cambria Math" w:hAnsi="Times New Roman" w:cs="Times New Roman"/>
                <w:sz w:val="24"/>
                <w:szCs w:val="24"/>
                <w:lang w:val="en-GB"/>
              </w:rPr>
              <m:t>n</m:t>
            </m:r>
          </m:e>
          <m:sub>
            <m:sSub>
              <m:sSubPr>
                <m:ctrlPr>
                  <w:rPr>
                    <w:rFonts w:ascii="Cambria Math" w:hAnsi="Times New Roman" w:cs="Times New Roman"/>
                    <w:i/>
                    <w:sz w:val="24"/>
                    <w:szCs w:val="24"/>
                    <w:lang w:val="en-GB"/>
                  </w:rPr>
                </m:ctrlPr>
              </m:sSubPr>
              <m:e>
                <m:r>
                  <w:rPr>
                    <w:rFonts w:ascii="Cambria Math" w:hAnsi="Times New Roman" w:cs="Times New Roman"/>
                    <w:sz w:val="24"/>
                    <w:szCs w:val="24"/>
                    <w:lang w:val="en-GB"/>
                  </w:rPr>
                  <m:t>c</m:t>
                </m:r>
              </m:e>
              <m:sub>
                <m:r>
                  <w:rPr>
                    <w:rFonts w:ascii="Cambria Math" w:hAnsi="Times New Roman" w:cs="Times New Roman"/>
                    <w:sz w:val="24"/>
                    <w:szCs w:val="24"/>
                    <w:lang w:val="en-GB"/>
                  </w:rPr>
                  <m:t>n,</m:t>
                </m:r>
              </m:sub>
            </m:sSub>
            <m:sSub>
              <m:sSubPr>
                <m:ctrlPr>
                  <w:rPr>
                    <w:rFonts w:ascii="Cambria Math" w:hAnsi="Times New Roman" w:cs="Times New Roman"/>
                    <w:i/>
                    <w:sz w:val="24"/>
                    <w:szCs w:val="24"/>
                    <w:lang w:val="en-GB"/>
                  </w:rPr>
                </m:ctrlPr>
              </m:sSubPr>
              <m:e>
                <m:r>
                  <w:rPr>
                    <w:rFonts w:ascii="Cambria Math" w:hAnsi="Times New Roman" w:cs="Times New Roman"/>
                    <w:sz w:val="24"/>
                    <w:szCs w:val="24"/>
                    <w:lang w:val="en-GB"/>
                  </w:rPr>
                  <m:t>x</m:t>
                </m:r>
              </m:e>
              <m:sub>
                <m:r>
                  <w:rPr>
                    <w:rFonts w:ascii="Cambria Math" w:hAnsi="Times New Roman" w:cs="Times New Roman"/>
                    <w:sz w:val="24"/>
                    <w:szCs w:val="24"/>
                    <w:lang w:val="en-GB"/>
                  </w:rPr>
                  <m:t>n</m:t>
                </m:r>
              </m:sub>
            </m:sSub>
            <m:r>
              <w:rPr>
                <w:rFonts w:ascii="Cambria Math" w:hAnsi="Times New Roman" w:cs="Times New Roman"/>
                <w:sz w:val="24"/>
                <w:szCs w:val="24"/>
                <w:lang w:val="en-GB"/>
              </w:rPr>
              <m:t>,</m:t>
            </m:r>
            <m:sSub>
              <m:sSubPr>
                <m:ctrlPr>
                  <w:rPr>
                    <w:rFonts w:ascii="Cambria Math" w:hAnsi="Times New Roman" w:cs="Times New Roman"/>
                    <w:i/>
                    <w:sz w:val="24"/>
                    <w:szCs w:val="24"/>
                    <w:lang w:val="en-GB"/>
                  </w:rPr>
                </m:ctrlPr>
              </m:sSubPr>
              <m:e>
                <m:r>
                  <w:rPr>
                    <w:rFonts w:ascii="Cambria Math" w:hAnsi="Times New Roman" w:cs="Times New Roman"/>
                    <w:sz w:val="24"/>
                    <w:szCs w:val="24"/>
                    <w:lang w:val="en-GB"/>
                  </w:rPr>
                  <m:t>λ</m:t>
                </m:r>
              </m:e>
              <m:sub>
                <m:r>
                  <w:rPr>
                    <w:rFonts w:ascii="Cambria Math" w:hAnsi="Times New Roman" w:cs="Times New Roman"/>
                    <w:sz w:val="24"/>
                    <w:szCs w:val="24"/>
                    <w:lang w:val="en-GB"/>
                  </w:rPr>
                  <m:t>n</m:t>
                </m:r>
              </m:sub>
            </m:sSub>
            <m:ctrlPr>
              <w:rPr>
                <w:rFonts w:ascii="Cambria Math" w:hAnsi="Cambria Math" w:cs="Times New Roman"/>
                <w:i/>
                <w:sz w:val="24"/>
                <w:szCs w:val="24"/>
                <w:lang w:val="en-GB"/>
              </w:rPr>
            </m:ctrlPr>
          </m:sub>
        </m:sSub>
        <m:nary>
          <m:naryPr>
            <m:chr m:val="∑"/>
            <m:ctrlPr>
              <w:rPr>
                <w:rFonts w:ascii="Cambria Math" w:hAnsi="Times New Roman" w:cs="Times New Roman"/>
                <w:i/>
                <w:sz w:val="24"/>
                <w:szCs w:val="24"/>
                <w:lang w:val="en-GB"/>
              </w:rPr>
            </m:ctrlPr>
          </m:naryPr>
          <m:sub>
            <m:r>
              <w:rPr>
                <w:rFonts w:ascii="Cambria Math" w:hAnsi="Times New Roman" w:cs="Times New Roman"/>
                <w:sz w:val="24"/>
                <w:szCs w:val="24"/>
                <w:lang w:val="en-GB"/>
              </w:rPr>
              <m:t>n=0</m:t>
            </m:r>
          </m:sub>
          <m:sup>
            <m:r>
              <w:rPr>
                <w:rFonts w:ascii="Cambria Math" w:hAnsi="Times New Roman" w:cs="Times New Roman"/>
                <w:sz w:val="24"/>
                <w:szCs w:val="24"/>
                <w:lang w:val="en-GB"/>
              </w:rPr>
              <m:t>N</m:t>
            </m:r>
          </m:sup>
          <m:e>
            <m:f>
              <m:fPr>
                <m:ctrlPr>
                  <w:rPr>
                    <w:rFonts w:ascii="Cambria Math" w:hAnsi="Times New Roman" w:cs="Times New Roman"/>
                    <w:i/>
                    <w:sz w:val="24"/>
                    <w:szCs w:val="24"/>
                    <w:lang w:val="en-GB"/>
                  </w:rPr>
                </m:ctrlPr>
              </m:fPr>
              <m:num>
                <m:sSub>
                  <m:sSubPr>
                    <m:ctrlPr>
                      <w:rPr>
                        <w:rFonts w:ascii="Cambria Math" w:hAnsi="Times New Roman" w:cs="Times New Roman"/>
                        <w:i/>
                        <w:sz w:val="24"/>
                        <w:szCs w:val="24"/>
                        <w:lang w:val="en-GB"/>
                      </w:rPr>
                    </m:ctrlPr>
                  </m:sSubPr>
                  <m:e>
                    <m:r>
                      <w:rPr>
                        <w:rFonts w:ascii="Cambria Math" w:hAnsi="Times New Roman" w:cs="Times New Roman"/>
                        <w:sz w:val="24"/>
                        <w:szCs w:val="24"/>
                        <w:lang w:val="en-GB"/>
                      </w:rPr>
                      <m:t>F</m:t>
                    </m:r>
                  </m:e>
                  <m:sub>
                    <m:r>
                      <w:rPr>
                        <w:rFonts w:ascii="Cambria Math" w:hAnsi="Times New Roman" w:cs="Times New Roman"/>
                        <w:sz w:val="24"/>
                        <w:szCs w:val="24"/>
                        <w:lang w:val="en-GB"/>
                      </w:rPr>
                      <m:t>n</m:t>
                    </m:r>
                  </m:sub>
                </m:sSub>
                <m:r>
                  <w:rPr>
                    <w:rFonts w:ascii="Cambria Math" w:hAnsi="Times New Roman" w:cs="Times New Roman"/>
                    <w:sz w:val="24"/>
                    <w:szCs w:val="24"/>
                    <w:lang w:val="en-GB"/>
                  </w:rPr>
                  <m:t>(</m:t>
                </m:r>
                <m:sSub>
                  <m:sSubPr>
                    <m:ctrlPr>
                      <w:rPr>
                        <w:rFonts w:ascii="Cambria Math" w:hAnsi="Times New Roman" w:cs="Times New Roman"/>
                        <w:i/>
                        <w:sz w:val="24"/>
                        <w:szCs w:val="24"/>
                        <w:lang w:val="en-GB"/>
                      </w:rPr>
                    </m:ctrlPr>
                  </m:sSubPr>
                  <m:e>
                    <m:r>
                      <w:rPr>
                        <w:rFonts w:ascii="Cambria Math" w:hAnsi="Times New Roman" w:cs="Times New Roman"/>
                        <w:sz w:val="24"/>
                        <w:szCs w:val="24"/>
                        <w:lang w:val="en-GB"/>
                      </w:rPr>
                      <m:t>c</m:t>
                    </m:r>
                  </m:e>
                  <m:sub>
                    <m:r>
                      <w:rPr>
                        <w:rFonts w:ascii="Cambria Math" w:hAnsi="Times New Roman" w:cs="Times New Roman"/>
                        <w:sz w:val="24"/>
                        <w:szCs w:val="24"/>
                        <w:lang w:val="en-GB"/>
                      </w:rPr>
                      <m:t>n</m:t>
                    </m:r>
                  </m:sub>
                </m:sSub>
                <m:r>
                  <w:rPr>
                    <w:rFonts w:ascii="Cambria Math" w:hAnsi="Times New Roman" w:cs="Times New Roman"/>
                    <w:sz w:val="24"/>
                    <w:szCs w:val="24"/>
                    <w:lang w:val="en-GB"/>
                  </w:rPr>
                  <m:t>,</m:t>
                </m:r>
                <m:sSub>
                  <m:sSubPr>
                    <m:ctrlPr>
                      <w:rPr>
                        <w:rFonts w:ascii="Cambria Math" w:hAnsi="Times New Roman" w:cs="Times New Roman"/>
                        <w:i/>
                        <w:sz w:val="24"/>
                        <w:szCs w:val="24"/>
                        <w:lang w:val="en-GB"/>
                      </w:rPr>
                    </m:ctrlPr>
                  </m:sSubPr>
                  <m:e>
                    <m:r>
                      <w:rPr>
                        <w:rFonts w:ascii="Cambria Math" w:hAnsi="Times New Roman" w:cs="Times New Roman"/>
                        <w:sz w:val="24"/>
                        <w:szCs w:val="24"/>
                        <w:lang w:val="en-GB"/>
                      </w:rPr>
                      <m:t>g</m:t>
                    </m:r>
                  </m:e>
                  <m:sub>
                    <m:r>
                      <w:rPr>
                        <w:rFonts w:ascii="Cambria Math" w:hAnsi="Times New Roman" w:cs="Times New Roman"/>
                        <w:sz w:val="24"/>
                        <w:szCs w:val="24"/>
                        <w:lang w:val="en-GB"/>
                      </w:rPr>
                      <m:t>n</m:t>
                    </m:r>
                  </m:sub>
                </m:sSub>
                <m:r>
                  <w:rPr>
                    <w:rFonts w:ascii="Cambria Math" w:hAnsi="Times New Roman" w:cs="Times New Roman"/>
                    <w:sz w:val="24"/>
                    <w:szCs w:val="24"/>
                    <w:lang w:val="en-GB"/>
                  </w:rPr>
                  <m:t>,</m:t>
                </m:r>
                <m:sSubSup>
                  <m:sSubSupPr>
                    <m:ctrlPr>
                      <w:rPr>
                        <w:rFonts w:ascii="Cambria Math" w:hAnsi="Times New Roman" w:cs="Times New Roman"/>
                        <w:i/>
                        <w:sz w:val="24"/>
                        <w:szCs w:val="24"/>
                        <w:lang w:val="en-GB"/>
                      </w:rPr>
                    </m:ctrlPr>
                  </m:sSubSupPr>
                  <m:e>
                    <m:r>
                      <w:rPr>
                        <w:rFonts w:ascii="Cambria Math" w:hAnsi="Times New Roman" w:cs="Times New Roman"/>
                        <w:sz w:val="24"/>
                        <w:szCs w:val="24"/>
                        <w:lang w:val="en-GB"/>
                      </w:rPr>
                      <m:t>x</m:t>
                    </m:r>
                  </m:e>
                  <m:sub>
                    <m:r>
                      <w:rPr>
                        <w:rFonts w:ascii="Cambria Math" w:hAnsi="Times New Roman" w:cs="Times New Roman"/>
                        <w:sz w:val="24"/>
                        <w:szCs w:val="24"/>
                        <w:lang w:val="en-GB"/>
                      </w:rPr>
                      <m:t>n</m:t>
                    </m:r>
                  </m:sub>
                  <m:sup>
                    <m:r>
                      <w:rPr>
                        <w:rFonts w:ascii="Cambria Math" w:hAnsi="Times New Roman" w:cs="Times New Roman"/>
                        <w:sz w:val="24"/>
                        <w:szCs w:val="24"/>
                        <w:lang w:val="en-GB"/>
                      </w:rPr>
                      <m:t>(r)</m:t>
                    </m:r>
                  </m:sup>
                </m:sSubSup>
                <m:r>
                  <w:rPr>
                    <w:rFonts w:ascii="Cambria Math" w:hAnsi="Times New Roman" w:cs="Times New Roman"/>
                    <w:sz w:val="24"/>
                    <w:szCs w:val="24"/>
                    <w:lang w:val="en-GB"/>
                  </w:rPr>
                  <m:t>,</m:t>
                </m:r>
                <m:sSub>
                  <m:sSubPr>
                    <m:ctrlPr>
                      <w:rPr>
                        <w:rFonts w:ascii="Cambria Math" w:hAnsi="Times New Roman" w:cs="Times New Roman"/>
                        <w:i/>
                        <w:sz w:val="24"/>
                        <w:szCs w:val="24"/>
                        <w:lang w:val="en-GB"/>
                      </w:rPr>
                    </m:ctrlPr>
                  </m:sSubPr>
                  <m:e>
                    <m:r>
                      <w:rPr>
                        <w:rFonts w:ascii="Cambria Math" w:hAnsi="Times New Roman" w:cs="Times New Roman"/>
                        <w:sz w:val="24"/>
                        <w:szCs w:val="24"/>
                        <w:lang w:val="en-GB"/>
                      </w:rPr>
                      <m:t>λ</m:t>
                    </m:r>
                  </m:e>
                  <m:sub>
                    <m:r>
                      <w:rPr>
                        <w:rFonts w:ascii="Cambria Math" w:hAnsi="Times New Roman" w:cs="Times New Roman"/>
                        <w:sz w:val="24"/>
                        <w:szCs w:val="24"/>
                        <w:lang w:val="en-GB"/>
                      </w:rPr>
                      <m:t>n</m:t>
                    </m:r>
                  </m:sub>
                </m:sSub>
                <m:r>
                  <w:rPr>
                    <w:rFonts w:ascii="Cambria Math" w:hAnsi="Times New Roman" w:cs="Times New Roman"/>
                    <w:sz w:val="24"/>
                    <w:szCs w:val="24"/>
                    <w:lang w:val="en-GB"/>
                  </w:rPr>
                  <m:t>,</m:t>
                </m:r>
                <m:sSub>
                  <m:sSubPr>
                    <m:ctrlPr>
                      <w:rPr>
                        <w:rFonts w:ascii="Cambria Math" w:hAnsi="Times New Roman" w:cs="Times New Roman"/>
                        <w:i/>
                        <w:sz w:val="24"/>
                        <w:szCs w:val="24"/>
                        <w:lang w:val="en-GB"/>
                      </w:rPr>
                    </m:ctrlPr>
                  </m:sSubPr>
                  <m:e>
                    <m:r>
                      <w:rPr>
                        <w:rFonts w:ascii="Cambria Math" w:hAnsi="Times New Roman" w:cs="Times New Roman"/>
                        <w:sz w:val="24"/>
                        <w:szCs w:val="24"/>
                        <w:lang w:val="en-GB"/>
                      </w:rPr>
                      <m:t>J</m:t>
                    </m:r>
                  </m:e>
                  <m:sub>
                    <m:r>
                      <w:rPr>
                        <w:rFonts w:ascii="Cambria Math" w:hAnsi="Times New Roman" w:cs="Times New Roman"/>
                        <w:sz w:val="24"/>
                        <w:szCs w:val="24"/>
                        <w:lang w:val="en-GB"/>
                      </w:rPr>
                      <m:t>n</m:t>
                    </m:r>
                  </m:sub>
                </m:sSub>
                <m:r>
                  <w:rPr>
                    <w:rFonts w:ascii="Cambria Math" w:hAnsi="Times New Roman" w:cs="Times New Roman"/>
                    <w:sz w:val="24"/>
                    <w:szCs w:val="24"/>
                    <w:lang w:val="en-GB"/>
                  </w:rPr>
                  <m:t>)</m:t>
                </m:r>
              </m:num>
              <m:den>
                <m:r>
                  <w:rPr>
                    <w:rFonts w:ascii="Cambria Math" w:hAnsi="Times New Roman" w:cs="Times New Roman"/>
                    <w:sz w:val="24"/>
                    <w:szCs w:val="24"/>
                    <w:lang w:val="en-GB"/>
                  </w:rPr>
                  <m:t>(1+δ</m:t>
                </m:r>
                <m:sSup>
                  <m:sSupPr>
                    <m:ctrlPr>
                      <w:rPr>
                        <w:rFonts w:ascii="Cambria Math" w:hAnsi="Times New Roman" w:cs="Times New Roman"/>
                        <w:i/>
                        <w:sz w:val="24"/>
                        <w:szCs w:val="24"/>
                        <w:lang w:val="en-GB"/>
                      </w:rPr>
                    </m:ctrlPr>
                  </m:sSupPr>
                  <m:e>
                    <m:r>
                      <w:rPr>
                        <w:rFonts w:ascii="Cambria Math" w:hAnsi="Times New Roman" w:cs="Times New Roman"/>
                        <w:sz w:val="24"/>
                        <w:szCs w:val="24"/>
                        <w:lang w:val="en-GB"/>
                      </w:rPr>
                      <m:t>)</m:t>
                    </m:r>
                  </m:e>
                  <m:sup>
                    <m:r>
                      <w:rPr>
                        <w:rFonts w:ascii="Cambria Math" w:hAnsi="Times New Roman" w:cs="Times New Roman"/>
                        <w:sz w:val="24"/>
                        <w:szCs w:val="24"/>
                        <w:lang w:val="en-GB"/>
                      </w:rPr>
                      <m:t>n</m:t>
                    </m:r>
                  </m:sup>
                </m:sSup>
                <m:ctrlPr>
                  <w:rPr>
                    <w:rFonts w:ascii="Cambria Math" w:hAnsi="Cambria Math" w:cs="Times New Roman"/>
                    <w:i/>
                    <w:sz w:val="24"/>
                    <w:szCs w:val="24"/>
                    <w:lang w:val="en-GB"/>
                  </w:rPr>
                </m:ctrlPr>
              </m:den>
            </m:f>
          </m:e>
        </m:nary>
      </m:oMath>
      <w:r w:rsidRPr="000A1823">
        <w:rPr>
          <w:rFonts w:ascii="Times New Roman" w:eastAsiaTheme="minorEastAsia" w:hAnsi="Times New Roman" w:cs="Times New Roman"/>
          <w:sz w:val="24"/>
          <w:szCs w:val="24"/>
          <w:lang w:val="en-GB"/>
        </w:rPr>
        <w:t xml:space="preserve">                               </w:t>
      </w:r>
      <w:r w:rsidRPr="000A1823">
        <w:rPr>
          <w:rFonts w:ascii="Times New Roman" w:hAnsi="Times New Roman" w:cs="Times New Roman"/>
          <w:sz w:val="24"/>
          <w:szCs w:val="24"/>
          <w:lang w:val="en-GB"/>
        </w:rPr>
        <w:t>(1)</w:t>
      </w:r>
    </w:p>
    <w:p w14:paraId="4EE5F968" w14:textId="4419A68B" w:rsidR="00473D86" w:rsidRPr="000A1823" w:rsidRDefault="00473D86" w:rsidP="004E132D">
      <w:pPr>
        <w:tabs>
          <w:tab w:val="center" w:pos="4800"/>
          <w:tab w:val="right" w:pos="9500"/>
        </w:tabs>
        <w:ind w:firstLine="720"/>
        <w:jc w:val="center"/>
        <w:rPr>
          <w:rFonts w:ascii="Times New Roman" w:hAnsi="Times New Roman" w:cs="Times New Roman"/>
          <w:sz w:val="24"/>
          <w:szCs w:val="24"/>
          <w:lang w:val="en-GB"/>
        </w:rPr>
      </w:pPr>
      <w:r w:rsidRPr="000A1823">
        <w:rPr>
          <w:rFonts w:ascii="Times New Roman" w:hAnsi="Times New Roman" w:cs="Times New Roman"/>
          <w:position w:val="-128"/>
          <w:sz w:val="24"/>
          <w:szCs w:val="24"/>
          <w:lang w:val="en-GB"/>
        </w:rPr>
        <w:object w:dxaOrig="4140" w:dyaOrig="2680" w14:anchorId="634AA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32.5pt" o:ole="">
            <v:imagedata r:id="rId8" o:title=""/>
          </v:shape>
          <o:OLEObject Type="Embed" ProgID="Equation.3" ShapeID="_x0000_i1025" DrawAspect="Content" ObjectID="_1624196153" r:id="rId9"/>
        </w:object>
      </w:r>
    </w:p>
    <w:p w14:paraId="679DF614" w14:textId="4812FAE2" w:rsidR="00473D86" w:rsidRPr="000A1823" w:rsidRDefault="00AA685E" w:rsidP="001C3AE9">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where</w:t>
      </w:r>
      <w:r w:rsidR="00473D86" w:rsidRPr="000A1823">
        <w:rPr>
          <w:rFonts w:ascii="Times New Roman" w:hAnsi="Times New Roman" w:cs="Times New Roman"/>
          <w:sz w:val="24"/>
          <w:szCs w:val="24"/>
          <w:lang w:val="en-GB"/>
        </w:rPr>
        <w:t xml:space="preserve">, </w:t>
      </w:r>
      <w:r w:rsidR="00630645" w:rsidRPr="000A1823">
        <w:rPr>
          <w:rFonts w:ascii="Times New Roman" w:hAnsi="Times New Roman" w:cs="Times New Roman"/>
          <w:sz w:val="24"/>
          <w:szCs w:val="24"/>
          <w:lang w:val="en-GB"/>
        </w:rPr>
        <w:t xml:space="preserve">the accumulation of the buffer fund over time, </w:t>
      </w:r>
      <w:r w:rsidR="00630645" w:rsidRPr="000A1823">
        <w:rPr>
          <w:rFonts w:ascii="Times New Roman" w:hAnsi="Times New Roman" w:cs="Times New Roman"/>
          <w:i/>
          <w:sz w:val="24"/>
          <w:szCs w:val="24"/>
          <w:lang w:val="en-GB"/>
        </w:rPr>
        <w:t>F</w:t>
      </w:r>
      <w:r w:rsidR="00630645" w:rsidRPr="000A1823">
        <w:rPr>
          <w:rFonts w:ascii="Times New Roman" w:hAnsi="Times New Roman" w:cs="Times New Roman"/>
          <w:i/>
          <w:sz w:val="24"/>
          <w:szCs w:val="24"/>
          <w:vertAlign w:val="subscript"/>
          <w:lang w:val="en-GB"/>
        </w:rPr>
        <w:t>n</w:t>
      </w:r>
      <w:r w:rsidR="00630645" w:rsidRPr="000A1823">
        <w:rPr>
          <w:rFonts w:ascii="Times New Roman" w:hAnsi="Times New Roman" w:cs="Times New Roman"/>
          <w:sz w:val="24"/>
          <w:szCs w:val="24"/>
          <w:lang w:val="en-GB"/>
        </w:rPr>
        <w:t xml:space="preserve">, can be expressed as </w:t>
      </w:r>
      <w:r w:rsidR="00473D86" w:rsidRPr="000A1823">
        <w:rPr>
          <w:rFonts w:ascii="Times New Roman" w:hAnsi="Times New Roman" w:cs="Times New Roman"/>
          <w:position w:val="-12"/>
          <w:sz w:val="24"/>
          <w:szCs w:val="24"/>
          <w:lang w:val="en-GB"/>
        </w:rPr>
        <w:object w:dxaOrig="4760" w:dyaOrig="380" w14:anchorId="41B30A01">
          <v:shape id="_x0000_i1026" type="#_x0000_t75" style="width:238pt;height:19.5pt" o:ole="">
            <v:imagedata r:id="rId10" o:title=""/>
          </v:shape>
          <o:OLEObject Type="Embed" ProgID="Equation.3" ShapeID="_x0000_i1026" DrawAspect="Content" ObjectID="_1624196154" r:id="rId11"/>
        </w:object>
      </w:r>
      <w:r w:rsidR="00473D86" w:rsidRPr="000A1823">
        <w:rPr>
          <w:rFonts w:ascii="Times New Roman" w:hAnsi="Times New Roman" w:cs="Times New Roman"/>
          <w:sz w:val="24"/>
          <w:szCs w:val="24"/>
          <w:lang w:val="en-GB"/>
        </w:rPr>
        <w:t xml:space="preserve">, </w:t>
      </w:r>
      <w:r w:rsidR="00630645" w:rsidRPr="000A1823">
        <w:rPr>
          <w:rFonts w:ascii="Times New Roman" w:hAnsi="Times New Roman" w:cs="Times New Roman"/>
          <w:sz w:val="24"/>
          <w:szCs w:val="24"/>
          <w:lang w:val="en-GB"/>
        </w:rPr>
        <w:t>and</w:t>
      </w:r>
      <w:r w:rsidR="0055485F" w:rsidRPr="000A1823">
        <w:rPr>
          <w:rFonts w:ascii="Times New Roman" w:hAnsi="Times New Roman" w:cs="Times New Roman"/>
          <w:sz w:val="24"/>
          <w:szCs w:val="24"/>
          <w:lang w:val="en-GB"/>
        </w:rPr>
        <w:t xml:space="preserve"> </w:t>
      </w:r>
      <w:r w:rsidR="00473D86" w:rsidRPr="000A1823">
        <w:rPr>
          <w:rFonts w:ascii="Times New Roman" w:hAnsi="Times New Roman" w:cs="Times New Roman"/>
          <w:position w:val="-12"/>
          <w:sz w:val="24"/>
          <w:szCs w:val="24"/>
          <w:lang w:val="en-GB"/>
        </w:rPr>
        <w:object w:dxaOrig="300" w:dyaOrig="360" w14:anchorId="0C939C36">
          <v:shape id="_x0000_i1027" type="#_x0000_t75" style="width:15pt;height:19.5pt" o:ole="">
            <v:imagedata r:id="rId12" o:title=""/>
          </v:shape>
          <o:OLEObject Type="Embed" ProgID="Equation.3" ShapeID="_x0000_i1027" DrawAspect="Content" ObjectID="_1624196155" r:id="rId13"/>
        </w:object>
      </w:r>
      <w:r w:rsidR="00473D86" w:rsidRPr="000A1823">
        <w:rPr>
          <w:rFonts w:ascii="Times New Roman" w:hAnsi="Times New Roman" w:cs="Times New Roman"/>
          <w:sz w:val="24"/>
          <w:szCs w:val="24"/>
          <w:lang w:val="en-GB"/>
        </w:rPr>
        <w:t xml:space="preserve"> is the return of </w:t>
      </w:r>
      <w:r w:rsidR="00816628" w:rsidRPr="000A1823">
        <w:rPr>
          <w:rFonts w:ascii="Times New Roman" w:hAnsi="Times New Roman" w:cs="Times New Roman"/>
          <w:sz w:val="24"/>
          <w:szCs w:val="24"/>
          <w:lang w:val="en-GB"/>
        </w:rPr>
        <w:t xml:space="preserve">both </w:t>
      </w:r>
      <w:r w:rsidR="00473D86" w:rsidRPr="000A1823">
        <w:rPr>
          <w:rFonts w:ascii="Times New Roman" w:hAnsi="Times New Roman" w:cs="Times New Roman"/>
          <w:sz w:val="24"/>
          <w:szCs w:val="24"/>
          <w:lang w:val="en-GB"/>
        </w:rPr>
        <w:t xml:space="preserve">the </w:t>
      </w:r>
      <w:r w:rsidR="00713797" w:rsidRPr="000A1823">
        <w:rPr>
          <w:rFonts w:ascii="Times New Roman" w:hAnsi="Times New Roman" w:cs="Times New Roman"/>
          <w:sz w:val="24"/>
          <w:szCs w:val="24"/>
          <w:lang w:val="en-GB"/>
        </w:rPr>
        <w:t xml:space="preserve">buffer </w:t>
      </w:r>
      <w:r w:rsidR="00473D86" w:rsidRPr="000A1823">
        <w:rPr>
          <w:rFonts w:ascii="Times New Roman" w:hAnsi="Times New Roman" w:cs="Times New Roman"/>
          <w:sz w:val="24"/>
          <w:szCs w:val="24"/>
          <w:lang w:val="en-GB"/>
        </w:rPr>
        <w:t xml:space="preserve">fund </w:t>
      </w:r>
      <w:r w:rsidR="00713797" w:rsidRPr="000A1823">
        <w:rPr>
          <w:rFonts w:ascii="Times New Roman" w:hAnsi="Times New Roman" w:cs="Times New Roman"/>
          <w:sz w:val="24"/>
          <w:szCs w:val="24"/>
          <w:lang w:val="en-GB"/>
        </w:rPr>
        <w:t>of the PAYG and the accrued benefits under the funding part</w:t>
      </w:r>
      <w:r w:rsidR="00713797" w:rsidRPr="000A1823">
        <w:rPr>
          <w:rStyle w:val="FootnoteReference"/>
          <w:rFonts w:ascii="Times New Roman" w:hAnsi="Times New Roman" w:cs="Times New Roman"/>
          <w:sz w:val="24"/>
          <w:szCs w:val="24"/>
          <w:lang w:val="en-GB"/>
        </w:rPr>
        <w:footnoteReference w:id="10"/>
      </w:r>
      <w:r w:rsidR="00713797" w:rsidRPr="000A1823">
        <w:rPr>
          <w:rFonts w:ascii="Times New Roman" w:hAnsi="Times New Roman" w:cs="Times New Roman"/>
          <w:sz w:val="24"/>
          <w:szCs w:val="24"/>
          <w:lang w:val="en-GB"/>
        </w:rPr>
        <w:t xml:space="preserve"> </w:t>
      </w:r>
      <w:r w:rsidR="00473D86" w:rsidRPr="000A1823">
        <w:rPr>
          <w:rFonts w:ascii="Times New Roman" w:hAnsi="Times New Roman" w:cs="Times New Roman"/>
          <w:sz w:val="24"/>
          <w:szCs w:val="24"/>
          <w:lang w:val="en-GB"/>
        </w:rPr>
        <w:t xml:space="preserve">during year </w:t>
      </w:r>
      <w:r w:rsidR="00473D86" w:rsidRPr="000A1823">
        <w:rPr>
          <w:rFonts w:ascii="Times New Roman" w:hAnsi="Times New Roman" w:cs="Times New Roman"/>
          <w:position w:val="-6"/>
          <w:sz w:val="24"/>
          <w:szCs w:val="24"/>
          <w:lang w:val="en-GB"/>
        </w:rPr>
        <w:object w:dxaOrig="200" w:dyaOrig="220" w14:anchorId="15DC80E9">
          <v:shape id="_x0000_i1028" type="#_x0000_t75" style="width:11.5pt;height:11.5pt" o:ole="">
            <v:imagedata r:id="rId14" o:title=""/>
          </v:shape>
          <o:OLEObject Type="Embed" ProgID="Equation.3" ShapeID="_x0000_i1028" DrawAspect="Content" ObjectID="_1624196156" r:id="rId15"/>
        </w:object>
      </w:r>
      <w:r w:rsidR="00473D86" w:rsidRPr="000A1823">
        <w:rPr>
          <w:rFonts w:ascii="Times New Roman" w:hAnsi="Times New Roman" w:cs="Times New Roman"/>
          <w:sz w:val="24"/>
          <w:szCs w:val="24"/>
          <w:lang w:val="en-GB"/>
        </w:rPr>
        <w:t xml:space="preserve">; </w:t>
      </w:r>
      <w:r w:rsidR="00473D86" w:rsidRPr="000A1823">
        <w:rPr>
          <w:rFonts w:ascii="Times New Roman" w:hAnsi="Times New Roman" w:cs="Times New Roman"/>
          <w:position w:val="-12"/>
          <w:sz w:val="24"/>
          <w:szCs w:val="24"/>
          <w:lang w:val="en-GB"/>
        </w:rPr>
        <w:object w:dxaOrig="260" w:dyaOrig="360" w14:anchorId="474A3473">
          <v:shape id="_x0000_i1029" type="#_x0000_t75" style="width:12.5pt;height:19.5pt" o:ole="">
            <v:imagedata r:id="rId16" o:title=""/>
          </v:shape>
          <o:OLEObject Type="Embed" ProgID="Equation.3" ShapeID="_x0000_i1029" DrawAspect="Content" ObjectID="_1624196157" r:id="rId17"/>
        </w:object>
      </w:r>
      <w:r w:rsidR="00473D86" w:rsidRPr="000A1823">
        <w:rPr>
          <w:rFonts w:ascii="Times New Roman" w:hAnsi="Times New Roman" w:cs="Times New Roman"/>
          <w:sz w:val="24"/>
          <w:szCs w:val="24"/>
          <w:lang w:val="en-GB"/>
        </w:rPr>
        <w:t xml:space="preserve"> is the contribution rate during year </w:t>
      </w:r>
      <w:r w:rsidR="00473D86" w:rsidRPr="000A1823">
        <w:rPr>
          <w:rFonts w:ascii="Times New Roman" w:hAnsi="Times New Roman" w:cs="Times New Roman"/>
          <w:position w:val="-6"/>
          <w:sz w:val="24"/>
          <w:szCs w:val="24"/>
          <w:lang w:val="en-GB"/>
        </w:rPr>
        <w:object w:dxaOrig="200" w:dyaOrig="220" w14:anchorId="04CAF666">
          <v:shape id="_x0000_i1030" type="#_x0000_t75" style="width:11.5pt;height:11.5pt" o:ole="">
            <v:imagedata r:id="rId18" o:title=""/>
          </v:shape>
          <o:OLEObject Type="Embed" ProgID="Equation.3" ShapeID="_x0000_i1030" DrawAspect="Content" ObjectID="_1624196158" r:id="rId19"/>
        </w:object>
      </w:r>
      <w:r w:rsidR="00473D86" w:rsidRPr="000A1823">
        <w:rPr>
          <w:rFonts w:ascii="Times New Roman" w:hAnsi="Times New Roman" w:cs="Times New Roman"/>
          <w:sz w:val="24"/>
          <w:szCs w:val="24"/>
          <w:lang w:val="en-GB"/>
        </w:rPr>
        <w:t>;</w:t>
      </w:r>
      <w:r w:rsidR="00473D86" w:rsidRPr="000A1823">
        <w:rPr>
          <w:rFonts w:ascii="Times New Roman" w:hAnsi="Times New Roman" w:cs="Times New Roman"/>
          <w:position w:val="-12"/>
          <w:sz w:val="24"/>
          <w:szCs w:val="24"/>
          <w:lang w:val="en-GB"/>
        </w:rPr>
        <w:object w:dxaOrig="1180" w:dyaOrig="380" w14:anchorId="795B59A1">
          <v:shape id="_x0000_i1031" type="#_x0000_t75" style="width:60.5pt;height:19.5pt" o:ole="">
            <v:imagedata r:id="rId20" o:title=""/>
          </v:shape>
          <o:OLEObject Type="Embed" ProgID="Equation.3" ShapeID="_x0000_i1031" DrawAspect="Content" ObjectID="_1624196159" r:id="rId21"/>
        </w:object>
      </w:r>
      <w:r w:rsidR="00473D86" w:rsidRPr="000A1823">
        <w:rPr>
          <w:rFonts w:ascii="Times New Roman" w:hAnsi="Times New Roman" w:cs="Times New Roman"/>
          <w:sz w:val="24"/>
          <w:szCs w:val="24"/>
          <w:lang w:val="en-GB"/>
        </w:rPr>
        <w:t xml:space="preserve"> is the total contribution base paid at </w:t>
      </w:r>
      <w:r w:rsidR="00473D86" w:rsidRPr="000A1823">
        <w:rPr>
          <w:rFonts w:ascii="Times New Roman" w:hAnsi="Times New Roman" w:cs="Times New Roman"/>
          <w:position w:val="-6"/>
          <w:sz w:val="24"/>
          <w:szCs w:val="24"/>
          <w:lang w:val="en-GB"/>
        </w:rPr>
        <w:object w:dxaOrig="200" w:dyaOrig="220" w14:anchorId="408A66A1">
          <v:shape id="_x0000_i1032" type="#_x0000_t75" style="width:11.5pt;height:11.5pt" o:ole="">
            <v:imagedata r:id="rId22" o:title=""/>
          </v:shape>
          <o:OLEObject Type="Embed" ProgID="Equation.3" ShapeID="_x0000_i1032" DrawAspect="Content" ObjectID="_1624196160" r:id="rId23"/>
        </w:object>
      </w:r>
      <w:r w:rsidR="00473D86" w:rsidRPr="000A1823">
        <w:rPr>
          <w:rFonts w:ascii="Times New Roman" w:hAnsi="Times New Roman" w:cs="Times New Roman"/>
          <w:sz w:val="24"/>
          <w:szCs w:val="24"/>
          <w:lang w:val="en-GB"/>
        </w:rPr>
        <w:t xml:space="preserve"> that depends on the growth of salaries </w:t>
      </w:r>
      <w:r w:rsidR="00473D86" w:rsidRPr="000A1823">
        <w:rPr>
          <w:rFonts w:ascii="Times New Roman" w:hAnsi="Times New Roman" w:cs="Times New Roman"/>
          <w:position w:val="-12"/>
          <w:sz w:val="24"/>
          <w:szCs w:val="24"/>
          <w:lang w:val="en-GB"/>
        </w:rPr>
        <w:object w:dxaOrig="300" w:dyaOrig="360" w14:anchorId="1890131F">
          <v:shape id="_x0000_i1033" type="#_x0000_t75" style="width:15pt;height:19.5pt" o:ole="">
            <v:imagedata r:id="rId24" o:title=""/>
          </v:shape>
          <o:OLEObject Type="Embed" ProgID="Equation.3" ShapeID="_x0000_i1033" DrawAspect="Content" ObjectID="_1624196161" r:id="rId25"/>
        </w:object>
      </w:r>
      <w:r w:rsidR="00473D86" w:rsidRPr="000A1823">
        <w:rPr>
          <w:rFonts w:ascii="Times New Roman" w:hAnsi="Times New Roman" w:cs="Times New Roman"/>
          <w:sz w:val="24"/>
          <w:szCs w:val="24"/>
          <w:lang w:val="en-GB"/>
        </w:rPr>
        <w:t xml:space="preserve"> and the retirement age at </w:t>
      </w:r>
      <w:r w:rsidR="00473D86" w:rsidRPr="000A1823">
        <w:rPr>
          <w:rFonts w:ascii="Times New Roman" w:hAnsi="Times New Roman" w:cs="Times New Roman"/>
          <w:position w:val="-6"/>
          <w:sz w:val="24"/>
          <w:szCs w:val="24"/>
          <w:lang w:val="en-GB"/>
        </w:rPr>
        <w:object w:dxaOrig="200" w:dyaOrig="220" w14:anchorId="6A3A3D90">
          <v:shape id="_x0000_i1034" type="#_x0000_t75" style="width:11.5pt;height:11.5pt" o:ole="">
            <v:imagedata r:id="rId26" o:title=""/>
          </v:shape>
          <o:OLEObject Type="Embed" ProgID="Equation.3" ShapeID="_x0000_i1034" DrawAspect="Content" ObjectID="_1624196162" r:id="rId27"/>
        </w:object>
      </w:r>
      <w:r w:rsidR="00473D86" w:rsidRPr="000A1823">
        <w:rPr>
          <w:rFonts w:ascii="Times New Roman" w:hAnsi="Times New Roman" w:cs="Times New Roman"/>
          <w:sz w:val="24"/>
          <w:szCs w:val="24"/>
          <w:lang w:val="en-GB"/>
        </w:rPr>
        <w:t xml:space="preserve">, </w:t>
      </w:r>
      <w:r w:rsidR="00473D86" w:rsidRPr="000A1823">
        <w:rPr>
          <w:rFonts w:ascii="Times New Roman" w:hAnsi="Times New Roman" w:cs="Times New Roman"/>
          <w:position w:val="-12"/>
          <w:sz w:val="24"/>
          <w:szCs w:val="24"/>
          <w:lang w:val="en-GB"/>
        </w:rPr>
        <w:object w:dxaOrig="380" w:dyaOrig="380" w14:anchorId="5758AB15">
          <v:shape id="_x0000_i1035" type="#_x0000_t75" style="width:19.5pt;height:19.5pt" o:ole="">
            <v:imagedata r:id="rId28" o:title=""/>
          </v:shape>
          <o:OLEObject Type="Embed" ProgID="Equation.3" ShapeID="_x0000_i1035" DrawAspect="Content" ObjectID="_1624196163" r:id="rId29"/>
        </w:object>
      </w:r>
      <w:r w:rsidR="00473D86" w:rsidRPr="000A1823">
        <w:rPr>
          <w:rFonts w:ascii="Times New Roman" w:hAnsi="Times New Roman" w:cs="Times New Roman"/>
          <w:sz w:val="24"/>
          <w:szCs w:val="24"/>
          <w:lang w:val="en-GB"/>
        </w:rPr>
        <w:t xml:space="preserve">; </w:t>
      </w:r>
      <w:r w:rsidR="00473D86" w:rsidRPr="000A1823">
        <w:rPr>
          <w:rFonts w:ascii="Times New Roman" w:hAnsi="Times New Roman" w:cs="Times New Roman"/>
          <w:position w:val="-12"/>
          <w:sz w:val="24"/>
          <w:szCs w:val="24"/>
          <w:lang w:val="en-GB"/>
        </w:rPr>
        <w:object w:dxaOrig="300" w:dyaOrig="360" w14:anchorId="7FA82270">
          <v:shape id="_x0000_i1036" type="#_x0000_t75" style="width:15pt;height:19.5pt" o:ole="">
            <v:imagedata r:id="rId30" o:title=""/>
          </v:shape>
          <o:OLEObject Type="Embed" ProgID="Equation.3" ShapeID="_x0000_i1036" DrawAspect="Content" ObjectID="_1624196164" r:id="rId31"/>
        </w:object>
      </w:r>
      <w:r w:rsidR="00473D86" w:rsidRPr="000A1823">
        <w:rPr>
          <w:rFonts w:ascii="Times New Roman" w:hAnsi="Times New Roman" w:cs="Times New Roman"/>
          <w:sz w:val="24"/>
          <w:szCs w:val="24"/>
          <w:lang w:val="en-GB"/>
        </w:rPr>
        <w:t xml:space="preserve"> is the total expenditure on pensions at </w:t>
      </w:r>
      <w:r w:rsidR="00473D86" w:rsidRPr="000A1823">
        <w:rPr>
          <w:rFonts w:ascii="Times New Roman" w:hAnsi="Times New Roman" w:cs="Times New Roman"/>
          <w:position w:val="-6"/>
          <w:sz w:val="24"/>
          <w:szCs w:val="24"/>
          <w:lang w:val="en-GB"/>
        </w:rPr>
        <w:object w:dxaOrig="200" w:dyaOrig="220" w14:anchorId="703E0C69">
          <v:shape id="_x0000_i1037" type="#_x0000_t75" style="width:11.5pt;height:11.5pt" o:ole="">
            <v:imagedata r:id="rId32" o:title=""/>
          </v:shape>
          <o:OLEObject Type="Embed" ProgID="Equation.3" ShapeID="_x0000_i1037" DrawAspect="Content" ObjectID="_1624196165" r:id="rId33"/>
        </w:object>
      </w:r>
      <w:r w:rsidR="00473D86" w:rsidRPr="000A1823">
        <w:rPr>
          <w:rFonts w:ascii="Times New Roman" w:hAnsi="Times New Roman" w:cs="Times New Roman"/>
          <w:sz w:val="24"/>
          <w:szCs w:val="24"/>
          <w:lang w:val="en-GB"/>
        </w:rPr>
        <w:t xml:space="preserve"> that depends on </w:t>
      </w:r>
      <w:r w:rsidR="00473D86" w:rsidRPr="000A1823">
        <w:rPr>
          <w:rFonts w:ascii="Times New Roman" w:hAnsi="Times New Roman" w:cs="Times New Roman"/>
          <w:position w:val="-12"/>
          <w:sz w:val="24"/>
          <w:szCs w:val="24"/>
          <w:lang w:val="en-GB"/>
        </w:rPr>
        <w:object w:dxaOrig="300" w:dyaOrig="360" w14:anchorId="176EFD60">
          <v:shape id="_x0000_i1038" type="#_x0000_t75" style="width:15pt;height:19.5pt" o:ole="">
            <v:imagedata r:id="rId34" o:title=""/>
          </v:shape>
          <o:OLEObject Type="Embed" ProgID="Equation.3" ShapeID="_x0000_i1038" DrawAspect="Content" ObjectID="_1624196166" r:id="rId35"/>
        </w:object>
      </w:r>
      <w:r w:rsidR="00473D86" w:rsidRPr="000A1823">
        <w:rPr>
          <w:rFonts w:ascii="Times New Roman" w:hAnsi="Times New Roman" w:cs="Times New Roman"/>
          <w:sz w:val="24"/>
          <w:szCs w:val="24"/>
          <w:lang w:val="en-GB"/>
        </w:rPr>
        <w:t xml:space="preserve">, </w:t>
      </w:r>
      <w:r w:rsidR="00473D86" w:rsidRPr="000A1823">
        <w:rPr>
          <w:rFonts w:ascii="Times New Roman" w:hAnsi="Times New Roman" w:cs="Times New Roman"/>
          <w:position w:val="-12"/>
          <w:sz w:val="24"/>
          <w:szCs w:val="24"/>
          <w:lang w:val="en-GB"/>
        </w:rPr>
        <w:object w:dxaOrig="380" w:dyaOrig="380" w14:anchorId="17FB0EA4">
          <v:shape id="_x0000_i1039" type="#_x0000_t75" style="width:19.5pt;height:19.5pt" o:ole="">
            <v:imagedata r:id="rId36" o:title=""/>
          </v:shape>
          <o:OLEObject Type="Embed" ProgID="Equation.3" ShapeID="_x0000_i1039" DrawAspect="Content" ObjectID="_1624196167" r:id="rId37"/>
        </w:object>
      </w:r>
      <w:r w:rsidR="00473D86" w:rsidRPr="000A1823">
        <w:rPr>
          <w:rFonts w:ascii="Times New Roman" w:hAnsi="Times New Roman" w:cs="Times New Roman"/>
          <w:sz w:val="24"/>
          <w:szCs w:val="24"/>
          <w:lang w:val="en-GB"/>
        </w:rPr>
        <w:t xml:space="preserve">, and the indexation of pensions at </w:t>
      </w:r>
      <w:r w:rsidR="00473D86" w:rsidRPr="000A1823">
        <w:rPr>
          <w:rFonts w:ascii="Times New Roman" w:hAnsi="Times New Roman" w:cs="Times New Roman"/>
          <w:position w:val="-6"/>
          <w:sz w:val="24"/>
          <w:szCs w:val="24"/>
          <w:lang w:val="en-GB"/>
        </w:rPr>
        <w:object w:dxaOrig="200" w:dyaOrig="220" w14:anchorId="156D56FD">
          <v:shape id="_x0000_i1040" type="#_x0000_t75" style="width:11.5pt;height:11.5pt" o:ole="">
            <v:imagedata r:id="rId38" o:title=""/>
          </v:shape>
          <o:OLEObject Type="Embed" ProgID="Equation.3" ShapeID="_x0000_i1040" DrawAspect="Content" ObjectID="_1624196168" r:id="rId39"/>
        </w:object>
      </w:r>
      <w:r w:rsidR="00473D86" w:rsidRPr="000A1823">
        <w:rPr>
          <w:rFonts w:ascii="Times New Roman" w:hAnsi="Times New Roman" w:cs="Times New Roman"/>
          <w:sz w:val="24"/>
          <w:szCs w:val="24"/>
          <w:lang w:val="en-GB"/>
        </w:rPr>
        <w:t xml:space="preserve">, </w:t>
      </w:r>
      <w:r w:rsidR="00473D86" w:rsidRPr="000A1823">
        <w:rPr>
          <w:rFonts w:ascii="Times New Roman" w:hAnsi="Times New Roman" w:cs="Times New Roman"/>
          <w:position w:val="-12"/>
          <w:sz w:val="24"/>
          <w:szCs w:val="24"/>
          <w:lang w:val="en-GB"/>
        </w:rPr>
        <w:object w:dxaOrig="279" w:dyaOrig="360" w14:anchorId="1EAEDE3C">
          <v:shape id="_x0000_i1041" type="#_x0000_t75" style="width:15pt;height:19.5pt" o:ole="">
            <v:imagedata r:id="rId40" o:title=""/>
          </v:shape>
          <o:OLEObject Type="Embed" ProgID="Equation.3" ShapeID="_x0000_i1041" DrawAspect="Content" ObjectID="_1624196169" r:id="rId41"/>
        </w:object>
      </w:r>
      <w:r w:rsidR="00473D86" w:rsidRPr="000A1823">
        <w:rPr>
          <w:rFonts w:ascii="Times New Roman" w:hAnsi="Times New Roman" w:cs="Times New Roman"/>
          <w:sz w:val="24"/>
          <w:szCs w:val="24"/>
          <w:lang w:val="en-GB"/>
        </w:rPr>
        <w:t xml:space="preserve">; </w:t>
      </w:r>
      <w:r w:rsidR="00473D86" w:rsidRPr="000A1823">
        <w:rPr>
          <w:rFonts w:ascii="Times New Roman" w:hAnsi="Times New Roman" w:cs="Times New Roman"/>
          <w:position w:val="-6"/>
          <w:sz w:val="24"/>
          <w:szCs w:val="24"/>
          <w:lang w:val="en-GB"/>
        </w:rPr>
        <w:object w:dxaOrig="580" w:dyaOrig="279" w14:anchorId="359071B9">
          <v:shape id="_x0000_i1042" type="#_x0000_t75" style="width:29.5pt;height:15pt" o:ole="">
            <v:imagedata r:id="rId42" o:title=""/>
          </v:shape>
          <o:OLEObject Type="Embed" ProgID="Equation.3" ShapeID="_x0000_i1042" DrawAspect="Content" ObjectID="_1624196170" r:id="rId43"/>
        </w:object>
      </w:r>
      <w:r w:rsidRPr="000A1823">
        <w:rPr>
          <w:rFonts w:ascii="Times New Roman" w:hAnsi="Times New Roman" w:cs="Times New Roman"/>
          <w:sz w:val="24"/>
          <w:szCs w:val="24"/>
          <w:lang w:val="en-GB"/>
        </w:rPr>
        <w:t xml:space="preserve"> is the discount rate</w:t>
      </w:r>
      <w:r w:rsidR="0035503F" w:rsidRPr="000A1823">
        <w:rPr>
          <w:rFonts w:ascii="Times New Roman" w:hAnsi="Times New Roman" w:cs="Times New Roman"/>
          <w:sz w:val="24"/>
          <w:szCs w:val="24"/>
          <w:lang w:val="en-GB"/>
        </w:rPr>
        <w:t xml:space="preserve">; </w:t>
      </w:r>
      <w:r w:rsidR="0035503F" w:rsidRPr="000A1823">
        <w:rPr>
          <w:rFonts w:ascii="Times New Roman" w:hAnsi="Times New Roman" w:cs="Times New Roman"/>
          <w:i/>
          <w:sz w:val="24"/>
          <w:szCs w:val="24"/>
          <w:lang w:val="en-GB"/>
        </w:rPr>
        <w:t xml:space="preserve">N </w:t>
      </w:r>
      <w:r w:rsidR="0035503F" w:rsidRPr="000A1823">
        <w:rPr>
          <w:rFonts w:ascii="Times New Roman" w:hAnsi="Times New Roman" w:cs="Times New Roman"/>
          <w:sz w:val="24"/>
          <w:szCs w:val="24"/>
          <w:lang w:val="en-GB"/>
        </w:rPr>
        <w:t>is the final year of our analysis.</w:t>
      </w:r>
    </w:p>
    <w:p w14:paraId="31F63B4D" w14:textId="77777777" w:rsidR="00473D86" w:rsidRPr="000A1823" w:rsidRDefault="00473D86"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position w:val="-12"/>
          <w:sz w:val="24"/>
          <w:szCs w:val="24"/>
          <w:lang w:val="en-GB"/>
        </w:rPr>
        <w:object w:dxaOrig="1719" w:dyaOrig="380" w14:anchorId="01679C74">
          <v:shape id="_x0000_i1043" type="#_x0000_t75" style="width:86.5pt;height:19.5pt" o:ole="">
            <v:imagedata r:id="rId44" o:title=""/>
          </v:shape>
          <o:OLEObject Type="Embed" ProgID="Equation.3" ShapeID="_x0000_i1043" DrawAspect="Content" ObjectID="_1624196171" r:id="rId45"/>
        </w:object>
      </w:r>
      <w:r w:rsidRPr="000A1823">
        <w:rPr>
          <w:rFonts w:ascii="Times New Roman" w:hAnsi="Times New Roman" w:cs="Times New Roman"/>
          <w:sz w:val="24"/>
          <w:szCs w:val="24"/>
          <w:lang w:val="en-GB"/>
        </w:rPr>
        <w:t xml:space="preserve"> and </w:t>
      </w:r>
      <w:r w:rsidRPr="000A1823">
        <w:rPr>
          <w:rFonts w:ascii="Times New Roman" w:hAnsi="Times New Roman" w:cs="Times New Roman"/>
          <w:position w:val="-12"/>
          <w:sz w:val="24"/>
          <w:szCs w:val="24"/>
          <w:lang w:val="en-GB"/>
        </w:rPr>
        <w:object w:dxaOrig="1800" w:dyaOrig="380" w14:anchorId="7EE9C43C">
          <v:shape id="_x0000_i1044" type="#_x0000_t75" style="width:90.5pt;height:19.5pt" o:ole="">
            <v:imagedata r:id="rId46" o:title=""/>
          </v:shape>
          <o:OLEObject Type="Embed" ProgID="Equation.3" ShapeID="_x0000_i1044" DrawAspect="Content" ObjectID="_1624196172" r:id="rId47"/>
        </w:object>
      </w:r>
      <w:r w:rsidRPr="000A1823">
        <w:rPr>
          <w:rFonts w:ascii="Times New Roman" w:hAnsi="Times New Roman" w:cs="Times New Roman"/>
          <w:sz w:val="24"/>
          <w:szCs w:val="24"/>
          <w:lang w:val="en-GB"/>
        </w:rPr>
        <w:t xml:space="preserve"> are lower and upper bounds of the decision variables respectively. These bounds are set in order to avoid possible unrealistic changes in the key v</w:t>
      </w:r>
      <w:r w:rsidR="00AA685E" w:rsidRPr="000A1823">
        <w:rPr>
          <w:rFonts w:ascii="Times New Roman" w:hAnsi="Times New Roman" w:cs="Times New Roman"/>
          <w:sz w:val="24"/>
          <w:szCs w:val="24"/>
          <w:lang w:val="en-GB"/>
        </w:rPr>
        <w:t>ariables of the pension system.</w:t>
      </w:r>
    </w:p>
    <w:p w14:paraId="4E4DD13D" w14:textId="77777777" w:rsidR="00473D86" w:rsidRPr="000A1823" w:rsidRDefault="00473D86"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 xml:space="preserve">Smooth constraints are also necessary to prevent jumps in </w:t>
      </w:r>
      <w:r w:rsidR="00DB1F6A" w:rsidRPr="000A1823">
        <w:rPr>
          <w:rFonts w:ascii="Times New Roman" w:hAnsi="Times New Roman" w:cs="Times New Roman"/>
          <w:sz w:val="24"/>
          <w:szCs w:val="24"/>
          <w:lang w:val="en-GB"/>
        </w:rPr>
        <w:t xml:space="preserve">the </w:t>
      </w:r>
      <w:r w:rsidRPr="000A1823">
        <w:rPr>
          <w:rFonts w:ascii="Times New Roman" w:hAnsi="Times New Roman" w:cs="Times New Roman"/>
          <w:sz w:val="24"/>
          <w:szCs w:val="24"/>
          <w:lang w:val="en-GB"/>
        </w:rPr>
        <w:t>path</w:t>
      </w:r>
      <w:r w:rsidR="00DB1F6A" w:rsidRPr="000A1823">
        <w:rPr>
          <w:rFonts w:ascii="Times New Roman" w:hAnsi="Times New Roman" w:cs="Times New Roman"/>
          <w:sz w:val="24"/>
          <w:szCs w:val="24"/>
          <w:lang w:val="en-GB"/>
        </w:rPr>
        <w:t>s</w:t>
      </w:r>
      <w:r w:rsidRPr="000A1823">
        <w:rPr>
          <w:rFonts w:ascii="Times New Roman" w:hAnsi="Times New Roman" w:cs="Times New Roman"/>
          <w:sz w:val="24"/>
          <w:szCs w:val="24"/>
          <w:lang w:val="en-GB"/>
        </w:rPr>
        <w:t xml:space="preserve"> of the contribution rate, age of retirement and indexation of pensions. Mathematically, smooth constraints are set as: </w:t>
      </w:r>
      <w:r w:rsidRPr="000A1823">
        <w:rPr>
          <w:rFonts w:ascii="Times New Roman" w:hAnsi="Times New Roman" w:cs="Times New Roman"/>
          <w:position w:val="-30"/>
          <w:sz w:val="24"/>
          <w:szCs w:val="24"/>
          <w:lang w:val="en-GB"/>
        </w:rPr>
        <w:object w:dxaOrig="4700" w:dyaOrig="720" w14:anchorId="691A378B">
          <v:shape id="_x0000_i1045" type="#_x0000_t75" style="width:235pt;height:36.5pt" o:ole="">
            <v:imagedata r:id="rId48" o:title=""/>
          </v:shape>
          <o:OLEObject Type="Embed" ProgID="Equation.3" ShapeID="_x0000_i1045" DrawAspect="Content" ObjectID="_1624196173" r:id="rId49"/>
        </w:object>
      </w:r>
      <w:r w:rsidRPr="000A1823">
        <w:rPr>
          <w:rFonts w:ascii="Times New Roman" w:hAnsi="Times New Roman" w:cs="Times New Roman"/>
          <w:sz w:val="24"/>
          <w:szCs w:val="24"/>
          <w:lang w:val="en-GB"/>
        </w:rPr>
        <w:t xml:space="preserve"> </w:t>
      </w:r>
    </w:p>
    <w:p w14:paraId="1A60E9F4" w14:textId="77777777" w:rsidR="0055485F" w:rsidRPr="000A1823" w:rsidRDefault="00473D86"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 xml:space="preserve">where </w:t>
      </w:r>
      <w:r w:rsidRPr="000A1823">
        <w:rPr>
          <w:rFonts w:ascii="Times New Roman" w:hAnsi="Times New Roman" w:cs="Times New Roman"/>
          <w:position w:val="-10"/>
          <w:sz w:val="24"/>
          <w:szCs w:val="24"/>
          <w:lang w:val="en-GB"/>
        </w:rPr>
        <w:object w:dxaOrig="2780" w:dyaOrig="360" w14:anchorId="2DD1BDB8">
          <v:shape id="_x0000_i1046" type="#_x0000_t75" style="width:140pt;height:19.5pt" o:ole="">
            <v:imagedata r:id="rId50" o:title=""/>
          </v:shape>
          <o:OLEObject Type="Embed" ProgID="Equation.3" ShapeID="_x0000_i1046" DrawAspect="Content" ObjectID="_1624196174" r:id="rId51"/>
        </w:object>
      </w:r>
      <w:r w:rsidRPr="000A1823">
        <w:rPr>
          <w:rFonts w:ascii="Times New Roman" w:hAnsi="Times New Roman" w:cs="Times New Roman"/>
          <w:sz w:val="24"/>
          <w:szCs w:val="24"/>
          <w:lang w:val="en-GB"/>
        </w:rPr>
        <w:t>.</w:t>
      </w:r>
    </w:p>
    <w:p w14:paraId="66924567" w14:textId="27C538F3" w:rsidR="00473D86" w:rsidRPr="000A1823" w:rsidRDefault="00AA685E"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A</w:t>
      </w:r>
      <w:r w:rsidR="00473D86" w:rsidRPr="000A1823">
        <w:rPr>
          <w:rFonts w:ascii="Times New Roman" w:hAnsi="Times New Roman" w:cs="Times New Roman"/>
          <w:sz w:val="24"/>
          <w:szCs w:val="24"/>
          <w:lang w:val="en-GB"/>
        </w:rPr>
        <w:t xml:space="preserve"> liquidity restriction is </w:t>
      </w:r>
      <w:r w:rsidRPr="000A1823">
        <w:rPr>
          <w:rFonts w:ascii="Times New Roman" w:hAnsi="Times New Roman" w:cs="Times New Roman"/>
          <w:sz w:val="24"/>
          <w:szCs w:val="24"/>
          <w:lang w:val="en-GB"/>
        </w:rPr>
        <w:t xml:space="preserve">also </w:t>
      </w:r>
      <w:r w:rsidR="00473D86" w:rsidRPr="000A1823">
        <w:rPr>
          <w:rFonts w:ascii="Times New Roman" w:hAnsi="Times New Roman" w:cs="Times New Roman"/>
          <w:sz w:val="24"/>
          <w:szCs w:val="24"/>
          <w:lang w:val="en-GB"/>
        </w:rPr>
        <w:t xml:space="preserve">set as </w:t>
      </w:r>
      <w:r w:rsidR="00473D86" w:rsidRPr="000A1823">
        <w:rPr>
          <w:rFonts w:ascii="Times New Roman" w:hAnsi="Times New Roman" w:cs="Times New Roman"/>
          <w:position w:val="-12"/>
          <w:sz w:val="24"/>
          <w:szCs w:val="24"/>
          <w:lang w:val="en-GB"/>
        </w:rPr>
        <w:object w:dxaOrig="720" w:dyaOrig="360" w14:anchorId="6267F6BC">
          <v:shape id="_x0000_i1047" type="#_x0000_t75" style="width:36.5pt;height:19.5pt" o:ole="">
            <v:imagedata r:id="rId52" o:title=""/>
          </v:shape>
          <o:OLEObject Type="Embed" ProgID="Equation.3" ShapeID="_x0000_i1047" DrawAspect="Content" ObjectID="_1624196175" r:id="rId53"/>
        </w:object>
      </w:r>
      <w:r w:rsidR="00473D86" w:rsidRPr="000A1823">
        <w:rPr>
          <w:rFonts w:ascii="Times New Roman" w:hAnsi="Times New Roman" w:cs="Times New Roman"/>
          <w:sz w:val="24"/>
          <w:szCs w:val="24"/>
          <w:lang w:val="en-GB"/>
        </w:rPr>
        <w:t xml:space="preserve"> for all </w:t>
      </w:r>
      <w:r w:rsidR="00473D86" w:rsidRPr="000A1823">
        <w:rPr>
          <w:rFonts w:ascii="Times New Roman" w:hAnsi="Times New Roman" w:cs="Times New Roman"/>
          <w:position w:val="-6"/>
          <w:sz w:val="24"/>
          <w:szCs w:val="24"/>
          <w:lang w:val="en-GB"/>
        </w:rPr>
        <w:object w:dxaOrig="200" w:dyaOrig="220" w14:anchorId="497181A8">
          <v:shape id="_x0000_i1048" type="#_x0000_t75" style="width:11.5pt;height:11.5pt" o:ole="">
            <v:imagedata r:id="rId54" o:title=""/>
          </v:shape>
          <o:OLEObject Type="Embed" ProgID="Equation.3" ShapeID="_x0000_i1048" DrawAspect="Content" ObjectID="_1624196176" r:id="rId55"/>
        </w:object>
      </w:r>
      <w:r w:rsidR="00473D86" w:rsidRPr="000A1823">
        <w:rPr>
          <w:rFonts w:ascii="Times New Roman" w:hAnsi="Times New Roman" w:cs="Times New Roman"/>
          <w:sz w:val="24"/>
          <w:szCs w:val="24"/>
          <w:lang w:val="en-GB"/>
        </w:rPr>
        <w:t xml:space="preserve">, to ensure liquidity in the system. The liquidity indicator that takes into account the accumulated value of the buffer fund </w:t>
      </w:r>
      <w:r w:rsidR="0055485F" w:rsidRPr="000A1823">
        <w:rPr>
          <w:rFonts w:ascii="Times New Roman" w:hAnsi="Times New Roman" w:cs="Times New Roman"/>
          <w:sz w:val="24"/>
          <w:szCs w:val="24"/>
          <w:lang w:val="en-GB"/>
        </w:rPr>
        <w:t>can be defined a</w:t>
      </w:r>
      <w:r w:rsidR="00473D86" w:rsidRPr="000A1823">
        <w:rPr>
          <w:rFonts w:ascii="Times New Roman" w:hAnsi="Times New Roman" w:cs="Times New Roman"/>
          <w:sz w:val="24"/>
          <w:szCs w:val="24"/>
          <w:lang w:val="en-GB"/>
        </w:rPr>
        <w:t>s follows:</w:t>
      </w:r>
    </w:p>
    <w:p w14:paraId="2E238FF7" w14:textId="2556C0E9" w:rsidR="00856858" w:rsidRPr="000A1823" w:rsidRDefault="00473D86" w:rsidP="00C825A0">
      <w:pPr>
        <w:pStyle w:val="Default"/>
        <w:spacing w:before="120" w:after="120"/>
        <w:ind w:left="709"/>
        <w:rPr>
          <w:color w:val="auto"/>
        </w:rPr>
      </w:pPr>
      <w:r w:rsidRPr="000A1823">
        <w:rPr>
          <w:color w:val="auto"/>
        </w:rPr>
        <w:tab/>
      </w:r>
      <m:oMath>
        <m:r>
          <m:rPr>
            <m:sty m:val="p"/>
          </m:rPr>
          <w:rPr>
            <w:rFonts w:ascii="Cambria Math" w:hAnsi="Cambria Math"/>
            <w:color w:val="auto"/>
          </w:rPr>
          <w:br/>
        </m:r>
      </m:oMath>
      <m:oMathPara>
        <m:oMath>
          <m:r>
            <w:rPr>
              <w:rFonts w:ascii="Cambria Math" w:hAnsi="Cambria Math"/>
              <w:color w:val="auto"/>
            </w:rPr>
            <m:t>L</m:t>
          </m:r>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n</m:t>
              </m:r>
            </m:sub>
          </m:sSub>
          <m:r>
            <w:rPr>
              <w:rFonts w:ascii="Cambria Math" w:hAnsi="Cambria Math"/>
              <w:color w:val="auto"/>
            </w:rPr>
            <m:t>=</m:t>
          </m:r>
          <m:f>
            <m:fPr>
              <m:ctrlPr>
                <w:rPr>
                  <w:rFonts w:ascii="Cambria Math" w:hAnsi="Cambria Math"/>
                  <w:i/>
                  <w:color w:val="auto"/>
                </w:rPr>
              </m:ctrlPr>
            </m:fPr>
            <m:num>
              <m:d>
                <m:dPr>
                  <m:ctrlPr>
                    <w:rPr>
                      <w:rFonts w:ascii="Cambria Math" w:hAnsi="Cambria Math"/>
                      <w:i/>
                      <w:color w:val="auto"/>
                    </w:rPr>
                  </m:ctrlPr>
                </m:dPr>
                <m:e>
                  <m:r>
                    <w:rPr>
                      <w:rFonts w:ascii="Cambria Math" w:hAnsi="Cambria Math"/>
                      <w:color w:val="auto"/>
                    </w:rPr>
                    <m:t>1+</m:t>
                  </m:r>
                  <m:sSub>
                    <m:sSubPr>
                      <m:ctrlPr>
                        <w:rPr>
                          <w:rFonts w:ascii="Cambria Math" w:hAnsi="Cambria Math"/>
                          <w:i/>
                          <w:color w:val="auto"/>
                        </w:rPr>
                      </m:ctrlPr>
                    </m:sSubPr>
                    <m:e>
                      <m:r>
                        <w:rPr>
                          <w:rFonts w:ascii="Cambria Math" w:hAnsi="Cambria Math"/>
                          <w:color w:val="auto"/>
                        </w:rPr>
                        <m:t>J</m:t>
                      </m:r>
                    </m:e>
                    <m:sub>
                      <m:r>
                        <w:rPr>
                          <w:rFonts w:ascii="Cambria Math" w:hAnsi="Cambria Math"/>
                          <w:color w:val="auto"/>
                        </w:rPr>
                        <m:t>n</m:t>
                      </m:r>
                    </m:sub>
                  </m:sSub>
                </m:e>
              </m:d>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n-1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n</m:t>
                  </m:r>
                </m:sub>
              </m:sSub>
              <m:sSub>
                <m:sSubPr>
                  <m:ctrlPr>
                    <w:rPr>
                      <w:rFonts w:ascii="Cambria Math" w:hAnsi="Cambria Math"/>
                      <w:i/>
                      <w:color w:val="auto"/>
                    </w:rPr>
                  </m:ctrlPr>
                </m:sSubPr>
                <m:e>
                  <m:r>
                    <w:rPr>
                      <w:rFonts w:ascii="Cambria Math" w:hAnsi="Cambria Math"/>
                      <w:color w:val="auto"/>
                    </w:rPr>
                    <m:t>W</m:t>
                  </m:r>
                </m:e>
                <m:sub>
                  <m:r>
                    <w:rPr>
                      <w:rFonts w:ascii="Cambria Math" w:hAnsi="Cambria Math"/>
                      <w:color w:val="auto"/>
                    </w:rPr>
                    <m:t>n</m:t>
                  </m:r>
                </m:sub>
              </m:sSub>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n</m:t>
                      </m:r>
                    </m:sub>
                  </m:sSub>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x</m:t>
                      </m:r>
                    </m:e>
                    <m:sub>
                      <m:r>
                        <w:rPr>
                          <w:rFonts w:ascii="Cambria Math" w:hAnsi="Cambria Math"/>
                          <w:color w:val="auto"/>
                        </w:rPr>
                        <m:t>n</m:t>
                      </m:r>
                    </m:sub>
                    <m:sup>
                      <m:r>
                        <w:rPr>
                          <w:rFonts w:ascii="Cambria Math" w:hAnsi="Cambria Math"/>
                          <w:color w:val="auto"/>
                        </w:rPr>
                        <m:t>(r)</m:t>
                      </m:r>
                    </m:sup>
                  </m:sSubSup>
                </m:e>
              </m:d>
              <m:r>
                <w:rPr>
                  <w:rFonts w:ascii="Cambria Math" w:hAnsi="Cambria Math"/>
                  <w:color w:val="auto"/>
                </w:rPr>
                <m:t>-</m:t>
              </m:r>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n</m:t>
                  </m:r>
                </m:sub>
              </m:sSub>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n</m:t>
                      </m:r>
                    </m:sub>
                  </m:sSub>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x</m:t>
                      </m:r>
                    </m:e>
                    <m:sub>
                      <m:r>
                        <w:rPr>
                          <w:rFonts w:ascii="Cambria Math" w:hAnsi="Cambria Math"/>
                          <w:color w:val="auto"/>
                        </w:rPr>
                        <m:t>n</m:t>
                      </m:r>
                    </m:sub>
                    <m:sup>
                      <m:r>
                        <w:rPr>
                          <w:rFonts w:ascii="Cambria Math" w:hAnsi="Cambria Math"/>
                          <w:color w:val="auto"/>
                        </w:rPr>
                        <m:t>(r)</m:t>
                      </m:r>
                    </m:sup>
                  </m:sSub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n</m:t>
                      </m:r>
                    </m:sub>
                  </m:sSub>
                </m:e>
              </m:d>
            </m:num>
            <m:den>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n</m:t>
                  </m:r>
                </m:sub>
              </m:sSub>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n</m:t>
                      </m:r>
                    </m:sub>
                  </m:sSub>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x</m:t>
                      </m:r>
                    </m:e>
                    <m:sub>
                      <m:r>
                        <w:rPr>
                          <w:rFonts w:ascii="Cambria Math" w:hAnsi="Cambria Math"/>
                          <w:color w:val="auto"/>
                        </w:rPr>
                        <m:t>n</m:t>
                      </m:r>
                    </m:sub>
                    <m:sup>
                      <m:r>
                        <w:rPr>
                          <w:rFonts w:ascii="Cambria Math" w:hAnsi="Cambria Math"/>
                          <w:color w:val="auto"/>
                        </w:rPr>
                        <m:t>(r)</m:t>
                      </m:r>
                    </m:sup>
                  </m:sSub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n</m:t>
                      </m:r>
                    </m:sub>
                  </m:sSub>
                </m:e>
              </m:d>
            </m:den>
          </m:f>
        </m:oMath>
      </m:oMathPara>
    </w:p>
    <w:p w14:paraId="147D6FC4" w14:textId="15B3CF47" w:rsidR="00473D86" w:rsidRPr="000A1823" w:rsidRDefault="007E6AA9" w:rsidP="00C825A0">
      <w:pPr>
        <w:tabs>
          <w:tab w:val="center" w:pos="4800"/>
          <w:tab w:val="right" w:pos="9500"/>
        </w:tabs>
        <w:spacing w:before="120" w:after="120" w:line="240" w:lineRule="auto"/>
        <w:ind w:firstLine="720"/>
        <w:jc w:val="right"/>
        <w:rPr>
          <w:rFonts w:ascii="Times New Roman" w:hAnsi="Times New Roman" w:cs="Times New Roman"/>
          <w:sz w:val="24"/>
          <w:szCs w:val="24"/>
          <w:lang w:val="en-GB"/>
        </w:rPr>
      </w:pPr>
      <w:r w:rsidRPr="000A1823">
        <w:rPr>
          <w:rFonts w:ascii="Times New Roman" w:hAnsi="Times New Roman" w:cs="Times New Roman"/>
          <w:sz w:val="24"/>
          <w:szCs w:val="24"/>
          <w:lang w:val="en-GB"/>
        </w:rPr>
        <w:t xml:space="preserve">                                           (2)</w:t>
      </w:r>
    </w:p>
    <w:p w14:paraId="2B356289" w14:textId="4D932B4D" w:rsidR="00AA685E" w:rsidRPr="000A1823" w:rsidRDefault="00AA685E"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 xml:space="preserve">Under a </w:t>
      </w:r>
      <w:r w:rsidR="001C3AE9" w:rsidRPr="000A1823">
        <w:rPr>
          <w:rFonts w:ascii="Times New Roman" w:hAnsi="Times New Roman" w:cs="Times New Roman"/>
          <w:sz w:val="24"/>
          <w:szCs w:val="24"/>
          <w:lang w:val="en-GB"/>
        </w:rPr>
        <w:t>DB</w:t>
      </w:r>
      <w:r w:rsidR="00DB1F6A" w:rsidRPr="000A1823">
        <w:rPr>
          <w:rFonts w:ascii="Times New Roman" w:hAnsi="Times New Roman" w:cs="Times New Roman"/>
          <w:sz w:val="24"/>
          <w:szCs w:val="24"/>
          <w:lang w:val="en-GB"/>
        </w:rPr>
        <w:t xml:space="preserve"> pension</w:t>
      </w:r>
      <w:r w:rsidRPr="000A1823">
        <w:rPr>
          <w:rFonts w:ascii="Times New Roman" w:hAnsi="Times New Roman" w:cs="Times New Roman"/>
          <w:sz w:val="24"/>
          <w:szCs w:val="24"/>
          <w:lang w:val="en-GB"/>
        </w:rPr>
        <w:t xml:space="preserve"> scheme</w:t>
      </w:r>
      <w:r w:rsidR="00473D86" w:rsidRPr="000A1823">
        <w:rPr>
          <w:rFonts w:ascii="Times New Roman" w:hAnsi="Times New Roman" w:cs="Times New Roman"/>
          <w:sz w:val="24"/>
          <w:szCs w:val="24"/>
          <w:lang w:val="en-GB"/>
        </w:rPr>
        <w:t xml:space="preserve">, the initial pension is set as a percentage of a </w:t>
      </w:r>
      <w:r w:rsidRPr="000A1823">
        <w:rPr>
          <w:rFonts w:ascii="Times New Roman" w:hAnsi="Times New Roman" w:cs="Times New Roman"/>
          <w:sz w:val="24"/>
          <w:szCs w:val="24"/>
          <w:lang w:val="en-GB"/>
        </w:rPr>
        <w:t xml:space="preserve">worker’s pre-retirement income. </w:t>
      </w:r>
    </w:p>
    <w:p w14:paraId="3A11DB51" w14:textId="77777777" w:rsidR="0035503F" w:rsidRPr="000A1823" w:rsidRDefault="0055485F"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 xml:space="preserve">As in </w:t>
      </w:r>
      <w:r w:rsidR="00352037" w:rsidRPr="000A1823">
        <w:rPr>
          <w:rFonts w:ascii="Times New Roman" w:hAnsi="Times New Roman" w:cs="Times New Roman"/>
          <w:sz w:val="24"/>
          <w:szCs w:val="24"/>
          <w:lang w:val="en-GB"/>
        </w:rPr>
        <w:t xml:space="preserve">Godínez-Olivares, Boado-Penas, and Haberman (2016), </w:t>
      </w:r>
      <w:r w:rsidRPr="000A1823">
        <w:rPr>
          <w:rFonts w:ascii="Times New Roman" w:hAnsi="Times New Roman" w:cs="Times New Roman"/>
          <w:sz w:val="24"/>
          <w:szCs w:val="24"/>
          <w:lang w:val="en-GB"/>
        </w:rPr>
        <w:t xml:space="preserve">the generalised reduced gradient algorithm is used to solve this non-linear discrete optimisation problem and find </w:t>
      </w:r>
      <w:r w:rsidRPr="000A1823">
        <w:rPr>
          <w:rFonts w:ascii="Times New Roman" w:hAnsi="Times New Roman" w:cs="Times New Roman"/>
          <w:sz w:val="24"/>
          <w:szCs w:val="24"/>
          <w:lang w:val="en-GB"/>
        </w:rPr>
        <w:lastRenderedPageBreak/>
        <w:t>the decision variables – contribution rate, retirement age and indexation of pensions – over time.</w:t>
      </w:r>
    </w:p>
    <w:p w14:paraId="5A177915" w14:textId="77777777" w:rsidR="00DB644D" w:rsidRPr="000A1823" w:rsidRDefault="0035503F" w:rsidP="00C825A0">
      <w:pPr>
        <w:tabs>
          <w:tab w:val="center" w:pos="4800"/>
          <w:tab w:val="right" w:pos="9500"/>
        </w:tabs>
        <w:spacing w:before="120" w:after="120" w:line="240" w:lineRule="auto"/>
        <w:jc w:val="both"/>
        <w:rPr>
          <w:rFonts w:ascii="Times New Roman" w:hAnsi="Times New Roman" w:cs="Times New Roman"/>
          <w:b/>
          <w:i/>
          <w:sz w:val="24"/>
          <w:szCs w:val="24"/>
          <w:lang w:val="en-GB"/>
        </w:rPr>
      </w:pPr>
      <w:r w:rsidRPr="000A1823">
        <w:rPr>
          <w:rFonts w:ascii="Times New Roman" w:hAnsi="Times New Roman" w:cs="Times New Roman"/>
          <w:b/>
          <w:i/>
          <w:sz w:val="24"/>
          <w:szCs w:val="24"/>
          <w:lang w:val="en-GB"/>
        </w:rPr>
        <w:t>Simulation of future returns</w:t>
      </w:r>
      <w:r w:rsidR="00A47702" w:rsidRPr="000A1823">
        <w:rPr>
          <w:rStyle w:val="FootnoteReference"/>
          <w:rFonts w:ascii="Times New Roman" w:eastAsia="Times New Roman" w:hAnsi="Times New Roman" w:cs="Times New Roman"/>
          <w:sz w:val="24"/>
          <w:szCs w:val="24"/>
          <w:lang w:val="en-GB" w:eastAsia="es-ES"/>
        </w:rPr>
        <w:footnoteReference w:id="11"/>
      </w:r>
    </w:p>
    <w:p w14:paraId="518CFF7B" w14:textId="77777777" w:rsidR="00DB644D" w:rsidRPr="000A1823" w:rsidRDefault="00DB644D"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0A1823">
        <w:rPr>
          <w:rFonts w:ascii="Times New Roman" w:hAnsi="Times New Roman" w:cs="Times New Roman"/>
          <w:sz w:val="24"/>
          <w:szCs w:val="24"/>
          <w:lang w:val="en-GB"/>
        </w:rPr>
        <w:t xml:space="preserve">Simulation of </w:t>
      </w:r>
      <w:r w:rsidR="00DB1F6A" w:rsidRPr="000A1823">
        <w:rPr>
          <w:rFonts w:ascii="Times New Roman" w:hAnsi="Times New Roman" w:cs="Times New Roman"/>
          <w:sz w:val="24"/>
          <w:szCs w:val="24"/>
          <w:lang w:val="en-GB"/>
        </w:rPr>
        <w:t xml:space="preserve">the </w:t>
      </w:r>
      <w:r w:rsidRPr="000A1823">
        <w:rPr>
          <w:rFonts w:ascii="Times New Roman" w:hAnsi="Times New Roman" w:cs="Times New Roman"/>
          <w:sz w:val="24"/>
          <w:szCs w:val="24"/>
          <w:lang w:val="en-GB"/>
        </w:rPr>
        <w:t xml:space="preserve">returns </w:t>
      </w:r>
      <w:r w:rsidR="00DB1F6A" w:rsidRPr="000A1823">
        <w:rPr>
          <w:rFonts w:ascii="Times New Roman" w:hAnsi="Times New Roman" w:cs="Times New Roman"/>
          <w:sz w:val="24"/>
          <w:szCs w:val="24"/>
          <w:lang w:val="en-GB"/>
        </w:rPr>
        <w:t>is</w:t>
      </w:r>
      <w:r w:rsidRPr="000A1823">
        <w:rPr>
          <w:rFonts w:ascii="Times New Roman" w:hAnsi="Times New Roman" w:cs="Times New Roman"/>
          <w:sz w:val="24"/>
          <w:szCs w:val="24"/>
          <w:lang w:val="en-GB"/>
        </w:rPr>
        <w:t xml:space="preserve"> used for both </w:t>
      </w:r>
      <w:r w:rsidR="008518F7" w:rsidRPr="000A1823">
        <w:rPr>
          <w:rFonts w:ascii="Times New Roman" w:hAnsi="Times New Roman" w:cs="Times New Roman"/>
          <w:sz w:val="24"/>
          <w:szCs w:val="24"/>
          <w:lang w:val="en-GB"/>
        </w:rPr>
        <w:t xml:space="preserve">the </w:t>
      </w:r>
      <w:r w:rsidRPr="000A1823">
        <w:rPr>
          <w:rFonts w:ascii="Times New Roman" w:hAnsi="Times New Roman" w:cs="Times New Roman"/>
          <w:sz w:val="24"/>
          <w:szCs w:val="24"/>
          <w:lang w:val="en-GB"/>
        </w:rPr>
        <w:t xml:space="preserve">evolution of the buffer fund corresponding to the PAYG and </w:t>
      </w:r>
      <w:r w:rsidR="008518F7" w:rsidRPr="000A1823">
        <w:rPr>
          <w:rFonts w:ascii="Times New Roman" w:hAnsi="Times New Roman" w:cs="Times New Roman"/>
          <w:sz w:val="24"/>
          <w:szCs w:val="24"/>
          <w:lang w:val="en-GB"/>
        </w:rPr>
        <w:t xml:space="preserve">the </w:t>
      </w:r>
      <w:r w:rsidRPr="000A1823">
        <w:rPr>
          <w:rFonts w:ascii="Times New Roman" w:hAnsi="Times New Roman" w:cs="Times New Roman"/>
          <w:sz w:val="24"/>
          <w:szCs w:val="24"/>
          <w:lang w:val="en-GB"/>
        </w:rPr>
        <w:t>accumulated capital under the funding part of the mixed pension system.</w:t>
      </w:r>
    </w:p>
    <w:p w14:paraId="2931FE42" w14:textId="77777777" w:rsidR="00292557" w:rsidRPr="000A1823" w:rsidRDefault="00432AC9" w:rsidP="00C825A0">
      <w:pPr>
        <w:spacing w:before="120" w:after="120" w:line="240" w:lineRule="auto"/>
        <w:jc w:val="both"/>
        <w:rPr>
          <w:rFonts w:ascii="Times New Roman" w:eastAsia="Times New Roman" w:hAnsi="Times New Roman" w:cs="Times New Roman"/>
          <w:sz w:val="24"/>
          <w:szCs w:val="24"/>
          <w:lang w:val="en-GB" w:eastAsia="es-ES"/>
        </w:rPr>
      </w:pPr>
      <w:r w:rsidRPr="000A1823">
        <w:rPr>
          <w:rFonts w:ascii="Times New Roman" w:hAnsi="Times New Roman" w:cs="Times New Roman"/>
          <w:sz w:val="24"/>
          <w:szCs w:val="24"/>
          <w:lang w:val="en-GB"/>
        </w:rPr>
        <w:t xml:space="preserve">We consider a general setup </w:t>
      </w:r>
      <w:r w:rsidR="00993A46" w:rsidRPr="000A1823">
        <w:rPr>
          <w:rFonts w:ascii="Times New Roman" w:hAnsi="Times New Roman" w:cs="Times New Roman"/>
          <w:sz w:val="24"/>
          <w:szCs w:val="24"/>
          <w:lang w:val="en-GB"/>
        </w:rPr>
        <w:t xml:space="preserve">where the </w:t>
      </w:r>
      <w:r w:rsidR="00C832F4" w:rsidRPr="000A1823">
        <w:rPr>
          <w:rFonts w:ascii="Times New Roman" w:hAnsi="Times New Roman" w:cs="Times New Roman"/>
          <w:sz w:val="24"/>
          <w:szCs w:val="24"/>
          <w:lang w:val="en-GB"/>
        </w:rPr>
        <w:t>investment strategy</w:t>
      </w:r>
      <w:r w:rsidR="00993A46" w:rsidRPr="000A1823">
        <w:rPr>
          <w:rFonts w:ascii="Times New Roman" w:hAnsi="Times New Roman" w:cs="Times New Roman"/>
          <w:sz w:val="24"/>
          <w:szCs w:val="24"/>
          <w:lang w:val="en-GB"/>
        </w:rPr>
        <w:t xml:space="preserve"> combines both a risk-free asset and a diversified risky portfol</w:t>
      </w:r>
      <w:r w:rsidR="00C832F4" w:rsidRPr="000A1823">
        <w:rPr>
          <w:rFonts w:ascii="Times New Roman" w:hAnsi="Times New Roman" w:cs="Times New Roman"/>
          <w:sz w:val="24"/>
          <w:szCs w:val="24"/>
          <w:lang w:val="en-GB"/>
        </w:rPr>
        <w:t>io.</w:t>
      </w:r>
      <w:r w:rsidR="00292557" w:rsidRPr="000A1823">
        <w:rPr>
          <w:rFonts w:ascii="Times New Roman" w:hAnsi="Times New Roman" w:cs="Times New Roman"/>
          <w:sz w:val="24"/>
          <w:szCs w:val="24"/>
          <w:lang w:val="en-GB"/>
        </w:rPr>
        <w:t xml:space="preserve"> </w:t>
      </w:r>
      <w:r w:rsidR="00292557" w:rsidRPr="000A1823">
        <w:rPr>
          <w:rFonts w:ascii="Times New Roman" w:eastAsia="Times New Roman" w:hAnsi="Times New Roman" w:cs="Times New Roman"/>
          <w:sz w:val="24"/>
          <w:szCs w:val="24"/>
          <w:lang w:val="en-GB" w:eastAsia="es-ES"/>
        </w:rPr>
        <w:t>This</w:t>
      </w:r>
      <w:r w:rsidR="009E2AD4" w:rsidRPr="000A1823">
        <w:rPr>
          <w:rFonts w:ascii="Times New Roman" w:eastAsia="Times New Roman" w:hAnsi="Times New Roman" w:cs="Times New Roman"/>
          <w:sz w:val="24"/>
          <w:szCs w:val="24"/>
          <w:lang w:val="en-GB" w:eastAsia="es-ES"/>
        </w:rPr>
        <w:t xml:space="preserve"> </w:t>
      </w:r>
      <w:r w:rsidR="00F402EF" w:rsidRPr="000A1823">
        <w:rPr>
          <w:rFonts w:ascii="Times New Roman" w:eastAsia="Times New Roman" w:hAnsi="Times New Roman" w:cs="Times New Roman"/>
          <w:sz w:val="24"/>
          <w:szCs w:val="24"/>
          <w:lang w:val="en-GB" w:eastAsia="es-ES"/>
        </w:rPr>
        <w:t xml:space="preserve">framework </w:t>
      </w:r>
      <w:r w:rsidR="00292557" w:rsidRPr="000A1823">
        <w:rPr>
          <w:rFonts w:ascii="Times New Roman" w:eastAsia="Times New Roman" w:hAnsi="Times New Roman" w:cs="Times New Roman"/>
          <w:sz w:val="24"/>
          <w:szCs w:val="24"/>
          <w:lang w:val="en-GB" w:eastAsia="es-ES"/>
        </w:rPr>
        <w:t xml:space="preserve">is consistent with the financial theory of Markowitz (1952), where the efficient allocation of a representative investor combines a given weight of risk-free asset plus the efficient risky portfolio, usually a stock index; see, among many others, Sharpe (1964) and Athanasoulis and Shiller (2000). </w:t>
      </w:r>
    </w:p>
    <w:p w14:paraId="7DF3E504" w14:textId="77777777" w:rsidR="00CA5D7D" w:rsidRPr="000A1823" w:rsidRDefault="009E6B80" w:rsidP="00C825A0">
      <w:pPr>
        <w:spacing w:before="120" w:after="120" w:line="240" w:lineRule="auto"/>
        <w:jc w:val="both"/>
        <w:rPr>
          <w:rFonts w:ascii="Times New Roman" w:eastAsia="Times New Roman" w:hAnsi="Times New Roman" w:cs="Times New Roman"/>
          <w:sz w:val="24"/>
          <w:szCs w:val="24"/>
          <w:lang w:val="en-GB" w:eastAsia="es-ES"/>
        </w:rPr>
      </w:pPr>
      <w:r w:rsidRPr="000A1823">
        <w:rPr>
          <w:rFonts w:ascii="Times New Roman" w:eastAsia="Times New Roman" w:hAnsi="Times New Roman" w:cs="Times New Roman"/>
          <w:sz w:val="24"/>
          <w:szCs w:val="24"/>
          <w:lang w:val="en-GB" w:eastAsia="es-ES"/>
        </w:rPr>
        <w:t>The simulation exercise is performed through the non-overla</w:t>
      </w:r>
      <w:r w:rsidR="00F402EF" w:rsidRPr="000A1823">
        <w:rPr>
          <w:rFonts w:ascii="Times New Roman" w:eastAsia="Times New Roman" w:hAnsi="Times New Roman" w:cs="Times New Roman"/>
          <w:sz w:val="24"/>
          <w:szCs w:val="24"/>
          <w:lang w:val="en-GB" w:eastAsia="es-ES"/>
        </w:rPr>
        <w:t xml:space="preserve">pping block bootstrap technique, </w:t>
      </w:r>
      <w:r w:rsidRPr="000A1823">
        <w:rPr>
          <w:rFonts w:ascii="Times New Roman" w:eastAsia="Times New Roman" w:hAnsi="Times New Roman" w:cs="Times New Roman"/>
          <w:sz w:val="24"/>
          <w:szCs w:val="24"/>
          <w:lang w:val="en-GB" w:eastAsia="es-ES"/>
        </w:rPr>
        <w:t>one of the most widely used method</w:t>
      </w:r>
      <w:r w:rsidR="00F402EF" w:rsidRPr="000A1823">
        <w:rPr>
          <w:rFonts w:ascii="Times New Roman" w:eastAsia="Times New Roman" w:hAnsi="Times New Roman" w:cs="Times New Roman"/>
          <w:sz w:val="24"/>
          <w:szCs w:val="24"/>
          <w:lang w:val="en-GB" w:eastAsia="es-ES"/>
        </w:rPr>
        <w:t>ologies</w:t>
      </w:r>
      <w:r w:rsidRPr="000A1823">
        <w:rPr>
          <w:rFonts w:ascii="Times New Roman" w:eastAsia="Times New Roman" w:hAnsi="Times New Roman" w:cs="Times New Roman"/>
          <w:sz w:val="24"/>
          <w:szCs w:val="24"/>
          <w:lang w:val="en-GB" w:eastAsia="es-ES"/>
        </w:rPr>
        <w:t xml:space="preserve"> </w:t>
      </w:r>
      <w:r w:rsidR="00F402EF" w:rsidRPr="000A1823">
        <w:rPr>
          <w:rFonts w:ascii="Times New Roman" w:eastAsia="Times New Roman" w:hAnsi="Times New Roman" w:cs="Times New Roman"/>
          <w:sz w:val="24"/>
          <w:szCs w:val="24"/>
          <w:lang w:val="en-GB" w:eastAsia="es-ES"/>
        </w:rPr>
        <w:t>for</w:t>
      </w:r>
      <w:r w:rsidRPr="000A1823">
        <w:rPr>
          <w:rFonts w:ascii="Times New Roman" w:eastAsia="Times New Roman" w:hAnsi="Times New Roman" w:cs="Times New Roman"/>
          <w:sz w:val="24"/>
          <w:szCs w:val="24"/>
          <w:lang w:val="en-GB" w:eastAsia="es-ES"/>
        </w:rPr>
        <w:t xml:space="preserve"> time series</w:t>
      </w:r>
      <w:r w:rsidR="00F402EF" w:rsidRPr="000A1823">
        <w:rPr>
          <w:rFonts w:ascii="Times New Roman" w:eastAsia="Times New Roman" w:hAnsi="Times New Roman" w:cs="Times New Roman"/>
          <w:sz w:val="24"/>
          <w:szCs w:val="24"/>
          <w:lang w:val="en-GB" w:eastAsia="es-ES"/>
        </w:rPr>
        <w:t xml:space="preserve"> simulation</w:t>
      </w:r>
      <w:r w:rsidRPr="000A1823">
        <w:rPr>
          <w:rStyle w:val="FootnoteReference"/>
          <w:rFonts w:ascii="Times New Roman" w:eastAsia="Times New Roman" w:hAnsi="Times New Roman" w:cs="Times New Roman"/>
          <w:sz w:val="24"/>
          <w:szCs w:val="24"/>
          <w:lang w:val="en-GB" w:eastAsia="es-ES"/>
        </w:rPr>
        <w:footnoteReference w:id="12"/>
      </w:r>
      <w:r w:rsidRPr="000A1823">
        <w:rPr>
          <w:rFonts w:ascii="Times New Roman" w:eastAsia="Times New Roman" w:hAnsi="Times New Roman" w:cs="Times New Roman"/>
          <w:sz w:val="24"/>
          <w:szCs w:val="24"/>
          <w:lang w:val="en-GB" w:eastAsia="es-ES"/>
        </w:rPr>
        <w:t>; see, for instance, Künsch (1989) and Kreiss and Lahiri (2012).</w:t>
      </w:r>
      <w:r w:rsidR="001C5AB3" w:rsidRPr="000A1823">
        <w:rPr>
          <w:rFonts w:ascii="Times New Roman" w:eastAsia="Times New Roman" w:hAnsi="Times New Roman" w:cs="Times New Roman"/>
          <w:sz w:val="24"/>
          <w:szCs w:val="24"/>
          <w:lang w:val="en-GB" w:eastAsia="es-ES"/>
        </w:rPr>
        <w:t xml:space="preserve"> </w:t>
      </w:r>
    </w:p>
    <w:p w14:paraId="10A5CFC1" w14:textId="77777777" w:rsidR="009E6B80" w:rsidRPr="000A1823" w:rsidRDefault="001C5AB3" w:rsidP="00C825A0">
      <w:pPr>
        <w:spacing w:before="120" w:after="120" w:line="240" w:lineRule="auto"/>
        <w:jc w:val="both"/>
        <w:rPr>
          <w:rFonts w:ascii="Times New Roman" w:eastAsia="Times New Roman" w:hAnsi="Times New Roman" w:cs="Times New Roman"/>
          <w:strike/>
          <w:sz w:val="24"/>
          <w:szCs w:val="24"/>
          <w:lang w:val="en-GB" w:eastAsia="es-ES"/>
        </w:rPr>
      </w:pPr>
      <w:r w:rsidRPr="000A1823">
        <w:rPr>
          <w:rFonts w:ascii="Times New Roman" w:eastAsia="Times New Roman" w:hAnsi="Times New Roman" w:cs="Times New Roman"/>
          <w:sz w:val="24"/>
          <w:szCs w:val="24"/>
          <w:lang w:val="en-GB" w:eastAsia="es-ES"/>
        </w:rPr>
        <w:t>T</w:t>
      </w:r>
      <w:r w:rsidR="009E6B80" w:rsidRPr="000A1823">
        <w:rPr>
          <w:rFonts w:ascii="Times New Roman" w:eastAsia="Times New Roman" w:hAnsi="Times New Roman" w:cs="Times New Roman"/>
          <w:sz w:val="24"/>
          <w:szCs w:val="24"/>
          <w:lang w:val="en-GB" w:eastAsia="es-ES"/>
        </w:rPr>
        <w:t xml:space="preserve">he block bootstrap simulates the future behaviour of an asset by randomly concatenating blocks of its </w:t>
      </w:r>
      <w:r w:rsidRPr="000A1823">
        <w:rPr>
          <w:rFonts w:ascii="Times New Roman" w:eastAsia="Times New Roman" w:hAnsi="Times New Roman" w:cs="Times New Roman"/>
          <w:sz w:val="24"/>
          <w:szCs w:val="24"/>
          <w:lang w:val="en-GB" w:eastAsia="es-ES"/>
        </w:rPr>
        <w:t xml:space="preserve">own </w:t>
      </w:r>
      <w:r w:rsidR="009E6B80" w:rsidRPr="000A1823">
        <w:rPr>
          <w:rFonts w:ascii="Times New Roman" w:eastAsia="Times New Roman" w:hAnsi="Times New Roman" w:cs="Times New Roman"/>
          <w:sz w:val="24"/>
          <w:szCs w:val="24"/>
          <w:lang w:val="en-GB" w:eastAsia="es-ES"/>
        </w:rPr>
        <w:t xml:space="preserve">historical returns. The procedure employed </w:t>
      </w:r>
      <w:r w:rsidR="00F402EF" w:rsidRPr="000A1823">
        <w:rPr>
          <w:rFonts w:ascii="Times New Roman" w:eastAsia="Times New Roman" w:hAnsi="Times New Roman" w:cs="Times New Roman"/>
          <w:sz w:val="24"/>
          <w:szCs w:val="24"/>
          <w:lang w:val="en-GB" w:eastAsia="es-ES"/>
        </w:rPr>
        <w:t xml:space="preserve">here </w:t>
      </w:r>
      <w:r w:rsidR="009D33AD" w:rsidRPr="000A1823">
        <w:rPr>
          <w:rFonts w:ascii="Times New Roman" w:eastAsia="Times New Roman" w:hAnsi="Times New Roman" w:cs="Times New Roman"/>
          <w:sz w:val="24"/>
          <w:szCs w:val="24"/>
          <w:lang w:val="en-GB" w:eastAsia="es-ES"/>
        </w:rPr>
        <w:t>for an individual stock</w:t>
      </w:r>
      <w:r w:rsidR="009D33AD" w:rsidRPr="000A1823">
        <w:rPr>
          <w:rStyle w:val="FootnoteReference"/>
          <w:rFonts w:ascii="Times New Roman" w:eastAsia="Times New Roman" w:hAnsi="Times New Roman" w:cs="Times New Roman"/>
          <w:sz w:val="24"/>
          <w:szCs w:val="24"/>
          <w:lang w:val="en-GB" w:eastAsia="es-ES"/>
        </w:rPr>
        <w:footnoteReference w:id="13"/>
      </w:r>
      <w:r w:rsidR="009D33AD" w:rsidRPr="000A1823">
        <w:rPr>
          <w:rFonts w:ascii="Times New Roman" w:eastAsia="Times New Roman" w:hAnsi="Times New Roman" w:cs="Times New Roman"/>
          <w:sz w:val="24"/>
          <w:szCs w:val="24"/>
          <w:lang w:val="en-GB" w:eastAsia="es-ES"/>
        </w:rPr>
        <w:t xml:space="preserve"> </w:t>
      </w:r>
      <w:r w:rsidR="009E6B80" w:rsidRPr="000A1823">
        <w:rPr>
          <w:rFonts w:ascii="Times New Roman" w:eastAsia="Times New Roman" w:hAnsi="Times New Roman" w:cs="Times New Roman"/>
          <w:sz w:val="24"/>
          <w:szCs w:val="24"/>
          <w:lang w:val="en-GB" w:eastAsia="es-ES"/>
        </w:rPr>
        <w:t>is summarized in four steps.</w:t>
      </w:r>
      <w:r w:rsidR="007E13A2" w:rsidRPr="000A1823">
        <w:rPr>
          <w:rStyle w:val="FootnoteReference"/>
          <w:rFonts w:ascii="Times New Roman" w:eastAsia="Times New Roman" w:hAnsi="Times New Roman" w:cs="Times New Roman"/>
          <w:sz w:val="24"/>
          <w:szCs w:val="24"/>
          <w:lang w:val="en-GB" w:eastAsia="es-ES"/>
        </w:rPr>
        <w:footnoteReference w:id="14"/>
      </w:r>
      <w:r w:rsidR="009E6B80" w:rsidRPr="000A1823">
        <w:rPr>
          <w:rFonts w:ascii="Times New Roman" w:eastAsia="Times New Roman" w:hAnsi="Times New Roman" w:cs="Times New Roman"/>
          <w:sz w:val="24"/>
          <w:szCs w:val="24"/>
          <w:lang w:val="en-GB" w:eastAsia="es-ES"/>
        </w:rPr>
        <w:t xml:space="preserve"> </w:t>
      </w:r>
    </w:p>
    <w:p w14:paraId="441FD7FC" w14:textId="68347D16" w:rsidR="009D33AD" w:rsidRPr="000A1823" w:rsidRDefault="006051C1" w:rsidP="00C825A0">
      <w:pPr>
        <w:tabs>
          <w:tab w:val="left" w:pos="0"/>
        </w:tabs>
        <w:autoSpaceDE w:val="0"/>
        <w:autoSpaceDN w:val="0"/>
        <w:adjustRightInd w:val="0"/>
        <w:spacing w:before="120" w:after="120" w:line="240" w:lineRule="auto"/>
        <w:jc w:val="both"/>
        <w:rPr>
          <w:rFonts w:ascii="Times New Roman" w:eastAsiaTheme="minorEastAsia" w:hAnsi="Times New Roman" w:cs="Times New Roman"/>
          <w:sz w:val="24"/>
          <w:szCs w:val="24"/>
        </w:rPr>
      </w:pPr>
      <w:bookmarkStart w:id="12" w:name="_Hlk3675491"/>
      <w:r w:rsidRPr="000A1823">
        <w:rPr>
          <w:rFonts w:ascii="Times New Roman" w:hAnsi="Times New Roman" w:cs="Times New Roman"/>
          <w:sz w:val="24"/>
          <w:szCs w:val="24"/>
        </w:rPr>
        <w:t xml:space="preserve">Suppose that </w:t>
      </w:r>
      <m:oMath>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e>
          <m:sub>
            <m:r>
              <w:rPr>
                <w:rFonts w:ascii="Cambria Math" w:hAnsi="Cambria Math" w:cs="Times New Roman"/>
                <w:sz w:val="24"/>
                <w:szCs w:val="24"/>
              </w:rPr>
              <m:t>t∈N</m:t>
            </m:r>
          </m:sub>
        </m:sSub>
      </m:oMath>
      <w:r w:rsidRPr="000A1823">
        <w:rPr>
          <w:rFonts w:ascii="Times New Roman" w:eastAsiaTheme="minorEastAsia" w:hAnsi="Times New Roman" w:cs="Times New Roman"/>
          <w:sz w:val="24"/>
          <w:szCs w:val="24"/>
        </w:rPr>
        <w:t xml:space="preserve"> is a time series of </w:t>
      </w:r>
      <w:r w:rsidR="009A2ABF" w:rsidRPr="000A1823">
        <w:rPr>
          <w:rFonts w:ascii="Times New Roman" w:eastAsiaTheme="minorEastAsia" w:hAnsi="Times New Roman" w:cs="Times New Roman"/>
          <w:sz w:val="24"/>
          <w:szCs w:val="24"/>
        </w:rPr>
        <w:t xml:space="preserve">risky stock </w:t>
      </w:r>
      <w:r w:rsidRPr="000A1823">
        <w:rPr>
          <w:rFonts w:ascii="Times New Roman" w:eastAsiaTheme="minorEastAsia" w:hAnsi="Times New Roman" w:cs="Times New Roman"/>
          <w:sz w:val="24"/>
          <w:szCs w:val="24"/>
        </w:rPr>
        <w:t xml:space="preserve">monthly prices and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Sub>
          </m:e>
        </m:d>
      </m:oMath>
      <w:r w:rsidRPr="000A1823">
        <w:rPr>
          <w:rFonts w:ascii="Times New Roman" w:eastAsiaTheme="minorEastAsia" w:hAnsi="Times New Roman" w:cs="Times New Roman"/>
          <w:sz w:val="24"/>
          <w:szCs w:val="24"/>
        </w:rPr>
        <w:t xml:space="preserve"> are observed. </w:t>
      </w:r>
    </w:p>
    <w:p w14:paraId="14ADB338" w14:textId="77777777" w:rsidR="009D33AD" w:rsidRPr="000A1823" w:rsidRDefault="009D33AD" w:rsidP="00C825A0">
      <w:pPr>
        <w:pStyle w:val="ListParagraph"/>
        <w:numPr>
          <w:ilvl w:val="0"/>
          <w:numId w:val="10"/>
        </w:numPr>
        <w:tabs>
          <w:tab w:val="left" w:pos="0"/>
        </w:tabs>
        <w:autoSpaceDE w:val="0"/>
        <w:autoSpaceDN w:val="0"/>
        <w:adjustRightInd w:val="0"/>
        <w:spacing w:before="120" w:after="120" w:line="240" w:lineRule="auto"/>
        <w:jc w:val="both"/>
        <w:rPr>
          <w:rFonts w:ascii="Times New Roman" w:eastAsiaTheme="minorEastAsia" w:hAnsi="Times New Roman" w:cs="Times New Roman"/>
          <w:sz w:val="24"/>
          <w:szCs w:val="24"/>
        </w:rPr>
      </w:pPr>
      <w:r w:rsidRPr="000A1823">
        <w:rPr>
          <w:rFonts w:ascii="Times New Roman" w:eastAsiaTheme="minorEastAsia" w:hAnsi="Times New Roman" w:cs="Times New Roman"/>
          <w:sz w:val="24"/>
          <w:szCs w:val="24"/>
        </w:rPr>
        <w:t>Firstly, w</w:t>
      </w:r>
      <w:r w:rsidR="006051C1" w:rsidRPr="000A1823">
        <w:rPr>
          <w:rFonts w:ascii="Times New Roman" w:eastAsiaTheme="minorEastAsia" w:hAnsi="Times New Roman" w:cs="Times New Roman"/>
          <w:sz w:val="24"/>
          <w:szCs w:val="24"/>
        </w:rPr>
        <w:t xml:space="preserve">e compute the historical monthly returns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t-1</m:t>
                    </m:r>
                  </m:sub>
                </m:sSub>
              </m:e>
            </m:d>
            <m:r>
              <w:rPr>
                <w:rFonts w:ascii="Cambria Math" w:eastAsiaTheme="minorEastAsia" w:hAnsi="Cambria Math" w:cs="Times New Roman"/>
                <w:sz w:val="24"/>
                <w:szCs w:val="24"/>
              </w:rPr>
              <m:t>/ S</m:t>
            </m:r>
          </m:e>
          <m:sub>
            <m:r>
              <w:rPr>
                <w:rFonts w:ascii="Cambria Math" w:eastAsiaTheme="minorEastAsia" w:hAnsi="Cambria Math" w:cs="Times New Roman"/>
                <w:sz w:val="24"/>
                <w:szCs w:val="24"/>
              </w:rPr>
              <m:t>t-1</m:t>
            </m:r>
          </m:sub>
        </m:sSub>
      </m:oMath>
      <w:r w:rsidR="006051C1" w:rsidRPr="000A1823">
        <w:rPr>
          <w:rFonts w:ascii="Times New Roman" w:eastAsiaTheme="minorEastAsia" w:hAnsi="Times New Roman" w:cs="Times New Roman"/>
          <w:sz w:val="24"/>
          <w:szCs w:val="24"/>
        </w:rPr>
        <w:t xml:space="preserve">, defining </w:t>
      </w:r>
      <m:oMath>
        <m:sSub>
          <m:sSubPr>
            <m:ctrlPr>
              <w:rPr>
                <w:rFonts w:ascii="Cambria Math" w:eastAsiaTheme="minorEastAsia" w:hAnsi="Cambria Math" w:cs="Times New Roman"/>
                <w:b/>
                <w:i/>
                <w:sz w:val="24"/>
                <w:szCs w:val="24"/>
              </w:rPr>
            </m:ctrlPr>
          </m:sSubPr>
          <m:e>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r</m:t>
                </m:r>
              </m:e>
              <m:sup>
                <m:r>
                  <m:rPr>
                    <m:sty m:val="bi"/>
                  </m:rPr>
                  <w:rPr>
                    <w:rFonts w:ascii="Cambria Math" w:eastAsiaTheme="minorEastAsia" w:hAnsi="Cambria Math" w:cs="Times New Roman"/>
                    <w:sz w:val="24"/>
                    <w:szCs w:val="24"/>
                  </w:rPr>
                  <m:t>*</m:t>
                </m:r>
              </m:sup>
            </m:sSup>
          </m:e>
          <m:sub>
            <m:r>
              <m:rPr>
                <m:sty m:val="bi"/>
              </m:rPr>
              <w:rPr>
                <w:rFonts w:ascii="Cambria Math" w:eastAsiaTheme="minorEastAsia" w:hAnsi="Cambria Math" w:cs="Times New Roman"/>
                <w:sz w:val="24"/>
                <w:szCs w:val="24"/>
              </w:rPr>
              <m:t>T</m:t>
            </m:r>
          </m:sub>
        </m:sSub>
        <m:r>
          <m:rPr>
            <m:sty m:val="bi"/>
          </m:rP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m:t>
            </m:r>
          </m:sub>
        </m:sSub>
        <m:r>
          <m:rPr>
            <m:sty m:val="bi"/>
          </m:rPr>
          <w:rPr>
            <w:rFonts w:ascii="Cambria Math" w:eastAsiaTheme="minorEastAsia" w:hAnsi="Cambria Math" w:cs="Times New Roman"/>
            <w:sz w:val="24"/>
            <w:szCs w:val="24"/>
          </w:rPr>
          <m:t>)</m:t>
        </m:r>
      </m:oMath>
      <w:r w:rsidR="006051C1" w:rsidRPr="000A1823">
        <w:rPr>
          <w:rFonts w:ascii="Times New Roman" w:eastAsiaTheme="minorEastAsia" w:hAnsi="Times New Roman" w:cs="Times New Roman"/>
          <w:b/>
          <w:sz w:val="24"/>
          <w:szCs w:val="24"/>
        </w:rPr>
        <w:t xml:space="preserve"> </w:t>
      </w:r>
      <w:r w:rsidR="006051C1" w:rsidRPr="000A1823">
        <w:rPr>
          <w:rFonts w:ascii="Times New Roman" w:eastAsiaTheme="minorEastAsia" w:hAnsi="Times New Roman" w:cs="Times New Roman"/>
          <w:sz w:val="24"/>
          <w:szCs w:val="24"/>
        </w:rPr>
        <w:t xml:space="preserve">as the time series of monthly returns. </w:t>
      </w:r>
      <w:r w:rsidR="006051C1" w:rsidRPr="000A1823">
        <w:rPr>
          <w:rFonts w:ascii="Times New Roman" w:hAnsi="Times New Roman" w:cs="Times New Roman"/>
          <w:sz w:val="24"/>
          <w:szCs w:val="24"/>
        </w:rPr>
        <w:t xml:space="preserve">Then, returns series are demeaned by subtracting their respective sample means from each observation, so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T</m:t>
            </m:r>
          </m:sub>
        </m:sSub>
        <m:r>
          <m:rPr>
            <m:sty m:val="bi"/>
          </m:rPr>
          <w:rPr>
            <w:rFonts w:ascii="Cambria Math" w:eastAsiaTheme="minorEastAsia" w:hAnsi="Cambria Math" w:cs="Times New Roman"/>
            <w:sz w:val="24"/>
            <w:szCs w:val="24"/>
          </w:rPr>
          <m:t xml:space="preserve"> ≡ </m:t>
        </m:r>
        <m:sSub>
          <m:sSubPr>
            <m:ctrlPr>
              <w:rPr>
                <w:rFonts w:ascii="Cambria Math" w:eastAsiaTheme="minorEastAsia" w:hAnsi="Cambria Math" w:cs="Times New Roman"/>
                <w:b/>
                <w:i/>
                <w:sz w:val="24"/>
                <w:szCs w:val="24"/>
              </w:rPr>
            </m:ctrlPr>
          </m:sSubPr>
          <m:e>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r</m:t>
                </m:r>
              </m:e>
              <m:sup>
                <m:r>
                  <m:rPr>
                    <m:sty m:val="bi"/>
                  </m:rPr>
                  <w:rPr>
                    <w:rFonts w:ascii="Cambria Math" w:eastAsiaTheme="minorEastAsia" w:hAnsi="Cambria Math" w:cs="Times New Roman"/>
                    <w:sz w:val="24"/>
                    <w:szCs w:val="24"/>
                  </w:rPr>
                  <m:t>*</m:t>
                </m:r>
              </m:sup>
            </m:sSup>
          </m:e>
          <m:sub>
            <m:r>
              <m:rPr>
                <m:sty m:val="bi"/>
              </m:rPr>
              <w:rPr>
                <w:rFonts w:ascii="Cambria Math" w:eastAsiaTheme="minorEastAsia" w:hAnsi="Cambria Math" w:cs="Times New Roman"/>
                <w:sz w:val="24"/>
                <w:szCs w:val="24"/>
              </w:rPr>
              <m:t>T</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ctrlPr>
              <w:rPr>
                <w:rFonts w:ascii="Cambria Math" w:eastAsiaTheme="minorEastAsia" w:hAnsi="Cambria Math" w:cs="Times New Roman"/>
                <w:b/>
                <w:i/>
                <w:sz w:val="24"/>
                <w:szCs w:val="24"/>
              </w:rPr>
            </m:ctrlP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 xml:space="preserve"> </m:t>
        </m:r>
        <m:nary>
          <m:naryPr>
            <m:chr m:val="∑"/>
            <m:limLoc m:val="undOvr"/>
            <m:subHide m:val="1"/>
            <m:supHide m:val="1"/>
            <m:ctrlPr>
              <w:rPr>
                <w:rFonts w:ascii="Cambria Math" w:eastAsiaTheme="minorEastAsia" w:hAnsi="Cambria Math" w:cs="Times New Roman"/>
                <w:i/>
                <w:sz w:val="24"/>
                <w:szCs w:val="24"/>
              </w:rPr>
            </m:ctrlPr>
          </m:naryPr>
          <m:sub/>
          <m:sup/>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m:t>
                    </m:r>
                  </m:sub>
                </m:sSub>
              </m:e>
            </m:d>
          </m:e>
        </m:nary>
      </m:oMath>
      <w:r w:rsidR="006051C1" w:rsidRPr="000A1823">
        <w:rPr>
          <w:rFonts w:ascii="Times New Roman" w:hAnsi="Times New Roman" w:cs="Times New Roman"/>
          <w:sz w:val="24"/>
          <w:szCs w:val="24"/>
        </w:rPr>
        <w:t xml:space="preserve">. </w:t>
      </w:r>
      <w:r w:rsidR="006051C1" w:rsidRPr="000A1823">
        <w:rPr>
          <w:rFonts w:ascii="Times New Roman" w:eastAsiaTheme="minorEastAsia" w:hAnsi="Times New Roman" w:cs="Times New Roman"/>
          <w:sz w:val="24"/>
          <w:szCs w:val="24"/>
        </w:rPr>
        <w:t xml:space="preserve">We assume that </w:t>
      </w:r>
      <w:r w:rsidR="006051C1" w:rsidRPr="000A1823">
        <w:rPr>
          <w:rFonts w:ascii="Times New Roman" w:eastAsiaTheme="minorEastAsia" w:hAnsi="Times New Roman" w:cs="Times New Roman"/>
          <w:b/>
          <w:i/>
          <w:sz w:val="24"/>
          <w:szCs w:val="24"/>
        </w:rPr>
        <w:t>r</w:t>
      </w:r>
      <w:r w:rsidR="006051C1" w:rsidRPr="000A1823">
        <w:rPr>
          <w:rFonts w:ascii="Times New Roman" w:eastAsiaTheme="minorEastAsia" w:hAnsi="Times New Roman" w:cs="Times New Roman"/>
          <w:b/>
          <w:i/>
          <w:sz w:val="24"/>
          <w:szCs w:val="24"/>
          <w:vertAlign w:val="subscript"/>
        </w:rPr>
        <w:t>T</w:t>
      </w:r>
      <w:r w:rsidR="006051C1" w:rsidRPr="000A1823">
        <w:rPr>
          <w:rFonts w:ascii="Times New Roman" w:eastAsiaTheme="minorEastAsia" w:hAnsi="Times New Roman" w:cs="Times New Roman"/>
          <w:b/>
          <w:i/>
          <w:sz w:val="24"/>
          <w:szCs w:val="24"/>
        </w:rPr>
        <w:t xml:space="preserve"> </w:t>
      </w:r>
      <w:r w:rsidR="006051C1" w:rsidRPr="000A1823">
        <w:rPr>
          <w:rFonts w:ascii="Times New Roman" w:eastAsiaTheme="minorEastAsia" w:hAnsi="Times New Roman" w:cs="Times New Roman"/>
          <w:sz w:val="24"/>
          <w:szCs w:val="24"/>
        </w:rPr>
        <w:t xml:space="preserve">are stationary weakly dependent time series, a common assumption for financial returns. </w:t>
      </w:r>
    </w:p>
    <w:p w14:paraId="66C1288F" w14:textId="77777777" w:rsidR="009D33AD" w:rsidRPr="000A1823" w:rsidRDefault="006051C1" w:rsidP="00C825A0">
      <w:pPr>
        <w:pStyle w:val="ListParagraph"/>
        <w:numPr>
          <w:ilvl w:val="0"/>
          <w:numId w:val="10"/>
        </w:numPr>
        <w:tabs>
          <w:tab w:val="left" w:pos="0"/>
        </w:tabs>
        <w:autoSpaceDE w:val="0"/>
        <w:autoSpaceDN w:val="0"/>
        <w:adjustRightInd w:val="0"/>
        <w:spacing w:before="120" w:after="120" w:line="240" w:lineRule="auto"/>
        <w:jc w:val="both"/>
        <w:rPr>
          <w:rFonts w:ascii="Times New Roman" w:hAnsi="Times New Roman" w:cs="Times New Roman"/>
          <w:sz w:val="24"/>
          <w:szCs w:val="24"/>
        </w:rPr>
      </w:pPr>
      <w:r w:rsidRPr="000A1823">
        <w:rPr>
          <w:rFonts w:ascii="Times New Roman" w:hAnsi="Times New Roman" w:cs="Times New Roman"/>
          <w:sz w:val="24"/>
          <w:szCs w:val="24"/>
        </w:rPr>
        <w:t>Second, we add to each time series the long-term expected return obtained from the forecasts of a panel of analysts. This action allows us to adjust our simulations to the market consensus about future expected returns.</w:t>
      </w:r>
      <w:r w:rsidRPr="000A1823">
        <w:rPr>
          <w:rStyle w:val="FootnoteReference"/>
          <w:rFonts w:ascii="Times New Roman" w:hAnsi="Times New Roman" w:cs="Times New Roman"/>
          <w:sz w:val="24"/>
          <w:szCs w:val="24"/>
        </w:rPr>
        <w:footnoteReference w:id="15"/>
      </w:r>
      <w:r w:rsidRPr="000A1823">
        <w:rPr>
          <w:rFonts w:ascii="Times New Roman" w:hAnsi="Times New Roman" w:cs="Times New Roman"/>
          <w:sz w:val="16"/>
          <w:szCs w:val="16"/>
        </w:rPr>
        <w:t xml:space="preserve"> </w:t>
      </w:r>
      <w:r w:rsidRPr="000A1823">
        <w:rPr>
          <w:rFonts w:ascii="Times New Roman" w:hAnsi="Times New Roman" w:cs="Times New Roman"/>
          <w:sz w:val="24"/>
          <w:szCs w:val="24"/>
        </w:rPr>
        <w:t xml:space="preserve">In particular, the long-term expected return for the European stock market is 5.72%, and 0.90% for the European sovereign bond market. </w:t>
      </w:r>
    </w:p>
    <w:p w14:paraId="1B3DDF27" w14:textId="77777777" w:rsidR="006051C1" w:rsidRPr="000A1823" w:rsidRDefault="006051C1" w:rsidP="00C825A0">
      <w:pPr>
        <w:pStyle w:val="ListParagraph"/>
        <w:numPr>
          <w:ilvl w:val="0"/>
          <w:numId w:val="10"/>
        </w:numPr>
        <w:tabs>
          <w:tab w:val="left" w:pos="0"/>
        </w:tabs>
        <w:autoSpaceDE w:val="0"/>
        <w:autoSpaceDN w:val="0"/>
        <w:adjustRightInd w:val="0"/>
        <w:spacing w:before="120" w:after="120" w:line="240" w:lineRule="auto"/>
        <w:jc w:val="both"/>
        <w:rPr>
          <w:rFonts w:ascii="Times New Roman" w:eastAsiaTheme="minorEastAsia" w:hAnsi="Times New Roman" w:cs="Times New Roman"/>
          <w:sz w:val="24"/>
          <w:szCs w:val="24"/>
        </w:rPr>
      </w:pPr>
      <w:r w:rsidRPr="000A1823">
        <w:rPr>
          <w:rFonts w:ascii="Times New Roman" w:hAnsi="Times New Roman" w:cs="Times New Roman"/>
          <w:sz w:val="24"/>
          <w:szCs w:val="24"/>
        </w:rPr>
        <w:t>Third, l</w:t>
      </w:r>
      <w:r w:rsidRPr="000A1823">
        <w:rPr>
          <w:rFonts w:ascii="Times New Roman" w:eastAsiaTheme="minorEastAsia" w:hAnsi="Times New Roman" w:cs="Times New Roman"/>
          <w:sz w:val="24"/>
          <w:szCs w:val="24"/>
        </w:rPr>
        <w:t xml:space="preserve">et </w:t>
      </w:r>
      <w:r w:rsidRPr="000A1823">
        <w:rPr>
          <w:rFonts w:ascii="Times New Roman" w:eastAsiaTheme="minorEastAsia" w:hAnsi="Times New Roman" w:cs="Times New Roman"/>
          <w:i/>
          <w:sz w:val="24"/>
          <w:szCs w:val="24"/>
        </w:rPr>
        <w:t xml:space="preserve">k </w:t>
      </w:r>
      <w:r w:rsidRPr="000A1823">
        <w:rPr>
          <w:rFonts w:ascii="Times New Roman" w:eastAsiaTheme="minorEastAsia" w:hAnsi="Times New Roman" w:cs="Times New Roman"/>
          <w:sz w:val="24"/>
          <w:szCs w:val="24"/>
        </w:rPr>
        <w:t xml:space="preserve">be an integer satisfying </w:t>
      </w:r>
      <m:oMath>
        <m:r>
          <w:rPr>
            <w:rFonts w:ascii="Cambria Math" w:eastAsiaTheme="minorEastAsia" w:hAnsi="Cambria Math" w:cs="Times New Roman"/>
            <w:sz w:val="24"/>
            <w:szCs w:val="24"/>
          </w:rPr>
          <m:t>1≤k≤T</m:t>
        </m:r>
      </m:oMath>
      <w:r w:rsidRPr="000A1823">
        <w:rPr>
          <w:rFonts w:ascii="Times New Roman" w:eastAsiaTheme="minorEastAsia" w:hAnsi="Times New Roman" w:cs="Times New Roman"/>
          <w:sz w:val="24"/>
          <w:szCs w:val="24"/>
        </w:rPr>
        <w:t xml:space="preserve">, define the overlapping blocks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oMath>
      <w:r w:rsidRPr="000A1823">
        <w:rPr>
          <w:rFonts w:ascii="Times New Roman" w:eastAsiaTheme="minorEastAsia" w:hAnsi="Times New Roman" w:cs="Times New Roman"/>
          <w:sz w:val="24"/>
          <w:szCs w:val="24"/>
        </w:rPr>
        <w:t xml:space="preserve"> of length </w:t>
      </w:r>
      <w:r w:rsidRPr="000A1823">
        <w:rPr>
          <w:rFonts w:ascii="Times New Roman" w:eastAsiaTheme="minorEastAsia" w:hAnsi="Times New Roman" w:cs="Times New Roman"/>
          <w:i/>
          <w:sz w:val="24"/>
          <w:szCs w:val="24"/>
        </w:rPr>
        <w:t>k</w:t>
      </w:r>
      <w:r w:rsidRPr="000A1823">
        <w:rPr>
          <w:rFonts w:ascii="Times New Roman" w:eastAsiaTheme="minorEastAsia" w:hAnsi="Times New Roman" w:cs="Times New Roman"/>
          <w:sz w:val="24"/>
          <w:szCs w:val="24"/>
        </w:rPr>
        <w:t xml:space="preserve"> contained in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T</m:t>
            </m:r>
          </m:sub>
        </m:sSub>
      </m:oMath>
      <w:r w:rsidRPr="000A1823">
        <w:rPr>
          <w:rFonts w:ascii="Times New Roman" w:eastAsiaTheme="minorEastAsia" w:hAnsi="Times New Roman" w:cs="Times New Roman"/>
          <w:sz w:val="24"/>
          <w:szCs w:val="24"/>
        </w:rPr>
        <w:t xml:space="preserve"> as</w:t>
      </w:r>
    </w:p>
    <w:p w14:paraId="2FA68F8B" w14:textId="77777777" w:rsidR="006051C1" w:rsidRPr="000A1823" w:rsidRDefault="004B797D" w:rsidP="00C825A0">
      <w:pPr>
        <w:pStyle w:val="ListParagraph"/>
        <w:tabs>
          <w:tab w:val="left" w:pos="0"/>
        </w:tabs>
        <w:autoSpaceDE w:val="0"/>
        <w:autoSpaceDN w:val="0"/>
        <w:adjustRightInd w:val="0"/>
        <w:spacing w:before="120" w:after="120"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k</m:t>
                  </m:r>
                </m:sub>
              </m:sSub>
            </m:e>
          </m:d>
          <m:r>
            <w:rPr>
              <w:rFonts w:ascii="Cambria Math" w:eastAsiaTheme="minorEastAsia" w:hAnsi="Cambria Math" w:cs="Times New Roman"/>
              <w:sz w:val="24"/>
              <w:szCs w:val="24"/>
            </w:rPr>
            <m:t xml:space="preserve"> </m:t>
          </m:r>
        </m:oMath>
      </m:oMathPara>
    </w:p>
    <w:p w14:paraId="23DDA010" w14:textId="77777777" w:rsidR="006051C1" w:rsidRPr="000A1823" w:rsidRDefault="004B797D" w:rsidP="00C825A0">
      <w:pPr>
        <w:pStyle w:val="ListParagraph"/>
        <w:tabs>
          <w:tab w:val="left" w:pos="0"/>
        </w:tabs>
        <w:autoSpaceDE w:val="0"/>
        <w:autoSpaceDN w:val="0"/>
        <w:adjustRightInd w:val="0"/>
        <w:spacing w:before="120" w:after="120"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k+1</m:t>
                  </m:r>
                </m:sub>
              </m:sSub>
            </m:e>
          </m:d>
          <m:r>
            <w:rPr>
              <w:rFonts w:ascii="Cambria Math" w:eastAsiaTheme="minorEastAsia" w:hAnsi="Cambria Math" w:cs="Times New Roman"/>
              <w:sz w:val="24"/>
              <w:szCs w:val="24"/>
            </w:rPr>
            <m:t xml:space="preserve"> </m:t>
          </m:r>
        </m:oMath>
      </m:oMathPara>
    </w:p>
    <w:p w14:paraId="0852541E" w14:textId="77777777" w:rsidR="006051C1" w:rsidRPr="000A1823" w:rsidRDefault="006051C1" w:rsidP="00C825A0">
      <w:pPr>
        <w:pStyle w:val="ListParagraph"/>
        <w:tabs>
          <w:tab w:val="left" w:pos="0"/>
        </w:tabs>
        <w:autoSpaceDE w:val="0"/>
        <w:autoSpaceDN w:val="0"/>
        <w:adjustRightInd w:val="0"/>
        <w:spacing w:before="120" w:after="120" w:line="240" w:lineRule="auto"/>
        <w:jc w:val="center"/>
        <w:rPr>
          <w:rFonts w:ascii="Times New Roman" w:eastAsiaTheme="minorEastAsia" w:hAnsi="Times New Roman" w:cs="Times New Roman"/>
          <w:sz w:val="24"/>
          <w:szCs w:val="24"/>
        </w:rPr>
      </w:pPr>
      <w:r w:rsidRPr="000A1823">
        <w:rPr>
          <w:rFonts w:ascii="Times New Roman" w:eastAsiaTheme="minorEastAsia" w:hAnsi="Times New Roman" w:cs="Times New Roman"/>
          <w:sz w:val="24"/>
          <w:szCs w:val="24"/>
        </w:rPr>
        <w:t>…</w:t>
      </w:r>
    </w:p>
    <w:p w14:paraId="5971AF41" w14:textId="2A4F3829" w:rsidR="006051C1" w:rsidRPr="000A1823" w:rsidRDefault="004B797D" w:rsidP="00C825A0">
      <w:pPr>
        <w:pStyle w:val="ListParagraph"/>
        <w:tabs>
          <w:tab w:val="left" w:pos="0"/>
        </w:tabs>
        <w:autoSpaceDE w:val="0"/>
        <w:autoSpaceDN w:val="0"/>
        <w:adjustRightInd w:val="0"/>
        <w:spacing w:before="120" w:after="120"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m:t>
                  </m:r>
                </m:sub>
              </m:sSub>
            </m:e>
          </m:d>
          <m:r>
            <w:rPr>
              <w:rFonts w:ascii="Cambria Math" w:eastAsiaTheme="minorEastAsia" w:hAnsi="Cambria Math" w:cs="Times New Roman"/>
              <w:sz w:val="24"/>
              <w:szCs w:val="24"/>
            </w:rPr>
            <m:t xml:space="preserve"> </m:t>
          </m:r>
        </m:oMath>
      </m:oMathPara>
    </w:p>
    <w:p w14:paraId="795D3ED4" w14:textId="77777777" w:rsidR="006051C1" w:rsidRPr="0031394A" w:rsidRDefault="006051C1" w:rsidP="00C825A0">
      <w:pPr>
        <w:tabs>
          <w:tab w:val="left" w:pos="0"/>
        </w:tabs>
        <w:autoSpaceDE w:val="0"/>
        <w:autoSpaceDN w:val="0"/>
        <w:adjustRightInd w:val="0"/>
        <w:spacing w:before="120" w:after="120" w:line="240" w:lineRule="auto"/>
        <w:jc w:val="both"/>
        <w:rPr>
          <w:rFonts w:ascii="Times New Roman" w:eastAsiaTheme="minorEastAsia" w:hAnsi="Times New Roman" w:cs="Times New Roman"/>
          <w:sz w:val="24"/>
          <w:szCs w:val="24"/>
        </w:rPr>
      </w:pPr>
    </w:p>
    <w:p w14:paraId="094052A4" w14:textId="77777777" w:rsidR="009D33AD" w:rsidRPr="0031394A" w:rsidRDefault="006051C1" w:rsidP="00C825A0">
      <w:pPr>
        <w:pStyle w:val="ListParagraph"/>
        <w:tabs>
          <w:tab w:val="left" w:pos="0"/>
        </w:tabs>
        <w:autoSpaceDE w:val="0"/>
        <w:autoSpaceDN w:val="0"/>
        <w:adjustRightInd w:val="0"/>
        <w:spacing w:before="120" w:after="120" w:line="240" w:lineRule="auto"/>
        <w:jc w:val="both"/>
        <w:rPr>
          <w:rFonts w:ascii="Times New Roman" w:eastAsiaTheme="minorEastAsia" w:hAnsi="Times New Roman" w:cs="Times New Roman"/>
          <w:sz w:val="24"/>
          <w:szCs w:val="24"/>
        </w:rPr>
      </w:pPr>
      <w:r w:rsidRPr="0031394A">
        <w:rPr>
          <w:rFonts w:ascii="Times New Roman" w:eastAsiaTheme="minorEastAsia" w:hAnsi="Times New Roman" w:cs="Times New Roman"/>
          <w:sz w:val="24"/>
          <w:szCs w:val="24"/>
        </w:rPr>
        <w:t xml:space="preserve">where </w:t>
      </w:r>
      <w:r w:rsidRPr="0031394A">
        <w:rPr>
          <w:rFonts w:ascii="Times New Roman" w:eastAsiaTheme="minorEastAsia" w:hAnsi="Times New Roman" w:cs="Times New Roman"/>
          <w:i/>
          <w:sz w:val="24"/>
          <w:szCs w:val="24"/>
        </w:rPr>
        <w:t>N = T – k +1</w:t>
      </w:r>
      <w:r w:rsidRPr="0031394A">
        <w:rPr>
          <w:rFonts w:ascii="Times New Roman" w:eastAsiaTheme="minorEastAsia" w:hAnsi="Times New Roman" w:cs="Times New Roman"/>
          <w:sz w:val="24"/>
          <w:szCs w:val="24"/>
        </w:rPr>
        <w:t xml:space="preserve">. </w:t>
      </w:r>
    </w:p>
    <w:p w14:paraId="03AF085E" w14:textId="77777777" w:rsidR="009D33AD" w:rsidRPr="0031394A" w:rsidRDefault="006051C1" w:rsidP="00C825A0">
      <w:pPr>
        <w:pStyle w:val="ListParagraph"/>
        <w:tabs>
          <w:tab w:val="left" w:pos="0"/>
        </w:tabs>
        <w:autoSpaceDE w:val="0"/>
        <w:autoSpaceDN w:val="0"/>
        <w:adjustRightInd w:val="0"/>
        <w:spacing w:before="120" w:after="120" w:line="240" w:lineRule="auto"/>
        <w:jc w:val="both"/>
        <w:rPr>
          <w:rFonts w:ascii="Times New Roman" w:hAnsi="Times New Roman" w:cs="Times New Roman"/>
          <w:sz w:val="24"/>
          <w:szCs w:val="24"/>
        </w:rPr>
      </w:pPr>
      <w:r w:rsidRPr="0031394A">
        <w:rPr>
          <w:rFonts w:ascii="Times New Roman" w:eastAsiaTheme="minorEastAsia" w:hAnsi="Times New Roman" w:cs="Times New Roman"/>
          <w:sz w:val="24"/>
          <w:szCs w:val="24"/>
        </w:rPr>
        <w:t xml:space="preserve">To generate the simulated samples, </w:t>
      </w:r>
      <w:r w:rsidR="009D33AD" w:rsidRPr="0031394A">
        <w:rPr>
          <w:rFonts w:ascii="Times New Roman" w:eastAsiaTheme="minorEastAsia" w:hAnsi="Times New Roman" w:cs="Times New Roman"/>
          <w:sz w:val="24"/>
          <w:szCs w:val="24"/>
        </w:rPr>
        <w:t xml:space="preserve">we </w:t>
      </w:r>
      <w:r w:rsidRPr="0031394A">
        <w:rPr>
          <w:rFonts w:ascii="Times New Roman" w:eastAsiaTheme="minorEastAsia" w:hAnsi="Times New Roman" w:cs="Times New Roman"/>
          <w:sz w:val="24"/>
          <w:szCs w:val="24"/>
        </w:rPr>
        <w:t xml:space="preserve">select </w:t>
      </w:r>
      <w:r w:rsidRPr="0031394A">
        <w:rPr>
          <w:rFonts w:ascii="Times New Roman" w:eastAsiaTheme="minorEastAsia" w:hAnsi="Times New Roman" w:cs="Times New Roman"/>
          <w:i/>
          <w:sz w:val="24"/>
          <w:szCs w:val="24"/>
        </w:rPr>
        <w:t xml:space="preserve">b </w:t>
      </w:r>
      <w:r w:rsidRPr="0031394A">
        <w:rPr>
          <w:rFonts w:ascii="Times New Roman" w:eastAsiaTheme="minorEastAsia" w:hAnsi="Times New Roman" w:cs="Times New Roman"/>
          <w:sz w:val="24"/>
          <w:szCs w:val="24"/>
        </w:rPr>
        <w:t xml:space="preserve">blocks at random with replacement from the collection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oMath>
      <w:r w:rsidRPr="0031394A">
        <w:rPr>
          <w:rFonts w:ascii="Times New Roman" w:eastAsiaTheme="minorEastAsia" w:hAnsi="Times New Roman" w:cs="Times New Roman"/>
          <w:sz w:val="24"/>
          <w:szCs w:val="24"/>
        </w:rPr>
        <w:t xml:space="preserve">. </w:t>
      </w:r>
      <w:r w:rsidRPr="0031394A">
        <w:rPr>
          <w:rFonts w:ascii="Times New Roman" w:hAnsi="Times New Roman" w:cs="Times New Roman"/>
          <w:sz w:val="24"/>
          <w:szCs w:val="24"/>
        </w:rPr>
        <w:t xml:space="preserve">Every block is randomly selected from the realization of a uniformly distributed random variable, which sets the date where the block starts. Random variables are simulated using the same seed to keep the comparison among the different portfolio choice scenarios. The </w:t>
      </w:r>
      <w:r w:rsidRPr="0031394A">
        <w:rPr>
          <w:rFonts w:ascii="Times New Roman" w:hAnsi="Times New Roman" w:cs="Times New Roman"/>
          <w:i/>
          <w:sz w:val="24"/>
          <w:szCs w:val="24"/>
        </w:rPr>
        <w:t>k</w:t>
      </w:r>
      <w:r w:rsidRPr="0031394A">
        <w:rPr>
          <w:rFonts w:ascii="Times New Roman" w:hAnsi="Times New Roman" w:cs="Times New Roman"/>
          <w:sz w:val="24"/>
          <w:szCs w:val="24"/>
        </w:rPr>
        <w:t xml:space="preserve">-size of the blocks is fixed to 12, so each block contains the information in one-year. </w:t>
      </w:r>
    </w:p>
    <w:p w14:paraId="6CE0A6C2" w14:textId="77777777" w:rsidR="006051C1" w:rsidRPr="0031394A" w:rsidRDefault="006051C1" w:rsidP="00C825A0">
      <w:pPr>
        <w:pStyle w:val="ListParagraph"/>
        <w:numPr>
          <w:ilvl w:val="0"/>
          <w:numId w:val="10"/>
        </w:numPr>
        <w:tabs>
          <w:tab w:val="left" w:pos="0"/>
        </w:tabs>
        <w:autoSpaceDE w:val="0"/>
        <w:autoSpaceDN w:val="0"/>
        <w:adjustRightInd w:val="0"/>
        <w:spacing w:before="120" w:after="120" w:line="240" w:lineRule="auto"/>
        <w:jc w:val="both"/>
        <w:rPr>
          <w:rFonts w:ascii="Times New Roman" w:hAnsi="Times New Roman" w:cs="Times New Roman"/>
          <w:sz w:val="23"/>
          <w:szCs w:val="23"/>
        </w:rPr>
      </w:pPr>
      <w:r w:rsidRPr="0031394A">
        <w:rPr>
          <w:rFonts w:ascii="Times New Roman" w:hAnsi="Times New Roman" w:cs="Times New Roman"/>
          <w:sz w:val="24"/>
          <w:szCs w:val="24"/>
        </w:rPr>
        <w:t xml:space="preserve">Finally, the realization of an individual simulated path of the asset is constructed by serially concatenating </w:t>
      </w:r>
      <w:r w:rsidRPr="0031394A">
        <w:rPr>
          <w:rFonts w:ascii="Times New Roman" w:hAnsi="Times New Roman" w:cs="Times New Roman"/>
          <w:i/>
          <w:sz w:val="24"/>
          <w:szCs w:val="24"/>
        </w:rPr>
        <w:t>b</w:t>
      </w:r>
      <w:r w:rsidRPr="0031394A">
        <w:rPr>
          <w:rFonts w:ascii="Times New Roman" w:hAnsi="Times New Roman" w:cs="Times New Roman"/>
          <w:sz w:val="24"/>
          <w:szCs w:val="24"/>
        </w:rPr>
        <w:t xml:space="preserve"> blocks, yielding to a simulated path with </w:t>
      </w:r>
      <m:oMath>
        <m:r>
          <w:rPr>
            <w:rFonts w:ascii="Cambria Math" w:hAnsi="Cambria Math" w:cs="Times New Roman"/>
            <w:sz w:val="24"/>
            <w:szCs w:val="24"/>
          </w:rPr>
          <m:t>b∙k</m:t>
        </m:r>
      </m:oMath>
      <w:r w:rsidRPr="0031394A">
        <w:rPr>
          <w:rFonts w:ascii="Times New Roman" w:eastAsiaTheme="minorEastAsia" w:hAnsi="Times New Roman" w:cs="Times New Roman"/>
          <w:sz w:val="24"/>
          <w:szCs w:val="24"/>
        </w:rPr>
        <w:t xml:space="preserve"> observations.</w:t>
      </w:r>
    </w:p>
    <w:bookmarkEnd w:id="12"/>
    <w:p w14:paraId="016A4B8E" w14:textId="77777777" w:rsidR="008378F0" w:rsidRPr="0031394A" w:rsidRDefault="008378F0" w:rsidP="00C825A0">
      <w:pPr>
        <w:spacing w:before="120" w:after="120" w:line="240" w:lineRule="auto"/>
        <w:jc w:val="both"/>
        <w:rPr>
          <w:rFonts w:ascii="Times New Roman" w:eastAsia="Times New Roman" w:hAnsi="Times New Roman" w:cs="Times New Roman"/>
          <w:sz w:val="24"/>
          <w:szCs w:val="24"/>
          <w:lang w:val="en-GB" w:eastAsia="es-ES"/>
        </w:rPr>
      </w:pPr>
      <w:r w:rsidRPr="0031394A">
        <w:rPr>
          <w:rFonts w:ascii="Times New Roman" w:hAnsi="Times New Roman" w:cs="Times New Roman"/>
          <w:sz w:val="24"/>
          <w:szCs w:val="24"/>
        </w:rPr>
        <w:t>The deterministic optimisation framework uses several percentiles of the returns as a pre-defined fixed parameter, otherwise stochastic optimisation would be needed. As we are working with a real-world problem (European population, salaries, contribution rate, retirement age and indexation of pensions for 75 years) it would be computationally intense to include a time-dependent multi-stage optimisation. Therefore, each realisation path should be viewed as a one-scenario of a possible realisation of the time-dependent stochastic process. One possible approach is to use Monte Carlo techniques to generate scenarios by conditional sampling. However, as our model includes several smooth constraints to prevent jumps, the results of the contribution rate, retirement age and indexation of pensions should not vary dramatically since the parameters are bounded.</w:t>
      </w:r>
    </w:p>
    <w:p w14:paraId="65E1296D" w14:textId="77777777" w:rsidR="00C41700" w:rsidRPr="0031394A" w:rsidRDefault="00C41700" w:rsidP="00C825A0">
      <w:pPr>
        <w:spacing w:before="120" w:after="120" w:line="240" w:lineRule="auto"/>
        <w:jc w:val="both"/>
        <w:rPr>
          <w:rFonts w:ascii="Times New Roman" w:eastAsia="Times New Roman" w:hAnsi="Times New Roman" w:cs="Times New Roman"/>
          <w:sz w:val="24"/>
          <w:szCs w:val="24"/>
          <w:lang w:val="en-GB" w:eastAsia="es-ES"/>
        </w:rPr>
      </w:pPr>
      <w:r w:rsidRPr="0031394A">
        <w:rPr>
          <w:rFonts w:ascii="Times New Roman" w:eastAsia="Times New Roman" w:hAnsi="Times New Roman" w:cs="Times New Roman"/>
          <w:sz w:val="24"/>
          <w:szCs w:val="24"/>
          <w:lang w:val="en-GB" w:eastAsia="es-ES"/>
        </w:rPr>
        <w:t xml:space="preserve">Under a mixed pension system, </w:t>
      </w:r>
      <w:r w:rsidR="00CC3E16" w:rsidRPr="0031394A">
        <w:rPr>
          <w:rFonts w:ascii="Times New Roman" w:eastAsia="Times New Roman" w:hAnsi="Times New Roman" w:cs="Times New Roman"/>
          <w:sz w:val="24"/>
          <w:szCs w:val="24"/>
          <w:lang w:val="en-GB" w:eastAsia="es-ES"/>
        </w:rPr>
        <w:t xml:space="preserve">due to the funding DC nature, </w:t>
      </w:r>
      <w:r w:rsidRPr="0031394A">
        <w:rPr>
          <w:rFonts w:ascii="Times New Roman" w:eastAsia="Times New Roman" w:hAnsi="Times New Roman" w:cs="Times New Roman"/>
          <w:sz w:val="24"/>
          <w:szCs w:val="24"/>
          <w:lang w:val="en-GB" w:eastAsia="es-ES"/>
        </w:rPr>
        <w:t xml:space="preserve">the amount of the pension also depends on the future returns according to an investment strategy. The replacement rate, defined as the amount of the initial pension divided by pre-retirement earnings, is computed in the following section. The replacement rate measures how effectively a pension system provides a retirement income to replace earnings, </w:t>
      </w:r>
      <w:r w:rsidR="008518F7" w:rsidRPr="0031394A">
        <w:rPr>
          <w:rFonts w:ascii="Times New Roman" w:eastAsia="Times New Roman" w:hAnsi="Times New Roman" w:cs="Times New Roman"/>
          <w:sz w:val="24"/>
          <w:szCs w:val="24"/>
          <w:lang w:val="en-GB" w:eastAsia="es-ES"/>
        </w:rPr>
        <w:t xml:space="preserve">which is </w:t>
      </w:r>
      <w:r w:rsidRPr="0031394A">
        <w:rPr>
          <w:rFonts w:ascii="Times New Roman" w:eastAsia="Times New Roman" w:hAnsi="Times New Roman" w:cs="Times New Roman"/>
          <w:sz w:val="24"/>
          <w:szCs w:val="24"/>
          <w:lang w:val="en-GB" w:eastAsia="es-ES"/>
        </w:rPr>
        <w:t>the main source of income before retirement.</w:t>
      </w:r>
    </w:p>
    <w:p w14:paraId="09FF2633" w14:textId="77777777" w:rsidR="003417B9" w:rsidRPr="0031394A" w:rsidRDefault="00FF7432" w:rsidP="00C825A0">
      <w:pPr>
        <w:pStyle w:val="Heading2"/>
        <w:tabs>
          <w:tab w:val="center" w:pos="4800"/>
          <w:tab w:val="right" w:pos="9500"/>
        </w:tabs>
        <w:spacing w:before="120" w:after="120"/>
        <w:ind w:firstLine="0"/>
        <w:rPr>
          <w:rFonts w:ascii="Times New Roman" w:hAnsi="Times New Roman" w:cs="Times New Roman"/>
          <w:noProof w:val="0"/>
          <w:sz w:val="24"/>
          <w:szCs w:val="24"/>
        </w:rPr>
      </w:pPr>
      <w:r w:rsidRPr="0031394A">
        <w:rPr>
          <w:rFonts w:ascii="Times New Roman" w:hAnsi="Times New Roman" w:cs="Times New Roman"/>
          <w:noProof w:val="0"/>
          <w:sz w:val="24"/>
          <w:szCs w:val="24"/>
        </w:rPr>
        <w:t xml:space="preserve">3. </w:t>
      </w:r>
      <w:r w:rsidR="003417B9" w:rsidRPr="0031394A">
        <w:rPr>
          <w:rFonts w:ascii="Times New Roman" w:hAnsi="Times New Roman" w:cs="Times New Roman"/>
          <w:noProof w:val="0"/>
          <w:sz w:val="24"/>
          <w:szCs w:val="24"/>
        </w:rPr>
        <w:t>Numerical application for a mixed pension system</w:t>
      </w:r>
    </w:p>
    <w:p w14:paraId="1C692B2D" w14:textId="3428AFA2" w:rsidR="00C66FDA" w:rsidRPr="0031394A" w:rsidRDefault="003417B9" w:rsidP="00C825A0">
      <w:pPr>
        <w:pStyle w:val="Heading2"/>
        <w:tabs>
          <w:tab w:val="center" w:pos="4800"/>
          <w:tab w:val="right" w:pos="9500"/>
        </w:tabs>
        <w:spacing w:before="120" w:after="120"/>
        <w:ind w:firstLine="0"/>
        <w:jc w:val="both"/>
        <w:rPr>
          <w:rFonts w:ascii="Times New Roman" w:hAnsi="Times New Roman" w:cs="Times New Roman"/>
          <w:b w:val="0"/>
          <w:sz w:val="24"/>
          <w:szCs w:val="24"/>
        </w:rPr>
      </w:pPr>
      <w:r w:rsidRPr="0031394A">
        <w:rPr>
          <w:rFonts w:ascii="Times New Roman" w:hAnsi="Times New Roman" w:cs="Times New Roman"/>
          <w:b w:val="0"/>
          <w:sz w:val="24"/>
          <w:szCs w:val="24"/>
        </w:rPr>
        <w:t xml:space="preserve">This section </w:t>
      </w:r>
      <w:r w:rsidR="00F0739C" w:rsidRPr="0031394A">
        <w:rPr>
          <w:rFonts w:ascii="Times New Roman" w:hAnsi="Times New Roman" w:cs="Times New Roman"/>
          <w:b w:val="0"/>
          <w:sz w:val="24"/>
          <w:szCs w:val="24"/>
        </w:rPr>
        <w:t>illustrates the methodolo</w:t>
      </w:r>
      <w:r w:rsidR="00A23AF4">
        <w:rPr>
          <w:rFonts w:ascii="Times New Roman" w:hAnsi="Times New Roman" w:cs="Times New Roman"/>
          <w:b w:val="0"/>
          <w:sz w:val="24"/>
          <w:szCs w:val="24"/>
        </w:rPr>
        <w:t>g</w:t>
      </w:r>
      <w:r w:rsidR="00F0739C" w:rsidRPr="0031394A">
        <w:rPr>
          <w:rFonts w:ascii="Times New Roman" w:hAnsi="Times New Roman" w:cs="Times New Roman"/>
          <w:b w:val="0"/>
          <w:sz w:val="24"/>
          <w:szCs w:val="24"/>
        </w:rPr>
        <w:t xml:space="preserve">y presented in Section 2 by means of a representative </w:t>
      </w:r>
      <w:r w:rsidR="00DB6B27" w:rsidRPr="0031394A">
        <w:rPr>
          <w:rFonts w:ascii="Times New Roman" w:hAnsi="Times New Roman" w:cs="Times New Roman"/>
          <w:b w:val="0"/>
          <w:sz w:val="24"/>
          <w:szCs w:val="24"/>
        </w:rPr>
        <w:t xml:space="preserve">example </w:t>
      </w:r>
      <w:r w:rsidR="00E71EDA" w:rsidRPr="0031394A">
        <w:rPr>
          <w:rFonts w:ascii="Times New Roman" w:hAnsi="Times New Roman" w:cs="Times New Roman"/>
          <w:b w:val="0"/>
          <w:sz w:val="24"/>
          <w:szCs w:val="24"/>
        </w:rPr>
        <w:t>over the next 75 years</w:t>
      </w:r>
      <w:r w:rsidR="00DB6B27" w:rsidRPr="0031394A">
        <w:rPr>
          <w:rFonts w:ascii="Times New Roman" w:hAnsi="Times New Roman" w:cs="Times New Roman"/>
          <w:b w:val="0"/>
          <w:sz w:val="24"/>
          <w:szCs w:val="24"/>
        </w:rPr>
        <w:t>. First, the main data and assumption</w:t>
      </w:r>
      <w:r w:rsidR="008518F7" w:rsidRPr="0031394A">
        <w:rPr>
          <w:rFonts w:ascii="Times New Roman" w:hAnsi="Times New Roman" w:cs="Times New Roman"/>
          <w:b w:val="0"/>
          <w:sz w:val="24"/>
          <w:szCs w:val="24"/>
        </w:rPr>
        <w:t>s</w:t>
      </w:r>
      <w:r w:rsidR="00DB6B27" w:rsidRPr="0031394A">
        <w:rPr>
          <w:rFonts w:ascii="Times New Roman" w:hAnsi="Times New Roman" w:cs="Times New Roman"/>
          <w:b w:val="0"/>
          <w:sz w:val="24"/>
          <w:szCs w:val="24"/>
        </w:rPr>
        <w:t xml:space="preserve"> are presented, secondly the results are discussed and finally this section provides a sensitivity analysis </w:t>
      </w:r>
      <w:r w:rsidR="008518F7" w:rsidRPr="0031394A">
        <w:rPr>
          <w:rFonts w:ascii="Times New Roman" w:hAnsi="Times New Roman" w:cs="Times New Roman"/>
          <w:b w:val="0"/>
          <w:sz w:val="24"/>
          <w:szCs w:val="24"/>
        </w:rPr>
        <w:t xml:space="preserve">which </w:t>
      </w:r>
      <w:r w:rsidR="0090036A" w:rsidRPr="0031394A">
        <w:rPr>
          <w:rFonts w:ascii="Times New Roman" w:hAnsi="Times New Roman" w:cs="Times New Roman"/>
          <w:b w:val="0"/>
          <w:sz w:val="24"/>
          <w:szCs w:val="24"/>
        </w:rPr>
        <w:t>mainly depend</w:t>
      </w:r>
      <w:r w:rsidR="008518F7" w:rsidRPr="0031394A">
        <w:rPr>
          <w:rFonts w:ascii="Times New Roman" w:hAnsi="Times New Roman" w:cs="Times New Roman"/>
          <w:b w:val="0"/>
          <w:sz w:val="24"/>
          <w:szCs w:val="24"/>
        </w:rPr>
        <w:t>s</w:t>
      </w:r>
      <w:r w:rsidR="0090036A" w:rsidRPr="0031394A">
        <w:rPr>
          <w:rFonts w:ascii="Times New Roman" w:hAnsi="Times New Roman" w:cs="Times New Roman"/>
          <w:b w:val="0"/>
          <w:sz w:val="24"/>
          <w:szCs w:val="24"/>
        </w:rPr>
        <w:t xml:space="preserve"> on the percentage allocated to the DC</w:t>
      </w:r>
      <w:r w:rsidR="00C71C94" w:rsidRPr="0031394A">
        <w:rPr>
          <w:rFonts w:ascii="Times New Roman" w:hAnsi="Times New Roman" w:cs="Times New Roman"/>
          <w:b w:val="0"/>
          <w:sz w:val="24"/>
          <w:szCs w:val="24"/>
        </w:rPr>
        <w:t xml:space="preserve"> funded</w:t>
      </w:r>
      <w:r w:rsidR="0090036A" w:rsidRPr="0031394A">
        <w:rPr>
          <w:rFonts w:ascii="Times New Roman" w:hAnsi="Times New Roman" w:cs="Times New Roman"/>
          <w:b w:val="0"/>
          <w:sz w:val="24"/>
          <w:szCs w:val="24"/>
        </w:rPr>
        <w:t xml:space="preserve"> part.</w:t>
      </w:r>
      <w:r w:rsidR="00DB6B27" w:rsidRPr="0031394A">
        <w:rPr>
          <w:rFonts w:ascii="Times New Roman" w:hAnsi="Times New Roman" w:cs="Times New Roman"/>
          <w:b w:val="0"/>
          <w:sz w:val="24"/>
          <w:szCs w:val="24"/>
        </w:rPr>
        <w:t xml:space="preserve"> </w:t>
      </w:r>
      <w:r w:rsidR="00C66FDA" w:rsidRPr="0031394A">
        <w:rPr>
          <w:rFonts w:ascii="Times New Roman" w:hAnsi="Times New Roman" w:cs="Times New Roman"/>
          <w:b w:val="0"/>
          <w:sz w:val="24"/>
          <w:szCs w:val="24"/>
        </w:rPr>
        <w:t>In the main data, we discuss the demographic and economic data, and other assumptions related to the mixed pension system together with its DB PAYG and DC funded parts are follow:</w:t>
      </w:r>
      <w:r w:rsidR="00C66FDA" w:rsidRPr="0031394A">
        <w:rPr>
          <w:rFonts w:ascii="Times New Roman" w:hAnsi="Times New Roman" w:cs="Times New Roman"/>
          <w:sz w:val="24"/>
          <w:szCs w:val="24"/>
        </w:rPr>
        <w:t xml:space="preserve"> </w:t>
      </w:r>
    </w:p>
    <w:p w14:paraId="09AA1D1E" w14:textId="77777777" w:rsidR="00E401E1" w:rsidRPr="0031394A" w:rsidRDefault="003417B9" w:rsidP="00C825A0">
      <w:pPr>
        <w:spacing w:before="120" w:after="120" w:line="240" w:lineRule="auto"/>
        <w:jc w:val="both"/>
        <w:rPr>
          <w:rFonts w:ascii="Times New Roman" w:hAnsi="Times New Roman" w:cs="Times New Roman"/>
          <w:b/>
          <w:i/>
          <w:sz w:val="24"/>
          <w:szCs w:val="24"/>
          <w:lang w:val="en-GB"/>
        </w:rPr>
      </w:pPr>
      <w:r w:rsidRPr="0031394A">
        <w:rPr>
          <w:rFonts w:ascii="Times New Roman" w:hAnsi="Times New Roman" w:cs="Times New Roman"/>
          <w:b/>
          <w:i/>
          <w:sz w:val="24"/>
          <w:szCs w:val="24"/>
          <w:lang w:val="en-GB"/>
        </w:rPr>
        <w:t>D</w:t>
      </w:r>
      <w:r w:rsidR="00C375D4" w:rsidRPr="0031394A">
        <w:rPr>
          <w:rFonts w:ascii="Times New Roman" w:hAnsi="Times New Roman" w:cs="Times New Roman"/>
          <w:b/>
          <w:i/>
          <w:sz w:val="24"/>
          <w:szCs w:val="24"/>
          <w:lang w:val="en-GB"/>
        </w:rPr>
        <w:t>emographic and economic data</w:t>
      </w:r>
    </w:p>
    <w:p w14:paraId="5E2BAB1D" w14:textId="77777777" w:rsidR="006D40DC" w:rsidRPr="0031394A" w:rsidRDefault="00473D86" w:rsidP="00C825A0">
      <w:pPr>
        <w:pStyle w:val="ListParagraph"/>
        <w:numPr>
          <w:ilvl w:val="0"/>
          <w:numId w:val="3"/>
        </w:numPr>
        <w:spacing w:before="120" w:after="120" w:line="240" w:lineRule="auto"/>
        <w:jc w:val="both"/>
        <w:rPr>
          <w:rFonts w:ascii="Times New Roman" w:hAnsi="Times New Roman" w:cs="Times New Roman"/>
          <w:b/>
          <w:i/>
          <w:sz w:val="24"/>
          <w:szCs w:val="24"/>
          <w:lang w:val="en-GB"/>
        </w:rPr>
      </w:pPr>
      <w:r w:rsidRPr="0031394A">
        <w:rPr>
          <w:rFonts w:ascii="Times New Roman" w:hAnsi="Times New Roman" w:cs="Times New Roman"/>
          <w:sz w:val="24"/>
          <w:szCs w:val="24"/>
          <w:lang w:val="en-GB"/>
        </w:rPr>
        <w:t xml:space="preserve">We use the </w:t>
      </w:r>
      <w:bookmarkStart w:id="13" w:name="OLE_LINK26"/>
      <w:bookmarkStart w:id="14" w:name="OLE_LINK27"/>
      <w:bookmarkStart w:id="15" w:name="OLE_LINK28"/>
      <w:r w:rsidR="006D40DC" w:rsidRPr="0031394A">
        <w:rPr>
          <w:rFonts w:ascii="Times New Roman" w:hAnsi="Times New Roman" w:cs="Times New Roman"/>
          <w:sz w:val="24"/>
          <w:szCs w:val="24"/>
          <w:lang w:val="en-GB"/>
        </w:rPr>
        <w:t xml:space="preserve">forecast </w:t>
      </w:r>
      <w:r w:rsidRPr="0031394A">
        <w:rPr>
          <w:rFonts w:ascii="Times New Roman" w:hAnsi="Times New Roman" w:cs="Times New Roman"/>
          <w:sz w:val="24"/>
          <w:szCs w:val="24"/>
          <w:lang w:val="en-GB"/>
        </w:rPr>
        <w:t xml:space="preserve">demographic structure </w:t>
      </w:r>
      <w:bookmarkEnd w:id="13"/>
      <w:bookmarkEnd w:id="14"/>
      <w:bookmarkEnd w:id="15"/>
      <w:r w:rsidRPr="0031394A">
        <w:rPr>
          <w:rFonts w:ascii="Times New Roman" w:hAnsi="Times New Roman" w:cs="Times New Roman"/>
          <w:sz w:val="24"/>
          <w:szCs w:val="24"/>
          <w:lang w:val="en-GB"/>
        </w:rPr>
        <w:t xml:space="preserve">of the European population from </w:t>
      </w:r>
      <w:r w:rsidR="006D5F6C" w:rsidRPr="0031394A">
        <w:rPr>
          <w:rFonts w:ascii="Times New Roman" w:hAnsi="Times New Roman" w:cs="Times New Roman"/>
          <w:sz w:val="24"/>
          <w:szCs w:val="24"/>
          <w:lang w:val="en-GB"/>
        </w:rPr>
        <w:t>2015 to 2080 obtained from Eurostat.</w:t>
      </w:r>
      <w:r w:rsidRPr="0031394A">
        <w:rPr>
          <w:rStyle w:val="FootnoteReference"/>
          <w:rFonts w:ascii="Times New Roman" w:hAnsi="Times New Roman" w:cs="Times New Roman"/>
          <w:sz w:val="24"/>
          <w:szCs w:val="24"/>
          <w:lang w:val="en-GB"/>
        </w:rPr>
        <w:footnoteReference w:id="16"/>
      </w:r>
      <w:r w:rsidRPr="0031394A">
        <w:rPr>
          <w:rFonts w:ascii="Times New Roman" w:hAnsi="Times New Roman" w:cs="Times New Roman"/>
          <w:sz w:val="24"/>
          <w:szCs w:val="24"/>
          <w:lang w:val="en-GB"/>
        </w:rPr>
        <w:t xml:space="preserve"> </w:t>
      </w:r>
      <w:r w:rsidR="006D40DC" w:rsidRPr="0031394A">
        <w:rPr>
          <w:rFonts w:ascii="Times New Roman" w:hAnsi="Times New Roman" w:cs="Times New Roman"/>
          <w:sz w:val="24"/>
          <w:szCs w:val="24"/>
          <w:lang w:val="en-GB"/>
        </w:rPr>
        <w:t xml:space="preserve">It can be </w:t>
      </w:r>
      <w:r w:rsidR="00CB3F6D" w:rsidRPr="0031394A">
        <w:rPr>
          <w:rFonts w:ascii="Times New Roman" w:hAnsi="Times New Roman" w:cs="Times New Roman"/>
          <w:sz w:val="24"/>
          <w:szCs w:val="24"/>
          <w:lang w:val="en-GB"/>
        </w:rPr>
        <w:t>seen</w:t>
      </w:r>
      <w:r w:rsidR="004E7C41" w:rsidRPr="0031394A">
        <w:rPr>
          <w:rFonts w:ascii="Times New Roman" w:hAnsi="Times New Roman" w:cs="Times New Roman"/>
          <w:sz w:val="24"/>
          <w:szCs w:val="24"/>
          <w:lang w:val="en-GB"/>
        </w:rPr>
        <w:t xml:space="preserve"> that the peak of population in 2015 (Figure 1(a), dark grey pyramid) is at ages 48-55, corresponding to the demographic boom in the 1960s and early 1970s. In 2080, </w:t>
      </w:r>
      <w:r w:rsidR="0065397F" w:rsidRPr="0031394A">
        <w:rPr>
          <w:rFonts w:ascii="Times New Roman" w:hAnsi="Times New Roman" w:cs="Times New Roman"/>
          <w:sz w:val="24"/>
          <w:szCs w:val="24"/>
          <w:lang w:val="en-GB"/>
        </w:rPr>
        <w:t xml:space="preserve">we can notice </w:t>
      </w:r>
      <w:r w:rsidR="008518F7" w:rsidRPr="0031394A">
        <w:rPr>
          <w:rFonts w:ascii="Times New Roman" w:hAnsi="Times New Roman" w:cs="Times New Roman"/>
          <w:sz w:val="24"/>
          <w:szCs w:val="24"/>
          <w:lang w:val="en-GB"/>
        </w:rPr>
        <w:t>the appearance of</w:t>
      </w:r>
      <w:r w:rsidR="0065397F" w:rsidRPr="0031394A">
        <w:rPr>
          <w:rFonts w:ascii="Times New Roman" w:hAnsi="Times New Roman" w:cs="Times New Roman"/>
          <w:sz w:val="24"/>
          <w:szCs w:val="24"/>
          <w:lang w:val="en-GB"/>
        </w:rPr>
        <w:t xml:space="preserve"> </w:t>
      </w:r>
      <w:r w:rsidR="004E7C41" w:rsidRPr="0031394A">
        <w:rPr>
          <w:rFonts w:ascii="Times New Roman" w:hAnsi="Times New Roman" w:cs="Times New Roman"/>
          <w:sz w:val="24"/>
          <w:szCs w:val="24"/>
          <w:lang w:val="en-GB"/>
        </w:rPr>
        <w:t xml:space="preserve">a more </w:t>
      </w:r>
      <w:r w:rsidR="00CB3F6D" w:rsidRPr="0031394A">
        <w:rPr>
          <w:rFonts w:ascii="Times New Roman" w:hAnsi="Times New Roman" w:cs="Times New Roman"/>
          <w:sz w:val="24"/>
          <w:szCs w:val="24"/>
          <w:lang w:val="en-GB"/>
        </w:rPr>
        <w:t>rectangular shaped pyramid (Figure</w:t>
      </w:r>
      <w:r w:rsidR="0032452F" w:rsidRPr="0031394A">
        <w:rPr>
          <w:rFonts w:ascii="Times New Roman" w:hAnsi="Times New Roman" w:cs="Times New Roman"/>
          <w:sz w:val="24"/>
          <w:szCs w:val="24"/>
          <w:lang w:val="en-GB"/>
        </w:rPr>
        <w:t xml:space="preserve"> 1(a), </w:t>
      </w:r>
      <w:r w:rsidR="00704A99" w:rsidRPr="0031394A">
        <w:rPr>
          <w:rFonts w:ascii="Times New Roman" w:hAnsi="Times New Roman" w:cs="Times New Roman"/>
          <w:sz w:val="24"/>
          <w:szCs w:val="24"/>
          <w:lang w:val="en-GB"/>
        </w:rPr>
        <w:t>light</w:t>
      </w:r>
      <w:r w:rsidR="0032452F" w:rsidRPr="0031394A">
        <w:rPr>
          <w:rFonts w:ascii="Times New Roman" w:hAnsi="Times New Roman" w:cs="Times New Roman"/>
          <w:sz w:val="24"/>
          <w:szCs w:val="24"/>
          <w:lang w:val="en-GB"/>
        </w:rPr>
        <w:t xml:space="preserve"> grey </w:t>
      </w:r>
      <w:r w:rsidR="0032452F" w:rsidRPr="0031394A">
        <w:rPr>
          <w:rFonts w:ascii="Times New Roman" w:hAnsi="Times New Roman" w:cs="Times New Roman"/>
          <w:sz w:val="24"/>
          <w:szCs w:val="24"/>
          <w:lang w:val="en-GB"/>
        </w:rPr>
        <w:lastRenderedPageBreak/>
        <w:t xml:space="preserve">pyramid) as a result of </w:t>
      </w:r>
      <w:r w:rsidR="0065397F" w:rsidRPr="0031394A">
        <w:rPr>
          <w:rFonts w:ascii="Times New Roman" w:hAnsi="Times New Roman" w:cs="Times New Roman"/>
          <w:sz w:val="24"/>
          <w:szCs w:val="24"/>
          <w:lang w:val="en-GB"/>
        </w:rPr>
        <w:t>the</w:t>
      </w:r>
      <w:r w:rsidR="0032452F" w:rsidRPr="0031394A">
        <w:rPr>
          <w:rFonts w:ascii="Times New Roman" w:hAnsi="Times New Roman" w:cs="Times New Roman"/>
          <w:sz w:val="24"/>
          <w:szCs w:val="24"/>
          <w:lang w:val="en-GB"/>
        </w:rPr>
        <w:t xml:space="preserve"> aging </w:t>
      </w:r>
      <w:r w:rsidR="0065397F" w:rsidRPr="0031394A">
        <w:rPr>
          <w:rFonts w:ascii="Times New Roman" w:hAnsi="Times New Roman" w:cs="Times New Roman"/>
          <w:sz w:val="24"/>
          <w:szCs w:val="24"/>
          <w:lang w:val="en-GB"/>
        </w:rPr>
        <w:t>process</w:t>
      </w:r>
      <w:r w:rsidR="00120475" w:rsidRPr="0031394A">
        <w:rPr>
          <w:rFonts w:ascii="Times New Roman" w:hAnsi="Times New Roman" w:cs="Times New Roman"/>
          <w:sz w:val="24"/>
          <w:szCs w:val="24"/>
          <w:lang w:val="en-GB"/>
        </w:rPr>
        <w:t>. Also, the age-dependency ratio,</w:t>
      </w:r>
      <w:r w:rsidR="00681A06" w:rsidRPr="0031394A">
        <w:rPr>
          <w:rStyle w:val="FootnoteReference"/>
          <w:rFonts w:ascii="Times New Roman" w:hAnsi="Times New Roman" w:cs="Times New Roman"/>
          <w:sz w:val="24"/>
          <w:szCs w:val="24"/>
          <w:lang w:val="en-GB"/>
        </w:rPr>
        <w:footnoteReference w:id="17"/>
      </w:r>
      <w:r w:rsidR="00681A06" w:rsidRPr="0031394A">
        <w:rPr>
          <w:rFonts w:ascii="Times New Roman" w:hAnsi="Times New Roman" w:cs="Times New Roman"/>
          <w:sz w:val="24"/>
          <w:szCs w:val="24"/>
          <w:lang w:val="en-GB"/>
        </w:rPr>
        <w:t xml:space="preserve"> </w:t>
      </w:r>
      <w:r w:rsidR="00120475" w:rsidRPr="0031394A">
        <w:rPr>
          <w:rFonts w:ascii="Times New Roman" w:hAnsi="Times New Roman" w:cs="Times New Roman"/>
          <w:sz w:val="24"/>
          <w:szCs w:val="24"/>
          <w:lang w:val="en-GB"/>
        </w:rPr>
        <w:t xml:space="preserve"> decreases over time, with 3.</w:t>
      </w:r>
      <w:r w:rsidR="0065397F" w:rsidRPr="0031394A">
        <w:rPr>
          <w:rFonts w:ascii="Times New Roman" w:hAnsi="Times New Roman" w:cs="Times New Roman"/>
          <w:sz w:val="24"/>
          <w:szCs w:val="24"/>
          <w:lang w:val="en-GB"/>
        </w:rPr>
        <w:t>2</w:t>
      </w:r>
      <w:r w:rsidR="00120475" w:rsidRPr="0031394A">
        <w:rPr>
          <w:rFonts w:ascii="Times New Roman" w:hAnsi="Times New Roman" w:cs="Times New Roman"/>
          <w:sz w:val="24"/>
          <w:szCs w:val="24"/>
          <w:lang w:val="en-GB"/>
        </w:rPr>
        <w:t xml:space="preserve"> contributor financing one pensioner in 2015 to 1.</w:t>
      </w:r>
      <w:r w:rsidR="0065397F" w:rsidRPr="0031394A">
        <w:rPr>
          <w:rFonts w:ascii="Times New Roman" w:hAnsi="Times New Roman" w:cs="Times New Roman"/>
          <w:sz w:val="24"/>
          <w:szCs w:val="24"/>
          <w:lang w:val="en-GB"/>
        </w:rPr>
        <w:t>7</w:t>
      </w:r>
      <w:r w:rsidR="00120475" w:rsidRPr="0031394A">
        <w:rPr>
          <w:rFonts w:ascii="Times New Roman" w:hAnsi="Times New Roman" w:cs="Times New Roman"/>
          <w:sz w:val="24"/>
          <w:szCs w:val="24"/>
          <w:lang w:val="en-GB"/>
        </w:rPr>
        <w:t xml:space="preserve"> in 2080 as show in Figure 1(</w:t>
      </w:r>
      <w:r w:rsidR="00A67613" w:rsidRPr="0031394A">
        <w:rPr>
          <w:rFonts w:ascii="Times New Roman" w:hAnsi="Times New Roman" w:cs="Times New Roman"/>
          <w:sz w:val="24"/>
          <w:szCs w:val="24"/>
          <w:lang w:val="en-GB"/>
        </w:rPr>
        <w:t>b</w:t>
      </w:r>
      <w:r w:rsidR="00120475" w:rsidRPr="0031394A">
        <w:rPr>
          <w:rFonts w:ascii="Times New Roman" w:hAnsi="Times New Roman" w:cs="Times New Roman"/>
          <w:sz w:val="24"/>
          <w:szCs w:val="24"/>
          <w:lang w:val="en-GB"/>
        </w:rPr>
        <w:t>)</w:t>
      </w:r>
      <w:r w:rsidR="00E71EDA" w:rsidRPr="0031394A">
        <w:rPr>
          <w:rFonts w:ascii="Times New Roman" w:hAnsi="Times New Roman" w:cs="Times New Roman"/>
          <w:sz w:val="24"/>
          <w:szCs w:val="24"/>
          <w:lang w:val="en-GB"/>
        </w:rPr>
        <w:t>.</w:t>
      </w:r>
    </w:p>
    <w:p w14:paraId="4270C8FA" w14:textId="2729B2FD" w:rsidR="00EF431E" w:rsidRPr="00C825A0" w:rsidRDefault="00A67613" w:rsidP="00EF431E">
      <w:pPr>
        <w:pStyle w:val="ListParagraph"/>
        <w:numPr>
          <w:ilvl w:val="0"/>
          <w:numId w:val="3"/>
        </w:num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European salary structure is used in 2015 as shown in Figure 1(c). The salaries are assumed to increase at an annual constant rate </w:t>
      </w:r>
      <w:r w:rsidR="00C550D9" w:rsidRPr="0031394A">
        <w:rPr>
          <w:rFonts w:ascii="Times New Roman" w:hAnsi="Times New Roman" w:cs="Times New Roman"/>
          <w:sz w:val="24"/>
          <w:szCs w:val="24"/>
          <w:lang w:val="en-GB"/>
        </w:rPr>
        <w:t>of 2.5%.</w:t>
      </w:r>
      <w:r w:rsidR="00C550D9" w:rsidRPr="0031394A">
        <w:rPr>
          <w:rStyle w:val="FootnoteReference"/>
          <w:rFonts w:ascii="Times New Roman" w:hAnsi="Times New Roman" w:cs="Times New Roman"/>
          <w:sz w:val="24"/>
          <w:szCs w:val="24"/>
          <w:lang w:val="en-GB"/>
        </w:rPr>
        <w:footnoteReference w:id="18"/>
      </w:r>
      <w:r w:rsidR="00C550D9" w:rsidRPr="0031394A">
        <w:rPr>
          <w:rFonts w:ascii="Times New Roman" w:hAnsi="Times New Roman" w:cs="Times New Roman"/>
          <w:sz w:val="24"/>
          <w:szCs w:val="24"/>
          <w:lang w:val="en-GB"/>
        </w:rPr>
        <w:t xml:space="preserve"> No unemployment is considered in our analysis.</w:t>
      </w:r>
    </w:p>
    <w:p w14:paraId="7BDAE879" w14:textId="77777777" w:rsidR="00C7666A" w:rsidRPr="0031394A" w:rsidRDefault="00C7666A" w:rsidP="002168DE">
      <w:pPr>
        <w:pStyle w:val="ListParagraph"/>
        <w:spacing w:after="120"/>
        <w:jc w:val="center"/>
        <w:rPr>
          <w:rFonts w:ascii="Times New Roman" w:hAnsi="Times New Roman" w:cs="Times New Roman"/>
          <w:b/>
          <w:szCs w:val="22"/>
          <w:lang w:val="en-GB"/>
        </w:rPr>
      </w:pPr>
    </w:p>
    <w:p w14:paraId="18155901" w14:textId="77777777" w:rsidR="00473D86" w:rsidRPr="0031394A" w:rsidRDefault="00A74FB6" w:rsidP="005978AB">
      <w:pPr>
        <w:pStyle w:val="ListParagraph"/>
        <w:spacing w:after="120" w:line="240" w:lineRule="auto"/>
        <w:ind w:left="0"/>
        <w:jc w:val="center"/>
        <w:rPr>
          <w:rFonts w:ascii="Times New Roman" w:hAnsi="Times New Roman" w:cs="Times New Roman"/>
          <w:b/>
          <w:szCs w:val="22"/>
          <w:highlight w:val="red"/>
          <w:lang w:val="en-GB"/>
        </w:rPr>
      </w:pPr>
      <w:r w:rsidRPr="0031394A">
        <w:rPr>
          <w:rFonts w:ascii="Times New Roman" w:hAnsi="Times New Roman" w:cs="Times New Roman"/>
          <w:b/>
          <w:szCs w:val="22"/>
          <w:lang w:val="en-GB"/>
        </w:rPr>
        <w:t>Figure 1</w:t>
      </w:r>
      <w:r w:rsidR="00681A06" w:rsidRPr="0031394A">
        <w:rPr>
          <w:rFonts w:ascii="Times New Roman" w:hAnsi="Times New Roman" w:cs="Times New Roman"/>
          <w:b/>
          <w:szCs w:val="22"/>
          <w:lang w:val="en-GB"/>
        </w:rPr>
        <w:t>: European population structure in 2015 (</w:t>
      </w:r>
      <w:r w:rsidR="0065397F" w:rsidRPr="0031394A">
        <w:rPr>
          <w:rFonts w:ascii="Times New Roman" w:hAnsi="Times New Roman" w:cs="Times New Roman"/>
          <w:b/>
          <w:szCs w:val="22"/>
          <w:lang w:val="en-GB"/>
        </w:rPr>
        <w:t xml:space="preserve">dark </w:t>
      </w:r>
      <w:r w:rsidR="00681A06" w:rsidRPr="0031394A">
        <w:rPr>
          <w:rFonts w:ascii="Times New Roman" w:hAnsi="Times New Roman" w:cs="Times New Roman"/>
          <w:b/>
          <w:szCs w:val="22"/>
          <w:lang w:val="en-GB"/>
        </w:rPr>
        <w:t>grey) and 2080 (</w:t>
      </w:r>
      <w:r w:rsidR="0065397F" w:rsidRPr="0031394A">
        <w:rPr>
          <w:rFonts w:ascii="Times New Roman" w:hAnsi="Times New Roman" w:cs="Times New Roman"/>
          <w:b/>
          <w:szCs w:val="22"/>
          <w:lang w:val="en-GB"/>
        </w:rPr>
        <w:t>light grey</w:t>
      </w:r>
      <w:r w:rsidR="00681A06" w:rsidRPr="0031394A">
        <w:rPr>
          <w:rFonts w:ascii="Times New Roman" w:hAnsi="Times New Roman" w:cs="Times New Roman"/>
          <w:b/>
          <w:szCs w:val="22"/>
          <w:lang w:val="en-GB"/>
        </w:rPr>
        <w:t>), evolution of the age dependency ratio, and salary structure in 2015</w:t>
      </w:r>
    </w:p>
    <w:tbl>
      <w:tblPr>
        <w:tblStyle w:val="TableGrid"/>
        <w:tblW w:w="0" w:type="auto"/>
        <w:tblLook w:val="04A0" w:firstRow="1" w:lastRow="0" w:firstColumn="1" w:lastColumn="0" w:noHBand="0" w:noVBand="1"/>
      </w:tblPr>
      <w:tblGrid>
        <w:gridCol w:w="2405"/>
        <w:gridCol w:w="1840"/>
        <w:gridCol w:w="2405"/>
        <w:gridCol w:w="1824"/>
      </w:tblGrid>
      <w:tr w:rsidR="00681A06" w:rsidRPr="0031394A" w14:paraId="3DCB2E20" w14:textId="77777777" w:rsidTr="00F7304A">
        <w:tc>
          <w:tcPr>
            <w:tcW w:w="4245" w:type="dxa"/>
            <w:gridSpan w:val="2"/>
          </w:tcPr>
          <w:p w14:paraId="06043656" w14:textId="77777777" w:rsidR="00681A06" w:rsidRPr="0031394A" w:rsidRDefault="00713DE3" w:rsidP="00573D80">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5445FC46" wp14:editId="1BEBF82D">
                  <wp:extent cx="2478405" cy="17548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5229" cy="1766715"/>
                          </a:xfrm>
                          <a:prstGeom prst="rect">
                            <a:avLst/>
                          </a:prstGeom>
                          <a:noFill/>
                          <a:ln>
                            <a:noFill/>
                          </a:ln>
                        </pic:spPr>
                      </pic:pic>
                    </a:graphicData>
                  </a:graphic>
                </wp:inline>
              </w:drawing>
            </w:r>
          </w:p>
          <w:p w14:paraId="6AA532D8" w14:textId="77777777" w:rsidR="00681A06" w:rsidRPr="0031394A" w:rsidRDefault="00681A06" w:rsidP="00810784">
            <w:pPr>
              <w:pStyle w:val="ListParagraph"/>
              <w:numPr>
                <w:ilvl w:val="0"/>
                <w:numId w:val="1"/>
              </w:numPr>
              <w:spacing w:after="0"/>
              <w:rPr>
                <w:rFonts w:ascii="Times New Roman" w:hAnsi="Times New Roman" w:cs="Times New Roman"/>
                <w:szCs w:val="22"/>
                <w:lang w:val="en-GB"/>
              </w:rPr>
            </w:pPr>
            <w:r w:rsidRPr="0031394A">
              <w:rPr>
                <w:rFonts w:ascii="Times New Roman" w:hAnsi="Times New Roman" w:cs="Times New Roman"/>
                <w:szCs w:val="22"/>
                <w:lang w:val="en-GB"/>
              </w:rPr>
              <w:t xml:space="preserve">European Population </w:t>
            </w:r>
            <w:r w:rsidR="00E71EDA" w:rsidRPr="0031394A">
              <w:rPr>
                <w:rFonts w:ascii="Times New Roman" w:hAnsi="Times New Roman" w:cs="Times New Roman"/>
                <w:szCs w:val="22"/>
                <w:lang w:val="en-GB"/>
              </w:rPr>
              <w:t>2015</w:t>
            </w:r>
            <w:r w:rsidRPr="0031394A">
              <w:rPr>
                <w:rFonts w:ascii="Times New Roman" w:hAnsi="Times New Roman" w:cs="Times New Roman"/>
                <w:szCs w:val="22"/>
                <w:lang w:val="en-GB"/>
              </w:rPr>
              <w:t xml:space="preserve"> and </w:t>
            </w:r>
            <w:r w:rsidR="00E71EDA" w:rsidRPr="0031394A">
              <w:rPr>
                <w:rFonts w:ascii="Times New Roman" w:hAnsi="Times New Roman" w:cs="Times New Roman"/>
                <w:szCs w:val="22"/>
                <w:lang w:val="en-GB"/>
              </w:rPr>
              <w:t>2080</w:t>
            </w:r>
          </w:p>
        </w:tc>
        <w:tc>
          <w:tcPr>
            <w:tcW w:w="4229" w:type="dxa"/>
            <w:gridSpan w:val="2"/>
          </w:tcPr>
          <w:p w14:paraId="5E9C6BBF" w14:textId="77777777" w:rsidR="00681A06" w:rsidRPr="0031394A" w:rsidRDefault="00C22290" w:rsidP="00573D80">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469C9BA8" wp14:editId="010C568C">
                  <wp:extent cx="2512800" cy="176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2800" cy="1767600"/>
                          </a:xfrm>
                          <a:prstGeom prst="rect">
                            <a:avLst/>
                          </a:prstGeom>
                          <a:noFill/>
                          <a:ln>
                            <a:noFill/>
                          </a:ln>
                        </pic:spPr>
                      </pic:pic>
                    </a:graphicData>
                  </a:graphic>
                </wp:inline>
              </w:drawing>
            </w:r>
          </w:p>
          <w:p w14:paraId="31DE7214" w14:textId="77777777" w:rsidR="00681A06" w:rsidRPr="0031394A" w:rsidRDefault="00E71EDA" w:rsidP="00810784">
            <w:pPr>
              <w:pStyle w:val="ListParagraph"/>
              <w:numPr>
                <w:ilvl w:val="0"/>
                <w:numId w:val="1"/>
              </w:numPr>
              <w:spacing w:after="0"/>
              <w:rPr>
                <w:rFonts w:ascii="Times New Roman" w:hAnsi="Times New Roman" w:cs="Times New Roman"/>
                <w:szCs w:val="22"/>
                <w:lang w:val="en-GB"/>
              </w:rPr>
            </w:pPr>
            <w:r w:rsidRPr="0031394A">
              <w:rPr>
                <w:rFonts w:ascii="Times New Roman" w:hAnsi="Times New Roman" w:cs="Times New Roman"/>
                <w:szCs w:val="22"/>
                <w:lang w:val="en-GB"/>
              </w:rPr>
              <w:t>Age-dependency ratio European population 2015-2080</w:t>
            </w:r>
          </w:p>
        </w:tc>
      </w:tr>
      <w:tr w:rsidR="00F7304A" w:rsidRPr="0031394A" w14:paraId="4F5BEA5A" w14:textId="77777777" w:rsidTr="00F7304A">
        <w:trPr>
          <w:gridBefore w:val="1"/>
          <w:gridAfter w:val="1"/>
          <w:wBefore w:w="2405" w:type="dxa"/>
          <w:wAfter w:w="1824" w:type="dxa"/>
        </w:trPr>
        <w:tc>
          <w:tcPr>
            <w:tcW w:w="4245" w:type="dxa"/>
            <w:gridSpan w:val="2"/>
          </w:tcPr>
          <w:p w14:paraId="36B558B1" w14:textId="77777777" w:rsidR="00F7304A" w:rsidRPr="0031394A" w:rsidRDefault="00643994" w:rsidP="00F7304A">
            <w:pPr>
              <w:ind w:left="316" w:hanging="316"/>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5160FC85" wp14:editId="10C454FC">
                  <wp:extent cx="2480400" cy="16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0400" cy="1620000"/>
                          </a:xfrm>
                          <a:prstGeom prst="rect">
                            <a:avLst/>
                          </a:prstGeom>
                          <a:noFill/>
                          <a:ln>
                            <a:noFill/>
                          </a:ln>
                        </pic:spPr>
                      </pic:pic>
                    </a:graphicData>
                  </a:graphic>
                </wp:inline>
              </w:drawing>
            </w:r>
          </w:p>
          <w:p w14:paraId="66185AAF" w14:textId="77777777" w:rsidR="00F7304A" w:rsidRPr="0031394A" w:rsidRDefault="00E71EDA" w:rsidP="00810784">
            <w:pPr>
              <w:pStyle w:val="ListParagraph"/>
              <w:numPr>
                <w:ilvl w:val="0"/>
                <w:numId w:val="1"/>
              </w:numPr>
              <w:spacing w:after="0"/>
              <w:ind w:left="316" w:hanging="316"/>
              <w:rPr>
                <w:rFonts w:ascii="Times New Roman" w:hAnsi="Times New Roman" w:cs="Times New Roman"/>
                <w:szCs w:val="22"/>
                <w:lang w:val="en-GB"/>
              </w:rPr>
            </w:pPr>
            <w:r w:rsidRPr="0031394A">
              <w:rPr>
                <w:rFonts w:ascii="Times New Roman" w:hAnsi="Times New Roman" w:cs="Times New Roman"/>
                <w:szCs w:val="22"/>
                <w:lang w:val="en-GB"/>
              </w:rPr>
              <w:t>Salary structure European population 2015</w:t>
            </w:r>
          </w:p>
        </w:tc>
      </w:tr>
    </w:tbl>
    <w:p w14:paraId="143A656D" w14:textId="77777777" w:rsidR="009A5A5E" w:rsidRPr="0031394A" w:rsidRDefault="002D2DD5" w:rsidP="005978AB">
      <w:pPr>
        <w:tabs>
          <w:tab w:val="center" w:pos="4800"/>
          <w:tab w:val="right" w:pos="9500"/>
        </w:tabs>
        <w:spacing w:before="120" w:after="120" w:line="240" w:lineRule="auto"/>
        <w:ind w:firstLine="720"/>
        <w:jc w:val="center"/>
        <w:rPr>
          <w:rFonts w:ascii="Times New Roman" w:hAnsi="Times New Roman" w:cs="Times New Roman"/>
          <w:noProof/>
          <w:szCs w:val="22"/>
          <w:lang w:val="en-GB"/>
        </w:rPr>
      </w:pPr>
      <w:r w:rsidRPr="0031394A">
        <w:rPr>
          <w:rFonts w:ascii="Times New Roman" w:hAnsi="Times New Roman" w:cs="Times New Roman"/>
          <w:noProof/>
          <w:szCs w:val="22"/>
          <w:lang w:val="en-GB"/>
        </w:rPr>
        <w:t>Own source based on Eurostat</w:t>
      </w:r>
    </w:p>
    <w:p w14:paraId="1F51BB33" w14:textId="77777777" w:rsidR="00C375D4" w:rsidRPr="0031394A" w:rsidRDefault="00C375D4" w:rsidP="005978AB">
      <w:pPr>
        <w:spacing w:before="160" w:after="120" w:line="240" w:lineRule="auto"/>
        <w:jc w:val="both"/>
        <w:rPr>
          <w:rFonts w:ascii="Times New Roman" w:hAnsi="Times New Roman" w:cs="Times New Roman"/>
          <w:b/>
          <w:i/>
          <w:sz w:val="24"/>
          <w:szCs w:val="24"/>
          <w:lang w:val="en-GB"/>
        </w:rPr>
      </w:pPr>
      <w:r w:rsidRPr="0031394A">
        <w:rPr>
          <w:rFonts w:ascii="Times New Roman" w:hAnsi="Times New Roman" w:cs="Times New Roman"/>
          <w:b/>
          <w:i/>
          <w:sz w:val="24"/>
          <w:szCs w:val="24"/>
          <w:lang w:val="en-GB"/>
        </w:rPr>
        <w:t>Choice of parameters and assumptions related to the mixed pension system</w:t>
      </w:r>
    </w:p>
    <w:p w14:paraId="1D875AA3" w14:textId="7BA080FE" w:rsidR="00C07405" w:rsidRPr="0031394A" w:rsidRDefault="00F81FA7"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The mixed pension system aims to provide a total replacement rate of 60% of </w:t>
      </w:r>
      <w:r w:rsidR="00C07405" w:rsidRPr="000A1823">
        <w:rPr>
          <w:rFonts w:ascii="Times New Roman" w:hAnsi="Times New Roman" w:cs="Times New Roman"/>
          <w:sz w:val="24"/>
          <w:szCs w:val="24"/>
          <w:lang w:val="en-GB"/>
        </w:rPr>
        <w:t xml:space="preserve">participants’ final salary. </w:t>
      </w:r>
      <w:r w:rsidR="00C07405" w:rsidRPr="000A1823">
        <w:rPr>
          <w:rFonts w:ascii="Times New Roman" w:hAnsi="Times New Roman" w:cs="Times New Roman"/>
          <w:sz w:val="24"/>
          <w:szCs w:val="24"/>
        </w:rPr>
        <w:t xml:space="preserve">Creighton (2014) states that a level of 60% of </w:t>
      </w:r>
      <w:r w:rsidR="00856858" w:rsidRPr="000A1823">
        <w:rPr>
          <w:rFonts w:ascii="Times New Roman" w:hAnsi="Times New Roman" w:cs="Times New Roman"/>
          <w:sz w:val="24"/>
          <w:szCs w:val="24"/>
        </w:rPr>
        <w:t xml:space="preserve">a worker’s pre-retirement income </w:t>
      </w:r>
      <w:r w:rsidR="00C07405" w:rsidRPr="000A1823">
        <w:rPr>
          <w:rFonts w:ascii="Times New Roman" w:hAnsi="Times New Roman" w:cs="Times New Roman"/>
          <w:sz w:val="24"/>
          <w:szCs w:val="24"/>
        </w:rPr>
        <w:t xml:space="preserve">is in line with the average replacement rate which measures the pension as a percentage </w:t>
      </w:r>
      <w:r w:rsidR="00C07405" w:rsidRPr="0031394A">
        <w:rPr>
          <w:rFonts w:ascii="Times New Roman" w:hAnsi="Times New Roman" w:cs="Times New Roman"/>
          <w:sz w:val="24"/>
          <w:szCs w:val="24"/>
        </w:rPr>
        <w:t xml:space="preserve">of a worker's pre-retirement income. </w:t>
      </w:r>
    </w:p>
    <w:p w14:paraId="6CACE126" w14:textId="77777777" w:rsidR="00C375D4" w:rsidRPr="0031394A" w:rsidRDefault="006E33CB"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bookmarkStart w:id="17" w:name="_Hlk3734746"/>
      <w:r w:rsidRPr="0031394A">
        <w:rPr>
          <w:rFonts w:ascii="Times New Roman" w:hAnsi="Times New Roman" w:cs="Times New Roman"/>
          <w:sz w:val="24"/>
          <w:szCs w:val="24"/>
          <w:lang w:val="en-GB"/>
        </w:rPr>
        <w:t xml:space="preserve">For </w:t>
      </w:r>
      <w:r w:rsidR="008518F7" w:rsidRPr="0031394A">
        <w:rPr>
          <w:rFonts w:ascii="Times New Roman" w:hAnsi="Times New Roman" w:cs="Times New Roman"/>
          <w:sz w:val="24"/>
          <w:szCs w:val="24"/>
          <w:lang w:val="en-GB"/>
        </w:rPr>
        <w:t>a</w:t>
      </w:r>
      <w:r w:rsidRPr="0031394A">
        <w:rPr>
          <w:rFonts w:ascii="Times New Roman" w:hAnsi="Times New Roman" w:cs="Times New Roman"/>
          <w:sz w:val="24"/>
          <w:szCs w:val="24"/>
          <w:lang w:val="en-GB"/>
        </w:rPr>
        <w:t xml:space="preserve"> replacement rate</w:t>
      </w:r>
      <w:r w:rsidR="008518F7" w:rsidRPr="0031394A">
        <w:rPr>
          <w:rFonts w:ascii="Times New Roman" w:hAnsi="Times New Roman" w:cs="Times New Roman"/>
          <w:sz w:val="24"/>
          <w:szCs w:val="24"/>
          <w:lang w:val="en-GB"/>
        </w:rPr>
        <w:t xml:space="preserve"> of 60%</w:t>
      </w:r>
      <w:r w:rsidRPr="0031394A">
        <w:rPr>
          <w:rFonts w:ascii="Times New Roman" w:hAnsi="Times New Roman" w:cs="Times New Roman"/>
          <w:sz w:val="24"/>
          <w:szCs w:val="24"/>
          <w:lang w:val="en-GB"/>
        </w:rPr>
        <w:t xml:space="preserve">, </w:t>
      </w:r>
      <w:r w:rsidR="004E31E3" w:rsidRPr="0031394A">
        <w:rPr>
          <w:rFonts w:ascii="Times New Roman" w:hAnsi="Times New Roman" w:cs="Times New Roman"/>
          <w:sz w:val="24"/>
          <w:szCs w:val="24"/>
          <w:lang w:val="en-GB"/>
        </w:rPr>
        <w:t xml:space="preserve">under a pure DB PAYG pension scheme, the initial balanced contribution rate that makes </w:t>
      </w:r>
      <w:r w:rsidR="002D1DD0" w:rsidRPr="0031394A">
        <w:rPr>
          <w:rFonts w:ascii="Times New Roman" w:hAnsi="Times New Roman" w:cs="Times New Roman"/>
          <w:sz w:val="24"/>
          <w:szCs w:val="24"/>
          <w:lang w:val="en-GB"/>
        </w:rPr>
        <w:t>income from contribution equal to pension expenditure in 2015</w:t>
      </w:r>
      <w:r w:rsidR="004E31E3" w:rsidRPr="0031394A">
        <w:rPr>
          <w:rFonts w:ascii="Times New Roman" w:hAnsi="Times New Roman" w:cs="Times New Roman"/>
          <w:sz w:val="24"/>
          <w:szCs w:val="24"/>
          <w:lang w:val="en-GB"/>
        </w:rPr>
        <w:t xml:space="preserve"> is</w:t>
      </w:r>
      <w:r w:rsidR="002D1DD0" w:rsidRPr="0031394A">
        <w:rPr>
          <w:rFonts w:ascii="Times New Roman" w:hAnsi="Times New Roman" w:cs="Times New Roman"/>
          <w:sz w:val="24"/>
          <w:szCs w:val="24"/>
          <w:lang w:val="en-GB"/>
        </w:rPr>
        <w:t xml:space="preserve"> 1</w:t>
      </w:r>
      <w:r w:rsidRPr="0031394A">
        <w:rPr>
          <w:rFonts w:ascii="Times New Roman" w:hAnsi="Times New Roman" w:cs="Times New Roman"/>
          <w:sz w:val="24"/>
          <w:szCs w:val="24"/>
          <w:lang w:val="en-GB"/>
        </w:rPr>
        <w:t>8.1</w:t>
      </w:r>
      <w:r w:rsidR="004E31E3" w:rsidRPr="0031394A">
        <w:rPr>
          <w:rFonts w:ascii="Times New Roman" w:hAnsi="Times New Roman" w:cs="Times New Roman"/>
          <w:sz w:val="24"/>
          <w:szCs w:val="24"/>
          <w:lang w:val="en-GB"/>
        </w:rPr>
        <w:t>4</w:t>
      </w:r>
      <w:r w:rsidR="002D1DD0" w:rsidRPr="0031394A">
        <w:rPr>
          <w:rFonts w:ascii="Times New Roman" w:hAnsi="Times New Roman" w:cs="Times New Roman"/>
          <w:sz w:val="24"/>
          <w:szCs w:val="24"/>
          <w:lang w:val="en-GB"/>
        </w:rPr>
        <w:t>%.</w:t>
      </w:r>
      <w:r w:rsidR="006D7556" w:rsidRPr="0031394A">
        <w:rPr>
          <w:rFonts w:ascii="Times New Roman" w:hAnsi="Times New Roman" w:cs="Times New Roman"/>
          <w:sz w:val="24"/>
          <w:szCs w:val="24"/>
          <w:lang w:val="en-GB"/>
        </w:rPr>
        <w:t xml:space="preserve"> </w:t>
      </w:r>
      <w:bookmarkEnd w:id="17"/>
      <w:r w:rsidR="00BE76E6" w:rsidRPr="0031394A">
        <w:rPr>
          <w:rFonts w:ascii="Times New Roman" w:hAnsi="Times New Roman" w:cs="Times New Roman"/>
          <w:sz w:val="24"/>
          <w:szCs w:val="24"/>
          <w:lang w:val="en-GB"/>
        </w:rPr>
        <w:t>We assume that 2%</w:t>
      </w:r>
      <w:r w:rsidR="00802DCE" w:rsidRPr="0031394A">
        <w:rPr>
          <w:rStyle w:val="FootnoteReference"/>
          <w:rFonts w:ascii="Times New Roman" w:hAnsi="Times New Roman" w:cs="Times New Roman"/>
          <w:sz w:val="24"/>
          <w:szCs w:val="24"/>
          <w:lang w:val="en-GB"/>
        </w:rPr>
        <w:footnoteReference w:id="19"/>
      </w:r>
      <w:r w:rsidR="00802DCE" w:rsidRPr="0031394A">
        <w:rPr>
          <w:rFonts w:ascii="Times New Roman" w:hAnsi="Times New Roman" w:cs="Times New Roman"/>
          <w:sz w:val="24"/>
          <w:szCs w:val="24"/>
          <w:lang w:val="en-GB"/>
        </w:rPr>
        <w:t xml:space="preserve"> </w:t>
      </w:r>
      <w:r w:rsidR="00BE76E6" w:rsidRPr="0031394A">
        <w:rPr>
          <w:rFonts w:ascii="Times New Roman" w:hAnsi="Times New Roman" w:cs="Times New Roman"/>
          <w:sz w:val="24"/>
          <w:szCs w:val="24"/>
          <w:lang w:val="en-GB"/>
        </w:rPr>
        <w:t xml:space="preserve"> is invested to the DC </w:t>
      </w:r>
      <w:r w:rsidR="00BE76E6" w:rsidRPr="0031394A">
        <w:rPr>
          <w:rFonts w:ascii="Times New Roman" w:hAnsi="Times New Roman" w:cs="Times New Roman"/>
          <w:sz w:val="24"/>
          <w:szCs w:val="24"/>
          <w:lang w:val="en-GB"/>
        </w:rPr>
        <w:lastRenderedPageBreak/>
        <w:t>scheme while the remaining</w:t>
      </w:r>
      <w:r w:rsidR="00C7652E" w:rsidRPr="0031394A">
        <w:rPr>
          <w:rFonts w:ascii="Times New Roman" w:hAnsi="Times New Roman" w:cs="Times New Roman"/>
          <w:sz w:val="24"/>
          <w:szCs w:val="24"/>
          <w:lang w:val="en-GB"/>
        </w:rPr>
        <w:t>, i.e. 16.14%, is</w:t>
      </w:r>
      <w:r w:rsidR="00BE76E6" w:rsidRPr="0031394A">
        <w:rPr>
          <w:rFonts w:ascii="Times New Roman" w:hAnsi="Times New Roman" w:cs="Times New Roman"/>
          <w:sz w:val="24"/>
          <w:szCs w:val="24"/>
          <w:lang w:val="en-GB"/>
        </w:rPr>
        <w:t xml:space="preserve"> contributed to the DB PAYG part. </w:t>
      </w:r>
      <w:r w:rsidR="001A11F2" w:rsidRPr="0031394A">
        <w:rPr>
          <w:rFonts w:ascii="Times New Roman" w:hAnsi="Times New Roman" w:cs="Times New Roman"/>
          <w:sz w:val="24"/>
          <w:szCs w:val="24"/>
          <w:lang w:val="en-GB"/>
        </w:rPr>
        <w:t>Consequently, 2% invested into the DC part represents an allocation of 11% in the total contribution rate.</w:t>
      </w:r>
    </w:p>
    <w:p w14:paraId="3F466903" w14:textId="77777777" w:rsidR="00C375D4" w:rsidRPr="0031394A" w:rsidRDefault="00C375D4" w:rsidP="00C825A0">
      <w:pPr>
        <w:spacing w:before="120" w:after="120" w:line="240" w:lineRule="auto"/>
        <w:jc w:val="both"/>
        <w:rPr>
          <w:rFonts w:ascii="Times New Roman" w:hAnsi="Times New Roman" w:cs="Times New Roman"/>
          <w:b/>
          <w:i/>
          <w:sz w:val="24"/>
          <w:szCs w:val="24"/>
          <w:lang w:val="en-GB"/>
        </w:rPr>
      </w:pPr>
      <w:r w:rsidRPr="0031394A">
        <w:rPr>
          <w:rFonts w:ascii="Times New Roman" w:hAnsi="Times New Roman" w:cs="Times New Roman"/>
          <w:b/>
          <w:i/>
          <w:sz w:val="24"/>
          <w:szCs w:val="24"/>
          <w:lang w:val="en-GB"/>
        </w:rPr>
        <w:t>Choice of parameters and assumptions related to the DB PAYG part</w:t>
      </w:r>
    </w:p>
    <w:p w14:paraId="0B377BD3" w14:textId="77777777" w:rsidR="00BE76E6" w:rsidRPr="0031394A" w:rsidRDefault="00BE76E6"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Initial pension for the DB pension part is set at 53% of a worker’s pre-retirement income when the contribution rate to the DC scheme is 2%. The DC part would represent about 7% of the replacement rate (i.e. 2%*60% divided by 18.1</w:t>
      </w:r>
      <w:r w:rsidR="00F83134" w:rsidRPr="0031394A">
        <w:rPr>
          <w:rFonts w:ascii="Times New Roman" w:hAnsi="Times New Roman" w:cs="Times New Roman"/>
          <w:sz w:val="24"/>
          <w:szCs w:val="24"/>
          <w:lang w:val="en-GB"/>
        </w:rPr>
        <w:t>4</w:t>
      </w:r>
      <w:r w:rsidRPr="0031394A">
        <w:rPr>
          <w:rFonts w:ascii="Times New Roman" w:hAnsi="Times New Roman" w:cs="Times New Roman"/>
          <w:sz w:val="24"/>
          <w:szCs w:val="24"/>
          <w:lang w:val="en-GB"/>
        </w:rPr>
        <w:t>%).</w:t>
      </w:r>
      <w:r w:rsidRPr="0031394A">
        <w:rPr>
          <w:rStyle w:val="FootnoteReference"/>
          <w:rFonts w:ascii="Times New Roman" w:hAnsi="Times New Roman" w:cs="Times New Roman"/>
          <w:sz w:val="24"/>
          <w:szCs w:val="24"/>
          <w:lang w:val="en-GB"/>
        </w:rPr>
        <w:footnoteReference w:id="20"/>
      </w:r>
      <w:r w:rsidRPr="0031394A">
        <w:rPr>
          <w:rFonts w:ascii="Times New Roman" w:hAnsi="Times New Roman" w:cs="Times New Roman"/>
          <w:sz w:val="24"/>
          <w:szCs w:val="24"/>
          <w:lang w:val="en-GB"/>
        </w:rPr>
        <w:t xml:space="preserve">  </w:t>
      </w:r>
    </w:p>
    <w:p w14:paraId="6A95F80F" w14:textId="77777777" w:rsidR="00CF39FD" w:rsidRPr="0031394A" w:rsidRDefault="00B22566"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Under the DB PAYG scheme, the initial values</w:t>
      </w:r>
      <w:r w:rsidR="00F024B9" w:rsidRPr="0031394A">
        <w:rPr>
          <w:rFonts w:ascii="Times New Roman" w:hAnsi="Times New Roman" w:cs="Times New Roman"/>
          <w:sz w:val="24"/>
          <w:szCs w:val="24"/>
          <w:lang w:val="en-GB"/>
        </w:rPr>
        <w:t xml:space="preserve"> for</w:t>
      </w:r>
      <w:r w:rsidRPr="0031394A">
        <w:rPr>
          <w:rFonts w:ascii="Times New Roman" w:hAnsi="Times New Roman" w:cs="Times New Roman"/>
          <w:sz w:val="24"/>
          <w:szCs w:val="24"/>
          <w:lang w:val="en-GB"/>
        </w:rPr>
        <w:t xml:space="preserve"> </w:t>
      </w:r>
      <w:r w:rsidR="00BE76E6" w:rsidRPr="0031394A">
        <w:rPr>
          <w:rFonts w:ascii="Times New Roman" w:hAnsi="Times New Roman" w:cs="Times New Roman"/>
          <w:sz w:val="24"/>
          <w:szCs w:val="24"/>
          <w:lang w:val="en-GB"/>
        </w:rPr>
        <w:t xml:space="preserve">the contribution rate, </w:t>
      </w:r>
      <w:r w:rsidRPr="0031394A">
        <w:rPr>
          <w:rFonts w:ascii="Times New Roman" w:hAnsi="Times New Roman" w:cs="Times New Roman"/>
          <w:sz w:val="24"/>
          <w:szCs w:val="24"/>
          <w:lang w:val="en-GB"/>
        </w:rPr>
        <w:t>age of normal retirement a</w:t>
      </w:r>
      <w:r w:rsidR="00CF39FD" w:rsidRPr="0031394A">
        <w:rPr>
          <w:rFonts w:ascii="Times New Roman" w:hAnsi="Times New Roman" w:cs="Times New Roman"/>
          <w:sz w:val="24"/>
          <w:szCs w:val="24"/>
          <w:lang w:val="en-GB"/>
        </w:rPr>
        <w:t>nd indexation of pensions are</w:t>
      </w:r>
      <w:r w:rsidR="00BE76E6" w:rsidRPr="0031394A">
        <w:rPr>
          <w:rFonts w:ascii="Times New Roman" w:hAnsi="Times New Roman" w:cs="Times New Roman"/>
          <w:sz w:val="24"/>
          <w:szCs w:val="24"/>
          <w:lang w:val="en-GB"/>
        </w:rPr>
        <w:t xml:space="preserve"> 16.1</w:t>
      </w:r>
      <w:r w:rsidR="00CD1F8C" w:rsidRPr="0031394A">
        <w:rPr>
          <w:rFonts w:ascii="Times New Roman" w:hAnsi="Times New Roman" w:cs="Times New Roman"/>
          <w:sz w:val="24"/>
          <w:szCs w:val="24"/>
          <w:lang w:val="en-GB"/>
        </w:rPr>
        <w:t>4</w:t>
      </w:r>
      <w:r w:rsidR="00BE76E6" w:rsidRPr="0031394A">
        <w:rPr>
          <w:rFonts w:ascii="Times New Roman" w:hAnsi="Times New Roman" w:cs="Times New Roman"/>
          <w:sz w:val="24"/>
          <w:szCs w:val="24"/>
          <w:lang w:val="en-GB"/>
        </w:rPr>
        <w:t>%,</w:t>
      </w:r>
      <w:r w:rsidR="00CF39FD"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 xml:space="preserve">65 and </w:t>
      </w:r>
      <w:r w:rsidR="00D1592C" w:rsidRPr="0031394A">
        <w:rPr>
          <w:rFonts w:ascii="Times New Roman" w:hAnsi="Times New Roman" w:cs="Times New Roman"/>
          <w:sz w:val="24"/>
          <w:szCs w:val="24"/>
          <w:lang w:val="en-GB"/>
        </w:rPr>
        <w:t>3</w:t>
      </w:r>
      <w:r w:rsidRPr="0031394A">
        <w:rPr>
          <w:rFonts w:ascii="Times New Roman" w:hAnsi="Times New Roman" w:cs="Times New Roman"/>
          <w:sz w:val="24"/>
          <w:szCs w:val="24"/>
          <w:lang w:val="en-GB"/>
        </w:rPr>
        <w:t>% respectively</w:t>
      </w:r>
      <w:r w:rsidR="00D1186E" w:rsidRPr="0031394A">
        <w:rPr>
          <w:rFonts w:ascii="Times New Roman" w:hAnsi="Times New Roman" w:cs="Times New Roman"/>
          <w:sz w:val="24"/>
          <w:szCs w:val="24"/>
          <w:lang w:val="en-GB"/>
        </w:rPr>
        <w:t>, as shown in Table 1</w:t>
      </w:r>
      <w:r w:rsidRPr="0031394A">
        <w:rPr>
          <w:rFonts w:ascii="Times New Roman" w:hAnsi="Times New Roman" w:cs="Times New Roman"/>
          <w:sz w:val="24"/>
          <w:szCs w:val="24"/>
          <w:lang w:val="en-GB"/>
        </w:rPr>
        <w:t>.</w:t>
      </w:r>
      <w:r w:rsidR="00CF39FD" w:rsidRPr="0031394A">
        <w:rPr>
          <w:rFonts w:ascii="Times New Roman" w:hAnsi="Times New Roman" w:cs="Times New Roman"/>
          <w:sz w:val="24"/>
          <w:szCs w:val="24"/>
          <w:lang w:val="en-GB"/>
        </w:rPr>
        <w:t xml:space="preserve"> </w:t>
      </w:r>
    </w:p>
    <w:p w14:paraId="165A5050" w14:textId="77777777" w:rsidR="00F024B9" w:rsidRPr="0031394A" w:rsidRDefault="00F024B9"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Under the DB PAYG scheme, when the three variables are projected simultaneously, t</w:t>
      </w:r>
      <w:r w:rsidR="00473D86" w:rsidRPr="0031394A">
        <w:rPr>
          <w:rFonts w:ascii="Times New Roman" w:hAnsi="Times New Roman" w:cs="Times New Roman"/>
          <w:sz w:val="24"/>
          <w:szCs w:val="24"/>
          <w:lang w:val="en-GB"/>
        </w:rPr>
        <w:t>he lower bounds for the contribution rate</w:t>
      </w:r>
      <w:r w:rsidRPr="0031394A">
        <w:rPr>
          <w:rFonts w:ascii="Times New Roman" w:hAnsi="Times New Roman" w:cs="Times New Roman"/>
          <w:sz w:val="24"/>
          <w:szCs w:val="24"/>
          <w:lang w:val="en-GB"/>
        </w:rPr>
        <w:t xml:space="preserve"> and retirement age coincide with the initial values while the lower bound for the indexation of pension would be 0%.</w:t>
      </w:r>
      <w:r w:rsidR="00861B89" w:rsidRPr="0031394A">
        <w:rPr>
          <w:rStyle w:val="FootnoteReference"/>
          <w:rFonts w:ascii="Times New Roman" w:hAnsi="Times New Roman" w:cs="Times New Roman"/>
          <w:sz w:val="24"/>
          <w:szCs w:val="24"/>
          <w:lang w:val="en-GB"/>
        </w:rPr>
        <w:footnoteReference w:id="21"/>
      </w:r>
      <w:r w:rsidRPr="0031394A">
        <w:rPr>
          <w:rFonts w:ascii="Times New Roman" w:hAnsi="Times New Roman" w:cs="Times New Roman"/>
          <w:sz w:val="24"/>
          <w:szCs w:val="24"/>
          <w:lang w:val="en-GB"/>
        </w:rPr>
        <w:t xml:space="preserve"> T</w:t>
      </w:r>
      <w:r w:rsidR="00EF0724" w:rsidRPr="0031394A">
        <w:rPr>
          <w:rFonts w:ascii="Times New Roman" w:hAnsi="Times New Roman" w:cs="Times New Roman"/>
          <w:sz w:val="24"/>
          <w:szCs w:val="24"/>
          <w:lang w:val="en-GB"/>
        </w:rPr>
        <w:t>he upper bounds are 2</w:t>
      </w:r>
      <w:r w:rsidRPr="0031394A">
        <w:rPr>
          <w:rFonts w:ascii="Times New Roman" w:hAnsi="Times New Roman" w:cs="Times New Roman"/>
          <w:sz w:val="24"/>
          <w:szCs w:val="24"/>
          <w:lang w:val="en-GB"/>
        </w:rPr>
        <w:t>0</w:t>
      </w:r>
      <w:r w:rsidR="00EF0724"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72</w:t>
      </w:r>
      <w:r w:rsidR="00340D90" w:rsidRPr="0031394A">
        <w:rPr>
          <w:rFonts w:ascii="Times New Roman" w:hAnsi="Times New Roman" w:cs="Times New Roman"/>
          <w:sz w:val="24"/>
          <w:szCs w:val="24"/>
          <w:lang w:val="en-GB"/>
        </w:rPr>
        <w:t xml:space="preserve"> </w:t>
      </w:r>
      <w:r w:rsidR="00EF0724" w:rsidRPr="0031394A">
        <w:rPr>
          <w:rFonts w:ascii="Times New Roman" w:hAnsi="Times New Roman" w:cs="Times New Roman"/>
          <w:sz w:val="24"/>
          <w:szCs w:val="24"/>
          <w:lang w:val="en-GB"/>
        </w:rPr>
        <w:t>and 2</w:t>
      </w:r>
      <w:r w:rsidR="00473D86" w:rsidRPr="0031394A">
        <w:rPr>
          <w:rFonts w:ascii="Times New Roman" w:hAnsi="Times New Roman" w:cs="Times New Roman"/>
          <w:sz w:val="24"/>
          <w:szCs w:val="24"/>
          <w:lang w:val="en-GB"/>
        </w:rPr>
        <w:t xml:space="preserve">% </w:t>
      </w:r>
      <w:r w:rsidR="007E2130" w:rsidRPr="0031394A">
        <w:rPr>
          <w:rFonts w:ascii="Times New Roman" w:hAnsi="Times New Roman" w:cs="Times New Roman"/>
          <w:sz w:val="24"/>
          <w:szCs w:val="24"/>
          <w:lang w:val="en-GB"/>
        </w:rPr>
        <w:t>respectively.</w:t>
      </w:r>
    </w:p>
    <w:p w14:paraId="21C7C004" w14:textId="77777777" w:rsidR="00473D86" w:rsidRPr="0031394A" w:rsidRDefault="00F024B9"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Under the DB PAYG scheme, f</w:t>
      </w:r>
      <w:r w:rsidR="00473D86" w:rsidRPr="0031394A">
        <w:rPr>
          <w:rFonts w:ascii="Times New Roman" w:hAnsi="Times New Roman" w:cs="Times New Roman"/>
          <w:sz w:val="24"/>
          <w:szCs w:val="24"/>
          <w:lang w:val="en-GB"/>
        </w:rPr>
        <w:t xml:space="preserve">or smooth changes, </w:t>
      </w:r>
      <w:r w:rsidRPr="0031394A">
        <w:rPr>
          <w:rFonts w:ascii="Times New Roman" w:hAnsi="Times New Roman" w:cs="Times New Roman"/>
          <w:sz w:val="24"/>
          <w:szCs w:val="24"/>
          <w:lang w:val="en-GB"/>
        </w:rPr>
        <w:t>we</w:t>
      </w:r>
      <w:r w:rsidR="00473D86" w:rsidRPr="0031394A">
        <w:rPr>
          <w:rFonts w:ascii="Times New Roman" w:hAnsi="Times New Roman" w:cs="Times New Roman"/>
          <w:sz w:val="24"/>
          <w:szCs w:val="24"/>
          <w:lang w:val="en-GB"/>
        </w:rPr>
        <w:t xml:space="preserve"> assume that the change in the contribution </w:t>
      </w:r>
      <w:r w:rsidR="00EF0724" w:rsidRPr="0031394A">
        <w:rPr>
          <w:rFonts w:ascii="Times New Roman" w:hAnsi="Times New Roman" w:cs="Times New Roman"/>
          <w:sz w:val="24"/>
          <w:szCs w:val="24"/>
          <w:lang w:val="en-GB"/>
        </w:rPr>
        <w:t xml:space="preserve">rate varies between 0% and </w:t>
      </w:r>
      <w:r w:rsidR="00010BC7" w:rsidRPr="0031394A">
        <w:rPr>
          <w:rFonts w:ascii="Times New Roman" w:hAnsi="Times New Roman" w:cs="Times New Roman"/>
          <w:sz w:val="24"/>
          <w:szCs w:val="24"/>
          <w:lang w:val="en-GB"/>
        </w:rPr>
        <w:t>3</w:t>
      </w:r>
      <w:r w:rsidR="00473D86" w:rsidRPr="0031394A">
        <w:rPr>
          <w:rFonts w:ascii="Times New Roman" w:hAnsi="Times New Roman" w:cs="Times New Roman"/>
          <w:sz w:val="24"/>
          <w:szCs w:val="24"/>
          <w:lang w:val="en-GB"/>
        </w:rPr>
        <w:t xml:space="preserve">%, the age </w:t>
      </w:r>
      <w:r w:rsidR="00EF0724" w:rsidRPr="0031394A">
        <w:rPr>
          <w:rFonts w:ascii="Times New Roman" w:hAnsi="Times New Roman" w:cs="Times New Roman"/>
          <w:sz w:val="24"/>
          <w:szCs w:val="24"/>
          <w:lang w:val="en-GB"/>
        </w:rPr>
        <w:t>of normal retirement between 0 and 3</w:t>
      </w:r>
      <w:r w:rsidR="00473D86" w:rsidRPr="0031394A">
        <w:rPr>
          <w:rFonts w:ascii="Times New Roman" w:hAnsi="Times New Roman" w:cs="Times New Roman"/>
          <w:sz w:val="24"/>
          <w:szCs w:val="24"/>
          <w:lang w:val="en-GB"/>
        </w:rPr>
        <w:t xml:space="preserve"> months and the indexation of pensions between</w:t>
      </w:r>
      <w:r w:rsidR="00EF0724" w:rsidRPr="0031394A">
        <w:rPr>
          <w:rFonts w:ascii="Times New Roman" w:hAnsi="Times New Roman" w:cs="Times New Roman"/>
          <w:sz w:val="24"/>
          <w:szCs w:val="24"/>
          <w:lang w:val="en-GB"/>
        </w:rPr>
        <w:t xml:space="preserve"> -1% and 0</w:t>
      </w:r>
      <w:r w:rsidR="00473D86" w:rsidRPr="0031394A">
        <w:rPr>
          <w:rFonts w:ascii="Times New Roman" w:hAnsi="Times New Roman" w:cs="Times New Roman"/>
          <w:sz w:val="24"/>
          <w:szCs w:val="24"/>
          <w:lang w:val="en-GB"/>
        </w:rPr>
        <w:t>%.</w:t>
      </w:r>
      <w:r w:rsidR="00340D90" w:rsidRPr="0031394A">
        <w:rPr>
          <w:rFonts w:ascii="Times New Roman" w:hAnsi="Times New Roman" w:cs="Times New Roman"/>
          <w:sz w:val="24"/>
          <w:szCs w:val="24"/>
          <w:lang w:val="en-GB"/>
        </w:rPr>
        <w:t xml:space="preserve"> </w:t>
      </w:r>
      <w:r w:rsidR="00473D86" w:rsidRPr="0031394A">
        <w:rPr>
          <w:rFonts w:ascii="Times New Roman" w:hAnsi="Times New Roman" w:cs="Times New Roman"/>
          <w:sz w:val="24"/>
          <w:szCs w:val="24"/>
          <w:lang w:val="en-GB"/>
        </w:rPr>
        <w:t xml:space="preserve">According to </w:t>
      </w:r>
      <w:r w:rsidR="00C71E1D" w:rsidRPr="0031394A">
        <w:rPr>
          <w:rFonts w:ascii="Times New Roman" w:hAnsi="Times New Roman" w:cs="Times New Roman"/>
          <w:sz w:val="24"/>
          <w:szCs w:val="24"/>
          <w:lang w:val="en-GB"/>
        </w:rPr>
        <w:t>Godínez-Olivares, Boado-Penas, and Haberman (2016)</w:t>
      </w:r>
      <w:r w:rsidR="00712D76" w:rsidRPr="0031394A">
        <w:rPr>
          <w:rFonts w:ascii="Times New Roman" w:hAnsi="Times New Roman" w:cs="Times New Roman"/>
          <w:sz w:val="24"/>
          <w:szCs w:val="24"/>
          <w:lang w:val="en-GB"/>
        </w:rPr>
        <w:t>,</w:t>
      </w:r>
      <w:r w:rsidR="00473D86" w:rsidRPr="0031394A">
        <w:rPr>
          <w:rFonts w:ascii="Times New Roman" w:hAnsi="Times New Roman" w:cs="Times New Roman"/>
          <w:sz w:val="24"/>
          <w:szCs w:val="24"/>
          <w:lang w:val="en-GB"/>
        </w:rPr>
        <w:t xml:space="preserve"> these values are in line with the most important reforms in the 34 OECD member countries between January 2009 and September 2013. </w:t>
      </w:r>
      <w:bookmarkStart w:id="18" w:name="OLE_LINK18"/>
      <w:bookmarkStart w:id="19" w:name="OLE_LINK19"/>
      <w:bookmarkStart w:id="20" w:name="OLE_LINK20"/>
    </w:p>
    <w:p w14:paraId="29D9B5FE" w14:textId="3C9F48A5" w:rsidR="00C66FDA" w:rsidRPr="00272B47" w:rsidRDefault="00EB21E8" w:rsidP="00272B47">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The buffer fund that might result from the PAYG part is invested 50% in bonds and 50% in equity.</w:t>
      </w:r>
    </w:p>
    <w:p w14:paraId="20279CE1" w14:textId="77777777" w:rsidR="00F76C0F" w:rsidRPr="0031394A" w:rsidRDefault="00F76C0F" w:rsidP="00272B47">
      <w:pPr>
        <w:widowControl w:val="0"/>
        <w:autoSpaceDE w:val="0"/>
        <w:autoSpaceDN w:val="0"/>
        <w:adjustRightInd w:val="0"/>
        <w:spacing w:before="160" w:after="120" w:line="240" w:lineRule="auto"/>
        <w:ind w:left="709"/>
        <w:jc w:val="center"/>
        <w:rPr>
          <w:rFonts w:ascii="Times New Roman" w:hAnsi="Times New Roman" w:cs="Times New Roman"/>
          <w:b/>
          <w:szCs w:val="22"/>
          <w:lang w:val="en-GB"/>
        </w:rPr>
      </w:pPr>
      <w:r w:rsidRPr="0031394A">
        <w:rPr>
          <w:rFonts w:ascii="Times New Roman" w:hAnsi="Times New Roman" w:cs="Times New Roman"/>
          <w:b/>
          <w:szCs w:val="22"/>
          <w:lang w:val="en-GB"/>
        </w:rPr>
        <w:t xml:space="preserve">Table </w:t>
      </w:r>
      <w:r w:rsidR="00D1186E" w:rsidRPr="0031394A">
        <w:rPr>
          <w:rFonts w:ascii="Times New Roman" w:hAnsi="Times New Roman" w:cs="Times New Roman"/>
          <w:b/>
          <w:szCs w:val="22"/>
          <w:lang w:val="en-GB"/>
        </w:rPr>
        <w:t>1</w:t>
      </w:r>
      <w:r w:rsidRPr="0031394A">
        <w:rPr>
          <w:rFonts w:ascii="Times New Roman" w:hAnsi="Times New Roman" w:cs="Times New Roman"/>
          <w:b/>
          <w:szCs w:val="22"/>
          <w:lang w:val="en-GB"/>
        </w:rPr>
        <w:t xml:space="preserve">: </w:t>
      </w:r>
      <w:r w:rsidR="00D1186E" w:rsidRPr="0031394A">
        <w:rPr>
          <w:rFonts w:ascii="Times New Roman" w:hAnsi="Times New Roman" w:cs="Times New Roman"/>
          <w:b/>
          <w:szCs w:val="22"/>
          <w:lang w:val="en-GB"/>
        </w:rPr>
        <w:t>Initial values and bounds for the contribution rate, age of retirement and indexation of pension for the DB PAYG part</w:t>
      </w:r>
    </w:p>
    <w:tbl>
      <w:tblPr>
        <w:tblStyle w:val="TableGrid"/>
        <w:tblW w:w="7655" w:type="dxa"/>
        <w:tblInd w:w="704" w:type="dxa"/>
        <w:tblLook w:val="04A0" w:firstRow="1" w:lastRow="0" w:firstColumn="1" w:lastColumn="0" w:noHBand="0" w:noVBand="1"/>
      </w:tblPr>
      <w:tblGrid>
        <w:gridCol w:w="2122"/>
        <w:gridCol w:w="1280"/>
        <w:gridCol w:w="1418"/>
        <w:gridCol w:w="1417"/>
        <w:gridCol w:w="1418"/>
      </w:tblGrid>
      <w:tr w:rsidR="00474DE2" w:rsidRPr="0031394A" w14:paraId="3364B0BB" w14:textId="77777777" w:rsidTr="00D1186E">
        <w:tc>
          <w:tcPr>
            <w:tcW w:w="2122" w:type="dxa"/>
          </w:tcPr>
          <w:p w14:paraId="2ABA21C8" w14:textId="77777777" w:rsidR="00C66FDA" w:rsidRPr="0031394A" w:rsidRDefault="00C66FDA" w:rsidP="00156345">
            <w:pPr>
              <w:autoSpaceDE w:val="0"/>
              <w:autoSpaceDN w:val="0"/>
              <w:adjustRightInd w:val="0"/>
              <w:jc w:val="center"/>
              <w:rPr>
                <w:rFonts w:ascii="Times New Roman" w:hAnsi="Times New Roman" w:cs="Times New Roman"/>
                <w:sz w:val="16"/>
                <w:szCs w:val="16"/>
              </w:rPr>
            </w:pPr>
          </w:p>
        </w:tc>
        <w:tc>
          <w:tcPr>
            <w:tcW w:w="1280" w:type="dxa"/>
          </w:tcPr>
          <w:p w14:paraId="41AEB86B" w14:textId="77777777" w:rsidR="00C66FDA" w:rsidRPr="0031394A" w:rsidRDefault="00C66FDA" w:rsidP="00156345">
            <w:pPr>
              <w:autoSpaceDE w:val="0"/>
              <w:autoSpaceDN w:val="0"/>
              <w:adjustRightInd w:val="0"/>
              <w:jc w:val="center"/>
              <w:rPr>
                <w:rFonts w:ascii="Times New Roman" w:hAnsi="Times New Roman" w:cs="Times New Roman"/>
                <w:b/>
                <w:sz w:val="16"/>
                <w:szCs w:val="16"/>
              </w:rPr>
            </w:pPr>
            <w:r w:rsidRPr="0031394A">
              <w:rPr>
                <w:rFonts w:ascii="Times New Roman" w:hAnsi="Times New Roman" w:cs="Times New Roman"/>
                <w:b/>
                <w:sz w:val="16"/>
                <w:szCs w:val="16"/>
              </w:rPr>
              <w:t>Initial value</w:t>
            </w:r>
          </w:p>
        </w:tc>
        <w:tc>
          <w:tcPr>
            <w:tcW w:w="1418" w:type="dxa"/>
          </w:tcPr>
          <w:p w14:paraId="66E5B4A4" w14:textId="77777777" w:rsidR="00C66FDA" w:rsidRPr="0031394A" w:rsidRDefault="00C66FDA" w:rsidP="00156345">
            <w:pPr>
              <w:autoSpaceDE w:val="0"/>
              <w:autoSpaceDN w:val="0"/>
              <w:adjustRightInd w:val="0"/>
              <w:jc w:val="center"/>
              <w:rPr>
                <w:rFonts w:ascii="Times New Roman" w:hAnsi="Times New Roman" w:cs="Times New Roman"/>
                <w:b/>
                <w:sz w:val="16"/>
                <w:szCs w:val="16"/>
              </w:rPr>
            </w:pPr>
            <w:r w:rsidRPr="0031394A">
              <w:rPr>
                <w:rFonts w:ascii="Times New Roman" w:hAnsi="Times New Roman" w:cs="Times New Roman"/>
                <w:b/>
                <w:sz w:val="16"/>
                <w:szCs w:val="16"/>
              </w:rPr>
              <w:t>Lower bound</w:t>
            </w:r>
          </w:p>
        </w:tc>
        <w:tc>
          <w:tcPr>
            <w:tcW w:w="1417" w:type="dxa"/>
          </w:tcPr>
          <w:p w14:paraId="154FD444" w14:textId="77777777" w:rsidR="00C66FDA" w:rsidRPr="0031394A" w:rsidRDefault="00C66FDA" w:rsidP="00156345">
            <w:pPr>
              <w:autoSpaceDE w:val="0"/>
              <w:autoSpaceDN w:val="0"/>
              <w:adjustRightInd w:val="0"/>
              <w:jc w:val="center"/>
              <w:rPr>
                <w:rFonts w:ascii="Times New Roman" w:hAnsi="Times New Roman" w:cs="Times New Roman"/>
                <w:b/>
                <w:sz w:val="16"/>
                <w:szCs w:val="16"/>
              </w:rPr>
            </w:pPr>
            <w:r w:rsidRPr="0031394A">
              <w:rPr>
                <w:rFonts w:ascii="Times New Roman" w:hAnsi="Times New Roman" w:cs="Times New Roman"/>
                <w:b/>
                <w:sz w:val="16"/>
                <w:szCs w:val="16"/>
              </w:rPr>
              <w:t>Upper bound</w:t>
            </w:r>
          </w:p>
        </w:tc>
        <w:tc>
          <w:tcPr>
            <w:tcW w:w="1418" w:type="dxa"/>
          </w:tcPr>
          <w:p w14:paraId="328F02A1" w14:textId="77777777" w:rsidR="00C66FDA" w:rsidRPr="0031394A" w:rsidRDefault="00C66FDA" w:rsidP="00156345">
            <w:pPr>
              <w:autoSpaceDE w:val="0"/>
              <w:autoSpaceDN w:val="0"/>
              <w:adjustRightInd w:val="0"/>
              <w:jc w:val="center"/>
              <w:rPr>
                <w:rFonts w:ascii="Times New Roman" w:hAnsi="Times New Roman" w:cs="Times New Roman"/>
                <w:b/>
                <w:sz w:val="16"/>
                <w:szCs w:val="16"/>
              </w:rPr>
            </w:pPr>
            <w:r w:rsidRPr="0031394A">
              <w:rPr>
                <w:rFonts w:ascii="Times New Roman" w:hAnsi="Times New Roman" w:cs="Times New Roman"/>
                <w:b/>
                <w:sz w:val="16"/>
                <w:szCs w:val="16"/>
              </w:rPr>
              <w:t>Change</w:t>
            </w:r>
            <w:r w:rsidR="00D1186E" w:rsidRPr="0031394A">
              <w:rPr>
                <w:rFonts w:ascii="Times New Roman" w:hAnsi="Times New Roman" w:cs="Times New Roman"/>
                <w:b/>
                <w:sz w:val="16"/>
                <w:szCs w:val="16"/>
              </w:rPr>
              <w:t xml:space="preserve"> bound</w:t>
            </w:r>
          </w:p>
        </w:tc>
      </w:tr>
      <w:tr w:rsidR="00474DE2" w:rsidRPr="0031394A" w14:paraId="0EEFBCFC" w14:textId="77777777" w:rsidTr="00D1186E">
        <w:tc>
          <w:tcPr>
            <w:tcW w:w="2122" w:type="dxa"/>
          </w:tcPr>
          <w:p w14:paraId="38DCD265" w14:textId="77777777" w:rsidR="00C66FDA" w:rsidRPr="0031394A" w:rsidRDefault="00C66FDA" w:rsidP="00156345">
            <w:pPr>
              <w:autoSpaceDE w:val="0"/>
              <w:autoSpaceDN w:val="0"/>
              <w:adjustRightInd w:val="0"/>
              <w:jc w:val="center"/>
              <w:rPr>
                <w:rFonts w:ascii="Times New Roman" w:hAnsi="Times New Roman" w:cs="Times New Roman"/>
                <w:b/>
                <w:sz w:val="16"/>
                <w:szCs w:val="16"/>
              </w:rPr>
            </w:pPr>
            <w:r w:rsidRPr="0031394A">
              <w:rPr>
                <w:rFonts w:ascii="Times New Roman" w:hAnsi="Times New Roman" w:cs="Times New Roman"/>
                <w:b/>
                <w:sz w:val="16"/>
                <w:szCs w:val="16"/>
              </w:rPr>
              <w:t>Contribution rate (%)</w:t>
            </w:r>
          </w:p>
        </w:tc>
        <w:tc>
          <w:tcPr>
            <w:tcW w:w="1280" w:type="dxa"/>
          </w:tcPr>
          <w:p w14:paraId="0A804C14" w14:textId="15A2FA50"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16.1</w:t>
            </w:r>
            <w:r w:rsidR="00272B47">
              <w:rPr>
                <w:rFonts w:ascii="Times New Roman" w:hAnsi="Times New Roman" w:cs="Times New Roman"/>
                <w:sz w:val="16"/>
                <w:szCs w:val="16"/>
              </w:rPr>
              <w:t>4</w:t>
            </w:r>
          </w:p>
        </w:tc>
        <w:tc>
          <w:tcPr>
            <w:tcW w:w="1418" w:type="dxa"/>
          </w:tcPr>
          <w:p w14:paraId="76F35781" w14:textId="717728AD"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16.1</w:t>
            </w:r>
            <w:r w:rsidR="00272B47">
              <w:rPr>
                <w:rFonts w:ascii="Times New Roman" w:hAnsi="Times New Roman" w:cs="Times New Roman"/>
                <w:sz w:val="16"/>
                <w:szCs w:val="16"/>
              </w:rPr>
              <w:t>4</w:t>
            </w:r>
          </w:p>
        </w:tc>
        <w:tc>
          <w:tcPr>
            <w:tcW w:w="1417" w:type="dxa"/>
          </w:tcPr>
          <w:p w14:paraId="7070F190" w14:textId="77777777"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20.00</w:t>
            </w:r>
          </w:p>
        </w:tc>
        <w:tc>
          <w:tcPr>
            <w:tcW w:w="1418" w:type="dxa"/>
          </w:tcPr>
          <w:p w14:paraId="37F00B56" w14:textId="77777777"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0.00 – 3.00</w:t>
            </w:r>
          </w:p>
        </w:tc>
      </w:tr>
      <w:tr w:rsidR="00474DE2" w:rsidRPr="0031394A" w14:paraId="21EF7827" w14:textId="77777777" w:rsidTr="00D1186E">
        <w:tc>
          <w:tcPr>
            <w:tcW w:w="2122" w:type="dxa"/>
          </w:tcPr>
          <w:p w14:paraId="1E31C1C0" w14:textId="77777777" w:rsidR="00C66FDA" w:rsidRPr="0031394A" w:rsidRDefault="00C66FDA" w:rsidP="00156345">
            <w:pPr>
              <w:autoSpaceDE w:val="0"/>
              <w:autoSpaceDN w:val="0"/>
              <w:adjustRightInd w:val="0"/>
              <w:jc w:val="center"/>
              <w:rPr>
                <w:rFonts w:ascii="Times New Roman" w:hAnsi="Times New Roman" w:cs="Times New Roman"/>
                <w:b/>
                <w:sz w:val="16"/>
                <w:szCs w:val="16"/>
              </w:rPr>
            </w:pPr>
            <w:r w:rsidRPr="0031394A">
              <w:rPr>
                <w:rFonts w:ascii="Times New Roman" w:hAnsi="Times New Roman" w:cs="Times New Roman"/>
                <w:b/>
                <w:sz w:val="16"/>
                <w:szCs w:val="16"/>
              </w:rPr>
              <w:t>Age of retirement (years)</w:t>
            </w:r>
          </w:p>
        </w:tc>
        <w:tc>
          <w:tcPr>
            <w:tcW w:w="1280" w:type="dxa"/>
          </w:tcPr>
          <w:p w14:paraId="75E2B10C" w14:textId="77777777"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65.00</w:t>
            </w:r>
          </w:p>
        </w:tc>
        <w:tc>
          <w:tcPr>
            <w:tcW w:w="1418" w:type="dxa"/>
          </w:tcPr>
          <w:p w14:paraId="14AF1272" w14:textId="77777777"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65.00</w:t>
            </w:r>
          </w:p>
        </w:tc>
        <w:tc>
          <w:tcPr>
            <w:tcW w:w="1417" w:type="dxa"/>
          </w:tcPr>
          <w:p w14:paraId="1B636746" w14:textId="77777777"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72.00</w:t>
            </w:r>
          </w:p>
        </w:tc>
        <w:tc>
          <w:tcPr>
            <w:tcW w:w="1418" w:type="dxa"/>
          </w:tcPr>
          <w:p w14:paraId="4F7DA353" w14:textId="77777777"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0.00 – 0.25</w:t>
            </w:r>
          </w:p>
        </w:tc>
      </w:tr>
      <w:tr w:rsidR="00474DE2" w:rsidRPr="0031394A" w14:paraId="48B6BF07" w14:textId="77777777" w:rsidTr="00D1186E">
        <w:tc>
          <w:tcPr>
            <w:tcW w:w="2122" w:type="dxa"/>
          </w:tcPr>
          <w:p w14:paraId="7AE13134" w14:textId="77777777" w:rsidR="00C66FDA" w:rsidRPr="0031394A" w:rsidRDefault="00C66FDA" w:rsidP="00156345">
            <w:pPr>
              <w:autoSpaceDE w:val="0"/>
              <w:autoSpaceDN w:val="0"/>
              <w:adjustRightInd w:val="0"/>
              <w:jc w:val="center"/>
              <w:rPr>
                <w:rFonts w:ascii="Times New Roman" w:hAnsi="Times New Roman" w:cs="Times New Roman"/>
                <w:b/>
                <w:sz w:val="16"/>
                <w:szCs w:val="16"/>
              </w:rPr>
            </w:pPr>
            <w:r w:rsidRPr="0031394A">
              <w:rPr>
                <w:rFonts w:ascii="Times New Roman" w:hAnsi="Times New Roman" w:cs="Times New Roman"/>
                <w:b/>
                <w:sz w:val="16"/>
                <w:szCs w:val="16"/>
              </w:rPr>
              <w:t>Indexation of pensions (%)</w:t>
            </w:r>
          </w:p>
        </w:tc>
        <w:tc>
          <w:tcPr>
            <w:tcW w:w="1280" w:type="dxa"/>
          </w:tcPr>
          <w:p w14:paraId="2C298B35" w14:textId="77777777"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3.00</w:t>
            </w:r>
          </w:p>
        </w:tc>
        <w:tc>
          <w:tcPr>
            <w:tcW w:w="1418" w:type="dxa"/>
          </w:tcPr>
          <w:p w14:paraId="50CE38B5" w14:textId="77777777"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0.00</w:t>
            </w:r>
          </w:p>
        </w:tc>
        <w:tc>
          <w:tcPr>
            <w:tcW w:w="1417" w:type="dxa"/>
          </w:tcPr>
          <w:p w14:paraId="12626A66" w14:textId="77777777"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2.00</w:t>
            </w:r>
          </w:p>
        </w:tc>
        <w:tc>
          <w:tcPr>
            <w:tcW w:w="1418" w:type="dxa"/>
          </w:tcPr>
          <w:p w14:paraId="64987B15" w14:textId="77777777" w:rsidR="00C66FDA" w:rsidRPr="0031394A" w:rsidRDefault="00C66FDA" w:rsidP="00156345">
            <w:pPr>
              <w:autoSpaceDE w:val="0"/>
              <w:autoSpaceDN w:val="0"/>
              <w:adjustRightInd w:val="0"/>
              <w:jc w:val="center"/>
              <w:rPr>
                <w:rFonts w:ascii="Times New Roman" w:hAnsi="Times New Roman" w:cs="Times New Roman"/>
                <w:sz w:val="16"/>
                <w:szCs w:val="16"/>
              </w:rPr>
            </w:pPr>
            <w:r w:rsidRPr="0031394A">
              <w:rPr>
                <w:rFonts w:ascii="Times New Roman" w:hAnsi="Times New Roman" w:cs="Times New Roman"/>
                <w:sz w:val="16"/>
                <w:szCs w:val="16"/>
              </w:rPr>
              <w:t>-1.00 – 0.00</w:t>
            </w:r>
          </w:p>
        </w:tc>
      </w:tr>
    </w:tbl>
    <w:p w14:paraId="25CB46B0" w14:textId="77777777" w:rsidR="00C66FDA" w:rsidRPr="0031394A" w:rsidRDefault="00D1186E" w:rsidP="00272B47">
      <w:pPr>
        <w:widowControl w:val="0"/>
        <w:autoSpaceDE w:val="0"/>
        <w:autoSpaceDN w:val="0"/>
        <w:adjustRightInd w:val="0"/>
        <w:spacing w:before="120" w:after="0" w:line="240" w:lineRule="auto"/>
        <w:jc w:val="center"/>
        <w:rPr>
          <w:rFonts w:ascii="Times New Roman" w:hAnsi="Times New Roman" w:cs="Times New Roman"/>
          <w:szCs w:val="22"/>
        </w:rPr>
      </w:pPr>
      <w:r w:rsidRPr="0031394A">
        <w:rPr>
          <w:rFonts w:ascii="Times New Roman" w:hAnsi="Times New Roman" w:cs="Times New Roman"/>
          <w:szCs w:val="22"/>
        </w:rPr>
        <w:t>Own source</w:t>
      </w:r>
    </w:p>
    <w:p w14:paraId="02638AEF" w14:textId="77777777" w:rsidR="00C375D4" w:rsidRPr="0031394A" w:rsidRDefault="00C375D4" w:rsidP="00272B47">
      <w:pPr>
        <w:spacing w:before="160" w:after="120" w:line="240" w:lineRule="auto"/>
        <w:jc w:val="both"/>
        <w:rPr>
          <w:rFonts w:ascii="Times New Roman" w:hAnsi="Times New Roman" w:cs="Times New Roman"/>
          <w:b/>
          <w:i/>
          <w:sz w:val="24"/>
          <w:szCs w:val="24"/>
          <w:lang w:val="en-GB"/>
        </w:rPr>
      </w:pPr>
      <w:r w:rsidRPr="0031394A">
        <w:rPr>
          <w:rFonts w:ascii="Times New Roman" w:hAnsi="Times New Roman" w:cs="Times New Roman"/>
          <w:b/>
          <w:i/>
          <w:sz w:val="24"/>
          <w:szCs w:val="24"/>
          <w:lang w:val="en-GB"/>
        </w:rPr>
        <w:t>Choice of parameters and assumptions related to the DC funding part</w:t>
      </w:r>
    </w:p>
    <w:p w14:paraId="3FD5A0C1" w14:textId="77777777" w:rsidR="00911E3B" w:rsidRPr="0031394A" w:rsidRDefault="00911E3B" w:rsidP="00C825A0">
      <w:pPr>
        <w:pStyle w:val="ListParagraph"/>
        <w:numPr>
          <w:ilvl w:val="0"/>
          <w:numId w:val="2"/>
        </w:num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Contribution rate to the DC part is set at 2%.</w:t>
      </w:r>
    </w:p>
    <w:p w14:paraId="0184F339" w14:textId="77777777" w:rsidR="00A66245" w:rsidRPr="0031394A" w:rsidRDefault="00A66245" w:rsidP="00C825A0">
      <w:pPr>
        <w:pStyle w:val="ListParagraph"/>
        <w:numPr>
          <w:ilvl w:val="0"/>
          <w:numId w:val="2"/>
        </w:num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It is assumed that the DC scheme is financially sustainable in the sense that there are no risks regarding the assumptions of the mortality rates and discount rates.</w:t>
      </w:r>
      <w:r w:rsidRPr="0031394A">
        <w:rPr>
          <w:rStyle w:val="FootnoteReference"/>
          <w:rFonts w:ascii="Times New Roman" w:hAnsi="Times New Roman" w:cs="Times New Roman"/>
          <w:sz w:val="24"/>
          <w:szCs w:val="24"/>
          <w:lang w:val="en-GB"/>
        </w:rPr>
        <w:footnoteReference w:id="22"/>
      </w:r>
      <w:r w:rsidRPr="0031394A">
        <w:rPr>
          <w:rFonts w:ascii="Times New Roman" w:hAnsi="Times New Roman" w:cs="Times New Roman"/>
          <w:sz w:val="24"/>
          <w:szCs w:val="24"/>
          <w:lang w:val="en-GB"/>
        </w:rPr>
        <w:t xml:space="preserve"> Therefore the DC part is not affected by the automatic balancing mechanism but has an impact on the amount of the initial pension the individual receives at retirement age. Computationally, the inclusion of a DC funding part makes our analysis much more difficult as our study needs to be </w:t>
      </w:r>
      <w:r w:rsidR="008518F7" w:rsidRPr="0031394A">
        <w:rPr>
          <w:rFonts w:ascii="Times New Roman" w:hAnsi="Times New Roman" w:cs="Times New Roman"/>
          <w:sz w:val="24"/>
          <w:szCs w:val="24"/>
          <w:lang w:val="en-GB"/>
        </w:rPr>
        <w:t>performed</w:t>
      </w:r>
      <w:r w:rsidRPr="0031394A">
        <w:rPr>
          <w:rFonts w:ascii="Times New Roman" w:hAnsi="Times New Roman" w:cs="Times New Roman"/>
          <w:sz w:val="24"/>
          <w:szCs w:val="24"/>
          <w:lang w:val="en-GB"/>
        </w:rPr>
        <w:t xml:space="preserve"> by cohort.</w:t>
      </w:r>
    </w:p>
    <w:p w14:paraId="6473736C" w14:textId="77777777" w:rsidR="00BA4B69" w:rsidRPr="0031394A" w:rsidRDefault="00EB21E8"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lastRenderedPageBreak/>
        <w:t>Contributions to the DC scheme are invested 50% in bonds and 50% in equity.</w:t>
      </w:r>
      <w:r w:rsidRPr="0031394A">
        <w:rPr>
          <w:rStyle w:val="FootnoteReference"/>
          <w:rFonts w:ascii="Times New Roman" w:hAnsi="Times New Roman" w:cs="Times New Roman"/>
          <w:sz w:val="24"/>
          <w:szCs w:val="24"/>
          <w:lang w:val="en-GB"/>
        </w:rPr>
        <w:footnoteReference w:id="23"/>
      </w:r>
    </w:p>
    <w:p w14:paraId="3C1FEC66" w14:textId="57B8F9EF" w:rsidR="008F6E7B" w:rsidRPr="0031394A" w:rsidRDefault="00FB1E9F"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b/>
          <w:i/>
          <w:sz w:val="24"/>
          <w:szCs w:val="24"/>
          <w:lang w:val="en-GB"/>
        </w:rPr>
      </w:pPr>
      <w:r w:rsidRPr="0031394A">
        <w:rPr>
          <w:rFonts w:ascii="Times New Roman" w:hAnsi="Times New Roman" w:cs="Times New Roman"/>
          <w:sz w:val="24"/>
          <w:szCs w:val="24"/>
          <w:lang w:val="en-GB"/>
        </w:rPr>
        <w:t xml:space="preserve">With the aim of </w:t>
      </w:r>
      <w:r w:rsidR="00512BF4" w:rsidRPr="0031394A">
        <w:rPr>
          <w:rFonts w:ascii="Times New Roman" w:hAnsi="Times New Roman" w:cs="Times New Roman"/>
          <w:sz w:val="24"/>
          <w:szCs w:val="24"/>
          <w:lang w:val="en-GB"/>
        </w:rPr>
        <w:t>simulating</w:t>
      </w:r>
      <w:r w:rsidRPr="0031394A">
        <w:rPr>
          <w:rFonts w:ascii="Times New Roman" w:hAnsi="Times New Roman" w:cs="Times New Roman"/>
          <w:sz w:val="24"/>
          <w:szCs w:val="24"/>
          <w:lang w:val="en-GB"/>
        </w:rPr>
        <w:t xml:space="preserve"> returns for the DC part and buffer fund of the PAYG, we use</w:t>
      </w:r>
      <w:bookmarkEnd w:id="18"/>
      <w:bookmarkEnd w:id="19"/>
      <w:bookmarkEnd w:id="20"/>
      <w:r w:rsidRPr="0031394A">
        <w:rPr>
          <w:rFonts w:ascii="Times New Roman" w:hAnsi="Times New Roman" w:cs="Times New Roman"/>
          <w:sz w:val="24"/>
          <w:szCs w:val="24"/>
          <w:lang w:val="en-GB"/>
        </w:rPr>
        <w:t xml:space="preserve"> monthly </w:t>
      </w:r>
      <w:r w:rsidR="005A7D81" w:rsidRPr="0031394A">
        <w:rPr>
          <w:rFonts w:ascii="Times New Roman" w:eastAsia="Times New Roman" w:hAnsi="Times New Roman" w:cs="Times New Roman"/>
          <w:sz w:val="24"/>
          <w:szCs w:val="24"/>
          <w:lang w:val="en-GB" w:eastAsia="es-ES"/>
        </w:rPr>
        <w:t>time series from 31/07/2006 to 29/12/2017</w:t>
      </w:r>
      <w:r w:rsidR="0092374B" w:rsidRPr="0031394A">
        <w:rPr>
          <w:rFonts w:ascii="Times New Roman" w:eastAsia="Times New Roman" w:hAnsi="Times New Roman" w:cs="Times New Roman"/>
          <w:sz w:val="24"/>
          <w:szCs w:val="24"/>
          <w:lang w:val="en-GB" w:eastAsia="es-ES"/>
        </w:rPr>
        <w:t>.</w:t>
      </w:r>
      <w:r w:rsidR="00D92DF2" w:rsidRPr="0031394A">
        <w:rPr>
          <w:rStyle w:val="FootnoteReference"/>
          <w:rFonts w:ascii="Times New Roman" w:eastAsia="Times New Roman" w:hAnsi="Times New Roman" w:cs="Times New Roman"/>
          <w:sz w:val="24"/>
          <w:szCs w:val="24"/>
          <w:lang w:val="en-GB" w:eastAsia="es-ES"/>
        </w:rPr>
        <w:footnoteReference w:id="24"/>
      </w:r>
      <w:r w:rsidR="00D92DF2" w:rsidRPr="0031394A">
        <w:rPr>
          <w:rFonts w:ascii="Times New Roman" w:eastAsia="Times New Roman" w:hAnsi="Times New Roman" w:cs="Times New Roman"/>
          <w:sz w:val="24"/>
          <w:szCs w:val="24"/>
          <w:lang w:val="en-GB" w:eastAsia="es-ES"/>
        </w:rPr>
        <w:t xml:space="preserve"> </w:t>
      </w:r>
      <w:r w:rsidR="0092374B" w:rsidRPr="0031394A">
        <w:rPr>
          <w:rFonts w:ascii="Times New Roman" w:eastAsia="Times New Roman" w:hAnsi="Times New Roman" w:cs="Times New Roman"/>
          <w:sz w:val="24"/>
          <w:szCs w:val="24"/>
          <w:lang w:val="en-GB" w:eastAsia="es-ES"/>
        </w:rPr>
        <w:t xml:space="preserve"> The risk-free asset is proxied by a portfolio of investment grade Euro sovereign bonds.</w:t>
      </w:r>
      <w:r w:rsidR="0092374B" w:rsidRPr="0031394A">
        <w:rPr>
          <w:rStyle w:val="FootnoteReference"/>
          <w:rFonts w:ascii="Times New Roman" w:eastAsia="Times New Roman" w:hAnsi="Times New Roman" w:cs="Times New Roman"/>
          <w:sz w:val="24"/>
          <w:szCs w:val="24"/>
          <w:lang w:val="en-GB" w:eastAsia="es-ES"/>
        </w:rPr>
        <w:footnoteReference w:id="25"/>
      </w:r>
      <w:r w:rsidR="0092374B" w:rsidRPr="0031394A">
        <w:rPr>
          <w:rFonts w:ascii="Times New Roman" w:eastAsia="Times New Roman" w:hAnsi="Times New Roman" w:cs="Times New Roman"/>
          <w:sz w:val="24"/>
          <w:szCs w:val="24"/>
          <w:lang w:val="en-GB" w:eastAsia="es-ES"/>
        </w:rPr>
        <w:t xml:space="preserve"> The risky portfolio is captured by the index EuroStoxx 600, a composite index that accounts for the large, mid and small capitalization companies across 17 countries of the European region, and which could be considered as the proxy of the European stock market portfolio</w:t>
      </w:r>
      <w:r w:rsidR="002B5381" w:rsidRPr="0031394A">
        <w:rPr>
          <w:rFonts w:ascii="Times New Roman" w:eastAsia="Times New Roman" w:hAnsi="Times New Roman" w:cs="Times New Roman"/>
          <w:sz w:val="24"/>
          <w:szCs w:val="24"/>
          <w:lang w:val="en-GB" w:eastAsia="es-ES"/>
        </w:rPr>
        <w:t>.</w:t>
      </w:r>
      <w:r w:rsidR="00512BF4" w:rsidRPr="0031394A">
        <w:rPr>
          <w:rFonts w:ascii="Times New Roman" w:eastAsia="Times New Roman" w:hAnsi="Times New Roman" w:cs="Times New Roman"/>
          <w:sz w:val="24"/>
          <w:szCs w:val="24"/>
          <w:lang w:val="en-GB" w:eastAsia="es-ES"/>
        </w:rPr>
        <w:t xml:space="preserve"> Data has been downloaded from Datastream. </w:t>
      </w:r>
      <w:r w:rsidR="005A7D81" w:rsidRPr="0031394A">
        <w:rPr>
          <w:rFonts w:ascii="Times New Roman" w:eastAsia="Times New Roman" w:hAnsi="Times New Roman" w:cs="Times New Roman"/>
          <w:sz w:val="24"/>
          <w:szCs w:val="24"/>
          <w:lang w:val="en-GB" w:eastAsia="es-ES"/>
        </w:rPr>
        <w:t xml:space="preserve">The simulated paths </w:t>
      </w:r>
      <w:r w:rsidR="0092374B" w:rsidRPr="0031394A">
        <w:rPr>
          <w:rFonts w:ascii="Times New Roman" w:eastAsia="Times New Roman" w:hAnsi="Times New Roman" w:cs="Times New Roman"/>
          <w:sz w:val="24"/>
          <w:szCs w:val="24"/>
          <w:lang w:val="en-GB" w:eastAsia="es-ES"/>
        </w:rPr>
        <w:t xml:space="preserve">using the block-bootstrap </w:t>
      </w:r>
      <w:r w:rsidR="005A7D81" w:rsidRPr="0031394A">
        <w:rPr>
          <w:rFonts w:ascii="Times New Roman" w:eastAsia="Times New Roman" w:hAnsi="Times New Roman" w:cs="Times New Roman"/>
          <w:sz w:val="24"/>
          <w:szCs w:val="24"/>
          <w:lang w:val="en-GB" w:eastAsia="es-ES"/>
        </w:rPr>
        <w:t>are built until December 2090</w:t>
      </w:r>
      <w:r w:rsidR="0092374B" w:rsidRPr="0031394A">
        <w:rPr>
          <w:rFonts w:ascii="Times New Roman" w:eastAsia="Times New Roman" w:hAnsi="Times New Roman" w:cs="Times New Roman"/>
          <w:sz w:val="24"/>
          <w:szCs w:val="24"/>
          <w:lang w:val="en-GB" w:eastAsia="es-ES"/>
        </w:rPr>
        <w:t>, i.e. 75</w:t>
      </w:r>
      <w:r w:rsidR="004A64F0" w:rsidRPr="0031394A">
        <w:rPr>
          <w:rFonts w:ascii="Times New Roman" w:eastAsia="Times New Roman" w:hAnsi="Times New Roman" w:cs="Times New Roman"/>
          <w:sz w:val="24"/>
          <w:szCs w:val="24"/>
          <w:lang w:val="en-GB" w:eastAsia="es-ES"/>
        </w:rPr>
        <w:t>-</w:t>
      </w:r>
      <w:r w:rsidR="0092374B" w:rsidRPr="0031394A">
        <w:rPr>
          <w:rFonts w:ascii="Times New Roman" w:eastAsia="Times New Roman" w:hAnsi="Times New Roman" w:cs="Times New Roman"/>
          <w:sz w:val="24"/>
          <w:szCs w:val="24"/>
          <w:lang w:val="en-GB" w:eastAsia="es-ES"/>
        </w:rPr>
        <w:t>year time horizon.</w:t>
      </w:r>
      <w:r w:rsidR="00E844C3" w:rsidRPr="0031394A">
        <w:rPr>
          <w:rStyle w:val="FootnoteReference"/>
          <w:rFonts w:ascii="Times New Roman" w:hAnsi="Times New Roman" w:cs="Times New Roman"/>
          <w:sz w:val="24"/>
          <w:szCs w:val="24"/>
          <w:lang w:val="en-GB"/>
        </w:rPr>
        <w:footnoteReference w:id="26"/>
      </w:r>
      <w:r w:rsidR="0092374B" w:rsidRPr="0031394A">
        <w:rPr>
          <w:rFonts w:ascii="Times New Roman" w:eastAsia="Times New Roman" w:hAnsi="Times New Roman" w:cs="Times New Roman"/>
          <w:sz w:val="24"/>
          <w:szCs w:val="24"/>
          <w:lang w:val="en-GB" w:eastAsia="es-ES"/>
        </w:rPr>
        <w:t xml:space="preserve"> </w:t>
      </w:r>
      <w:r w:rsidR="005A7D81" w:rsidRPr="0031394A">
        <w:rPr>
          <w:rFonts w:ascii="Times New Roman" w:eastAsia="Times New Roman" w:hAnsi="Times New Roman" w:cs="Times New Roman"/>
          <w:sz w:val="24"/>
          <w:szCs w:val="24"/>
          <w:lang w:val="en-GB" w:eastAsia="es-ES"/>
        </w:rPr>
        <w:t>The forecasts are constructed by simulating 200,000 paths.</w:t>
      </w:r>
      <w:r w:rsidR="00E844C3" w:rsidRPr="0031394A">
        <w:rPr>
          <w:rFonts w:ascii="Times New Roman" w:eastAsia="Times New Roman" w:hAnsi="Times New Roman" w:cs="Times New Roman"/>
          <w:sz w:val="24"/>
          <w:szCs w:val="24"/>
          <w:lang w:val="en-GB" w:eastAsia="es-ES"/>
        </w:rPr>
        <w:t xml:space="preserve"> </w:t>
      </w:r>
    </w:p>
    <w:p w14:paraId="2FBCD528" w14:textId="77777777" w:rsidR="00BA4B69" w:rsidRPr="0031394A" w:rsidRDefault="0022492F"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Retirement age for the DC part is set to 65.</w:t>
      </w:r>
    </w:p>
    <w:p w14:paraId="7A4A19AC" w14:textId="77777777" w:rsidR="0022492F" w:rsidRPr="0031394A" w:rsidRDefault="008A7E1F"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Cohort p</w:t>
      </w:r>
      <w:r w:rsidR="0022492F" w:rsidRPr="0031394A">
        <w:rPr>
          <w:rFonts w:ascii="Times New Roman" w:hAnsi="Times New Roman" w:cs="Times New Roman"/>
          <w:sz w:val="24"/>
          <w:szCs w:val="24"/>
          <w:lang w:val="en-GB"/>
        </w:rPr>
        <w:t xml:space="preserve">rojected mortality tables for </w:t>
      </w:r>
      <w:r w:rsidR="00156345" w:rsidRPr="0031394A">
        <w:rPr>
          <w:rFonts w:ascii="Times New Roman" w:hAnsi="Times New Roman" w:cs="Times New Roman"/>
          <w:sz w:val="24"/>
          <w:szCs w:val="24"/>
          <w:lang w:val="en-GB"/>
        </w:rPr>
        <w:t>a representative European country</w:t>
      </w:r>
      <w:r w:rsidR="00156345" w:rsidRPr="0031394A">
        <w:rPr>
          <w:rStyle w:val="FootnoteReference"/>
          <w:rFonts w:ascii="Times New Roman" w:hAnsi="Times New Roman" w:cs="Times New Roman"/>
          <w:sz w:val="24"/>
          <w:szCs w:val="24"/>
          <w:lang w:val="en-GB"/>
        </w:rPr>
        <w:footnoteReference w:id="27"/>
      </w:r>
      <w:r w:rsidR="00156345" w:rsidRPr="0031394A">
        <w:rPr>
          <w:rFonts w:ascii="Times New Roman" w:hAnsi="Times New Roman" w:cs="Times New Roman"/>
          <w:sz w:val="24"/>
          <w:szCs w:val="24"/>
          <w:lang w:val="en-GB"/>
        </w:rPr>
        <w:t xml:space="preserve"> </w:t>
      </w:r>
      <w:r w:rsidR="0022492F" w:rsidRPr="0031394A">
        <w:rPr>
          <w:rFonts w:ascii="Times New Roman" w:hAnsi="Times New Roman" w:cs="Times New Roman"/>
          <w:sz w:val="24"/>
          <w:szCs w:val="24"/>
          <w:lang w:val="en-GB"/>
        </w:rPr>
        <w:t>are used to convert the accumulated capital of the DC part into a lifetime pension.</w:t>
      </w:r>
    </w:p>
    <w:p w14:paraId="07C7D9E4" w14:textId="77777777" w:rsidR="0022492F" w:rsidRPr="0031394A" w:rsidRDefault="0022492F"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Discount rate is set at 2%.</w:t>
      </w:r>
    </w:p>
    <w:p w14:paraId="18FEC3CA" w14:textId="77777777" w:rsidR="00BA4B69" w:rsidRPr="0031394A" w:rsidRDefault="00BA4B69" w:rsidP="00C825A0">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bookmarkStart w:id="22" w:name="_Hlk3970950"/>
      <w:r w:rsidRPr="0031394A">
        <w:rPr>
          <w:rFonts w:ascii="Times New Roman" w:hAnsi="Times New Roman" w:cs="Times New Roman"/>
          <w:sz w:val="24"/>
          <w:szCs w:val="24"/>
          <w:lang w:val="en-GB"/>
        </w:rPr>
        <w:t xml:space="preserve">At the retirement age, the accumulated capital is converted into a life annuity according to </w:t>
      </w:r>
      <w:r w:rsidR="008A7E1F" w:rsidRPr="0031394A">
        <w:rPr>
          <w:rFonts w:ascii="Times New Roman" w:hAnsi="Times New Roman" w:cs="Times New Roman"/>
          <w:sz w:val="24"/>
          <w:szCs w:val="24"/>
          <w:lang w:val="en-GB"/>
        </w:rPr>
        <w:t xml:space="preserve">standard </w:t>
      </w:r>
      <w:r w:rsidRPr="0031394A">
        <w:rPr>
          <w:rFonts w:ascii="Times New Roman" w:hAnsi="Times New Roman" w:cs="Times New Roman"/>
          <w:sz w:val="24"/>
          <w:szCs w:val="24"/>
          <w:lang w:val="en-GB"/>
        </w:rPr>
        <w:t>actuarial practice</w:t>
      </w:r>
      <w:bookmarkEnd w:id="22"/>
      <w:r w:rsidRPr="0031394A">
        <w:rPr>
          <w:rFonts w:ascii="Times New Roman" w:hAnsi="Times New Roman" w:cs="Times New Roman"/>
          <w:sz w:val="24"/>
          <w:szCs w:val="24"/>
          <w:lang w:val="en-GB"/>
        </w:rPr>
        <w:t>.</w:t>
      </w:r>
    </w:p>
    <w:p w14:paraId="11E4EB11" w14:textId="77777777" w:rsidR="00473D86" w:rsidRPr="0031394A" w:rsidRDefault="007E5D53" w:rsidP="00272B47">
      <w:pPr>
        <w:widowControl w:val="0"/>
        <w:autoSpaceDE w:val="0"/>
        <w:autoSpaceDN w:val="0"/>
        <w:adjustRightInd w:val="0"/>
        <w:spacing w:before="160" w:after="120" w:line="240" w:lineRule="auto"/>
        <w:jc w:val="both"/>
        <w:rPr>
          <w:rFonts w:ascii="Times New Roman" w:hAnsi="Times New Roman" w:cs="Times New Roman"/>
          <w:b/>
          <w:i/>
          <w:sz w:val="24"/>
          <w:szCs w:val="24"/>
          <w:lang w:val="en-GB"/>
        </w:rPr>
      </w:pPr>
      <w:r w:rsidRPr="0031394A">
        <w:rPr>
          <w:rFonts w:ascii="Times New Roman" w:hAnsi="Times New Roman" w:cs="Times New Roman"/>
          <w:b/>
          <w:i/>
          <w:sz w:val="24"/>
          <w:szCs w:val="24"/>
          <w:lang w:val="en-GB"/>
        </w:rPr>
        <w:t>Results</w:t>
      </w:r>
    </w:p>
    <w:p w14:paraId="15623410" w14:textId="77777777" w:rsidR="00195BA7" w:rsidRPr="0031394A" w:rsidRDefault="002F0D1D" w:rsidP="00C825A0">
      <w:p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We first show the results of the expected </w:t>
      </w:r>
      <w:r w:rsidR="008E4956" w:rsidRPr="0031394A">
        <w:rPr>
          <w:rFonts w:ascii="Times New Roman" w:hAnsi="Times New Roman" w:cs="Times New Roman"/>
          <w:sz w:val="24"/>
          <w:szCs w:val="24"/>
          <w:lang w:val="en-GB"/>
        </w:rPr>
        <w:t xml:space="preserve">future returns that affect </w:t>
      </w:r>
      <w:r w:rsidR="0010100F" w:rsidRPr="0031394A">
        <w:rPr>
          <w:rFonts w:ascii="Times New Roman" w:hAnsi="Times New Roman" w:cs="Times New Roman"/>
          <w:sz w:val="24"/>
          <w:szCs w:val="24"/>
          <w:lang w:val="en-GB"/>
        </w:rPr>
        <w:t xml:space="preserve">both </w:t>
      </w:r>
      <w:r w:rsidR="008E4956" w:rsidRPr="0031394A">
        <w:rPr>
          <w:rFonts w:ascii="Times New Roman" w:hAnsi="Times New Roman" w:cs="Times New Roman"/>
          <w:sz w:val="24"/>
          <w:szCs w:val="24"/>
          <w:lang w:val="en-GB"/>
        </w:rPr>
        <w:t xml:space="preserve">the evolution of the buffer fund of the PAYG and the accumulated capital of the DC scheme. Second, </w:t>
      </w:r>
      <w:r w:rsidR="0010100F" w:rsidRPr="0031394A">
        <w:rPr>
          <w:rFonts w:ascii="Times New Roman" w:hAnsi="Times New Roman" w:cs="Times New Roman"/>
          <w:sz w:val="24"/>
          <w:szCs w:val="24"/>
          <w:lang w:val="en-GB"/>
        </w:rPr>
        <w:t xml:space="preserve">we calculate the </w:t>
      </w:r>
      <w:r w:rsidR="00B22566" w:rsidRPr="0031394A">
        <w:rPr>
          <w:rFonts w:ascii="Times New Roman" w:hAnsi="Times New Roman" w:cs="Times New Roman"/>
          <w:sz w:val="24"/>
          <w:szCs w:val="24"/>
          <w:lang w:val="en-GB"/>
        </w:rPr>
        <w:t>automatic balancing mechanism</w:t>
      </w:r>
      <w:r w:rsidR="0010100F" w:rsidRPr="0031394A">
        <w:rPr>
          <w:rFonts w:ascii="Times New Roman" w:hAnsi="Times New Roman" w:cs="Times New Roman"/>
          <w:sz w:val="24"/>
          <w:szCs w:val="24"/>
          <w:lang w:val="en-GB"/>
        </w:rPr>
        <w:t>s that make the PAYG part financially sustainable in the next 75 years</w:t>
      </w:r>
      <w:r w:rsidR="00D07CD6" w:rsidRPr="0031394A">
        <w:rPr>
          <w:rFonts w:ascii="Times New Roman" w:hAnsi="Times New Roman" w:cs="Times New Roman"/>
          <w:sz w:val="24"/>
          <w:szCs w:val="24"/>
          <w:lang w:val="en-GB"/>
        </w:rPr>
        <w:t xml:space="preserve"> and show the total replacement rates of the mixed pension systems</w:t>
      </w:r>
      <w:r w:rsidR="001625BC" w:rsidRPr="0031394A">
        <w:rPr>
          <w:rFonts w:ascii="Times New Roman" w:hAnsi="Times New Roman" w:cs="Times New Roman"/>
          <w:sz w:val="24"/>
          <w:szCs w:val="24"/>
          <w:lang w:val="en-GB"/>
        </w:rPr>
        <w:t xml:space="preserve"> </w:t>
      </w:r>
      <w:r w:rsidR="007679F2" w:rsidRPr="0031394A">
        <w:rPr>
          <w:rFonts w:ascii="Times New Roman" w:hAnsi="Times New Roman" w:cs="Times New Roman"/>
          <w:sz w:val="24"/>
          <w:szCs w:val="24"/>
          <w:lang w:val="en-GB"/>
        </w:rPr>
        <w:t>when the investment to the DC part is equal to 2% of the sa</w:t>
      </w:r>
      <w:r w:rsidR="00195BA7" w:rsidRPr="0031394A">
        <w:rPr>
          <w:rFonts w:ascii="Times New Roman" w:hAnsi="Times New Roman" w:cs="Times New Roman"/>
          <w:sz w:val="24"/>
          <w:szCs w:val="24"/>
          <w:lang w:val="en-GB"/>
        </w:rPr>
        <w:t xml:space="preserve">lary. </w:t>
      </w:r>
    </w:p>
    <w:p w14:paraId="7373F7C7" w14:textId="77777777" w:rsidR="00F904B3" w:rsidRPr="0031394A" w:rsidRDefault="00F904B3" w:rsidP="00C825A0">
      <w:pPr>
        <w:spacing w:before="120" w:after="120" w:line="240" w:lineRule="auto"/>
        <w:jc w:val="both"/>
        <w:rPr>
          <w:rFonts w:ascii="Times New Roman" w:hAnsi="Times New Roman" w:cs="Times New Roman"/>
          <w:i/>
          <w:sz w:val="24"/>
          <w:szCs w:val="24"/>
          <w:lang w:val="en-GB"/>
        </w:rPr>
      </w:pPr>
      <w:r w:rsidRPr="0031394A">
        <w:rPr>
          <w:rFonts w:ascii="Times New Roman" w:hAnsi="Times New Roman" w:cs="Times New Roman"/>
          <w:i/>
          <w:sz w:val="24"/>
          <w:szCs w:val="24"/>
          <w:lang w:val="en-GB"/>
        </w:rPr>
        <w:t xml:space="preserve">Results of </w:t>
      </w:r>
      <w:r w:rsidR="00AF41AC" w:rsidRPr="0031394A">
        <w:rPr>
          <w:rFonts w:ascii="Times New Roman" w:hAnsi="Times New Roman" w:cs="Times New Roman"/>
          <w:i/>
          <w:sz w:val="24"/>
          <w:szCs w:val="24"/>
          <w:lang w:val="en-GB"/>
        </w:rPr>
        <w:t>simulated</w:t>
      </w:r>
      <w:r w:rsidRPr="0031394A">
        <w:rPr>
          <w:rFonts w:ascii="Times New Roman" w:hAnsi="Times New Roman" w:cs="Times New Roman"/>
          <w:i/>
          <w:sz w:val="24"/>
          <w:szCs w:val="24"/>
          <w:lang w:val="en-GB"/>
        </w:rPr>
        <w:t xml:space="preserve"> returns</w:t>
      </w:r>
    </w:p>
    <w:p w14:paraId="60E4A71F" w14:textId="18DD1B19" w:rsidR="00F904B3" w:rsidRPr="00272B47" w:rsidRDefault="00F904B3" w:rsidP="00272B47">
      <w:pPr>
        <w:pStyle w:val="ListParagraph"/>
        <w:widowControl w:val="0"/>
        <w:numPr>
          <w:ilvl w:val="0"/>
          <w:numId w:val="2"/>
        </w:numPr>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eastAsia="Times New Roman" w:hAnsi="Times New Roman" w:cs="Times New Roman"/>
          <w:sz w:val="24"/>
          <w:szCs w:val="24"/>
          <w:lang w:val="en-GB" w:eastAsia="es-ES"/>
        </w:rPr>
        <w:t xml:space="preserve">As shown in Figure 2 and Table </w:t>
      </w:r>
      <w:r w:rsidR="00D1186E" w:rsidRPr="0031394A">
        <w:rPr>
          <w:rFonts w:ascii="Times New Roman" w:eastAsia="Times New Roman" w:hAnsi="Times New Roman" w:cs="Times New Roman"/>
          <w:sz w:val="24"/>
          <w:szCs w:val="24"/>
          <w:lang w:val="en-GB" w:eastAsia="es-ES"/>
        </w:rPr>
        <w:t>2</w:t>
      </w:r>
      <w:r w:rsidRPr="0031394A">
        <w:rPr>
          <w:rFonts w:ascii="Times New Roman" w:eastAsia="Times New Roman" w:hAnsi="Times New Roman" w:cs="Times New Roman"/>
          <w:sz w:val="24"/>
          <w:szCs w:val="24"/>
          <w:lang w:val="en-GB" w:eastAsia="es-ES"/>
        </w:rPr>
        <w:t xml:space="preserve">, one euro invested in a 100% sovereign bond portfolio in 2015 results in </w:t>
      </w:r>
      <w:r w:rsidR="00512BF4" w:rsidRPr="0031394A">
        <w:rPr>
          <w:rFonts w:ascii="Times New Roman" w:eastAsia="Times New Roman" w:hAnsi="Times New Roman" w:cs="Times New Roman"/>
          <w:sz w:val="24"/>
          <w:szCs w:val="24"/>
          <w:lang w:val="en-GB" w:eastAsia="es-ES"/>
        </w:rPr>
        <w:t>2.3</w:t>
      </w:r>
      <w:r w:rsidR="0013264D" w:rsidRPr="0031394A">
        <w:rPr>
          <w:rFonts w:ascii="Times New Roman" w:eastAsia="Times New Roman" w:hAnsi="Times New Roman" w:cs="Times New Roman"/>
          <w:sz w:val="24"/>
          <w:szCs w:val="24"/>
          <w:lang w:val="en-GB" w:eastAsia="es-ES"/>
        </w:rPr>
        <w:t xml:space="preserve"> euros</w:t>
      </w:r>
      <w:r w:rsidRPr="0031394A">
        <w:rPr>
          <w:rFonts w:ascii="Times New Roman" w:eastAsia="Times New Roman" w:hAnsi="Times New Roman" w:cs="Times New Roman"/>
          <w:sz w:val="24"/>
          <w:szCs w:val="24"/>
          <w:lang w:val="en-GB" w:eastAsia="es-ES"/>
        </w:rPr>
        <w:t xml:space="preserve"> –</w:t>
      </w:r>
      <w:r w:rsidR="0013264D"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sz w:val="24"/>
          <w:szCs w:val="24"/>
          <w:lang w:val="en-GB" w:eastAsia="es-ES"/>
        </w:rPr>
        <w:t>on average</w:t>
      </w:r>
      <w:r w:rsidR="0013264D"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sz w:val="24"/>
          <w:szCs w:val="24"/>
          <w:lang w:val="en-GB" w:eastAsia="es-ES"/>
        </w:rPr>
        <w:t>- in 2090. In contrast, one euro invested in a 100% stock portfolio leads to 88 euros in 2090.</w:t>
      </w:r>
      <w:r w:rsidRPr="0031394A">
        <w:rPr>
          <w:rStyle w:val="FootnoteReference"/>
          <w:rFonts w:ascii="Times New Roman" w:hAnsi="Times New Roman" w:cs="Times New Roman"/>
          <w:sz w:val="24"/>
          <w:szCs w:val="24"/>
          <w:lang w:val="en-GB"/>
        </w:rPr>
        <w:footnoteReference w:id="28"/>
      </w:r>
      <w:r w:rsidRPr="0031394A">
        <w:rPr>
          <w:rFonts w:ascii="Times New Roman" w:eastAsia="Times New Roman" w:hAnsi="Times New Roman" w:cs="Times New Roman"/>
          <w:sz w:val="24"/>
          <w:szCs w:val="24"/>
          <w:lang w:val="en-GB" w:eastAsia="es-ES"/>
        </w:rPr>
        <w:t xml:space="preserve">  These results are </w:t>
      </w:r>
      <w:r w:rsidRPr="0031394A">
        <w:rPr>
          <w:rFonts w:ascii="Times New Roman" w:eastAsia="Times New Roman" w:hAnsi="Times New Roman" w:cs="Times New Roman"/>
          <w:sz w:val="24"/>
          <w:szCs w:val="24"/>
          <w:lang w:val="en-GB" w:eastAsia="es-ES"/>
        </w:rPr>
        <w:lastRenderedPageBreak/>
        <w:t>in line with the empirical evidence on the high average market risk premium -average market return over the risk-free rate-. The average return of equities on excess of long-term bond returns was 6.2% during the past 110 years; see Dimson, Marsh and Staunton (2011).</w:t>
      </w:r>
    </w:p>
    <w:p w14:paraId="75653E55" w14:textId="77777777" w:rsidR="00272B47" w:rsidRPr="00272B47" w:rsidRDefault="00272B47" w:rsidP="00272B47">
      <w:pPr>
        <w:pStyle w:val="ListParagraph"/>
        <w:widowControl w:val="0"/>
        <w:autoSpaceDE w:val="0"/>
        <w:autoSpaceDN w:val="0"/>
        <w:adjustRightInd w:val="0"/>
        <w:spacing w:before="120" w:after="120" w:line="240" w:lineRule="auto"/>
        <w:jc w:val="both"/>
        <w:rPr>
          <w:rFonts w:ascii="Times New Roman" w:hAnsi="Times New Roman" w:cs="Times New Roman"/>
          <w:sz w:val="24"/>
          <w:szCs w:val="24"/>
          <w:lang w:val="en-GB"/>
        </w:rPr>
      </w:pPr>
    </w:p>
    <w:p w14:paraId="3EEC46F3" w14:textId="77777777" w:rsidR="006577C4" w:rsidRPr="0031394A" w:rsidRDefault="00F904B3" w:rsidP="00272B47">
      <w:pPr>
        <w:pStyle w:val="ListParagraph"/>
        <w:spacing w:after="120"/>
        <w:ind w:left="0"/>
        <w:jc w:val="center"/>
        <w:rPr>
          <w:rFonts w:ascii="Times New Roman" w:hAnsi="Times New Roman" w:cs="Times New Roman"/>
          <w:b/>
          <w:szCs w:val="22"/>
          <w:highlight w:val="red"/>
          <w:lang w:val="en-GB"/>
        </w:rPr>
      </w:pPr>
      <w:r w:rsidRPr="0031394A">
        <w:rPr>
          <w:rFonts w:ascii="Times New Roman" w:hAnsi="Times New Roman" w:cs="Times New Roman"/>
          <w:b/>
          <w:szCs w:val="22"/>
          <w:lang w:val="en-GB"/>
        </w:rPr>
        <w:t xml:space="preserve">Figure 2: Cumulative returns for different allocations of </w:t>
      </w:r>
      <w:r w:rsidR="007547A7" w:rsidRPr="0031394A">
        <w:rPr>
          <w:rFonts w:ascii="Times New Roman" w:hAnsi="Times New Roman" w:cs="Times New Roman"/>
          <w:b/>
          <w:szCs w:val="22"/>
          <w:lang w:val="en-GB"/>
        </w:rPr>
        <w:t>investment</w:t>
      </w:r>
    </w:p>
    <w:tbl>
      <w:tblPr>
        <w:tblStyle w:val="TableGrid"/>
        <w:tblW w:w="0" w:type="auto"/>
        <w:tblLook w:val="04A0" w:firstRow="1" w:lastRow="0" w:firstColumn="1" w:lastColumn="0" w:noHBand="0" w:noVBand="1"/>
      </w:tblPr>
      <w:tblGrid>
        <w:gridCol w:w="4146"/>
        <w:gridCol w:w="4328"/>
      </w:tblGrid>
      <w:tr w:rsidR="006577C4" w:rsidRPr="0031394A" w14:paraId="2660A60E" w14:textId="77777777" w:rsidTr="00C04E3B">
        <w:tc>
          <w:tcPr>
            <w:tcW w:w="4146" w:type="dxa"/>
          </w:tcPr>
          <w:p w14:paraId="096AA755" w14:textId="77777777" w:rsidR="006577C4" w:rsidRPr="0031394A" w:rsidRDefault="006577C4" w:rsidP="00C04E3B">
            <w:pPr>
              <w:spacing w:after="0" w:line="240" w:lineRule="auto"/>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56FCFE3E" wp14:editId="42B2814A">
                  <wp:extent cx="2895495" cy="2104701"/>
                  <wp:effectExtent l="0" t="0" r="635" b="0"/>
                  <wp:docPr id="5" name="Imagen 5" descr="E:\Disco duro externo\Disco Portable\I.- Research\1.- My Articles\2018_Boado_altri_Serrano\4.- Results_and_graphics\Simu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isco duro externo\Disco Portable\I.- Research\1.- My Articles\2018_Boado_altri_Serrano\4.- Results_and_graphics\Simul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5495" cy="2104701"/>
                          </a:xfrm>
                          <a:prstGeom prst="rect">
                            <a:avLst/>
                          </a:prstGeom>
                          <a:noFill/>
                          <a:ln>
                            <a:noFill/>
                          </a:ln>
                        </pic:spPr>
                      </pic:pic>
                    </a:graphicData>
                  </a:graphic>
                </wp:inline>
              </w:drawing>
            </w:r>
          </w:p>
          <w:p w14:paraId="5BA20D31" w14:textId="77777777" w:rsidR="006577C4" w:rsidRPr="0031394A" w:rsidRDefault="00C04E3B" w:rsidP="00810784">
            <w:pPr>
              <w:pStyle w:val="ListParagraph"/>
              <w:numPr>
                <w:ilvl w:val="0"/>
                <w:numId w:val="5"/>
              </w:numPr>
              <w:spacing w:after="0"/>
              <w:rPr>
                <w:rFonts w:ascii="Times New Roman" w:hAnsi="Times New Roman" w:cs="Times New Roman"/>
                <w:szCs w:val="22"/>
                <w:lang w:val="en-GB"/>
              </w:rPr>
            </w:pPr>
            <w:r w:rsidRPr="0031394A">
              <w:rPr>
                <w:rFonts w:ascii="Times New Roman" w:hAnsi="Times New Roman" w:cs="Times New Roman"/>
                <w:szCs w:val="22"/>
                <w:lang w:val="en-GB"/>
              </w:rPr>
              <w:t>100% in European sovereign bonds</w:t>
            </w:r>
          </w:p>
        </w:tc>
        <w:tc>
          <w:tcPr>
            <w:tcW w:w="4328" w:type="dxa"/>
          </w:tcPr>
          <w:p w14:paraId="72E0FC2C" w14:textId="77777777" w:rsidR="006577C4" w:rsidRPr="0031394A" w:rsidRDefault="006577C4" w:rsidP="00C04E3B">
            <w:pPr>
              <w:spacing w:after="0"/>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5516DBE2" wp14:editId="68FE4B6F">
                  <wp:extent cx="3020695" cy="2104390"/>
                  <wp:effectExtent l="0" t="0" r="8255" b="0"/>
                  <wp:docPr id="6" name="Imagen 6" descr="E:\Disco duro externo\Disco Portable\I.- Research\1.- My Articles\2018_Boado_altri_Serrano\4.- Results_and_graphics\Simu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isco duro externo\Disco Portable\I.- Research\1.- My Articles\2018_Boado_altri_Serrano\4.- Results_and_graphics\Simul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6622" cy="2108519"/>
                          </a:xfrm>
                          <a:prstGeom prst="rect">
                            <a:avLst/>
                          </a:prstGeom>
                          <a:noFill/>
                          <a:ln>
                            <a:noFill/>
                          </a:ln>
                        </pic:spPr>
                      </pic:pic>
                    </a:graphicData>
                  </a:graphic>
                </wp:inline>
              </w:drawing>
            </w:r>
          </w:p>
          <w:p w14:paraId="3C3708FD" w14:textId="77777777" w:rsidR="006577C4" w:rsidRPr="0031394A" w:rsidRDefault="00C04E3B" w:rsidP="00810784">
            <w:pPr>
              <w:pStyle w:val="ListParagraph"/>
              <w:numPr>
                <w:ilvl w:val="0"/>
                <w:numId w:val="5"/>
              </w:numPr>
              <w:spacing w:after="0" w:line="240" w:lineRule="auto"/>
              <w:ind w:left="714" w:hanging="357"/>
              <w:rPr>
                <w:rFonts w:ascii="Times New Roman" w:hAnsi="Times New Roman" w:cs="Times New Roman"/>
                <w:szCs w:val="22"/>
                <w:lang w:val="en-GB"/>
              </w:rPr>
            </w:pPr>
            <w:r w:rsidRPr="0031394A">
              <w:rPr>
                <w:rFonts w:ascii="Times New Roman" w:hAnsi="Times New Roman" w:cs="Times New Roman"/>
                <w:szCs w:val="22"/>
                <w:lang w:val="en-GB"/>
              </w:rPr>
              <w:t>90% (10%) in European bonds (stocks)</w:t>
            </w:r>
          </w:p>
        </w:tc>
      </w:tr>
      <w:tr w:rsidR="006577C4" w:rsidRPr="0031394A" w14:paraId="612018DD" w14:textId="77777777" w:rsidTr="00C04E3B">
        <w:tc>
          <w:tcPr>
            <w:tcW w:w="4146" w:type="dxa"/>
          </w:tcPr>
          <w:p w14:paraId="64CF4040" w14:textId="77777777" w:rsidR="006577C4" w:rsidRPr="0031394A" w:rsidRDefault="006577C4" w:rsidP="00C04E3B">
            <w:pPr>
              <w:spacing w:after="0" w:line="240" w:lineRule="auto"/>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7EA0D576" wp14:editId="7B29FE88">
                  <wp:extent cx="2662429" cy="1935288"/>
                  <wp:effectExtent l="0" t="0" r="5080" b="8255"/>
                  <wp:docPr id="7" name="Imagen 7" descr="E:\Disco duro externo\Disco Portable\I.- Research\1.- My Articles\2018_Boado_altri_Serrano\4.- Results_and_graphics\Simul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isco duro externo\Disco Portable\I.- Research\1.- My Articles\2018_Boado_altri_Serrano\4.- Results_and_graphics\Simul5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2429" cy="1935288"/>
                          </a:xfrm>
                          <a:prstGeom prst="rect">
                            <a:avLst/>
                          </a:prstGeom>
                          <a:noFill/>
                          <a:ln>
                            <a:noFill/>
                          </a:ln>
                        </pic:spPr>
                      </pic:pic>
                    </a:graphicData>
                  </a:graphic>
                </wp:inline>
              </w:drawing>
            </w:r>
          </w:p>
          <w:p w14:paraId="7DE0B6EE" w14:textId="77777777" w:rsidR="006577C4" w:rsidRPr="0031394A" w:rsidRDefault="00C04E3B" w:rsidP="00810784">
            <w:pPr>
              <w:pStyle w:val="ListParagraph"/>
              <w:numPr>
                <w:ilvl w:val="0"/>
                <w:numId w:val="5"/>
              </w:numPr>
              <w:spacing w:after="0"/>
              <w:rPr>
                <w:rFonts w:ascii="Times New Roman" w:hAnsi="Times New Roman" w:cs="Times New Roman"/>
                <w:szCs w:val="22"/>
                <w:lang w:val="en-GB"/>
              </w:rPr>
            </w:pPr>
            <w:r w:rsidRPr="0031394A">
              <w:rPr>
                <w:rFonts w:ascii="Times New Roman" w:hAnsi="Times New Roman" w:cs="Times New Roman"/>
                <w:szCs w:val="22"/>
                <w:lang w:val="en-GB"/>
              </w:rPr>
              <w:t>50% (50%) in European bonds (stocks)</w:t>
            </w:r>
          </w:p>
        </w:tc>
        <w:tc>
          <w:tcPr>
            <w:tcW w:w="4328" w:type="dxa"/>
          </w:tcPr>
          <w:p w14:paraId="30D6C6F1" w14:textId="77777777" w:rsidR="006577C4" w:rsidRPr="0031394A" w:rsidRDefault="006577C4" w:rsidP="00C04E3B">
            <w:pPr>
              <w:spacing w:after="0" w:line="240" w:lineRule="auto"/>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1516B28D" wp14:editId="22CC8A8A">
                  <wp:extent cx="2964080" cy="1923940"/>
                  <wp:effectExtent l="0" t="0" r="8255" b="635"/>
                  <wp:docPr id="8" name="Imagen 8" descr="E:\Disco duro externo\Disco Portable\I.- Research\1.- My Articles\2018_Boado_altri_Serrano\4.- Results_and_graphics\Simul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Disco duro externo\Disco Portable\I.- Research\1.- My Articles\2018_Boado_altri_Serrano\4.- Results_and_graphics\Simul1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5055" cy="1944045"/>
                          </a:xfrm>
                          <a:prstGeom prst="rect">
                            <a:avLst/>
                          </a:prstGeom>
                          <a:noFill/>
                          <a:ln>
                            <a:noFill/>
                          </a:ln>
                        </pic:spPr>
                      </pic:pic>
                    </a:graphicData>
                  </a:graphic>
                </wp:inline>
              </w:drawing>
            </w:r>
          </w:p>
          <w:p w14:paraId="3A9AD668" w14:textId="77777777" w:rsidR="006577C4" w:rsidRPr="0031394A" w:rsidRDefault="00C04E3B" w:rsidP="00810784">
            <w:pPr>
              <w:pStyle w:val="ListParagraph"/>
              <w:numPr>
                <w:ilvl w:val="0"/>
                <w:numId w:val="5"/>
              </w:numPr>
              <w:spacing w:after="0"/>
              <w:rPr>
                <w:rFonts w:ascii="Times New Roman" w:hAnsi="Times New Roman" w:cs="Times New Roman"/>
                <w:szCs w:val="22"/>
                <w:lang w:val="en-GB"/>
              </w:rPr>
            </w:pPr>
            <w:r w:rsidRPr="0031394A">
              <w:rPr>
                <w:rFonts w:ascii="Times New Roman" w:hAnsi="Times New Roman" w:cs="Times New Roman"/>
                <w:szCs w:val="22"/>
                <w:lang w:val="en-GB"/>
              </w:rPr>
              <w:t>100% investment in European stocks</w:t>
            </w:r>
          </w:p>
        </w:tc>
      </w:tr>
    </w:tbl>
    <w:p w14:paraId="2766C242" w14:textId="77777777" w:rsidR="00C04E3B" w:rsidRPr="0031394A" w:rsidRDefault="00C04E3B" w:rsidP="00C04E3B">
      <w:pPr>
        <w:tabs>
          <w:tab w:val="center" w:pos="4800"/>
          <w:tab w:val="right" w:pos="9500"/>
        </w:tabs>
        <w:spacing w:before="120" w:after="120"/>
        <w:jc w:val="center"/>
        <w:rPr>
          <w:rFonts w:ascii="Times New Roman" w:hAnsi="Times New Roman" w:cs="Times New Roman"/>
          <w:noProof/>
          <w:szCs w:val="22"/>
          <w:lang w:val="en-GB"/>
        </w:rPr>
      </w:pPr>
      <w:r w:rsidRPr="0031394A">
        <w:rPr>
          <w:rFonts w:ascii="Times New Roman" w:hAnsi="Times New Roman" w:cs="Times New Roman"/>
          <w:noProof/>
          <w:szCs w:val="22"/>
          <w:lang w:val="en-GB"/>
        </w:rPr>
        <w:t>Own source</w:t>
      </w:r>
    </w:p>
    <w:p w14:paraId="7412901E" w14:textId="3FBAB667" w:rsidR="00F904B3" w:rsidRPr="00272B47" w:rsidRDefault="00F904B3" w:rsidP="00272B47">
      <w:pPr>
        <w:spacing w:before="120" w:after="120" w:line="240" w:lineRule="auto"/>
        <w:jc w:val="both"/>
        <w:rPr>
          <w:rFonts w:ascii="Times New Roman" w:eastAsia="Times New Roman" w:hAnsi="Times New Roman" w:cs="Times New Roman"/>
          <w:sz w:val="24"/>
          <w:szCs w:val="24"/>
          <w:lang w:val="en-GB" w:eastAsia="es-ES"/>
        </w:rPr>
      </w:pPr>
      <w:r w:rsidRPr="0031394A">
        <w:rPr>
          <w:rFonts w:ascii="Times New Roman" w:eastAsia="Times New Roman" w:hAnsi="Times New Roman" w:cs="Times New Roman"/>
          <w:sz w:val="24"/>
          <w:szCs w:val="24"/>
          <w:lang w:val="en-GB" w:eastAsia="es-ES"/>
        </w:rPr>
        <w:t xml:space="preserve">A detailed insight about the results is provided in Table </w:t>
      </w:r>
      <w:r w:rsidR="00D1186E" w:rsidRPr="0031394A">
        <w:rPr>
          <w:rFonts w:ascii="Times New Roman" w:eastAsia="Times New Roman" w:hAnsi="Times New Roman" w:cs="Times New Roman"/>
          <w:sz w:val="24"/>
          <w:szCs w:val="24"/>
          <w:lang w:val="en-GB" w:eastAsia="es-ES"/>
        </w:rPr>
        <w:t>2</w:t>
      </w:r>
      <w:r w:rsidRPr="0031394A">
        <w:rPr>
          <w:rFonts w:ascii="Times New Roman" w:eastAsia="Times New Roman" w:hAnsi="Times New Roman" w:cs="Times New Roman"/>
          <w:sz w:val="24"/>
          <w:szCs w:val="24"/>
          <w:lang w:val="en-GB" w:eastAsia="es-ES"/>
        </w:rPr>
        <w:t xml:space="preserve">, which provides in columns 2 to 12 some descriptive statistics (mean, standard deviation and some percentiles) of the simulated paths. To illustrate the median annual return, Column 13 computes the implied internal rate of return (IRR) of the investment while Column 14 (benchmark) shows </w:t>
      </w:r>
      <w:r w:rsidR="00F6035A" w:rsidRPr="0031394A">
        <w:rPr>
          <w:rFonts w:ascii="Times New Roman" w:eastAsia="Times New Roman" w:hAnsi="Times New Roman" w:cs="Times New Roman"/>
          <w:sz w:val="24"/>
          <w:szCs w:val="24"/>
          <w:lang w:val="en-GB" w:eastAsia="es-ES"/>
        </w:rPr>
        <w:t xml:space="preserve">the </w:t>
      </w:r>
      <w:r w:rsidRPr="0031394A">
        <w:rPr>
          <w:rFonts w:ascii="Times New Roman" w:eastAsia="Times New Roman" w:hAnsi="Times New Roman" w:cs="Times New Roman"/>
          <w:sz w:val="24"/>
          <w:szCs w:val="24"/>
          <w:lang w:val="en-GB" w:eastAsia="es-ES"/>
        </w:rPr>
        <w:t>expected annual return according to the panel of analysts. We see that the volatility of the portfolio increases as the stock weights does: from 0.77 for the 100% bond portfolio, to 258.69 for the 100% stock portfolio. The lesson is clear: a higher expos</w:t>
      </w:r>
      <w:r w:rsidR="00F6035A" w:rsidRPr="0031394A">
        <w:rPr>
          <w:rFonts w:ascii="Times New Roman" w:eastAsia="Times New Roman" w:hAnsi="Times New Roman" w:cs="Times New Roman"/>
          <w:sz w:val="24"/>
          <w:szCs w:val="24"/>
          <w:lang w:val="en-GB" w:eastAsia="es-ES"/>
        </w:rPr>
        <w:t>ure</w:t>
      </w:r>
      <w:r w:rsidRPr="0031394A">
        <w:rPr>
          <w:rFonts w:ascii="Times New Roman" w:eastAsia="Times New Roman" w:hAnsi="Times New Roman" w:cs="Times New Roman"/>
          <w:sz w:val="24"/>
          <w:szCs w:val="24"/>
          <w:lang w:val="en-GB" w:eastAsia="es-ES"/>
        </w:rPr>
        <w:t xml:space="preserve"> to risk is rewarded with a higher return. Second, the representative investor could be exposed to lo</w:t>
      </w:r>
      <w:r w:rsidR="00F6035A" w:rsidRPr="0031394A">
        <w:rPr>
          <w:rFonts w:ascii="Times New Roman" w:eastAsia="Times New Roman" w:hAnsi="Times New Roman" w:cs="Times New Roman"/>
          <w:sz w:val="24"/>
          <w:szCs w:val="24"/>
          <w:lang w:val="en-GB" w:eastAsia="es-ES"/>
        </w:rPr>
        <w:t>s</w:t>
      </w:r>
      <w:r w:rsidRPr="0031394A">
        <w:rPr>
          <w:rFonts w:ascii="Times New Roman" w:eastAsia="Times New Roman" w:hAnsi="Times New Roman" w:cs="Times New Roman"/>
          <w:sz w:val="24"/>
          <w:szCs w:val="24"/>
          <w:lang w:val="en-GB" w:eastAsia="es-ES"/>
        </w:rPr>
        <w:t xml:space="preserve">ses in her portfolio when investing her entire wealth in stocks. These losses could happen in 2.5 out of 100 of the scenarios for this portfolio. Finally, the implied IRR is lower than benchmark for those portfolios with higher weights in stocks. This result corroborates how our simulation procedure </w:t>
      </w:r>
      <w:r w:rsidR="00272B47" w:rsidRPr="0031394A">
        <w:rPr>
          <w:rFonts w:ascii="Times New Roman" w:eastAsia="Times New Roman" w:hAnsi="Times New Roman" w:cs="Times New Roman"/>
          <w:sz w:val="24"/>
          <w:szCs w:val="24"/>
          <w:lang w:val="en-GB" w:eastAsia="es-ES"/>
        </w:rPr>
        <w:t>considers</w:t>
      </w:r>
      <w:r w:rsidRPr="0031394A">
        <w:rPr>
          <w:rFonts w:ascii="Times New Roman" w:eastAsia="Times New Roman" w:hAnsi="Times New Roman" w:cs="Times New Roman"/>
          <w:sz w:val="24"/>
          <w:szCs w:val="24"/>
          <w:lang w:val="en-GB" w:eastAsia="es-ES"/>
        </w:rPr>
        <w:t xml:space="preserve"> adverse scenarios (recessions, stock market crashes, etc.) for the stock market that could result in a lower performance of the stocks in the portfolio. </w:t>
      </w:r>
    </w:p>
    <w:p w14:paraId="072FC1FE" w14:textId="77777777" w:rsidR="00F904B3" w:rsidRPr="0031394A" w:rsidRDefault="00F904B3" w:rsidP="00643994">
      <w:pPr>
        <w:pStyle w:val="ListParagraph"/>
        <w:spacing w:after="120"/>
        <w:ind w:left="0"/>
        <w:jc w:val="center"/>
        <w:rPr>
          <w:rFonts w:ascii="Times New Roman" w:hAnsi="Times New Roman" w:cs="Times New Roman"/>
          <w:b/>
          <w:szCs w:val="22"/>
          <w:highlight w:val="red"/>
          <w:lang w:val="en-GB"/>
        </w:rPr>
      </w:pPr>
      <w:r w:rsidRPr="0031394A">
        <w:rPr>
          <w:rFonts w:ascii="Times New Roman" w:hAnsi="Times New Roman" w:cs="Times New Roman"/>
          <w:b/>
          <w:szCs w:val="22"/>
          <w:lang w:val="en-GB"/>
        </w:rPr>
        <w:lastRenderedPageBreak/>
        <w:t xml:space="preserve">Table </w:t>
      </w:r>
      <w:r w:rsidR="00D1186E" w:rsidRPr="0031394A">
        <w:rPr>
          <w:rFonts w:ascii="Times New Roman" w:hAnsi="Times New Roman" w:cs="Times New Roman"/>
          <w:b/>
          <w:szCs w:val="22"/>
          <w:lang w:val="en-GB"/>
        </w:rPr>
        <w:t>2</w:t>
      </w:r>
      <w:r w:rsidRPr="0031394A">
        <w:rPr>
          <w:rFonts w:ascii="Times New Roman" w:hAnsi="Times New Roman" w:cs="Times New Roman"/>
          <w:b/>
          <w:szCs w:val="22"/>
          <w:lang w:val="en-GB"/>
        </w:rPr>
        <w:t>: Cumulative returns for different allocations of the portfolio</w:t>
      </w:r>
    </w:p>
    <w:tbl>
      <w:tblPr>
        <w:tblW w:w="8423" w:type="dxa"/>
        <w:jc w:val="center"/>
        <w:tblCellMar>
          <w:left w:w="70" w:type="dxa"/>
          <w:right w:w="70" w:type="dxa"/>
        </w:tblCellMar>
        <w:tblLook w:val="04A0" w:firstRow="1" w:lastRow="0" w:firstColumn="1" w:lastColumn="0" w:noHBand="0" w:noVBand="1"/>
      </w:tblPr>
      <w:tblGrid>
        <w:gridCol w:w="760"/>
        <w:gridCol w:w="544"/>
        <w:gridCol w:w="593"/>
        <w:gridCol w:w="429"/>
        <w:gridCol w:w="429"/>
        <w:gridCol w:w="429"/>
        <w:gridCol w:w="429"/>
        <w:gridCol w:w="511"/>
        <w:gridCol w:w="511"/>
        <w:gridCol w:w="593"/>
        <w:gridCol w:w="593"/>
        <w:gridCol w:w="593"/>
        <w:gridCol w:w="1048"/>
        <w:gridCol w:w="961"/>
      </w:tblGrid>
      <w:tr w:rsidR="00F904B3" w:rsidRPr="0031394A" w14:paraId="190DFB00" w14:textId="77777777" w:rsidTr="00573D80">
        <w:trPr>
          <w:trHeight w:val="306"/>
          <w:jc w:val="center"/>
        </w:trPr>
        <w:tc>
          <w:tcPr>
            <w:tcW w:w="0" w:type="auto"/>
            <w:tcBorders>
              <w:top w:val="single" w:sz="4" w:space="0" w:color="auto"/>
              <w:left w:val="nil"/>
              <w:right w:val="nil"/>
            </w:tcBorders>
            <w:shd w:val="clear" w:color="auto" w:fill="auto"/>
            <w:noWrap/>
            <w:vAlign w:val="center"/>
            <w:hideMark/>
          </w:tcPr>
          <w:p w14:paraId="4E31E0C0" w14:textId="77777777" w:rsidR="00F904B3" w:rsidRPr="0031394A" w:rsidRDefault="00F904B3" w:rsidP="00573D80">
            <w:pPr>
              <w:spacing w:after="0" w:line="240" w:lineRule="auto"/>
              <w:rPr>
                <w:rFonts w:ascii="Times New Roman" w:eastAsia="Times New Roman" w:hAnsi="Times New Roman" w:cs="Times New Roman"/>
                <w:sz w:val="16"/>
                <w:szCs w:val="16"/>
                <w:lang w:val="en-GB" w:eastAsia="es-ES"/>
              </w:rPr>
            </w:pPr>
          </w:p>
        </w:tc>
        <w:tc>
          <w:tcPr>
            <w:tcW w:w="0" w:type="auto"/>
            <w:tcBorders>
              <w:top w:val="single" w:sz="4" w:space="0" w:color="auto"/>
              <w:left w:val="nil"/>
              <w:right w:val="nil"/>
            </w:tcBorders>
            <w:shd w:val="clear" w:color="auto" w:fill="auto"/>
            <w:noWrap/>
            <w:vAlign w:val="center"/>
            <w:hideMark/>
          </w:tcPr>
          <w:p w14:paraId="6A87F76B" w14:textId="77777777" w:rsidR="00F904B3" w:rsidRPr="0031394A" w:rsidRDefault="00F904B3" w:rsidP="00573D80">
            <w:pPr>
              <w:spacing w:after="0" w:line="240" w:lineRule="auto"/>
              <w:rPr>
                <w:rFonts w:ascii="Times New Roman" w:eastAsia="Times New Roman" w:hAnsi="Times New Roman" w:cs="Times New Roman"/>
                <w:sz w:val="16"/>
                <w:szCs w:val="16"/>
                <w:lang w:val="en-GB" w:eastAsia="es-ES"/>
              </w:rPr>
            </w:pPr>
          </w:p>
        </w:tc>
        <w:tc>
          <w:tcPr>
            <w:tcW w:w="0" w:type="auto"/>
            <w:tcBorders>
              <w:top w:val="single" w:sz="4" w:space="0" w:color="auto"/>
              <w:left w:val="nil"/>
              <w:right w:val="nil"/>
            </w:tcBorders>
            <w:shd w:val="clear" w:color="auto" w:fill="auto"/>
            <w:noWrap/>
            <w:vAlign w:val="center"/>
            <w:hideMark/>
          </w:tcPr>
          <w:p w14:paraId="7D2BC39F" w14:textId="77777777" w:rsidR="00F904B3" w:rsidRPr="0031394A" w:rsidRDefault="00F904B3" w:rsidP="00573D80">
            <w:pPr>
              <w:spacing w:after="0" w:line="240" w:lineRule="auto"/>
              <w:rPr>
                <w:rFonts w:ascii="Times New Roman" w:eastAsia="Times New Roman" w:hAnsi="Times New Roman" w:cs="Times New Roman"/>
                <w:sz w:val="16"/>
                <w:szCs w:val="16"/>
                <w:lang w:val="en-GB" w:eastAsia="es-ES"/>
              </w:rPr>
            </w:pPr>
          </w:p>
        </w:tc>
        <w:tc>
          <w:tcPr>
            <w:tcW w:w="0" w:type="auto"/>
            <w:gridSpan w:val="9"/>
            <w:tcBorders>
              <w:top w:val="single" w:sz="4" w:space="0" w:color="auto"/>
              <w:left w:val="nil"/>
              <w:bottom w:val="single" w:sz="4" w:space="0" w:color="auto"/>
              <w:right w:val="nil"/>
            </w:tcBorders>
            <w:shd w:val="clear" w:color="auto" w:fill="auto"/>
            <w:noWrap/>
            <w:vAlign w:val="center"/>
            <w:hideMark/>
          </w:tcPr>
          <w:p w14:paraId="12FC9F5A"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Percentiles</w:t>
            </w:r>
          </w:p>
        </w:tc>
        <w:tc>
          <w:tcPr>
            <w:tcW w:w="0" w:type="auto"/>
            <w:tcBorders>
              <w:top w:val="single" w:sz="4" w:space="0" w:color="auto"/>
              <w:left w:val="nil"/>
              <w:right w:val="nil"/>
            </w:tcBorders>
            <w:shd w:val="clear" w:color="auto" w:fill="auto"/>
            <w:noWrap/>
            <w:vAlign w:val="center"/>
            <w:hideMark/>
          </w:tcPr>
          <w:p w14:paraId="007A0B74" w14:textId="77777777" w:rsidR="00F904B3" w:rsidRPr="0031394A" w:rsidRDefault="00F904B3" w:rsidP="00573D80">
            <w:pPr>
              <w:spacing w:after="0" w:line="240" w:lineRule="auto"/>
              <w:rPr>
                <w:rFonts w:ascii="Times New Roman" w:eastAsia="Times New Roman" w:hAnsi="Times New Roman" w:cs="Times New Roman"/>
                <w:sz w:val="16"/>
                <w:szCs w:val="16"/>
                <w:lang w:val="en-GB" w:eastAsia="es-ES"/>
              </w:rPr>
            </w:pPr>
          </w:p>
        </w:tc>
        <w:tc>
          <w:tcPr>
            <w:tcW w:w="0" w:type="auto"/>
            <w:tcBorders>
              <w:top w:val="single" w:sz="4" w:space="0" w:color="auto"/>
              <w:left w:val="nil"/>
              <w:right w:val="nil"/>
            </w:tcBorders>
          </w:tcPr>
          <w:p w14:paraId="651606C1" w14:textId="77777777" w:rsidR="00F904B3" w:rsidRPr="0031394A" w:rsidRDefault="00F904B3" w:rsidP="00573D80">
            <w:pPr>
              <w:spacing w:after="0" w:line="240" w:lineRule="auto"/>
              <w:rPr>
                <w:rFonts w:ascii="Times New Roman" w:eastAsia="Times New Roman" w:hAnsi="Times New Roman" w:cs="Times New Roman"/>
                <w:sz w:val="16"/>
                <w:szCs w:val="16"/>
                <w:lang w:val="en-GB" w:eastAsia="es-ES"/>
              </w:rPr>
            </w:pPr>
          </w:p>
        </w:tc>
      </w:tr>
      <w:tr w:rsidR="00F904B3" w:rsidRPr="0031394A" w14:paraId="6A12A879" w14:textId="77777777" w:rsidTr="00573D80">
        <w:trPr>
          <w:trHeight w:val="186"/>
          <w:jc w:val="center"/>
        </w:trPr>
        <w:tc>
          <w:tcPr>
            <w:tcW w:w="0" w:type="auto"/>
            <w:tcBorders>
              <w:top w:val="nil"/>
              <w:left w:val="nil"/>
              <w:bottom w:val="single" w:sz="4" w:space="0" w:color="auto"/>
              <w:right w:val="nil"/>
            </w:tcBorders>
            <w:shd w:val="clear" w:color="auto" w:fill="auto"/>
            <w:noWrap/>
            <w:vAlign w:val="center"/>
            <w:hideMark/>
          </w:tcPr>
          <w:p w14:paraId="4862E89F"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 xml:space="preserve">Portfolio </w:t>
            </w:r>
          </w:p>
          <w:p w14:paraId="1582E964"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(Equity)</w:t>
            </w:r>
          </w:p>
        </w:tc>
        <w:tc>
          <w:tcPr>
            <w:tcW w:w="0" w:type="auto"/>
            <w:tcBorders>
              <w:top w:val="nil"/>
              <w:left w:val="nil"/>
              <w:bottom w:val="single" w:sz="4" w:space="0" w:color="auto"/>
              <w:right w:val="nil"/>
            </w:tcBorders>
            <w:shd w:val="clear" w:color="auto" w:fill="auto"/>
            <w:noWrap/>
            <w:vAlign w:val="center"/>
            <w:hideMark/>
          </w:tcPr>
          <w:p w14:paraId="5A405BB2"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Mean</w:t>
            </w:r>
          </w:p>
        </w:tc>
        <w:tc>
          <w:tcPr>
            <w:tcW w:w="0" w:type="auto"/>
            <w:tcBorders>
              <w:top w:val="nil"/>
              <w:left w:val="nil"/>
              <w:bottom w:val="single" w:sz="4" w:space="0" w:color="auto"/>
              <w:right w:val="nil"/>
            </w:tcBorders>
            <w:shd w:val="clear" w:color="auto" w:fill="auto"/>
            <w:noWrap/>
            <w:vAlign w:val="center"/>
            <w:hideMark/>
          </w:tcPr>
          <w:p w14:paraId="720AA89B"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Std</w:t>
            </w:r>
          </w:p>
        </w:tc>
        <w:tc>
          <w:tcPr>
            <w:tcW w:w="0" w:type="auto"/>
            <w:tcBorders>
              <w:top w:val="single" w:sz="4" w:space="0" w:color="auto"/>
              <w:left w:val="nil"/>
              <w:bottom w:val="single" w:sz="4" w:space="0" w:color="auto"/>
              <w:right w:val="nil"/>
            </w:tcBorders>
            <w:shd w:val="clear" w:color="auto" w:fill="auto"/>
            <w:noWrap/>
            <w:vAlign w:val="center"/>
            <w:hideMark/>
          </w:tcPr>
          <w:p w14:paraId="1DF3468F"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2.5</w:t>
            </w:r>
          </w:p>
        </w:tc>
        <w:tc>
          <w:tcPr>
            <w:tcW w:w="0" w:type="auto"/>
            <w:tcBorders>
              <w:top w:val="single" w:sz="4" w:space="0" w:color="auto"/>
              <w:left w:val="nil"/>
              <w:bottom w:val="single" w:sz="4" w:space="0" w:color="auto"/>
              <w:right w:val="nil"/>
            </w:tcBorders>
            <w:shd w:val="clear" w:color="auto" w:fill="auto"/>
            <w:noWrap/>
            <w:vAlign w:val="center"/>
            <w:hideMark/>
          </w:tcPr>
          <w:p w14:paraId="18E6A65B"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5</w:t>
            </w:r>
          </w:p>
        </w:tc>
        <w:tc>
          <w:tcPr>
            <w:tcW w:w="0" w:type="auto"/>
            <w:tcBorders>
              <w:top w:val="single" w:sz="4" w:space="0" w:color="auto"/>
              <w:left w:val="nil"/>
              <w:bottom w:val="single" w:sz="4" w:space="0" w:color="auto"/>
              <w:right w:val="nil"/>
            </w:tcBorders>
            <w:shd w:val="clear" w:color="auto" w:fill="auto"/>
            <w:noWrap/>
            <w:vAlign w:val="center"/>
            <w:hideMark/>
          </w:tcPr>
          <w:p w14:paraId="6388B2B2"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10</w:t>
            </w:r>
          </w:p>
        </w:tc>
        <w:tc>
          <w:tcPr>
            <w:tcW w:w="0" w:type="auto"/>
            <w:tcBorders>
              <w:top w:val="single" w:sz="4" w:space="0" w:color="auto"/>
              <w:left w:val="nil"/>
              <w:bottom w:val="single" w:sz="4" w:space="0" w:color="auto"/>
              <w:right w:val="nil"/>
            </w:tcBorders>
            <w:shd w:val="clear" w:color="auto" w:fill="auto"/>
            <w:noWrap/>
            <w:vAlign w:val="center"/>
            <w:hideMark/>
          </w:tcPr>
          <w:p w14:paraId="0E3C3501"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25</w:t>
            </w:r>
          </w:p>
        </w:tc>
        <w:tc>
          <w:tcPr>
            <w:tcW w:w="0" w:type="auto"/>
            <w:tcBorders>
              <w:top w:val="single" w:sz="4" w:space="0" w:color="auto"/>
              <w:left w:val="nil"/>
              <w:bottom w:val="single" w:sz="4" w:space="0" w:color="auto"/>
              <w:right w:val="nil"/>
            </w:tcBorders>
            <w:shd w:val="clear" w:color="auto" w:fill="auto"/>
            <w:noWrap/>
            <w:vAlign w:val="center"/>
            <w:hideMark/>
          </w:tcPr>
          <w:p w14:paraId="36CA0EC7"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50</w:t>
            </w:r>
          </w:p>
        </w:tc>
        <w:tc>
          <w:tcPr>
            <w:tcW w:w="0" w:type="auto"/>
            <w:tcBorders>
              <w:top w:val="single" w:sz="4" w:space="0" w:color="auto"/>
              <w:left w:val="nil"/>
              <w:bottom w:val="single" w:sz="4" w:space="0" w:color="auto"/>
              <w:right w:val="nil"/>
            </w:tcBorders>
            <w:shd w:val="clear" w:color="auto" w:fill="auto"/>
            <w:noWrap/>
            <w:vAlign w:val="center"/>
            <w:hideMark/>
          </w:tcPr>
          <w:p w14:paraId="00A5B09A"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75</w:t>
            </w:r>
          </w:p>
        </w:tc>
        <w:tc>
          <w:tcPr>
            <w:tcW w:w="0" w:type="auto"/>
            <w:tcBorders>
              <w:top w:val="single" w:sz="4" w:space="0" w:color="auto"/>
              <w:left w:val="nil"/>
              <w:bottom w:val="single" w:sz="4" w:space="0" w:color="auto"/>
              <w:right w:val="nil"/>
            </w:tcBorders>
            <w:shd w:val="clear" w:color="auto" w:fill="auto"/>
            <w:noWrap/>
            <w:vAlign w:val="center"/>
            <w:hideMark/>
          </w:tcPr>
          <w:p w14:paraId="6F74C248"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90</w:t>
            </w:r>
          </w:p>
        </w:tc>
        <w:tc>
          <w:tcPr>
            <w:tcW w:w="0" w:type="auto"/>
            <w:tcBorders>
              <w:top w:val="single" w:sz="4" w:space="0" w:color="auto"/>
              <w:left w:val="nil"/>
              <w:bottom w:val="single" w:sz="4" w:space="0" w:color="auto"/>
              <w:right w:val="nil"/>
            </w:tcBorders>
            <w:shd w:val="clear" w:color="auto" w:fill="auto"/>
            <w:noWrap/>
            <w:vAlign w:val="center"/>
            <w:hideMark/>
          </w:tcPr>
          <w:p w14:paraId="6D4E4927"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95</w:t>
            </w:r>
          </w:p>
        </w:tc>
        <w:tc>
          <w:tcPr>
            <w:tcW w:w="0" w:type="auto"/>
            <w:tcBorders>
              <w:top w:val="single" w:sz="4" w:space="0" w:color="auto"/>
              <w:left w:val="nil"/>
              <w:bottom w:val="single" w:sz="4" w:space="0" w:color="auto"/>
              <w:right w:val="nil"/>
            </w:tcBorders>
            <w:shd w:val="clear" w:color="auto" w:fill="auto"/>
            <w:noWrap/>
            <w:vAlign w:val="center"/>
            <w:hideMark/>
          </w:tcPr>
          <w:p w14:paraId="6F59526E"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val="en-GB" w:eastAsia="es-ES"/>
              </w:rPr>
            </w:pPr>
            <w:r w:rsidRPr="0031394A">
              <w:rPr>
                <w:rFonts w:ascii="Times New Roman" w:eastAsia="Times New Roman" w:hAnsi="Times New Roman" w:cs="Times New Roman"/>
                <w:b/>
                <w:bCs/>
                <w:sz w:val="16"/>
                <w:szCs w:val="16"/>
                <w:lang w:val="en-GB" w:eastAsia="es-ES"/>
              </w:rPr>
              <w:t>97.5</w:t>
            </w:r>
          </w:p>
        </w:tc>
        <w:tc>
          <w:tcPr>
            <w:tcW w:w="0" w:type="auto"/>
            <w:tcBorders>
              <w:top w:val="nil"/>
              <w:left w:val="nil"/>
              <w:bottom w:val="single" w:sz="4" w:space="0" w:color="auto"/>
              <w:right w:val="nil"/>
            </w:tcBorders>
            <w:shd w:val="clear" w:color="auto" w:fill="auto"/>
            <w:noWrap/>
            <w:vAlign w:val="center"/>
            <w:hideMark/>
          </w:tcPr>
          <w:p w14:paraId="50BC2A24" w14:textId="77777777" w:rsidR="00F904B3" w:rsidRPr="0031394A" w:rsidRDefault="00F904B3" w:rsidP="00573D80">
            <w:pPr>
              <w:spacing w:after="0" w:line="240" w:lineRule="auto"/>
              <w:rPr>
                <w:rFonts w:ascii="Times New Roman" w:eastAsia="Times New Roman" w:hAnsi="Times New Roman" w:cs="Times New Roman"/>
                <w:b/>
                <w:bCs/>
                <w:sz w:val="16"/>
                <w:szCs w:val="16"/>
                <w:lang w:eastAsia="es-ES"/>
              </w:rPr>
            </w:pPr>
            <w:r w:rsidRPr="0031394A">
              <w:rPr>
                <w:rFonts w:ascii="Times New Roman" w:eastAsia="Times New Roman" w:hAnsi="Times New Roman" w:cs="Times New Roman"/>
                <w:b/>
                <w:bCs/>
                <w:sz w:val="16"/>
                <w:szCs w:val="16"/>
                <w:lang w:eastAsia="es-ES"/>
              </w:rPr>
              <w:t xml:space="preserve">Implied IRR </w:t>
            </w:r>
          </w:p>
          <w:p w14:paraId="5DA97B5F" w14:textId="77777777" w:rsidR="00F904B3" w:rsidRPr="0031394A" w:rsidRDefault="00F904B3" w:rsidP="00573D80">
            <w:pPr>
              <w:spacing w:after="0" w:line="240" w:lineRule="auto"/>
              <w:rPr>
                <w:rFonts w:ascii="Times New Roman" w:eastAsia="Times New Roman" w:hAnsi="Times New Roman" w:cs="Times New Roman"/>
                <w:b/>
                <w:bCs/>
                <w:sz w:val="16"/>
                <w:szCs w:val="16"/>
                <w:lang w:eastAsia="es-ES"/>
              </w:rPr>
            </w:pPr>
            <w:r w:rsidRPr="0031394A">
              <w:rPr>
                <w:rFonts w:ascii="Times New Roman" w:eastAsia="Times New Roman" w:hAnsi="Times New Roman" w:cs="Times New Roman"/>
                <w:b/>
                <w:bCs/>
                <w:sz w:val="16"/>
                <w:szCs w:val="16"/>
                <w:lang w:eastAsia="es-ES"/>
              </w:rPr>
              <w:t>from median</w:t>
            </w:r>
          </w:p>
        </w:tc>
        <w:tc>
          <w:tcPr>
            <w:tcW w:w="0" w:type="auto"/>
            <w:tcBorders>
              <w:top w:val="nil"/>
              <w:left w:val="nil"/>
              <w:bottom w:val="single" w:sz="4" w:space="0" w:color="auto"/>
              <w:right w:val="nil"/>
            </w:tcBorders>
            <w:vAlign w:val="center"/>
          </w:tcPr>
          <w:p w14:paraId="49EED29D" w14:textId="77777777" w:rsidR="00F904B3" w:rsidRPr="0031394A" w:rsidRDefault="00F904B3" w:rsidP="00573D80">
            <w:pPr>
              <w:spacing w:after="0" w:line="240" w:lineRule="auto"/>
              <w:jc w:val="center"/>
              <w:rPr>
                <w:rFonts w:ascii="Times New Roman" w:eastAsia="Times New Roman" w:hAnsi="Times New Roman" w:cs="Times New Roman"/>
                <w:b/>
                <w:bCs/>
                <w:sz w:val="16"/>
                <w:szCs w:val="16"/>
                <w:lang w:eastAsia="es-ES"/>
              </w:rPr>
            </w:pPr>
            <w:r w:rsidRPr="0031394A">
              <w:rPr>
                <w:rFonts w:ascii="Times New Roman" w:eastAsia="Times New Roman" w:hAnsi="Times New Roman" w:cs="Times New Roman"/>
                <w:b/>
                <w:bCs/>
                <w:sz w:val="16"/>
                <w:szCs w:val="16"/>
                <w:lang w:val="en-GB" w:eastAsia="es-ES"/>
              </w:rPr>
              <w:t>Benchma</w:t>
            </w:r>
            <w:r w:rsidRPr="0031394A">
              <w:rPr>
                <w:rFonts w:ascii="Times New Roman" w:eastAsia="Times New Roman" w:hAnsi="Times New Roman" w:cs="Times New Roman"/>
                <w:b/>
                <w:bCs/>
                <w:sz w:val="16"/>
                <w:szCs w:val="16"/>
                <w:lang w:eastAsia="es-ES"/>
              </w:rPr>
              <w:t>rk</w:t>
            </w:r>
          </w:p>
        </w:tc>
      </w:tr>
      <w:tr w:rsidR="00F904B3" w:rsidRPr="0031394A" w14:paraId="07C67A55" w14:textId="77777777" w:rsidTr="00573D80">
        <w:trPr>
          <w:trHeight w:val="179"/>
          <w:jc w:val="center"/>
        </w:trPr>
        <w:tc>
          <w:tcPr>
            <w:tcW w:w="0" w:type="auto"/>
            <w:tcBorders>
              <w:top w:val="single" w:sz="4" w:space="0" w:color="auto"/>
              <w:left w:val="nil"/>
              <w:bottom w:val="nil"/>
              <w:right w:val="nil"/>
            </w:tcBorders>
            <w:shd w:val="clear" w:color="auto" w:fill="auto"/>
            <w:noWrap/>
            <w:vAlign w:val="center"/>
            <w:hideMark/>
          </w:tcPr>
          <w:p w14:paraId="68D6292F" w14:textId="77777777" w:rsidR="00F904B3" w:rsidRPr="0031394A" w:rsidRDefault="00F904B3" w:rsidP="00573D80">
            <w:pPr>
              <w:spacing w:after="0" w:line="240" w:lineRule="auto"/>
              <w:jc w:val="right"/>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0.00%</w:t>
            </w:r>
          </w:p>
        </w:tc>
        <w:tc>
          <w:tcPr>
            <w:tcW w:w="0" w:type="auto"/>
            <w:tcBorders>
              <w:top w:val="single" w:sz="4" w:space="0" w:color="auto"/>
              <w:left w:val="nil"/>
              <w:bottom w:val="nil"/>
              <w:right w:val="nil"/>
            </w:tcBorders>
            <w:shd w:val="clear" w:color="auto" w:fill="auto"/>
            <w:noWrap/>
            <w:vAlign w:val="center"/>
            <w:hideMark/>
          </w:tcPr>
          <w:p w14:paraId="7AF6DA3F"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2.30</w:t>
            </w:r>
          </w:p>
        </w:tc>
        <w:tc>
          <w:tcPr>
            <w:tcW w:w="0" w:type="auto"/>
            <w:tcBorders>
              <w:top w:val="single" w:sz="4" w:space="0" w:color="auto"/>
              <w:left w:val="nil"/>
              <w:bottom w:val="nil"/>
              <w:right w:val="nil"/>
            </w:tcBorders>
            <w:shd w:val="clear" w:color="auto" w:fill="auto"/>
            <w:noWrap/>
            <w:vAlign w:val="center"/>
            <w:hideMark/>
          </w:tcPr>
          <w:p w14:paraId="6B1F8B7C"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0.77</w:t>
            </w:r>
          </w:p>
        </w:tc>
        <w:tc>
          <w:tcPr>
            <w:tcW w:w="0" w:type="auto"/>
            <w:tcBorders>
              <w:top w:val="single" w:sz="4" w:space="0" w:color="auto"/>
              <w:left w:val="nil"/>
              <w:bottom w:val="nil"/>
              <w:right w:val="nil"/>
            </w:tcBorders>
            <w:shd w:val="clear" w:color="auto" w:fill="auto"/>
            <w:noWrap/>
            <w:vAlign w:val="center"/>
            <w:hideMark/>
          </w:tcPr>
          <w:p w14:paraId="343703C4"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1.15</w:t>
            </w:r>
          </w:p>
        </w:tc>
        <w:tc>
          <w:tcPr>
            <w:tcW w:w="0" w:type="auto"/>
            <w:tcBorders>
              <w:top w:val="single" w:sz="4" w:space="0" w:color="auto"/>
              <w:left w:val="nil"/>
              <w:bottom w:val="nil"/>
              <w:right w:val="nil"/>
            </w:tcBorders>
            <w:shd w:val="clear" w:color="auto" w:fill="auto"/>
            <w:noWrap/>
            <w:vAlign w:val="center"/>
            <w:hideMark/>
          </w:tcPr>
          <w:p w14:paraId="3D984973"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1.27</w:t>
            </w:r>
          </w:p>
        </w:tc>
        <w:tc>
          <w:tcPr>
            <w:tcW w:w="0" w:type="auto"/>
            <w:tcBorders>
              <w:top w:val="single" w:sz="4" w:space="0" w:color="auto"/>
              <w:left w:val="nil"/>
              <w:bottom w:val="nil"/>
              <w:right w:val="nil"/>
            </w:tcBorders>
            <w:shd w:val="clear" w:color="auto" w:fill="auto"/>
            <w:noWrap/>
            <w:vAlign w:val="center"/>
            <w:hideMark/>
          </w:tcPr>
          <w:p w14:paraId="1646930D"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1.44</w:t>
            </w:r>
          </w:p>
        </w:tc>
        <w:tc>
          <w:tcPr>
            <w:tcW w:w="0" w:type="auto"/>
            <w:tcBorders>
              <w:top w:val="single" w:sz="4" w:space="0" w:color="auto"/>
              <w:left w:val="nil"/>
              <w:bottom w:val="nil"/>
              <w:right w:val="nil"/>
            </w:tcBorders>
            <w:shd w:val="clear" w:color="auto" w:fill="auto"/>
            <w:noWrap/>
            <w:vAlign w:val="center"/>
            <w:hideMark/>
          </w:tcPr>
          <w:p w14:paraId="2C841E22"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1.75</w:t>
            </w:r>
          </w:p>
        </w:tc>
        <w:tc>
          <w:tcPr>
            <w:tcW w:w="0" w:type="auto"/>
            <w:tcBorders>
              <w:top w:val="single" w:sz="4" w:space="0" w:color="auto"/>
              <w:left w:val="nil"/>
              <w:bottom w:val="nil"/>
              <w:right w:val="nil"/>
            </w:tcBorders>
            <w:shd w:val="clear" w:color="auto" w:fill="auto"/>
            <w:noWrap/>
            <w:vAlign w:val="center"/>
            <w:hideMark/>
          </w:tcPr>
          <w:p w14:paraId="6384D1F8"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2.18</w:t>
            </w:r>
          </w:p>
        </w:tc>
        <w:tc>
          <w:tcPr>
            <w:tcW w:w="0" w:type="auto"/>
            <w:tcBorders>
              <w:top w:val="single" w:sz="4" w:space="0" w:color="auto"/>
              <w:left w:val="nil"/>
              <w:bottom w:val="nil"/>
              <w:right w:val="nil"/>
            </w:tcBorders>
            <w:shd w:val="clear" w:color="auto" w:fill="auto"/>
            <w:noWrap/>
            <w:vAlign w:val="center"/>
            <w:hideMark/>
          </w:tcPr>
          <w:p w14:paraId="79780C34"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2.72</w:t>
            </w:r>
          </w:p>
        </w:tc>
        <w:tc>
          <w:tcPr>
            <w:tcW w:w="0" w:type="auto"/>
            <w:tcBorders>
              <w:top w:val="single" w:sz="4" w:space="0" w:color="auto"/>
              <w:left w:val="nil"/>
              <w:bottom w:val="nil"/>
              <w:right w:val="nil"/>
            </w:tcBorders>
            <w:shd w:val="clear" w:color="auto" w:fill="auto"/>
            <w:noWrap/>
            <w:vAlign w:val="center"/>
            <w:hideMark/>
          </w:tcPr>
          <w:p w14:paraId="0D79236D"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3.31</w:t>
            </w:r>
          </w:p>
        </w:tc>
        <w:tc>
          <w:tcPr>
            <w:tcW w:w="0" w:type="auto"/>
            <w:tcBorders>
              <w:top w:val="single" w:sz="4" w:space="0" w:color="auto"/>
              <w:left w:val="nil"/>
              <w:bottom w:val="nil"/>
              <w:right w:val="nil"/>
            </w:tcBorders>
            <w:shd w:val="clear" w:color="auto" w:fill="auto"/>
            <w:noWrap/>
            <w:vAlign w:val="center"/>
            <w:hideMark/>
          </w:tcPr>
          <w:p w14:paraId="7B50BBE0"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3.73</w:t>
            </w:r>
          </w:p>
        </w:tc>
        <w:tc>
          <w:tcPr>
            <w:tcW w:w="0" w:type="auto"/>
            <w:tcBorders>
              <w:top w:val="single" w:sz="4" w:space="0" w:color="auto"/>
              <w:left w:val="nil"/>
              <w:bottom w:val="nil"/>
              <w:right w:val="nil"/>
            </w:tcBorders>
            <w:shd w:val="clear" w:color="auto" w:fill="auto"/>
            <w:noWrap/>
            <w:vAlign w:val="center"/>
            <w:hideMark/>
          </w:tcPr>
          <w:p w14:paraId="634471D1"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4.12</w:t>
            </w:r>
          </w:p>
        </w:tc>
        <w:tc>
          <w:tcPr>
            <w:tcW w:w="0" w:type="auto"/>
            <w:tcBorders>
              <w:top w:val="single" w:sz="4" w:space="0" w:color="auto"/>
              <w:left w:val="nil"/>
              <w:bottom w:val="nil"/>
              <w:right w:val="nil"/>
            </w:tcBorders>
            <w:shd w:val="clear" w:color="auto" w:fill="auto"/>
            <w:noWrap/>
            <w:vAlign w:val="center"/>
            <w:hideMark/>
          </w:tcPr>
          <w:p w14:paraId="53CF3910"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1.04%</w:t>
            </w:r>
          </w:p>
        </w:tc>
        <w:tc>
          <w:tcPr>
            <w:tcW w:w="0" w:type="auto"/>
            <w:tcBorders>
              <w:top w:val="single" w:sz="4" w:space="0" w:color="auto"/>
              <w:left w:val="nil"/>
              <w:bottom w:val="nil"/>
              <w:right w:val="nil"/>
            </w:tcBorders>
            <w:vAlign w:val="center"/>
          </w:tcPr>
          <w:p w14:paraId="4FCD085B" w14:textId="77777777" w:rsidR="00F904B3" w:rsidRPr="0031394A" w:rsidRDefault="00F904B3" w:rsidP="00573D80">
            <w:pPr>
              <w:jc w:val="center"/>
              <w:rPr>
                <w:rFonts w:ascii="Times New Roman" w:hAnsi="Times New Roman" w:cs="Times New Roman"/>
                <w:sz w:val="16"/>
                <w:szCs w:val="16"/>
              </w:rPr>
            </w:pPr>
            <w:r w:rsidRPr="0031394A">
              <w:rPr>
                <w:rFonts w:ascii="Times New Roman" w:hAnsi="Times New Roman" w:cs="Times New Roman"/>
                <w:sz w:val="16"/>
                <w:szCs w:val="16"/>
              </w:rPr>
              <w:t>0.90%</w:t>
            </w:r>
          </w:p>
        </w:tc>
      </w:tr>
      <w:tr w:rsidR="00F904B3" w:rsidRPr="0031394A" w14:paraId="7E67EF8A" w14:textId="77777777" w:rsidTr="00573D80">
        <w:trPr>
          <w:trHeight w:val="179"/>
          <w:jc w:val="center"/>
        </w:trPr>
        <w:tc>
          <w:tcPr>
            <w:tcW w:w="0" w:type="auto"/>
            <w:tcBorders>
              <w:top w:val="nil"/>
              <w:left w:val="nil"/>
              <w:bottom w:val="nil"/>
              <w:right w:val="nil"/>
            </w:tcBorders>
            <w:shd w:val="clear" w:color="auto" w:fill="auto"/>
            <w:noWrap/>
            <w:vAlign w:val="center"/>
            <w:hideMark/>
          </w:tcPr>
          <w:p w14:paraId="644FB83D" w14:textId="77777777" w:rsidR="00F904B3" w:rsidRPr="0031394A" w:rsidRDefault="00F904B3" w:rsidP="00573D80">
            <w:pPr>
              <w:spacing w:after="0" w:line="240" w:lineRule="auto"/>
              <w:jc w:val="right"/>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10.00%</w:t>
            </w:r>
          </w:p>
        </w:tc>
        <w:tc>
          <w:tcPr>
            <w:tcW w:w="0" w:type="auto"/>
            <w:tcBorders>
              <w:top w:val="nil"/>
              <w:left w:val="nil"/>
              <w:bottom w:val="nil"/>
              <w:right w:val="nil"/>
            </w:tcBorders>
            <w:shd w:val="clear" w:color="auto" w:fill="auto"/>
            <w:noWrap/>
            <w:vAlign w:val="center"/>
            <w:hideMark/>
          </w:tcPr>
          <w:p w14:paraId="615BE030"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3.20</w:t>
            </w:r>
          </w:p>
        </w:tc>
        <w:tc>
          <w:tcPr>
            <w:tcW w:w="0" w:type="auto"/>
            <w:tcBorders>
              <w:top w:val="nil"/>
              <w:left w:val="nil"/>
              <w:bottom w:val="nil"/>
              <w:right w:val="nil"/>
            </w:tcBorders>
            <w:shd w:val="clear" w:color="auto" w:fill="auto"/>
            <w:noWrap/>
            <w:vAlign w:val="center"/>
            <w:hideMark/>
          </w:tcPr>
          <w:p w14:paraId="1CB47E16"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1.06</w:t>
            </w:r>
          </w:p>
        </w:tc>
        <w:tc>
          <w:tcPr>
            <w:tcW w:w="0" w:type="auto"/>
            <w:tcBorders>
              <w:top w:val="nil"/>
              <w:left w:val="nil"/>
              <w:bottom w:val="nil"/>
              <w:right w:val="nil"/>
            </w:tcBorders>
            <w:shd w:val="clear" w:color="auto" w:fill="auto"/>
            <w:noWrap/>
            <w:vAlign w:val="center"/>
            <w:hideMark/>
          </w:tcPr>
          <w:p w14:paraId="5355D401"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1.62</w:t>
            </w:r>
          </w:p>
        </w:tc>
        <w:tc>
          <w:tcPr>
            <w:tcW w:w="0" w:type="auto"/>
            <w:tcBorders>
              <w:top w:val="nil"/>
              <w:left w:val="nil"/>
              <w:bottom w:val="nil"/>
              <w:right w:val="nil"/>
            </w:tcBorders>
            <w:shd w:val="clear" w:color="auto" w:fill="auto"/>
            <w:noWrap/>
            <w:vAlign w:val="center"/>
            <w:hideMark/>
          </w:tcPr>
          <w:p w14:paraId="1EB3052E"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1.79</w:t>
            </w:r>
          </w:p>
        </w:tc>
        <w:tc>
          <w:tcPr>
            <w:tcW w:w="0" w:type="auto"/>
            <w:tcBorders>
              <w:top w:val="nil"/>
              <w:left w:val="nil"/>
              <w:bottom w:val="nil"/>
              <w:right w:val="nil"/>
            </w:tcBorders>
            <w:shd w:val="clear" w:color="auto" w:fill="auto"/>
            <w:noWrap/>
            <w:vAlign w:val="center"/>
            <w:hideMark/>
          </w:tcPr>
          <w:p w14:paraId="54DA6EE1"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2.01</w:t>
            </w:r>
          </w:p>
        </w:tc>
        <w:tc>
          <w:tcPr>
            <w:tcW w:w="0" w:type="auto"/>
            <w:tcBorders>
              <w:top w:val="nil"/>
              <w:left w:val="nil"/>
              <w:bottom w:val="nil"/>
              <w:right w:val="nil"/>
            </w:tcBorders>
            <w:shd w:val="clear" w:color="auto" w:fill="auto"/>
            <w:noWrap/>
            <w:vAlign w:val="center"/>
            <w:hideMark/>
          </w:tcPr>
          <w:p w14:paraId="5ADC9E47"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2.44</w:t>
            </w:r>
          </w:p>
        </w:tc>
        <w:tc>
          <w:tcPr>
            <w:tcW w:w="0" w:type="auto"/>
            <w:tcBorders>
              <w:top w:val="nil"/>
              <w:left w:val="nil"/>
              <w:bottom w:val="nil"/>
              <w:right w:val="nil"/>
            </w:tcBorders>
            <w:shd w:val="clear" w:color="auto" w:fill="auto"/>
            <w:noWrap/>
            <w:vAlign w:val="center"/>
            <w:hideMark/>
          </w:tcPr>
          <w:p w14:paraId="5CB10340"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3.03</w:t>
            </w:r>
          </w:p>
        </w:tc>
        <w:tc>
          <w:tcPr>
            <w:tcW w:w="0" w:type="auto"/>
            <w:tcBorders>
              <w:top w:val="nil"/>
              <w:left w:val="nil"/>
              <w:bottom w:val="nil"/>
              <w:right w:val="nil"/>
            </w:tcBorders>
            <w:shd w:val="clear" w:color="auto" w:fill="auto"/>
            <w:noWrap/>
            <w:vAlign w:val="center"/>
            <w:hideMark/>
          </w:tcPr>
          <w:p w14:paraId="0DD698F4"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3.77</w:t>
            </w:r>
          </w:p>
        </w:tc>
        <w:tc>
          <w:tcPr>
            <w:tcW w:w="0" w:type="auto"/>
            <w:tcBorders>
              <w:top w:val="nil"/>
              <w:left w:val="nil"/>
              <w:bottom w:val="nil"/>
              <w:right w:val="nil"/>
            </w:tcBorders>
            <w:shd w:val="clear" w:color="auto" w:fill="auto"/>
            <w:noWrap/>
            <w:vAlign w:val="center"/>
            <w:hideMark/>
          </w:tcPr>
          <w:p w14:paraId="7CB66EED"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4.60</w:t>
            </w:r>
          </w:p>
        </w:tc>
        <w:tc>
          <w:tcPr>
            <w:tcW w:w="0" w:type="auto"/>
            <w:tcBorders>
              <w:top w:val="nil"/>
              <w:left w:val="nil"/>
              <w:bottom w:val="nil"/>
              <w:right w:val="nil"/>
            </w:tcBorders>
            <w:shd w:val="clear" w:color="auto" w:fill="auto"/>
            <w:noWrap/>
            <w:vAlign w:val="center"/>
            <w:hideMark/>
          </w:tcPr>
          <w:p w14:paraId="7DCA7354"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5.17</w:t>
            </w:r>
          </w:p>
        </w:tc>
        <w:tc>
          <w:tcPr>
            <w:tcW w:w="0" w:type="auto"/>
            <w:tcBorders>
              <w:top w:val="nil"/>
              <w:left w:val="nil"/>
              <w:bottom w:val="nil"/>
              <w:right w:val="nil"/>
            </w:tcBorders>
            <w:shd w:val="clear" w:color="auto" w:fill="auto"/>
            <w:noWrap/>
            <w:vAlign w:val="center"/>
            <w:hideMark/>
          </w:tcPr>
          <w:p w14:paraId="5AB759D2"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5.73</w:t>
            </w:r>
          </w:p>
        </w:tc>
        <w:tc>
          <w:tcPr>
            <w:tcW w:w="0" w:type="auto"/>
            <w:tcBorders>
              <w:top w:val="nil"/>
              <w:left w:val="nil"/>
              <w:bottom w:val="nil"/>
              <w:right w:val="nil"/>
            </w:tcBorders>
            <w:shd w:val="clear" w:color="auto" w:fill="auto"/>
            <w:noWrap/>
            <w:vAlign w:val="center"/>
            <w:hideMark/>
          </w:tcPr>
          <w:p w14:paraId="46FDB451"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1.49%</w:t>
            </w:r>
          </w:p>
        </w:tc>
        <w:tc>
          <w:tcPr>
            <w:tcW w:w="0" w:type="auto"/>
            <w:tcBorders>
              <w:top w:val="nil"/>
              <w:left w:val="nil"/>
              <w:bottom w:val="nil"/>
              <w:right w:val="nil"/>
            </w:tcBorders>
            <w:vAlign w:val="center"/>
          </w:tcPr>
          <w:p w14:paraId="0DFB57E7" w14:textId="77777777" w:rsidR="00F904B3" w:rsidRPr="0031394A" w:rsidRDefault="00F904B3" w:rsidP="00573D80">
            <w:pPr>
              <w:jc w:val="center"/>
              <w:rPr>
                <w:rFonts w:ascii="Times New Roman" w:hAnsi="Times New Roman" w:cs="Times New Roman"/>
                <w:sz w:val="16"/>
                <w:szCs w:val="16"/>
              </w:rPr>
            </w:pPr>
            <w:r w:rsidRPr="0031394A">
              <w:rPr>
                <w:rFonts w:ascii="Times New Roman" w:hAnsi="Times New Roman" w:cs="Times New Roman"/>
                <w:sz w:val="16"/>
                <w:szCs w:val="16"/>
              </w:rPr>
              <w:t>1.38%</w:t>
            </w:r>
          </w:p>
        </w:tc>
      </w:tr>
      <w:tr w:rsidR="00F904B3" w:rsidRPr="0031394A" w14:paraId="38515133" w14:textId="77777777" w:rsidTr="00573D80">
        <w:trPr>
          <w:trHeight w:val="179"/>
          <w:jc w:val="center"/>
        </w:trPr>
        <w:tc>
          <w:tcPr>
            <w:tcW w:w="0" w:type="auto"/>
            <w:tcBorders>
              <w:top w:val="nil"/>
              <w:left w:val="nil"/>
              <w:right w:val="nil"/>
            </w:tcBorders>
            <w:shd w:val="clear" w:color="auto" w:fill="auto"/>
            <w:noWrap/>
            <w:vAlign w:val="center"/>
            <w:hideMark/>
          </w:tcPr>
          <w:p w14:paraId="745D6AEE" w14:textId="77777777" w:rsidR="00F904B3" w:rsidRPr="0031394A" w:rsidRDefault="00F904B3" w:rsidP="00573D80">
            <w:pPr>
              <w:spacing w:after="0" w:line="240" w:lineRule="auto"/>
              <w:jc w:val="right"/>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50.00%</w:t>
            </w:r>
          </w:p>
        </w:tc>
        <w:tc>
          <w:tcPr>
            <w:tcW w:w="0" w:type="auto"/>
            <w:tcBorders>
              <w:top w:val="nil"/>
              <w:left w:val="nil"/>
              <w:right w:val="nil"/>
            </w:tcBorders>
            <w:shd w:val="clear" w:color="auto" w:fill="auto"/>
            <w:noWrap/>
            <w:vAlign w:val="center"/>
            <w:hideMark/>
          </w:tcPr>
          <w:p w14:paraId="3EDC1895"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13.05</w:t>
            </w:r>
          </w:p>
        </w:tc>
        <w:tc>
          <w:tcPr>
            <w:tcW w:w="0" w:type="auto"/>
            <w:tcBorders>
              <w:top w:val="nil"/>
              <w:left w:val="nil"/>
              <w:right w:val="nil"/>
            </w:tcBorders>
            <w:shd w:val="clear" w:color="auto" w:fill="auto"/>
            <w:noWrap/>
            <w:vAlign w:val="center"/>
            <w:hideMark/>
          </w:tcPr>
          <w:p w14:paraId="1CA7EA2B"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12.25</w:t>
            </w:r>
          </w:p>
        </w:tc>
        <w:tc>
          <w:tcPr>
            <w:tcW w:w="0" w:type="auto"/>
            <w:tcBorders>
              <w:top w:val="nil"/>
              <w:left w:val="nil"/>
              <w:right w:val="nil"/>
            </w:tcBorders>
            <w:shd w:val="clear" w:color="auto" w:fill="auto"/>
            <w:noWrap/>
            <w:vAlign w:val="center"/>
            <w:hideMark/>
          </w:tcPr>
          <w:p w14:paraId="70CF2585"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1.72</w:t>
            </w:r>
          </w:p>
        </w:tc>
        <w:tc>
          <w:tcPr>
            <w:tcW w:w="0" w:type="auto"/>
            <w:tcBorders>
              <w:top w:val="nil"/>
              <w:left w:val="nil"/>
              <w:right w:val="nil"/>
            </w:tcBorders>
            <w:shd w:val="clear" w:color="auto" w:fill="auto"/>
            <w:noWrap/>
            <w:vAlign w:val="center"/>
            <w:hideMark/>
          </w:tcPr>
          <w:p w14:paraId="55DF5E78"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2.29</w:t>
            </w:r>
          </w:p>
        </w:tc>
        <w:tc>
          <w:tcPr>
            <w:tcW w:w="0" w:type="auto"/>
            <w:tcBorders>
              <w:top w:val="nil"/>
              <w:left w:val="nil"/>
              <w:right w:val="nil"/>
            </w:tcBorders>
            <w:shd w:val="clear" w:color="auto" w:fill="auto"/>
            <w:noWrap/>
            <w:vAlign w:val="center"/>
            <w:hideMark/>
          </w:tcPr>
          <w:p w14:paraId="753804DF"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3.15</w:t>
            </w:r>
          </w:p>
        </w:tc>
        <w:tc>
          <w:tcPr>
            <w:tcW w:w="0" w:type="auto"/>
            <w:tcBorders>
              <w:top w:val="nil"/>
              <w:left w:val="nil"/>
              <w:right w:val="nil"/>
            </w:tcBorders>
            <w:shd w:val="clear" w:color="auto" w:fill="auto"/>
            <w:noWrap/>
            <w:vAlign w:val="center"/>
            <w:hideMark/>
          </w:tcPr>
          <w:p w14:paraId="011FD2B5"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5.35</w:t>
            </w:r>
          </w:p>
        </w:tc>
        <w:tc>
          <w:tcPr>
            <w:tcW w:w="0" w:type="auto"/>
            <w:tcBorders>
              <w:top w:val="nil"/>
              <w:left w:val="nil"/>
              <w:right w:val="nil"/>
            </w:tcBorders>
            <w:shd w:val="clear" w:color="auto" w:fill="auto"/>
            <w:noWrap/>
            <w:vAlign w:val="center"/>
            <w:hideMark/>
          </w:tcPr>
          <w:p w14:paraId="3CE30840"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9.49</w:t>
            </w:r>
          </w:p>
        </w:tc>
        <w:tc>
          <w:tcPr>
            <w:tcW w:w="0" w:type="auto"/>
            <w:tcBorders>
              <w:top w:val="nil"/>
              <w:left w:val="nil"/>
              <w:right w:val="nil"/>
            </w:tcBorders>
            <w:shd w:val="clear" w:color="auto" w:fill="auto"/>
            <w:noWrap/>
            <w:vAlign w:val="center"/>
            <w:hideMark/>
          </w:tcPr>
          <w:p w14:paraId="6CC05651"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16.54</w:t>
            </w:r>
          </w:p>
        </w:tc>
        <w:tc>
          <w:tcPr>
            <w:tcW w:w="0" w:type="auto"/>
            <w:tcBorders>
              <w:top w:val="nil"/>
              <w:left w:val="nil"/>
              <w:right w:val="nil"/>
            </w:tcBorders>
            <w:shd w:val="clear" w:color="auto" w:fill="auto"/>
            <w:noWrap/>
            <w:vAlign w:val="center"/>
            <w:hideMark/>
          </w:tcPr>
          <w:p w14:paraId="29BC4947"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26.81</w:t>
            </w:r>
          </w:p>
        </w:tc>
        <w:tc>
          <w:tcPr>
            <w:tcW w:w="0" w:type="auto"/>
            <w:tcBorders>
              <w:top w:val="nil"/>
              <w:left w:val="nil"/>
              <w:right w:val="nil"/>
            </w:tcBorders>
            <w:shd w:val="clear" w:color="auto" w:fill="auto"/>
            <w:noWrap/>
            <w:vAlign w:val="center"/>
            <w:hideMark/>
          </w:tcPr>
          <w:p w14:paraId="3753F957"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35.73</w:t>
            </w:r>
          </w:p>
        </w:tc>
        <w:tc>
          <w:tcPr>
            <w:tcW w:w="0" w:type="auto"/>
            <w:tcBorders>
              <w:top w:val="nil"/>
              <w:left w:val="nil"/>
              <w:right w:val="nil"/>
            </w:tcBorders>
            <w:shd w:val="clear" w:color="auto" w:fill="auto"/>
            <w:noWrap/>
            <w:vAlign w:val="center"/>
            <w:hideMark/>
          </w:tcPr>
          <w:p w14:paraId="2B916290"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45.63</w:t>
            </w:r>
          </w:p>
        </w:tc>
        <w:tc>
          <w:tcPr>
            <w:tcW w:w="0" w:type="auto"/>
            <w:tcBorders>
              <w:top w:val="nil"/>
              <w:left w:val="nil"/>
              <w:right w:val="nil"/>
            </w:tcBorders>
            <w:shd w:val="clear" w:color="auto" w:fill="auto"/>
            <w:noWrap/>
            <w:vAlign w:val="center"/>
            <w:hideMark/>
          </w:tcPr>
          <w:p w14:paraId="037EEDA2"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3.05%</w:t>
            </w:r>
          </w:p>
        </w:tc>
        <w:tc>
          <w:tcPr>
            <w:tcW w:w="0" w:type="auto"/>
            <w:tcBorders>
              <w:top w:val="nil"/>
              <w:left w:val="nil"/>
              <w:right w:val="nil"/>
            </w:tcBorders>
            <w:vAlign w:val="center"/>
          </w:tcPr>
          <w:p w14:paraId="376EFF9F" w14:textId="77777777" w:rsidR="00F904B3" w:rsidRPr="0031394A" w:rsidRDefault="00F904B3" w:rsidP="00573D80">
            <w:pPr>
              <w:jc w:val="center"/>
              <w:rPr>
                <w:rFonts w:ascii="Times New Roman" w:hAnsi="Times New Roman" w:cs="Times New Roman"/>
                <w:sz w:val="16"/>
                <w:szCs w:val="16"/>
              </w:rPr>
            </w:pPr>
            <w:r w:rsidRPr="0031394A">
              <w:rPr>
                <w:rFonts w:ascii="Times New Roman" w:hAnsi="Times New Roman" w:cs="Times New Roman"/>
                <w:sz w:val="16"/>
                <w:szCs w:val="16"/>
              </w:rPr>
              <w:t>3.31%</w:t>
            </w:r>
          </w:p>
        </w:tc>
      </w:tr>
      <w:tr w:rsidR="00F904B3" w:rsidRPr="0031394A" w14:paraId="6F2E5FF8" w14:textId="77777777" w:rsidTr="00573D80">
        <w:trPr>
          <w:trHeight w:val="179"/>
          <w:jc w:val="center"/>
        </w:trPr>
        <w:tc>
          <w:tcPr>
            <w:tcW w:w="0" w:type="auto"/>
            <w:tcBorders>
              <w:top w:val="nil"/>
              <w:left w:val="nil"/>
              <w:bottom w:val="single" w:sz="4" w:space="0" w:color="auto"/>
              <w:right w:val="nil"/>
            </w:tcBorders>
            <w:shd w:val="clear" w:color="auto" w:fill="auto"/>
            <w:noWrap/>
            <w:vAlign w:val="center"/>
            <w:hideMark/>
          </w:tcPr>
          <w:p w14:paraId="22A4F496" w14:textId="77777777" w:rsidR="00F904B3" w:rsidRPr="0031394A" w:rsidRDefault="00F904B3" w:rsidP="00573D80">
            <w:pPr>
              <w:spacing w:after="0" w:line="240" w:lineRule="auto"/>
              <w:jc w:val="right"/>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100.00%</w:t>
            </w:r>
          </w:p>
        </w:tc>
        <w:tc>
          <w:tcPr>
            <w:tcW w:w="0" w:type="auto"/>
            <w:tcBorders>
              <w:top w:val="nil"/>
              <w:left w:val="nil"/>
              <w:bottom w:val="single" w:sz="4" w:space="0" w:color="auto"/>
              <w:right w:val="nil"/>
            </w:tcBorders>
            <w:shd w:val="clear" w:color="auto" w:fill="auto"/>
            <w:noWrap/>
            <w:vAlign w:val="center"/>
            <w:hideMark/>
          </w:tcPr>
          <w:p w14:paraId="2D47D6EA"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88.78</w:t>
            </w:r>
          </w:p>
        </w:tc>
        <w:tc>
          <w:tcPr>
            <w:tcW w:w="0" w:type="auto"/>
            <w:tcBorders>
              <w:top w:val="nil"/>
              <w:left w:val="nil"/>
              <w:bottom w:val="single" w:sz="4" w:space="0" w:color="auto"/>
              <w:right w:val="nil"/>
            </w:tcBorders>
            <w:shd w:val="clear" w:color="auto" w:fill="auto"/>
            <w:noWrap/>
            <w:vAlign w:val="center"/>
            <w:hideMark/>
          </w:tcPr>
          <w:p w14:paraId="380CA03B"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258.69</w:t>
            </w:r>
          </w:p>
        </w:tc>
        <w:tc>
          <w:tcPr>
            <w:tcW w:w="0" w:type="auto"/>
            <w:tcBorders>
              <w:top w:val="nil"/>
              <w:left w:val="nil"/>
              <w:bottom w:val="single" w:sz="4" w:space="0" w:color="auto"/>
              <w:right w:val="nil"/>
            </w:tcBorders>
            <w:shd w:val="clear" w:color="auto" w:fill="auto"/>
            <w:noWrap/>
            <w:vAlign w:val="center"/>
            <w:hideMark/>
          </w:tcPr>
          <w:p w14:paraId="576BCD60"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0.73</w:t>
            </w:r>
          </w:p>
        </w:tc>
        <w:tc>
          <w:tcPr>
            <w:tcW w:w="0" w:type="auto"/>
            <w:tcBorders>
              <w:top w:val="nil"/>
              <w:left w:val="nil"/>
              <w:bottom w:val="single" w:sz="4" w:space="0" w:color="auto"/>
              <w:right w:val="nil"/>
            </w:tcBorders>
            <w:shd w:val="clear" w:color="auto" w:fill="auto"/>
            <w:noWrap/>
            <w:vAlign w:val="center"/>
            <w:hideMark/>
          </w:tcPr>
          <w:p w14:paraId="5DB2C2D3"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1.32</w:t>
            </w:r>
          </w:p>
        </w:tc>
        <w:tc>
          <w:tcPr>
            <w:tcW w:w="0" w:type="auto"/>
            <w:tcBorders>
              <w:top w:val="nil"/>
              <w:left w:val="nil"/>
              <w:bottom w:val="single" w:sz="4" w:space="0" w:color="auto"/>
              <w:right w:val="nil"/>
            </w:tcBorders>
            <w:shd w:val="clear" w:color="auto" w:fill="auto"/>
            <w:noWrap/>
            <w:vAlign w:val="center"/>
            <w:hideMark/>
          </w:tcPr>
          <w:p w14:paraId="2DE90886"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2.55</w:t>
            </w:r>
          </w:p>
        </w:tc>
        <w:tc>
          <w:tcPr>
            <w:tcW w:w="0" w:type="auto"/>
            <w:tcBorders>
              <w:top w:val="nil"/>
              <w:left w:val="nil"/>
              <w:bottom w:val="single" w:sz="4" w:space="0" w:color="auto"/>
              <w:right w:val="nil"/>
            </w:tcBorders>
            <w:shd w:val="clear" w:color="auto" w:fill="auto"/>
            <w:noWrap/>
            <w:vAlign w:val="center"/>
            <w:hideMark/>
          </w:tcPr>
          <w:p w14:paraId="5FF8B76C"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7.57</w:t>
            </w:r>
          </w:p>
        </w:tc>
        <w:tc>
          <w:tcPr>
            <w:tcW w:w="0" w:type="auto"/>
            <w:tcBorders>
              <w:top w:val="nil"/>
              <w:left w:val="nil"/>
              <w:bottom w:val="single" w:sz="4" w:space="0" w:color="auto"/>
              <w:right w:val="nil"/>
            </w:tcBorders>
            <w:shd w:val="clear" w:color="auto" w:fill="auto"/>
            <w:noWrap/>
            <w:vAlign w:val="center"/>
            <w:hideMark/>
          </w:tcPr>
          <w:p w14:paraId="63A193A8"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24.41</w:t>
            </w:r>
          </w:p>
        </w:tc>
        <w:tc>
          <w:tcPr>
            <w:tcW w:w="0" w:type="auto"/>
            <w:tcBorders>
              <w:top w:val="nil"/>
              <w:left w:val="nil"/>
              <w:bottom w:val="single" w:sz="4" w:space="0" w:color="auto"/>
              <w:right w:val="nil"/>
            </w:tcBorders>
            <w:shd w:val="clear" w:color="auto" w:fill="auto"/>
            <w:noWrap/>
            <w:vAlign w:val="center"/>
            <w:hideMark/>
          </w:tcPr>
          <w:p w14:paraId="48AA83AD"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75.55</w:t>
            </w:r>
          </w:p>
        </w:tc>
        <w:tc>
          <w:tcPr>
            <w:tcW w:w="0" w:type="auto"/>
            <w:tcBorders>
              <w:top w:val="nil"/>
              <w:left w:val="nil"/>
              <w:bottom w:val="single" w:sz="4" w:space="0" w:color="auto"/>
              <w:right w:val="nil"/>
            </w:tcBorders>
            <w:shd w:val="clear" w:color="auto" w:fill="auto"/>
            <w:noWrap/>
            <w:vAlign w:val="center"/>
            <w:hideMark/>
          </w:tcPr>
          <w:p w14:paraId="508A500D"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199.79</w:t>
            </w:r>
          </w:p>
        </w:tc>
        <w:tc>
          <w:tcPr>
            <w:tcW w:w="0" w:type="auto"/>
            <w:tcBorders>
              <w:top w:val="nil"/>
              <w:left w:val="nil"/>
              <w:bottom w:val="single" w:sz="4" w:space="0" w:color="auto"/>
              <w:right w:val="nil"/>
            </w:tcBorders>
            <w:shd w:val="clear" w:color="auto" w:fill="auto"/>
            <w:noWrap/>
            <w:vAlign w:val="center"/>
            <w:hideMark/>
          </w:tcPr>
          <w:p w14:paraId="652DD225"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357.87</w:t>
            </w:r>
          </w:p>
        </w:tc>
        <w:tc>
          <w:tcPr>
            <w:tcW w:w="0" w:type="auto"/>
            <w:tcBorders>
              <w:top w:val="nil"/>
              <w:left w:val="nil"/>
              <w:bottom w:val="single" w:sz="4" w:space="0" w:color="auto"/>
              <w:right w:val="nil"/>
            </w:tcBorders>
            <w:shd w:val="clear" w:color="auto" w:fill="auto"/>
            <w:noWrap/>
            <w:vAlign w:val="center"/>
            <w:hideMark/>
          </w:tcPr>
          <w:p w14:paraId="29E3C3F6"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583.46</w:t>
            </w:r>
          </w:p>
        </w:tc>
        <w:tc>
          <w:tcPr>
            <w:tcW w:w="0" w:type="auto"/>
            <w:tcBorders>
              <w:top w:val="nil"/>
              <w:left w:val="nil"/>
              <w:bottom w:val="single" w:sz="4" w:space="0" w:color="auto"/>
              <w:right w:val="nil"/>
            </w:tcBorders>
            <w:shd w:val="clear" w:color="auto" w:fill="auto"/>
            <w:noWrap/>
            <w:vAlign w:val="center"/>
            <w:hideMark/>
          </w:tcPr>
          <w:p w14:paraId="21E18B23" w14:textId="77777777" w:rsidR="00F904B3" w:rsidRPr="0031394A" w:rsidRDefault="00F904B3" w:rsidP="00573D80">
            <w:pPr>
              <w:spacing w:after="0" w:line="240" w:lineRule="auto"/>
              <w:jc w:val="center"/>
              <w:rPr>
                <w:rFonts w:ascii="Times New Roman" w:eastAsia="Times New Roman" w:hAnsi="Times New Roman" w:cs="Times New Roman"/>
                <w:sz w:val="16"/>
                <w:szCs w:val="16"/>
                <w:lang w:eastAsia="es-ES"/>
              </w:rPr>
            </w:pPr>
            <w:r w:rsidRPr="0031394A">
              <w:rPr>
                <w:rFonts w:ascii="Times New Roman" w:eastAsia="Times New Roman" w:hAnsi="Times New Roman" w:cs="Times New Roman"/>
                <w:sz w:val="16"/>
                <w:szCs w:val="16"/>
                <w:lang w:eastAsia="es-ES"/>
              </w:rPr>
              <w:t>4.35%</w:t>
            </w:r>
          </w:p>
        </w:tc>
        <w:tc>
          <w:tcPr>
            <w:tcW w:w="0" w:type="auto"/>
            <w:tcBorders>
              <w:top w:val="nil"/>
              <w:left w:val="nil"/>
              <w:bottom w:val="single" w:sz="4" w:space="0" w:color="auto"/>
              <w:right w:val="nil"/>
            </w:tcBorders>
            <w:vAlign w:val="center"/>
          </w:tcPr>
          <w:p w14:paraId="64A37E3A" w14:textId="77777777" w:rsidR="00F904B3" w:rsidRPr="0031394A" w:rsidRDefault="00F904B3" w:rsidP="00573D80">
            <w:pPr>
              <w:jc w:val="center"/>
              <w:rPr>
                <w:rFonts w:ascii="Times New Roman" w:hAnsi="Times New Roman" w:cs="Times New Roman"/>
                <w:sz w:val="16"/>
                <w:szCs w:val="16"/>
              </w:rPr>
            </w:pPr>
            <w:r w:rsidRPr="0031394A">
              <w:rPr>
                <w:rFonts w:ascii="Times New Roman" w:hAnsi="Times New Roman" w:cs="Times New Roman"/>
                <w:sz w:val="16"/>
                <w:szCs w:val="16"/>
              </w:rPr>
              <w:t>5.72%</w:t>
            </w:r>
          </w:p>
        </w:tc>
      </w:tr>
    </w:tbl>
    <w:p w14:paraId="52EDC35D" w14:textId="066CAA12" w:rsidR="00272B47" w:rsidRPr="00272B47" w:rsidRDefault="00F904B3" w:rsidP="00272B47">
      <w:pPr>
        <w:tabs>
          <w:tab w:val="center" w:pos="4800"/>
          <w:tab w:val="right" w:pos="9500"/>
        </w:tabs>
        <w:spacing w:before="120" w:after="120"/>
        <w:jc w:val="center"/>
        <w:rPr>
          <w:rFonts w:ascii="Times New Roman" w:hAnsi="Times New Roman" w:cs="Times New Roman"/>
          <w:noProof/>
          <w:szCs w:val="22"/>
          <w:lang w:val="en-GB"/>
        </w:rPr>
      </w:pPr>
      <w:r w:rsidRPr="0031394A">
        <w:rPr>
          <w:rFonts w:ascii="Times New Roman" w:hAnsi="Times New Roman" w:cs="Times New Roman"/>
          <w:noProof/>
          <w:szCs w:val="22"/>
          <w:lang w:val="en-GB"/>
        </w:rPr>
        <w:t xml:space="preserve">Own source </w:t>
      </w:r>
    </w:p>
    <w:p w14:paraId="6443B0C7" w14:textId="78F465AE" w:rsidR="00F904B3" w:rsidRPr="0031394A" w:rsidRDefault="00F904B3" w:rsidP="00C825A0">
      <w:pPr>
        <w:spacing w:before="120" w:after="120" w:line="240" w:lineRule="auto"/>
        <w:jc w:val="both"/>
        <w:rPr>
          <w:rFonts w:ascii="Times New Roman" w:hAnsi="Times New Roman" w:cs="Times New Roman"/>
          <w:i/>
          <w:sz w:val="24"/>
          <w:szCs w:val="24"/>
          <w:lang w:val="en-GB"/>
        </w:rPr>
      </w:pPr>
      <w:r w:rsidRPr="0031394A">
        <w:rPr>
          <w:rFonts w:ascii="Times New Roman" w:hAnsi="Times New Roman" w:cs="Times New Roman"/>
          <w:i/>
          <w:sz w:val="24"/>
          <w:szCs w:val="24"/>
          <w:lang w:val="en-GB"/>
        </w:rPr>
        <w:t>Results of automatic balancing mechanism</w:t>
      </w:r>
      <w:r w:rsidR="00906928" w:rsidRPr="0031394A">
        <w:rPr>
          <w:rFonts w:ascii="Times New Roman" w:hAnsi="Times New Roman" w:cs="Times New Roman"/>
          <w:i/>
          <w:sz w:val="24"/>
          <w:szCs w:val="24"/>
          <w:lang w:val="en-GB"/>
        </w:rPr>
        <w:t>s</w:t>
      </w:r>
      <w:r w:rsidR="00041602" w:rsidRPr="0031394A">
        <w:rPr>
          <w:rFonts w:ascii="Times New Roman" w:hAnsi="Times New Roman" w:cs="Times New Roman"/>
          <w:i/>
          <w:sz w:val="24"/>
          <w:szCs w:val="24"/>
          <w:lang w:val="en-GB"/>
        </w:rPr>
        <w:t xml:space="preserve"> for the DB PAYG scheme</w:t>
      </w:r>
      <w:r w:rsidR="00925C4F" w:rsidRPr="0031394A">
        <w:rPr>
          <w:rFonts w:ascii="Times New Roman" w:hAnsi="Times New Roman" w:cs="Times New Roman"/>
          <w:i/>
          <w:sz w:val="24"/>
          <w:szCs w:val="24"/>
          <w:lang w:val="en-GB"/>
        </w:rPr>
        <w:t xml:space="preserve"> to get a replacement rate of 53%</w:t>
      </w:r>
    </w:p>
    <w:p w14:paraId="13E19EFB" w14:textId="77777777" w:rsidR="009F4D9E" w:rsidRPr="0031394A" w:rsidRDefault="009F4D9E" w:rsidP="00C825A0">
      <w:pPr>
        <w:spacing w:before="120" w:after="120" w:line="240" w:lineRule="auto"/>
        <w:jc w:val="both"/>
        <w:rPr>
          <w:rFonts w:ascii="Times New Roman" w:hAnsi="Times New Roman" w:cs="Times New Roman"/>
          <w:sz w:val="24"/>
          <w:szCs w:val="24"/>
          <w:lang w:val="en-GB"/>
        </w:rPr>
      </w:pPr>
      <w:bookmarkStart w:id="23" w:name="_Hlk4007220"/>
      <w:r w:rsidRPr="0031394A">
        <w:rPr>
          <w:rFonts w:ascii="Times New Roman" w:hAnsi="Times New Roman" w:cs="Times New Roman"/>
          <w:sz w:val="24"/>
          <w:szCs w:val="24"/>
          <w:lang w:val="en-GB"/>
        </w:rPr>
        <w:t xml:space="preserve">If no automatic balancing mechanisms were implemented the system would accumulate a continuous deficit as shown in Figure 3. It can also be observed that the difference between the income from contributions and pension expenditure is increasing over time as a result of the demographic change. </w:t>
      </w:r>
      <w:r w:rsidR="00872A81" w:rsidRPr="0031394A">
        <w:rPr>
          <w:rFonts w:ascii="Times New Roman" w:hAnsi="Times New Roman" w:cs="Times New Roman"/>
          <w:sz w:val="24"/>
          <w:szCs w:val="24"/>
          <w:lang w:val="en-GB"/>
        </w:rPr>
        <w:t xml:space="preserve">If the indexation of pension was to be set at 0% the amount of the deficit </w:t>
      </w:r>
      <w:r w:rsidR="00863066" w:rsidRPr="0031394A">
        <w:rPr>
          <w:rFonts w:ascii="Times New Roman" w:hAnsi="Times New Roman" w:cs="Times New Roman"/>
          <w:sz w:val="24"/>
          <w:szCs w:val="24"/>
          <w:lang w:val="en-GB"/>
        </w:rPr>
        <w:t xml:space="preserve">would be much lower </w:t>
      </w:r>
      <w:r w:rsidR="00872A81" w:rsidRPr="0031394A">
        <w:rPr>
          <w:rFonts w:ascii="Times New Roman" w:hAnsi="Times New Roman" w:cs="Times New Roman"/>
          <w:sz w:val="24"/>
          <w:szCs w:val="24"/>
          <w:lang w:val="en-GB"/>
        </w:rPr>
        <w:t xml:space="preserve">at the end of the year of period of study. As expected, the amount of the deficit for a system </w:t>
      </w:r>
      <w:r w:rsidR="00863066" w:rsidRPr="0031394A">
        <w:rPr>
          <w:rFonts w:ascii="Times New Roman" w:hAnsi="Times New Roman" w:cs="Times New Roman"/>
          <w:sz w:val="24"/>
          <w:szCs w:val="24"/>
          <w:lang w:val="en-GB"/>
        </w:rPr>
        <w:t>that offers</w:t>
      </w:r>
      <w:r w:rsidR="00872A81" w:rsidRPr="0031394A">
        <w:rPr>
          <w:rFonts w:ascii="Times New Roman" w:hAnsi="Times New Roman" w:cs="Times New Roman"/>
          <w:sz w:val="24"/>
          <w:szCs w:val="24"/>
          <w:lang w:val="en-GB"/>
        </w:rPr>
        <w:t xml:space="preserve"> a replacement rate of 60%, Figure 3b, is higher than for a rate of 53%</w:t>
      </w:r>
      <w:r w:rsidR="00863066" w:rsidRPr="0031394A">
        <w:rPr>
          <w:rFonts w:ascii="Times New Roman" w:hAnsi="Times New Roman" w:cs="Times New Roman"/>
          <w:sz w:val="24"/>
          <w:szCs w:val="24"/>
          <w:lang w:val="en-GB"/>
        </w:rPr>
        <w:t>.</w:t>
      </w:r>
    </w:p>
    <w:p w14:paraId="519CD11C" w14:textId="77777777" w:rsidR="003F05CE" w:rsidRPr="0031394A" w:rsidRDefault="00A77DDC" w:rsidP="00A77DDC">
      <w:pPr>
        <w:jc w:val="center"/>
        <w:rPr>
          <w:rFonts w:ascii="Times New Roman" w:hAnsi="Times New Roman" w:cs="Times New Roman"/>
          <w:b/>
          <w:szCs w:val="22"/>
          <w:lang w:val="en-GB"/>
        </w:rPr>
      </w:pPr>
      <w:r w:rsidRPr="0031394A">
        <w:rPr>
          <w:rFonts w:ascii="Times New Roman" w:hAnsi="Times New Roman" w:cs="Times New Roman"/>
          <w:b/>
          <w:szCs w:val="22"/>
          <w:lang w:val="en-GB"/>
        </w:rPr>
        <w:t>Figure 3: Income from contributions, pension expenditure and surplus (considering indexation of pensions 3% and 0%) for the 60% RR DB-PAYG and 53% RR DB-PAYG (in millions)</w:t>
      </w:r>
    </w:p>
    <w:tbl>
      <w:tblPr>
        <w:tblStyle w:val="TableGrid"/>
        <w:tblW w:w="0" w:type="auto"/>
        <w:tblLook w:val="04A0" w:firstRow="1" w:lastRow="0" w:firstColumn="1" w:lastColumn="0" w:noHBand="0" w:noVBand="1"/>
      </w:tblPr>
      <w:tblGrid>
        <w:gridCol w:w="4237"/>
        <w:gridCol w:w="4237"/>
      </w:tblGrid>
      <w:tr w:rsidR="0031394A" w:rsidRPr="0031394A" w14:paraId="66756D6F" w14:textId="77777777" w:rsidTr="003F05CE">
        <w:tc>
          <w:tcPr>
            <w:tcW w:w="4237" w:type="dxa"/>
          </w:tcPr>
          <w:p w14:paraId="080EF56B" w14:textId="77777777" w:rsidR="003F05CE" w:rsidRPr="0031394A" w:rsidRDefault="00E072BE" w:rsidP="008E4956">
            <w:pPr>
              <w:jc w:val="both"/>
              <w:rPr>
                <w:rFonts w:ascii="Times New Roman" w:hAnsi="Times New Roman" w:cs="Times New Roman"/>
                <w:i/>
                <w:sz w:val="24"/>
                <w:szCs w:val="24"/>
                <w:lang w:val="en-GB"/>
              </w:rPr>
            </w:pPr>
            <w:r w:rsidRPr="0031394A">
              <w:rPr>
                <w:noProof/>
              </w:rPr>
              <w:drawing>
                <wp:inline distT="0" distB="0" distL="0" distR="0" wp14:anchorId="1BEB9645" wp14:editId="37F08924">
                  <wp:extent cx="2451600" cy="1396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51600" cy="1396800"/>
                          </a:xfrm>
                          <a:prstGeom prst="rect">
                            <a:avLst/>
                          </a:prstGeom>
                        </pic:spPr>
                      </pic:pic>
                    </a:graphicData>
                  </a:graphic>
                </wp:inline>
              </w:drawing>
            </w:r>
          </w:p>
          <w:p w14:paraId="40E9BFF8" w14:textId="77777777" w:rsidR="00A77DDC" w:rsidRPr="0031394A" w:rsidRDefault="00A77DDC" w:rsidP="00A77DDC">
            <w:pPr>
              <w:pStyle w:val="ListParagraph"/>
              <w:numPr>
                <w:ilvl w:val="0"/>
                <w:numId w:val="14"/>
              </w:numPr>
              <w:jc w:val="both"/>
              <w:rPr>
                <w:rFonts w:ascii="Times New Roman" w:hAnsi="Times New Roman" w:cs="Times New Roman"/>
                <w:szCs w:val="22"/>
                <w:lang w:val="en-GB"/>
              </w:rPr>
            </w:pPr>
            <w:r w:rsidRPr="0031394A">
              <w:rPr>
                <w:rFonts w:ascii="Times New Roman" w:hAnsi="Times New Roman" w:cs="Times New Roman"/>
                <w:szCs w:val="22"/>
                <w:lang w:val="en-GB"/>
              </w:rPr>
              <w:t>DB PAYG that provides a RR of 53%</w:t>
            </w:r>
          </w:p>
        </w:tc>
        <w:tc>
          <w:tcPr>
            <w:tcW w:w="4237" w:type="dxa"/>
          </w:tcPr>
          <w:p w14:paraId="62766C7A" w14:textId="77777777" w:rsidR="003F05CE" w:rsidRPr="0031394A" w:rsidRDefault="003F05CE" w:rsidP="008E4956">
            <w:pPr>
              <w:jc w:val="both"/>
              <w:rPr>
                <w:rFonts w:ascii="Times New Roman" w:hAnsi="Times New Roman" w:cs="Times New Roman"/>
                <w:i/>
                <w:sz w:val="24"/>
                <w:szCs w:val="24"/>
                <w:lang w:val="en-GB"/>
              </w:rPr>
            </w:pPr>
            <w:r w:rsidRPr="0031394A">
              <w:rPr>
                <w:noProof/>
              </w:rPr>
              <w:drawing>
                <wp:inline distT="0" distB="0" distL="0" distR="0" wp14:anchorId="21CA0D23" wp14:editId="5F66B022">
                  <wp:extent cx="2448000" cy="139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48000" cy="1396800"/>
                          </a:xfrm>
                          <a:prstGeom prst="rect">
                            <a:avLst/>
                          </a:prstGeom>
                        </pic:spPr>
                      </pic:pic>
                    </a:graphicData>
                  </a:graphic>
                </wp:inline>
              </w:drawing>
            </w:r>
          </w:p>
          <w:p w14:paraId="742C66EC" w14:textId="77777777" w:rsidR="00A77DDC" w:rsidRPr="0031394A" w:rsidRDefault="00A77DDC" w:rsidP="00A77DDC">
            <w:pPr>
              <w:pStyle w:val="ListParagraph"/>
              <w:numPr>
                <w:ilvl w:val="0"/>
                <w:numId w:val="14"/>
              </w:numPr>
              <w:jc w:val="both"/>
              <w:rPr>
                <w:rFonts w:ascii="Times New Roman" w:hAnsi="Times New Roman" w:cs="Times New Roman"/>
                <w:szCs w:val="22"/>
                <w:lang w:val="en-GB"/>
              </w:rPr>
            </w:pPr>
            <w:r w:rsidRPr="0031394A">
              <w:rPr>
                <w:rFonts w:ascii="Times New Roman" w:hAnsi="Times New Roman" w:cs="Times New Roman"/>
                <w:szCs w:val="22"/>
                <w:lang w:val="en-GB"/>
              </w:rPr>
              <w:t>DB PAYG that provides a RR of 60%</w:t>
            </w:r>
          </w:p>
        </w:tc>
      </w:tr>
    </w:tbl>
    <w:p w14:paraId="41F42559" w14:textId="77777777" w:rsidR="003F05CE" w:rsidRPr="0031394A" w:rsidRDefault="00A77DDC" w:rsidP="009F4D9E">
      <w:pPr>
        <w:jc w:val="center"/>
        <w:rPr>
          <w:rFonts w:ascii="Times New Roman" w:hAnsi="Times New Roman" w:cs="Times New Roman"/>
          <w:szCs w:val="22"/>
          <w:lang w:val="en-GB"/>
        </w:rPr>
      </w:pPr>
      <w:r w:rsidRPr="0031394A">
        <w:rPr>
          <w:rFonts w:ascii="Times New Roman" w:hAnsi="Times New Roman" w:cs="Times New Roman"/>
          <w:szCs w:val="22"/>
          <w:lang w:val="en-GB"/>
        </w:rPr>
        <w:t>Own source</w:t>
      </w:r>
    </w:p>
    <w:bookmarkEnd w:id="23"/>
    <w:p w14:paraId="4E49A1FF" w14:textId="77777777" w:rsidR="009D3A10" w:rsidRPr="0031394A" w:rsidRDefault="00F904B3" w:rsidP="00C825A0">
      <w:p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Figures </w:t>
      </w:r>
      <w:r w:rsidR="00872A81" w:rsidRPr="0031394A">
        <w:rPr>
          <w:rFonts w:ascii="Times New Roman" w:hAnsi="Times New Roman" w:cs="Times New Roman"/>
          <w:sz w:val="24"/>
          <w:szCs w:val="24"/>
          <w:lang w:val="en-GB"/>
        </w:rPr>
        <w:t>4</w:t>
      </w:r>
      <w:r w:rsidR="00041602" w:rsidRPr="0031394A">
        <w:rPr>
          <w:rFonts w:ascii="Times New Roman" w:hAnsi="Times New Roman" w:cs="Times New Roman"/>
          <w:sz w:val="24"/>
          <w:szCs w:val="24"/>
          <w:lang w:val="en-GB"/>
        </w:rPr>
        <w:t xml:space="preserve"> shows, for the PAYG part,</w:t>
      </w:r>
      <w:r w:rsidR="005B145B" w:rsidRPr="0031394A">
        <w:rPr>
          <w:rFonts w:ascii="Times New Roman" w:hAnsi="Times New Roman" w:cs="Times New Roman"/>
          <w:sz w:val="24"/>
          <w:szCs w:val="24"/>
          <w:lang w:val="en-GB"/>
        </w:rPr>
        <w:t xml:space="preserve"> the optimal </w:t>
      </w:r>
      <w:r w:rsidRPr="0031394A">
        <w:rPr>
          <w:rFonts w:ascii="Times New Roman" w:hAnsi="Times New Roman" w:cs="Times New Roman"/>
          <w:sz w:val="24"/>
          <w:szCs w:val="24"/>
          <w:lang w:val="en-GB"/>
        </w:rPr>
        <w:t xml:space="preserve">of the contribution rate, retirement age and indexation of the pensions, respectively, to restore the financial </w:t>
      </w:r>
      <w:r w:rsidR="005B145B" w:rsidRPr="0031394A">
        <w:rPr>
          <w:rFonts w:ascii="Times New Roman" w:hAnsi="Times New Roman" w:cs="Times New Roman"/>
          <w:sz w:val="24"/>
          <w:szCs w:val="24"/>
          <w:lang w:val="en-GB"/>
        </w:rPr>
        <w:t>sustainability</w:t>
      </w:r>
      <w:r w:rsidRPr="0031394A">
        <w:rPr>
          <w:rFonts w:ascii="Times New Roman" w:hAnsi="Times New Roman" w:cs="Times New Roman"/>
          <w:sz w:val="24"/>
          <w:szCs w:val="24"/>
          <w:lang w:val="en-GB"/>
        </w:rPr>
        <w:t xml:space="preserve"> of the system </w:t>
      </w:r>
      <w:r w:rsidR="005B145B" w:rsidRPr="0031394A">
        <w:rPr>
          <w:rFonts w:ascii="Times New Roman" w:hAnsi="Times New Roman" w:cs="Times New Roman"/>
          <w:sz w:val="24"/>
          <w:szCs w:val="24"/>
          <w:lang w:val="en-GB"/>
        </w:rPr>
        <w:t>when the three decision variables are simultaneously modified.</w:t>
      </w:r>
      <w:r w:rsidR="009D3A10" w:rsidRPr="0031394A">
        <w:rPr>
          <w:rFonts w:ascii="Times New Roman" w:hAnsi="Times New Roman" w:cs="Times New Roman"/>
          <w:sz w:val="24"/>
          <w:szCs w:val="24"/>
          <w:lang w:val="en-GB"/>
        </w:rPr>
        <w:t xml:space="preserve"> Unless stated otherwise, we always refer to the me</w:t>
      </w:r>
      <w:r w:rsidR="00906928" w:rsidRPr="0031394A">
        <w:rPr>
          <w:rFonts w:ascii="Times New Roman" w:hAnsi="Times New Roman" w:cs="Times New Roman"/>
          <w:sz w:val="24"/>
          <w:szCs w:val="24"/>
          <w:lang w:val="en-GB"/>
        </w:rPr>
        <w:t>dian</w:t>
      </w:r>
      <w:r w:rsidR="009D3A10" w:rsidRPr="0031394A">
        <w:rPr>
          <w:rFonts w:ascii="Times New Roman" w:hAnsi="Times New Roman" w:cs="Times New Roman"/>
          <w:sz w:val="24"/>
          <w:szCs w:val="24"/>
          <w:lang w:val="en-GB"/>
        </w:rPr>
        <w:t xml:space="preserve"> of the distribution of investment outcomes.</w:t>
      </w:r>
    </w:p>
    <w:p w14:paraId="79D8853B" w14:textId="77777777" w:rsidR="00925C4F" w:rsidRPr="0031394A" w:rsidRDefault="009D3A10"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I</w:t>
      </w:r>
      <w:r w:rsidR="00030109" w:rsidRPr="0031394A">
        <w:rPr>
          <w:rFonts w:ascii="Times New Roman" w:hAnsi="Times New Roman" w:cs="Times New Roman"/>
          <w:sz w:val="24"/>
          <w:szCs w:val="24"/>
          <w:lang w:val="en-GB"/>
        </w:rPr>
        <w:t>t can be seen</w:t>
      </w:r>
      <w:r w:rsidR="00993D39" w:rsidRPr="0031394A">
        <w:rPr>
          <w:rFonts w:ascii="Times New Roman" w:hAnsi="Times New Roman" w:cs="Times New Roman"/>
          <w:sz w:val="24"/>
          <w:szCs w:val="24"/>
          <w:lang w:val="en-GB"/>
        </w:rPr>
        <w:t xml:space="preserve"> that</w:t>
      </w:r>
      <w:r w:rsidR="00041602" w:rsidRPr="0031394A">
        <w:rPr>
          <w:rFonts w:ascii="Times New Roman" w:hAnsi="Times New Roman" w:cs="Times New Roman"/>
          <w:sz w:val="24"/>
          <w:szCs w:val="24"/>
          <w:lang w:val="en-GB"/>
        </w:rPr>
        <w:t>, in order to get a replacement rate of 53%,</w:t>
      </w:r>
      <w:r w:rsidR="00993D39" w:rsidRPr="0031394A">
        <w:rPr>
          <w:rFonts w:ascii="Times New Roman" w:hAnsi="Times New Roman" w:cs="Times New Roman"/>
          <w:sz w:val="24"/>
          <w:szCs w:val="24"/>
          <w:lang w:val="en-GB"/>
        </w:rPr>
        <w:t xml:space="preserve"> the contribution rate and the retirement age need to increase to </w:t>
      </w:r>
      <w:r w:rsidR="00E60C50" w:rsidRPr="0031394A">
        <w:rPr>
          <w:rFonts w:ascii="Times New Roman" w:hAnsi="Times New Roman" w:cs="Times New Roman"/>
          <w:sz w:val="24"/>
          <w:szCs w:val="24"/>
          <w:lang w:val="en-GB"/>
        </w:rPr>
        <w:t>18.39%</w:t>
      </w:r>
      <w:r w:rsidR="00993D39" w:rsidRPr="0031394A">
        <w:rPr>
          <w:rFonts w:ascii="Times New Roman" w:hAnsi="Times New Roman" w:cs="Times New Roman"/>
          <w:sz w:val="24"/>
          <w:szCs w:val="24"/>
          <w:lang w:val="en-GB"/>
        </w:rPr>
        <w:t xml:space="preserve"> and </w:t>
      </w:r>
      <w:r w:rsidR="00E60C50" w:rsidRPr="0031394A">
        <w:rPr>
          <w:rFonts w:ascii="Times New Roman" w:hAnsi="Times New Roman" w:cs="Times New Roman"/>
          <w:sz w:val="24"/>
          <w:szCs w:val="24"/>
          <w:lang w:val="en-GB"/>
        </w:rPr>
        <w:t>71.62</w:t>
      </w:r>
      <w:r w:rsidR="00993D39" w:rsidRPr="0031394A">
        <w:rPr>
          <w:rFonts w:ascii="Times New Roman" w:hAnsi="Times New Roman" w:cs="Times New Roman"/>
          <w:sz w:val="24"/>
          <w:szCs w:val="24"/>
          <w:lang w:val="en-GB"/>
        </w:rPr>
        <w:t xml:space="preserve"> respectively </w:t>
      </w:r>
      <w:r w:rsidR="0083071C" w:rsidRPr="0031394A">
        <w:rPr>
          <w:rFonts w:ascii="Times New Roman" w:hAnsi="Times New Roman" w:cs="Times New Roman"/>
          <w:sz w:val="24"/>
          <w:szCs w:val="24"/>
          <w:lang w:val="en-GB"/>
        </w:rPr>
        <w:t xml:space="preserve">by the end of the time horizon </w:t>
      </w:r>
      <w:r w:rsidR="00993D39" w:rsidRPr="0031394A">
        <w:rPr>
          <w:rFonts w:ascii="Times New Roman" w:hAnsi="Times New Roman" w:cs="Times New Roman"/>
          <w:sz w:val="24"/>
          <w:szCs w:val="24"/>
          <w:lang w:val="en-GB"/>
        </w:rPr>
        <w:t xml:space="preserve">while the indexation of pensions stabilises at 0% at the end of the period of analysis. </w:t>
      </w:r>
      <w:r w:rsidR="007C7BD1" w:rsidRPr="0031394A">
        <w:rPr>
          <w:rFonts w:ascii="Times New Roman" w:hAnsi="Times New Roman" w:cs="Times New Roman"/>
          <w:sz w:val="24"/>
          <w:szCs w:val="24"/>
          <w:lang w:val="en-GB"/>
        </w:rPr>
        <w:t>Although the increase in the age of retirement is smoother during the first 35 years under the 90</w:t>
      </w:r>
      <w:r w:rsidR="007C7BD1" w:rsidRPr="0031394A">
        <w:rPr>
          <w:rFonts w:ascii="Times New Roman" w:hAnsi="Times New Roman" w:cs="Times New Roman"/>
          <w:sz w:val="24"/>
          <w:szCs w:val="24"/>
          <w:vertAlign w:val="superscript"/>
          <w:lang w:val="en-GB"/>
        </w:rPr>
        <w:t>th</w:t>
      </w:r>
      <w:r w:rsidR="007C7BD1" w:rsidRPr="0031394A">
        <w:rPr>
          <w:rFonts w:ascii="Times New Roman" w:hAnsi="Times New Roman" w:cs="Times New Roman"/>
          <w:sz w:val="24"/>
          <w:szCs w:val="24"/>
          <w:lang w:val="en-GB"/>
        </w:rPr>
        <w:t xml:space="preserve"> percentile, we do not </w:t>
      </w:r>
      <w:r w:rsidR="00993D39" w:rsidRPr="0031394A">
        <w:rPr>
          <w:rFonts w:ascii="Times New Roman" w:hAnsi="Times New Roman" w:cs="Times New Roman"/>
          <w:sz w:val="24"/>
          <w:szCs w:val="24"/>
          <w:lang w:val="en-GB"/>
        </w:rPr>
        <w:t>observe significant differences if returns o</w:t>
      </w:r>
      <w:r w:rsidR="00F6035A" w:rsidRPr="0031394A">
        <w:rPr>
          <w:rFonts w:ascii="Times New Roman" w:hAnsi="Times New Roman" w:cs="Times New Roman"/>
          <w:sz w:val="24"/>
          <w:szCs w:val="24"/>
          <w:lang w:val="en-GB"/>
        </w:rPr>
        <w:t>n</w:t>
      </w:r>
      <w:r w:rsidR="00993D39" w:rsidRPr="0031394A">
        <w:rPr>
          <w:rFonts w:ascii="Times New Roman" w:hAnsi="Times New Roman" w:cs="Times New Roman"/>
          <w:sz w:val="24"/>
          <w:szCs w:val="24"/>
          <w:lang w:val="en-GB"/>
        </w:rPr>
        <w:t xml:space="preserve"> the buffer fund do not follow the median. </w:t>
      </w:r>
      <w:r w:rsidR="00925C4F" w:rsidRPr="0031394A">
        <w:rPr>
          <w:rFonts w:ascii="Times New Roman" w:hAnsi="Times New Roman" w:cs="Times New Roman"/>
          <w:sz w:val="24"/>
          <w:szCs w:val="24"/>
          <w:lang w:val="en-GB"/>
        </w:rPr>
        <w:t xml:space="preserve">Also, different </w:t>
      </w:r>
      <w:r w:rsidR="00F6035A" w:rsidRPr="0031394A">
        <w:rPr>
          <w:rFonts w:ascii="Times New Roman" w:hAnsi="Times New Roman" w:cs="Times New Roman"/>
          <w:sz w:val="24"/>
          <w:szCs w:val="24"/>
          <w:lang w:val="en-GB"/>
        </w:rPr>
        <w:t xml:space="preserve">investment </w:t>
      </w:r>
      <w:r w:rsidR="00925C4F" w:rsidRPr="0031394A">
        <w:rPr>
          <w:rFonts w:ascii="Times New Roman" w:hAnsi="Times New Roman" w:cs="Times New Roman"/>
          <w:sz w:val="24"/>
          <w:szCs w:val="24"/>
          <w:lang w:val="en-GB"/>
        </w:rPr>
        <w:t xml:space="preserve">strategies do not provide </w:t>
      </w:r>
      <w:r w:rsidR="00F6035A" w:rsidRPr="0031394A">
        <w:rPr>
          <w:rFonts w:ascii="Times New Roman" w:hAnsi="Times New Roman" w:cs="Times New Roman"/>
          <w:sz w:val="24"/>
          <w:szCs w:val="24"/>
          <w:lang w:val="en-GB"/>
        </w:rPr>
        <w:t xml:space="preserve">significant </w:t>
      </w:r>
      <w:r w:rsidR="00925C4F" w:rsidRPr="0031394A">
        <w:rPr>
          <w:rFonts w:ascii="Times New Roman" w:hAnsi="Times New Roman" w:cs="Times New Roman"/>
          <w:sz w:val="24"/>
          <w:szCs w:val="24"/>
          <w:lang w:val="en-GB"/>
        </w:rPr>
        <w:t>differences in the results.</w:t>
      </w:r>
      <w:r w:rsidR="009C0CA9" w:rsidRPr="0031394A">
        <w:rPr>
          <w:rStyle w:val="FootnoteReference"/>
          <w:rFonts w:ascii="Times New Roman" w:hAnsi="Times New Roman" w:cs="Times New Roman"/>
          <w:sz w:val="24"/>
          <w:szCs w:val="24"/>
          <w:lang w:val="en-GB"/>
        </w:rPr>
        <w:footnoteReference w:id="29"/>
      </w:r>
      <w:r w:rsidR="00925C4F" w:rsidRPr="0031394A">
        <w:rPr>
          <w:rFonts w:ascii="Times New Roman" w:hAnsi="Times New Roman" w:cs="Times New Roman"/>
          <w:sz w:val="24"/>
          <w:szCs w:val="24"/>
          <w:lang w:val="en-GB"/>
        </w:rPr>
        <w:t xml:space="preserve"> This is mainly due to the fact that the amount of a </w:t>
      </w:r>
      <w:r w:rsidR="00925C4F" w:rsidRPr="0031394A">
        <w:rPr>
          <w:rFonts w:ascii="Times New Roman" w:hAnsi="Times New Roman" w:cs="Times New Roman"/>
          <w:sz w:val="24"/>
          <w:szCs w:val="24"/>
          <w:lang w:val="en-GB"/>
        </w:rPr>
        <w:lastRenderedPageBreak/>
        <w:t>buffer fund under a PAYG scheme is very low as there is no accumulation of money and its main objective is to absorb unexpected events that might affect the liquidity of pension systems.</w:t>
      </w:r>
    </w:p>
    <w:p w14:paraId="027C2139" w14:textId="77777777" w:rsidR="009B08F9" w:rsidRPr="0031394A" w:rsidRDefault="005B145B"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It is not surprising that the parametric reforms needed to make the PAYG scheme sustainab</w:t>
      </w:r>
      <w:r w:rsidR="00F6035A" w:rsidRPr="0031394A">
        <w:rPr>
          <w:rFonts w:ascii="Times New Roman" w:hAnsi="Times New Roman" w:cs="Times New Roman"/>
          <w:sz w:val="24"/>
          <w:szCs w:val="24"/>
          <w:lang w:val="en-GB"/>
        </w:rPr>
        <w:t>le</w:t>
      </w:r>
      <w:r w:rsidRPr="0031394A">
        <w:rPr>
          <w:rFonts w:ascii="Times New Roman" w:hAnsi="Times New Roman" w:cs="Times New Roman"/>
          <w:sz w:val="24"/>
          <w:szCs w:val="24"/>
          <w:lang w:val="en-GB"/>
        </w:rPr>
        <w:t xml:space="preserve"> are harder if the replacement rate is 60%</w:t>
      </w:r>
      <w:r w:rsidR="00A90B23" w:rsidRPr="0031394A">
        <w:rPr>
          <w:rFonts w:ascii="Times New Roman" w:hAnsi="Times New Roman" w:cs="Times New Roman"/>
          <w:sz w:val="24"/>
          <w:szCs w:val="24"/>
          <w:lang w:val="en-GB"/>
        </w:rPr>
        <w:t xml:space="preserve">. </w:t>
      </w:r>
      <w:r w:rsidR="00F904B3" w:rsidRPr="0031394A">
        <w:rPr>
          <w:rFonts w:ascii="Times New Roman" w:hAnsi="Times New Roman" w:cs="Times New Roman"/>
          <w:sz w:val="24"/>
          <w:szCs w:val="24"/>
          <w:lang w:val="en-GB"/>
        </w:rPr>
        <w:t xml:space="preserve">In particular, the contribution rate and retirement age stabilise at 20% and </w:t>
      </w:r>
      <w:r w:rsidR="006E2BED" w:rsidRPr="0031394A">
        <w:rPr>
          <w:rFonts w:ascii="Times New Roman" w:hAnsi="Times New Roman" w:cs="Times New Roman"/>
          <w:sz w:val="24"/>
          <w:szCs w:val="24"/>
          <w:lang w:val="en-GB"/>
        </w:rPr>
        <w:t>72</w:t>
      </w:r>
      <w:r w:rsidR="00F904B3" w:rsidRPr="0031394A">
        <w:rPr>
          <w:rFonts w:ascii="Times New Roman" w:hAnsi="Times New Roman" w:cs="Times New Roman"/>
          <w:sz w:val="24"/>
          <w:szCs w:val="24"/>
          <w:lang w:val="en-GB"/>
        </w:rPr>
        <w:t xml:space="preserve"> respectively. At the same time, the indexation of pension stabilizes at 0% at the end of the period of analysis.</w:t>
      </w:r>
      <w:r w:rsidRPr="0031394A">
        <w:rPr>
          <w:rFonts w:ascii="Times New Roman" w:hAnsi="Times New Roman" w:cs="Times New Roman"/>
          <w:sz w:val="24"/>
          <w:szCs w:val="24"/>
          <w:lang w:val="en-GB"/>
        </w:rPr>
        <w:t xml:space="preserve"> </w:t>
      </w:r>
    </w:p>
    <w:p w14:paraId="6F1333B0" w14:textId="77777777" w:rsidR="00041602" w:rsidRPr="0031394A" w:rsidRDefault="00F904B3" w:rsidP="00C825A0">
      <w:pPr>
        <w:spacing w:before="120" w:after="120" w:line="240" w:lineRule="auto"/>
        <w:jc w:val="both"/>
        <w:rPr>
          <w:rFonts w:ascii="Times New Roman" w:hAnsi="Times New Roman" w:cs="Times New Roman"/>
          <w:sz w:val="24"/>
          <w:szCs w:val="24"/>
        </w:rPr>
      </w:pPr>
      <w:r w:rsidRPr="0031394A">
        <w:rPr>
          <w:rFonts w:ascii="Times New Roman" w:hAnsi="Times New Roman" w:cs="Times New Roman"/>
          <w:noProof/>
          <w:sz w:val="24"/>
          <w:szCs w:val="24"/>
          <w:lang w:val="en-GB"/>
        </w:rPr>
        <w:t xml:space="preserve">The trend of the liquidity ratio, </w:t>
      </w:r>
      <w:r w:rsidR="00041602" w:rsidRPr="0031394A">
        <w:rPr>
          <w:rFonts w:ascii="Times New Roman" w:hAnsi="Times New Roman" w:cs="Times New Roman"/>
          <w:noProof/>
          <w:sz w:val="24"/>
          <w:szCs w:val="24"/>
          <w:lang w:val="en-GB"/>
        </w:rPr>
        <w:t xml:space="preserve">Figure </w:t>
      </w:r>
      <w:r w:rsidR="00872A81" w:rsidRPr="0031394A">
        <w:rPr>
          <w:rFonts w:ascii="Times New Roman" w:hAnsi="Times New Roman" w:cs="Times New Roman"/>
          <w:noProof/>
          <w:sz w:val="24"/>
          <w:szCs w:val="24"/>
          <w:lang w:val="en-GB"/>
        </w:rPr>
        <w:t>4</w:t>
      </w:r>
      <w:r w:rsidR="00A530D3" w:rsidRPr="0031394A">
        <w:rPr>
          <w:rFonts w:ascii="Times New Roman" w:hAnsi="Times New Roman" w:cs="Times New Roman"/>
          <w:noProof/>
          <w:sz w:val="24"/>
          <w:szCs w:val="24"/>
          <w:lang w:val="en-GB"/>
        </w:rPr>
        <w:t>(</w:t>
      </w:r>
      <w:r w:rsidR="00F6035A" w:rsidRPr="0031394A">
        <w:rPr>
          <w:rFonts w:ascii="Times New Roman" w:hAnsi="Times New Roman" w:cs="Times New Roman"/>
          <w:noProof/>
          <w:sz w:val="24"/>
          <w:szCs w:val="24"/>
          <w:lang w:val="en-GB"/>
        </w:rPr>
        <w:t>d</w:t>
      </w:r>
      <w:r w:rsidR="00A530D3" w:rsidRPr="0031394A">
        <w:rPr>
          <w:rFonts w:ascii="Times New Roman" w:hAnsi="Times New Roman" w:cs="Times New Roman"/>
          <w:noProof/>
          <w:sz w:val="24"/>
          <w:szCs w:val="24"/>
          <w:lang w:val="en-GB"/>
        </w:rPr>
        <w:t>)</w:t>
      </w:r>
      <w:r w:rsidR="00041602" w:rsidRPr="0031394A">
        <w:rPr>
          <w:rFonts w:ascii="Times New Roman" w:hAnsi="Times New Roman" w:cs="Times New Roman"/>
          <w:noProof/>
          <w:sz w:val="24"/>
          <w:szCs w:val="24"/>
          <w:lang w:val="en-GB"/>
        </w:rPr>
        <w:t>, presents a simila</w:t>
      </w:r>
      <w:r w:rsidR="00F6035A" w:rsidRPr="0031394A">
        <w:rPr>
          <w:rFonts w:ascii="Times New Roman" w:hAnsi="Times New Roman" w:cs="Times New Roman"/>
          <w:noProof/>
          <w:sz w:val="24"/>
          <w:szCs w:val="24"/>
          <w:lang w:val="en-GB"/>
        </w:rPr>
        <w:t>r</w:t>
      </w:r>
      <w:r w:rsidR="00041602" w:rsidRPr="0031394A">
        <w:rPr>
          <w:rFonts w:ascii="Times New Roman" w:hAnsi="Times New Roman" w:cs="Times New Roman"/>
          <w:noProof/>
          <w:sz w:val="24"/>
          <w:szCs w:val="24"/>
          <w:lang w:val="en-GB"/>
        </w:rPr>
        <w:t xml:space="preserve"> pattern for all scenarios studied and it </w:t>
      </w:r>
      <w:r w:rsidR="00680569" w:rsidRPr="0031394A">
        <w:rPr>
          <w:rFonts w:ascii="Times New Roman" w:hAnsi="Times New Roman" w:cs="Times New Roman"/>
          <w:sz w:val="24"/>
          <w:szCs w:val="24"/>
        </w:rPr>
        <w:t>presents an accumulation period for the first 15 years as it anticipates changes in the population structure, i.e. future increases in the age dependency ratio.</w:t>
      </w:r>
    </w:p>
    <w:p w14:paraId="4EB2D8AE" w14:textId="77777777" w:rsidR="00277689" w:rsidRPr="0031394A" w:rsidRDefault="00277689" w:rsidP="00C825A0">
      <w:pPr>
        <w:tabs>
          <w:tab w:val="center" w:pos="4800"/>
          <w:tab w:val="right" w:pos="9500"/>
        </w:tabs>
        <w:spacing w:before="120" w:after="120" w:line="240" w:lineRule="auto"/>
        <w:jc w:val="both"/>
        <w:rPr>
          <w:rFonts w:ascii="Times New Roman" w:hAnsi="Times New Roman" w:cs="Times New Roman"/>
          <w:noProof/>
          <w:sz w:val="24"/>
          <w:szCs w:val="24"/>
          <w:lang w:val="en-GB"/>
        </w:rPr>
      </w:pPr>
      <w:r w:rsidRPr="0031394A">
        <w:rPr>
          <w:rFonts w:ascii="Times New Roman" w:hAnsi="Times New Roman" w:cs="Times New Roman"/>
          <w:noProof/>
          <w:sz w:val="24"/>
          <w:szCs w:val="24"/>
          <w:lang w:val="en-GB"/>
        </w:rPr>
        <w:t xml:space="preserve">The </w:t>
      </w:r>
      <w:r w:rsidR="00F6035A" w:rsidRPr="0031394A">
        <w:rPr>
          <w:rFonts w:ascii="Times New Roman" w:hAnsi="Times New Roman" w:cs="Times New Roman"/>
          <w:noProof/>
          <w:sz w:val="24"/>
          <w:szCs w:val="24"/>
          <w:lang w:val="en-GB"/>
        </w:rPr>
        <w:t xml:space="preserve">balancing </w:t>
      </w:r>
      <w:r w:rsidRPr="0031394A">
        <w:rPr>
          <w:rFonts w:ascii="Times New Roman" w:hAnsi="Times New Roman" w:cs="Times New Roman"/>
          <w:noProof/>
          <w:sz w:val="24"/>
          <w:szCs w:val="24"/>
          <w:lang w:val="en-GB"/>
        </w:rPr>
        <w:t>mechanism could also be designed around having only one modified variable rather than having three variables that are modified simultaneously. In particular, for the replacement rate of 53%</w:t>
      </w:r>
      <w:r w:rsidR="006771B7" w:rsidRPr="0031394A">
        <w:rPr>
          <w:rFonts w:ascii="Times New Roman" w:hAnsi="Times New Roman" w:cs="Times New Roman"/>
          <w:noProof/>
          <w:sz w:val="24"/>
          <w:szCs w:val="24"/>
          <w:lang w:val="en-GB"/>
        </w:rPr>
        <w:t>,</w:t>
      </w:r>
      <w:r w:rsidRPr="0031394A">
        <w:rPr>
          <w:rFonts w:ascii="Times New Roman" w:hAnsi="Times New Roman" w:cs="Times New Roman"/>
          <w:noProof/>
          <w:sz w:val="24"/>
          <w:szCs w:val="24"/>
          <w:lang w:val="en-GB"/>
        </w:rPr>
        <w:t xml:space="preserve"> if the contribution rate </w:t>
      </w:r>
      <w:r w:rsidR="00F6035A" w:rsidRPr="0031394A">
        <w:rPr>
          <w:rFonts w:ascii="Times New Roman" w:hAnsi="Times New Roman" w:cs="Times New Roman"/>
          <w:noProof/>
          <w:sz w:val="24"/>
          <w:szCs w:val="24"/>
          <w:lang w:val="en-GB"/>
        </w:rPr>
        <w:t>were</w:t>
      </w:r>
      <w:r w:rsidRPr="0031394A">
        <w:rPr>
          <w:rFonts w:ascii="Times New Roman" w:hAnsi="Times New Roman" w:cs="Times New Roman"/>
          <w:noProof/>
          <w:sz w:val="24"/>
          <w:szCs w:val="24"/>
          <w:lang w:val="en-GB"/>
        </w:rPr>
        <w:t xml:space="preserve"> the only decision variable, it would need to increase to 39.</w:t>
      </w:r>
      <w:r w:rsidR="009314FD" w:rsidRPr="0031394A">
        <w:rPr>
          <w:rFonts w:ascii="Times New Roman" w:hAnsi="Times New Roman" w:cs="Times New Roman"/>
          <w:noProof/>
          <w:sz w:val="24"/>
          <w:szCs w:val="24"/>
          <w:lang w:val="en-GB"/>
        </w:rPr>
        <w:t>6</w:t>
      </w:r>
      <w:r w:rsidRPr="0031394A">
        <w:rPr>
          <w:rFonts w:ascii="Times New Roman" w:hAnsi="Times New Roman" w:cs="Times New Roman"/>
          <w:noProof/>
          <w:sz w:val="24"/>
          <w:szCs w:val="24"/>
          <w:lang w:val="en-GB"/>
        </w:rPr>
        <w:t xml:space="preserve">7% by 2090, whereas if the age of retirement </w:t>
      </w:r>
      <w:r w:rsidR="00F6035A" w:rsidRPr="0031394A">
        <w:rPr>
          <w:rFonts w:ascii="Times New Roman" w:hAnsi="Times New Roman" w:cs="Times New Roman"/>
          <w:noProof/>
          <w:sz w:val="24"/>
          <w:szCs w:val="24"/>
          <w:lang w:val="en-GB"/>
        </w:rPr>
        <w:t>were</w:t>
      </w:r>
      <w:r w:rsidRPr="0031394A">
        <w:rPr>
          <w:rFonts w:ascii="Times New Roman" w:hAnsi="Times New Roman" w:cs="Times New Roman"/>
          <w:noProof/>
          <w:sz w:val="24"/>
          <w:szCs w:val="24"/>
          <w:lang w:val="en-GB"/>
        </w:rPr>
        <w:t xml:space="preserve"> the only variable</w:t>
      </w:r>
      <w:r w:rsidR="006771B7" w:rsidRPr="0031394A">
        <w:rPr>
          <w:rFonts w:ascii="Times New Roman" w:hAnsi="Times New Roman" w:cs="Times New Roman"/>
          <w:noProof/>
          <w:sz w:val="24"/>
          <w:szCs w:val="24"/>
          <w:lang w:val="en-GB"/>
        </w:rPr>
        <w:t>,</w:t>
      </w:r>
      <w:r w:rsidRPr="0031394A">
        <w:rPr>
          <w:rFonts w:ascii="Times New Roman" w:hAnsi="Times New Roman" w:cs="Times New Roman"/>
          <w:noProof/>
          <w:sz w:val="24"/>
          <w:szCs w:val="24"/>
          <w:lang w:val="en-GB"/>
        </w:rPr>
        <w:t xml:space="preserve"> it would increase to 81.48. If the indexation of pensions </w:t>
      </w:r>
      <w:r w:rsidR="00F6035A" w:rsidRPr="0031394A">
        <w:rPr>
          <w:rFonts w:ascii="Times New Roman" w:hAnsi="Times New Roman" w:cs="Times New Roman"/>
          <w:noProof/>
          <w:sz w:val="24"/>
          <w:szCs w:val="24"/>
          <w:lang w:val="en-GB"/>
        </w:rPr>
        <w:t>were</w:t>
      </w:r>
      <w:r w:rsidRPr="0031394A">
        <w:rPr>
          <w:rFonts w:ascii="Times New Roman" w:hAnsi="Times New Roman" w:cs="Times New Roman"/>
          <w:noProof/>
          <w:sz w:val="24"/>
          <w:szCs w:val="24"/>
          <w:lang w:val="en-GB"/>
        </w:rPr>
        <w:t xml:space="preserve"> set as the only decision variable, the benefits would need to decrease at an annual rate of 5.08%.</w:t>
      </w:r>
    </w:p>
    <w:p w14:paraId="3E2F71CA" w14:textId="77777777" w:rsidR="00BA32FD" w:rsidRPr="0031394A" w:rsidRDefault="0067126A" w:rsidP="00BA32FD">
      <w:pPr>
        <w:pStyle w:val="ListParagraph"/>
        <w:spacing w:after="120"/>
        <w:jc w:val="center"/>
        <w:rPr>
          <w:rFonts w:ascii="Times New Roman" w:hAnsi="Times New Roman" w:cs="Times New Roman"/>
          <w:b/>
          <w:szCs w:val="22"/>
          <w:lang w:val="en-GB"/>
        </w:rPr>
      </w:pPr>
      <w:r w:rsidRPr="0031394A">
        <w:rPr>
          <w:rFonts w:ascii="Times New Roman" w:hAnsi="Times New Roman" w:cs="Times New Roman"/>
          <w:b/>
          <w:szCs w:val="22"/>
          <w:lang w:val="en-GB"/>
        </w:rPr>
        <w:t xml:space="preserve">Figure </w:t>
      </w:r>
      <w:r w:rsidR="00872A81" w:rsidRPr="0031394A">
        <w:rPr>
          <w:rFonts w:ascii="Times New Roman" w:hAnsi="Times New Roman" w:cs="Times New Roman"/>
          <w:b/>
          <w:szCs w:val="22"/>
          <w:lang w:val="en-GB"/>
        </w:rPr>
        <w:t>4</w:t>
      </w:r>
      <w:r w:rsidRPr="0031394A">
        <w:rPr>
          <w:rFonts w:ascii="Times New Roman" w:hAnsi="Times New Roman" w:cs="Times New Roman"/>
          <w:b/>
          <w:szCs w:val="22"/>
          <w:lang w:val="en-GB"/>
        </w:rPr>
        <w:t>: Results of ABM</w:t>
      </w:r>
      <w:r w:rsidR="005F0EDC" w:rsidRPr="0031394A">
        <w:rPr>
          <w:rFonts w:ascii="Times New Roman" w:hAnsi="Times New Roman" w:cs="Times New Roman"/>
          <w:b/>
          <w:szCs w:val="22"/>
          <w:lang w:val="en-GB"/>
        </w:rPr>
        <w:t xml:space="preserve"> for PAYG scheme</w:t>
      </w:r>
      <w:r w:rsidRPr="0031394A">
        <w:rPr>
          <w:rFonts w:ascii="Times New Roman" w:hAnsi="Times New Roman" w:cs="Times New Roman"/>
          <w:b/>
          <w:szCs w:val="22"/>
          <w:lang w:val="en-GB"/>
        </w:rPr>
        <w:t xml:space="preserve"> when the three variables are projected simultaneously with European population structure</w:t>
      </w:r>
      <w:r w:rsidR="00BA32FD" w:rsidRPr="0031394A">
        <w:rPr>
          <w:rFonts w:ascii="Times New Roman" w:hAnsi="Times New Roman" w:cs="Times New Roman"/>
          <w:b/>
          <w:szCs w:val="22"/>
          <w:lang w:val="en-GB"/>
        </w:rPr>
        <w:t>,</w:t>
      </w:r>
      <w:r w:rsidR="00FB787F" w:rsidRPr="0031394A">
        <w:rPr>
          <w:rFonts w:ascii="Times New Roman" w:hAnsi="Times New Roman" w:cs="Times New Roman"/>
          <w:b/>
          <w:szCs w:val="22"/>
          <w:lang w:val="en-GB"/>
        </w:rPr>
        <w:t xml:space="preserve"> 50% invested in equities</w:t>
      </w:r>
      <w:r w:rsidR="00BA32FD" w:rsidRPr="0031394A">
        <w:rPr>
          <w:rFonts w:ascii="Times New Roman" w:hAnsi="Times New Roman" w:cs="Times New Roman"/>
          <w:b/>
          <w:szCs w:val="22"/>
          <w:lang w:val="en-GB"/>
        </w:rPr>
        <w:t xml:space="preserve"> and RR of 53%</w:t>
      </w:r>
    </w:p>
    <w:tbl>
      <w:tblPr>
        <w:tblStyle w:val="TableGrid"/>
        <w:tblW w:w="0" w:type="auto"/>
        <w:tblLook w:val="04A0" w:firstRow="1" w:lastRow="0" w:firstColumn="1" w:lastColumn="0" w:noHBand="0" w:noVBand="1"/>
      </w:tblPr>
      <w:tblGrid>
        <w:gridCol w:w="4237"/>
        <w:gridCol w:w="4237"/>
      </w:tblGrid>
      <w:tr w:rsidR="003345D6" w:rsidRPr="0031394A" w14:paraId="4D307C22" w14:textId="77777777" w:rsidTr="0067126A">
        <w:tc>
          <w:tcPr>
            <w:tcW w:w="4237" w:type="dxa"/>
          </w:tcPr>
          <w:p w14:paraId="3D2D1F69" w14:textId="77777777" w:rsidR="00B86648" w:rsidRPr="0031394A" w:rsidRDefault="002F3128"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017FFFF1" wp14:editId="268A7022">
                  <wp:extent cx="2574000" cy="1810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071ACE7F" w14:textId="77777777" w:rsidR="00B86648" w:rsidRPr="0031394A" w:rsidRDefault="0067126A" w:rsidP="00810784">
            <w:pPr>
              <w:pStyle w:val="ListParagraph"/>
              <w:numPr>
                <w:ilvl w:val="0"/>
                <w:numId w:val="6"/>
              </w:numPr>
              <w:spacing w:after="0"/>
              <w:rPr>
                <w:rFonts w:ascii="Times New Roman" w:hAnsi="Times New Roman" w:cs="Times New Roman"/>
                <w:szCs w:val="22"/>
                <w:lang w:val="en-GB"/>
              </w:rPr>
            </w:pPr>
            <w:r w:rsidRPr="0031394A">
              <w:rPr>
                <w:rFonts w:ascii="Times New Roman" w:hAnsi="Times New Roman" w:cs="Times New Roman"/>
                <w:szCs w:val="22"/>
                <w:lang w:val="en-GB"/>
              </w:rPr>
              <w:t>Contribution rate</w:t>
            </w:r>
          </w:p>
        </w:tc>
        <w:tc>
          <w:tcPr>
            <w:tcW w:w="4237" w:type="dxa"/>
          </w:tcPr>
          <w:p w14:paraId="2A709F53" w14:textId="77777777" w:rsidR="00B86648" w:rsidRPr="0031394A" w:rsidRDefault="002F3128"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27FC88F1" wp14:editId="1E1E5A8F">
                  <wp:extent cx="2574000" cy="1810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3D9D0E0A" w14:textId="77777777" w:rsidR="00B86648" w:rsidRPr="0031394A" w:rsidRDefault="0067126A" w:rsidP="00810784">
            <w:pPr>
              <w:pStyle w:val="ListParagraph"/>
              <w:numPr>
                <w:ilvl w:val="0"/>
                <w:numId w:val="6"/>
              </w:numPr>
              <w:spacing w:after="0"/>
              <w:rPr>
                <w:rFonts w:ascii="Times New Roman" w:hAnsi="Times New Roman" w:cs="Times New Roman"/>
                <w:szCs w:val="22"/>
                <w:lang w:val="en-GB"/>
              </w:rPr>
            </w:pPr>
            <w:r w:rsidRPr="0031394A">
              <w:rPr>
                <w:rFonts w:ascii="Times New Roman" w:hAnsi="Times New Roman" w:cs="Times New Roman"/>
                <w:szCs w:val="22"/>
                <w:lang w:val="en-GB"/>
              </w:rPr>
              <w:t>Retirement age</w:t>
            </w:r>
          </w:p>
        </w:tc>
      </w:tr>
      <w:tr w:rsidR="0067126A" w:rsidRPr="0031394A" w14:paraId="2DD02F37" w14:textId="77777777" w:rsidTr="0067126A">
        <w:tc>
          <w:tcPr>
            <w:tcW w:w="4237" w:type="dxa"/>
          </w:tcPr>
          <w:p w14:paraId="581710C6" w14:textId="77777777" w:rsidR="0067126A" w:rsidRPr="0031394A" w:rsidRDefault="002F3128"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0D84E958" wp14:editId="3EF89871">
                  <wp:extent cx="2574000" cy="1810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07EB4F67" w14:textId="77777777" w:rsidR="0067126A" w:rsidRPr="0031394A" w:rsidRDefault="0067126A" w:rsidP="00810784">
            <w:pPr>
              <w:pStyle w:val="ListParagraph"/>
              <w:numPr>
                <w:ilvl w:val="0"/>
                <w:numId w:val="6"/>
              </w:numPr>
              <w:spacing w:after="0"/>
              <w:rPr>
                <w:rFonts w:ascii="Times New Roman" w:hAnsi="Times New Roman" w:cs="Times New Roman"/>
                <w:szCs w:val="22"/>
                <w:lang w:val="en-GB"/>
              </w:rPr>
            </w:pPr>
            <w:r w:rsidRPr="0031394A">
              <w:rPr>
                <w:rFonts w:ascii="Times New Roman" w:hAnsi="Times New Roman" w:cs="Times New Roman"/>
                <w:szCs w:val="22"/>
                <w:lang w:val="en-GB"/>
              </w:rPr>
              <w:t>Indexation of pensions</w:t>
            </w:r>
          </w:p>
        </w:tc>
        <w:tc>
          <w:tcPr>
            <w:tcW w:w="4237" w:type="dxa"/>
          </w:tcPr>
          <w:p w14:paraId="6951E33B" w14:textId="77777777" w:rsidR="0067126A" w:rsidRPr="0031394A" w:rsidRDefault="00535717"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61FD0379" wp14:editId="427B2800">
                  <wp:extent cx="2574000" cy="1810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05872CD9" w14:textId="77777777" w:rsidR="0067126A" w:rsidRPr="0031394A" w:rsidRDefault="0067126A" w:rsidP="00810784">
            <w:pPr>
              <w:pStyle w:val="ListParagraph"/>
              <w:numPr>
                <w:ilvl w:val="0"/>
                <w:numId w:val="6"/>
              </w:numPr>
              <w:spacing w:after="0"/>
              <w:rPr>
                <w:rFonts w:ascii="Times New Roman" w:hAnsi="Times New Roman" w:cs="Times New Roman"/>
                <w:szCs w:val="22"/>
                <w:lang w:val="en-GB"/>
              </w:rPr>
            </w:pPr>
            <w:r w:rsidRPr="0031394A">
              <w:rPr>
                <w:rFonts w:ascii="Times New Roman" w:hAnsi="Times New Roman" w:cs="Times New Roman"/>
                <w:szCs w:val="22"/>
                <w:lang w:val="en-GB"/>
              </w:rPr>
              <w:t>Liquidity ratio</w:t>
            </w:r>
          </w:p>
        </w:tc>
      </w:tr>
    </w:tbl>
    <w:p w14:paraId="26B0152B" w14:textId="77777777" w:rsidR="00BA32FD" w:rsidRDefault="00F904B3" w:rsidP="00EF431E">
      <w:pPr>
        <w:jc w:val="center"/>
        <w:rPr>
          <w:rFonts w:ascii="Times New Roman" w:hAnsi="Times New Roman" w:cs="Times New Roman"/>
          <w:szCs w:val="22"/>
          <w:lang w:val="en-GB"/>
        </w:rPr>
      </w:pPr>
      <w:r w:rsidRPr="0031394A">
        <w:rPr>
          <w:rFonts w:ascii="Times New Roman" w:hAnsi="Times New Roman" w:cs="Times New Roman"/>
          <w:szCs w:val="22"/>
          <w:lang w:val="en-GB"/>
        </w:rPr>
        <w:t>Own source</w:t>
      </w:r>
    </w:p>
    <w:p w14:paraId="54F3AB5B" w14:textId="77777777" w:rsidR="00E41F55" w:rsidRPr="0031394A" w:rsidRDefault="00F904B3" w:rsidP="00C825A0">
      <w:pPr>
        <w:spacing w:before="120" w:after="120" w:line="240" w:lineRule="auto"/>
        <w:jc w:val="both"/>
        <w:rPr>
          <w:rFonts w:ascii="Times New Roman" w:hAnsi="Times New Roman" w:cs="Times New Roman"/>
          <w:i/>
          <w:sz w:val="24"/>
          <w:szCs w:val="24"/>
          <w:lang w:val="en-GB"/>
        </w:rPr>
      </w:pPr>
      <w:r w:rsidRPr="0031394A">
        <w:rPr>
          <w:rFonts w:ascii="Times New Roman" w:hAnsi="Times New Roman" w:cs="Times New Roman"/>
          <w:i/>
          <w:sz w:val="24"/>
          <w:szCs w:val="24"/>
          <w:lang w:val="en-GB"/>
        </w:rPr>
        <w:lastRenderedPageBreak/>
        <w:t>Results of</w:t>
      </w:r>
      <w:r w:rsidR="001625BC" w:rsidRPr="0031394A">
        <w:rPr>
          <w:rFonts w:ascii="Times New Roman" w:hAnsi="Times New Roman" w:cs="Times New Roman"/>
          <w:i/>
          <w:sz w:val="24"/>
          <w:szCs w:val="24"/>
          <w:lang w:val="en-GB"/>
        </w:rPr>
        <w:t xml:space="preserve"> total</w:t>
      </w:r>
      <w:r w:rsidRPr="0031394A">
        <w:rPr>
          <w:rFonts w:ascii="Times New Roman" w:hAnsi="Times New Roman" w:cs="Times New Roman"/>
          <w:i/>
          <w:sz w:val="24"/>
          <w:szCs w:val="24"/>
          <w:lang w:val="en-GB"/>
        </w:rPr>
        <w:t xml:space="preserve"> replacement rates</w:t>
      </w:r>
      <w:r w:rsidR="00741F4E" w:rsidRPr="0031394A">
        <w:rPr>
          <w:rFonts w:ascii="Times New Roman" w:hAnsi="Times New Roman" w:cs="Times New Roman"/>
          <w:i/>
          <w:sz w:val="24"/>
          <w:szCs w:val="24"/>
          <w:lang w:val="en-GB"/>
        </w:rPr>
        <w:t xml:space="preserve"> </w:t>
      </w:r>
      <w:r w:rsidR="001625BC" w:rsidRPr="0031394A">
        <w:rPr>
          <w:rFonts w:ascii="Times New Roman" w:hAnsi="Times New Roman" w:cs="Times New Roman"/>
          <w:i/>
          <w:sz w:val="24"/>
          <w:szCs w:val="24"/>
          <w:lang w:val="en-GB"/>
        </w:rPr>
        <w:t>for the mixed pension system</w:t>
      </w:r>
    </w:p>
    <w:p w14:paraId="2301971B" w14:textId="77777777" w:rsidR="00FF51CF" w:rsidRPr="0031394A" w:rsidRDefault="00831A35" w:rsidP="00C825A0">
      <w:p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After</w:t>
      </w:r>
      <w:r w:rsidR="00FF51CF" w:rsidRPr="0031394A">
        <w:rPr>
          <w:rFonts w:ascii="Times New Roman" w:hAnsi="Times New Roman" w:cs="Times New Roman"/>
          <w:sz w:val="24"/>
          <w:szCs w:val="24"/>
          <w:lang w:val="en-GB"/>
        </w:rPr>
        <w:t xml:space="preserve"> investing 2% into a DC </w:t>
      </w:r>
      <w:r w:rsidR="00770A7C" w:rsidRPr="0031394A">
        <w:rPr>
          <w:rFonts w:ascii="Times New Roman" w:hAnsi="Times New Roman" w:cs="Times New Roman"/>
          <w:sz w:val="24"/>
          <w:szCs w:val="24"/>
          <w:lang w:val="en-GB"/>
        </w:rPr>
        <w:t xml:space="preserve">pension </w:t>
      </w:r>
      <w:r w:rsidR="00FF51CF" w:rsidRPr="0031394A">
        <w:rPr>
          <w:rFonts w:ascii="Times New Roman" w:hAnsi="Times New Roman" w:cs="Times New Roman"/>
          <w:sz w:val="24"/>
          <w:szCs w:val="24"/>
          <w:lang w:val="en-GB"/>
        </w:rPr>
        <w:t>scheme</w:t>
      </w:r>
      <w:r w:rsidRPr="0031394A">
        <w:rPr>
          <w:rFonts w:ascii="Times New Roman" w:hAnsi="Times New Roman" w:cs="Times New Roman"/>
          <w:sz w:val="24"/>
          <w:szCs w:val="24"/>
          <w:lang w:val="en-GB"/>
        </w:rPr>
        <w:t xml:space="preserve">, Figure </w:t>
      </w:r>
      <w:r w:rsidR="00872A81" w:rsidRPr="0031394A">
        <w:rPr>
          <w:rFonts w:ascii="Times New Roman" w:hAnsi="Times New Roman" w:cs="Times New Roman"/>
          <w:sz w:val="24"/>
          <w:szCs w:val="24"/>
          <w:lang w:val="en-GB"/>
        </w:rPr>
        <w:t>5</w:t>
      </w:r>
      <w:r w:rsidR="00A530D3" w:rsidRPr="0031394A">
        <w:rPr>
          <w:rFonts w:ascii="Times New Roman" w:hAnsi="Times New Roman" w:cs="Times New Roman"/>
          <w:sz w:val="24"/>
          <w:szCs w:val="24"/>
          <w:lang w:val="en-GB"/>
        </w:rPr>
        <w:t>(a)</w:t>
      </w:r>
      <w:r w:rsidR="006771B7" w:rsidRPr="0031394A">
        <w:rPr>
          <w:rFonts w:ascii="Times New Roman" w:hAnsi="Times New Roman" w:cs="Times New Roman"/>
          <w:sz w:val="24"/>
          <w:szCs w:val="24"/>
          <w:lang w:val="en-GB"/>
        </w:rPr>
        <w:t xml:space="preserve"> shows that</w:t>
      </w:r>
      <w:r w:rsidR="00FF51CF" w:rsidRPr="0031394A">
        <w:rPr>
          <w:rFonts w:ascii="Times New Roman" w:hAnsi="Times New Roman" w:cs="Times New Roman"/>
          <w:sz w:val="24"/>
          <w:szCs w:val="24"/>
          <w:lang w:val="en-GB"/>
        </w:rPr>
        <w:t xml:space="preserve"> the</w:t>
      </w:r>
      <w:r w:rsidR="00E3736B" w:rsidRPr="0031394A">
        <w:rPr>
          <w:rFonts w:ascii="Times New Roman" w:hAnsi="Times New Roman" w:cs="Times New Roman"/>
          <w:sz w:val="24"/>
          <w:szCs w:val="24"/>
          <w:lang w:val="en-GB"/>
        </w:rPr>
        <w:t xml:space="preserve"> values of</w:t>
      </w:r>
      <w:r w:rsidR="00FF51CF" w:rsidRPr="0031394A">
        <w:rPr>
          <w:rFonts w:ascii="Times New Roman" w:hAnsi="Times New Roman" w:cs="Times New Roman"/>
          <w:sz w:val="24"/>
          <w:szCs w:val="24"/>
          <w:lang w:val="en-GB"/>
        </w:rPr>
        <w:t xml:space="preserve"> total replacement rate </w:t>
      </w:r>
      <w:r w:rsidR="00BD1BA1" w:rsidRPr="0031394A">
        <w:rPr>
          <w:rFonts w:ascii="Times New Roman" w:hAnsi="Times New Roman" w:cs="Times New Roman"/>
          <w:sz w:val="24"/>
          <w:szCs w:val="24"/>
          <w:lang w:val="en-GB"/>
        </w:rPr>
        <w:t>vary from 56.7% and 58%</w:t>
      </w:r>
      <w:r w:rsidR="00FF51CF" w:rsidRPr="0031394A">
        <w:rPr>
          <w:rFonts w:ascii="Times New Roman" w:hAnsi="Times New Roman" w:cs="Times New Roman"/>
          <w:sz w:val="24"/>
          <w:szCs w:val="24"/>
          <w:lang w:val="en-GB"/>
        </w:rPr>
        <w:t>.</w:t>
      </w:r>
      <w:r w:rsidR="00A530D3" w:rsidRPr="0031394A">
        <w:rPr>
          <w:rFonts w:ascii="Times New Roman" w:hAnsi="Times New Roman" w:cs="Times New Roman"/>
          <w:sz w:val="24"/>
          <w:szCs w:val="24"/>
          <w:lang w:val="en-GB"/>
        </w:rPr>
        <w:t xml:space="preserve"> We observe that the replacement rate increases to 58</w:t>
      </w:r>
      <w:r w:rsidR="00BD1BA1" w:rsidRPr="0031394A">
        <w:rPr>
          <w:rFonts w:ascii="Times New Roman" w:hAnsi="Times New Roman" w:cs="Times New Roman"/>
          <w:sz w:val="24"/>
          <w:szCs w:val="24"/>
          <w:lang w:val="en-GB"/>
        </w:rPr>
        <w:t>.4</w:t>
      </w:r>
      <w:r w:rsidR="00A530D3" w:rsidRPr="0031394A">
        <w:rPr>
          <w:rFonts w:ascii="Times New Roman" w:hAnsi="Times New Roman" w:cs="Times New Roman"/>
          <w:sz w:val="24"/>
          <w:szCs w:val="24"/>
          <w:lang w:val="en-GB"/>
        </w:rPr>
        <w:t xml:space="preserve">% if the investment is only made </w:t>
      </w:r>
      <w:r w:rsidR="00A069DF" w:rsidRPr="0031394A">
        <w:rPr>
          <w:rFonts w:ascii="Times New Roman" w:hAnsi="Times New Roman" w:cs="Times New Roman"/>
          <w:sz w:val="24"/>
          <w:szCs w:val="24"/>
          <w:lang w:val="en-GB"/>
        </w:rPr>
        <w:t>in</w:t>
      </w:r>
      <w:r w:rsidR="00A530D3" w:rsidRPr="0031394A">
        <w:rPr>
          <w:rFonts w:ascii="Times New Roman" w:hAnsi="Times New Roman" w:cs="Times New Roman"/>
          <w:sz w:val="24"/>
          <w:szCs w:val="24"/>
          <w:lang w:val="en-GB"/>
        </w:rPr>
        <w:t xml:space="preserve"> equities. Replacement rates </w:t>
      </w:r>
      <w:r w:rsidR="007E585A" w:rsidRPr="0031394A">
        <w:rPr>
          <w:rFonts w:ascii="Times New Roman" w:hAnsi="Times New Roman" w:cs="Times New Roman"/>
          <w:sz w:val="24"/>
          <w:szCs w:val="24"/>
          <w:lang w:val="en-GB"/>
        </w:rPr>
        <w:t>for th</w:t>
      </w:r>
      <w:r w:rsidR="00BD1BA1" w:rsidRPr="0031394A">
        <w:rPr>
          <w:rFonts w:ascii="Times New Roman" w:hAnsi="Times New Roman" w:cs="Times New Roman"/>
          <w:sz w:val="24"/>
          <w:szCs w:val="24"/>
          <w:lang w:val="en-GB"/>
        </w:rPr>
        <w:t>is</w:t>
      </w:r>
      <w:r w:rsidR="007E585A" w:rsidRPr="0031394A">
        <w:rPr>
          <w:rFonts w:ascii="Times New Roman" w:hAnsi="Times New Roman" w:cs="Times New Roman"/>
          <w:sz w:val="24"/>
          <w:szCs w:val="24"/>
          <w:lang w:val="en-GB"/>
        </w:rPr>
        <w:t xml:space="preserve"> mixed pension system </w:t>
      </w:r>
      <w:r w:rsidR="00A530D3" w:rsidRPr="0031394A">
        <w:rPr>
          <w:rFonts w:ascii="Times New Roman" w:hAnsi="Times New Roman" w:cs="Times New Roman"/>
          <w:sz w:val="24"/>
          <w:szCs w:val="24"/>
          <w:lang w:val="en-GB"/>
        </w:rPr>
        <w:t xml:space="preserve">are lower than </w:t>
      </w:r>
      <w:r w:rsidR="006771B7" w:rsidRPr="0031394A">
        <w:rPr>
          <w:rFonts w:ascii="Times New Roman" w:hAnsi="Times New Roman" w:cs="Times New Roman"/>
          <w:sz w:val="24"/>
          <w:szCs w:val="24"/>
          <w:lang w:val="en-GB"/>
        </w:rPr>
        <w:t xml:space="preserve">for </w:t>
      </w:r>
      <w:r w:rsidR="00A530D3" w:rsidRPr="0031394A">
        <w:rPr>
          <w:rFonts w:ascii="Times New Roman" w:hAnsi="Times New Roman" w:cs="Times New Roman"/>
          <w:sz w:val="24"/>
          <w:szCs w:val="24"/>
          <w:lang w:val="en-GB"/>
        </w:rPr>
        <w:t>a pure DB PAYG system that offer</w:t>
      </w:r>
      <w:r w:rsidR="006771B7" w:rsidRPr="0031394A">
        <w:rPr>
          <w:rFonts w:ascii="Times New Roman" w:hAnsi="Times New Roman" w:cs="Times New Roman"/>
          <w:sz w:val="24"/>
          <w:szCs w:val="24"/>
          <w:lang w:val="en-GB"/>
        </w:rPr>
        <w:t>s</w:t>
      </w:r>
      <w:r w:rsidR="00A530D3" w:rsidRPr="0031394A">
        <w:rPr>
          <w:rFonts w:ascii="Times New Roman" w:hAnsi="Times New Roman" w:cs="Times New Roman"/>
          <w:sz w:val="24"/>
          <w:szCs w:val="24"/>
          <w:lang w:val="en-GB"/>
        </w:rPr>
        <w:t xml:space="preserve"> 60% of final salary</w:t>
      </w:r>
      <w:r w:rsidR="006771B7" w:rsidRPr="0031394A">
        <w:rPr>
          <w:rFonts w:ascii="Times New Roman" w:hAnsi="Times New Roman" w:cs="Times New Roman"/>
          <w:sz w:val="24"/>
          <w:szCs w:val="24"/>
          <w:lang w:val="en-GB"/>
        </w:rPr>
        <w:t>;</w:t>
      </w:r>
      <w:r w:rsidR="00A530D3" w:rsidRPr="0031394A">
        <w:rPr>
          <w:rFonts w:ascii="Times New Roman" w:hAnsi="Times New Roman" w:cs="Times New Roman"/>
          <w:sz w:val="24"/>
          <w:szCs w:val="24"/>
          <w:lang w:val="en-GB"/>
        </w:rPr>
        <w:t xml:space="preserve"> however</w:t>
      </w:r>
      <w:r w:rsidR="006771B7" w:rsidRPr="0031394A">
        <w:rPr>
          <w:rFonts w:ascii="Times New Roman" w:hAnsi="Times New Roman" w:cs="Times New Roman"/>
          <w:sz w:val="24"/>
          <w:szCs w:val="24"/>
          <w:lang w:val="en-GB"/>
        </w:rPr>
        <w:t>,</w:t>
      </w:r>
      <w:r w:rsidR="00A530D3" w:rsidRPr="0031394A">
        <w:rPr>
          <w:rFonts w:ascii="Times New Roman" w:hAnsi="Times New Roman" w:cs="Times New Roman"/>
          <w:sz w:val="24"/>
          <w:szCs w:val="24"/>
          <w:lang w:val="en-GB"/>
        </w:rPr>
        <w:t xml:space="preserve"> adjustments needed for this pure DB scheme are harsher</w:t>
      </w:r>
      <w:r w:rsidR="008222F5" w:rsidRPr="0031394A">
        <w:rPr>
          <w:rFonts w:ascii="Times New Roman" w:hAnsi="Times New Roman" w:cs="Times New Roman"/>
          <w:sz w:val="24"/>
          <w:szCs w:val="24"/>
          <w:lang w:val="en-GB"/>
        </w:rPr>
        <w:t xml:space="preserve">, i.e. </w:t>
      </w:r>
      <w:bookmarkStart w:id="24" w:name="_Hlk3741157"/>
      <w:r w:rsidR="006771B7" w:rsidRPr="0031394A">
        <w:rPr>
          <w:rFonts w:ascii="Times New Roman" w:hAnsi="Times New Roman" w:cs="Times New Roman"/>
          <w:sz w:val="24"/>
          <w:szCs w:val="24"/>
          <w:lang w:val="en-GB"/>
        </w:rPr>
        <w:t>a</w:t>
      </w:r>
      <w:r w:rsidR="008222F5" w:rsidRPr="0031394A">
        <w:rPr>
          <w:rFonts w:ascii="Times New Roman" w:hAnsi="Times New Roman" w:cs="Times New Roman"/>
          <w:sz w:val="24"/>
          <w:szCs w:val="24"/>
          <w:lang w:val="en-GB"/>
        </w:rPr>
        <w:t xml:space="preserve"> retirement age </w:t>
      </w:r>
      <w:r w:rsidR="006771B7" w:rsidRPr="0031394A">
        <w:rPr>
          <w:rFonts w:ascii="Times New Roman" w:hAnsi="Times New Roman" w:cs="Times New Roman"/>
          <w:sz w:val="24"/>
          <w:szCs w:val="24"/>
          <w:lang w:val="en-GB"/>
        </w:rPr>
        <w:t xml:space="preserve">of 72 years </w:t>
      </w:r>
      <w:r w:rsidR="008222F5" w:rsidRPr="0031394A">
        <w:rPr>
          <w:rFonts w:ascii="Times New Roman" w:hAnsi="Times New Roman" w:cs="Times New Roman"/>
          <w:sz w:val="24"/>
          <w:szCs w:val="24"/>
          <w:lang w:val="en-GB"/>
        </w:rPr>
        <w:t xml:space="preserve">and </w:t>
      </w:r>
      <w:r w:rsidR="006771B7" w:rsidRPr="0031394A">
        <w:rPr>
          <w:rFonts w:ascii="Times New Roman" w:hAnsi="Times New Roman" w:cs="Times New Roman"/>
          <w:sz w:val="24"/>
          <w:szCs w:val="24"/>
          <w:lang w:val="en-GB"/>
        </w:rPr>
        <w:t xml:space="preserve">a contribution rate of </w:t>
      </w:r>
      <w:r w:rsidR="008222F5" w:rsidRPr="0031394A">
        <w:rPr>
          <w:rFonts w:ascii="Times New Roman" w:hAnsi="Times New Roman" w:cs="Times New Roman"/>
          <w:sz w:val="24"/>
          <w:szCs w:val="24"/>
          <w:lang w:val="en-GB"/>
        </w:rPr>
        <w:t>20</w:t>
      </w:r>
      <w:r w:rsidR="006771B7" w:rsidRPr="0031394A">
        <w:rPr>
          <w:rFonts w:ascii="Times New Roman" w:hAnsi="Times New Roman" w:cs="Times New Roman"/>
          <w:sz w:val="24"/>
          <w:szCs w:val="24"/>
          <w:lang w:val="en-GB"/>
        </w:rPr>
        <w:t>%</w:t>
      </w:r>
      <w:r w:rsidR="00236E98" w:rsidRPr="0031394A">
        <w:rPr>
          <w:rFonts w:ascii="Times New Roman" w:hAnsi="Times New Roman" w:cs="Times New Roman"/>
          <w:sz w:val="24"/>
          <w:szCs w:val="24"/>
          <w:lang w:val="en-GB"/>
        </w:rPr>
        <w:t xml:space="preserve"> - which correspond to the upper bounds imposed by the non-linear optimisation model</w:t>
      </w:r>
      <w:bookmarkEnd w:id="24"/>
      <w:r w:rsidR="00236E98" w:rsidRPr="0031394A">
        <w:rPr>
          <w:rFonts w:ascii="Times New Roman" w:hAnsi="Times New Roman" w:cs="Times New Roman"/>
          <w:sz w:val="24"/>
          <w:szCs w:val="24"/>
          <w:lang w:val="en-GB"/>
        </w:rPr>
        <w:t xml:space="preserve"> -</w:t>
      </w:r>
      <w:r w:rsidR="006771B7" w:rsidRPr="0031394A">
        <w:rPr>
          <w:rFonts w:ascii="Times New Roman" w:hAnsi="Times New Roman" w:cs="Times New Roman"/>
          <w:sz w:val="24"/>
          <w:szCs w:val="24"/>
          <w:lang w:val="en-GB"/>
        </w:rPr>
        <w:t xml:space="preserve"> </w:t>
      </w:r>
      <w:r w:rsidR="008222F5" w:rsidRPr="0031394A">
        <w:rPr>
          <w:rFonts w:ascii="Times New Roman" w:hAnsi="Times New Roman" w:cs="Times New Roman"/>
          <w:sz w:val="24"/>
          <w:szCs w:val="24"/>
          <w:lang w:val="en-GB"/>
        </w:rPr>
        <w:t>instead of 71.62 and 18.39% when the RR</w:t>
      </w:r>
      <w:r w:rsidR="009D3A10" w:rsidRPr="0031394A">
        <w:rPr>
          <w:rFonts w:ascii="Times New Roman" w:hAnsi="Times New Roman" w:cs="Times New Roman"/>
          <w:sz w:val="24"/>
          <w:szCs w:val="24"/>
          <w:lang w:val="en-GB"/>
        </w:rPr>
        <w:t xml:space="preserve"> promised by the PAYG scheme of the mixed pension system</w:t>
      </w:r>
      <w:r w:rsidR="008222F5" w:rsidRPr="0031394A">
        <w:rPr>
          <w:rFonts w:ascii="Times New Roman" w:hAnsi="Times New Roman" w:cs="Times New Roman"/>
          <w:sz w:val="24"/>
          <w:szCs w:val="24"/>
          <w:lang w:val="en-GB"/>
        </w:rPr>
        <w:t xml:space="preserve"> is equal to 53%.</w:t>
      </w:r>
    </w:p>
    <w:p w14:paraId="0F0EA082" w14:textId="77777777" w:rsidR="008222F5" w:rsidRPr="0031394A" w:rsidRDefault="008222F5" w:rsidP="00C825A0">
      <w:p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Results show a quite high volatility</w:t>
      </w:r>
      <w:r w:rsidR="005F777C" w:rsidRPr="0031394A">
        <w:rPr>
          <w:rFonts w:ascii="Times New Roman" w:hAnsi="Times New Roman" w:cs="Times New Roman"/>
          <w:sz w:val="24"/>
          <w:szCs w:val="24"/>
          <w:lang w:val="en-GB"/>
        </w:rPr>
        <w:t xml:space="preserve"> specially when investment is</w:t>
      </w:r>
      <w:r w:rsidR="00765B0F" w:rsidRPr="0031394A">
        <w:rPr>
          <w:rFonts w:ascii="Times New Roman" w:hAnsi="Times New Roman" w:cs="Times New Roman"/>
          <w:sz w:val="24"/>
          <w:szCs w:val="24"/>
          <w:lang w:val="en-GB"/>
        </w:rPr>
        <w:t xml:space="preserve"> fully made in equities </w:t>
      </w:r>
      <w:r w:rsidRPr="0031394A">
        <w:rPr>
          <w:rFonts w:ascii="Times New Roman" w:hAnsi="Times New Roman" w:cs="Times New Roman"/>
          <w:sz w:val="24"/>
          <w:szCs w:val="24"/>
          <w:lang w:val="en-GB"/>
        </w:rPr>
        <w:t xml:space="preserve">as shown in Figure </w:t>
      </w:r>
      <w:r w:rsidR="00872A81" w:rsidRPr="0031394A">
        <w:rPr>
          <w:rFonts w:ascii="Times New Roman" w:hAnsi="Times New Roman" w:cs="Times New Roman"/>
          <w:sz w:val="24"/>
          <w:szCs w:val="24"/>
          <w:lang w:val="en-GB"/>
        </w:rPr>
        <w:t>5</w:t>
      </w:r>
      <w:r w:rsidR="005F777C" w:rsidRPr="0031394A">
        <w:rPr>
          <w:rFonts w:ascii="Times New Roman" w:hAnsi="Times New Roman" w:cs="Times New Roman"/>
          <w:sz w:val="24"/>
          <w:szCs w:val="24"/>
          <w:lang w:val="en-GB"/>
        </w:rPr>
        <w:t>(d)</w:t>
      </w:r>
      <w:r w:rsidRPr="0031394A">
        <w:rPr>
          <w:rFonts w:ascii="Times New Roman" w:hAnsi="Times New Roman" w:cs="Times New Roman"/>
          <w:sz w:val="24"/>
          <w:szCs w:val="24"/>
          <w:lang w:val="en-GB"/>
        </w:rPr>
        <w:t xml:space="preserve">. In particular, the RR reaches a value of </w:t>
      </w:r>
      <w:r w:rsidR="00765B0F" w:rsidRPr="0031394A">
        <w:rPr>
          <w:rFonts w:ascii="Times New Roman" w:hAnsi="Times New Roman" w:cs="Times New Roman"/>
          <w:sz w:val="24"/>
          <w:szCs w:val="24"/>
          <w:lang w:val="en-GB"/>
        </w:rPr>
        <w:t>60% at the 75</w:t>
      </w:r>
      <w:r w:rsidR="00765B0F" w:rsidRPr="0031394A">
        <w:rPr>
          <w:rFonts w:ascii="Times New Roman" w:hAnsi="Times New Roman" w:cs="Times New Roman"/>
          <w:sz w:val="24"/>
          <w:szCs w:val="24"/>
          <w:vertAlign w:val="superscript"/>
          <w:lang w:val="en-GB"/>
        </w:rPr>
        <w:t>th</w:t>
      </w:r>
      <w:r w:rsidR="00765B0F" w:rsidRPr="0031394A">
        <w:rPr>
          <w:rFonts w:ascii="Times New Roman" w:hAnsi="Times New Roman" w:cs="Times New Roman"/>
          <w:sz w:val="24"/>
          <w:szCs w:val="24"/>
          <w:lang w:val="en-GB"/>
        </w:rPr>
        <w:t xml:space="preserve"> percentile and 62.6% at the </w:t>
      </w:r>
      <w:r w:rsidR="006771B7" w:rsidRPr="0031394A">
        <w:rPr>
          <w:rFonts w:ascii="Times New Roman" w:hAnsi="Times New Roman" w:cs="Times New Roman"/>
          <w:sz w:val="24"/>
          <w:szCs w:val="24"/>
          <w:lang w:val="en-GB"/>
        </w:rPr>
        <w:t>90</w:t>
      </w:r>
      <w:r w:rsidR="006771B7" w:rsidRPr="0031394A">
        <w:rPr>
          <w:rFonts w:ascii="Times New Roman" w:hAnsi="Times New Roman" w:cs="Times New Roman"/>
          <w:sz w:val="24"/>
          <w:szCs w:val="24"/>
          <w:vertAlign w:val="superscript"/>
          <w:lang w:val="en-GB"/>
        </w:rPr>
        <w:t>th</w:t>
      </w:r>
      <w:r w:rsidR="006771B7" w:rsidRPr="0031394A">
        <w:rPr>
          <w:rFonts w:ascii="Times New Roman" w:hAnsi="Times New Roman" w:cs="Times New Roman"/>
          <w:sz w:val="24"/>
          <w:szCs w:val="24"/>
          <w:lang w:val="en-GB"/>
        </w:rPr>
        <w:t xml:space="preserve"> percentile of the simulated distribution</w:t>
      </w:r>
      <w:r w:rsidR="00765B0F" w:rsidRPr="0031394A">
        <w:rPr>
          <w:rFonts w:ascii="Times New Roman" w:hAnsi="Times New Roman" w:cs="Times New Roman"/>
          <w:sz w:val="24"/>
          <w:szCs w:val="24"/>
          <w:lang w:val="en-GB"/>
        </w:rPr>
        <w:t>.</w:t>
      </w:r>
    </w:p>
    <w:p w14:paraId="3F304975" w14:textId="77777777" w:rsidR="00E41F55" w:rsidRPr="0031394A" w:rsidRDefault="00E41F55" w:rsidP="00A530D3">
      <w:pPr>
        <w:spacing w:after="120"/>
        <w:rPr>
          <w:rFonts w:ascii="Times New Roman" w:hAnsi="Times New Roman" w:cs="Times New Roman"/>
          <w:b/>
          <w:szCs w:val="22"/>
          <w:lang w:val="en-GB"/>
        </w:rPr>
      </w:pPr>
    </w:p>
    <w:p w14:paraId="3A7EEA1E" w14:textId="77777777" w:rsidR="008C10FB" w:rsidRPr="0031394A" w:rsidRDefault="008C10FB" w:rsidP="009E274E">
      <w:pPr>
        <w:spacing w:after="120"/>
        <w:jc w:val="center"/>
        <w:rPr>
          <w:rFonts w:ascii="Times New Roman" w:hAnsi="Times New Roman" w:cs="Times New Roman"/>
          <w:b/>
          <w:szCs w:val="22"/>
          <w:lang w:val="en-GB"/>
        </w:rPr>
      </w:pPr>
      <w:r w:rsidRPr="0031394A">
        <w:rPr>
          <w:rFonts w:ascii="Times New Roman" w:hAnsi="Times New Roman" w:cs="Times New Roman"/>
          <w:b/>
          <w:szCs w:val="22"/>
          <w:lang w:val="en-GB"/>
        </w:rPr>
        <w:t xml:space="preserve">Figure </w:t>
      </w:r>
      <w:r w:rsidR="00872A81" w:rsidRPr="0031394A">
        <w:rPr>
          <w:rFonts w:ascii="Times New Roman" w:hAnsi="Times New Roman" w:cs="Times New Roman"/>
          <w:b/>
          <w:szCs w:val="22"/>
          <w:lang w:val="en-GB"/>
        </w:rPr>
        <w:t>5</w:t>
      </w:r>
      <w:r w:rsidR="00041602" w:rsidRPr="0031394A">
        <w:rPr>
          <w:rFonts w:ascii="Times New Roman" w:hAnsi="Times New Roman" w:cs="Times New Roman"/>
          <w:b/>
          <w:szCs w:val="22"/>
          <w:lang w:val="en-GB"/>
        </w:rPr>
        <w:t>:</w:t>
      </w:r>
      <w:r w:rsidRPr="0031394A">
        <w:rPr>
          <w:rFonts w:ascii="Times New Roman" w:hAnsi="Times New Roman" w:cs="Times New Roman"/>
          <w:b/>
          <w:szCs w:val="22"/>
          <w:lang w:val="en-GB"/>
        </w:rPr>
        <w:t xml:space="preserve"> </w:t>
      </w:r>
      <w:r w:rsidR="00F20E7E" w:rsidRPr="0031394A">
        <w:rPr>
          <w:rFonts w:ascii="Times New Roman" w:hAnsi="Times New Roman" w:cs="Times New Roman"/>
          <w:b/>
          <w:szCs w:val="22"/>
          <w:lang w:val="en-GB"/>
        </w:rPr>
        <w:t>Total r</w:t>
      </w:r>
      <w:r w:rsidRPr="0031394A">
        <w:rPr>
          <w:rFonts w:ascii="Times New Roman" w:hAnsi="Times New Roman" w:cs="Times New Roman"/>
          <w:b/>
          <w:szCs w:val="22"/>
          <w:lang w:val="en-GB"/>
        </w:rPr>
        <w:t xml:space="preserve">eplacement rates </w:t>
      </w:r>
      <w:r w:rsidR="001625BC" w:rsidRPr="0031394A">
        <w:rPr>
          <w:rFonts w:ascii="Times New Roman" w:hAnsi="Times New Roman" w:cs="Times New Roman"/>
          <w:b/>
          <w:szCs w:val="22"/>
          <w:lang w:val="en-GB"/>
        </w:rPr>
        <w:t>for the mixed pension system</w:t>
      </w:r>
      <w:r w:rsidR="00BA32FD" w:rsidRPr="0031394A">
        <w:rPr>
          <w:rFonts w:ascii="Times New Roman" w:hAnsi="Times New Roman" w:cs="Times New Roman"/>
          <w:b/>
          <w:szCs w:val="22"/>
          <w:lang w:val="en-GB"/>
        </w:rPr>
        <w:t xml:space="preserve"> </w:t>
      </w:r>
      <w:r w:rsidR="00275155" w:rsidRPr="0031394A">
        <w:rPr>
          <w:rFonts w:ascii="Times New Roman" w:hAnsi="Times New Roman" w:cs="Times New Roman"/>
          <w:b/>
          <w:szCs w:val="22"/>
          <w:lang w:val="en-GB"/>
        </w:rPr>
        <w:t xml:space="preserve">with a 2% allocated to the DC part </w:t>
      </w:r>
      <w:r w:rsidR="00BA32FD" w:rsidRPr="0031394A">
        <w:rPr>
          <w:rFonts w:ascii="Times New Roman" w:hAnsi="Times New Roman" w:cs="Times New Roman"/>
          <w:b/>
          <w:szCs w:val="22"/>
          <w:lang w:val="en-GB"/>
        </w:rPr>
        <w:t>under</w:t>
      </w:r>
      <w:r w:rsidR="001625BC" w:rsidRPr="0031394A">
        <w:rPr>
          <w:rFonts w:ascii="Times New Roman" w:hAnsi="Times New Roman" w:cs="Times New Roman"/>
          <w:b/>
          <w:szCs w:val="22"/>
          <w:lang w:val="en-GB"/>
        </w:rPr>
        <w:t xml:space="preserve"> different </w:t>
      </w:r>
      <w:r w:rsidR="00BA32FD" w:rsidRPr="0031394A">
        <w:rPr>
          <w:rFonts w:ascii="Times New Roman" w:hAnsi="Times New Roman" w:cs="Times New Roman"/>
          <w:b/>
          <w:szCs w:val="22"/>
          <w:lang w:val="en-GB"/>
        </w:rPr>
        <w:t>investment</w:t>
      </w:r>
      <w:r w:rsidR="001625BC" w:rsidRPr="0031394A">
        <w:rPr>
          <w:rFonts w:ascii="Times New Roman" w:hAnsi="Times New Roman" w:cs="Times New Roman"/>
          <w:b/>
          <w:szCs w:val="22"/>
          <w:lang w:val="en-GB"/>
        </w:rPr>
        <w:t xml:space="preserve"> strategies</w:t>
      </w:r>
    </w:p>
    <w:tbl>
      <w:tblPr>
        <w:tblStyle w:val="TableGrid"/>
        <w:tblW w:w="0" w:type="auto"/>
        <w:tblLook w:val="04A0" w:firstRow="1" w:lastRow="0" w:firstColumn="1" w:lastColumn="0" w:noHBand="0" w:noVBand="1"/>
      </w:tblPr>
      <w:tblGrid>
        <w:gridCol w:w="4237"/>
        <w:gridCol w:w="4237"/>
      </w:tblGrid>
      <w:tr w:rsidR="00BD0278" w:rsidRPr="0031394A" w14:paraId="43546D03" w14:textId="77777777" w:rsidTr="000949AD">
        <w:tc>
          <w:tcPr>
            <w:tcW w:w="4237" w:type="dxa"/>
          </w:tcPr>
          <w:p w14:paraId="31E847DB" w14:textId="77777777" w:rsidR="00BD0278" w:rsidRPr="0031394A" w:rsidRDefault="00BD0278" w:rsidP="000949AD">
            <w:pPr>
              <w:rPr>
                <w:rFonts w:ascii="Times New Roman" w:hAnsi="Times New Roman" w:cs="Times New Roman"/>
                <w:noProof/>
                <w:szCs w:val="22"/>
                <w:lang w:val="en-GB"/>
              </w:rPr>
            </w:pPr>
            <w:r w:rsidRPr="0031394A">
              <w:rPr>
                <w:rFonts w:ascii="Times New Roman" w:hAnsi="Times New Roman" w:cs="Times New Roman"/>
                <w:noProof/>
                <w:szCs w:val="22"/>
                <w:lang w:val="en-GB"/>
              </w:rPr>
              <w:drawing>
                <wp:inline distT="0" distB="0" distL="0" distR="0" wp14:anchorId="09BA6930" wp14:editId="4F61FA1A">
                  <wp:extent cx="2610000" cy="18396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0000" cy="1839600"/>
                          </a:xfrm>
                          <a:prstGeom prst="rect">
                            <a:avLst/>
                          </a:prstGeom>
                          <a:noFill/>
                          <a:ln>
                            <a:noFill/>
                          </a:ln>
                        </pic:spPr>
                      </pic:pic>
                    </a:graphicData>
                  </a:graphic>
                </wp:inline>
              </w:drawing>
            </w:r>
          </w:p>
          <w:p w14:paraId="371976EC" w14:textId="77777777" w:rsidR="00BD0278" w:rsidRPr="0031394A" w:rsidRDefault="00BD0278" w:rsidP="000949AD">
            <w:pPr>
              <w:rPr>
                <w:rFonts w:ascii="Times New Roman" w:hAnsi="Times New Roman" w:cs="Times New Roman"/>
                <w:noProof/>
                <w:sz w:val="24"/>
                <w:szCs w:val="24"/>
                <w:lang w:val="en-GB"/>
              </w:rPr>
            </w:pPr>
            <w:r w:rsidRPr="0031394A">
              <w:rPr>
                <w:rFonts w:ascii="Times New Roman" w:hAnsi="Times New Roman" w:cs="Times New Roman"/>
                <w:noProof/>
                <w:szCs w:val="22"/>
                <w:lang w:val="en-GB"/>
              </w:rPr>
              <w:t>a) Different investment allocations</w:t>
            </w:r>
          </w:p>
        </w:tc>
        <w:tc>
          <w:tcPr>
            <w:tcW w:w="4237" w:type="dxa"/>
          </w:tcPr>
          <w:p w14:paraId="66F417D2" w14:textId="77777777" w:rsidR="00BD0278" w:rsidRPr="0031394A" w:rsidRDefault="00995589" w:rsidP="000949AD">
            <w:pPr>
              <w:rPr>
                <w:rFonts w:ascii="Times New Roman" w:hAnsi="Times New Roman" w:cs="Times New Roman"/>
                <w:noProof/>
                <w:sz w:val="24"/>
                <w:szCs w:val="24"/>
                <w:highlight w:val="yellow"/>
                <w:lang w:val="en-GB" w:bidi="ar-SA"/>
              </w:rPr>
            </w:pPr>
            <w:r w:rsidRPr="0031394A">
              <w:rPr>
                <w:rFonts w:ascii="Times New Roman" w:hAnsi="Times New Roman" w:cs="Times New Roman"/>
                <w:noProof/>
                <w:sz w:val="24"/>
                <w:szCs w:val="24"/>
                <w:lang w:val="en-GB" w:bidi="ar-SA"/>
              </w:rPr>
              <w:drawing>
                <wp:inline distT="0" distB="0" distL="0" distR="0" wp14:anchorId="7CC4A2F7" wp14:editId="1EACD0AC">
                  <wp:extent cx="2610000" cy="183960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0000" cy="1839600"/>
                          </a:xfrm>
                          <a:prstGeom prst="rect">
                            <a:avLst/>
                          </a:prstGeom>
                          <a:noFill/>
                          <a:ln>
                            <a:noFill/>
                          </a:ln>
                        </pic:spPr>
                      </pic:pic>
                    </a:graphicData>
                  </a:graphic>
                </wp:inline>
              </w:drawing>
            </w:r>
          </w:p>
          <w:p w14:paraId="3D42B632" w14:textId="77777777" w:rsidR="00BD0278" w:rsidRPr="0031394A" w:rsidRDefault="00BD0278" w:rsidP="000949AD">
            <w:pPr>
              <w:rPr>
                <w:rFonts w:ascii="Times New Roman" w:hAnsi="Times New Roman" w:cs="Times New Roman"/>
                <w:sz w:val="24"/>
                <w:szCs w:val="24"/>
                <w:lang w:val="en-GB"/>
              </w:rPr>
            </w:pPr>
            <w:r w:rsidRPr="0031394A">
              <w:rPr>
                <w:rFonts w:ascii="Times New Roman" w:hAnsi="Times New Roman" w:cs="Times New Roman"/>
                <w:szCs w:val="22"/>
                <w:lang w:val="en-GB"/>
              </w:rPr>
              <w:t>b) Percentiles of the RR distribution with 50% equity</w:t>
            </w:r>
          </w:p>
        </w:tc>
      </w:tr>
      <w:tr w:rsidR="00BD0278" w:rsidRPr="0031394A" w14:paraId="3EF49328" w14:textId="77777777" w:rsidTr="000949AD">
        <w:tc>
          <w:tcPr>
            <w:tcW w:w="4237" w:type="dxa"/>
          </w:tcPr>
          <w:p w14:paraId="18E6E58F" w14:textId="77777777" w:rsidR="00BD0278" w:rsidRPr="0031394A" w:rsidRDefault="00995589" w:rsidP="000949AD">
            <w:pPr>
              <w:rPr>
                <w:rFonts w:ascii="Times New Roman" w:hAnsi="Times New Roman" w:cs="Times New Roman"/>
                <w:noProof/>
                <w:szCs w:val="22"/>
                <w:lang w:val="en-GB"/>
              </w:rPr>
            </w:pPr>
            <w:r w:rsidRPr="0031394A">
              <w:rPr>
                <w:rFonts w:ascii="Times New Roman" w:hAnsi="Times New Roman" w:cs="Times New Roman"/>
                <w:noProof/>
                <w:szCs w:val="22"/>
                <w:lang w:val="en-GB"/>
              </w:rPr>
              <w:drawing>
                <wp:inline distT="0" distB="0" distL="0" distR="0" wp14:anchorId="66CE2289" wp14:editId="0D0FC9A0">
                  <wp:extent cx="2610000" cy="183960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0000" cy="1839600"/>
                          </a:xfrm>
                          <a:prstGeom prst="rect">
                            <a:avLst/>
                          </a:prstGeom>
                          <a:noFill/>
                          <a:ln>
                            <a:noFill/>
                          </a:ln>
                        </pic:spPr>
                      </pic:pic>
                    </a:graphicData>
                  </a:graphic>
                </wp:inline>
              </w:drawing>
            </w:r>
          </w:p>
          <w:p w14:paraId="6D014DC7" w14:textId="77777777" w:rsidR="00BD0278" w:rsidRPr="0031394A" w:rsidRDefault="00BD0278" w:rsidP="000949AD">
            <w:pPr>
              <w:rPr>
                <w:rFonts w:ascii="Times New Roman" w:hAnsi="Times New Roman" w:cs="Times New Roman"/>
                <w:noProof/>
                <w:sz w:val="24"/>
                <w:szCs w:val="24"/>
                <w:lang w:val="en-GB"/>
              </w:rPr>
            </w:pPr>
            <w:r w:rsidRPr="0031394A">
              <w:rPr>
                <w:rFonts w:ascii="Times New Roman" w:hAnsi="Times New Roman" w:cs="Times New Roman"/>
                <w:noProof/>
                <w:szCs w:val="22"/>
                <w:lang w:val="en-GB"/>
              </w:rPr>
              <w:t xml:space="preserve">c) </w:t>
            </w:r>
            <w:r w:rsidRPr="0031394A">
              <w:rPr>
                <w:rFonts w:ascii="Times New Roman" w:hAnsi="Times New Roman" w:cs="Times New Roman"/>
                <w:szCs w:val="22"/>
                <w:lang w:val="en-GB"/>
              </w:rPr>
              <w:t>Percentiles of the RR distribution with 10% equity</w:t>
            </w:r>
          </w:p>
        </w:tc>
        <w:tc>
          <w:tcPr>
            <w:tcW w:w="4237" w:type="dxa"/>
          </w:tcPr>
          <w:p w14:paraId="6611B949" w14:textId="77777777" w:rsidR="00BD0278" w:rsidRPr="0031394A" w:rsidRDefault="00995589" w:rsidP="000949AD">
            <w:pPr>
              <w:rPr>
                <w:rFonts w:ascii="Times New Roman" w:hAnsi="Times New Roman" w:cs="Times New Roman"/>
                <w:noProof/>
                <w:sz w:val="24"/>
                <w:szCs w:val="24"/>
                <w:lang w:val="en-GB" w:bidi="ar-SA"/>
              </w:rPr>
            </w:pPr>
            <w:r w:rsidRPr="0031394A">
              <w:rPr>
                <w:rFonts w:ascii="Times New Roman" w:hAnsi="Times New Roman" w:cs="Times New Roman"/>
                <w:noProof/>
                <w:sz w:val="24"/>
                <w:szCs w:val="24"/>
                <w:lang w:val="en-GB" w:bidi="ar-SA"/>
              </w:rPr>
              <w:drawing>
                <wp:inline distT="0" distB="0" distL="0" distR="0" wp14:anchorId="31B6A929" wp14:editId="47845FE9">
                  <wp:extent cx="2610000" cy="183960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10000" cy="1839600"/>
                          </a:xfrm>
                          <a:prstGeom prst="rect">
                            <a:avLst/>
                          </a:prstGeom>
                          <a:noFill/>
                          <a:ln>
                            <a:noFill/>
                          </a:ln>
                        </pic:spPr>
                      </pic:pic>
                    </a:graphicData>
                  </a:graphic>
                </wp:inline>
              </w:drawing>
            </w:r>
          </w:p>
          <w:p w14:paraId="50FE183C" w14:textId="77777777" w:rsidR="00BD0278" w:rsidRPr="0031394A" w:rsidRDefault="00BD0278" w:rsidP="000949AD">
            <w:pPr>
              <w:rPr>
                <w:rFonts w:ascii="Times New Roman" w:hAnsi="Times New Roman" w:cs="Times New Roman"/>
                <w:sz w:val="24"/>
                <w:szCs w:val="24"/>
                <w:lang w:val="en-GB"/>
              </w:rPr>
            </w:pPr>
            <w:r w:rsidRPr="0031394A">
              <w:rPr>
                <w:rFonts w:ascii="Times New Roman" w:hAnsi="Times New Roman" w:cs="Times New Roman"/>
                <w:szCs w:val="22"/>
                <w:lang w:val="en-GB"/>
              </w:rPr>
              <w:t>d) Percentiles of the RR distribution with 100% equity</w:t>
            </w:r>
          </w:p>
        </w:tc>
      </w:tr>
    </w:tbl>
    <w:p w14:paraId="47BE4BCF" w14:textId="77777777" w:rsidR="008471C3" w:rsidRPr="0031394A" w:rsidRDefault="009E274E" w:rsidP="00EF431E">
      <w:pPr>
        <w:spacing w:after="120"/>
        <w:jc w:val="center"/>
        <w:rPr>
          <w:rFonts w:ascii="Times New Roman" w:hAnsi="Times New Roman" w:cs="Times New Roman"/>
          <w:szCs w:val="22"/>
          <w:lang w:val="en-GB"/>
        </w:rPr>
      </w:pPr>
      <w:r w:rsidRPr="0031394A">
        <w:rPr>
          <w:rFonts w:ascii="Times New Roman" w:hAnsi="Times New Roman" w:cs="Times New Roman"/>
          <w:szCs w:val="22"/>
          <w:lang w:val="en-GB"/>
        </w:rPr>
        <w:t>Own source</w:t>
      </w:r>
    </w:p>
    <w:p w14:paraId="6A6F1BB7" w14:textId="759666B3" w:rsidR="008471C3" w:rsidRDefault="008471C3" w:rsidP="00F20E7E">
      <w:pPr>
        <w:spacing w:after="120"/>
        <w:jc w:val="center"/>
        <w:rPr>
          <w:rFonts w:ascii="Times New Roman" w:hAnsi="Times New Roman" w:cs="Times New Roman"/>
          <w:szCs w:val="22"/>
          <w:lang w:val="en-GB"/>
        </w:rPr>
      </w:pPr>
    </w:p>
    <w:p w14:paraId="25EEDB3D" w14:textId="77777777" w:rsidR="00272B47" w:rsidRPr="0031394A" w:rsidRDefault="00272B47" w:rsidP="00F20E7E">
      <w:pPr>
        <w:spacing w:after="120"/>
        <w:jc w:val="center"/>
        <w:rPr>
          <w:rFonts w:ascii="Times New Roman" w:hAnsi="Times New Roman" w:cs="Times New Roman"/>
          <w:szCs w:val="22"/>
          <w:lang w:val="en-GB"/>
        </w:rPr>
      </w:pPr>
    </w:p>
    <w:p w14:paraId="43871B50" w14:textId="77777777" w:rsidR="00F904B3" w:rsidRPr="0031394A" w:rsidRDefault="00F904B3" w:rsidP="00C825A0">
      <w:pPr>
        <w:spacing w:before="120" w:after="120" w:line="240" w:lineRule="auto"/>
        <w:jc w:val="both"/>
        <w:rPr>
          <w:rFonts w:ascii="Times New Roman" w:hAnsi="Times New Roman" w:cs="Times New Roman"/>
          <w:b/>
          <w:i/>
          <w:sz w:val="24"/>
          <w:szCs w:val="24"/>
          <w:highlight w:val="yellow"/>
          <w:lang w:val="en-GB"/>
        </w:rPr>
      </w:pPr>
      <w:r w:rsidRPr="0031394A">
        <w:rPr>
          <w:rFonts w:ascii="Times New Roman" w:hAnsi="Times New Roman" w:cs="Times New Roman"/>
          <w:b/>
          <w:i/>
          <w:sz w:val="24"/>
          <w:szCs w:val="24"/>
          <w:lang w:val="en-GB"/>
        </w:rPr>
        <w:lastRenderedPageBreak/>
        <w:t>Sensitivity of the results</w:t>
      </w:r>
      <w:r w:rsidR="00741F4E" w:rsidRPr="0031394A">
        <w:rPr>
          <w:rFonts w:ascii="Times New Roman" w:hAnsi="Times New Roman" w:cs="Times New Roman"/>
          <w:b/>
          <w:i/>
          <w:sz w:val="24"/>
          <w:szCs w:val="24"/>
          <w:lang w:val="en-GB"/>
        </w:rPr>
        <w:t xml:space="preserve"> </w:t>
      </w:r>
    </w:p>
    <w:p w14:paraId="312FB21E" w14:textId="36B2BBD1" w:rsidR="00143523" w:rsidRPr="0031394A" w:rsidRDefault="006771B7" w:rsidP="00C825A0">
      <w:p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In t</w:t>
      </w:r>
      <w:r w:rsidR="00436C52" w:rsidRPr="0031394A">
        <w:rPr>
          <w:rFonts w:ascii="Times New Roman" w:hAnsi="Times New Roman" w:cs="Times New Roman"/>
          <w:sz w:val="24"/>
          <w:szCs w:val="24"/>
          <w:lang w:val="en-GB"/>
        </w:rPr>
        <w:t>his subsection</w:t>
      </w:r>
      <w:r w:rsidRPr="0031394A">
        <w:rPr>
          <w:rFonts w:ascii="Times New Roman" w:hAnsi="Times New Roman" w:cs="Times New Roman"/>
          <w:sz w:val="24"/>
          <w:szCs w:val="24"/>
          <w:lang w:val="en-GB"/>
        </w:rPr>
        <w:t>, we discuss</w:t>
      </w:r>
      <w:r w:rsidR="00436C52" w:rsidRPr="0031394A">
        <w:rPr>
          <w:rFonts w:ascii="Times New Roman" w:hAnsi="Times New Roman" w:cs="Times New Roman"/>
          <w:sz w:val="24"/>
          <w:szCs w:val="24"/>
          <w:lang w:val="en-GB"/>
        </w:rPr>
        <w:t xml:space="preserve"> </w:t>
      </w:r>
      <w:r w:rsidR="002D0B5C" w:rsidRPr="0031394A">
        <w:rPr>
          <w:rFonts w:ascii="Times New Roman" w:hAnsi="Times New Roman" w:cs="Times New Roman"/>
          <w:sz w:val="24"/>
          <w:szCs w:val="24"/>
          <w:lang w:val="en-GB"/>
        </w:rPr>
        <w:t>the</w:t>
      </w:r>
      <w:r w:rsidR="008222F5" w:rsidRPr="0031394A">
        <w:rPr>
          <w:rFonts w:ascii="Times New Roman" w:hAnsi="Times New Roman" w:cs="Times New Roman"/>
          <w:sz w:val="24"/>
          <w:szCs w:val="24"/>
          <w:lang w:val="en-GB"/>
        </w:rPr>
        <w:t xml:space="preserve"> adjustments needed for the PAYG part depending on </w:t>
      </w:r>
      <w:r w:rsidR="00925C4F" w:rsidRPr="0031394A">
        <w:rPr>
          <w:rFonts w:ascii="Times New Roman" w:hAnsi="Times New Roman" w:cs="Times New Roman"/>
          <w:sz w:val="24"/>
          <w:szCs w:val="24"/>
          <w:lang w:val="en-GB"/>
        </w:rPr>
        <w:t xml:space="preserve">the percentage allocated to the DC part. Two </w:t>
      </w:r>
      <w:r w:rsidR="002D0B5C" w:rsidRPr="0031394A">
        <w:rPr>
          <w:rFonts w:ascii="Times New Roman" w:hAnsi="Times New Roman" w:cs="Times New Roman"/>
          <w:sz w:val="24"/>
          <w:szCs w:val="24"/>
          <w:lang w:val="en-GB"/>
        </w:rPr>
        <w:t xml:space="preserve">other cases </w:t>
      </w:r>
      <w:r w:rsidR="00272B47" w:rsidRPr="0031394A">
        <w:rPr>
          <w:rFonts w:ascii="Times New Roman" w:hAnsi="Times New Roman" w:cs="Times New Roman"/>
          <w:sz w:val="24"/>
          <w:szCs w:val="24"/>
          <w:lang w:val="en-GB"/>
        </w:rPr>
        <w:t>regarding</w:t>
      </w:r>
      <w:r w:rsidR="002D0B5C" w:rsidRPr="0031394A">
        <w:rPr>
          <w:rFonts w:ascii="Times New Roman" w:hAnsi="Times New Roman" w:cs="Times New Roman"/>
          <w:sz w:val="24"/>
          <w:szCs w:val="24"/>
          <w:lang w:val="en-GB"/>
        </w:rPr>
        <w:t xml:space="preserve"> contributions invested to the DB PAYG and DC funding schemes are studied</w:t>
      </w:r>
      <w:r w:rsidR="00140E76" w:rsidRPr="0031394A">
        <w:rPr>
          <w:rFonts w:ascii="Times New Roman" w:hAnsi="Times New Roman" w:cs="Times New Roman"/>
          <w:sz w:val="24"/>
          <w:szCs w:val="24"/>
          <w:lang w:val="en-GB"/>
        </w:rPr>
        <w:t xml:space="preserve"> where</w:t>
      </w:r>
      <w:r w:rsidR="00143523" w:rsidRPr="0031394A">
        <w:rPr>
          <w:rFonts w:ascii="Times New Roman" w:hAnsi="Times New Roman" w:cs="Times New Roman"/>
          <w:sz w:val="24"/>
          <w:szCs w:val="24"/>
          <w:lang w:val="en-GB"/>
        </w:rPr>
        <w:t xml:space="preserve"> the initial total contribution rate still remains 18.1</w:t>
      </w:r>
      <w:r w:rsidR="00863066" w:rsidRPr="0031394A">
        <w:rPr>
          <w:rFonts w:ascii="Times New Roman" w:hAnsi="Times New Roman" w:cs="Times New Roman"/>
          <w:sz w:val="24"/>
          <w:szCs w:val="24"/>
          <w:lang w:val="en-GB"/>
        </w:rPr>
        <w:t>4</w:t>
      </w:r>
      <w:r w:rsidR="00143523" w:rsidRPr="0031394A">
        <w:rPr>
          <w:rFonts w:ascii="Times New Roman" w:hAnsi="Times New Roman" w:cs="Times New Roman"/>
          <w:sz w:val="24"/>
          <w:szCs w:val="24"/>
          <w:lang w:val="en-GB"/>
        </w:rPr>
        <w:t>%</w:t>
      </w:r>
      <w:r w:rsidR="002D0B5C" w:rsidRPr="0031394A">
        <w:rPr>
          <w:rFonts w:ascii="Times New Roman" w:hAnsi="Times New Roman" w:cs="Times New Roman"/>
          <w:sz w:val="24"/>
          <w:szCs w:val="24"/>
          <w:lang w:val="en-GB"/>
        </w:rPr>
        <w:t xml:space="preserve">. </w:t>
      </w:r>
      <w:r w:rsidR="00143523" w:rsidRPr="0031394A">
        <w:rPr>
          <w:rFonts w:ascii="Times New Roman" w:hAnsi="Times New Roman" w:cs="Times New Roman"/>
          <w:sz w:val="24"/>
          <w:szCs w:val="24"/>
          <w:lang w:val="en-GB"/>
        </w:rPr>
        <w:t>We want to assess whether a combination of DB PAYG and DC funded can provide a total replacement rate of 60%.</w:t>
      </w:r>
    </w:p>
    <w:p w14:paraId="0DD0EB83" w14:textId="77777777" w:rsidR="008222F5" w:rsidRPr="0031394A" w:rsidRDefault="002D0B5C" w:rsidP="00C825A0">
      <w:p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Specifically, we analyse a contribution rate to the DC scheme of 5% </w:t>
      </w:r>
      <w:r w:rsidR="00CA2BAF" w:rsidRPr="0031394A">
        <w:rPr>
          <w:rFonts w:ascii="Times New Roman" w:hAnsi="Times New Roman" w:cs="Times New Roman"/>
          <w:sz w:val="24"/>
          <w:szCs w:val="24"/>
          <w:lang w:val="en-GB"/>
        </w:rPr>
        <w:t>or</w:t>
      </w:r>
      <w:r w:rsidRPr="0031394A">
        <w:rPr>
          <w:rFonts w:ascii="Times New Roman" w:hAnsi="Times New Roman" w:cs="Times New Roman"/>
          <w:sz w:val="24"/>
          <w:szCs w:val="24"/>
          <w:lang w:val="en-GB"/>
        </w:rPr>
        <w:t xml:space="preserve"> 10%</w:t>
      </w:r>
      <w:r w:rsidR="00CA2BAF" w:rsidRPr="0031394A">
        <w:rPr>
          <w:rFonts w:ascii="Times New Roman" w:hAnsi="Times New Roman" w:cs="Times New Roman"/>
          <w:sz w:val="24"/>
          <w:szCs w:val="24"/>
          <w:lang w:val="en-GB"/>
        </w:rPr>
        <w:t xml:space="preserve"> of the individual’s salary</w:t>
      </w:r>
      <w:r w:rsidRPr="0031394A">
        <w:rPr>
          <w:rFonts w:ascii="Times New Roman" w:hAnsi="Times New Roman" w:cs="Times New Roman"/>
          <w:sz w:val="24"/>
          <w:szCs w:val="24"/>
          <w:lang w:val="en-GB"/>
        </w:rPr>
        <w:t>. When the contribution rate is 5%,</w:t>
      </w:r>
      <w:r w:rsidR="00CA2BAF" w:rsidRPr="0031394A">
        <w:rPr>
          <w:rFonts w:ascii="Times New Roman" w:hAnsi="Times New Roman" w:cs="Times New Roman"/>
          <w:sz w:val="24"/>
          <w:szCs w:val="24"/>
          <w:lang w:val="en-GB"/>
        </w:rPr>
        <w:t xml:space="preserve"> we set the initial pension of the </w:t>
      </w:r>
      <w:r w:rsidR="0006607A" w:rsidRPr="0031394A">
        <w:rPr>
          <w:rFonts w:ascii="Times New Roman" w:hAnsi="Times New Roman" w:cs="Times New Roman"/>
          <w:sz w:val="24"/>
          <w:szCs w:val="24"/>
          <w:lang w:val="en-GB"/>
        </w:rPr>
        <w:t>PAYG</w:t>
      </w:r>
      <w:r w:rsidR="00CA2BAF" w:rsidRPr="0031394A">
        <w:rPr>
          <w:rFonts w:ascii="Times New Roman" w:hAnsi="Times New Roman" w:cs="Times New Roman"/>
          <w:sz w:val="24"/>
          <w:szCs w:val="24"/>
          <w:lang w:val="en-GB"/>
        </w:rPr>
        <w:t xml:space="preserve"> scheme at </w:t>
      </w:r>
      <w:r w:rsidRPr="0031394A">
        <w:rPr>
          <w:rFonts w:ascii="Times New Roman" w:hAnsi="Times New Roman" w:cs="Times New Roman"/>
          <w:sz w:val="24"/>
          <w:szCs w:val="24"/>
          <w:lang w:val="en-GB"/>
        </w:rPr>
        <w:t>43%</w:t>
      </w:r>
      <w:r w:rsidR="001B48B6" w:rsidRPr="0031394A">
        <w:rPr>
          <w:rStyle w:val="FootnoteReference"/>
          <w:rFonts w:ascii="Times New Roman" w:hAnsi="Times New Roman" w:cs="Times New Roman"/>
          <w:sz w:val="24"/>
          <w:szCs w:val="24"/>
          <w:lang w:val="en-GB"/>
        </w:rPr>
        <w:footnoteReference w:id="30"/>
      </w:r>
      <w:r w:rsidRPr="0031394A">
        <w:rPr>
          <w:rFonts w:ascii="Times New Roman" w:hAnsi="Times New Roman" w:cs="Times New Roman"/>
          <w:sz w:val="24"/>
          <w:szCs w:val="24"/>
          <w:lang w:val="en-GB"/>
        </w:rPr>
        <w:t xml:space="preserve"> and consequently the </w:t>
      </w:r>
      <w:r w:rsidR="00D61DFB" w:rsidRPr="0031394A">
        <w:rPr>
          <w:rFonts w:ascii="Times New Roman" w:hAnsi="Times New Roman" w:cs="Times New Roman"/>
          <w:sz w:val="24"/>
          <w:szCs w:val="24"/>
          <w:lang w:val="en-GB"/>
        </w:rPr>
        <w:t xml:space="preserve">initial </w:t>
      </w:r>
      <w:r w:rsidRPr="0031394A">
        <w:rPr>
          <w:rFonts w:ascii="Times New Roman" w:hAnsi="Times New Roman" w:cs="Times New Roman"/>
          <w:sz w:val="24"/>
          <w:szCs w:val="24"/>
          <w:lang w:val="en-GB"/>
        </w:rPr>
        <w:t>balanced contribution rate is 16.1</w:t>
      </w:r>
      <w:r w:rsidR="00863066" w:rsidRPr="0031394A">
        <w:rPr>
          <w:rFonts w:ascii="Times New Roman" w:hAnsi="Times New Roman" w:cs="Times New Roman"/>
          <w:sz w:val="24"/>
          <w:szCs w:val="24"/>
          <w:lang w:val="en-GB"/>
        </w:rPr>
        <w:t>4</w:t>
      </w:r>
      <w:r w:rsidRPr="0031394A">
        <w:rPr>
          <w:rFonts w:ascii="Times New Roman" w:hAnsi="Times New Roman" w:cs="Times New Roman"/>
          <w:sz w:val="24"/>
          <w:szCs w:val="24"/>
          <w:lang w:val="en-GB"/>
        </w:rPr>
        <w:t xml:space="preserve">%. </w:t>
      </w:r>
      <w:r w:rsidR="00143523" w:rsidRPr="0031394A">
        <w:rPr>
          <w:rFonts w:ascii="Times New Roman" w:hAnsi="Times New Roman" w:cs="Times New Roman"/>
          <w:sz w:val="24"/>
          <w:szCs w:val="24"/>
          <w:lang w:val="en-GB"/>
        </w:rPr>
        <w:t xml:space="preserve">In this case we assess whether the DC part provides the extra 7% of replacement rate. </w:t>
      </w:r>
      <w:r w:rsidR="00CA2BAF" w:rsidRPr="0031394A">
        <w:rPr>
          <w:rFonts w:ascii="Times New Roman" w:hAnsi="Times New Roman" w:cs="Times New Roman"/>
          <w:sz w:val="24"/>
          <w:szCs w:val="24"/>
          <w:lang w:val="en-GB"/>
        </w:rPr>
        <w:t>Similarly</w:t>
      </w:r>
      <w:r w:rsidRPr="0031394A">
        <w:rPr>
          <w:rFonts w:ascii="Times New Roman" w:hAnsi="Times New Roman" w:cs="Times New Roman"/>
          <w:sz w:val="24"/>
          <w:szCs w:val="24"/>
          <w:lang w:val="en-GB"/>
        </w:rPr>
        <w:t>, if the contribution rate for the DC part is 10%, the replacement rate for the PAYG</w:t>
      </w:r>
      <w:r w:rsidR="00143523" w:rsidRPr="0031394A">
        <w:rPr>
          <w:rFonts w:ascii="Times New Roman" w:hAnsi="Times New Roman" w:cs="Times New Roman"/>
          <w:sz w:val="24"/>
          <w:szCs w:val="24"/>
          <w:lang w:val="en-GB"/>
        </w:rPr>
        <w:t xml:space="preserve">, the target replacement rate for the DC funding and </w:t>
      </w:r>
      <w:r w:rsidRPr="0031394A">
        <w:rPr>
          <w:rFonts w:ascii="Times New Roman" w:hAnsi="Times New Roman" w:cs="Times New Roman"/>
          <w:sz w:val="24"/>
          <w:szCs w:val="24"/>
          <w:lang w:val="en-GB"/>
        </w:rPr>
        <w:t>its balanced contribution rate</w:t>
      </w:r>
      <w:r w:rsidR="00143523"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are 27%</w:t>
      </w:r>
      <w:r w:rsidR="00143523" w:rsidRPr="0031394A">
        <w:rPr>
          <w:rFonts w:ascii="Times New Roman" w:hAnsi="Times New Roman" w:cs="Times New Roman"/>
          <w:sz w:val="24"/>
          <w:szCs w:val="24"/>
          <w:lang w:val="en-GB"/>
        </w:rPr>
        <w:t>, 33%</w:t>
      </w:r>
      <w:r w:rsidRPr="0031394A">
        <w:rPr>
          <w:rFonts w:ascii="Times New Roman" w:hAnsi="Times New Roman" w:cs="Times New Roman"/>
          <w:sz w:val="24"/>
          <w:szCs w:val="24"/>
          <w:lang w:val="en-GB"/>
        </w:rPr>
        <w:t xml:space="preserve"> and 8.1</w:t>
      </w:r>
      <w:r w:rsidR="00863066" w:rsidRPr="0031394A">
        <w:rPr>
          <w:rFonts w:ascii="Times New Roman" w:hAnsi="Times New Roman" w:cs="Times New Roman"/>
          <w:sz w:val="24"/>
          <w:szCs w:val="24"/>
          <w:lang w:val="en-GB"/>
        </w:rPr>
        <w:t>4</w:t>
      </w:r>
      <w:r w:rsidRPr="0031394A">
        <w:rPr>
          <w:rFonts w:ascii="Times New Roman" w:hAnsi="Times New Roman" w:cs="Times New Roman"/>
          <w:sz w:val="24"/>
          <w:szCs w:val="24"/>
          <w:lang w:val="en-GB"/>
        </w:rPr>
        <w:t>% respectively.</w:t>
      </w:r>
      <w:r w:rsidR="00143523" w:rsidRPr="0031394A">
        <w:rPr>
          <w:rFonts w:ascii="Times New Roman" w:hAnsi="Times New Roman" w:cs="Times New Roman"/>
          <w:sz w:val="24"/>
          <w:szCs w:val="24"/>
          <w:lang w:val="en-GB"/>
        </w:rPr>
        <w:t xml:space="preserve"> Table 3 shows the different combinations between the DB PAYG and DC funding that we will analyse in terms of replacement rates.</w:t>
      </w:r>
    </w:p>
    <w:p w14:paraId="22E7C66D" w14:textId="77777777" w:rsidR="00143523" w:rsidRPr="0031394A" w:rsidRDefault="00143523" w:rsidP="007107CB">
      <w:pPr>
        <w:spacing w:after="0"/>
        <w:jc w:val="center"/>
        <w:rPr>
          <w:rFonts w:ascii="Times New Roman" w:hAnsi="Times New Roman" w:cs="Times New Roman"/>
          <w:b/>
          <w:szCs w:val="22"/>
          <w:lang w:val="en-GB"/>
        </w:rPr>
      </w:pPr>
      <w:r w:rsidRPr="0031394A">
        <w:rPr>
          <w:rFonts w:ascii="Times New Roman" w:hAnsi="Times New Roman" w:cs="Times New Roman"/>
          <w:b/>
          <w:szCs w:val="22"/>
          <w:lang w:val="en-GB"/>
        </w:rPr>
        <w:t xml:space="preserve">Table 3: Different </w:t>
      </w:r>
      <w:r w:rsidR="007107CB" w:rsidRPr="0031394A">
        <w:rPr>
          <w:rFonts w:ascii="Times New Roman" w:hAnsi="Times New Roman" w:cs="Times New Roman"/>
          <w:b/>
          <w:szCs w:val="22"/>
          <w:lang w:val="en-GB"/>
        </w:rPr>
        <w:t>combinations of DB PAYG part and DC funding for mixed pension systems.</w:t>
      </w:r>
    </w:p>
    <w:tbl>
      <w:tblPr>
        <w:tblStyle w:val="TableGrid"/>
        <w:tblW w:w="8206" w:type="dxa"/>
        <w:tblInd w:w="-5" w:type="dxa"/>
        <w:tblLook w:val="04A0" w:firstRow="1" w:lastRow="0" w:firstColumn="1" w:lastColumn="0" w:noHBand="0" w:noVBand="1"/>
      </w:tblPr>
      <w:tblGrid>
        <w:gridCol w:w="3953"/>
        <w:gridCol w:w="2268"/>
        <w:gridCol w:w="1985"/>
      </w:tblGrid>
      <w:tr w:rsidR="007107CB" w:rsidRPr="0031394A" w14:paraId="537F44FB" w14:textId="77777777" w:rsidTr="00143523">
        <w:tc>
          <w:tcPr>
            <w:tcW w:w="3953" w:type="dxa"/>
          </w:tcPr>
          <w:p w14:paraId="30B4022A" w14:textId="77777777" w:rsidR="00143523" w:rsidRPr="0031394A" w:rsidRDefault="00143523" w:rsidP="00143523">
            <w:pPr>
              <w:pStyle w:val="Default"/>
              <w:jc w:val="center"/>
              <w:rPr>
                <w:b/>
                <w:color w:val="auto"/>
                <w:sz w:val="22"/>
                <w:szCs w:val="22"/>
              </w:rPr>
            </w:pPr>
            <w:r w:rsidRPr="0031394A">
              <w:rPr>
                <w:b/>
                <w:color w:val="auto"/>
                <w:sz w:val="22"/>
                <w:szCs w:val="22"/>
              </w:rPr>
              <w:t>Mixed pension system</w:t>
            </w:r>
          </w:p>
        </w:tc>
        <w:tc>
          <w:tcPr>
            <w:tcW w:w="2268" w:type="dxa"/>
          </w:tcPr>
          <w:p w14:paraId="04C3D270" w14:textId="77777777" w:rsidR="00143523" w:rsidRPr="0031394A" w:rsidRDefault="00143523" w:rsidP="00143523">
            <w:pPr>
              <w:pStyle w:val="Default"/>
              <w:jc w:val="center"/>
              <w:rPr>
                <w:b/>
                <w:color w:val="auto"/>
                <w:sz w:val="22"/>
                <w:szCs w:val="22"/>
              </w:rPr>
            </w:pPr>
            <w:r w:rsidRPr="0031394A">
              <w:rPr>
                <w:b/>
                <w:color w:val="auto"/>
                <w:sz w:val="22"/>
                <w:szCs w:val="22"/>
              </w:rPr>
              <w:t>RR in the DB scheme</w:t>
            </w:r>
          </w:p>
        </w:tc>
        <w:tc>
          <w:tcPr>
            <w:tcW w:w="1985" w:type="dxa"/>
          </w:tcPr>
          <w:p w14:paraId="676CC99C" w14:textId="77777777" w:rsidR="00143523" w:rsidRPr="0031394A" w:rsidRDefault="00143523" w:rsidP="00143523">
            <w:pPr>
              <w:pStyle w:val="Default"/>
              <w:jc w:val="center"/>
              <w:rPr>
                <w:b/>
                <w:color w:val="auto"/>
                <w:sz w:val="22"/>
                <w:szCs w:val="22"/>
              </w:rPr>
            </w:pPr>
            <w:r w:rsidRPr="0031394A">
              <w:rPr>
                <w:b/>
                <w:color w:val="auto"/>
                <w:sz w:val="22"/>
                <w:szCs w:val="22"/>
              </w:rPr>
              <w:t>Target RR in the DC scheme</w:t>
            </w:r>
          </w:p>
        </w:tc>
      </w:tr>
      <w:tr w:rsidR="007107CB" w:rsidRPr="0031394A" w14:paraId="30010974" w14:textId="77777777" w:rsidTr="00143523">
        <w:tc>
          <w:tcPr>
            <w:tcW w:w="3953" w:type="dxa"/>
          </w:tcPr>
          <w:p w14:paraId="54862CD2" w14:textId="77777777" w:rsidR="00143523" w:rsidRPr="0031394A" w:rsidRDefault="00143523" w:rsidP="00143523">
            <w:pPr>
              <w:pStyle w:val="Default"/>
              <w:jc w:val="center"/>
              <w:rPr>
                <w:color w:val="auto"/>
                <w:sz w:val="22"/>
                <w:szCs w:val="22"/>
              </w:rPr>
            </w:pPr>
            <w:r w:rsidRPr="0031394A">
              <w:rPr>
                <w:color w:val="auto"/>
                <w:sz w:val="22"/>
                <w:szCs w:val="22"/>
              </w:rPr>
              <w:t>16.1</w:t>
            </w:r>
            <w:r w:rsidR="00863066" w:rsidRPr="0031394A">
              <w:rPr>
                <w:color w:val="auto"/>
                <w:sz w:val="22"/>
                <w:szCs w:val="22"/>
              </w:rPr>
              <w:t>4</w:t>
            </w:r>
            <w:r w:rsidRPr="0031394A">
              <w:rPr>
                <w:color w:val="auto"/>
                <w:sz w:val="22"/>
                <w:szCs w:val="22"/>
              </w:rPr>
              <w:t>% DB PAYG and 2% funded DC</w:t>
            </w:r>
          </w:p>
          <w:p w14:paraId="3A7253C0" w14:textId="77777777" w:rsidR="00143523" w:rsidRPr="0031394A" w:rsidRDefault="00143523" w:rsidP="00143523">
            <w:pPr>
              <w:pStyle w:val="Default"/>
              <w:jc w:val="center"/>
              <w:rPr>
                <w:color w:val="auto"/>
                <w:sz w:val="22"/>
                <w:szCs w:val="22"/>
              </w:rPr>
            </w:pPr>
            <w:r w:rsidRPr="0031394A">
              <w:rPr>
                <w:color w:val="auto"/>
                <w:sz w:val="22"/>
                <w:szCs w:val="22"/>
              </w:rPr>
              <w:t>(baseline scenario)</w:t>
            </w:r>
          </w:p>
        </w:tc>
        <w:tc>
          <w:tcPr>
            <w:tcW w:w="2268" w:type="dxa"/>
          </w:tcPr>
          <w:p w14:paraId="4F03AFF6" w14:textId="77777777" w:rsidR="00143523" w:rsidRPr="0031394A" w:rsidRDefault="00143523" w:rsidP="00143523">
            <w:pPr>
              <w:pStyle w:val="Default"/>
              <w:jc w:val="center"/>
              <w:rPr>
                <w:color w:val="auto"/>
                <w:sz w:val="22"/>
                <w:szCs w:val="22"/>
              </w:rPr>
            </w:pPr>
            <w:r w:rsidRPr="0031394A">
              <w:rPr>
                <w:color w:val="auto"/>
                <w:sz w:val="22"/>
                <w:szCs w:val="22"/>
              </w:rPr>
              <w:t>53%</w:t>
            </w:r>
          </w:p>
        </w:tc>
        <w:tc>
          <w:tcPr>
            <w:tcW w:w="1985" w:type="dxa"/>
          </w:tcPr>
          <w:p w14:paraId="5B824795" w14:textId="77777777" w:rsidR="00143523" w:rsidRPr="0031394A" w:rsidRDefault="00143523" w:rsidP="00143523">
            <w:pPr>
              <w:pStyle w:val="Default"/>
              <w:jc w:val="center"/>
              <w:rPr>
                <w:color w:val="auto"/>
                <w:sz w:val="22"/>
                <w:szCs w:val="22"/>
              </w:rPr>
            </w:pPr>
            <w:r w:rsidRPr="0031394A">
              <w:rPr>
                <w:color w:val="auto"/>
                <w:sz w:val="22"/>
                <w:szCs w:val="22"/>
              </w:rPr>
              <w:t>7%</w:t>
            </w:r>
          </w:p>
        </w:tc>
      </w:tr>
      <w:tr w:rsidR="007107CB" w:rsidRPr="0031394A" w14:paraId="42846E59" w14:textId="77777777" w:rsidTr="00143523">
        <w:tc>
          <w:tcPr>
            <w:tcW w:w="3953" w:type="dxa"/>
          </w:tcPr>
          <w:p w14:paraId="32D47751" w14:textId="77777777" w:rsidR="00143523" w:rsidRPr="0031394A" w:rsidRDefault="00143523" w:rsidP="00143523">
            <w:pPr>
              <w:pStyle w:val="Default"/>
              <w:jc w:val="center"/>
              <w:rPr>
                <w:color w:val="auto"/>
                <w:sz w:val="22"/>
                <w:szCs w:val="22"/>
              </w:rPr>
            </w:pPr>
            <w:r w:rsidRPr="0031394A">
              <w:rPr>
                <w:color w:val="auto"/>
                <w:sz w:val="22"/>
                <w:szCs w:val="22"/>
              </w:rPr>
              <w:t>13.1</w:t>
            </w:r>
            <w:r w:rsidR="00863066" w:rsidRPr="0031394A">
              <w:rPr>
                <w:color w:val="auto"/>
                <w:sz w:val="22"/>
                <w:szCs w:val="22"/>
              </w:rPr>
              <w:t>4</w:t>
            </w:r>
            <w:r w:rsidRPr="0031394A">
              <w:rPr>
                <w:color w:val="auto"/>
                <w:sz w:val="22"/>
                <w:szCs w:val="22"/>
              </w:rPr>
              <w:t>% DB PAYG and 5% funded DC</w:t>
            </w:r>
          </w:p>
        </w:tc>
        <w:tc>
          <w:tcPr>
            <w:tcW w:w="2268" w:type="dxa"/>
          </w:tcPr>
          <w:p w14:paraId="1BF21F8A" w14:textId="77777777" w:rsidR="00143523" w:rsidRPr="0031394A" w:rsidRDefault="00143523" w:rsidP="00143523">
            <w:pPr>
              <w:pStyle w:val="Default"/>
              <w:jc w:val="center"/>
              <w:rPr>
                <w:color w:val="auto"/>
                <w:sz w:val="22"/>
                <w:szCs w:val="22"/>
              </w:rPr>
            </w:pPr>
            <w:r w:rsidRPr="0031394A">
              <w:rPr>
                <w:color w:val="auto"/>
                <w:sz w:val="22"/>
                <w:szCs w:val="22"/>
              </w:rPr>
              <w:t>43%</w:t>
            </w:r>
          </w:p>
        </w:tc>
        <w:tc>
          <w:tcPr>
            <w:tcW w:w="1985" w:type="dxa"/>
          </w:tcPr>
          <w:p w14:paraId="32B0C50E" w14:textId="77777777" w:rsidR="00143523" w:rsidRPr="0031394A" w:rsidRDefault="00143523" w:rsidP="00143523">
            <w:pPr>
              <w:pStyle w:val="Default"/>
              <w:jc w:val="center"/>
              <w:rPr>
                <w:color w:val="auto"/>
                <w:sz w:val="22"/>
                <w:szCs w:val="22"/>
              </w:rPr>
            </w:pPr>
            <w:r w:rsidRPr="0031394A">
              <w:rPr>
                <w:color w:val="auto"/>
                <w:sz w:val="22"/>
                <w:szCs w:val="22"/>
              </w:rPr>
              <w:t>17%</w:t>
            </w:r>
          </w:p>
        </w:tc>
      </w:tr>
      <w:tr w:rsidR="007107CB" w:rsidRPr="0031394A" w14:paraId="76C8F3C8" w14:textId="77777777" w:rsidTr="00143523">
        <w:tc>
          <w:tcPr>
            <w:tcW w:w="3953" w:type="dxa"/>
          </w:tcPr>
          <w:p w14:paraId="6D8A1203" w14:textId="77777777" w:rsidR="00143523" w:rsidRPr="0031394A" w:rsidRDefault="00143523" w:rsidP="00143523">
            <w:pPr>
              <w:pStyle w:val="Default"/>
              <w:jc w:val="center"/>
              <w:rPr>
                <w:color w:val="auto"/>
                <w:sz w:val="22"/>
                <w:szCs w:val="22"/>
              </w:rPr>
            </w:pPr>
            <w:r w:rsidRPr="0031394A">
              <w:rPr>
                <w:color w:val="auto"/>
                <w:sz w:val="22"/>
                <w:szCs w:val="22"/>
              </w:rPr>
              <w:t>8.1</w:t>
            </w:r>
            <w:r w:rsidR="00863066" w:rsidRPr="0031394A">
              <w:rPr>
                <w:color w:val="auto"/>
                <w:sz w:val="22"/>
                <w:szCs w:val="22"/>
              </w:rPr>
              <w:t>4</w:t>
            </w:r>
            <w:r w:rsidRPr="0031394A">
              <w:rPr>
                <w:color w:val="auto"/>
                <w:sz w:val="22"/>
                <w:szCs w:val="22"/>
              </w:rPr>
              <w:t>% DB PAYG and 10% funded DC</w:t>
            </w:r>
          </w:p>
        </w:tc>
        <w:tc>
          <w:tcPr>
            <w:tcW w:w="2268" w:type="dxa"/>
          </w:tcPr>
          <w:p w14:paraId="64E1FA71" w14:textId="77777777" w:rsidR="00143523" w:rsidRPr="0031394A" w:rsidRDefault="00143523" w:rsidP="00143523">
            <w:pPr>
              <w:pStyle w:val="Default"/>
              <w:jc w:val="center"/>
              <w:rPr>
                <w:color w:val="auto"/>
                <w:sz w:val="22"/>
                <w:szCs w:val="22"/>
              </w:rPr>
            </w:pPr>
            <w:r w:rsidRPr="0031394A">
              <w:rPr>
                <w:color w:val="auto"/>
                <w:sz w:val="22"/>
                <w:szCs w:val="22"/>
              </w:rPr>
              <w:t>27%</w:t>
            </w:r>
          </w:p>
        </w:tc>
        <w:tc>
          <w:tcPr>
            <w:tcW w:w="1985" w:type="dxa"/>
          </w:tcPr>
          <w:p w14:paraId="4C51BCE8" w14:textId="77777777" w:rsidR="00143523" w:rsidRPr="0031394A" w:rsidRDefault="00143523" w:rsidP="00143523">
            <w:pPr>
              <w:pStyle w:val="Default"/>
              <w:jc w:val="center"/>
              <w:rPr>
                <w:color w:val="auto"/>
                <w:sz w:val="22"/>
                <w:szCs w:val="22"/>
              </w:rPr>
            </w:pPr>
            <w:r w:rsidRPr="0031394A">
              <w:rPr>
                <w:color w:val="auto"/>
                <w:sz w:val="22"/>
                <w:szCs w:val="22"/>
              </w:rPr>
              <w:t>33%</w:t>
            </w:r>
          </w:p>
        </w:tc>
      </w:tr>
      <w:tr w:rsidR="007107CB" w:rsidRPr="0031394A" w14:paraId="7140DB7F" w14:textId="77777777" w:rsidTr="00143523">
        <w:tc>
          <w:tcPr>
            <w:tcW w:w="3953" w:type="dxa"/>
          </w:tcPr>
          <w:p w14:paraId="163D4841" w14:textId="77777777" w:rsidR="00143523" w:rsidRPr="0031394A" w:rsidRDefault="00143523" w:rsidP="00143523">
            <w:pPr>
              <w:pStyle w:val="Default"/>
              <w:jc w:val="center"/>
              <w:rPr>
                <w:color w:val="auto"/>
                <w:sz w:val="22"/>
                <w:szCs w:val="22"/>
              </w:rPr>
            </w:pPr>
            <w:r w:rsidRPr="0031394A">
              <w:rPr>
                <w:color w:val="auto"/>
                <w:sz w:val="22"/>
                <w:szCs w:val="22"/>
              </w:rPr>
              <w:t>18.1</w:t>
            </w:r>
            <w:r w:rsidR="00EF431E">
              <w:rPr>
                <w:color w:val="auto"/>
                <w:sz w:val="22"/>
                <w:szCs w:val="22"/>
              </w:rPr>
              <w:t>4</w:t>
            </w:r>
            <w:r w:rsidRPr="0031394A">
              <w:rPr>
                <w:color w:val="auto"/>
                <w:sz w:val="22"/>
                <w:szCs w:val="22"/>
              </w:rPr>
              <w:t>% DB PAYG</w:t>
            </w:r>
          </w:p>
        </w:tc>
        <w:tc>
          <w:tcPr>
            <w:tcW w:w="2268" w:type="dxa"/>
          </w:tcPr>
          <w:p w14:paraId="48099E2F" w14:textId="77777777" w:rsidR="00143523" w:rsidRPr="0031394A" w:rsidRDefault="00143523" w:rsidP="00143523">
            <w:pPr>
              <w:pStyle w:val="Default"/>
              <w:jc w:val="center"/>
              <w:rPr>
                <w:color w:val="auto"/>
                <w:sz w:val="22"/>
                <w:szCs w:val="22"/>
              </w:rPr>
            </w:pPr>
            <w:r w:rsidRPr="0031394A">
              <w:rPr>
                <w:color w:val="auto"/>
                <w:sz w:val="22"/>
                <w:szCs w:val="22"/>
              </w:rPr>
              <w:t>60%</w:t>
            </w:r>
          </w:p>
        </w:tc>
        <w:tc>
          <w:tcPr>
            <w:tcW w:w="1985" w:type="dxa"/>
          </w:tcPr>
          <w:p w14:paraId="3406503C" w14:textId="77777777" w:rsidR="00143523" w:rsidRPr="0031394A" w:rsidRDefault="00143523" w:rsidP="00143523">
            <w:pPr>
              <w:pStyle w:val="Default"/>
              <w:jc w:val="center"/>
              <w:rPr>
                <w:color w:val="auto"/>
                <w:sz w:val="22"/>
                <w:szCs w:val="22"/>
              </w:rPr>
            </w:pPr>
            <w:r w:rsidRPr="0031394A">
              <w:rPr>
                <w:color w:val="auto"/>
                <w:sz w:val="22"/>
                <w:szCs w:val="22"/>
              </w:rPr>
              <w:t>0%</w:t>
            </w:r>
          </w:p>
        </w:tc>
      </w:tr>
    </w:tbl>
    <w:p w14:paraId="60AFBB7B" w14:textId="77777777" w:rsidR="00272B47" w:rsidRPr="0031394A" w:rsidRDefault="00272B47" w:rsidP="00272B47">
      <w:pPr>
        <w:widowControl w:val="0"/>
        <w:autoSpaceDE w:val="0"/>
        <w:autoSpaceDN w:val="0"/>
        <w:adjustRightInd w:val="0"/>
        <w:spacing w:before="120" w:after="0" w:line="240" w:lineRule="auto"/>
        <w:jc w:val="center"/>
        <w:rPr>
          <w:rFonts w:ascii="Times New Roman" w:hAnsi="Times New Roman" w:cs="Times New Roman"/>
          <w:szCs w:val="22"/>
        </w:rPr>
      </w:pPr>
      <w:r w:rsidRPr="0031394A">
        <w:rPr>
          <w:rFonts w:ascii="Times New Roman" w:hAnsi="Times New Roman" w:cs="Times New Roman"/>
          <w:szCs w:val="22"/>
        </w:rPr>
        <w:t>Own source</w:t>
      </w:r>
    </w:p>
    <w:p w14:paraId="482B0AD9" w14:textId="77777777" w:rsidR="00272B47" w:rsidRDefault="00272B47" w:rsidP="00272B47">
      <w:pPr>
        <w:spacing w:after="0" w:line="240" w:lineRule="auto"/>
        <w:jc w:val="both"/>
        <w:rPr>
          <w:rFonts w:ascii="Times New Roman" w:hAnsi="Times New Roman" w:cs="Times New Roman"/>
          <w:sz w:val="24"/>
          <w:szCs w:val="24"/>
          <w:lang w:val="en-GB"/>
        </w:rPr>
      </w:pPr>
    </w:p>
    <w:p w14:paraId="65DBC091" w14:textId="2AD8AD1F" w:rsidR="005F0EDC" w:rsidRDefault="005E53E5" w:rsidP="00C825A0">
      <w:pPr>
        <w:spacing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Under the replacement rate of 43% for the </w:t>
      </w:r>
      <w:r w:rsidR="0006607A" w:rsidRPr="0031394A">
        <w:rPr>
          <w:rFonts w:ascii="Times New Roman" w:hAnsi="Times New Roman" w:cs="Times New Roman"/>
          <w:sz w:val="24"/>
          <w:szCs w:val="24"/>
          <w:lang w:val="en-GB"/>
        </w:rPr>
        <w:t>PAYG</w:t>
      </w:r>
      <w:r w:rsidRPr="0031394A">
        <w:rPr>
          <w:rFonts w:ascii="Times New Roman" w:hAnsi="Times New Roman" w:cs="Times New Roman"/>
          <w:sz w:val="24"/>
          <w:szCs w:val="24"/>
          <w:lang w:val="en-GB"/>
        </w:rPr>
        <w:t xml:space="preserve"> part, Figure </w:t>
      </w:r>
      <w:r w:rsidR="00872A81" w:rsidRPr="0031394A">
        <w:rPr>
          <w:rFonts w:ascii="Times New Roman" w:hAnsi="Times New Roman" w:cs="Times New Roman"/>
          <w:sz w:val="24"/>
          <w:szCs w:val="24"/>
          <w:lang w:val="en-GB"/>
        </w:rPr>
        <w:t>6</w:t>
      </w:r>
      <w:r w:rsidR="006771B7" w:rsidRPr="0031394A">
        <w:rPr>
          <w:rFonts w:ascii="Times New Roman" w:hAnsi="Times New Roman" w:cs="Times New Roman"/>
          <w:sz w:val="24"/>
          <w:szCs w:val="24"/>
          <w:lang w:val="en-GB"/>
        </w:rPr>
        <w:t xml:space="preserve"> shows that</w:t>
      </w:r>
      <w:r w:rsidRPr="0031394A">
        <w:rPr>
          <w:rFonts w:ascii="Times New Roman" w:hAnsi="Times New Roman" w:cs="Times New Roman"/>
          <w:sz w:val="24"/>
          <w:szCs w:val="24"/>
          <w:lang w:val="en-GB"/>
        </w:rPr>
        <w:t xml:space="preserve"> the contribution rate needs to increase to </w:t>
      </w:r>
      <w:r w:rsidR="009A3D58" w:rsidRPr="0031394A">
        <w:rPr>
          <w:rFonts w:ascii="Times New Roman" w:hAnsi="Times New Roman" w:cs="Times New Roman"/>
          <w:sz w:val="24"/>
          <w:szCs w:val="24"/>
          <w:lang w:val="en-GB"/>
        </w:rPr>
        <w:t>15.37% w</w:t>
      </w:r>
      <w:r w:rsidRPr="0031394A">
        <w:rPr>
          <w:rFonts w:ascii="Times New Roman" w:hAnsi="Times New Roman" w:cs="Times New Roman"/>
          <w:sz w:val="24"/>
          <w:szCs w:val="24"/>
          <w:lang w:val="en-GB"/>
        </w:rPr>
        <w:t xml:space="preserve">hile the retirement age reaches a value of </w:t>
      </w:r>
      <w:r w:rsidR="009A3D58" w:rsidRPr="0031394A">
        <w:rPr>
          <w:rFonts w:ascii="Times New Roman" w:hAnsi="Times New Roman" w:cs="Times New Roman"/>
          <w:sz w:val="24"/>
          <w:szCs w:val="24"/>
          <w:lang w:val="en-GB"/>
        </w:rPr>
        <w:t>71.23</w:t>
      </w:r>
      <w:r w:rsidRPr="0031394A">
        <w:rPr>
          <w:rFonts w:ascii="Times New Roman" w:hAnsi="Times New Roman" w:cs="Times New Roman"/>
          <w:sz w:val="24"/>
          <w:szCs w:val="24"/>
          <w:lang w:val="en-GB"/>
        </w:rPr>
        <w:t xml:space="preserve"> at the end of the time horizon. At the same time, the indexation of pension stabilises at </w:t>
      </w:r>
      <w:r w:rsidR="009A3D58" w:rsidRPr="0031394A">
        <w:rPr>
          <w:rFonts w:ascii="Times New Roman" w:hAnsi="Times New Roman" w:cs="Times New Roman"/>
          <w:sz w:val="24"/>
          <w:szCs w:val="24"/>
          <w:lang w:val="en-GB"/>
        </w:rPr>
        <w:t>an annual rate of 0%</w:t>
      </w:r>
      <w:r w:rsidRPr="0031394A">
        <w:rPr>
          <w:rFonts w:ascii="Times New Roman" w:hAnsi="Times New Roman" w:cs="Times New Roman"/>
          <w:sz w:val="24"/>
          <w:szCs w:val="24"/>
          <w:lang w:val="en-GB"/>
        </w:rPr>
        <w:t xml:space="preserve">. When the replacement rate of the DB part is 27%, Figure </w:t>
      </w:r>
      <w:r w:rsidR="00872A81" w:rsidRPr="0031394A">
        <w:rPr>
          <w:rFonts w:ascii="Times New Roman" w:hAnsi="Times New Roman" w:cs="Times New Roman"/>
          <w:sz w:val="24"/>
          <w:szCs w:val="24"/>
          <w:lang w:val="en-GB"/>
        </w:rPr>
        <w:t>7</w:t>
      </w:r>
      <w:r w:rsidR="006771B7" w:rsidRPr="0031394A">
        <w:rPr>
          <w:rFonts w:ascii="Times New Roman" w:hAnsi="Times New Roman" w:cs="Times New Roman"/>
          <w:sz w:val="24"/>
          <w:szCs w:val="24"/>
          <w:lang w:val="en-GB"/>
        </w:rPr>
        <w:t xml:space="preserve"> shows that the</w:t>
      </w:r>
      <w:r w:rsidRPr="0031394A">
        <w:rPr>
          <w:rFonts w:ascii="Times New Roman" w:hAnsi="Times New Roman" w:cs="Times New Roman"/>
          <w:sz w:val="24"/>
          <w:szCs w:val="24"/>
          <w:lang w:val="en-GB"/>
        </w:rPr>
        <w:t xml:space="preserve"> contribution rate and retirement age need to increase to </w:t>
      </w:r>
      <w:r w:rsidR="009A3D58" w:rsidRPr="0031394A">
        <w:rPr>
          <w:rFonts w:ascii="Times New Roman" w:hAnsi="Times New Roman" w:cs="Times New Roman"/>
          <w:sz w:val="24"/>
          <w:szCs w:val="24"/>
          <w:lang w:val="en-GB"/>
        </w:rPr>
        <w:t>12.01%</w:t>
      </w:r>
      <w:r w:rsidRPr="0031394A">
        <w:rPr>
          <w:rFonts w:ascii="Times New Roman" w:hAnsi="Times New Roman" w:cs="Times New Roman"/>
          <w:sz w:val="24"/>
          <w:szCs w:val="24"/>
          <w:lang w:val="en-GB"/>
        </w:rPr>
        <w:t xml:space="preserve"> and </w:t>
      </w:r>
      <w:r w:rsidR="009A3D58" w:rsidRPr="0031394A">
        <w:rPr>
          <w:rFonts w:ascii="Times New Roman" w:hAnsi="Times New Roman" w:cs="Times New Roman"/>
          <w:sz w:val="24"/>
          <w:szCs w:val="24"/>
          <w:lang w:val="en-GB"/>
        </w:rPr>
        <w:t>70</w:t>
      </w:r>
      <w:r w:rsidRPr="0031394A">
        <w:rPr>
          <w:rFonts w:ascii="Times New Roman" w:hAnsi="Times New Roman" w:cs="Times New Roman"/>
          <w:sz w:val="24"/>
          <w:szCs w:val="24"/>
          <w:lang w:val="en-GB"/>
        </w:rPr>
        <w:t xml:space="preserve"> respectively while the pension</w:t>
      </w:r>
      <w:r w:rsidR="005F0EDC" w:rsidRPr="0031394A">
        <w:rPr>
          <w:rFonts w:ascii="Times New Roman" w:hAnsi="Times New Roman" w:cs="Times New Roman"/>
          <w:sz w:val="24"/>
          <w:szCs w:val="24"/>
          <w:lang w:val="en-GB"/>
        </w:rPr>
        <w:t>s</w:t>
      </w:r>
      <w:r w:rsidRPr="0031394A">
        <w:rPr>
          <w:rFonts w:ascii="Times New Roman" w:hAnsi="Times New Roman" w:cs="Times New Roman"/>
          <w:sz w:val="24"/>
          <w:szCs w:val="24"/>
          <w:lang w:val="en-GB"/>
        </w:rPr>
        <w:t xml:space="preserve"> are revalued at a </w:t>
      </w:r>
      <w:r w:rsidR="009A3D58" w:rsidRPr="0031394A">
        <w:rPr>
          <w:rFonts w:ascii="Times New Roman" w:hAnsi="Times New Roman" w:cs="Times New Roman"/>
          <w:sz w:val="24"/>
          <w:szCs w:val="24"/>
          <w:lang w:val="en-GB"/>
        </w:rPr>
        <w:t>1%</w:t>
      </w:r>
      <w:r w:rsidRPr="0031394A">
        <w:rPr>
          <w:rFonts w:ascii="Times New Roman" w:hAnsi="Times New Roman" w:cs="Times New Roman"/>
          <w:sz w:val="24"/>
          <w:szCs w:val="24"/>
          <w:lang w:val="en-GB"/>
        </w:rPr>
        <w:t xml:space="preserve"> at the end of the period analysed. </w:t>
      </w:r>
      <w:r w:rsidR="00A85B0C" w:rsidRPr="0031394A">
        <w:rPr>
          <w:rFonts w:ascii="Times New Roman" w:hAnsi="Times New Roman" w:cs="Times New Roman"/>
          <w:sz w:val="24"/>
          <w:szCs w:val="24"/>
          <w:lang w:val="en-GB"/>
        </w:rPr>
        <w:t>As in the previous case when the contribution rate is set at 2%, w</w:t>
      </w:r>
      <w:r w:rsidR="005F0EDC" w:rsidRPr="0031394A">
        <w:rPr>
          <w:rFonts w:ascii="Times New Roman" w:hAnsi="Times New Roman" w:cs="Times New Roman"/>
          <w:sz w:val="24"/>
          <w:szCs w:val="24"/>
          <w:lang w:val="en-GB"/>
        </w:rPr>
        <w:t xml:space="preserve">e also do not observe differences when analysing </w:t>
      </w:r>
      <w:r w:rsidR="002F4A5B" w:rsidRPr="0031394A">
        <w:rPr>
          <w:rFonts w:ascii="Times New Roman" w:hAnsi="Times New Roman" w:cs="Times New Roman"/>
          <w:sz w:val="24"/>
          <w:szCs w:val="24"/>
          <w:lang w:val="en-GB"/>
        </w:rPr>
        <w:t xml:space="preserve">different </w:t>
      </w:r>
      <w:r w:rsidR="005F0EDC" w:rsidRPr="0031394A">
        <w:rPr>
          <w:rFonts w:ascii="Times New Roman" w:hAnsi="Times New Roman" w:cs="Times New Roman"/>
          <w:sz w:val="24"/>
          <w:szCs w:val="24"/>
          <w:lang w:val="en-GB"/>
        </w:rPr>
        <w:t>percentile</w:t>
      </w:r>
      <w:r w:rsidR="002F4A5B" w:rsidRPr="0031394A">
        <w:rPr>
          <w:rFonts w:ascii="Times New Roman" w:hAnsi="Times New Roman" w:cs="Times New Roman"/>
          <w:sz w:val="24"/>
          <w:szCs w:val="24"/>
          <w:lang w:val="en-GB"/>
        </w:rPr>
        <w:t xml:space="preserve">s </w:t>
      </w:r>
      <w:r w:rsidR="007E49D4" w:rsidRPr="0031394A">
        <w:rPr>
          <w:rFonts w:ascii="Times New Roman" w:hAnsi="Times New Roman" w:cs="Times New Roman"/>
          <w:sz w:val="24"/>
          <w:szCs w:val="24"/>
          <w:lang w:val="en-GB"/>
        </w:rPr>
        <w:t xml:space="preserve">(relative </w:t>
      </w:r>
      <w:r w:rsidR="002F4A5B" w:rsidRPr="0031394A">
        <w:rPr>
          <w:rFonts w:ascii="Times New Roman" w:hAnsi="Times New Roman" w:cs="Times New Roman"/>
          <w:sz w:val="24"/>
          <w:szCs w:val="24"/>
          <w:lang w:val="en-GB"/>
        </w:rPr>
        <w:t>to the median</w:t>
      </w:r>
      <w:r w:rsidR="007E49D4" w:rsidRPr="0031394A">
        <w:rPr>
          <w:rFonts w:ascii="Times New Roman" w:hAnsi="Times New Roman" w:cs="Times New Roman"/>
          <w:sz w:val="24"/>
          <w:szCs w:val="24"/>
          <w:lang w:val="en-GB"/>
        </w:rPr>
        <w:t>)</w:t>
      </w:r>
      <w:r w:rsidR="005F0EDC" w:rsidRPr="0031394A">
        <w:rPr>
          <w:rFonts w:ascii="Times New Roman" w:hAnsi="Times New Roman" w:cs="Times New Roman"/>
          <w:sz w:val="24"/>
          <w:szCs w:val="24"/>
          <w:lang w:val="en-GB"/>
        </w:rPr>
        <w:t xml:space="preserve"> </w:t>
      </w:r>
      <w:r w:rsidR="007E49D4" w:rsidRPr="0031394A">
        <w:rPr>
          <w:rFonts w:ascii="Times New Roman" w:hAnsi="Times New Roman" w:cs="Times New Roman"/>
          <w:sz w:val="24"/>
          <w:szCs w:val="24"/>
          <w:lang w:val="en-GB"/>
        </w:rPr>
        <w:t xml:space="preserve">under </w:t>
      </w:r>
      <w:r w:rsidR="005F0EDC" w:rsidRPr="0031394A">
        <w:rPr>
          <w:rFonts w:ascii="Times New Roman" w:hAnsi="Times New Roman" w:cs="Times New Roman"/>
          <w:sz w:val="24"/>
          <w:szCs w:val="24"/>
          <w:lang w:val="en-GB"/>
        </w:rPr>
        <w:t xml:space="preserve">either </w:t>
      </w:r>
      <w:r w:rsidR="007E49D4" w:rsidRPr="0031394A">
        <w:rPr>
          <w:rFonts w:ascii="Times New Roman" w:hAnsi="Times New Roman" w:cs="Times New Roman"/>
          <w:sz w:val="24"/>
          <w:szCs w:val="24"/>
          <w:lang w:val="en-GB"/>
        </w:rPr>
        <w:t xml:space="preserve">of the 2 </w:t>
      </w:r>
      <w:r w:rsidR="005F0EDC" w:rsidRPr="0031394A">
        <w:rPr>
          <w:rFonts w:ascii="Times New Roman" w:hAnsi="Times New Roman" w:cs="Times New Roman"/>
          <w:sz w:val="24"/>
          <w:szCs w:val="24"/>
          <w:lang w:val="en-GB"/>
        </w:rPr>
        <w:t xml:space="preserve">different </w:t>
      </w:r>
      <w:r w:rsidR="0006607A" w:rsidRPr="0031394A">
        <w:rPr>
          <w:rFonts w:ascii="Times New Roman" w:hAnsi="Times New Roman" w:cs="Times New Roman"/>
          <w:sz w:val="24"/>
          <w:szCs w:val="24"/>
          <w:lang w:val="en-GB"/>
        </w:rPr>
        <w:t>allocations to the DC part.</w:t>
      </w:r>
    </w:p>
    <w:p w14:paraId="557646B7" w14:textId="3583CD1F" w:rsidR="005A7242" w:rsidRDefault="005A7242" w:rsidP="00C825A0">
      <w:pPr>
        <w:spacing w:line="240" w:lineRule="auto"/>
        <w:jc w:val="both"/>
        <w:rPr>
          <w:rFonts w:ascii="Times New Roman" w:hAnsi="Times New Roman" w:cs="Times New Roman"/>
          <w:sz w:val="24"/>
          <w:szCs w:val="24"/>
          <w:lang w:val="en-GB"/>
        </w:rPr>
      </w:pPr>
    </w:p>
    <w:p w14:paraId="1C60F4A8" w14:textId="4E969511" w:rsidR="005A7242" w:rsidRDefault="005A7242" w:rsidP="00C825A0">
      <w:pPr>
        <w:spacing w:line="240" w:lineRule="auto"/>
        <w:jc w:val="both"/>
        <w:rPr>
          <w:rFonts w:ascii="Times New Roman" w:hAnsi="Times New Roman" w:cs="Times New Roman"/>
          <w:sz w:val="24"/>
          <w:szCs w:val="24"/>
          <w:lang w:val="en-GB"/>
        </w:rPr>
      </w:pPr>
    </w:p>
    <w:p w14:paraId="01E18452" w14:textId="439DFAC8" w:rsidR="005A7242" w:rsidRDefault="005A7242" w:rsidP="00C825A0">
      <w:pPr>
        <w:spacing w:line="240" w:lineRule="auto"/>
        <w:jc w:val="both"/>
        <w:rPr>
          <w:rFonts w:ascii="Times New Roman" w:hAnsi="Times New Roman" w:cs="Times New Roman"/>
          <w:sz w:val="24"/>
          <w:szCs w:val="24"/>
          <w:lang w:val="en-GB"/>
        </w:rPr>
      </w:pPr>
    </w:p>
    <w:p w14:paraId="1EAA9EF5" w14:textId="77777777" w:rsidR="005A7242" w:rsidRPr="0031394A" w:rsidRDefault="005A7242" w:rsidP="00C825A0">
      <w:pPr>
        <w:spacing w:line="240" w:lineRule="auto"/>
        <w:jc w:val="both"/>
        <w:rPr>
          <w:rFonts w:ascii="Times New Roman" w:hAnsi="Times New Roman" w:cs="Times New Roman"/>
          <w:sz w:val="24"/>
          <w:szCs w:val="24"/>
          <w:lang w:val="en-GB"/>
        </w:rPr>
      </w:pPr>
    </w:p>
    <w:p w14:paraId="3A7758F0" w14:textId="77777777" w:rsidR="001B48B6" w:rsidRPr="0031394A" w:rsidRDefault="008B19B5" w:rsidP="001B48B6">
      <w:pPr>
        <w:pStyle w:val="ListParagraph"/>
        <w:spacing w:after="120"/>
        <w:ind w:left="0"/>
        <w:jc w:val="center"/>
        <w:rPr>
          <w:rFonts w:ascii="Times New Roman" w:hAnsi="Times New Roman" w:cs="Times New Roman"/>
          <w:b/>
          <w:szCs w:val="22"/>
          <w:lang w:val="en-GB"/>
        </w:rPr>
      </w:pPr>
      <w:r w:rsidRPr="0031394A">
        <w:rPr>
          <w:rFonts w:ascii="Times New Roman" w:hAnsi="Times New Roman" w:cs="Times New Roman"/>
          <w:b/>
          <w:szCs w:val="22"/>
          <w:lang w:val="en-GB"/>
        </w:rPr>
        <w:lastRenderedPageBreak/>
        <w:t xml:space="preserve">Figure </w:t>
      </w:r>
      <w:r w:rsidR="00872A81" w:rsidRPr="0031394A">
        <w:rPr>
          <w:rFonts w:ascii="Times New Roman" w:hAnsi="Times New Roman" w:cs="Times New Roman"/>
          <w:b/>
          <w:szCs w:val="22"/>
          <w:lang w:val="en-GB"/>
        </w:rPr>
        <w:t>6</w:t>
      </w:r>
      <w:r w:rsidRPr="0031394A">
        <w:rPr>
          <w:rFonts w:ascii="Times New Roman" w:hAnsi="Times New Roman" w:cs="Times New Roman"/>
          <w:b/>
          <w:szCs w:val="22"/>
          <w:lang w:val="en-GB"/>
        </w:rPr>
        <w:t xml:space="preserve">: Results of ABM </w:t>
      </w:r>
      <w:r w:rsidR="005F0EDC" w:rsidRPr="0031394A">
        <w:rPr>
          <w:rFonts w:ascii="Times New Roman" w:hAnsi="Times New Roman" w:cs="Times New Roman"/>
          <w:b/>
          <w:szCs w:val="22"/>
          <w:lang w:val="en-GB"/>
        </w:rPr>
        <w:t xml:space="preserve">for PAYG scheme </w:t>
      </w:r>
      <w:r w:rsidRPr="0031394A">
        <w:rPr>
          <w:rFonts w:ascii="Times New Roman" w:hAnsi="Times New Roman" w:cs="Times New Roman"/>
          <w:b/>
          <w:szCs w:val="22"/>
          <w:lang w:val="en-GB"/>
        </w:rPr>
        <w:t>when the three variables are projected simultaneously with European population structure</w:t>
      </w:r>
      <w:r w:rsidR="001B48B6" w:rsidRPr="0031394A">
        <w:rPr>
          <w:rFonts w:ascii="Times New Roman" w:hAnsi="Times New Roman" w:cs="Times New Roman"/>
          <w:b/>
          <w:szCs w:val="22"/>
          <w:lang w:val="en-GB"/>
        </w:rPr>
        <w:t>, 50% invested in equities</w:t>
      </w:r>
      <w:r w:rsidRPr="0031394A">
        <w:rPr>
          <w:rFonts w:ascii="Times New Roman" w:hAnsi="Times New Roman" w:cs="Times New Roman"/>
          <w:b/>
          <w:szCs w:val="22"/>
          <w:lang w:val="en-GB"/>
        </w:rPr>
        <w:t xml:space="preserve"> and RR of 43%</w:t>
      </w:r>
    </w:p>
    <w:tbl>
      <w:tblPr>
        <w:tblStyle w:val="TableGrid"/>
        <w:tblW w:w="0" w:type="auto"/>
        <w:tblLook w:val="04A0" w:firstRow="1" w:lastRow="0" w:firstColumn="1" w:lastColumn="0" w:noHBand="0" w:noVBand="1"/>
      </w:tblPr>
      <w:tblGrid>
        <w:gridCol w:w="4237"/>
        <w:gridCol w:w="4237"/>
      </w:tblGrid>
      <w:tr w:rsidR="008B19B5" w:rsidRPr="0031394A" w14:paraId="452F8EB0" w14:textId="77777777" w:rsidTr="004F637F">
        <w:tc>
          <w:tcPr>
            <w:tcW w:w="4237" w:type="dxa"/>
          </w:tcPr>
          <w:p w14:paraId="0F9BB5FF" w14:textId="77777777" w:rsidR="008B19B5" w:rsidRPr="0031394A" w:rsidRDefault="00704553"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3C605B91" wp14:editId="57A58F0F">
                  <wp:extent cx="2574000" cy="1810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63A1C410" w14:textId="77777777" w:rsidR="008B19B5" w:rsidRPr="0031394A" w:rsidRDefault="008B19B5" w:rsidP="00810784">
            <w:pPr>
              <w:pStyle w:val="ListParagraph"/>
              <w:numPr>
                <w:ilvl w:val="0"/>
                <w:numId w:val="7"/>
              </w:numPr>
              <w:spacing w:after="0"/>
              <w:rPr>
                <w:rFonts w:ascii="Times New Roman" w:hAnsi="Times New Roman" w:cs="Times New Roman"/>
                <w:szCs w:val="22"/>
                <w:lang w:val="en-GB"/>
              </w:rPr>
            </w:pPr>
            <w:r w:rsidRPr="0031394A">
              <w:rPr>
                <w:rFonts w:ascii="Times New Roman" w:hAnsi="Times New Roman" w:cs="Times New Roman"/>
                <w:szCs w:val="22"/>
                <w:lang w:val="en-GB"/>
              </w:rPr>
              <w:t>Contribution rate</w:t>
            </w:r>
          </w:p>
        </w:tc>
        <w:tc>
          <w:tcPr>
            <w:tcW w:w="4237" w:type="dxa"/>
          </w:tcPr>
          <w:p w14:paraId="4FEB7E24" w14:textId="77777777" w:rsidR="008B19B5" w:rsidRPr="0031394A" w:rsidRDefault="00704553"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056E13EF" wp14:editId="6AFF775C">
                  <wp:extent cx="2574000" cy="1810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18530D3D" w14:textId="77777777" w:rsidR="008B19B5" w:rsidRPr="0031394A" w:rsidRDefault="008B19B5" w:rsidP="00810784">
            <w:pPr>
              <w:pStyle w:val="ListParagraph"/>
              <w:numPr>
                <w:ilvl w:val="0"/>
                <w:numId w:val="7"/>
              </w:numPr>
              <w:spacing w:after="0"/>
              <w:rPr>
                <w:rFonts w:ascii="Times New Roman" w:hAnsi="Times New Roman" w:cs="Times New Roman"/>
                <w:szCs w:val="22"/>
                <w:lang w:val="en-GB"/>
              </w:rPr>
            </w:pPr>
            <w:r w:rsidRPr="0031394A">
              <w:rPr>
                <w:rFonts w:ascii="Times New Roman" w:hAnsi="Times New Roman" w:cs="Times New Roman"/>
                <w:szCs w:val="22"/>
                <w:lang w:val="en-GB"/>
              </w:rPr>
              <w:t>Retirement age</w:t>
            </w:r>
          </w:p>
        </w:tc>
      </w:tr>
      <w:tr w:rsidR="008B19B5" w:rsidRPr="0031394A" w14:paraId="3003C457" w14:textId="77777777" w:rsidTr="004F637F">
        <w:tc>
          <w:tcPr>
            <w:tcW w:w="4237" w:type="dxa"/>
          </w:tcPr>
          <w:p w14:paraId="4C81D240" w14:textId="77777777" w:rsidR="008B19B5" w:rsidRPr="0031394A" w:rsidRDefault="00704553"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659305D2" wp14:editId="54533DCD">
                  <wp:extent cx="2574000" cy="1810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2B6BB2B3" w14:textId="77777777" w:rsidR="008B19B5" w:rsidRPr="0031394A" w:rsidRDefault="008B19B5" w:rsidP="00810784">
            <w:pPr>
              <w:pStyle w:val="ListParagraph"/>
              <w:numPr>
                <w:ilvl w:val="0"/>
                <w:numId w:val="7"/>
              </w:numPr>
              <w:spacing w:after="0"/>
              <w:rPr>
                <w:rFonts w:ascii="Times New Roman" w:hAnsi="Times New Roman" w:cs="Times New Roman"/>
                <w:szCs w:val="22"/>
                <w:lang w:val="en-GB"/>
              </w:rPr>
            </w:pPr>
            <w:r w:rsidRPr="0031394A">
              <w:rPr>
                <w:rFonts w:ascii="Times New Roman" w:hAnsi="Times New Roman" w:cs="Times New Roman"/>
                <w:szCs w:val="22"/>
                <w:lang w:val="en-GB"/>
              </w:rPr>
              <w:t>Indexation of pensions</w:t>
            </w:r>
          </w:p>
        </w:tc>
        <w:tc>
          <w:tcPr>
            <w:tcW w:w="4237" w:type="dxa"/>
          </w:tcPr>
          <w:p w14:paraId="5DB34183" w14:textId="77777777" w:rsidR="008B19B5" w:rsidRPr="0031394A" w:rsidRDefault="00704553"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1876CC9F" wp14:editId="2094BFDD">
                  <wp:extent cx="2574000" cy="1810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40E5192E" w14:textId="77777777" w:rsidR="008B19B5" w:rsidRPr="0031394A" w:rsidRDefault="008B19B5" w:rsidP="00810784">
            <w:pPr>
              <w:pStyle w:val="ListParagraph"/>
              <w:numPr>
                <w:ilvl w:val="0"/>
                <w:numId w:val="7"/>
              </w:numPr>
              <w:spacing w:after="0"/>
              <w:rPr>
                <w:rFonts w:ascii="Times New Roman" w:hAnsi="Times New Roman" w:cs="Times New Roman"/>
                <w:szCs w:val="22"/>
                <w:lang w:val="en-GB"/>
              </w:rPr>
            </w:pPr>
            <w:r w:rsidRPr="0031394A">
              <w:rPr>
                <w:rFonts w:ascii="Times New Roman" w:hAnsi="Times New Roman" w:cs="Times New Roman"/>
                <w:szCs w:val="22"/>
                <w:lang w:val="en-GB"/>
              </w:rPr>
              <w:t>Liquidity ratio</w:t>
            </w:r>
          </w:p>
        </w:tc>
      </w:tr>
    </w:tbl>
    <w:p w14:paraId="6DD369C2" w14:textId="38C1F97F" w:rsidR="00EF431E" w:rsidRDefault="008B19B5" w:rsidP="005A7242">
      <w:pPr>
        <w:jc w:val="center"/>
        <w:rPr>
          <w:rFonts w:ascii="Times New Roman" w:hAnsi="Times New Roman" w:cs="Times New Roman"/>
          <w:szCs w:val="22"/>
          <w:lang w:val="en-GB"/>
        </w:rPr>
      </w:pPr>
      <w:r w:rsidRPr="0031394A">
        <w:rPr>
          <w:rFonts w:ascii="Times New Roman" w:hAnsi="Times New Roman" w:cs="Times New Roman"/>
          <w:szCs w:val="22"/>
          <w:lang w:val="en-GB"/>
        </w:rPr>
        <w:t>Own source</w:t>
      </w:r>
    </w:p>
    <w:p w14:paraId="048D4FF0" w14:textId="77777777" w:rsidR="005A7242" w:rsidRPr="0031394A" w:rsidRDefault="005A7242" w:rsidP="005A7242">
      <w:pPr>
        <w:jc w:val="center"/>
        <w:rPr>
          <w:rFonts w:ascii="Times New Roman" w:hAnsi="Times New Roman" w:cs="Times New Roman"/>
          <w:szCs w:val="22"/>
          <w:lang w:val="en-GB"/>
        </w:rPr>
      </w:pPr>
    </w:p>
    <w:p w14:paraId="628D3654" w14:textId="77777777" w:rsidR="008B19B5" w:rsidRPr="0031394A" w:rsidRDefault="008B19B5" w:rsidP="00C71AF0">
      <w:pPr>
        <w:pStyle w:val="ListParagraph"/>
        <w:spacing w:after="120"/>
        <w:ind w:left="0"/>
        <w:jc w:val="center"/>
        <w:rPr>
          <w:rFonts w:ascii="Times New Roman" w:hAnsi="Times New Roman" w:cs="Times New Roman"/>
          <w:b/>
          <w:szCs w:val="22"/>
          <w:highlight w:val="red"/>
          <w:lang w:val="en-GB"/>
        </w:rPr>
      </w:pPr>
      <w:r w:rsidRPr="0031394A">
        <w:rPr>
          <w:rFonts w:ascii="Times New Roman" w:hAnsi="Times New Roman" w:cs="Times New Roman"/>
          <w:b/>
          <w:szCs w:val="22"/>
          <w:lang w:val="en-GB"/>
        </w:rPr>
        <w:t xml:space="preserve">Figure </w:t>
      </w:r>
      <w:r w:rsidR="00872A81" w:rsidRPr="0031394A">
        <w:rPr>
          <w:rFonts w:ascii="Times New Roman" w:hAnsi="Times New Roman" w:cs="Times New Roman"/>
          <w:b/>
          <w:szCs w:val="22"/>
          <w:lang w:val="en-GB"/>
        </w:rPr>
        <w:t>7</w:t>
      </w:r>
      <w:r w:rsidRPr="0031394A">
        <w:rPr>
          <w:rFonts w:ascii="Times New Roman" w:hAnsi="Times New Roman" w:cs="Times New Roman"/>
          <w:b/>
          <w:szCs w:val="22"/>
          <w:lang w:val="en-GB"/>
        </w:rPr>
        <w:t xml:space="preserve">: Results of ABM </w:t>
      </w:r>
      <w:r w:rsidR="005F0EDC" w:rsidRPr="0031394A">
        <w:rPr>
          <w:rFonts w:ascii="Times New Roman" w:hAnsi="Times New Roman" w:cs="Times New Roman"/>
          <w:b/>
          <w:szCs w:val="22"/>
          <w:lang w:val="en-GB"/>
        </w:rPr>
        <w:t xml:space="preserve">for PAYG scheme </w:t>
      </w:r>
      <w:r w:rsidRPr="0031394A">
        <w:rPr>
          <w:rFonts w:ascii="Times New Roman" w:hAnsi="Times New Roman" w:cs="Times New Roman"/>
          <w:b/>
          <w:szCs w:val="22"/>
          <w:lang w:val="en-GB"/>
        </w:rPr>
        <w:t>when the three variables are projected simultaneously with European population structure</w:t>
      </w:r>
      <w:r w:rsidR="001B48B6" w:rsidRPr="0031394A">
        <w:rPr>
          <w:rFonts w:ascii="Times New Roman" w:hAnsi="Times New Roman" w:cs="Times New Roman"/>
          <w:b/>
          <w:szCs w:val="22"/>
          <w:lang w:val="en-GB"/>
        </w:rPr>
        <w:t>, 50% invested in equities</w:t>
      </w:r>
      <w:r w:rsidRPr="0031394A">
        <w:rPr>
          <w:rFonts w:ascii="Times New Roman" w:hAnsi="Times New Roman" w:cs="Times New Roman"/>
          <w:b/>
          <w:szCs w:val="22"/>
          <w:lang w:val="en-GB"/>
        </w:rPr>
        <w:t xml:space="preserve"> and RR of 27% </w:t>
      </w:r>
    </w:p>
    <w:tbl>
      <w:tblPr>
        <w:tblStyle w:val="TableGrid"/>
        <w:tblW w:w="0" w:type="auto"/>
        <w:tblLook w:val="04A0" w:firstRow="1" w:lastRow="0" w:firstColumn="1" w:lastColumn="0" w:noHBand="0" w:noVBand="1"/>
      </w:tblPr>
      <w:tblGrid>
        <w:gridCol w:w="4237"/>
        <w:gridCol w:w="4237"/>
      </w:tblGrid>
      <w:tr w:rsidR="008B19B5" w:rsidRPr="0031394A" w14:paraId="44B06C25" w14:textId="77777777" w:rsidTr="004F637F">
        <w:tc>
          <w:tcPr>
            <w:tcW w:w="4237" w:type="dxa"/>
          </w:tcPr>
          <w:p w14:paraId="5E6A2249" w14:textId="77777777" w:rsidR="008B19B5" w:rsidRPr="0031394A" w:rsidRDefault="00F9713B"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05913B6F" wp14:editId="2FA1C301">
                  <wp:extent cx="2574000" cy="1810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28B22855" w14:textId="77777777" w:rsidR="008B19B5" w:rsidRPr="0031394A" w:rsidRDefault="008B19B5" w:rsidP="00810784">
            <w:pPr>
              <w:pStyle w:val="ListParagraph"/>
              <w:numPr>
                <w:ilvl w:val="0"/>
                <w:numId w:val="8"/>
              </w:numPr>
              <w:spacing w:after="0"/>
              <w:rPr>
                <w:rFonts w:ascii="Times New Roman" w:hAnsi="Times New Roman" w:cs="Times New Roman"/>
                <w:szCs w:val="22"/>
                <w:lang w:val="en-GB"/>
              </w:rPr>
            </w:pPr>
            <w:r w:rsidRPr="0031394A">
              <w:rPr>
                <w:rFonts w:ascii="Times New Roman" w:hAnsi="Times New Roman" w:cs="Times New Roman"/>
                <w:szCs w:val="22"/>
                <w:lang w:val="en-GB"/>
              </w:rPr>
              <w:t>Contribution rate</w:t>
            </w:r>
          </w:p>
        </w:tc>
        <w:tc>
          <w:tcPr>
            <w:tcW w:w="4237" w:type="dxa"/>
          </w:tcPr>
          <w:p w14:paraId="55C2083D" w14:textId="77777777" w:rsidR="008B19B5" w:rsidRPr="0031394A" w:rsidRDefault="00F9713B"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6BC2C13F" wp14:editId="297C7D75">
                  <wp:extent cx="2574000" cy="1810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0FC2F151" w14:textId="77777777" w:rsidR="008B19B5" w:rsidRPr="0031394A" w:rsidRDefault="008B19B5" w:rsidP="00810784">
            <w:pPr>
              <w:pStyle w:val="ListParagraph"/>
              <w:numPr>
                <w:ilvl w:val="0"/>
                <w:numId w:val="8"/>
              </w:numPr>
              <w:spacing w:after="0"/>
              <w:rPr>
                <w:rFonts w:ascii="Times New Roman" w:hAnsi="Times New Roman" w:cs="Times New Roman"/>
                <w:szCs w:val="22"/>
                <w:lang w:val="en-GB"/>
              </w:rPr>
            </w:pPr>
            <w:r w:rsidRPr="0031394A">
              <w:rPr>
                <w:rFonts w:ascii="Times New Roman" w:hAnsi="Times New Roman" w:cs="Times New Roman"/>
                <w:szCs w:val="22"/>
                <w:lang w:val="en-GB"/>
              </w:rPr>
              <w:t>Retirement age</w:t>
            </w:r>
          </w:p>
        </w:tc>
      </w:tr>
      <w:tr w:rsidR="008B19B5" w:rsidRPr="0031394A" w14:paraId="27FE9550" w14:textId="77777777" w:rsidTr="004F637F">
        <w:tc>
          <w:tcPr>
            <w:tcW w:w="4237" w:type="dxa"/>
          </w:tcPr>
          <w:p w14:paraId="3F31985D" w14:textId="77777777" w:rsidR="008B19B5" w:rsidRPr="0031394A" w:rsidRDefault="007D079E"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lastRenderedPageBreak/>
              <w:drawing>
                <wp:inline distT="0" distB="0" distL="0" distR="0" wp14:anchorId="27E5B6D0" wp14:editId="32A32414">
                  <wp:extent cx="2574000" cy="1810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6CAF0837" w14:textId="77777777" w:rsidR="008B19B5" w:rsidRPr="0031394A" w:rsidRDefault="008B19B5" w:rsidP="00810784">
            <w:pPr>
              <w:pStyle w:val="ListParagraph"/>
              <w:numPr>
                <w:ilvl w:val="0"/>
                <w:numId w:val="8"/>
              </w:numPr>
              <w:spacing w:after="0"/>
              <w:rPr>
                <w:rFonts w:ascii="Times New Roman" w:hAnsi="Times New Roman" w:cs="Times New Roman"/>
                <w:szCs w:val="22"/>
                <w:lang w:val="en-GB"/>
              </w:rPr>
            </w:pPr>
            <w:r w:rsidRPr="0031394A">
              <w:rPr>
                <w:rFonts w:ascii="Times New Roman" w:hAnsi="Times New Roman" w:cs="Times New Roman"/>
                <w:szCs w:val="22"/>
                <w:lang w:val="en-GB"/>
              </w:rPr>
              <w:t>Indexation of pensions</w:t>
            </w:r>
          </w:p>
        </w:tc>
        <w:tc>
          <w:tcPr>
            <w:tcW w:w="4237" w:type="dxa"/>
          </w:tcPr>
          <w:p w14:paraId="11DB1D6B" w14:textId="77777777" w:rsidR="008B19B5" w:rsidRPr="0031394A" w:rsidRDefault="00F9713B" w:rsidP="004F637F">
            <w:pPr>
              <w:rPr>
                <w:rFonts w:ascii="Times New Roman" w:hAnsi="Times New Roman" w:cs="Times New Roman"/>
                <w:sz w:val="24"/>
                <w:szCs w:val="24"/>
                <w:lang w:val="en-GB"/>
              </w:rPr>
            </w:pPr>
            <w:r w:rsidRPr="0031394A">
              <w:rPr>
                <w:rFonts w:ascii="Times New Roman" w:hAnsi="Times New Roman" w:cs="Times New Roman"/>
                <w:noProof/>
                <w:sz w:val="24"/>
                <w:szCs w:val="24"/>
                <w:lang w:val="en-GB" w:bidi="ar-SA"/>
              </w:rPr>
              <w:drawing>
                <wp:inline distT="0" distB="0" distL="0" distR="0" wp14:anchorId="37ABD6ED" wp14:editId="56611CC3">
                  <wp:extent cx="2574000" cy="1810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1E045A08" w14:textId="77777777" w:rsidR="008B19B5" w:rsidRPr="0031394A" w:rsidRDefault="008B19B5" w:rsidP="00810784">
            <w:pPr>
              <w:pStyle w:val="ListParagraph"/>
              <w:numPr>
                <w:ilvl w:val="0"/>
                <w:numId w:val="8"/>
              </w:numPr>
              <w:spacing w:after="0"/>
              <w:rPr>
                <w:rFonts w:ascii="Times New Roman" w:hAnsi="Times New Roman" w:cs="Times New Roman"/>
                <w:szCs w:val="22"/>
                <w:lang w:val="en-GB"/>
              </w:rPr>
            </w:pPr>
            <w:r w:rsidRPr="0031394A">
              <w:rPr>
                <w:rFonts w:ascii="Times New Roman" w:hAnsi="Times New Roman" w:cs="Times New Roman"/>
                <w:szCs w:val="22"/>
                <w:lang w:val="en-GB"/>
              </w:rPr>
              <w:t>Liquidity ratio</w:t>
            </w:r>
          </w:p>
        </w:tc>
      </w:tr>
    </w:tbl>
    <w:p w14:paraId="2511964E" w14:textId="1339A054" w:rsidR="008B19B5" w:rsidRPr="005A7242" w:rsidRDefault="008B19B5" w:rsidP="005A7242">
      <w:pPr>
        <w:jc w:val="center"/>
        <w:rPr>
          <w:rFonts w:ascii="Times New Roman" w:hAnsi="Times New Roman" w:cs="Times New Roman"/>
          <w:szCs w:val="22"/>
          <w:lang w:val="en-GB"/>
        </w:rPr>
      </w:pPr>
      <w:r w:rsidRPr="0031394A">
        <w:rPr>
          <w:rFonts w:ascii="Times New Roman" w:hAnsi="Times New Roman" w:cs="Times New Roman"/>
          <w:szCs w:val="22"/>
          <w:lang w:val="en-GB"/>
        </w:rPr>
        <w:t>Own source</w:t>
      </w:r>
    </w:p>
    <w:p w14:paraId="670409B5" w14:textId="3C4052A6" w:rsidR="00EF431E" w:rsidRPr="0031394A" w:rsidRDefault="00CF3108" w:rsidP="005A7242">
      <w:pPr>
        <w:spacing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As shown in Figure </w:t>
      </w:r>
      <w:r w:rsidR="00872A81" w:rsidRPr="0031394A">
        <w:rPr>
          <w:rFonts w:ascii="Times New Roman" w:hAnsi="Times New Roman" w:cs="Times New Roman"/>
          <w:sz w:val="24"/>
          <w:szCs w:val="24"/>
          <w:lang w:val="en-GB"/>
        </w:rPr>
        <w:t>8</w:t>
      </w:r>
      <w:r w:rsidR="00FA6618" w:rsidRPr="0031394A">
        <w:rPr>
          <w:rFonts w:ascii="Times New Roman" w:hAnsi="Times New Roman" w:cs="Times New Roman"/>
          <w:sz w:val="24"/>
          <w:szCs w:val="24"/>
          <w:lang w:val="en-GB"/>
        </w:rPr>
        <w:t xml:space="preserve"> t</w:t>
      </w:r>
      <w:r w:rsidR="009A3D58" w:rsidRPr="0031394A">
        <w:rPr>
          <w:rFonts w:ascii="Times New Roman" w:hAnsi="Times New Roman" w:cs="Times New Roman"/>
          <w:sz w:val="24"/>
          <w:szCs w:val="24"/>
          <w:lang w:val="en-GB"/>
        </w:rPr>
        <w:t xml:space="preserve">he total replacement rate for the mixed pension system is </w:t>
      </w:r>
      <w:r w:rsidR="00A44B74" w:rsidRPr="0031394A">
        <w:rPr>
          <w:rFonts w:ascii="Times New Roman" w:hAnsi="Times New Roman" w:cs="Times New Roman"/>
          <w:sz w:val="24"/>
          <w:szCs w:val="24"/>
          <w:lang w:val="en-GB"/>
        </w:rPr>
        <w:t>lower</w:t>
      </w:r>
      <w:r w:rsidR="009A3D58" w:rsidRPr="0031394A">
        <w:rPr>
          <w:rFonts w:ascii="Times New Roman" w:hAnsi="Times New Roman" w:cs="Times New Roman"/>
          <w:sz w:val="24"/>
          <w:szCs w:val="24"/>
          <w:lang w:val="en-GB"/>
        </w:rPr>
        <w:t xml:space="preserve"> when the p</w:t>
      </w:r>
      <w:r w:rsidR="00BE3B51" w:rsidRPr="0031394A">
        <w:rPr>
          <w:rFonts w:ascii="Times New Roman" w:hAnsi="Times New Roman" w:cs="Times New Roman"/>
          <w:sz w:val="24"/>
          <w:szCs w:val="24"/>
          <w:lang w:val="en-GB"/>
        </w:rPr>
        <w:t>ercentage</w:t>
      </w:r>
      <w:r w:rsidR="009A3D58" w:rsidRPr="0031394A">
        <w:rPr>
          <w:rFonts w:ascii="Times New Roman" w:hAnsi="Times New Roman" w:cs="Times New Roman"/>
          <w:sz w:val="24"/>
          <w:szCs w:val="24"/>
          <w:lang w:val="en-GB"/>
        </w:rPr>
        <w:t xml:space="preserve"> invested in the DC scheme </w:t>
      </w:r>
      <w:r w:rsidR="00A44B74" w:rsidRPr="0031394A">
        <w:rPr>
          <w:rFonts w:ascii="Times New Roman" w:hAnsi="Times New Roman" w:cs="Times New Roman"/>
          <w:sz w:val="24"/>
          <w:szCs w:val="24"/>
          <w:lang w:val="en-GB"/>
        </w:rPr>
        <w:t>increas</w:t>
      </w:r>
      <w:r w:rsidR="00BE3B51" w:rsidRPr="0031394A">
        <w:rPr>
          <w:rFonts w:ascii="Times New Roman" w:hAnsi="Times New Roman" w:cs="Times New Roman"/>
          <w:sz w:val="24"/>
          <w:szCs w:val="24"/>
          <w:lang w:val="en-GB"/>
        </w:rPr>
        <w:t>es</w:t>
      </w:r>
      <w:r w:rsidR="009A3D58" w:rsidRPr="0031394A">
        <w:rPr>
          <w:rFonts w:ascii="Times New Roman" w:hAnsi="Times New Roman" w:cs="Times New Roman"/>
          <w:sz w:val="24"/>
          <w:szCs w:val="24"/>
          <w:lang w:val="en-GB"/>
        </w:rPr>
        <w:t>.</w:t>
      </w:r>
      <w:r w:rsidR="00FA6618" w:rsidRPr="0031394A">
        <w:rPr>
          <w:rFonts w:ascii="Times New Roman" w:hAnsi="Times New Roman" w:cs="Times New Roman"/>
          <w:sz w:val="24"/>
          <w:szCs w:val="24"/>
          <w:lang w:val="en-GB"/>
        </w:rPr>
        <w:t xml:space="preserve"> </w:t>
      </w:r>
      <w:r w:rsidR="00EE3478" w:rsidRPr="0031394A">
        <w:rPr>
          <w:rFonts w:ascii="Times New Roman" w:hAnsi="Times New Roman" w:cs="Times New Roman"/>
          <w:sz w:val="24"/>
          <w:szCs w:val="24"/>
          <w:lang w:val="en-GB"/>
        </w:rPr>
        <w:t>W</w:t>
      </w:r>
      <w:r w:rsidR="00FA6618" w:rsidRPr="0031394A">
        <w:rPr>
          <w:rFonts w:ascii="Times New Roman" w:hAnsi="Times New Roman" w:cs="Times New Roman"/>
          <w:sz w:val="24"/>
          <w:szCs w:val="24"/>
          <w:lang w:val="en-GB"/>
        </w:rPr>
        <w:t xml:space="preserve">hen </w:t>
      </w:r>
      <w:r w:rsidR="00EE3478" w:rsidRPr="0031394A">
        <w:rPr>
          <w:rFonts w:ascii="Times New Roman" w:hAnsi="Times New Roman" w:cs="Times New Roman"/>
          <w:sz w:val="24"/>
          <w:szCs w:val="24"/>
          <w:lang w:val="en-GB"/>
        </w:rPr>
        <w:t xml:space="preserve">the allocation to the DC part is equal to 10% of salaries and investment is made </w:t>
      </w:r>
      <w:r w:rsidR="00FD2900" w:rsidRPr="0031394A">
        <w:rPr>
          <w:rFonts w:ascii="Times New Roman" w:hAnsi="Times New Roman" w:cs="Times New Roman"/>
          <w:sz w:val="24"/>
          <w:szCs w:val="24"/>
          <w:lang w:val="en-GB"/>
        </w:rPr>
        <w:t>in</w:t>
      </w:r>
      <w:r w:rsidR="00EE3478" w:rsidRPr="0031394A">
        <w:rPr>
          <w:rFonts w:ascii="Times New Roman" w:hAnsi="Times New Roman" w:cs="Times New Roman"/>
          <w:sz w:val="24"/>
          <w:szCs w:val="24"/>
          <w:lang w:val="en-GB"/>
        </w:rPr>
        <w:t xml:space="preserve"> 50% equities, </w:t>
      </w:r>
      <w:r w:rsidR="00FA6618" w:rsidRPr="0031394A">
        <w:rPr>
          <w:rFonts w:ascii="Times New Roman" w:hAnsi="Times New Roman" w:cs="Times New Roman"/>
          <w:sz w:val="24"/>
          <w:szCs w:val="24"/>
          <w:lang w:val="en-GB"/>
        </w:rPr>
        <w:t xml:space="preserve">the </w:t>
      </w:r>
      <w:r w:rsidR="00116D34" w:rsidRPr="0031394A">
        <w:rPr>
          <w:rFonts w:ascii="Times New Roman" w:hAnsi="Times New Roman" w:cs="Times New Roman"/>
          <w:sz w:val="24"/>
          <w:szCs w:val="24"/>
          <w:lang w:val="en-GB"/>
        </w:rPr>
        <w:t xml:space="preserve">total </w:t>
      </w:r>
      <w:r w:rsidR="00FA6618" w:rsidRPr="0031394A">
        <w:rPr>
          <w:rFonts w:ascii="Times New Roman" w:hAnsi="Times New Roman" w:cs="Times New Roman"/>
          <w:sz w:val="24"/>
          <w:szCs w:val="24"/>
          <w:lang w:val="en-GB"/>
        </w:rPr>
        <w:t>replacement rate</w:t>
      </w:r>
      <w:r w:rsidR="00116D34" w:rsidRPr="0031394A">
        <w:rPr>
          <w:rFonts w:ascii="Times New Roman" w:hAnsi="Times New Roman" w:cs="Times New Roman"/>
          <w:sz w:val="24"/>
          <w:szCs w:val="24"/>
          <w:lang w:val="en-GB"/>
        </w:rPr>
        <w:t xml:space="preserve"> of the mixed pension system</w:t>
      </w:r>
      <w:r w:rsidR="00FA6618" w:rsidRPr="0031394A">
        <w:rPr>
          <w:rFonts w:ascii="Times New Roman" w:hAnsi="Times New Roman" w:cs="Times New Roman"/>
          <w:sz w:val="24"/>
          <w:szCs w:val="24"/>
          <w:lang w:val="en-GB"/>
        </w:rPr>
        <w:t xml:space="preserve"> </w:t>
      </w:r>
      <w:r w:rsidR="00EE3478" w:rsidRPr="0031394A">
        <w:rPr>
          <w:rFonts w:ascii="Times New Roman" w:hAnsi="Times New Roman" w:cs="Times New Roman"/>
          <w:sz w:val="24"/>
          <w:szCs w:val="24"/>
          <w:lang w:val="en-GB"/>
        </w:rPr>
        <w:t>reaches a value of 43</w:t>
      </w:r>
      <w:r w:rsidR="00116D34" w:rsidRPr="0031394A">
        <w:rPr>
          <w:rFonts w:ascii="Times New Roman" w:hAnsi="Times New Roman" w:cs="Times New Roman"/>
          <w:sz w:val="24"/>
          <w:szCs w:val="24"/>
          <w:lang w:val="en-GB"/>
        </w:rPr>
        <w:t xml:space="preserve">.6% </w:t>
      </w:r>
      <w:r w:rsidR="00EE3478" w:rsidRPr="0031394A">
        <w:rPr>
          <w:rFonts w:ascii="Times New Roman" w:hAnsi="Times New Roman" w:cs="Times New Roman"/>
          <w:sz w:val="24"/>
          <w:szCs w:val="24"/>
          <w:lang w:val="en-GB"/>
        </w:rPr>
        <w:t>at the end of the time horizon.</w:t>
      </w:r>
      <w:r w:rsidR="00116D34" w:rsidRPr="0031394A">
        <w:rPr>
          <w:rFonts w:ascii="Times New Roman" w:hAnsi="Times New Roman" w:cs="Times New Roman"/>
          <w:sz w:val="24"/>
          <w:szCs w:val="24"/>
          <w:lang w:val="en-GB"/>
        </w:rPr>
        <w:t xml:space="preserve"> </w:t>
      </w:r>
    </w:p>
    <w:p w14:paraId="20F556DF" w14:textId="77777777" w:rsidR="00116D34" w:rsidRPr="0031394A" w:rsidRDefault="00116D34" w:rsidP="00116D34">
      <w:pPr>
        <w:spacing w:after="120"/>
        <w:jc w:val="center"/>
        <w:rPr>
          <w:rFonts w:ascii="Times New Roman" w:hAnsi="Times New Roman" w:cs="Times New Roman"/>
          <w:b/>
          <w:szCs w:val="22"/>
          <w:lang w:val="en-GB"/>
        </w:rPr>
      </w:pPr>
      <w:bookmarkStart w:id="25" w:name="_GoBack"/>
      <w:r w:rsidRPr="0031394A">
        <w:rPr>
          <w:rFonts w:ascii="Times New Roman" w:hAnsi="Times New Roman" w:cs="Times New Roman"/>
          <w:b/>
          <w:szCs w:val="22"/>
          <w:lang w:val="en-GB"/>
        </w:rPr>
        <w:t xml:space="preserve">Figure </w:t>
      </w:r>
      <w:r w:rsidR="00872A81" w:rsidRPr="0031394A">
        <w:rPr>
          <w:rFonts w:ascii="Times New Roman" w:hAnsi="Times New Roman" w:cs="Times New Roman"/>
          <w:b/>
          <w:szCs w:val="22"/>
          <w:lang w:val="en-GB"/>
        </w:rPr>
        <w:t>8</w:t>
      </w:r>
      <w:r w:rsidRPr="0031394A">
        <w:rPr>
          <w:rFonts w:ascii="Times New Roman" w:hAnsi="Times New Roman" w:cs="Times New Roman"/>
          <w:b/>
          <w:szCs w:val="22"/>
          <w:lang w:val="en-GB"/>
        </w:rPr>
        <w:t xml:space="preserve">: Total replacement rates for the mixed pension system with 50% invested in </w:t>
      </w:r>
      <w:bookmarkEnd w:id="25"/>
      <w:r w:rsidRPr="0031394A">
        <w:rPr>
          <w:rFonts w:ascii="Times New Roman" w:hAnsi="Times New Roman" w:cs="Times New Roman"/>
          <w:b/>
          <w:szCs w:val="22"/>
          <w:lang w:val="en-GB"/>
        </w:rPr>
        <w:t>equities: different allocation to the DC part</w:t>
      </w:r>
    </w:p>
    <w:tbl>
      <w:tblPr>
        <w:tblStyle w:val="TableGrid"/>
        <w:tblW w:w="0" w:type="auto"/>
        <w:jc w:val="center"/>
        <w:tblLook w:val="04A0" w:firstRow="1" w:lastRow="0" w:firstColumn="1" w:lastColumn="0" w:noHBand="0" w:noVBand="1"/>
      </w:tblPr>
      <w:tblGrid>
        <w:gridCol w:w="7345"/>
      </w:tblGrid>
      <w:tr w:rsidR="00116D34" w:rsidRPr="0031394A" w14:paraId="021EEECC" w14:textId="77777777" w:rsidTr="006B6838">
        <w:trPr>
          <w:jc w:val="center"/>
        </w:trPr>
        <w:tc>
          <w:tcPr>
            <w:tcW w:w="7345" w:type="dxa"/>
          </w:tcPr>
          <w:p w14:paraId="7F1274FC" w14:textId="77777777" w:rsidR="00116D34" w:rsidRPr="0031394A" w:rsidRDefault="00116D34" w:rsidP="006B6838">
            <w:pPr>
              <w:spacing w:after="120"/>
              <w:jc w:val="center"/>
              <w:rPr>
                <w:rFonts w:ascii="Times New Roman" w:hAnsi="Times New Roman" w:cs="Times New Roman"/>
                <w:b/>
                <w:szCs w:val="22"/>
                <w:lang w:val="en-GB"/>
              </w:rPr>
            </w:pPr>
            <w:r w:rsidRPr="0031394A">
              <w:rPr>
                <w:noProof/>
              </w:rPr>
              <w:drawing>
                <wp:inline distT="0" distB="0" distL="0" distR="0" wp14:anchorId="6699366F" wp14:editId="1ECA391C">
                  <wp:extent cx="4017600" cy="28296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17600" cy="2829600"/>
                          </a:xfrm>
                          <a:prstGeom prst="rect">
                            <a:avLst/>
                          </a:prstGeom>
                          <a:noFill/>
                          <a:ln>
                            <a:noFill/>
                          </a:ln>
                        </pic:spPr>
                      </pic:pic>
                    </a:graphicData>
                  </a:graphic>
                </wp:inline>
              </w:drawing>
            </w:r>
          </w:p>
        </w:tc>
      </w:tr>
    </w:tbl>
    <w:p w14:paraId="272D5241" w14:textId="10B93D57" w:rsidR="00C71AF0" w:rsidRPr="00C71AF0" w:rsidRDefault="00853768" w:rsidP="00C71AF0">
      <w:pPr>
        <w:tabs>
          <w:tab w:val="center" w:pos="4800"/>
          <w:tab w:val="right" w:pos="9500"/>
        </w:tabs>
        <w:spacing w:before="120" w:after="120"/>
        <w:jc w:val="center"/>
        <w:rPr>
          <w:rFonts w:ascii="Times New Roman" w:hAnsi="Times New Roman" w:cs="Times New Roman"/>
          <w:noProof/>
          <w:szCs w:val="22"/>
          <w:lang w:val="en-GB"/>
        </w:rPr>
      </w:pPr>
      <w:r w:rsidRPr="0031394A">
        <w:rPr>
          <w:rFonts w:ascii="Times New Roman" w:hAnsi="Times New Roman" w:cs="Times New Roman"/>
          <w:noProof/>
          <w:szCs w:val="22"/>
          <w:lang w:val="en-GB"/>
        </w:rPr>
        <w:t>Own source</w:t>
      </w:r>
    </w:p>
    <w:p w14:paraId="2D61B661" w14:textId="77777777" w:rsidR="00275155" w:rsidRPr="0031394A" w:rsidRDefault="007E49D4" w:rsidP="00C825A0">
      <w:p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A greater</w:t>
      </w:r>
      <w:r w:rsidR="00A14B5C" w:rsidRPr="0031394A">
        <w:rPr>
          <w:rFonts w:ascii="Times New Roman" w:hAnsi="Times New Roman" w:cs="Times New Roman"/>
          <w:sz w:val="24"/>
          <w:szCs w:val="24"/>
          <w:lang w:val="en-GB"/>
        </w:rPr>
        <w:t xml:space="preserve"> investment in equities </w:t>
      </w:r>
      <w:r w:rsidRPr="0031394A">
        <w:rPr>
          <w:rFonts w:ascii="Times New Roman" w:hAnsi="Times New Roman" w:cs="Times New Roman"/>
          <w:sz w:val="24"/>
          <w:szCs w:val="24"/>
          <w:lang w:val="en-GB"/>
        </w:rPr>
        <w:t xml:space="preserve">leads to an </w:t>
      </w:r>
      <w:r w:rsidR="00A14B5C" w:rsidRPr="0031394A">
        <w:rPr>
          <w:rFonts w:ascii="Times New Roman" w:hAnsi="Times New Roman" w:cs="Times New Roman"/>
          <w:sz w:val="24"/>
          <w:szCs w:val="24"/>
          <w:lang w:val="en-GB"/>
        </w:rPr>
        <w:t xml:space="preserve">increase </w:t>
      </w:r>
      <w:r w:rsidRPr="0031394A">
        <w:rPr>
          <w:rFonts w:ascii="Times New Roman" w:hAnsi="Times New Roman" w:cs="Times New Roman"/>
          <w:sz w:val="24"/>
          <w:szCs w:val="24"/>
          <w:lang w:val="en-GB"/>
        </w:rPr>
        <w:t xml:space="preserve">in </w:t>
      </w:r>
      <w:r w:rsidR="00A14B5C" w:rsidRPr="0031394A">
        <w:rPr>
          <w:rFonts w:ascii="Times New Roman" w:hAnsi="Times New Roman" w:cs="Times New Roman"/>
          <w:sz w:val="24"/>
          <w:szCs w:val="24"/>
          <w:lang w:val="en-GB"/>
        </w:rPr>
        <w:t>the value of the total replacement rate</w:t>
      </w:r>
      <w:r w:rsidR="00275155" w:rsidRPr="0031394A">
        <w:rPr>
          <w:rFonts w:ascii="Times New Roman" w:hAnsi="Times New Roman" w:cs="Times New Roman"/>
          <w:sz w:val="24"/>
          <w:szCs w:val="24"/>
          <w:lang w:val="en-GB"/>
        </w:rPr>
        <w:t xml:space="preserve"> as shown in Figure </w:t>
      </w:r>
      <w:r w:rsidR="00872A81" w:rsidRPr="0031394A">
        <w:rPr>
          <w:rFonts w:ascii="Times New Roman" w:hAnsi="Times New Roman" w:cs="Times New Roman"/>
          <w:sz w:val="24"/>
          <w:szCs w:val="24"/>
          <w:lang w:val="en-GB"/>
        </w:rPr>
        <w:t>9</w:t>
      </w:r>
      <w:r w:rsidR="00275155" w:rsidRPr="0031394A">
        <w:rPr>
          <w:rFonts w:ascii="Times New Roman" w:hAnsi="Times New Roman" w:cs="Times New Roman"/>
          <w:sz w:val="24"/>
          <w:szCs w:val="24"/>
          <w:lang w:val="en-GB"/>
        </w:rPr>
        <w:t xml:space="preserve"> and Figure </w:t>
      </w:r>
      <w:r w:rsidR="00872A81" w:rsidRPr="0031394A">
        <w:rPr>
          <w:rFonts w:ascii="Times New Roman" w:hAnsi="Times New Roman" w:cs="Times New Roman"/>
          <w:sz w:val="24"/>
          <w:szCs w:val="24"/>
          <w:lang w:val="en-GB"/>
        </w:rPr>
        <w:t>10</w:t>
      </w:r>
      <w:r w:rsidR="00A14B5C" w:rsidRPr="0031394A">
        <w:rPr>
          <w:rFonts w:ascii="Times New Roman" w:hAnsi="Times New Roman" w:cs="Times New Roman"/>
          <w:sz w:val="24"/>
          <w:szCs w:val="24"/>
          <w:lang w:val="en-GB"/>
        </w:rPr>
        <w:t xml:space="preserve">. </w:t>
      </w:r>
      <w:r w:rsidR="009B2882" w:rsidRPr="0031394A">
        <w:rPr>
          <w:rFonts w:ascii="Times New Roman" w:hAnsi="Times New Roman" w:cs="Times New Roman"/>
          <w:sz w:val="24"/>
          <w:szCs w:val="24"/>
          <w:lang w:val="en-GB"/>
        </w:rPr>
        <w:t>In particular, when investment to the DC is set at 5%</w:t>
      </w:r>
      <w:r w:rsidR="00DD2D19" w:rsidRPr="0031394A">
        <w:rPr>
          <w:rFonts w:ascii="Times New Roman" w:hAnsi="Times New Roman" w:cs="Times New Roman"/>
          <w:sz w:val="24"/>
          <w:szCs w:val="24"/>
          <w:lang w:val="en-GB"/>
        </w:rPr>
        <w:t xml:space="preserve"> (10%) and fully invested in equities</w:t>
      </w:r>
      <w:r w:rsidR="009B2882" w:rsidRPr="0031394A">
        <w:rPr>
          <w:rFonts w:ascii="Times New Roman" w:hAnsi="Times New Roman" w:cs="Times New Roman"/>
          <w:sz w:val="24"/>
          <w:szCs w:val="24"/>
          <w:lang w:val="en-GB"/>
        </w:rPr>
        <w:t xml:space="preserve"> the total repla</w:t>
      </w:r>
      <w:r w:rsidR="00DD2D19" w:rsidRPr="0031394A">
        <w:rPr>
          <w:rFonts w:ascii="Times New Roman" w:hAnsi="Times New Roman" w:cs="Times New Roman"/>
          <w:sz w:val="24"/>
          <w:szCs w:val="24"/>
          <w:lang w:val="en-GB"/>
        </w:rPr>
        <w:t xml:space="preserve">cement rate </w:t>
      </w:r>
      <w:r w:rsidR="006E0975" w:rsidRPr="0031394A">
        <w:rPr>
          <w:rFonts w:ascii="Times New Roman" w:hAnsi="Times New Roman" w:cs="Times New Roman"/>
          <w:sz w:val="24"/>
          <w:szCs w:val="24"/>
          <w:lang w:val="en-GB"/>
        </w:rPr>
        <w:t>takes</w:t>
      </w:r>
      <w:r w:rsidR="00DD2D19" w:rsidRPr="0031394A">
        <w:rPr>
          <w:rFonts w:ascii="Times New Roman" w:hAnsi="Times New Roman" w:cs="Times New Roman"/>
          <w:sz w:val="24"/>
          <w:szCs w:val="24"/>
          <w:lang w:val="en-GB"/>
        </w:rPr>
        <w:t xml:space="preserve"> values between 53.2% and 56% (47% and 52%) </w:t>
      </w:r>
      <w:r w:rsidR="006E0975" w:rsidRPr="0031394A">
        <w:rPr>
          <w:rFonts w:ascii="Times New Roman" w:hAnsi="Times New Roman" w:cs="Times New Roman"/>
          <w:sz w:val="24"/>
          <w:szCs w:val="24"/>
          <w:lang w:val="en-GB"/>
        </w:rPr>
        <w:t>at</w:t>
      </w:r>
      <w:r w:rsidR="00DD2D19" w:rsidRPr="0031394A">
        <w:rPr>
          <w:rFonts w:ascii="Times New Roman" w:hAnsi="Times New Roman" w:cs="Times New Roman"/>
          <w:sz w:val="24"/>
          <w:szCs w:val="24"/>
          <w:lang w:val="en-GB"/>
        </w:rPr>
        <w:t xml:space="preserve"> the 50</w:t>
      </w:r>
      <w:r w:rsidR="00DD2D19" w:rsidRPr="0031394A">
        <w:rPr>
          <w:rFonts w:ascii="Times New Roman" w:hAnsi="Times New Roman" w:cs="Times New Roman"/>
          <w:sz w:val="24"/>
          <w:szCs w:val="24"/>
          <w:vertAlign w:val="superscript"/>
          <w:lang w:val="en-GB"/>
        </w:rPr>
        <w:t>th</w:t>
      </w:r>
      <w:r w:rsidR="00DD2D19" w:rsidRPr="0031394A">
        <w:rPr>
          <w:rFonts w:ascii="Times New Roman" w:hAnsi="Times New Roman" w:cs="Times New Roman"/>
          <w:sz w:val="24"/>
          <w:szCs w:val="24"/>
          <w:lang w:val="en-GB"/>
        </w:rPr>
        <w:t xml:space="preserve"> percentile.</w:t>
      </w:r>
    </w:p>
    <w:p w14:paraId="189E7F95" w14:textId="77777777" w:rsidR="006C1379" w:rsidRPr="0031394A" w:rsidRDefault="007E49D4" w:rsidP="00C825A0">
      <w:p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We note that the r</w:t>
      </w:r>
      <w:r w:rsidR="002437FE" w:rsidRPr="0031394A">
        <w:rPr>
          <w:rFonts w:ascii="Times New Roman" w:hAnsi="Times New Roman" w:cs="Times New Roman"/>
          <w:sz w:val="24"/>
          <w:szCs w:val="24"/>
          <w:lang w:val="en-GB"/>
        </w:rPr>
        <w:t xml:space="preserve">esults are very volatile when </w:t>
      </w:r>
      <w:r w:rsidR="00853768" w:rsidRPr="0031394A">
        <w:rPr>
          <w:rFonts w:ascii="Times New Roman" w:hAnsi="Times New Roman" w:cs="Times New Roman"/>
          <w:sz w:val="24"/>
          <w:szCs w:val="24"/>
          <w:lang w:val="en-GB"/>
        </w:rPr>
        <w:t xml:space="preserve">the investment is fully made </w:t>
      </w:r>
      <w:r w:rsidR="00EC5644" w:rsidRPr="0031394A">
        <w:rPr>
          <w:rFonts w:ascii="Times New Roman" w:hAnsi="Times New Roman" w:cs="Times New Roman"/>
          <w:sz w:val="24"/>
          <w:szCs w:val="24"/>
          <w:lang w:val="en-GB"/>
        </w:rPr>
        <w:t>in</w:t>
      </w:r>
      <w:r w:rsidR="00853768" w:rsidRPr="0031394A">
        <w:rPr>
          <w:rFonts w:ascii="Times New Roman" w:hAnsi="Times New Roman" w:cs="Times New Roman"/>
          <w:sz w:val="24"/>
          <w:szCs w:val="24"/>
          <w:lang w:val="en-GB"/>
        </w:rPr>
        <w:t xml:space="preserve"> equities. Specifically, when the allocation of the DC part is 5% the total replacement rate would reach a value of 66.3% at the 90</w:t>
      </w:r>
      <w:r w:rsidR="00853768" w:rsidRPr="0031394A">
        <w:rPr>
          <w:rFonts w:ascii="Times New Roman" w:hAnsi="Times New Roman" w:cs="Times New Roman"/>
          <w:sz w:val="24"/>
          <w:szCs w:val="24"/>
          <w:vertAlign w:val="superscript"/>
          <w:lang w:val="en-GB"/>
        </w:rPr>
        <w:t>th</w:t>
      </w:r>
      <w:r w:rsidR="00853768" w:rsidRPr="0031394A">
        <w:rPr>
          <w:rFonts w:ascii="Times New Roman" w:hAnsi="Times New Roman" w:cs="Times New Roman"/>
          <w:sz w:val="24"/>
          <w:szCs w:val="24"/>
          <w:lang w:val="en-GB"/>
        </w:rPr>
        <w:t xml:space="preserve"> percentile as shown in Figure </w:t>
      </w:r>
      <w:r w:rsidR="00872A81" w:rsidRPr="0031394A">
        <w:rPr>
          <w:rFonts w:ascii="Times New Roman" w:hAnsi="Times New Roman" w:cs="Times New Roman"/>
          <w:sz w:val="24"/>
          <w:szCs w:val="24"/>
          <w:lang w:val="en-GB"/>
        </w:rPr>
        <w:t>9</w:t>
      </w:r>
      <w:r w:rsidR="00853768" w:rsidRPr="0031394A">
        <w:rPr>
          <w:rFonts w:ascii="Times New Roman" w:hAnsi="Times New Roman" w:cs="Times New Roman"/>
          <w:sz w:val="24"/>
          <w:szCs w:val="24"/>
          <w:lang w:val="en-GB"/>
        </w:rPr>
        <w:t xml:space="preserve">(d). If the allocation to the DC part is 10%, Figure </w:t>
      </w:r>
      <w:r w:rsidR="00872A81" w:rsidRPr="0031394A">
        <w:rPr>
          <w:rFonts w:ascii="Times New Roman" w:hAnsi="Times New Roman" w:cs="Times New Roman"/>
          <w:sz w:val="24"/>
          <w:szCs w:val="24"/>
          <w:lang w:val="en-GB"/>
        </w:rPr>
        <w:t>10</w:t>
      </w:r>
      <w:r w:rsidR="00853768" w:rsidRPr="0031394A">
        <w:rPr>
          <w:rFonts w:ascii="Times New Roman" w:hAnsi="Times New Roman" w:cs="Times New Roman"/>
          <w:sz w:val="24"/>
          <w:szCs w:val="24"/>
          <w:lang w:val="en-GB"/>
        </w:rPr>
        <w:t xml:space="preserve">(d), the total replacement rate </w:t>
      </w:r>
      <w:r w:rsidR="006C1379" w:rsidRPr="0031394A">
        <w:rPr>
          <w:rFonts w:ascii="Times New Roman" w:hAnsi="Times New Roman" w:cs="Times New Roman"/>
          <w:sz w:val="24"/>
          <w:szCs w:val="24"/>
          <w:lang w:val="en-GB"/>
        </w:rPr>
        <w:t>could</w:t>
      </w:r>
      <w:r w:rsidR="00853768" w:rsidRPr="0031394A">
        <w:rPr>
          <w:rFonts w:ascii="Times New Roman" w:hAnsi="Times New Roman" w:cs="Times New Roman"/>
          <w:sz w:val="24"/>
          <w:szCs w:val="24"/>
          <w:lang w:val="en-GB"/>
        </w:rPr>
        <w:t xml:space="preserve"> reach </w:t>
      </w:r>
      <w:r w:rsidR="006C1379" w:rsidRPr="0031394A">
        <w:rPr>
          <w:rFonts w:ascii="Times New Roman" w:hAnsi="Times New Roman" w:cs="Times New Roman"/>
          <w:sz w:val="24"/>
          <w:szCs w:val="24"/>
          <w:lang w:val="en-GB"/>
        </w:rPr>
        <w:t>a value of 72.6% as shown at the 90</w:t>
      </w:r>
      <w:r w:rsidR="006C1379" w:rsidRPr="0031394A">
        <w:rPr>
          <w:rFonts w:ascii="Times New Roman" w:hAnsi="Times New Roman" w:cs="Times New Roman"/>
          <w:sz w:val="24"/>
          <w:szCs w:val="24"/>
          <w:vertAlign w:val="superscript"/>
          <w:lang w:val="en-GB"/>
        </w:rPr>
        <w:t>th</w:t>
      </w:r>
      <w:r w:rsidR="006C1379" w:rsidRPr="0031394A">
        <w:rPr>
          <w:rFonts w:ascii="Times New Roman" w:hAnsi="Times New Roman" w:cs="Times New Roman"/>
          <w:sz w:val="24"/>
          <w:szCs w:val="24"/>
          <w:lang w:val="en-GB"/>
        </w:rPr>
        <w:t xml:space="preserve"> percentile.</w:t>
      </w:r>
    </w:p>
    <w:p w14:paraId="298C6D96" w14:textId="0A8D1B92" w:rsidR="00792B4D" w:rsidRPr="00D869B0" w:rsidRDefault="007E49D4" w:rsidP="00D869B0">
      <w:p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lastRenderedPageBreak/>
        <w:t>At the</w:t>
      </w:r>
      <w:r w:rsidR="006C3355" w:rsidRPr="0031394A">
        <w:rPr>
          <w:rFonts w:ascii="Times New Roman" w:hAnsi="Times New Roman" w:cs="Times New Roman"/>
          <w:sz w:val="24"/>
          <w:szCs w:val="24"/>
          <w:lang w:val="en-GB"/>
        </w:rPr>
        <w:t xml:space="preserve"> 50</w:t>
      </w:r>
      <w:r w:rsidR="006C3355" w:rsidRPr="0031394A">
        <w:rPr>
          <w:rFonts w:ascii="Times New Roman" w:hAnsi="Times New Roman" w:cs="Times New Roman"/>
          <w:sz w:val="24"/>
          <w:szCs w:val="24"/>
          <w:vertAlign w:val="superscript"/>
          <w:lang w:val="en-GB"/>
        </w:rPr>
        <w:t>th</w:t>
      </w:r>
      <w:r w:rsidR="006C3355" w:rsidRPr="0031394A">
        <w:rPr>
          <w:rFonts w:ascii="Times New Roman" w:hAnsi="Times New Roman" w:cs="Times New Roman"/>
          <w:sz w:val="24"/>
          <w:szCs w:val="24"/>
          <w:lang w:val="en-GB"/>
        </w:rPr>
        <w:t xml:space="preserve"> percentile</w:t>
      </w:r>
      <w:r w:rsidRPr="0031394A">
        <w:rPr>
          <w:rFonts w:ascii="Times New Roman" w:hAnsi="Times New Roman" w:cs="Times New Roman"/>
          <w:sz w:val="24"/>
          <w:szCs w:val="24"/>
          <w:lang w:val="en-GB"/>
        </w:rPr>
        <w:t>,</w:t>
      </w:r>
      <w:r w:rsidR="006C3355" w:rsidRPr="0031394A">
        <w:rPr>
          <w:rFonts w:ascii="Times New Roman" w:hAnsi="Times New Roman" w:cs="Times New Roman"/>
          <w:sz w:val="24"/>
          <w:szCs w:val="24"/>
          <w:lang w:val="en-GB"/>
        </w:rPr>
        <w:t xml:space="preserve"> neither of the </w:t>
      </w:r>
      <w:r w:rsidRPr="0031394A">
        <w:rPr>
          <w:rFonts w:ascii="Times New Roman" w:hAnsi="Times New Roman" w:cs="Times New Roman"/>
          <w:sz w:val="24"/>
          <w:szCs w:val="24"/>
          <w:lang w:val="en-GB"/>
        </w:rPr>
        <w:t xml:space="preserve">different </w:t>
      </w:r>
      <w:r w:rsidR="006C3355" w:rsidRPr="0031394A">
        <w:rPr>
          <w:rFonts w:ascii="Times New Roman" w:hAnsi="Times New Roman" w:cs="Times New Roman"/>
          <w:sz w:val="24"/>
          <w:szCs w:val="24"/>
          <w:lang w:val="en-GB"/>
        </w:rPr>
        <w:t xml:space="preserve">percentages allocated to the DC or </w:t>
      </w:r>
      <w:r w:rsidRPr="0031394A">
        <w:rPr>
          <w:rFonts w:ascii="Times New Roman" w:hAnsi="Times New Roman" w:cs="Times New Roman"/>
          <w:sz w:val="24"/>
          <w:szCs w:val="24"/>
          <w:lang w:val="en-GB"/>
        </w:rPr>
        <w:t xml:space="preserve">the different </w:t>
      </w:r>
      <w:r w:rsidR="006C3355" w:rsidRPr="0031394A">
        <w:rPr>
          <w:rFonts w:ascii="Times New Roman" w:hAnsi="Times New Roman" w:cs="Times New Roman"/>
          <w:sz w:val="24"/>
          <w:szCs w:val="24"/>
          <w:lang w:val="en-GB"/>
        </w:rPr>
        <w:t xml:space="preserve">investment strategies analysed would </w:t>
      </w:r>
      <w:r w:rsidRPr="0031394A">
        <w:rPr>
          <w:rFonts w:ascii="Times New Roman" w:hAnsi="Times New Roman" w:cs="Times New Roman"/>
          <w:sz w:val="24"/>
          <w:szCs w:val="24"/>
          <w:lang w:val="en-GB"/>
        </w:rPr>
        <w:t>lead to</w:t>
      </w:r>
      <w:r w:rsidR="006C3355" w:rsidRPr="0031394A">
        <w:rPr>
          <w:rFonts w:ascii="Times New Roman" w:hAnsi="Times New Roman" w:cs="Times New Roman"/>
          <w:sz w:val="24"/>
          <w:szCs w:val="24"/>
          <w:lang w:val="en-GB"/>
        </w:rPr>
        <w:t xml:space="preserve"> a total replacement rate </w:t>
      </w:r>
      <w:r w:rsidR="005A547B" w:rsidRPr="0031394A">
        <w:rPr>
          <w:rFonts w:ascii="Times New Roman" w:hAnsi="Times New Roman" w:cs="Times New Roman"/>
          <w:sz w:val="24"/>
          <w:szCs w:val="24"/>
          <w:lang w:val="en-GB"/>
        </w:rPr>
        <w:t>equal to or higher than</w:t>
      </w:r>
      <w:r w:rsidR="006C3355" w:rsidRPr="0031394A">
        <w:rPr>
          <w:rFonts w:ascii="Times New Roman" w:hAnsi="Times New Roman" w:cs="Times New Roman"/>
          <w:sz w:val="24"/>
          <w:szCs w:val="24"/>
          <w:lang w:val="en-GB"/>
        </w:rPr>
        <w:t xml:space="preserve"> 60%</w:t>
      </w:r>
      <w:r w:rsidR="005A547B" w:rsidRPr="0031394A">
        <w:rPr>
          <w:rFonts w:ascii="Times New Roman" w:hAnsi="Times New Roman" w:cs="Times New Roman"/>
          <w:sz w:val="24"/>
          <w:szCs w:val="24"/>
          <w:lang w:val="en-GB"/>
        </w:rPr>
        <w:t>. However, under a pure PAYG scheme that promises a replacement rate of 60% har</w:t>
      </w:r>
      <w:r w:rsidRPr="0031394A">
        <w:rPr>
          <w:rFonts w:ascii="Times New Roman" w:hAnsi="Times New Roman" w:cs="Times New Roman"/>
          <w:sz w:val="24"/>
          <w:szCs w:val="24"/>
          <w:lang w:val="en-GB"/>
        </w:rPr>
        <w:t>sh</w:t>
      </w:r>
      <w:r w:rsidR="005A547B" w:rsidRPr="0031394A">
        <w:rPr>
          <w:rFonts w:ascii="Times New Roman" w:hAnsi="Times New Roman" w:cs="Times New Roman"/>
          <w:sz w:val="24"/>
          <w:szCs w:val="24"/>
          <w:lang w:val="en-GB"/>
        </w:rPr>
        <w:t>er adjustment</w:t>
      </w:r>
      <w:r w:rsidRPr="0031394A">
        <w:rPr>
          <w:rFonts w:ascii="Times New Roman" w:hAnsi="Times New Roman" w:cs="Times New Roman"/>
          <w:sz w:val="24"/>
          <w:szCs w:val="24"/>
          <w:lang w:val="en-GB"/>
        </w:rPr>
        <w:t>s to the key parameters</w:t>
      </w:r>
      <w:r w:rsidR="005A547B" w:rsidRPr="0031394A">
        <w:rPr>
          <w:rFonts w:ascii="Times New Roman" w:hAnsi="Times New Roman" w:cs="Times New Roman"/>
          <w:sz w:val="24"/>
          <w:szCs w:val="24"/>
          <w:lang w:val="en-GB"/>
        </w:rPr>
        <w:t xml:space="preserve"> are needed</w:t>
      </w:r>
      <w:r w:rsidR="006C1379" w:rsidRPr="0031394A">
        <w:rPr>
          <w:rFonts w:ascii="Times New Roman" w:hAnsi="Times New Roman" w:cs="Times New Roman"/>
          <w:sz w:val="24"/>
          <w:szCs w:val="24"/>
          <w:lang w:val="en-GB"/>
        </w:rPr>
        <w:t xml:space="preserve"> as explained above in Figure </w:t>
      </w:r>
      <w:r w:rsidR="00872A81" w:rsidRPr="0031394A">
        <w:rPr>
          <w:rFonts w:ascii="Times New Roman" w:hAnsi="Times New Roman" w:cs="Times New Roman"/>
          <w:sz w:val="24"/>
          <w:szCs w:val="24"/>
          <w:lang w:val="en-GB"/>
        </w:rPr>
        <w:t>6</w:t>
      </w:r>
      <w:r w:rsidR="006C1379" w:rsidRPr="0031394A">
        <w:rPr>
          <w:rFonts w:ascii="Times New Roman" w:hAnsi="Times New Roman" w:cs="Times New Roman"/>
          <w:sz w:val="24"/>
          <w:szCs w:val="24"/>
          <w:lang w:val="en-GB"/>
        </w:rPr>
        <w:t xml:space="preserve"> and </w:t>
      </w:r>
      <w:r w:rsidR="00872A81" w:rsidRPr="0031394A">
        <w:rPr>
          <w:rFonts w:ascii="Times New Roman" w:hAnsi="Times New Roman" w:cs="Times New Roman"/>
          <w:sz w:val="24"/>
          <w:szCs w:val="24"/>
          <w:lang w:val="en-GB"/>
        </w:rPr>
        <w:t>7</w:t>
      </w:r>
      <w:r w:rsidR="006C1379" w:rsidRPr="0031394A">
        <w:rPr>
          <w:rFonts w:ascii="Times New Roman" w:hAnsi="Times New Roman" w:cs="Times New Roman"/>
          <w:sz w:val="24"/>
          <w:szCs w:val="24"/>
          <w:lang w:val="en-GB"/>
        </w:rPr>
        <w:t>.</w:t>
      </w:r>
    </w:p>
    <w:p w14:paraId="0B54DE0D" w14:textId="77777777" w:rsidR="00275155" w:rsidRPr="0031394A" w:rsidRDefault="00792B4D" w:rsidP="00275155">
      <w:pPr>
        <w:spacing w:after="120"/>
        <w:jc w:val="center"/>
        <w:rPr>
          <w:rFonts w:ascii="Times New Roman" w:hAnsi="Times New Roman" w:cs="Times New Roman"/>
          <w:b/>
          <w:szCs w:val="22"/>
          <w:lang w:val="en-GB"/>
        </w:rPr>
      </w:pPr>
      <w:r w:rsidRPr="0031394A">
        <w:rPr>
          <w:rFonts w:ascii="Times New Roman" w:hAnsi="Times New Roman" w:cs="Times New Roman"/>
          <w:b/>
          <w:szCs w:val="22"/>
          <w:lang w:val="en-GB"/>
        </w:rPr>
        <w:t xml:space="preserve">Figure </w:t>
      </w:r>
      <w:r w:rsidR="00872A81" w:rsidRPr="0031394A">
        <w:rPr>
          <w:rFonts w:ascii="Times New Roman" w:hAnsi="Times New Roman" w:cs="Times New Roman"/>
          <w:b/>
          <w:szCs w:val="22"/>
          <w:lang w:val="en-GB"/>
        </w:rPr>
        <w:t>9</w:t>
      </w:r>
      <w:r w:rsidRPr="0031394A">
        <w:rPr>
          <w:rFonts w:ascii="Times New Roman" w:hAnsi="Times New Roman" w:cs="Times New Roman"/>
          <w:b/>
          <w:szCs w:val="22"/>
          <w:lang w:val="en-GB"/>
        </w:rPr>
        <w:t xml:space="preserve">: </w:t>
      </w:r>
      <w:r w:rsidR="00275155" w:rsidRPr="0031394A">
        <w:rPr>
          <w:rFonts w:ascii="Times New Roman" w:hAnsi="Times New Roman" w:cs="Times New Roman"/>
          <w:b/>
          <w:szCs w:val="22"/>
          <w:lang w:val="en-GB"/>
        </w:rPr>
        <w:t>Total replacement rates for the mixed pension system with a 5% allocated to the DC part under different investment strategies</w:t>
      </w:r>
    </w:p>
    <w:tbl>
      <w:tblPr>
        <w:tblStyle w:val="TableGrid"/>
        <w:tblW w:w="0" w:type="auto"/>
        <w:tblLook w:val="04A0" w:firstRow="1" w:lastRow="0" w:firstColumn="1" w:lastColumn="0" w:noHBand="0" w:noVBand="1"/>
      </w:tblPr>
      <w:tblGrid>
        <w:gridCol w:w="4237"/>
        <w:gridCol w:w="4237"/>
      </w:tblGrid>
      <w:tr w:rsidR="00792B4D" w:rsidRPr="0031394A" w14:paraId="6C8EC7C8" w14:textId="77777777" w:rsidTr="000949AD">
        <w:tc>
          <w:tcPr>
            <w:tcW w:w="4237" w:type="dxa"/>
          </w:tcPr>
          <w:p w14:paraId="51D741EF" w14:textId="77777777" w:rsidR="00792B4D" w:rsidRPr="0031394A" w:rsidRDefault="00CD4FA1" w:rsidP="000949AD">
            <w:pPr>
              <w:rPr>
                <w:rFonts w:ascii="Times New Roman" w:hAnsi="Times New Roman" w:cs="Times New Roman"/>
                <w:noProof/>
                <w:szCs w:val="22"/>
                <w:lang w:val="en-GB"/>
              </w:rPr>
            </w:pPr>
            <w:r w:rsidRPr="0031394A">
              <w:rPr>
                <w:rFonts w:ascii="Times New Roman" w:hAnsi="Times New Roman" w:cs="Times New Roman"/>
                <w:noProof/>
                <w:szCs w:val="22"/>
                <w:lang w:val="en-GB"/>
              </w:rPr>
              <w:drawing>
                <wp:inline distT="0" distB="0" distL="0" distR="0" wp14:anchorId="4EFDB984" wp14:editId="76C2EEB1">
                  <wp:extent cx="2610000" cy="1839600"/>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10000" cy="1839600"/>
                          </a:xfrm>
                          <a:prstGeom prst="rect">
                            <a:avLst/>
                          </a:prstGeom>
                          <a:noFill/>
                          <a:ln>
                            <a:noFill/>
                          </a:ln>
                        </pic:spPr>
                      </pic:pic>
                    </a:graphicData>
                  </a:graphic>
                </wp:inline>
              </w:drawing>
            </w:r>
          </w:p>
          <w:p w14:paraId="4A0943EB" w14:textId="77777777" w:rsidR="00792B4D" w:rsidRPr="0031394A" w:rsidRDefault="00792B4D" w:rsidP="000949AD">
            <w:pPr>
              <w:rPr>
                <w:rFonts w:ascii="Times New Roman" w:hAnsi="Times New Roman" w:cs="Times New Roman"/>
                <w:noProof/>
                <w:sz w:val="24"/>
                <w:szCs w:val="24"/>
                <w:lang w:val="en-GB"/>
              </w:rPr>
            </w:pPr>
            <w:r w:rsidRPr="0031394A">
              <w:rPr>
                <w:rFonts w:ascii="Times New Roman" w:hAnsi="Times New Roman" w:cs="Times New Roman"/>
                <w:noProof/>
                <w:szCs w:val="22"/>
                <w:lang w:val="en-GB"/>
              </w:rPr>
              <w:t>a) Different investment allocations</w:t>
            </w:r>
          </w:p>
        </w:tc>
        <w:tc>
          <w:tcPr>
            <w:tcW w:w="4237" w:type="dxa"/>
          </w:tcPr>
          <w:p w14:paraId="607F5CE5" w14:textId="77777777" w:rsidR="00792B4D" w:rsidRPr="0031394A" w:rsidRDefault="00E350CE" w:rsidP="000949AD">
            <w:pPr>
              <w:rPr>
                <w:rFonts w:ascii="Times New Roman" w:hAnsi="Times New Roman" w:cs="Times New Roman"/>
                <w:noProof/>
                <w:sz w:val="24"/>
                <w:szCs w:val="24"/>
                <w:lang w:val="en-GB" w:bidi="ar-SA"/>
              </w:rPr>
            </w:pPr>
            <w:r w:rsidRPr="0031394A">
              <w:rPr>
                <w:rFonts w:ascii="Times New Roman" w:hAnsi="Times New Roman" w:cs="Times New Roman"/>
                <w:noProof/>
                <w:sz w:val="24"/>
                <w:szCs w:val="24"/>
                <w:lang w:val="en-GB" w:bidi="ar-SA"/>
              </w:rPr>
              <w:drawing>
                <wp:inline distT="0" distB="0" distL="0" distR="0" wp14:anchorId="2F4BF22A" wp14:editId="0F960476">
                  <wp:extent cx="2610000" cy="1839600"/>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10000" cy="1839600"/>
                          </a:xfrm>
                          <a:prstGeom prst="rect">
                            <a:avLst/>
                          </a:prstGeom>
                          <a:noFill/>
                          <a:ln>
                            <a:noFill/>
                          </a:ln>
                        </pic:spPr>
                      </pic:pic>
                    </a:graphicData>
                  </a:graphic>
                </wp:inline>
              </w:drawing>
            </w:r>
          </w:p>
          <w:p w14:paraId="111BA4D2" w14:textId="77777777" w:rsidR="00792B4D" w:rsidRPr="0031394A" w:rsidRDefault="00792B4D" w:rsidP="000949AD">
            <w:pPr>
              <w:rPr>
                <w:rFonts w:ascii="Times New Roman" w:hAnsi="Times New Roman" w:cs="Times New Roman"/>
                <w:sz w:val="24"/>
                <w:szCs w:val="24"/>
                <w:lang w:val="en-GB"/>
              </w:rPr>
            </w:pPr>
            <w:r w:rsidRPr="0031394A">
              <w:rPr>
                <w:rFonts w:ascii="Times New Roman" w:hAnsi="Times New Roman" w:cs="Times New Roman"/>
                <w:szCs w:val="22"/>
                <w:lang w:val="en-GB"/>
              </w:rPr>
              <w:t>b) Percentiles of the RR distribution with 50% equity</w:t>
            </w:r>
          </w:p>
        </w:tc>
      </w:tr>
      <w:tr w:rsidR="00792B4D" w:rsidRPr="0031394A" w14:paraId="1399B4A7" w14:textId="77777777" w:rsidTr="000949AD">
        <w:tc>
          <w:tcPr>
            <w:tcW w:w="4237" w:type="dxa"/>
          </w:tcPr>
          <w:p w14:paraId="3C93260A" w14:textId="77777777" w:rsidR="00792B4D" w:rsidRPr="0031394A" w:rsidRDefault="00E350CE" w:rsidP="000949AD">
            <w:pPr>
              <w:rPr>
                <w:rFonts w:ascii="Times New Roman" w:hAnsi="Times New Roman" w:cs="Times New Roman"/>
                <w:noProof/>
                <w:szCs w:val="22"/>
                <w:lang w:val="en-GB"/>
              </w:rPr>
            </w:pPr>
            <w:r w:rsidRPr="0031394A">
              <w:rPr>
                <w:rFonts w:ascii="Times New Roman" w:hAnsi="Times New Roman" w:cs="Times New Roman"/>
                <w:noProof/>
                <w:szCs w:val="22"/>
                <w:lang w:val="en-GB"/>
              </w:rPr>
              <w:drawing>
                <wp:inline distT="0" distB="0" distL="0" distR="0" wp14:anchorId="0935D61F" wp14:editId="71642007">
                  <wp:extent cx="2610000" cy="183960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10000" cy="1839600"/>
                          </a:xfrm>
                          <a:prstGeom prst="rect">
                            <a:avLst/>
                          </a:prstGeom>
                          <a:noFill/>
                          <a:ln>
                            <a:noFill/>
                          </a:ln>
                        </pic:spPr>
                      </pic:pic>
                    </a:graphicData>
                  </a:graphic>
                </wp:inline>
              </w:drawing>
            </w:r>
          </w:p>
          <w:p w14:paraId="74271423" w14:textId="77777777" w:rsidR="00792B4D" w:rsidRPr="0031394A" w:rsidRDefault="00792B4D" w:rsidP="000949AD">
            <w:pPr>
              <w:rPr>
                <w:rFonts w:ascii="Times New Roman" w:hAnsi="Times New Roman" w:cs="Times New Roman"/>
                <w:noProof/>
                <w:sz w:val="24"/>
                <w:szCs w:val="24"/>
                <w:lang w:val="en-GB"/>
              </w:rPr>
            </w:pPr>
            <w:r w:rsidRPr="0031394A">
              <w:rPr>
                <w:rFonts w:ascii="Times New Roman" w:hAnsi="Times New Roman" w:cs="Times New Roman"/>
                <w:noProof/>
                <w:szCs w:val="22"/>
                <w:lang w:val="en-GB"/>
              </w:rPr>
              <w:t xml:space="preserve">c) </w:t>
            </w:r>
            <w:r w:rsidRPr="0031394A">
              <w:rPr>
                <w:rFonts w:ascii="Times New Roman" w:hAnsi="Times New Roman" w:cs="Times New Roman"/>
                <w:szCs w:val="22"/>
                <w:lang w:val="en-GB"/>
              </w:rPr>
              <w:t>Percentiles of the RR distribution with 10% equity</w:t>
            </w:r>
          </w:p>
        </w:tc>
        <w:tc>
          <w:tcPr>
            <w:tcW w:w="4237" w:type="dxa"/>
          </w:tcPr>
          <w:p w14:paraId="1A3C7FFF" w14:textId="77777777" w:rsidR="00792B4D" w:rsidRPr="0031394A" w:rsidRDefault="00E350CE" w:rsidP="000949AD">
            <w:pPr>
              <w:rPr>
                <w:rFonts w:ascii="Times New Roman" w:hAnsi="Times New Roman" w:cs="Times New Roman"/>
                <w:noProof/>
                <w:sz w:val="24"/>
                <w:szCs w:val="24"/>
                <w:lang w:val="en-GB" w:bidi="ar-SA"/>
              </w:rPr>
            </w:pPr>
            <w:r w:rsidRPr="0031394A">
              <w:rPr>
                <w:rFonts w:ascii="Times New Roman" w:hAnsi="Times New Roman" w:cs="Times New Roman"/>
                <w:noProof/>
                <w:sz w:val="24"/>
                <w:szCs w:val="24"/>
                <w:lang w:val="en-GB" w:bidi="ar-SA"/>
              </w:rPr>
              <w:drawing>
                <wp:inline distT="0" distB="0" distL="0" distR="0" wp14:anchorId="292D924C" wp14:editId="54523ADC">
                  <wp:extent cx="2574000" cy="1810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1E072817" w14:textId="77777777" w:rsidR="00792B4D" w:rsidRPr="0031394A" w:rsidRDefault="00792B4D" w:rsidP="000949AD">
            <w:pPr>
              <w:rPr>
                <w:rFonts w:ascii="Times New Roman" w:hAnsi="Times New Roman" w:cs="Times New Roman"/>
                <w:sz w:val="24"/>
                <w:szCs w:val="24"/>
                <w:lang w:val="en-GB"/>
              </w:rPr>
            </w:pPr>
            <w:r w:rsidRPr="0031394A">
              <w:rPr>
                <w:rFonts w:ascii="Times New Roman" w:hAnsi="Times New Roman" w:cs="Times New Roman"/>
                <w:szCs w:val="22"/>
                <w:lang w:val="en-GB"/>
              </w:rPr>
              <w:t>d) Percentiles of the RR distribution with 100% equity</w:t>
            </w:r>
          </w:p>
        </w:tc>
      </w:tr>
    </w:tbl>
    <w:p w14:paraId="0AB42A49" w14:textId="77777777" w:rsidR="00792B4D" w:rsidRPr="0031394A" w:rsidRDefault="00792B4D" w:rsidP="00792B4D">
      <w:pPr>
        <w:spacing w:after="120"/>
        <w:jc w:val="center"/>
        <w:rPr>
          <w:rFonts w:ascii="Times New Roman" w:hAnsi="Times New Roman" w:cs="Times New Roman"/>
          <w:szCs w:val="22"/>
          <w:lang w:val="en-GB"/>
        </w:rPr>
      </w:pPr>
      <w:r w:rsidRPr="0031394A">
        <w:rPr>
          <w:rFonts w:ascii="Times New Roman" w:hAnsi="Times New Roman" w:cs="Times New Roman"/>
          <w:szCs w:val="22"/>
          <w:lang w:val="en-GB"/>
        </w:rPr>
        <w:t>Own source</w:t>
      </w:r>
    </w:p>
    <w:p w14:paraId="3CC6EE2A" w14:textId="6267733F" w:rsidR="00792B4D" w:rsidRDefault="00792B4D" w:rsidP="00837616">
      <w:pPr>
        <w:tabs>
          <w:tab w:val="center" w:pos="4800"/>
          <w:tab w:val="right" w:pos="9500"/>
        </w:tabs>
        <w:spacing w:before="120" w:after="120"/>
        <w:jc w:val="center"/>
        <w:rPr>
          <w:rFonts w:ascii="Times New Roman" w:hAnsi="Times New Roman" w:cs="Times New Roman"/>
          <w:noProof/>
          <w:szCs w:val="22"/>
          <w:lang w:val="en-GB"/>
        </w:rPr>
      </w:pPr>
    </w:p>
    <w:p w14:paraId="35BD3578" w14:textId="36B9008E" w:rsidR="00D869B0" w:rsidRDefault="00D869B0" w:rsidP="00837616">
      <w:pPr>
        <w:tabs>
          <w:tab w:val="center" w:pos="4800"/>
          <w:tab w:val="right" w:pos="9500"/>
        </w:tabs>
        <w:spacing w:before="120" w:after="120"/>
        <w:jc w:val="center"/>
        <w:rPr>
          <w:rFonts w:ascii="Times New Roman" w:hAnsi="Times New Roman" w:cs="Times New Roman"/>
          <w:noProof/>
          <w:szCs w:val="22"/>
          <w:lang w:val="en-GB"/>
        </w:rPr>
      </w:pPr>
    </w:p>
    <w:p w14:paraId="725717C2" w14:textId="123754F5" w:rsidR="00D869B0" w:rsidRDefault="00D869B0" w:rsidP="00837616">
      <w:pPr>
        <w:tabs>
          <w:tab w:val="center" w:pos="4800"/>
          <w:tab w:val="right" w:pos="9500"/>
        </w:tabs>
        <w:spacing w:before="120" w:after="120"/>
        <w:jc w:val="center"/>
        <w:rPr>
          <w:rFonts w:ascii="Times New Roman" w:hAnsi="Times New Roman" w:cs="Times New Roman"/>
          <w:noProof/>
          <w:szCs w:val="22"/>
          <w:lang w:val="en-GB"/>
        </w:rPr>
      </w:pPr>
    </w:p>
    <w:p w14:paraId="6FC2E8A2" w14:textId="23638072" w:rsidR="00D869B0" w:rsidRDefault="00D869B0" w:rsidP="00837616">
      <w:pPr>
        <w:tabs>
          <w:tab w:val="center" w:pos="4800"/>
          <w:tab w:val="right" w:pos="9500"/>
        </w:tabs>
        <w:spacing w:before="120" w:after="120"/>
        <w:jc w:val="center"/>
        <w:rPr>
          <w:rFonts w:ascii="Times New Roman" w:hAnsi="Times New Roman" w:cs="Times New Roman"/>
          <w:noProof/>
          <w:szCs w:val="22"/>
          <w:lang w:val="en-GB"/>
        </w:rPr>
      </w:pPr>
    </w:p>
    <w:p w14:paraId="3B4356FA" w14:textId="216C8C30" w:rsidR="00D869B0" w:rsidRDefault="00D869B0" w:rsidP="00837616">
      <w:pPr>
        <w:tabs>
          <w:tab w:val="center" w:pos="4800"/>
          <w:tab w:val="right" w:pos="9500"/>
        </w:tabs>
        <w:spacing w:before="120" w:after="120"/>
        <w:jc w:val="center"/>
        <w:rPr>
          <w:rFonts w:ascii="Times New Roman" w:hAnsi="Times New Roman" w:cs="Times New Roman"/>
          <w:noProof/>
          <w:szCs w:val="22"/>
          <w:lang w:val="en-GB"/>
        </w:rPr>
      </w:pPr>
    </w:p>
    <w:p w14:paraId="5C4ADF55" w14:textId="3F66AE2C" w:rsidR="00D869B0" w:rsidRDefault="00D869B0" w:rsidP="00837616">
      <w:pPr>
        <w:tabs>
          <w:tab w:val="center" w:pos="4800"/>
          <w:tab w:val="right" w:pos="9500"/>
        </w:tabs>
        <w:spacing w:before="120" w:after="120"/>
        <w:jc w:val="center"/>
        <w:rPr>
          <w:rFonts w:ascii="Times New Roman" w:hAnsi="Times New Roman" w:cs="Times New Roman"/>
          <w:noProof/>
          <w:szCs w:val="22"/>
          <w:lang w:val="en-GB"/>
        </w:rPr>
      </w:pPr>
    </w:p>
    <w:p w14:paraId="6134B635" w14:textId="3E3F027E" w:rsidR="00D869B0" w:rsidRDefault="00D869B0" w:rsidP="00837616">
      <w:pPr>
        <w:tabs>
          <w:tab w:val="center" w:pos="4800"/>
          <w:tab w:val="right" w:pos="9500"/>
        </w:tabs>
        <w:spacing w:before="120" w:after="120"/>
        <w:jc w:val="center"/>
        <w:rPr>
          <w:rFonts w:ascii="Times New Roman" w:hAnsi="Times New Roman" w:cs="Times New Roman"/>
          <w:noProof/>
          <w:szCs w:val="22"/>
          <w:lang w:val="en-GB"/>
        </w:rPr>
      </w:pPr>
    </w:p>
    <w:p w14:paraId="124F838D" w14:textId="0F7681A8" w:rsidR="00D869B0" w:rsidRDefault="00D869B0" w:rsidP="00837616">
      <w:pPr>
        <w:tabs>
          <w:tab w:val="center" w:pos="4800"/>
          <w:tab w:val="right" w:pos="9500"/>
        </w:tabs>
        <w:spacing w:before="120" w:after="120"/>
        <w:jc w:val="center"/>
        <w:rPr>
          <w:rFonts w:ascii="Times New Roman" w:hAnsi="Times New Roman" w:cs="Times New Roman"/>
          <w:noProof/>
          <w:szCs w:val="22"/>
          <w:lang w:val="en-GB"/>
        </w:rPr>
      </w:pPr>
    </w:p>
    <w:p w14:paraId="5058BDCE" w14:textId="77777777" w:rsidR="00D869B0" w:rsidRPr="0031394A" w:rsidRDefault="00D869B0" w:rsidP="00837616">
      <w:pPr>
        <w:tabs>
          <w:tab w:val="center" w:pos="4800"/>
          <w:tab w:val="right" w:pos="9500"/>
        </w:tabs>
        <w:spacing w:before="120" w:after="120"/>
        <w:jc w:val="center"/>
        <w:rPr>
          <w:rFonts w:ascii="Times New Roman" w:hAnsi="Times New Roman" w:cs="Times New Roman"/>
          <w:noProof/>
          <w:szCs w:val="22"/>
          <w:lang w:val="en-GB"/>
        </w:rPr>
      </w:pPr>
    </w:p>
    <w:p w14:paraId="36AB8B37" w14:textId="77777777" w:rsidR="00440F06" w:rsidRPr="0031394A" w:rsidRDefault="00440F06" w:rsidP="00837616">
      <w:pPr>
        <w:tabs>
          <w:tab w:val="center" w:pos="4800"/>
          <w:tab w:val="right" w:pos="9500"/>
        </w:tabs>
        <w:spacing w:before="120" w:after="120"/>
        <w:jc w:val="center"/>
        <w:rPr>
          <w:rFonts w:ascii="Times New Roman" w:hAnsi="Times New Roman" w:cs="Times New Roman"/>
          <w:noProof/>
          <w:szCs w:val="22"/>
          <w:lang w:val="en-GB"/>
        </w:rPr>
      </w:pPr>
    </w:p>
    <w:p w14:paraId="6E087B2B" w14:textId="77777777" w:rsidR="00792B4D" w:rsidRPr="0031394A" w:rsidRDefault="00792B4D" w:rsidP="00792B4D">
      <w:pPr>
        <w:spacing w:after="120"/>
        <w:jc w:val="center"/>
        <w:rPr>
          <w:rFonts w:ascii="Times New Roman" w:hAnsi="Times New Roman" w:cs="Times New Roman"/>
          <w:b/>
          <w:szCs w:val="22"/>
          <w:lang w:val="en-GB"/>
        </w:rPr>
      </w:pPr>
      <w:r w:rsidRPr="0031394A">
        <w:rPr>
          <w:rFonts w:ascii="Times New Roman" w:hAnsi="Times New Roman" w:cs="Times New Roman"/>
          <w:b/>
          <w:szCs w:val="22"/>
          <w:lang w:val="en-GB"/>
        </w:rPr>
        <w:t xml:space="preserve">Figure </w:t>
      </w:r>
      <w:r w:rsidR="00872A81" w:rsidRPr="0031394A">
        <w:rPr>
          <w:rFonts w:ascii="Times New Roman" w:hAnsi="Times New Roman" w:cs="Times New Roman"/>
          <w:b/>
          <w:szCs w:val="22"/>
          <w:lang w:val="en-GB"/>
        </w:rPr>
        <w:t>10</w:t>
      </w:r>
      <w:r w:rsidRPr="0031394A">
        <w:rPr>
          <w:rFonts w:ascii="Times New Roman" w:hAnsi="Times New Roman" w:cs="Times New Roman"/>
          <w:b/>
          <w:szCs w:val="22"/>
          <w:lang w:val="en-GB"/>
        </w:rPr>
        <w:t xml:space="preserve">: </w:t>
      </w:r>
      <w:r w:rsidR="00275155" w:rsidRPr="0031394A">
        <w:rPr>
          <w:rFonts w:ascii="Times New Roman" w:hAnsi="Times New Roman" w:cs="Times New Roman"/>
          <w:b/>
          <w:szCs w:val="22"/>
          <w:lang w:val="en-GB"/>
        </w:rPr>
        <w:t>Total replacement rates for the mixed pension system with a 10% allocated to the DC part under different investment strategies</w:t>
      </w:r>
    </w:p>
    <w:tbl>
      <w:tblPr>
        <w:tblStyle w:val="TableGrid"/>
        <w:tblW w:w="0" w:type="auto"/>
        <w:tblLook w:val="04A0" w:firstRow="1" w:lastRow="0" w:firstColumn="1" w:lastColumn="0" w:noHBand="0" w:noVBand="1"/>
      </w:tblPr>
      <w:tblGrid>
        <w:gridCol w:w="4265"/>
        <w:gridCol w:w="4209"/>
      </w:tblGrid>
      <w:tr w:rsidR="00792B4D" w:rsidRPr="0031394A" w14:paraId="06B3AD26" w14:textId="77777777" w:rsidTr="000949AD">
        <w:tc>
          <w:tcPr>
            <w:tcW w:w="4237" w:type="dxa"/>
          </w:tcPr>
          <w:p w14:paraId="566A17AE" w14:textId="77777777" w:rsidR="00792B4D" w:rsidRPr="0031394A" w:rsidRDefault="00AF23B8" w:rsidP="000949AD">
            <w:pPr>
              <w:rPr>
                <w:rFonts w:ascii="Times New Roman" w:hAnsi="Times New Roman" w:cs="Times New Roman"/>
                <w:noProof/>
                <w:szCs w:val="22"/>
                <w:lang w:val="en-GB"/>
              </w:rPr>
            </w:pPr>
            <w:r w:rsidRPr="0031394A">
              <w:rPr>
                <w:rFonts w:ascii="Times New Roman" w:hAnsi="Times New Roman" w:cs="Times New Roman"/>
                <w:noProof/>
                <w:szCs w:val="22"/>
                <w:lang w:val="en-GB"/>
              </w:rPr>
              <w:drawing>
                <wp:inline distT="0" distB="0" distL="0" distR="0" wp14:anchorId="71A8EE2C" wp14:editId="78C60F88">
                  <wp:extent cx="2610000" cy="1839600"/>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10000" cy="1839600"/>
                          </a:xfrm>
                          <a:prstGeom prst="rect">
                            <a:avLst/>
                          </a:prstGeom>
                          <a:noFill/>
                          <a:ln>
                            <a:noFill/>
                          </a:ln>
                        </pic:spPr>
                      </pic:pic>
                    </a:graphicData>
                  </a:graphic>
                </wp:inline>
              </w:drawing>
            </w:r>
          </w:p>
          <w:p w14:paraId="3F1B602D" w14:textId="77777777" w:rsidR="00792B4D" w:rsidRPr="0031394A" w:rsidRDefault="00792B4D" w:rsidP="000949AD">
            <w:pPr>
              <w:rPr>
                <w:rFonts w:ascii="Times New Roman" w:hAnsi="Times New Roman" w:cs="Times New Roman"/>
                <w:noProof/>
                <w:sz w:val="24"/>
                <w:szCs w:val="24"/>
                <w:lang w:val="en-GB"/>
              </w:rPr>
            </w:pPr>
            <w:r w:rsidRPr="0031394A">
              <w:rPr>
                <w:rFonts w:ascii="Times New Roman" w:hAnsi="Times New Roman" w:cs="Times New Roman"/>
                <w:noProof/>
                <w:szCs w:val="22"/>
                <w:lang w:val="en-GB"/>
              </w:rPr>
              <w:t>a) Different investment allocations</w:t>
            </w:r>
          </w:p>
        </w:tc>
        <w:tc>
          <w:tcPr>
            <w:tcW w:w="4237" w:type="dxa"/>
          </w:tcPr>
          <w:p w14:paraId="184582C1" w14:textId="77777777" w:rsidR="00792B4D" w:rsidRPr="0031394A" w:rsidRDefault="00AF23B8" w:rsidP="000949AD">
            <w:pPr>
              <w:rPr>
                <w:rFonts w:ascii="Times New Roman" w:hAnsi="Times New Roman" w:cs="Times New Roman"/>
                <w:noProof/>
                <w:sz w:val="24"/>
                <w:szCs w:val="24"/>
                <w:highlight w:val="yellow"/>
                <w:lang w:val="en-GB" w:bidi="ar-SA"/>
              </w:rPr>
            </w:pPr>
            <w:r w:rsidRPr="0031394A">
              <w:rPr>
                <w:rFonts w:ascii="Times New Roman" w:hAnsi="Times New Roman" w:cs="Times New Roman"/>
                <w:noProof/>
                <w:sz w:val="24"/>
                <w:szCs w:val="24"/>
                <w:lang w:val="en-GB" w:bidi="ar-SA"/>
              </w:rPr>
              <w:drawing>
                <wp:inline distT="0" distB="0" distL="0" distR="0" wp14:anchorId="614ED6DB" wp14:editId="2895728A">
                  <wp:extent cx="2574000" cy="1810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3DB5E8E0" w14:textId="77777777" w:rsidR="00792B4D" w:rsidRPr="0031394A" w:rsidRDefault="00792B4D" w:rsidP="000949AD">
            <w:pPr>
              <w:rPr>
                <w:rFonts w:ascii="Times New Roman" w:hAnsi="Times New Roman" w:cs="Times New Roman"/>
                <w:sz w:val="24"/>
                <w:szCs w:val="24"/>
                <w:lang w:val="en-GB"/>
              </w:rPr>
            </w:pPr>
            <w:r w:rsidRPr="0031394A">
              <w:rPr>
                <w:rFonts w:ascii="Times New Roman" w:hAnsi="Times New Roman" w:cs="Times New Roman"/>
                <w:szCs w:val="22"/>
                <w:lang w:val="en-GB"/>
              </w:rPr>
              <w:t>b) Percentiles of the RR distribution with 50% equity</w:t>
            </w:r>
          </w:p>
        </w:tc>
      </w:tr>
      <w:tr w:rsidR="00792B4D" w:rsidRPr="0031394A" w14:paraId="675C1780" w14:textId="77777777" w:rsidTr="000949AD">
        <w:tc>
          <w:tcPr>
            <w:tcW w:w="4237" w:type="dxa"/>
          </w:tcPr>
          <w:p w14:paraId="36064121" w14:textId="77777777" w:rsidR="00792B4D" w:rsidRPr="0031394A" w:rsidRDefault="00AF23B8" w:rsidP="000949AD">
            <w:pPr>
              <w:rPr>
                <w:rFonts w:ascii="Times New Roman" w:hAnsi="Times New Roman" w:cs="Times New Roman"/>
                <w:noProof/>
                <w:szCs w:val="22"/>
                <w:lang w:val="en-GB"/>
              </w:rPr>
            </w:pPr>
            <w:r w:rsidRPr="0031394A">
              <w:rPr>
                <w:rFonts w:ascii="Times New Roman" w:hAnsi="Times New Roman" w:cs="Times New Roman"/>
                <w:noProof/>
                <w:szCs w:val="22"/>
                <w:lang w:val="en-GB"/>
              </w:rPr>
              <w:drawing>
                <wp:inline distT="0" distB="0" distL="0" distR="0" wp14:anchorId="0857EFF4" wp14:editId="309D129F">
                  <wp:extent cx="2610000" cy="1839600"/>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10000" cy="1839600"/>
                          </a:xfrm>
                          <a:prstGeom prst="rect">
                            <a:avLst/>
                          </a:prstGeom>
                          <a:noFill/>
                          <a:ln>
                            <a:noFill/>
                          </a:ln>
                        </pic:spPr>
                      </pic:pic>
                    </a:graphicData>
                  </a:graphic>
                </wp:inline>
              </w:drawing>
            </w:r>
          </w:p>
          <w:p w14:paraId="28FD5CEA" w14:textId="77777777" w:rsidR="00792B4D" w:rsidRPr="0031394A" w:rsidRDefault="00792B4D" w:rsidP="000949AD">
            <w:pPr>
              <w:rPr>
                <w:rFonts w:ascii="Times New Roman" w:hAnsi="Times New Roman" w:cs="Times New Roman"/>
                <w:noProof/>
                <w:sz w:val="24"/>
                <w:szCs w:val="24"/>
                <w:lang w:val="en-GB"/>
              </w:rPr>
            </w:pPr>
            <w:r w:rsidRPr="0031394A">
              <w:rPr>
                <w:rFonts w:ascii="Times New Roman" w:hAnsi="Times New Roman" w:cs="Times New Roman"/>
                <w:noProof/>
                <w:szCs w:val="22"/>
                <w:lang w:val="en-GB"/>
              </w:rPr>
              <w:t xml:space="preserve">c) </w:t>
            </w:r>
            <w:r w:rsidRPr="0031394A">
              <w:rPr>
                <w:rFonts w:ascii="Times New Roman" w:hAnsi="Times New Roman" w:cs="Times New Roman"/>
                <w:szCs w:val="22"/>
                <w:lang w:val="en-GB"/>
              </w:rPr>
              <w:t>Percentiles of the RR distribution with 10% equity</w:t>
            </w:r>
          </w:p>
        </w:tc>
        <w:tc>
          <w:tcPr>
            <w:tcW w:w="4237" w:type="dxa"/>
          </w:tcPr>
          <w:p w14:paraId="1AE25341" w14:textId="77777777" w:rsidR="00792B4D" w:rsidRPr="0031394A" w:rsidRDefault="00AF23B8" w:rsidP="000949AD">
            <w:pPr>
              <w:rPr>
                <w:rFonts w:ascii="Times New Roman" w:hAnsi="Times New Roman" w:cs="Times New Roman"/>
                <w:noProof/>
                <w:sz w:val="24"/>
                <w:szCs w:val="24"/>
                <w:lang w:val="en-GB" w:bidi="ar-SA"/>
              </w:rPr>
            </w:pPr>
            <w:r w:rsidRPr="0031394A">
              <w:rPr>
                <w:rFonts w:ascii="Times New Roman" w:hAnsi="Times New Roman" w:cs="Times New Roman"/>
                <w:noProof/>
                <w:sz w:val="24"/>
                <w:szCs w:val="24"/>
                <w:lang w:val="en-GB" w:bidi="ar-SA"/>
              </w:rPr>
              <w:drawing>
                <wp:inline distT="0" distB="0" distL="0" distR="0" wp14:anchorId="14E03355" wp14:editId="781E07FC">
                  <wp:extent cx="2574000" cy="1810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74000" cy="1810800"/>
                          </a:xfrm>
                          <a:prstGeom prst="rect">
                            <a:avLst/>
                          </a:prstGeom>
                          <a:noFill/>
                          <a:ln>
                            <a:noFill/>
                          </a:ln>
                        </pic:spPr>
                      </pic:pic>
                    </a:graphicData>
                  </a:graphic>
                </wp:inline>
              </w:drawing>
            </w:r>
          </w:p>
          <w:p w14:paraId="77A09AB5" w14:textId="77777777" w:rsidR="00792B4D" w:rsidRPr="0031394A" w:rsidRDefault="00792B4D" w:rsidP="000949AD">
            <w:pPr>
              <w:rPr>
                <w:rFonts w:ascii="Times New Roman" w:hAnsi="Times New Roman" w:cs="Times New Roman"/>
                <w:sz w:val="24"/>
                <w:szCs w:val="24"/>
                <w:lang w:val="en-GB"/>
              </w:rPr>
            </w:pPr>
            <w:r w:rsidRPr="0031394A">
              <w:rPr>
                <w:rFonts w:ascii="Times New Roman" w:hAnsi="Times New Roman" w:cs="Times New Roman"/>
                <w:szCs w:val="22"/>
                <w:lang w:val="en-GB"/>
              </w:rPr>
              <w:t>d) Percentiles of the RR distribution with 100% equity</w:t>
            </w:r>
          </w:p>
        </w:tc>
      </w:tr>
    </w:tbl>
    <w:p w14:paraId="05890305" w14:textId="77767561" w:rsidR="00C94650" w:rsidRPr="0031394A" w:rsidRDefault="00792B4D" w:rsidP="00D869B0">
      <w:pPr>
        <w:spacing w:after="120"/>
        <w:jc w:val="center"/>
        <w:rPr>
          <w:rFonts w:ascii="Times New Roman" w:hAnsi="Times New Roman" w:cs="Times New Roman"/>
          <w:szCs w:val="22"/>
          <w:lang w:val="en-GB"/>
        </w:rPr>
      </w:pPr>
      <w:r w:rsidRPr="0031394A">
        <w:rPr>
          <w:rFonts w:ascii="Times New Roman" w:hAnsi="Times New Roman" w:cs="Times New Roman"/>
          <w:szCs w:val="22"/>
          <w:lang w:val="en-GB"/>
        </w:rPr>
        <w:t>Own source</w:t>
      </w:r>
    </w:p>
    <w:p w14:paraId="74459647" w14:textId="1681F982" w:rsidR="00C94650" w:rsidRDefault="00C94650" w:rsidP="00C825A0">
      <w:pPr>
        <w:spacing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Table </w:t>
      </w:r>
      <w:r w:rsidR="007107CB" w:rsidRPr="0031394A">
        <w:rPr>
          <w:rFonts w:ascii="Times New Roman" w:hAnsi="Times New Roman" w:cs="Times New Roman"/>
          <w:sz w:val="24"/>
          <w:szCs w:val="24"/>
          <w:lang w:val="en-GB"/>
        </w:rPr>
        <w:t>4</w:t>
      </w:r>
      <w:r w:rsidRPr="0031394A">
        <w:rPr>
          <w:rFonts w:ascii="Times New Roman" w:hAnsi="Times New Roman" w:cs="Times New Roman"/>
          <w:sz w:val="24"/>
          <w:szCs w:val="24"/>
          <w:lang w:val="en-GB"/>
        </w:rPr>
        <w:t xml:space="preserve"> shows the relationship between the total contribution rate </w:t>
      </w:r>
      <w:r w:rsidR="00063BAC" w:rsidRPr="0031394A">
        <w:rPr>
          <w:rFonts w:ascii="Times New Roman" w:hAnsi="Times New Roman" w:cs="Times New Roman"/>
          <w:sz w:val="24"/>
          <w:szCs w:val="24"/>
          <w:lang w:val="en-GB"/>
        </w:rPr>
        <w:t xml:space="preserve">paid </w:t>
      </w:r>
      <w:r w:rsidR="006460AF" w:rsidRPr="0031394A">
        <w:rPr>
          <w:rFonts w:ascii="Times New Roman" w:hAnsi="Times New Roman" w:cs="Times New Roman"/>
          <w:sz w:val="24"/>
          <w:szCs w:val="24"/>
          <w:lang w:val="en-GB"/>
        </w:rPr>
        <w:t xml:space="preserve">by </w:t>
      </w:r>
      <w:r w:rsidR="00063BAC" w:rsidRPr="0031394A">
        <w:rPr>
          <w:rFonts w:ascii="Times New Roman" w:hAnsi="Times New Roman" w:cs="Times New Roman"/>
          <w:sz w:val="24"/>
          <w:szCs w:val="24"/>
          <w:lang w:val="en-GB"/>
        </w:rPr>
        <w:t>the individuals and the total replacement rate received</w:t>
      </w:r>
      <w:r w:rsidR="006460AF" w:rsidRPr="0031394A">
        <w:rPr>
          <w:rFonts w:ascii="Times New Roman" w:hAnsi="Times New Roman" w:cs="Times New Roman"/>
          <w:sz w:val="24"/>
          <w:szCs w:val="24"/>
          <w:lang w:val="en-GB"/>
        </w:rPr>
        <w:t xml:space="preserve"> under different types of pension systems – pure PAYG with a RR of 60% versus different types of mixed pension systems depending on the allocation to the DC part. To make our results comparable we consider the optimal path of the contribution rate for the PAYG part as </w:t>
      </w:r>
      <w:r w:rsidR="00A27894" w:rsidRPr="0031394A">
        <w:rPr>
          <w:rFonts w:ascii="Times New Roman" w:hAnsi="Times New Roman" w:cs="Times New Roman"/>
          <w:sz w:val="24"/>
          <w:szCs w:val="24"/>
          <w:lang w:val="en-GB"/>
        </w:rPr>
        <w:t xml:space="preserve">if </w:t>
      </w:r>
      <w:r w:rsidR="006460AF" w:rsidRPr="0031394A">
        <w:rPr>
          <w:rFonts w:ascii="Times New Roman" w:hAnsi="Times New Roman" w:cs="Times New Roman"/>
          <w:sz w:val="24"/>
          <w:szCs w:val="24"/>
          <w:lang w:val="en-GB"/>
        </w:rPr>
        <w:t>it was the only decision variable with the retirement age and indexation of pensions set at 65 and 3% respectively</w:t>
      </w:r>
      <w:r w:rsidR="0037024B" w:rsidRPr="0031394A">
        <w:rPr>
          <w:rFonts w:ascii="Times New Roman" w:hAnsi="Times New Roman" w:cs="Times New Roman"/>
          <w:sz w:val="24"/>
          <w:szCs w:val="24"/>
          <w:lang w:val="en-GB"/>
        </w:rPr>
        <w:t xml:space="preserve">. </w:t>
      </w:r>
      <w:r w:rsidR="00B005FD" w:rsidRPr="0031394A">
        <w:rPr>
          <w:rFonts w:ascii="Times New Roman" w:hAnsi="Times New Roman" w:cs="Times New Roman"/>
          <w:sz w:val="24"/>
          <w:szCs w:val="24"/>
          <w:lang w:val="en-GB"/>
        </w:rPr>
        <w:t xml:space="preserve">In all cases </w:t>
      </w:r>
      <w:r w:rsidR="00A27894" w:rsidRPr="0031394A">
        <w:rPr>
          <w:rFonts w:ascii="Times New Roman" w:hAnsi="Times New Roman" w:cs="Times New Roman"/>
          <w:sz w:val="24"/>
          <w:szCs w:val="24"/>
          <w:lang w:val="en-GB"/>
        </w:rPr>
        <w:t xml:space="preserve">a higher </w:t>
      </w:r>
      <w:r w:rsidR="00352C52" w:rsidRPr="0031394A">
        <w:rPr>
          <w:rFonts w:ascii="Times New Roman" w:hAnsi="Times New Roman" w:cs="Times New Roman"/>
          <w:sz w:val="24"/>
          <w:szCs w:val="24"/>
          <w:lang w:val="en-GB"/>
        </w:rPr>
        <w:t xml:space="preserve">total replacement rate at the end of the period analysed </w:t>
      </w:r>
      <w:r w:rsidR="00B005FD" w:rsidRPr="0031394A">
        <w:rPr>
          <w:rFonts w:ascii="Times New Roman" w:hAnsi="Times New Roman" w:cs="Times New Roman"/>
          <w:sz w:val="24"/>
          <w:szCs w:val="24"/>
          <w:lang w:val="en-GB"/>
        </w:rPr>
        <w:t>is associated to a higher value in the contribution rate. For instance, w</w:t>
      </w:r>
      <w:r w:rsidR="00F52374" w:rsidRPr="0031394A">
        <w:rPr>
          <w:rFonts w:ascii="Times New Roman" w:hAnsi="Times New Roman" w:cs="Times New Roman"/>
          <w:sz w:val="24"/>
          <w:szCs w:val="24"/>
          <w:lang w:val="en-GB"/>
        </w:rPr>
        <w:t>e can see that in 2090 the total RR obtained by the participants would be 43.</w:t>
      </w:r>
      <w:r w:rsidR="006460AF" w:rsidRPr="0031394A">
        <w:rPr>
          <w:rFonts w:ascii="Times New Roman" w:hAnsi="Times New Roman" w:cs="Times New Roman"/>
          <w:sz w:val="24"/>
          <w:szCs w:val="24"/>
          <w:lang w:val="en-GB"/>
        </w:rPr>
        <w:t>60</w:t>
      </w:r>
      <w:r w:rsidR="00F52374" w:rsidRPr="0031394A">
        <w:rPr>
          <w:rFonts w:ascii="Times New Roman" w:hAnsi="Times New Roman" w:cs="Times New Roman"/>
          <w:sz w:val="24"/>
          <w:szCs w:val="24"/>
          <w:lang w:val="en-GB"/>
        </w:rPr>
        <w:t>% if the contribution rate to the DC part is 10%. However, the level of the total contribution rate that makes the mixed pension system sustainable would be 30% - opposed to a level of 55.38% in the case of a pure PAYG system that promises a RR of 60%.</w:t>
      </w:r>
    </w:p>
    <w:p w14:paraId="134DC007" w14:textId="28CC912E" w:rsidR="00D869B0" w:rsidRDefault="00D869B0" w:rsidP="00C825A0">
      <w:pPr>
        <w:spacing w:line="240" w:lineRule="auto"/>
        <w:jc w:val="both"/>
        <w:rPr>
          <w:rFonts w:ascii="Times New Roman" w:hAnsi="Times New Roman" w:cs="Times New Roman"/>
          <w:sz w:val="24"/>
          <w:szCs w:val="24"/>
          <w:lang w:val="en-GB"/>
        </w:rPr>
      </w:pPr>
    </w:p>
    <w:p w14:paraId="4AEA53DF" w14:textId="1AA07AC4" w:rsidR="00D869B0" w:rsidRDefault="00D869B0" w:rsidP="00C825A0">
      <w:pPr>
        <w:spacing w:line="240" w:lineRule="auto"/>
        <w:jc w:val="both"/>
        <w:rPr>
          <w:rFonts w:ascii="Times New Roman" w:hAnsi="Times New Roman" w:cs="Times New Roman"/>
          <w:sz w:val="24"/>
          <w:szCs w:val="24"/>
          <w:lang w:val="en-GB"/>
        </w:rPr>
      </w:pPr>
    </w:p>
    <w:p w14:paraId="19926222" w14:textId="77777777" w:rsidR="00D869B0" w:rsidRPr="0031394A" w:rsidRDefault="00D869B0" w:rsidP="00C825A0">
      <w:pPr>
        <w:spacing w:line="240" w:lineRule="auto"/>
        <w:jc w:val="both"/>
        <w:rPr>
          <w:rFonts w:ascii="Times New Roman" w:hAnsi="Times New Roman" w:cs="Times New Roman"/>
          <w:sz w:val="24"/>
          <w:szCs w:val="24"/>
          <w:lang w:val="en-GB"/>
        </w:rPr>
      </w:pPr>
    </w:p>
    <w:p w14:paraId="2CA31C3A" w14:textId="77777777" w:rsidR="005E53E5" w:rsidRPr="0031394A" w:rsidRDefault="00A11AAA" w:rsidP="00A11AAA">
      <w:pPr>
        <w:pStyle w:val="ListParagraph"/>
        <w:spacing w:after="120"/>
        <w:ind w:left="0"/>
        <w:jc w:val="center"/>
        <w:rPr>
          <w:rFonts w:ascii="Times New Roman" w:hAnsi="Times New Roman" w:cs="Times New Roman"/>
          <w:b/>
          <w:szCs w:val="22"/>
          <w:highlight w:val="red"/>
          <w:lang w:val="en-GB"/>
        </w:rPr>
      </w:pPr>
      <w:r w:rsidRPr="0031394A">
        <w:rPr>
          <w:rFonts w:ascii="Times New Roman" w:hAnsi="Times New Roman" w:cs="Times New Roman"/>
          <w:b/>
          <w:szCs w:val="22"/>
          <w:lang w:val="en-GB"/>
        </w:rPr>
        <w:lastRenderedPageBreak/>
        <w:t xml:space="preserve">Table </w:t>
      </w:r>
      <w:r w:rsidR="007107CB" w:rsidRPr="0031394A">
        <w:rPr>
          <w:rFonts w:ascii="Times New Roman" w:hAnsi="Times New Roman" w:cs="Times New Roman"/>
          <w:b/>
          <w:szCs w:val="22"/>
          <w:lang w:val="en-GB"/>
        </w:rPr>
        <w:t>4</w:t>
      </w:r>
      <w:r w:rsidRPr="0031394A">
        <w:rPr>
          <w:rFonts w:ascii="Times New Roman" w:hAnsi="Times New Roman" w:cs="Times New Roman"/>
          <w:b/>
          <w:szCs w:val="22"/>
          <w:lang w:val="en-GB"/>
        </w:rPr>
        <w:t xml:space="preserve">: Total contribution rates versus total replacement rates under different </w:t>
      </w:r>
      <w:r w:rsidR="00D35281" w:rsidRPr="0031394A">
        <w:rPr>
          <w:rFonts w:ascii="Times New Roman" w:hAnsi="Times New Roman" w:cs="Times New Roman"/>
          <w:b/>
          <w:szCs w:val="22"/>
          <w:lang w:val="en-GB"/>
        </w:rPr>
        <w:t xml:space="preserve">types of </w:t>
      </w:r>
      <w:r w:rsidRPr="0031394A">
        <w:rPr>
          <w:rFonts w:ascii="Times New Roman" w:hAnsi="Times New Roman" w:cs="Times New Roman"/>
          <w:b/>
          <w:szCs w:val="22"/>
          <w:lang w:val="en-GB"/>
        </w:rPr>
        <w:t>pension systems</w:t>
      </w:r>
    </w:p>
    <w:tbl>
      <w:tblPr>
        <w:tblStyle w:val="TableGrid"/>
        <w:tblW w:w="8511" w:type="dxa"/>
        <w:jc w:val="center"/>
        <w:tblLook w:val="04A0" w:firstRow="1" w:lastRow="0" w:firstColumn="1" w:lastColumn="0" w:noHBand="0" w:noVBand="1"/>
      </w:tblPr>
      <w:tblGrid>
        <w:gridCol w:w="704"/>
        <w:gridCol w:w="1134"/>
        <w:gridCol w:w="851"/>
        <w:gridCol w:w="850"/>
        <w:gridCol w:w="992"/>
        <w:gridCol w:w="1134"/>
        <w:gridCol w:w="909"/>
        <w:gridCol w:w="934"/>
        <w:gridCol w:w="1003"/>
      </w:tblGrid>
      <w:tr w:rsidR="00BB022A" w:rsidRPr="0031394A" w14:paraId="63C881F3" w14:textId="77777777" w:rsidTr="00BB022A">
        <w:trPr>
          <w:jc w:val="center"/>
        </w:trPr>
        <w:tc>
          <w:tcPr>
            <w:tcW w:w="704" w:type="dxa"/>
          </w:tcPr>
          <w:p w14:paraId="087EAF6C" w14:textId="77777777" w:rsidR="00BB022A" w:rsidRPr="0031394A" w:rsidRDefault="00BB022A" w:rsidP="006B6838">
            <w:pPr>
              <w:jc w:val="center"/>
              <w:rPr>
                <w:rFonts w:ascii="Times New Roman" w:hAnsi="Times New Roman" w:cs="Times New Roman"/>
                <w:b/>
                <w:sz w:val="16"/>
                <w:szCs w:val="16"/>
                <w:lang w:val="en-GB"/>
              </w:rPr>
            </w:pPr>
          </w:p>
        </w:tc>
        <w:tc>
          <w:tcPr>
            <w:tcW w:w="3827" w:type="dxa"/>
            <w:gridSpan w:val="4"/>
          </w:tcPr>
          <w:p w14:paraId="7F1C673F" w14:textId="77777777" w:rsidR="00BB022A" w:rsidRPr="0031394A" w:rsidRDefault="00BB022A" w:rsidP="006B6838">
            <w:pPr>
              <w:jc w:val="center"/>
              <w:rPr>
                <w:rFonts w:ascii="Times New Roman" w:hAnsi="Times New Roman" w:cs="Times New Roman"/>
                <w:b/>
                <w:sz w:val="20"/>
                <w:szCs w:val="20"/>
                <w:lang w:val="es-ES"/>
              </w:rPr>
            </w:pPr>
            <w:r w:rsidRPr="0031394A">
              <w:rPr>
                <w:rFonts w:ascii="Times New Roman" w:hAnsi="Times New Roman" w:cs="Times New Roman"/>
                <w:b/>
                <w:sz w:val="20"/>
                <w:szCs w:val="20"/>
                <w:lang w:val="es-ES"/>
              </w:rPr>
              <w:t>Total contribution rate</w:t>
            </w:r>
          </w:p>
        </w:tc>
        <w:tc>
          <w:tcPr>
            <w:tcW w:w="3980" w:type="dxa"/>
            <w:gridSpan w:val="4"/>
          </w:tcPr>
          <w:p w14:paraId="7FB1D1BF" w14:textId="77777777" w:rsidR="00BB022A" w:rsidRPr="0031394A" w:rsidRDefault="00BB022A" w:rsidP="006B6838">
            <w:pPr>
              <w:jc w:val="center"/>
              <w:rPr>
                <w:rFonts w:ascii="Times New Roman" w:hAnsi="Times New Roman" w:cs="Times New Roman"/>
                <w:b/>
                <w:sz w:val="20"/>
                <w:szCs w:val="20"/>
                <w:lang w:val="en-GB"/>
              </w:rPr>
            </w:pPr>
            <w:r w:rsidRPr="0031394A">
              <w:rPr>
                <w:rFonts w:ascii="Times New Roman" w:hAnsi="Times New Roman" w:cs="Times New Roman"/>
                <w:b/>
                <w:sz w:val="20"/>
                <w:szCs w:val="20"/>
                <w:lang w:val="en-GB"/>
              </w:rPr>
              <w:t>Total replacement rate</w:t>
            </w:r>
          </w:p>
        </w:tc>
      </w:tr>
      <w:tr w:rsidR="00BB022A" w:rsidRPr="0031394A" w14:paraId="7760B75F" w14:textId="77777777" w:rsidTr="00BB022A">
        <w:trPr>
          <w:jc w:val="center"/>
        </w:trPr>
        <w:tc>
          <w:tcPr>
            <w:tcW w:w="704" w:type="dxa"/>
          </w:tcPr>
          <w:p w14:paraId="1E2E20F8" w14:textId="77777777" w:rsidR="00BB022A" w:rsidRPr="0031394A" w:rsidRDefault="00BB022A" w:rsidP="00BB022A">
            <w:pPr>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Year</w:t>
            </w:r>
          </w:p>
        </w:tc>
        <w:tc>
          <w:tcPr>
            <w:tcW w:w="1134" w:type="dxa"/>
          </w:tcPr>
          <w:p w14:paraId="6AB38DD4" w14:textId="77777777" w:rsidR="00BB022A" w:rsidRPr="0031394A" w:rsidRDefault="00BB022A" w:rsidP="00BB022A">
            <w:pPr>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Pure PAYG (RR=60)</w:t>
            </w:r>
          </w:p>
        </w:tc>
        <w:tc>
          <w:tcPr>
            <w:tcW w:w="851" w:type="dxa"/>
          </w:tcPr>
          <w:p w14:paraId="0554DFA7" w14:textId="77777777" w:rsidR="00BB022A" w:rsidRPr="0031394A" w:rsidRDefault="00BB022A" w:rsidP="00BB022A">
            <w:pPr>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 xml:space="preserve">Mixed with 2% </w:t>
            </w:r>
          </w:p>
        </w:tc>
        <w:tc>
          <w:tcPr>
            <w:tcW w:w="850" w:type="dxa"/>
          </w:tcPr>
          <w:p w14:paraId="2414B0C8" w14:textId="77777777" w:rsidR="00BB022A" w:rsidRPr="0031394A" w:rsidRDefault="00BB022A" w:rsidP="00BB022A">
            <w:pPr>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 xml:space="preserve">Mixed with 5%  </w:t>
            </w:r>
          </w:p>
        </w:tc>
        <w:tc>
          <w:tcPr>
            <w:tcW w:w="992" w:type="dxa"/>
          </w:tcPr>
          <w:p w14:paraId="48CEBB74" w14:textId="77777777" w:rsidR="00BB022A" w:rsidRPr="0031394A" w:rsidRDefault="00BB022A" w:rsidP="00BB022A">
            <w:pPr>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 xml:space="preserve">Mixed with 10% </w:t>
            </w:r>
          </w:p>
        </w:tc>
        <w:tc>
          <w:tcPr>
            <w:tcW w:w="1134" w:type="dxa"/>
          </w:tcPr>
          <w:p w14:paraId="3DFA1FF7" w14:textId="77777777" w:rsidR="00BB022A" w:rsidRPr="0031394A" w:rsidRDefault="00BB022A" w:rsidP="00BB022A">
            <w:pPr>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Pure PAYG (RR=60)</w:t>
            </w:r>
          </w:p>
        </w:tc>
        <w:tc>
          <w:tcPr>
            <w:tcW w:w="909" w:type="dxa"/>
          </w:tcPr>
          <w:p w14:paraId="3FA923DE" w14:textId="77777777" w:rsidR="00BB022A" w:rsidRPr="0031394A" w:rsidRDefault="00BB022A" w:rsidP="00BB022A">
            <w:pPr>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 xml:space="preserve">Mixed with 2% </w:t>
            </w:r>
          </w:p>
        </w:tc>
        <w:tc>
          <w:tcPr>
            <w:tcW w:w="934" w:type="dxa"/>
          </w:tcPr>
          <w:p w14:paraId="56D1CD05" w14:textId="77777777" w:rsidR="00BB022A" w:rsidRPr="0031394A" w:rsidRDefault="00BB022A" w:rsidP="00BB022A">
            <w:pPr>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 xml:space="preserve">Mixed with 5% </w:t>
            </w:r>
          </w:p>
        </w:tc>
        <w:tc>
          <w:tcPr>
            <w:tcW w:w="1003" w:type="dxa"/>
          </w:tcPr>
          <w:p w14:paraId="49B31CB2" w14:textId="77777777" w:rsidR="00BB022A" w:rsidRPr="0031394A" w:rsidRDefault="00BB022A" w:rsidP="00BB022A">
            <w:pPr>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 xml:space="preserve">Mixed with 10%  </w:t>
            </w:r>
          </w:p>
        </w:tc>
      </w:tr>
      <w:tr w:rsidR="00BB022A" w:rsidRPr="0031394A" w14:paraId="5CBB73F1" w14:textId="77777777" w:rsidTr="00BB022A">
        <w:trPr>
          <w:jc w:val="center"/>
        </w:trPr>
        <w:tc>
          <w:tcPr>
            <w:tcW w:w="704" w:type="dxa"/>
          </w:tcPr>
          <w:p w14:paraId="5467A821" w14:textId="77777777" w:rsidR="00BB022A" w:rsidRPr="0031394A" w:rsidRDefault="00BB022A" w:rsidP="001C5C56">
            <w:pPr>
              <w:spacing w:after="0"/>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2020</w:t>
            </w:r>
          </w:p>
        </w:tc>
        <w:tc>
          <w:tcPr>
            <w:tcW w:w="1134" w:type="dxa"/>
          </w:tcPr>
          <w:p w14:paraId="27A9D421"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28.86%</w:t>
            </w:r>
          </w:p>
        </w:tc>
        <w:tc>
          <w:tcPr>
            <w:tcW w:w="851" w:type="dxa"/>
          </w:tcPr>
          <w:p w14:paraId="393BBD2C"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21.11%</w:t>
            </w:r>
          </w:p>
        </w:tc>
        <w:tc>
          <w:tcPr>
            <w:tcW w:w="850" w:type="dxa"/>
          </w:tcPr>
          <w:p w14:paraId="43D509E4"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20.47%</w:t>
            </w:r>
          </w:p>
        </w:tc>
        <w:tc>
          <w:tcPr>
            <w:tcW w:w="992" w:type="dxa"/>
          </w:tcPr>
          <w:p w14:paraId="5EE93F8D"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19.75%</w:t>
            </w:r>
          </w:p>
        </w:tc>
        <w:tc>
          <w:tcPr>
            <w:tcW w:w="1134" w:type="dxa"/>
          </w:tcPr>
          <w:p w14:paraId="3537E841"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60%</w:t>
            </w:r>
          </w:p>
        </w:tc>
        <w:tc>
          <w:tcPr>
            <w:tcW w:w="909" w:type="dxa"/>
            <w:shd w:val="clear" w:color="auto" w:fill="auto"/>
          </w:tcPr>
          <w:p w14:paraId="3CD5CBE6"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57.89%</w:t>
            </w:r>
          </w:p>
        </w:tc>
        <w:tc>
          <w:tcPr>
            <w:tcW w:w="934" w:type="dxa"/>
          </w:tcPr>
          <w:p w14:paraId="70FBF890"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54.21%</w:t>
            </w:r>
          </w:p>
        </w:tc>
        <w:tc>
          <w:tcPr>
            <w:tcW w:w="1003" w:type="dxa"/>
          </w:tcPr>
          <w:p w14:paraId="0D7BAD7E"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49.45%</w:t>
            </w:r>
          </w:p>
        </w:tc>
      </w:tr>
      <w:tr w:rsidR="00BB022A" w:rsidRPr="0031394A" w14:paraId="70CEF275" w14:textId="77777777" w:rsidTr="00BB022A">
        <w:trPr>
          <w:jc w:val="center"/>
        </w:trPr>
        <w:tc>
          <w:tcPr>
            <w:tcW w:w="704" w:type="dxa"/>
          </w:tcPr>
          <w:p w14:paraId="1E5BD518" w14:textId="77777777" w:rsidR="00BB022A" w:rsidRPr="0031394A" w:rsidRDefault="00BB022A" w:rsidP="001C5C56">
            <w:pPr>
              <w:spacing w:after="0"/>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2030</w:t>
            </w:r>
          </w:p>
        </w:tc>
        <w:tc>
          <w:tcPr>
            <w:tcW w:w="1134" w:type="dxa"/>
          </w:tcPr>
          <w:p w14:paraId="440ACCD0"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31.49%</w:t>
            </w:r>
          </w:p>
        </w:tc>
        <w:tc>
          <w:tcPr>
            <w:tcW w:w="851" w:type="dxa"/>
          </w:tcPr>
          <w:p w14:paraId="6D603242"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32.66%</w:t>
            </w:r>
          </w:p>
        </w:tc>
        <w:tc>
          <w:tcPr>
            <w:tcW w:w="850" w:type="dxa"/>
          </w:tcPr>
          <w:p w14:paraId="1E7500FE"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27.34%</w:t>
            </w:r>
          </w:p>
        </w:tc>
        <w:tc>
          <w:tcPr>
            <w:tcW w:w="992" w:type="dxa"/>
          </w:tcPr>
          <w:p w14:paraId="09B3E339"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23.20%</w:t>
            </w:r>
          </w:p>
        </w:tc>
        <w:tc>
          <w:tcPr>
            <w:tcW w:w="1134" w:type="dxa"/>
          </w:tcPr>
          <w:p w14:paraId="5520B81B" w14:textId="77777777" w:rsidR="00BB022A" w:rsidRPr="0031394A" w:rsidRDefault="00BB022A" w:rsidP="001C5C56">
            <w:pPr>
              <w:spacing w:after="0"/>
              <w:jc w:val="center"/>
              <w:rPr>
                <w:rFonts w:ascii="Times New Roman" w:hAnsi="Times New Roman" w:cs="Times New Roman"/>
                <w:sz w:val="16"/>
                <w:szCs w:val="16"/>
              </w:rPr>
            </w:pPr>
            <w:r w:rsidRPr="0031394A">
              <w:rPr>
                <w:rFonts w:ascii="Times New Roman" w:hAnsi="Times New Roman" w:cs="Times New Roman"/>
                <w:sz w:val="16"/>
                <w:szCs w:val="16"/>
                <w:lang w:val="en-GB"/>
              </w:rPr>
              <w:t>60%</w:t>
            </w:r>
          </w:p>
        </w:tc>
        <w:tc>
          <w:tcPr>
            <w:tcW w:w="909" w:type="dxa"/>
            <w:shd w:val="clear" w:color="auto" w:fill="auto"/>
          </w:tcPr>
          <w:p w14:paraId="6343B8B3"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56.95%</w:t>
            </w:r>
          </w:p>
        </w:tc>
        <w:tc>
          <w:tcPr>
            <w:tcW w:w="934" w:type="dxa"/>
          </w:tcPr>
          <w:p w14:paraId="3811A383"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52.28%</w:t>
            </w:r>
          </w:p>
        </w:tc>
        <w:tc>
          <w:tcPr>
            <w:tcW w:w="1003" w:type="dxa"/>
          </w:tcPr>
          <w:p w14:paraId="17BAB56E"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44.74%</w:t>
            </w:r>
          </w:p>
        </w:tc>
      </w:tr>
      <w:tr w:rsidR="00BB022A" w:rsidRPr="0031394A" w14:paraId="53B22E89" w14:textId="77777777" w:rsidTr="00BB022A">
        <w:trPr>
          <w:jc w:val="center"/>
        </w:trPr>
        <w:tc>
          <w:tcPr>
            <w:tcW w:w="704" w:type="dxa"/>
          </w:tcPr>
          <w:p w14:paraId="4E3866DE" w14:textId="77777777" w:rsidR="00BB022A" w:rsidRPr="0031394A" w:rsidRDefault="00BB022A" w:rsidP="001C5C56">
            <w:pPr>
              <w:spacing w:after="0" w:line="0" w:lineRule="atLeast"/>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2040</w:t>
            </w:r>
          </w:p>
        </w:tc>
        <w:tc>
          <w:tcPr>
            <w:tcW w:w="1134" w:type="dxa"/>
          </w:tcPr>
          <w:p w14:paraId="64CF2FEF" w14:textId="77777777" w:rsidR="00BB022A" w:rsidRPr="0031394A" w:rsidRDefault="00BB022A" w:rsidP="001C5C56">
            <w:pPr>
              <w:spacing w:after="0" w:line="0" w:lineRule="atLeast"/>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32.51%</w:t>
            </w:r>
          </w:p>
        </w:tc>
        <w:tc>
          <w:tcPr>
            <w:tcW w:w="851" w:type="dxa"/>
          </w:tcPr>
          <w:p w14:paraId="7B6EC321" w14:textId="77777777" w:rsidR="00BB022A" w:rsidRPr="0031394A" w:rsidRDefault="00BB022A" w:rsidP="001C5C56">
            <w:pPr>
              <w:spacing w:after="0" w:line="0" w:lineRule="atLeast"/>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35.64%</w:t>
            </w:r>
          </w:p>
        </w:tc>
        <w:tc>
          <w:tcPr>
            <w:tcW w:w="850" w:type="dxa"/>
          </w:tcPr>
          <w:p w14:paraId="6340CAFD" w14:textId="77777777" w:rsidR="00BB022A" w:rsidRPr="0031394A" w:rsidRDefault="00BB022A" w:rsidP="001C5C56">
            <w:pPr>
              <w:spacing w:after="0" w:line="0" w:lineRule="atLeast"/>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32.16%</w:t>
            </w:r>
          </w:p>
        </w:tc>
        <w:tc>
          <w:tcPr>
            <w:tcW w:w="992" w:type="dxa"/>
          </w:tcPr>
          <w:p w14:paraId="47B82B72" w14:textId="77777777" w:rsidR="00BB022A" w:rsidRPr="0031394A" w:rsidRDefault="00BB022A" w:rsidP="001C5C56">
            <w:pPr>
              <w:spacing w:after="0" w:line="0" w:lineRule="atLeast"/>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27.00%</w:t>
            </w:r>
          </w:p>
        </w:tc>
        <w:tc>
          <w:tcPr>
            <w:tcW w:w="1134" w:type="dxa"/>
          </w:tcPr>
          <w:p w14:paraId="7F677E97" w14:textId="77777777" w:rsidR="00BB022A" w:rsidRPr="0031394A" w:rsidRDefault="00BB022A" w:rsidP="001C5C56">
            <w:pPr>
              <w:spacing w:after="0" w:line="0" w:lineRule="atLeast"/>
              <w:jc w:val="center"/>
              <w:rPr>
                <w:rFonts w:ascii="Times New Roman" w:hAnsi="Times New Roman" w:cs="Times New Roman"/>
                <w:sz w:val="16"/>
                <w:szCs w:val="16"/>
              </w:rPr>
            </w:pPr>
            <w:r w:rsidRPr="0031394A">
              <w:rPr>
                <w:rFonts w:ascii="Times New Roman" w:hAnsi="Times New Roman" w:cs="Times New Roman"/>
                <w:sz w:val="16"/>
                <w:szCs w:val="16"/>
                <w:lang w:val="en-GB"/>
              </w:rPr>
              <w:t>60%</w:t>
            </w:r>
          </w:p>
        </w:tc>
        <w:tc>
          <w:tcPr>
            <w:tcW w:w="909" w:type="dxa"/>
          </w:tcPr>
          <w:p w14:paraId="40706051" w14:textId="77777777" w:rsidR="00BB022A" w:rsidRPr="0031394A" w:rsidRDefault="00BB022A" w:rsidP="001C5C56">
            <w:pPr>
              <w:spacing w:after="0" w:line="0" w:lineRule="atLeast"/>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56.73%</w:t>
            </w:r>
          </w:p>
        </w:tc>
        <w:tc>
          <w:tcPr>
            <w:tcW w:w="934" w:type="dxa"/>
          </w:tcPr>
          <w:p w14:paraId="322BC7D6" w14:textId="77777777" w:rsidR="00BB022A" w:rsidRPr="0031394A" w:rsidRDefault="00BB022A" w:rsidP="001C5C56">
            <w:pPr>
              <w:spacing w:after="0" w:line="0" w:lineRule="atLeast"/>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51.80%</w:t>
            </w:r>
          </w:p>
        </w:tc>
        <w:tc>
          <w:tcPr>
            <w:tcW w:w="1003" w:type="dxa"/>
          </w:tcPr>
          <w:p w14:paraId="549E305C" w14:textId="77777777" w:rsidR="00BB022A" w:rsidRPr="0031394A" w:rsidRDefault="00BB022A" w:rsidP="001C5C56">
            <w:pPr>
              <w:spacing w:after="0" w:line="0" w:lineRule="atLeast"/>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43.66%</w:t>
            </w:r>
          </w:p>
        </w:tc>
      </w:tr>
      <w:tr w:rsidR="00BB022A" w:rsidRPr="0031394A" w14:paraId="10E4C5A2" w14:textId="77777777" w:rsidTr="00BB022A">
        <w:trPr>
          <w:jc w:val="center"/>
        </w:trPr>
        <w:tc>
          <w:tcPr>
            <w:tcW w:w="704" w:type="dxa"/>
          </w:tcPr>
          <w:p w14:paraId="75B013EF" w14:textId="77777777" w:rsidR="00BB022A" w:rsidRPr="0031394A" w:rsidRDefault="00BB022A" w:rsidP="001C5C56">
            <w:pPr>
              <w:spacing w:after="0"/>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2050</w:t>
            </w:r>
          </w:p>
        </w:tc>
        <w:tc>
          <w:tcPr>
            <w:tcW w:w="1134" w:type="dxa"/>
          </w:tcPr>
          <w:p w14:paraId="7EF9B3AD"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36.08%</w:t>
            </w:r>
          </w:p>
        </w:tc>
        <w:tc>
          <w:tcPr>
            <w:tcW w:w="851" w:type="dxa"/>
          </w:tcPr>
          <w:p w14:paraId="4C6EFDCA"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35.87%</w:t>
            </w:r>
          </w:p>
        </w:tc>
        <w:tc>
          <w:tcPr>
            <w:tcW w:w="850" w:type="dxa"/>
          </w:tcPr>
          <w:p w14:paraId="590B17A8"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34.18%</w:t>
            </w:r>
          </w:p>
        </w:tc>
        <w:tc>
          <w:tcPr>
            <w:tcW w:w="992" w:type="dxa"/>
          </w:tcPr>
          <w:p w14:paraId="199769BE"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28.80%</w:t>
            </w:r>
          </w:p>
        </w:tc>
        <w:tc>
          <w:tcPr>
            <w:tcW w:w="1134" w:type="dxa"/>
          </w:tcPr>
          <w:p w14:paraId="60C04C1A" w14:textId="77777777" w:rsidR="00BB022A" w:rsidRPr="0031394A" w:rsidRDefault="00BB022A" w:rsidP="001C5C56">
            <w:pPr>
              <w:spacing w:after="0"/>
              <w:jc w:val="center"/>
              <w:rPr>
                <w:rFonts w:ascii="Times New Roman" w:hAnsi="Times New Roman" w:cs="Times New Roman"/>
                <w:sz w:val="16"/>
                <w:szCs w:val="16"/>
              </w:rPr>
            </w:pPr>
            <w:r w:rsidRPr="0031394A">
              <w:rPr>
                <w:rFonts w:ascii="Times New Roman" w:hAnsi="Times New Roman" w:cs="Times New Roman"/>
                <w:sz w:val="16"/>
                <w:szCs w:val="16"/>
                <w:lang w:val="en-GB"/>
              </w:rPr>
              <w:t>60%</w:t>
            </w:r>
          </w:p>
        </w:tc>
        <w:tc>
          <w:tcPr>
            <w:tcW w:w="909" w:type="dxa"/>
          </w:tcPr>
          <w:p w14:paraId="4C34767C"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56.76%</w:t>
            </w:r>
          </w:p>
        </w:tc>
        <w:tc>
          <w:tcPr>
            <w:tcW w:w="934" w:type="dxa"/>
          </w:tcPr>
          <w:p w14:paraId="13B24240"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51.92%</w:t>
            </w:r>
          </w:p>
        </w:tc>
        <w:tc>
          <w:tcPr>
            <w:tcW w:w="1003" w:type="dxa"/>
          </w:tcPr>
          <w:p w14:paraId="38A44480"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43.80%</w:t>
            </w:r>
          </w:p>
        </w:tc>
      </w:tr>
      <w:tr w:rsidR="00BB022A" w:rsidRPr="0031394A" w14:paraId="6AC23C48" w14:textId="77777777" w:rsidTr="00BB022A">
        <w:trPr>
          <w:jc w:val="center"/>
        </w:trPr>
        <w:tc>
          <w:tcPr>
            <w:tcW w:w="704" w:type="dxa"/>
          </w:tcPr>
          <w:p w14:paraId="337E973E" w14:textId="77777777" w:rsidR="00BB022A" w:rsidRPr="0031394A" w:rsidRDefault="00BB022A" w:rsidP="001C5C56">
            <w:pPr>
              <w:spacing w:after="0"/>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2060</w:t>
            </w:r>
          </w:p>
        </w:tc>
        <w:tc>
          <w:tcPr>
            <w:tcW w:w="1134" w:type="dxa"/>
          </w:tcPr>
          <w:p w14:paraId="1A7CF2A1"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43.82%</w:t>
            </w:r>
          </w:p>
        </w:tc>
        <w:tc>
          <w:tcPr>
            <w:tcW w:w="851" w:type="dxa"/>
          </w:tcPr>
          <w:p w14:paraId="4674BA71"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37.67%</w:t>
            </w:r>
          </w:p>
        </w:tc>
        <w:tc>
          <w:tcPr>
            <w:tcW w:w="850" w:type="dxa"/>
          </w:tcPr>
          <w:p w14:paraId="0721647C"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35.97%</w:t>
            </w:r>
          </w:p>
        </w:tc>
        <w:tc>
          <w:tcPr>
            <w:tcW w:w="992" w:type="dxa"/>
          </w:tcPr>
          <w:p w14:paraId="27189DF3"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29.50%</w:t>
            </w:r>
          </w:p>
        </w:tc>
        <w:tc>
          <w:tcPr>
            <w:tcW w:w="1134" w:type="dxa"/>
          </w:tcPr>
          <w:p w14:paraId="76702FE4" w14:textId="77777777" w:rsidR="00BB022A" w:rsidRPr="0031394A" w:rsidRDefault="00BB022A" w:rsidP="001C5C56">
            <w:pPr>
              <w:spacing w:after="0"/>
              <w:jc w:val="center"/>
              <w:rPr>
                <w:rFonts w:ascii="Times New Roman" w:hAnsi="Times New Roman" w:cs="Times New Roman"/>
                <w:sz w:val="16"/>
                <w:szCs w:val="16"/>
              </w:rPr>
            </w:pPr>
            <w:r w:rsidRPr="0031394A">
              <w:rPr>
                <w:rFonts w:ascii="Times New Roman" w:hAnsi="Times New Roman" w:cs="Times New Roman"/>
                <w:sz w:val="16"/>
                <w:szCs w:val="16"/>
                <w:lang w:val="en-GB"/>
              </w:rPr>
              <w:t>60%</w:t>
            </w:r>
          </w:p>
        </w:tc>
        <w:tc>
          <w:tcPr>
            <w:tcW w:w="909" w:type="dxa"/>
          </w:tcPr>
          <w:p w14:paraId="48EA3C02"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56.76%</w:t>
            </w:r>
          </w:p>
        </w:tc>
        <w:tc>
          <w:tcPr>
            <w:tcW w:w="934" w:type="dxa"/>
          </w:tcPr>
          <w:p w14:paraId="5D0CEE12"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51.91%</w:t>
            </w:r>
          </w:p>
        </w:tc>
        <w:tc>
          <w:tcPr>
            <w:tcW w:w="1003" w:type="dxa"/>
          </w:tcPr>
          <w:p w14:paraId="5415FE1B"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43.83%</w:t>
            </w:r>
          </w:p>
        </w:tc>
      </w:tr>
      <w:tr w:rsidR="00BB022A" w:rsidRPr="0031394A" w14:paraId="0C382256" w14:textId="77777777" w:rsidTr="00BB022A">
        <w:trPr>
          <w:jc w:val="center"/>
        </w:trPr>
        <w:tc>
          <w:tcPr>
            <w:tcW w:w="704" w:type="dxa"/>
          </w:tcPr>
          <w:p w14:paraId="388F7444" w14:textId="77777777" w:rsidR="00BB022A" w:rsidRPr="0031394A" w:rsidRDefault="00BB022A" w:rsidP="001C5C56">
            <w:pPr>
              <w:spacing w:after="0"/>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2070</w:t>
            </w:r>
          </w:p>
        </w:tc>
        <w:tc>
          <w:tcPr>
            <w:tcW w:w="1134" w:type="dxa"/>
          </w:tcPr>
          <w:p w14:paraId="726C33EF"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43.82%</w:t>
            </w:r>
          </w:p>
        </w:tc>
        <w:tc>
          <w:tcPr>
            <w:tcW w:w="851" w:type="dxa"/>
          </w:tcPr>
          <w:p w14:paraId="3C1152DB"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40.98%</w:t>
            </w:r>
          </w:p>
        </w:tc>
        <w:tc>
          <w:tcPr>
            <w:tcW w:w="850" w:type="dxa"/>
          </w:tcPr>
          <w:p w14:paraId="7FA47F49"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36.72%</w:t>
            </w:r>
          </w:p>
        </w:tc>
        <w:tc>
          <w:tcPr>
            <w:tcW w:w="992" w:type="dxa"/>
          </w:tcPr>
          <w:p w14:paraId="64B40AA7"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29.50%</w:t>
            </w:r>
          </w:p>
        </w:tc>
        <w:tc>
          <w:tcPr>
            <w:tcW w:w="1134" w:type="dxa"/>
          </w:tcPr>
          <w:p w14:paraId="6A09A1AD" w14:textId="77777777" w:rsidR="00BB022A" w:rsidRPr="0031394A" w:rsidRDefault="00BB022A" w:rsidP="001C5C56">
            <w:pPr>
              <w:spacing w:after="0"/>
              <w:jc w:val="center"/>
              <w:rPr>
                <w:rFonts w:ascii="Times New Roman" w:hAnsi="Times New Roman" w:cs="Times New Roman"/>
                <w:sz w:val="16"/>
                <w:szCs w:val="16"/>
              </w:rPr>
            </w:pPr>
            <w:r w:rsidRPr="0031394A">
              <w:rPr>
                <w:rFonts w:ascii="Times New Roman" w:hAnsi="Times New Roman" w:cs="Times New Roman"/>
                <w:sz w:val="16"/>
                <w:szCs w:val="16"/>
                <w:lang w:val="en-GB"/>
              </w:rPr>
              <w:t>60%</w:t>
            </w:r>
          </w:p>
        </w:tc>
        <w:tc>
          <w:tcPr>
            <w:tcW w:w="909" w:type="dxa"/>
          </w:tcPr>
          <w:p w14:paraId="0E8C511A"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56.74%</w:t>
            </w:r>
          </w:p>
        </w:tc>
        <w:tc>
          <w:tcPr>
            <w:tcW w:w="934" w:type="dxa"/>
          </w:tcPr>
          <w:p w14:paraId="38101176"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51.85%</w:t>
            </w:r>
          </w:p>
        </w:tc>
        <w:tc>
          <w:tcPr>
            <w:tcW w:w="1003" w:type="dxa"/>
          </w:tcPr>
          <w:p w14:paraId="5B7AAC7D"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43.70%</w:t>
            </w:r>
          </w:p>
        </w:tc>
      </w:tr>
      <w:tr w:rsidR="00BB022A" w:rsidRPr="0031394A" w14:paraId="01C88BF4" w14:textId="77777777" w:rsidTr="00BB022A">
        <w:trPr>
          <w:jc w:val="center"/>
        </w:trPr>
        <w:tc>
          <w:tcPr>
            <w:tcW w:w="704" w:type="dxa"/>
          </w:tcPr>
          <w:p w14:paraId="6089F86F" w14:textId="77777777" w:rsidR="00BB022A" w:rsidRPr="0031394A" w:rsidRDefault="00BB022A" w:rsidP="001C5C56">
            <w:pPr>
              <w:spacing w:after="0"/>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2080</w:t>
            </w:r>
          </w:p>
        </w:tc>
        <w:tc>
          <w:tcPr>
            <w:tcW w:w="1134" w:type="dxa"/>
          </w:tcPr>
          <w:p w14:paraId="280CA732"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44.68%</w:t>
            </w:r>
          </w:p>
        </w:tc>
        <w:tc>
          <w:tcPr>
            <w:tcW w:w="851" w:type="dxa"/>
          </w:tcPr>
          <w:p w14:paraId="08770016"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41.67%</w:t>
            </w:r>
          </w:p>
        </w:tc>
        <w:tc>
          <w:tcPr>
            <w:tcW w:w="850" w:type="dxa"/>
          </w:tcPr>
          <w:p w14:paraId="584AF414"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37.14%</w:t>
            </w:r>
          </w:p>
        </w:tc>
        <w:tc>
          <w:tcPr>
            <w:tcW w:w="992" w:type="dxa"/>
          </w:tcPr>
          <w:p w14:paraId="4E8283EC"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30.00%</w:t>
            </w:r>
          </w:p>
        </w:tc>
        <w:tc>
          <w:tcPr>
            <w:tcW w:w="1134" w:type="dxa"/>
          </w:tcPr>
          <w:p w14:paraId="000BDAB7" w14:textId="77777777" w:rsidR="00BB022A" w:rsidRPr="0031394A" w:rsidRDefault="00BB022A" w:rsidP="001C5C56">
            <w:pPr>
              <w:spacing w:after="0"/>
              <w:jc w:val="center"/>
              <w:rPr>
                <w:rFonts w:ascii="Times New Roman" w:hAnsi="Times New Roman" w:cs="Times New Roman"/>
                <w:sz w:val="16"/>
                <w:szCs w:val="16"/>
              </w:rPr>
            </w:pPr>
            <w:r w:rsidRPr="0031394A">
              <w:rPr>
                <w:rFonts w:ascii="Times New Roman" w:hAnsi="Times New Roman" w:cs="Times New Roman"/>
                <w:sz w:val="16"/>
                <w:szCs w:val="16"/>
                <w:lang w:val="en-GB"/>
              </w:rPr>
              <w:t>60%</w:t>
            </w:r>
          </w:p>
        </w:tc>
        <w:tc>
          <w:tcPr>
            <w:tcW w:w="909" w:type="dxa"/>
          </w:tcPr>
          <w:p w14:paraId="61D25A1F"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56.72%</w:t>
            </w:r>
          </w:p>
        </w:tc>
        <w:tc>
          <w:tcPr>
            <w:tcW w:w="934" w:type="dxa"/>
          </w:tcPr>
          <w:p w14:paraId="5DD84794"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51.82%</w:t>
            </w:r>
          </w:p>
        </w:tc>
        <w:tc>
          <w:tcPr>
            <w:tcW w:w="1003" w:type="dxa"/>
          </w:tcPr>
          <w:p w14:paraId="4D3EEAF5"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43.63%</w:t>
            </w:r>
          </w:p>
        </w:tc>
      </w:tr>
      <w:tr w:rsidR="00BB022A" w:rsidRPr="0031394A" w14:paraId="21AFA17B" w14:textId="77777777" w:rsidTr="00BB022A">
        <w:trPr>
          <w:jc w:val="center"/>
        </w:trPr>
        <w:tc>
          <w:tcPr>
            <w:tcW w:w="704" w:type="dxa"/>
          </w:tcPr>
          <w:p w14:paraId="05ADC60B" w14:textId="77777777" w:rsidR="00BB022A" w:rsidRPr="0031394A" w:rsidRDefault="00BB022A" w:rsidP="001C5C56">
            <w:pPr>
              <w:spacing w:after="0"/>
              <w:jc w:val="center"/>
              <w:rPr>
                <w:rFonts w:ascii="Times New Roman" w:hAnsi="Times New Roman" w:cs="Times New Roman"/>
                <w:b/>
                <w:sz w:val="16"/>
                <w:szCs w:val="16"/>
                <w:lang w:val="en-GB"/>
              </w:rPr>
            </w:pPr>
            <w:r w:rsidRPr="0031394A">
              <w:rPr>
                <w:rFonts w:ascii="Times New Roman" w:hAnsi="Times New Roman" w:cs="Times New Roman"/>
                <w:b/>
                <w:sz w:val="16"/>
                <w:szCs w:val="16"/>
                <w:lang w:val="en-GB"/>
              </w:rPr>
              <w:t>2090</w:t>
            </w:r>
          </w:p>
        </w:tc>
        <w:tc>
          <w:tcPr>
            <w:tcW w:w="1134" w:type="dxa"/>
          </w:tcPr>
          <w:p w14:paraId="76934287"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55.38%</w:t>
            </w:r>
          </w:p>
        </w:tc>
        <w:tc>
          <w:tcPr>
            <w:tcW w:w="851" w:type="dxa"/>
          </w:tcPr>
          <w:p w14:paraId="0A6C1E29"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41.76%</w:t>
            </w:r>
          </w:p>
        </w:tc>
        <w:tc>
          <w:tcPr>
            <w:tcW w:w="850" w:type="dxa"/>
          </w:tcPr>
          <w:p w14:paraId="70CDCF74"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37.46%</w:t>
            </w:r>
          </w:p>
        </w:tc>
        <w:tc>
          <w:tcPr>
            <w:tcW w:w="992" w:type="dxa"/>
          </w:tcPr>
          <w:p w14:paraId="229C76B3"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30.00%</w:t>
            </w:r>
          </w:p>
        </w:tc>
        <w:tc>
          <w:tcPr>
            <w:tcW w:w="1134" w:type="dxa"/>
          </w:tcPr>
          <w:p w14:paraId="678277AF" w14:textId="77777777" w:rsidR="00BB022A" w:rsidRPr="0031394A" w:rsidRDefault="00BB022A" w:rsidP="001C5C56">
            <w:pPr>
              <w:spacing w:after="0"/>
              <w:jc w:val="center"/>
              <w:rPr>
                <w:rFonts w:ascii="Times New Roman" w:hAnsi="Times New Roman" w:cs="Times New Roman"/>
                <w:sz w:val="16"/>
                <w:szCs w:val="16"/>
              </w:rPr>
            </w:pPr>
            <w:r w:rsidRPr="0031394A">
              <w:rPr>
                <w:rFonts w:ascii="Times New Roman" w:hAnsi="Times New Roman" w:cs="Times New Roman"/>
                <w:sz w:val="16"/>
                <w:szCs w:val="16"/>
                <w:lang w:val="en-GB"/>
              </w:rPr>
              <w:t>60%</w:t>
            </w:r>
          </w:p>
        </w:tc>
        <w:tc>
          <w:tcPr>
            <w:tcW w:w="909" w:type="dxa"/>
          </w:tcPr>
          <w:p w14:paraId="1336596E"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56.72%</w:t>
            </w:r>
          </w:p>
        </w:tc>
        <w:tc>
          <w:tcPr>
            <w:tcW w:w="934" w:type="dxa"/>
          </w:tcPr>
          <w:p w14:paraId="2711972C"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51.81%</w:t>
            </w:r>
          </w:p>
        </w:tc>
        <w:tc>
          <w:tcPr>
            <w:tcW w:w="1003" w:type="dxa"/>
          </w:tcPr>
          <w:p w14:paraId="68E12E07" w14:textId="77777777" w:rsidR="00BB022A" w:rsidRPr="0031394A" w:rsidRDefault="00BB022A" w:rsidP="001C5C56">
            <w:pPr>
              <w:spacing w:after="0"/>
              <w:jc w:val="center"/>
              <w:rPr>
                <w:rFonts w:ascii="Times New Roman" w:hAnsi="Times New Roman" w:cs="Times New Roman"/>
                <w:sz w:val="16"/>
                <w:szCs w:val="16"/>
                <w:lang w:val="en-GB"/>
              </w:rPr>
            </w:pPr>
            <w:r w:rsidRPr="0031394A">
              <w:rPr>
                <w:rFonts w:ascii="Times New Roman" w:hAnsi="Times New Roman" w:cs="Times New Roman"/>
                <w:sz w:val="16"/>
                <w:szCs w:val="16"/>
                <w:lang w:val="en-GB"/>
              </w:rPr>
              <w:t>43.60%</w:t>
            </w:r>
          </w:p>
        </w:tc>
      </w:tr>
    </w:tbl>
    <w:p w14:paraId="69D2A47A" w14:textId="77777777" w:rsidR="004F637F" w:rsidRPr="0031394A" w:rsidRDefault="00452161" w:rsidP="00452161">
      <w:pPr>
        <w:spacing w:after="0" w:line="240" w:lineRule="auto"/>
        <w:jc w:val="center"/>
        <w:rPr>
          <w:rFonts w:ascii="Times New Roman" w:hAnsi="Times New Roman" w:cs="Times New Roman"/>
          <w:szCs w:val="22"/>
          <w:lang w:val="en-GB"/>
        </w:rPr>
      </w:pPr>
      <w:r w:rsidRPr="0031394A">
        <w:rPr>
          <w:rFonts w:ascii="Times New Roman" w:hAnsi="Times New Roman" w:cs="Times New Roman"/>
          <w:szCs w:val="22"/>
          <w:lang w:val="en-GB"/>
        </w:rPr>
        <w:t>Note: Results are shown for investment in 50% equity</w:t>
      </w:r>
      <w:r w:rsidR="00F1793A" w:rsidRPr="0031394A">
        <w:rPr>
          <w:rFonts w:ascii="Times New Roman" w:hAnsi="Times New Roman" w:cs="Times New Roman"/>
          <w:szCs w:val="22"/>
          <w:lang w:val="en-GB"/>
        </w:rPr>
        <w:t xml:space="preserve"> at the</w:t>
      </w:r>
      <w:r w:rsidRPr="0031394A">
        <w:rPr>
          <w:rFonts w:ascii="Times New Roman" w:hAnsi="Times New Roman" w:cs="Times New Roman"/>
          <w:szCs w:val="22"/>
          <w:lang w:val="en-GB"/>
        </w:rPr>
        <w:t xml:space="preserve"> 50</w:t>
      </w:r>
      <w:r w:rsidRPr="0031394A">
        <w:rPr>
          <w:rFonts w:ascii="Times New Roman" w:hAnsi="Times New Roman" w:cs="Times New Roman"/>
          <w:szCs w:val="22"/>
          <w:vertAlign w:val="superscript"/>
          <w:lang w:val="en-GB"/>
        </w:rPr>
        <w:t>th</w:t>
      </w:r>
      <w:r w:rsidRPr="0031394A">
        <w:rPr>
          <w:rFonts w:ascii="Times New Roman" w:hAnsi="Times New Roman" w:cs="Times New Roman"/>
          <w:szCs w:val="22"/>
          <w:lang w:val="en-GB"/>
        </w:rPr>
        <w:t xml:space="preserve"> percentile.</w:t>
      </w:r>
      <w:r w:rsidR="001C5C56" w:rsidRPr="0031394A">
        <w:rPr>
          <w:rFonts w:ascii="Times New Roman" w:hAnsi="Times New Roman" w:cs="Times New Roman"/>
          <w:szCs w:val="22"/>
          <w:lang w:val="en-GB"/>
        </w:rPr>
        <w:t xml:space="preserve"> </w:t>
      </w:r>
    </w:p>
    <w:p w14:paraId="0DD3274E" w14:textId="5C91FF35" w:rsidR="00626038" w:rsidRDefault="00452161" w:rsidP="00D869B0">
      <w:pPr>
        <w:spacing w:after="0" w:line="240" w:lineRule="auto"/>
        <w:jc w:val="center"/>
        <w:rPr>
          <w:rFonts w:ascii="Times New Roman" w:hAnsi="Times New Roman" w:cs="Times New Roman"/>
          <w:szCs w:val="22"/>
          <w:lang w:val="en-GB"/>
        </w:rPr>
      </w:pPr>
      <w:r w:rsidRPr="0031394A">
        <w:rPr>
          <w:rFonts w:ascii="Times New Roman" w:hAnsi="Times New Roman" w:cs="Times New Roman"/>
          <w:szCs w:val="22"/>
          <w:lang w:val="en-GB"/>
        </w:rPr>
        <w:t>Own source</w:t>
      </w:r>
    </w:p>
    <w:p w14:paraId="67F87C1A" w14:textId="77777777" w:rsidR="00D869B0" w:rsidRPr="00D869B0" w:rsidRDefault="00D869B0" w:rsidP="00D869B0">
      <w:pPr>
        <w:spacing w:after="0" w:line="240" w:lineRule="auto"/>
        <w:jc w:val="center"/>
        <w:rPr>
          <w:rFonts w:ascii="Times New Roman" w:hAnsi="Times New Roman" w:cs="Times New Roman"/>
          <w:szCs w:val="22"/>
          <w:lang w:val="en-GB"/>
        </w:rPr>
      </w:pPr>
    </w:p>
    <w:p w14:paraId="78979DCB" w14:textId="77777777" w:rsidR="0093441D" w:rsidRPr="0031394A" w:rsidRDefault="00626038" w:rsidP="00C825A0">
      <w:p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Nevertheless, to avoid any biased analysis</w:t>
      </w:r>
      <w:r w:rsidR="00A206A7" w:rsidRPr="0031394A">
        <w:rPr>
          <w:rFonts w:ascii="Times New Roman" w:hAnsi="Times New Roman" w:cs="Times New Roman"/>
          <w:sz w:val="24"/>
          <w:szCs w:val="24"/>
          <w:lang w:val="en-GB"/>
        </w:rPr>
        <w:t>, it is necessary to calculate an indicator, the internal rate of return (IRR), that takes account of how the amount of both total contributions and pensions evolves with time for a cohort of individuals. In this setting the IRR for a contributor can be defined as the value of the parameter, in the law of compound interest, which in actuarial terms makes contributions equal to benefit</w:t>
      </w:r>
      <w:r w:rsidR="0093441D" w:rsidRPr="0031394A">
        <w:rPr>
          <w:rFonts w:ascii="Times New Roman" w:hAnsi="Times New Roman" w:cs="Times New Roman"/>
          <w:sz w:val="24"/>
          <w:szCs w:val="24"/>
          <w:lang w:val="en-GB"/>
        </w:rPr>
        <w:t>s</w:t>
      </w:r>
      <w:r w:rsidR="00A206A7" w:rsidRPr="0031394A">
        <w:rPr>
          <w:rFonts w:ascii="Times New Roman" w:hAnsi="Times New Roman" w:cs="Times New Roman"/>
          <w:sz w:val="24"/>
          <w:szCs w:val="24"/>
          <w:lang w:val="en-GB"/>
        </w:rPr>
        <w:t>.</w:t>
      </w:r>
      <w:r w:rsidR="002E04B4" w:rsidRPr="0031394A">
        <w:rPr>
          <w:rFonts w:ascii="Times New Roman" w:hAnsi="Times New Roman" w:cs="Times New Roman"/>
          <w:sz w:val="24"/>
          <w:szCs w:val="24"/>
          <w:lang w:val="en-GB"/>
        </w:rPr>
        <w:t xml:space="preserve"> </w:t>
      </w:r>
    </w:p>
    <w:p w14:paraId="6B8D795E" w14:textId="77777777" w:rsidR="00A27894" w:rsidRPr="0031394A" w:rsidRDefault="008E4778" w:rsidP="00C825A0">
      <w:pPr>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When computing the IRR for the pensioners who retire in 2090 we can see that it is higher under a mixed pension system than for a pure PAYG with a RR of 60%.</w:t>
      </w:r>
      <w:r w:rsidR="0093441D" w:rsidRPr="0031394A">
        <w:rPr>
          <w:rFonts w:ascii="Times New Roman" w:hAnsi="Times New Roman" w:cs="Times New Roman"/>
          <w:sz w:val="24"/>
          <w:szCs w:val="24"/>
          <w:lang w:val="en-GB"/>
        </w:rPr>
        <w:t xml:space="preserve"> Specifically, its value when the allocation to the DC part is 10% (5%) is 2.76% (2.67%) compared to a 2.55% for the pure PAYG. For the rest of cohorts of pensioners, the </w:t>
      </w:r>
      <w:r w:rsidR="00F5342E" w:rsidRPr="0031394A">
        <w:rPr>
          <w:rFonts w:ascii="Times New Roman" w:hAnsi="Times New Roman" w:cs="Times New Roman"/>
          <w:sz w:val="24"/>
          <w:szCs w:val="24"/>
          <w:lang w:val="en-GB"/>
        </w:rPr>
        <w:t>results are not conclusive.</w:t>
      </w:r>
      <w:r w:rsidR="00E81349" w:rsidRPr="0031394A">
        <w:rPr>
          <w:rStyle w:val="FootnoteReference"/>
          <w:rFonts w:ascii="Times New Roman" w:hAnsi="Times New Roman" w:cs="Times New Roman"/>
          <w:sz w:val="24"/>
          <w:szCs w:val="24"/>
          <w:lang w:val="en-GB"/>
        </w:rPr>
        <w:footnoteReference w:id="31"/>
      </w:r>
    </w:p>
    <w:p w14:paraId="2D75F878" w14:textId="77777777" w:rsidR="00550DCB" w:rsidRPr="0031394A" w:rsidRDefault="00550DCB" w:rsidP="00C825A0">
      <w:pPr>
        <w:pStyle w:val="ListParagraph"/>
        <w:numPr>
          <w:ilvl w:val="0"/>
          <w:numId w:val="4"/>
        </w:numPr>
        <w:spacing w:before="120" w:after="120" w:line="240" w:lineRule="auto"/>
        <w:ind w:left="284" w:hanging="284"/>
        <w:jc w:val="both"/>
        <w:rPr>
          <w:rFonts w:ascii="Times New Roman" w:hAnsi="Times New Roman" w:cs="Times New Roman"/>
          <w:b/>
          <w:sz w:val="24"/>
          <w:szCs w:val="24"/>
          <w:lang w:val="es-ES"/>
        </w:rPr>
      </w:pPr>
      <w:r w:rsidRPr="0031394A">
        <w:rPr>
          <w:rFonts w:ascii="Times New Roman" w:hAnsi="Times New Roman" w:cs="Times New Roman"/>
          <w:b/>
          <w:sz w:val="24"/>
          <w:szCs w:val="24"/>
          <w:lang w:val="es-ES"/>
        </w:rPr>
        <w:t>Conclusions</w:t>
      </w:r>
      <w:r w:rsidR="00741F4E" w:rsidRPr="0031394A">
        <w:rPr>
          <w:rFonts w:ascii="Times New Roman" w:hAnsi="Times New Roman" w:cs="Times New Roman"/>
          <w:b/>
          <w:sz w:val="24"/>
          <w:szCs w:val="24"/>
          <w:lang w:val="es-ES"/>
        </w:rPr>
        <w:t xml:space="preserve"> </w:t>
      </w:r>
    </w:p>
    <w:p w14:paraId="21C9EE09" w14:textId="77777777" w:rsidR="00550DCB" w:rsidRPr="0031394A" w:rsidRDefault="002328A4" w:rsidP="00C825A0">
      <w:pPr>
        <w:pStyle w:val="COSTNormal"/>
        <w:spacing w:before="120" w:after="120"/>
        <w:rPr>
          <w:rFonts w:ascii="Times New Roman" w:hAnsi="Times New Roman" w:cs="Times New Roman"/>
          <w:color w:val="auto"/>
          <w:sz w:val="24"/>
          <w:szCs w:val="24"/>
          <w:lang w:val="en-GB"/>
        </w:rPr>
      </w:pPr>
      <w:r w:rsidRPr="0031394A">
        <w:rPr>
          <w:rFonts w:ascii="Times New Roman" w:hAnsi="Times New Roman" w:cs="Times New Roman"/>
          <w:color w:val="auto"/>
          <w:sz w:val="24"/>
          <w:szCs w:val="24"/>
          <w:lang w:val="en-GB"/>
        </w:rPr>
        <w:t>M</w:t>
      </w:r>
      <w:r w:rsidR="00550DCB" w:rsidRPr="0031394A">
        <w:rPr>
          <w:rFonts w:ascii="Times New Roman" w:hAnsi="Times New Roman" w:cs="Times New Roman"/>
          <w:color w:val="auto"/>
          <w:sz w:val="24"/>
          <w:szCs w:val="24"/>
          <w:lang w:val="en-GB"/>
        </w:rPr>
        <w:t xml:space="preserve">ixed </w:t>
      </w:r>
      <w:r w:rsidRPr="0031394A">
        <w:rPr>
          <w:rFonts w:ascii="Times New Roman" w:hAnsi="Times New Roman" w:cs="Times New Roman"/>
          <w:color w:val="auto"/>
          <w:sz w:val="24"/>
          <w:szCs w:val="24"/>
          <w:lang w:val="en-GB"/>
        </w:rPr>
        <w:t xml:space="preserve">pension </w:t>
      </w:r>
      <w:r w:rsidR="00550DCB" w:rsidRPr="0031394A">
        <w:rPr>
          <w:rFonts w:ascii="Times New Roman" w:hAnsi="Times New Roman" w:cs="Times New Roman"/>
          <w:color w:val="auto"/>
          <w:sz w:val="24"/>
          <w:szCs w:val="24"/>
          <w:lang w:val="en-GB"/>
        </w:rPr>
        <w:t>systems have been advocated, particularly by the World Bank, as a practical way to reconcile the higher financial market returns compared with GDP growth with the costs of a scheme with a greater funded element.</w:t>
      </w:r>
    </w:p>
    <w:p w14:paraId="5ABD8BF6" w14:textId="77777777" w:rsidR="002328A4" w:rsidRPr="0031394A" w:rsidRDefault="00550DCB" w:rsidP="00C825A0">
      <w:pPr>
        <w:pStyle w:val="COSTNormal"/>
        <w:spacing w:before="120" w:after="120"/>
        <w:rPr>
          <w:rFonts w:ascii="Times New Roman" w:hAnsi="Times New Roman" w:cs="Times New Roman"/>
          <w:color w:val="auto"/>
          <w:sz w:val="24"/>
          <w:szCs w:val="24"/>
          <w:lang w:val="en-GB"/>
        </w:rPr>
      </w:pPr>
      <w:r w:rsidRPr="0031394A">
        <w:rPr>
          <w:rFonts w:ascii="Times New Roman" w:hAnsi="Times New Roman" w:cs="Times New Roman"/>
          <w:color w:val="auto"/>
          <w:sz w:val="24"/>
          <w:szCs w:val="24"/>
          <w:lang w:val="en-GB"/>
        </w:rPr>
        <w:t xml:space="preserve">This </w:t>
      </w:r>
      <w:r w:rsidR="002328A4" w:rsidRPr="0031394A">
        <w:rPr>
          <w:rFonts w:ascii="Times New Roman" w:hAnsi="Times New Roman" w:cs="Times New Roman"/>
          <w:color w:val="auto"/>
          <w:sz w:val="24"/>
          <w:szCs w:val="24"/>
          <w:lang w:val="en-GB"/>
        </w:rPr>
        <w:t>paper</w:t>
      </w:r>
      <w:r w:rsidRPr="0031394A">
        <w:rPr>
          <w:rFonts w:ascii="Times New Roman" w:hAnsi="Times New Roman" w:cs="Times New Roman"/>
          <w:color w:val="auto"/>
          <w:sz w:val="24"/>
          <w:szCs w:val="24"/>
          <w:lang w:val="en-GB"/>
        </w:rPr>
        <w:t xml:space="preserve"> us</w:t>
      </w:r>
      <w:r w:rsidR="006E3988" w:rsidRPr="0031394A">
        <w:rPr>
          <w:rFonts w:ascii="Times New Roman" w:hAnsi="Times New Roman" w:cs="Times New Roman"/>
          <w:color w:val="auto"/>
          <w:sz w:val="24"/>
          <w:szCs w:val="24"/>
          <w:lang w:val="en-GB"/>
        </w:rPr>
        <w:t>es</w:t>
      </w:r>
      <w:r w:rsidRPr="0031394A">
        <w:rPr>
          <w:rFonts w:ascii="Times New Roman" w:hAnsi="Times New Roman" w:cs="Times New Roman"/>
          <w:color w:val="auto"/>
          <w:sz w:val="24"/>
          <w:szCs w:val="24"/>
          <w:lang w:val="en-GB"/>
        </w:rPr>
        <w:t xml:space="preserve"> </w:t>
      </w:r>
      <w:r w:rsidR="006E3988" w:rsidRPr="0031394A">
        <w:rPr>
          <w:rFonts w:ascii="Times New Roman" w:hAnsi="Times New Roman" w:cs="Times New Roman"/>
          <w:color w:val="auto"/>
          <w:sz w:val="24"/>
          <w:szCs w:val="24"/>
          <w:lang w:val="en-GB"/>
        </w:rPr>
        <w:t xml:space="preserve">a </w:t>
      </w:r>
      <w:r w:rsidRPr="0031394A">
        <w:rPr>
          <w:rFonts w:ascii="Times New Roman" w:hAnsi="Times New Roman" w:cs="Times New Roman"/>
          <w:color w:val="auto"/>
          <w:sz w:val="24"/>
          <w:szCs w:val="24"/>
          <w:lang w:val="en-GB"/>
        </w:rPr>
        <w:t xml:space="preserve">nonlinear </w:t>
      </w:r>
      <w:r w:rsidR="005C2D9E" w:rsidRPr="0031394A">
        <w:rPr>
          <w:rFonts w:ascii="Times New Roman" w:hAnsi="Times New Roman" w:cs="Times New Roman"/>
          <w:color w:val="auto"/>
          <w:sz w:val="24"/>
          <w:szCs w:val="24"/>
          <w:lang w:val="en-GB"/>
        </w:rPr>
        <w:t>optimisation</w:t>
      </w:r>
      <w:r w:rsidRPr="0031394A">
        <w:rPr>
          <w:rFonts w:ascii="Times New Roman" w:hAnsi="Times New Roman" w:cs="Times New Roman"/>
          <w:color w:val="auto"/>
          <w:sz w:val="24"/>
          <w:szCs w:val="24"/>
          <w:lang w:val="en-GB"/>
        </w:rPr>
        <w:t xml:space="preserve"> </w:t>
      </w:r>
      <w:r w:rsidR="006E3988" w:rsidRPr="0031394A">
        <w:rPr>
          <w:rFonts w:ascii="Times New Roman" w:hAnsi="Times New Roman" w:cs="Times New Roman"/>
          <w:color w:val="auto"/>
          <w:sz w:val="24"/>
          <w:szCs w:val="24"/>
          <w:lang w:val="en-GB"/>
        </w:rPr>
        <w:t xml:space="preserve">methodology </w:t>
      </w:r>
      <w:r w:rsidRPr="0031394A">
        <w:rPr>
          <w:rFonts w:ascii="Times New Roman" w:hAnsi="Times New Roman" w:cs="Times New Roman"/>
          <w:color w:val="auto"/>
          <w:sz w:val="24"/>
          <w:szCs w:val="24"/>
          <w:lang w:val="en-GB"/>
        </w:rPr>
        <w:t xml:space="preserve">based on </w:t>
      </w:r>
      <w:r w:rsidR="00C71E1D" w:rsidRPr="0031394A">
        <w:rPr>
          <w:rFonts w:ascii="Times New Roman" w:hAnsi="Times New Roman" w:cs="Times New Roman"/>
          <w:color w:val="auto"/>
          <w:sz w:val="24"/>
          <w:szCs w:val="24"/>
          <w:lang w:val="en-GB"/>
        </w:rPr>
        <w:t>Godínez-Olivares, Boado-Penas and Haberman (2016)</w:t>
      </w:r>
      <w:r w:rsidR="002328A4" w:rsidRPr="0031394A">
        <w:rPr>
          <w:rFonts w:ascii="Times New Roman" w:hAnsi="Times New Roman" w:cs="Times New Roman"/>
          <w:color w:val="auto"/>
          <w:sz w:val="24"/>
          <w:szCs w:val="24"/>
          <w:lang w:val="en-GB"/>
        </w:rPr>
        <w:t xml:space="preserve"> and assess</w:t>
      </w:r>
      <w:r w:rsidR="00C27A5E" w:rsidRPr="0031394A">
        <w:rPr>
          <w:rFonts w:ascii="Times New Roman" w:hAnsi="Times New Roman" w:cs="Times New Roman"/>
          <w:color w:val="auto"/>
          <w:sz w:val="24"/>
          <w:szCs w:val="24"/>
          <w:lang w:val="en-GB"/>
        </w:rPr>
        <w:t xml:space="preserve">es </w:t>
      </w:r>
      <w:r w:rsidR="002328A4" w:rsidRPr="0031394A">
        <w:rPr>
          <w:rFonts w:ascii="Times New Roman" w:hAnsi="Times New Roman" w:cs="Times New Roman"/>
          <w:color w:val="auto"/>
          <w:sz w:val="24"/>
          <w:szCs w:val="24"/>
          <w:lang w:val="en-GB"/>
        </w:rPr>
        <w:t xml:space="preserve">the impact of a compulsory funded pension scheme that </w:t>
      </w:r>
      <w:r w:rsidRPr="0031394A">
        <w:rPr>
          <w:rFonts w:ascii="Times New Roman" w:hAnsi="Times New Roman" w:cs="Times New Roman"/>
          <w:color w:val="auto"/>
          <w:sz w:val="24"/>
          <w:szCs w:val="24"/>
          <w:lang w:val="en-GB"/>
        </w:rPr>
        <w:t xml:space="preserve">complements the </w:t>
      </w:r>
      <w:r w:rsidR="00D70294" w:rsidRPr="0031394A">
        <w:rPr>
          <w:rFonts w:ascii="Times New Roman" w:hAnsi="Times New Roman" w:cs="Times New Roman"/>
          <w:color w:val="auto"/>
          <w:sz w:val="24"/>
          <w:szCs w:val="24"/>
          <w:lang w:val="en-GB"/>
        </w:rPr>
        <w:t xml:space="preserve">defined benefit </w:t>
      </w:r>
      <w:r w:rsidRPr="0031394A">
        <w:rPr>
          <w:rFonts w:ascii="Times New Roman" w:hAnsi="Times New Roman" w:cs="Times New Roman"/>
          <w:color w:val="auto"/>
          <w:sz w:val="24"/>
          <w:szCs w:val="24"/>
          <w:lang w:val="en-GB"/>
        </w:rPr>
        <w:t>PAYG.</w:t>
      </w:r>
      <w:r w:rsidR="002E6A52" w:rsidRPr="0031394A">
        <w:rPr>
          <w:rFonts w:ascii="Times New Roman" w:hAnsi="Times New Roman" w:cs="Times New Roman"/>
          <w:color w:val="auto"/>
          <w:sz w:val="24"/>
          <w:szCs w:val="24"/>
          <w:lang w:val="en-GB"/>
        </w:rPr>
        <w:t xml:space="preserve"> </w:t>
      </w:r>
    </w:p>
    <w:p w14:paraId="34AF3B27" w14:textId="77777777" w:rsidR="002328A4" w:rsidRPr="0031394A" w:rsidRDefault="002E6A52" w:rsidP="00C825A0">
      <w:pPr>
        <w:pStyle w:val="COSTNormal"/>
        <w:spacing w:before="120" w:after="120"/>
        <w:rPr>
          <w:rFonts w:ascii="Times New Roman" w:hAnsi="Times New Roman" w:cs="Times New Roman"/>
          <w:color w:val="auto"/>
          <w:sz w:val="24"/>
          <w:szCs w:val="24"/>
          <w:lang w:val="en-GB"/>
        </w:rPr>
      </w:pPr>
      <w:r w:rsidRPr="0031394A">
        <w:rPr>
          <w:rFonts w:ascii="Times New Roman" w:hAnsi="Times New Roman" w:cs="Times New Roman"/>
          <w:color w:val="auto"/>
          <w:sz w:val="24"/>
          <w:szCs w:val="24"/>
          <w:lang w:val="en-GB"/>
        </w:rPr>
        <w:t>We explore the case of a pure PAYG s</w:t>
      </w:r>
      <w:r w:rsidR="00C27A5E" w:rsidRPr="0031394A">
        <w:rPr>
          <w:rFonts w:ascii="Times New Roman" w:hAnsi="Times New Roman" w:cs="Times New Roman"/>
          <w:color w:val="auto"/>
          <w:sz w:val="24"/>
          <w:szCs w:val="24"/>
          <w:lang w:val="en-GB"/>
        </w:rPr>
        <w:t>cheme</w:t>
      </w:r>
      <w:r w:rsidRPr="0031394A">
        <w:rPr>
          <w:rFonts w:ascii="Times New Roman" w:hAnsi="Times New Roman" w:cs="Times New Roman"/>
          <w:color w:val="auto"/>
          <w:sz w:val="24"/>
          <w:szCs w:val="24"/>
          <w:lang w:val="en-GB"/>
        </w:rPr>
        <w:t xml:space="preserve"> versus a mixed pension system considering </w:t>
      </w:r>
      <w:r w:rsidR="002328A4" w:rsidRPr="0031394A">
        <w:rPr>
          <w:rFonts w:ascii="Times New Roman" w:hAnsi="Times New Roman" w:cs="Times New Roman"/>
          <w:color w:val="auto"/>
          <w:sz w:val="24"/>
          <w:szCs w:val="24"/>
          <w:lang w:val="en-GB"/>
        </w:rPr>
        <w:t xml:space="preserve">different allocations to the funded scheme </w:t>
      </w:r>
      <w:r w:rsidR="00717678" w:rsidRPr="0031394A">
        <w:rPr>
          <w:rFonts w:ascii="Times New Roman" w:hAnsi="Times New Roman" w:cs="Times New Roman"/>
          <w:color w:val="auto"/>
          <w:sz w:val="24"/>
          <w:szCs w:val="24"/>
          <w:lang w:val="en-GB"/>
        </w:rPr>
        <w:t>and</w:t>
      </w:r>
      <w:r w:rsidR="002328A4" w:rsidRPr="0031394A">
        <w:rPr>
          <w:rFonts w:ascii="Times New Roman" w:hAnsi="Times New Roman" w:cs="Times New Roman"/>
          <w:color w:val="auto"/>
          <w:sz w:val="24"/>
          <w:szCs w:val="24"/>
          <w:lang w:val="en-GB"/>
        </w:rPr>
        <w:t xml:space="preserve"> investment strategies. The block-bootstrapping technique is used to calculate </w:t>
      </w:r>
      <w:r w:rsidR="0010776E" w:rsidRPr="0031394A">
        <w:rPr>
          <w:rFonts w:ascii="Times New Roman" w:hAnsi="Times New Roman" w:cs="Times New Roman"/>
          <w:color w:val="auto"/>
          <w:sz w:val="24"/>
          <w:szCs w:val="24"/>
          <w:lang w:val="en-GB"/>
        </w:rPr>
        <w:t xml:space="preserve">simulated </w:t>
      </w:r>
      <w:r w:rsidR="002328A4" w:rsidRPr="0031394A">
        <w:rPr>
          <w:rFonts w:ascii="Times New Roman" w:hAnsi="Times New Roman" w:cs="Times New Roman"/>
          <w:color w:val="auto"/>
          <w:sz w:val="24"/>
          <w:szCs w:val="24"/>
          <w:lang w:val="en-GB"/>
        </w:rPr>
        <w:t>returns. We show that the annual return is</w:t>
      </w:r>
      <w:r w:rsidR="000508DB" w:rsidRPr="0031394A">
        <w:rPr>
          <w:rFonts w:ascii="Times New Roman" w:hAnsi="Times New Roman" w:cs="Times New Roman"/>
          <w:color w:val="auto"/>
          <w:sz w:val="24"/>
          <w:szCs w:val="24"/>
          <w:lang w:val="en-GB"/>
        </w:rPr>
        <w:t xml:space="preserve"> much</w:t>
      </w:r>
      <w:r w:rsidR="002328A4" w:rsidRPr="0031394A">
        <w:rPr>
          <w:rFonts w:ascii="Times New Roman" w:hAnsi="Times New Roman" w:cs="Times New Roman"/>
          <w:color w:val="auto"/>
          <w:sz w:val="24"/>
          <w:szCs w:val="24"/>
          <w:lang w:val="en-GB"/>
        </w:rPr>
        <w:t xml:space="preserve"> higher if the investment is 100% in equities, i.e. 4.35%</w:t>
      </w:r>
      <w:r w:rsidR="001363E8" w:rsidRPr="0031394A">
        <w:rPr>
          <w:rFonts w:ascii="Times New Roman" w:hAnsi="Times New Roman" w:cs="Times New Roman"/>
          <w:color w:val="auto"/>
          <w:sz w:val="24"/>
          <w:szCs w:val="24"/>
          <w:lang w:val="en-GB"/>
        </w:rPr>
        <w:t xml:space="preserve"> compared to 1.04% if the capital is only invested in bonds.</w:t>
      </w:r>
    </w:p>
    <w:p w14:paraId="417D1864" w14:textId="77777777" w:rsidR="00C27A5E" w:rsidRPr="0031394A" w:rsidRDefault="00C27A5E" w:rsidP="00C825A0">
      <w:pPr>
        <w:pStyle w:val="COSTNormal"/>
        <w:spacing w:before="120" w:after="120"/>
        <w:rPr>
          <w:rFonts w:ascii="Times New Roman" w:hAnsi="Times New Roman" w:cs="Times New Roman"/>
          <w:color w:val="auto"/>
          <w:sz w:val="24"/>
          <w:szCs w:val="24"/>
          <w:lang w:val="en-GB"/>
        </w:rPr>
      </w:pPr>
      <w:r w:rsidRPr="0031394A">
        <w:rPr>
          <w:rFonts w:ascii="Times New Roman" w:hAnsi="Times New Roman" w:cs="Times New Roman"/>
          <w:color w:val="auto"/>
          <w:sz w:val="24"/>
          <w:szCs w:val="24"/>
          <w:lang w:val="en-GB"/>
        </w:rPr>
        <w:lastRenderedPageBreak/>
        <w:t xml:space="preserve">For the PAYG </w:t>
      </w:r>
      <w:r w:rsidR="005B53CD" w:rsidRPr="0031394A">
        <w:rPr>
          <w:rFonts w:ascii="Times New Roman" w:hAnsi="Times New Roman" w:cs="Times New Roman"/>
          <w:color w:val="auto"/>
          <w:sz w:val="24"/>
          <w:szCs w:val="24"/>
          <w:lang w:val="en-GB"/>
        </w:rPr>
        <w:t>part</w:t>
      </w:r>
      <w:r w:rsidR="00717678" w:rsidRPr="0031394A">
        <w:rPr>
          <w:rFonts w:ascii="Times New Roman" w:hAnsi="Times New Roman" w:cs="Times New Roman"/>
          <w:color w:val="auto"/>
          <w:sz w:val="24"/>
          <w:szCs w:val="24"/>
          <w:lang w:val="en-GB"/>
        </w:rPr>
        <w:t>,</w:t>
      </w:r>
      <w:r w:rsidRPr="0031394A">
        <w:rPr>
          <w:rFonts w:ascii="Times New Roman" w:hAnsi="Times New Roman" w:cs="Times New Roman"/>
          <w:color w:val="auto"/>
          <w:sz w:val="24"/>
          <w:szCs w:val="24"/>
          <w:lang w:val="en-GB"/>
        </w:rPr>
        <w:t xml:space="preserve"> we observe that there are not substantial differences in the optimal path</w:t>
      </w:r>
      <w:r w:rsidR="00717678" w:rsidRPr="0031394A">
        <w:rPr>
          <w:rFonts w:ascii="Times New Roman" w:hAnsi="Times New Roman" w:cs="Times New Roman"/>
          <w:color w:val="auto"/>
          <w:sz w:val="24"/>
          <w:szCs w:val="24"/>
          <w:lang w:val="en-GB"/>
        </w:rPr>
        <w:t>s</w:t>
      </w:r>
      <w:r w:rsidRPr="0031394A">
        <w:rPr>
          <w:rFonts w:ascii="Times New Roman" w:hAnsi="Times New Roman" w:cs="Times New Roman"/>
          <w:color w:val="auto"/>
          <w:sz w:val="24"/>
          <w:szCs w:val="24"/>
          <w:lang w:val="en-GB"/>
        </w:rPr>
        <w:t xml:space="preserve"> of the decision variables - age of retirement, contribution rate and indexation of pensions</w:t>
      </w:r>
      <w:r w:rsidR="00717678" w:rsidRPr="0031394A">
        <w:rPr>
          <w:rFonts w:ascii="Times New Roman" w:hAnsi="Times New Roman" w:cs="Times New Roman"/>
          <w:color w:val="auto"/>
          <w:sz w:val="24"/>
          <w:szCs w:val="24"/>
          <w:lang w:val="en-GB"/>
        </w:rPr>
        <w:t>,</w:t>
      </w:r>
      <w:r w:rsidRPr="0031394A">
        <w:rPr>
          <w:rFonts w:ascii="Times New Roman" w:hAnsi="Times New Roman" w:cs="Times New Roman"/>
          <w:color w:val="auto"/>
          <w:sz w:val="24"/>
          <w:szCs w:val="24"/>
          <w:lang w:val="en-GB"/>
        </w:rPr>
        <w:t xml:space="preserve"> whatever the investment strategy to be followed by the buffer fund is. The main reason for this is the fact that</w:t>
      </w:r>
      <w:r w:rsidR="00717678" w:rsidRPr="0031394A">
        <w:rPr>
          <w:rFonts w:ascii="Times New Roman" w:hAnsi="Times New Roman" w:cs="Times New Roman"/>
          <w:color w:val="auto"/>
          <w:sz w:val="24"/>
          <w:szCs w:val="24"/>
          <w:lang w:val="en-GB"/>
        </w:rPr>
        <w:t>,</w:t>
      </w:r>
      <w:r w:rsidRPr="0031394A">
        <w:rPr>
          <w:rFonts w:ascii="Times New Roman" w:hAnsi="Times New Roman" w:cs="Times New Roman"/>
          <w:color w:val="auto"/>
          <w:sz w:val="24"/>
          <w:szCs w:val="24"/>
          <w:lang w:val="en-GB"/>
        </w:rPr>
        <w:t xml:space="preserve"> under a PAYG scheme</w:t>
      </w:r>
      <w:r w:rsidR="00717678" w:rsidRPr="0031394A">
        <w:rPr>
          <w:rFonts w:ascii="Times New Roman" w:hAnsi="Times New Roman" w:cs="Times New Roman"/>
          <w:color w:val="auto"/>
          <w:sz w:val="24"/>
          <w:szCs w:val="24"/>
          <w:lang w:val="en-GB"/>
        </w:rPr>
        <w:t>,</w:t>
      </w:r>
      <w:r w:rsidRPr="0031394A">
        <w:rPr>
          <w:rFonts w:ascii="Times New Roman" w:hAnsi="Times New Roman" w:cs="Times New Roman"/>
          <w:color w:val="auto"/>
          <w:sz w:val="24"/>
          <w:szCs w:val="24"/>
          <w:lang w:val="en-GB"/>
        </w:rPr>
        <w:t xml:space="preserve"> there is no accumulation of money </w:t>
      </w:r>
      <w:r w:rsidR="0010776E" w:rsidRPr="0031394A">
        <w:rPr>
          <w:rFonts w:ascii="Times New Roman" w:hAnsi="Times New Roman" w:cs="Times New Roman"/>
          <w:color w:val="auto"/>
          <w:sz w:val="24"/>
          <w:szCs w:val="24"/>
          <w:lang w:val="en-GB"/>
        </w:rPr>
        <w:t>with</w:t>
      </w:r>
      <w:r w:rsidRPr="0031394A">
        <w:rPr>
          <w:rFonts w:ascii="Times New Roman" w:hAnsi="Times New Roman" w:cs="Times New Roman"/>
          <w:color w:val="auto"/>
          <w:sz w:val="24"/>
          <w:szCs w:val="24"/>
          <w:lang w:val="en-GB"/>
        </w:rPr>
        <w:t xml:space="preserve"> the aim of the fund </w:t>
      </w:r>
      <w:r w:rsidR="0010776E" w:rsidRPr="0031394A">
        <w:rPr>
          <w:rFonts w:ascii="Times New Roman" w:hAnsi="Times New Roman" w:cs="Times New Roman"/>
          <w:color w:val="auto"/>
          <w:sz w:val="24"/>
          <w:szCs w:val="24"/>
          <w:lang w:val="en-GB"/>
        </w:rPr>
        <w:t>being</w:t>
      </w:r>
      <w:r w:rsidRPr="0031394A">
        <w:rPr>
          <w:rFonts w:ascii="Times New Roman" w:hAnsi="Times New Roman" w:cs="Times New Roman"/>
          <w:color w:val="auto"/>
          <w:sz w:val="24"/>
          <w:szCs w:val="24"/>
          <w:lang w:val="en-GB"/>
        </w:rPr>
        <w:t xml:space="preserve"> to absorb unexpected events that affect the financial equilibrium of the pension systems in the short run.</w:t>
      </w:r>
    </w:p>
    <w:p w14:paraId="771D8A45" w14:textId="77777777" w:rsidR="007E5E80" w:rsidRPr="0031394A" w:rsidRDefault="001363E8" w:rsidP="00C825A0">
      <w:pPr>
        <w:pStyle w:val="COSTNormal"/>
        <w:spacing w:before="120" w:after="120"/>
        <w:rPr>
          <w:rFonts w:ascii="Times New Roman" w:hAnsi="Times New Roman" w:cs="Times New Roman"/>
          <w:color w:val="auto"/>
          <w:sz w:val="24"/>
          <w:szCs w:val="24"/>
          <w:lang w:val="en-GB"/>
        </w:rPr>
      </w:pPr>
      <w:r w:rsidRPr="0031394A">
        <w:rPr>
          <w:rFonts w:ascii="Times New Roman" w:hAnsi="Times New Roman" w:cs="Times New Roman"/>
          <w:color w:val="auto"/>
          <w:sz w:val="24"/>
          <w:szCs w:val="24"/>
          <w:lang w:val="en-GB"/>
        </w:rPr>
        <w:t xml:space="preserve">We show that the </w:t>
      </w:r>
      <w:r w:rsidR="005B53CD" w:rsidRPr="0031394A">
        <w:rPr>
          <w:rFonts w:ascii="Times New Roman" w:hAnsi="Times New Roman" w:cs="Times New Roman"/>
          <w:color w:val="auto"/>
          <w:sz w:val="24"/>
          <w:szCs w:val="24"/>
          <w:lang w:val="en-GB"/>
        </w:rPr>
        <w:t>adjustments</w:t>
      </w:r>
      <w:r w:rsidRPr="0031394A">
        <w:rPr>
          <w:rFonts w:ascii="Times New Roman" w:hAnsi="Times New Roman" w:cs="Times New Roman"/>
          <w:color w:val="auto"/>
          <w:sz w:val="24"/>
          <w:szCs w:val="24"/>
          <w:lang w:val="en-GB"/>
        </w:rPr>
        <w:t xml:space="preserve"> needed for the mixed pension system are less severe</w:t>
      </w:r>
      <w:r w:rsidR="005B53CD" w:rsidRPr="0031394A">
        <w:rPr>
          <w:rFonts w:ascii="Times New Roman" w:hAnsi="Times New Roman" w:cs="Times New Roman"/>
          <w:color w:val="auto"/>
          <w:sz w:val="24"/>
          <w:szCs w:val="24"/>
          <w:lang w:val="en-GB"/>
        </w:rPr>
        <w:t xml:space="preserve"> than the pure PAYG</w:t>
      </w:r>
      <w:r w:rsidRPr="0031394A">
        <w:rPr>
          <w:rFonts w:ascii="Times New Roman" w:hAnsi="Times New Roman" w:cs="Times New Roman"/>
          <w:color w:val="auto"/>
          <w:sz w:val="24"/>
          <w:szCs w:val="24"/>
          <w:lang w:val="en-GB"/>
        </w:rPr>
        <w:t xml:space="preserve"> </w:t>
      </w:r>
      <w:r w:rsidR="005B53CD" w:rsidRPr="0031394A">
        <w:rPr>
          <w:rFonts w:ascii="Times New Roman" w:hAnsi="Times New Roman" w:cs="Times New Roman"/>
          <w:color w:val="auto"/>
          <w:sz w:val="24"/>
          <w:szCs w:val="24"/>
          <w:lang w:val="en-GB"/>
        </w:rPr>
        <w:t>because</w:t>
      </w:r>
      <w:r w:rsidRPr="0031394A">
        <w:rPr>
          <w:rFonts w:ascii="Times New Roman" w:hAnsi="Times New Roman" w:cs="Times New Roman"/>
          <w:color w:val="auto"/>
          <w:sz w:val="24"/>
          <w:szCs w:val="24"/>
          <w:lang w:val="en-GB"/>
        </w:rPr>
        <w:t xml:space="preserve"> the </w:t>
      </w:r>
      <w:r w:rsidR="005B53CD" w:rsidRPr="0031394A">
        <w:rPr>
          <w:rFonts w:ascii="Times New Roman" w:hAnsi="Times New Roman" w:cs="Times New Roman"/>
          <w:color w:val="auto"/>
          <w:sz w:val="24"/>
          <w:szCs w:val="24"/>
          <w:lang w:val="en-GB"/>
        </w:rPr>
        <w:t>latter</w:t>
      </w:r>
      <w:r w:rsidRPr="0031394A">
        <w:rPr>
          <w:rFonts w:ascii="Times New Roman" w:hAnsi="Times New Roman" w:cs="Times New Roman"/>
          <w:color w:val="auto"/>
          <w:sz w:val="24"/>
          <w:szCs w:val="24"/>
          <w:lang w:val="en-GB"/>
        </w:rPr>
        <w:t xml:space="preserve"> promises a </w:t>
      </w:r>
      <w:r w:rsidR="00C27A5E" w:rsidRPr="0031394A">
        <w:rPr>
          <w:rFonts w:ascii="Times New Roman" w:hAnsi="Times New Roman" w:cs="Times New Roman"/>
          <w:color w:val="auto"/>
          <w:sz w:val="24"/>
          <w:szCs w:val="24"/>
          <w:lang w:val="en-GB"/>
        </w:rPr>
        <w:t>higher</w:t>
      </w:r>
      <w:r w:rsidRPr="0031394A">
        <w:rPr>
          <w:rFonts w:ascii="Times New Roman" w:hAnsi="Times New Roman" w:cs="Times New Roman"/>
          <w:color w:val="auto"/>
          <w:sz w:val="24"/>
          <w:szCs w:val="24"/>
          <w:lang w:val="en-GB"/>
        </w:rPr>
        <w:t xml:space="preserve"> replacement rate</w:t>
      </w:r>
      <w:r w:rsidR="009E7D94" w:rsidRPr="0031394A">
        <w:rPr>
          <w:rFonts w:ascii="Times New Roman" w:hAnsi="Times New Roman" w:cs="Times New Roman"/>
          <w:color w:val="auto"/>
          <w:sz w:val="24"/>
          <w:szCs w:val="24"/>
          <w:lang w:val="en-GB"/>
        </w:rPr>
        <w:t xml:space="preserve"> than the PAYG part associated to the mixed system</w:t>
      </w:r>
      <w:r w:rsidRPr="0031394A">
        <w:rPr>
          <w:rFonts w:ascii="Times New Roman" w:hAnsi="Times New Roman" w:cs="Times New Roman"/>
          <w:color w:val="auto"/>
          <w:sz w:val="24"/>
          <w:szCs w:val="24"/>
          <w:lang w:val="en-GB"/>
        </w:rPr>
        <w:t xml:space="preserve">. </w:t>
      </w:r>
      <w:r w:rsidR="00E6188F" w:rsidRPr="0031394A">
        <w:rPr>
          <w:rFonts w:ascii="Times New Roman" w:hAnsi="Times New Roman" w:cs="Times New Roman"/>
          <w:color w:val="auto"/>
          <w:sz w:val="24"/>
          <w:szCs w:val="24"/>
          <w:lang w:val="en-GB"/>
        </w:rPr>
        <w:t>However, t</w:t>
      </w:r>
      <w:r w:rsidRPr="0031394A">
        <w:rPr>
          <w:rFonts w:ascii="Times New Roman" w:hAnsi="Times New Roman" w:cs="Times New Roman"/>
          <w:color w:val="auto"/>
          <w:sz w:val="24"/>
          <w:szCs w:val="24"/>
          <w:lang w:val="en-GB"/>
        </w:rPr>
        <w:t>he total replacement rate for the mixed pension system is</w:t>
      </w:r>
      <w:r w:rsidR="009E7D94" w:rsidRPr="0031394A">
        <w:rPr>
          <w:rFonts w:ascii="Times New Roman" w:hAnsi="Times New Roman" w:cs="Times New Roman"/>
          <w:color w:val="auto"/>
          <w:sz w:val="24"/>
          <w:szCs w:val="24"/>
          <w:lang w:val="en-GB"/>
        </w:rPr>
        <w:t xml:space="preserve"> </w:t>
      </w:r>
      <w:r w:rsidRPr="0031394A">
        <w:rPr>
          <w:rFonts w:ascii="Times New Roman" w:hAnsi="Times New Roman" w:cs="Times New Roman"/>
          <w:color w:val="auto"/>
          <w:sz w:val="24"/>
          <w:szCs w:val="24"/>
          <w:lang w:val="en-GB"/>
        </w:rPr>
        <w:t xml:space="preserve">lower than the pure PAYG in most of the cases studied. Only if the investment is exclusively made to equities and </w:t>
      </w:r>
      <w:r w:rsidR="007E5E80" w:rsidRPr="0031394A">
        <w:rPr>
          <w:rFonts w:ascii="Times New Roman" w:hAnsi="Times New Roman" w:cs="Times New Roman"/>
          <w:color w:val="auto"/>
          <w:sz w:val="24"/>
          <w:szCs w:val="24"/>
          <w:lang w:val="en-GB"/>
        </w:rPr>
        <w:t xml:space="preserve">at </w:t>
      </w:r>
      <w:r w:rsidRPr="0031394A">
        <w:rPr>
          <w:rFonts w:ascii="Times New Roman" w:hAnsi="Times New Roman" w:cs="Times New Roman"/>
          <w:color w:val="auto"/>
          <w:sz w:val="24"/>
          <w:szCs w:val="24"/>
          <w:lang w:val="en-GB"/>
        </w:rPr>
        <w:t>the 90</w:t>
      </w:r>
      <w:r w:rsidRPr="0031394A">
        <w:rPr>
          <w:rFonts w:ascii="Times New Roman" w:hAnsi="Times New Roman" w:cs="Times New Roman"/>
          <w:color w:val="auto"/>
          <w:sz w:val="24"/>
          <w:szCs w:val="24"/>
          <w:vertAlign w:val="superscript"/>
          <w:lang w:val="en-GB"/>
        </w:rPr>
        <w:t>th</w:t>
      </w:r>
      <w:r w:rsidRPr="0031394A">
        <w:rPr>
          <w:rFonts w:ascii="Times New Roman" w:hAnsi="Times New Roman" w:cs="Times New Roman"/>
          <w:color w:val="auto"/>
          <w:sz w:val="24"/>
          <w:szCs w:val="24"/>
          <w:lang w:val="en-GB"/>
        </w:rPr>
        <w:t xml:space="preserve"> percentile</w:t>
      </w:r>
      <w:r w:rsidR="00C27A5E" w:rsidRPr="0031394A">
        <w:rPr>
          <w:rFonts w:ascii="Times New Roman" w:hAnsi="Times New Roman" w:cs="Times New Roman"/>
          <w:color w:val="auto"/>
          <w:sz w:val="24"/>
          <w:szCs w:val="24"/>
          <w:lang w:val="en-GB"/>
        </w:rPr>
        <w:t>,</w:t>
      </w:r>
      <w:r w:rsidRPr="0031394A">
        <w:rPr>
          <w:rFonts w:ascii="Times New Roman" w:hAnsi="Times New Roman" w:cs="Times New Roman"/>
          <w:color w:val="auto"/>
          <w:sz w:val="24"/>
          <w:szCs w:val="24"/>
          <w:lang w:val="en-GB"/>
        </w:rPr>
        <w:t xml:space="preserve"> </w:t>
      </w:r>
      <w:r w:rsidR="00717678" w:rsidRPr="0031394A">
        <w:rPr>
          <w:rFonts w:ascii="Times New Roman" w:hAnsi="Times New Roman" w:cs="Times New Roman"/>
          <w:color w:val="auto"/>
          <w:sz w:val="24"/>
          <w:szCs w:val="24"/>
          <w:lang w:val="en-GB"/>
        </w:rPr>
        <w:t xml:space="preserve">would </w:t>
      </w:r>
      <w:r w:rsidRPr="0031394A">
        <w:rPr>
          <w:rFonts w:ascii="Times New Roman" w:hAnsi="Times New Roman" w:cs="Times New Roman"/>
          <w:color w:val="auto"/>
          <w:sz w:val="24"/>
          <w:szCs w:val="24"/>
          <w:lang w:val="en-GB"/>
        </w:rPr>
        <w:t>the mixed pension system outperform the PAYG in terms of replacement rate.</w:t>
      </w:r>
      <w:r w:rsidR="0010776E" w:rsidRPr="0031394A">
        <w:rPr>
          <w:rFonts w:ascii="Times New Roman" w:hAnsi="Times New Roman" w:cs="Times New Roman"/>
          <w:color w:val="auto"/>
          <w:sz w:val="24"/>
          <w:szCs w:val="24"/>
          <w:lang w:val="en-GB"/>
        </w:rPr>
        <w:t xml:space="preserve"> </w:t>
      </w:r>
      <w:r w:rsidR="007E5E80" w:rsidRPr="0031394A">
        <w:rPr>
          <w:rFonts w:ascii="Times New Roman" w:hAnsi="Times New Roman" w:cs="Times New Roman"/>
          <w:color w:val="auto"/>
          <w:sz w:val="24"/>
          <w:szCs w:val="24"/>
          <w:lang w:val="en-GB"/>
        </w:rPr>
        <w:t>At the 75</w:t>
      </w:r>
      <w:r w:rsidR="007E5E80" w:rsidRPr="0031394A">
        <w:rPr>
          <w:rFonts w:ascii="Times New Roman" w:hAnsi="Times New Roman" w:cs="Times New Roman"/>
          <w:color w:val="auto"/>
          <w:sz w:val="24"/>
          <w:szCs w:val="24"/>
          <w:vertAlign w:val="superscript"/>
          <w:lang w:val="en-GB"/>
        </w:rPr>
        <w:t>th</w:t>
      </w:r>
      <w:r w:rsidR="007E5E80" w:rsidRPr="0031394A">
        <w:rPr>
          <w:rFonts w:ascii="Times New Roman" w:hAnsi="Times New Roman" w:cs="Times New Roman"/>
          <w:color w:val="auto"/>
          <w:sz w:val="24"/>
          <w:szCs w:val="24"/>
          <w:lang w:val="en-GB"/>
        </w:rPr>
        <w:t xml:space="preserve"> percentile the mixed pension systems studies would reach a RR of 59-60%.</w:t>
      </w:r>
      <w:r w:rsidR="00F421B3" w:rsidRPr="0031394A">
        <w:rPr>
          <w:rFonts w:ascii="Times New Roman" w:hAnsi="Times New Roman" w:cs="Times New Roman"/>
          <w:color w:val="auto"/>
          <w:sz w:val="24"/>
          <w:szCs w:val="24"/>
          <w:lang w:val="en-GB"/>
        </w:rPr>
        <w:t xml:space="preserve"> </w:t>
      </w:r>
      <w:bookmarkStart w:id="26" w:name="_Hlk4010908"/>
      <w:r w:rsidR="00F421B3" w:rsidRPr="0031394A">
        <w:rPr>
          <w:rFonts w:ascii="Times New Roman" w:hAnsi="Times New Roman" w:cs="Times New Roman"/>
          <w:color w:val="auto"/>
          <w:sz w:val="24"/>
          <w:szCs w:val="24"/>
          <w:lang w:val="en-GB"/>
        </w:rPr>
        <w:t>There is an obvious trade-off between financial sustainability of the system</w:t>
      </w:r>
      <w:r w:rsidR="009E6961" w:rsidRPr="0031394A">
        <w:rPr>
          <w:rFonts w:ascii="Times New Roman" w:hAnsi="Times New Roman" w:cs="Times New Roman"/>
          <w:color w:val="auto"/>
          <w:sz w:val="24"/>
          <w:szCs w:val="24"/>
          <w:lang w:val="en-GB"/>
        </w:rPr>
        <w:t xml:space="preserve"> </w:t>
      </w:r>
      <w:r w:rsidR="00F421B3" w:rsidRPr="0031394A">
        <w:rPr>
          <w:rFonts w:ascii="Times New Roman" w:hAnsi="Times New Roman" w:cs="Times New Roman"/>
          <w:color w:val="auto"/>
          <w:sz w:val="24"/>
          <w:szCs w:val="24"/>
          <w:lang w:val="en-GB"/>
        </w:rPr>
        <w:t>and adequacy.</w:t>
      </w:r>
      <w:r w:rsidR="009E6961" w:rsidRPr="0031394A">
        <w:rPr>
          <w:rFonts w:ascii="Times New Roman" w:hAnsi="Times New Roman" w:cs="Times New Roman"/>
          <w:color w:val="auto"/>
          <w:sz w:val="24"/>
          <w:szCs w:val="24"/>
          <w:lang w:val="en-GB"/>
        </w:rPr>
        <w:t xml:space="preserve"> However, the adjustments needed to ensure sustainability can affect the returns that the individuals would actually receive from the pension system.</w:t>
      </w:r>
    </w:p>
    <w:p w14:paraId="434E6005" w14:textId="65A9748D" w:rsidR="002328A4" w:rsidRPr="0031394A" w:rsidRDefault="00E6188F" w:rsidP="00C825A0">
      <w:pPr>
        <w:pStyle w:val="COSTNormal"/>
        <w:spacing w:before="120" w:after="120"/>
        <w:rPr>
          <w:rFonts w:ascii="Times New Roman" w:hAnsi="Times New Roman" w:cs="Times New Roman"/>
          <w:color w:val="auto"/>
          <w:sz w:val="24"/>
          <w:szCs w:val="24"/>
          <w:lang w:val="en-GB"/>
        </w:rPr>
      </w:pPr>
      <w:r w:rsidRPr="000A1823">
        <w:rPr>
          <w:rFonts w:ascii="Times New Roman" w:hAnsi="Times New Roman" w:cs="Times New Roman"/>
          <w:color w:val="auto"/>
          <w:sz w:val="24"/>
          <w:szCs w:val="24"/>
          <w:lang w:val="en-GB"/>
        </w:rPr>
        <w:t xml:space="preserve">When calculating the internal rate of return, we prove that individuals who retire in 2090 would benefit from mixed pension systems, whatever the allocation to the DC part is. </w:t>
      </w:r>
      <w:r w:rsidR="00291656" w:rsidRPr="000A1823">
        <w:rPr>
          <w:rFonts w:ascii="Times New Roman" w:hAnsi="Times New Roman" w:cs="Times New Roman"/>
          <w:color w:val="auto"/>
          <w:sz w:val="24"/>
          <w:szCs w:val="24"/>
          <w:lang w:val="en-GB"/>
        </w:rPr>
        <w:t>The main policy recommendation deriving from all the above would be the possibility to reform the state pension system considering a mixed (DB PAYG + funding) system. As demonstrated in the paper, there might be some room for governments</w:t>
      </w:r>
      <w:r w:rsidR="00291656" w:rsidRPr="000A1823">
        <w:rPr>
          <w:rFonts w:ascii="Times New Roman" w:hAnsi="Times New Roman" w:cs="Times New Roman"/>
          <w:i/>
          <w:iCs/>
          <w:color w:val="auto"/>
          <w:sz w:val="24"/>
          <w:szCs w:val="24"/>
          <w:lang w:val="en-GB"/>
        </w:rPr>
        <w:t xml:space="preserve"> </w:t>
      </w:r>
      <w:r w:rsidR="0074407F" w:rsidRPr="000A1823">
        <w:rPr>
          <w:rFonts w:ascii="Times New Roman" w:hAnsi="Times New Roman" w:cs="Times New Roman"/>
          <w:color w:val="auto"/>
          <w:sz w:val="24"/>
          <w:szCs w:val="24"/>
          <w:lang w:val="en-GB"/>
        </w:rPr>
        <w:t xml:space="preserve">to </w:t>
      </w:r>
      <w:r w:rsidR="0074407F" w:rsidRPr="0031394A">
        <w:rPr>
          <w:rFonts w:ascii="Times New Roman" w:hAnsi="Times New Roman" w:cs="Times New Roman"/>
          <w:color w:val="auto"/>
          <w:sz w:val="24"/>
          <w:szCs w:val="24"/>
          <w:lang w:val="en-GB"/>
        </w:rPr>
        <w:t xml:space="preserve">benefit from a mixed pension system with respect to the classical PAYG financing not only in terms of financial sustainability of the system but also in terms of </w:t>
      </w:r>
      <w:r w:rsidR="00C27A5E" w:rsidRPr="0031394A">
        <w:rPr>
          <w:rFonts w:ascii="Times New Roman" w:hAnsi="Times New Roman" w:cs="Times New Roman"/>
          <w:color w:val="auto"/>
          <w:sz w:val="24"/>
          <w:szCs w:val="24"/>
          <w:lang w:val="en-GB"/>
        </w:rPr>
        <w:t>adequacy, i.e. replacement rates received by the individuals.</w:t>
      </w:r>
    </w:p>
    <w:bookmarkEnd w:id="26"/>
    <w:p w14:paraId="46C90FA3" w14:textId="42BDE835" w:rsidR="00550DCB" w:rsidRPr="00D869B0" w:rsidRDefault="0049451B" w:rsidP="00D869B0">
      <w:pPr>
        <w:pStyle w:val="COSTNormal"/>
        <w:spacing w:before="120" w:after="120"/>
        <w:rPr>
          <w:rFonts w:ascii="Times New Roman" w:hAnsi="Times New Roman" w:cs="Times New Roman"/>
          <w:color w:val="auto"/>
          <w:sz w:val="24"/>
          <w:szCs w:val="24"/>
          <w:lang w:val="en-GB"/>
        </w:rPr>
      </w:pPr>
      <w:r w:rsidRPr="0031394A">
        <w:rPr>
          <w:rFonts w:ascii="Times New Roman" w:hAnsi="Times New Roman" w:cs="Times New Roman"/>
          <w:color w:val="auto"/>
          <w:sz w:val="24"/>
          <w:szCs w:val="24"/>
          <w:lang w:val="en-GB"/>
        </w:rPr>
        <w:t xml:space="preserve">Finally, based on the model presented, at least two important directions for future research can be identified. First, it would be interesting to </w:t>
      </w:r>
      <w:r w:rsidR="00E6188F" w:rsidRPr="0031394A">
        <w:rPr>
          <w:rFonts w:ascii="Times New Roman" w:hAnsi="Times New Roman" w:cs="Times New Roman"/>
          <w:color w:val="auto"/>
          <w:sz w:val="24"/>
          <w:szCs w:val="24"/>
          <w:lang w:val="en-GB"/>
        </w:rPr>
        <w:t xml:space="preserve">design an equitable </w:t>
      </w:r>
      <w:r w:rsidR="004E0F91" w:rsidRPr="0031394A">
        <w:rPr>
          <w:rFonts w:ascii="Times New Roman" w:hAnsi="Times New Roman" w:cs="Times New Roman"/>
          <w:color w:val="auto"/>
          <w:sz w:val="24"/>
          <w:szCs w:val="24"/>
          <w:lang w:val="en-GB"/>
        </w:rPr>
        <w:t xml:space="preserve">automatic balancing mechanism for all cohort of individuals </w:t>
      </w:r>
      <w:r w:rsidR="00995309" w:rsidRPr="0031394A">
        <w:rPr>
          <w:rFonts w:ascii="Times New Roman" w:hAnsi="Times New Roman" w:cs="Times New Roman"/>
          <w:color w:val="auto"/>
          <w:sz w:val="24"/>
          <w:szCs w:val="24"/>
          <w:lang w:val="en-GB"/>
        </w:rPr>
        <w:t xml:space="preserve">with a periodic recalibration of the optimal paths of the variables </w:t>
      </w:r>
      <w:r w:rsidR="004E0F91" w:rsidRPr="0031394A">
        <w:rPr>
          <w:rFonts w:ascii="Times New Roman" w:hAnsi="Times New Roman" w:cs="Times New Roman"/>
          <w:color w:val="auto"/>
          <w:sz w:val="24"/>
          <w:szCs w:val="24"/>
          <w:lang w:val="en-GB"/>
        </w:rPr>
        <w:t>and study their consequences on both sustainability and adequacy</w:t>
      </w:r>
      <w:r w:rsidR="00995309" w:rsidRPr="0031394A">
        <w:rPr>
          <w:rFonts w:ascii="Times New Roman" w:hAnsi="Times New Roman" w:cs="Times New Roman"/>
          <w:color w:val="auto"/>
          <w:sz w:val="24"/>
          <w:szCs w:val="24"/>
          <w:lang w:val="en-GB"/>
        </w:rPr>
        <w:t xml:space="preserve"> considering the risk aversion of the participants</w:t>
      </w:r>
      <w:r w:rsidRPr="0031394A">
        <w:rPr>
          <w:rFonts w:ascii="Times New Roman" w:hAnsi="Times New Roman" w:cs="Times New Roman"/>
          <w:color w:val="auto"/>
          <w:sz w:val="24"/>
          <w:szCs w:val="24"/>
          <w:lang w:val="en-GB"/>
        </w:rPr>
        <w:t xml:space="preserve">. </w:t>
      </w:r>
      <w:r w:rsidR="00824B19" w:rsidRPr="0031394A">
        <w:rPr>
          <w:rFonts w:ascii="Times New Roman" w:hAnsi="Times New Roman" w:cs="Times New Roman"/>
          <w:color w:val="auto"/>
          <w:sz w:val="24"/>
          <w:szCs w:val="24"/>
          <w:lang w:val="en-GB"/>
        </w:rPr>
        <w:t xml:space="preserve">Another </w:t>
      </w:r>
      <w:r w:rsidR="00C95726" w:rsidRPr="0031394A">
        <w:rPr>
          <w:rFonts w:ascii="Times New Roman" w:hAnsi="Times New Roman" w:cs="Times New Roman"/>
          <w:color w:val="auto"/>
          <w:sz w:val="24"/>
          <w:szCs w:val="24"/>
          <w:lang w:val="en-GB"/>
        </w:rPr>
        <w:t>avenue for future work</w:t>
      </w:r>
      <w:r w:rsidRPr="0031394A">
        <w:rPr>
          <w:rFonts w:ascii="Times New Roman" w:hAnsi="Times New Roman" w:cs="Times New Roman"/>
          <w:color w:val="auto"/>
          <w:sz w:val="24"/>
          <w:szCs w:val="24"/>
          <w:lang w:val="en-GB"/>
        </w:rPr>
        <w:t xml:space="preserve">, </w:t>
      </w:r>
      <w:r w:rsidR="00824B19" w:rsidRPr="0031394A">
        <w:rPr>
          <w:rFonts w:ascii="Times New Roman" w:hAnsi="Times New Roman" w:cs="Times New Roman"/>
          <w:color w:val="auto"/>
          <w:sz w:val="24"/>
          <w:szCs w:val="24"/>
          <w:lang w:val="en-GB"/>
        </w:rPr>
        <w:t xml:space="preserve">following Alonso-García and Devolder (2016), would be </w:t>
      </w:r>
      <w:r w:rsidRPr="0031394A">
        <w:rPr>
          <w:rFonts w:ascii="Times New Roman" w:hAnsi="Times New Roman" w:cs="Times New Roman"/>
          <w:color w:val="auto"/>
          <w:sz w:val="24"/>
          <w:szCs w:val="24"/>
          <w:lang w:val="en-GB"/>
        </w:rPr>
        <w:t xml:space="preserve">to study the optimal mix between PAYG and DC funding scheme </w:t>
      </w:r>
      <w:r w:rsidR="00995309" w:rsidRPr="0031394A">
        <w:rPr>
          <w:rFonts w:ascii="Times New Roman" w:hAnsi="Times New Roman" w:cs="Times New Roman"/>
          <w:color w:val="auto"/>
          <w:sz w:val="24"/>
          <w:szCs w:val="24"/>
          <w:lang w:val="en-GB"/>
        </w:rPr>
        <w:t xml:space="preserve">over time </w:t>
      </w:r>
      <w:r w:rsidRPr="0031394A">
        <w:rPr>
          <w:rFonts w:ascii="Times New Roman" w:hAnsi="Times New Roman" w:cs="Times New Roman"/>
          <w:color w:val="auto"/>
          <w:sz w:val="24"/>
          <w:szCs w:val="24"/>
          <w:lang w:val="en-GB"/>
        </w:rPr>
        <w:t xml:space="preserve">together with the automatic mechanisms that </w:t>
      </w:r>
      <w:r w:rsidR="006E3988" w:rsidRPr="0031394A">
        <w:rPr>
          <w:rFonts w:ascii="Times New Roman" w:hAnsi="Times New Roman" w:cs="Times New Roman"/>
          <w:color w:val="auto"/>
          <w:sz w:val="24"/>
          <w:szCs w:val="24"/>
          <w:lang w:val="en-GB"/>
        </w:rPr>
        <w:t xml:space="preserve">would </w:t>
      </w:r>
      <w:r w:rsidRPr="0031394A">
        <w:rPr>
          <w:rFonts w:ascii="Times New Roman" w:hAnsi="Times New Roman" w:cs="Times New Roman"/>
          <w:color w:val="auto"/>
          <w:sz w:val="24"/>
          <w:szCs w:val="24"/>
          <w:lang w:val="en-GB"/>
        </w:rPr>
        <w:t xml:space="preserve">ensure financial sustainability under </w:t>
      </w:r>
      <w:r w:rsidR="00C95726" w:rsidRPr="0031394A">
        <w:rPr>
          <w:rFonts w:ascii="Times New Roman" w:hAnsi="Times New Roman" w:cs="Times New Roman"/>
          <w:color w:val="auto"/>
          <w:sz w:val="24"/>
          <w:szCs w:val="24"/>
          <w:lang w:val="en-GB"/>
        </w:rPr>
        <w:t xml:space="preserve">a multi-stage stochastic optimisation </w:t>
      </w:r>
      <w:r w:rsidRPr="0031394A">
        <w:rPr>
          <w:rFonts w:ascii="Times New Roman" w:hAnsi="Times New Roman" w:cs="Times New Roman"/>
          <w:color w:val="auto"/>
          <w:sz w:val="24"/>
          <w:szCs w:val="24"/>
          <w:lang w:val="en-GB"/>
        </w:rPr>
        <w:t>framework.</w:t>
      </w:r>
      <w:r w:rsidR="006E0975" w:rsidRPr="0031394A">
        <w:rPr>
          <w:rFonts w:ascii="Times New Roman" w:hAnsi="Times New Roman" w:cs="Times New Roman"/>
          <w:color w:val="auto"/>
          <w:sz w:val="24"/>
          <w:szCs w:val="24"/>
          <w:lang w:val="en-GB"/>
        </w:rPr>
        <w:t xml:space="preserve"> </w:t>
      </w:r>
      <w:r w:rsidR="00C95726" w:rsidRPr="0031394A">
        <w:rPr>
          <w:rFonts w:ascii="Times New Roman" w:hAnsi="Times New Roman" w:cs="Times New Roman"/>
          <w:color w:val="auto"/>
          <w:sz w:val="24"/>
          <w:szCs w:val="24"/>
        </w:rPr>
        <w:t>A third direction would be to include stochasticity for other risks inherent to pension systems, in particular, the demographic risk.</w:t>
      </w:r>
    </w:p>
    <w:p w14:paraId="2A69C166" w14:textId="6063E194" w:rsidR="00576C33" w:rsidRPr="0031394A" w:rsidRDefault="00115290" w:rsidP="00C825A0">
      <w:pPr>
        <w:pStyle w:val="Heading1"/>
        <w:ind w:firstLine="0"/>
        <w:rPr>
          <w:rFonts w:ascii="Times New Roman" w:hAnsi="Times New Roman" w:cs="Times New Roman"/>
          <w:noProof w:val="0"/>
          <w:sz w:val="24"/>
          <w:szCs w:val="24"/>
        </w:rPr>
      </w:pPr>
      <w:r w:rsidRPr="0031394A">
        <w:rPr>
          <w:rFonts w:ascii="Times New Roman" w:hAnsi="Times New Roman" w:cs="Times New Roman"/>
          <w:noProof w:val="0"/>
          <w:sz w:val="24"/>
          <w:szCs w:val="24"/>
        </w:rPr>
        <w:t>5. References</w:t>
      </w:r>
    </w:p>
    <w:p w14:paraId="362D3016" w14:textId="77777777" w:rsidR="00115290" w:rsidRPr="0031394A" w:rsidRDefault="009E274E" w:rsidP="00C825A0">
      <w:pPr>
        <w:shd w:val="clear" w:color="auto" w:fill="FFFFFF"/>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Alonso-García J.</w:t>
      </w:r>
      <w:r w:rsidR="00573D80"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and </w:t>
      </w:r>
      <w:r w:rsidR="00573D80" w:rsidRPr="0031394A">
        <w:rPr>
          <w:rFonts w:ascii="Times New Roman" w:hAnsi="Times New Roman" w:cs="Times New Roman"/>
          <w:sz w:val="24"/>
          <w:szCs w:val="24"/>
          <w:lang w:val="en-GB"/>
        </w:rPr>
        <w:t xml:space="preserve">P. </w:t>
      </w:r>
      <w:r w:rsidRPr="0031394A">
        <w:rPr>
          <w:rFonts w:ascii="Times New Roman" w:hAnsi="Times New Roman" w:cs="Times New Roman"/>
          <w:sz w:val="24"/>
          <w:szCs w:val="24"/>
          <w:lang w:val="en-GB"/>
        </w:rPr>
        <w:t xml:space="preserve">Devolder. </w:t>
      </w:r>
      <w:r w:rsidR="00115290" w:rsidRPr="0031394A">
        <w:rPr>
          <w:rFonts w:ascii="Times New Roman" w:hAnsi="Times New Roman" w:cs="Times New Roman"/>
          <w:sz w:val="24"/>
          <w:szCs w:val="24"/>
          <w:lang w:val="en-GB"/>
        </w:rPr>
        <w:t>2016</w:t>
      </w:r>
      <w:r w:rsidR="00573D80"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w:t>
      </w:r>
      <w:r w:rsidR="00115290" w:rsidRPr="0031394A">
        <w:rPr>
          <w:rFonts w:ascii="Times New Roman" w:hAnsi="Times New Roman" w:cs="Times New Roman"/>
          <w:sz w:val="24"/>
          <w:szCs w:val="24"/>
          <w:lang w:val="en-GB"/>
        </w:rPr>
        <w:t>Optimal mix between pay-as-you-go and funding for DC pension schemes in a</w:t>
      </w:r>
      <w:r w:rsidRPr="0031394A">
        <w:rPr>
          <w:rFonts w:ascii="Times New Roman" w:hAnsi="Times New Roman" w:cs="Times New Roman"/>
          <w:sz w:val="24"/>
          <w:szCs w:val="24"/>
          <w:lang w:val="en-GB"/>
        </w:rPr>
        <w:t>n overlapping generations model</w:t>
      </w:r>
      <w:r w:rsidR="00573D80"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w:t>
      </w:r>
      <w:r w:rsidR="00115290" w:rsidRPr="0031394A">
        <w:rPr>
          <w:rFonts w:ascii="Times New Roman" w:hAnsi="Times New Roman" w:cs="Times New Roman"/>
          <w:i/>
          <w:sz w:val="24"/>
          <w:szCs w:val="24"/>
          <w:lang w:val="en-GB"/>
        </w:rPr>
        <w:t> Insurance: Mathematics and Economics</w:t>
      </w:r>
      <w:r w:rsidR="00573D80" w:rsidRPr="0031394A">
        <w:rPr>
          <w:rFonts w:ascii="Times New Roman" w:hAnsi="Times New Roman" w:cs="Times New Roman"/>
          <w:sz w:val="24"/>
          <w:szCs w:val="24"/>
          <w:lang w:val="en-GB"/>
        </w:rPr>
        <w:t xml:space="preserve"> </w:t>
      </w:r>
      <w:r w:rsidR="00115290" w:rsidRPr="0031394A">
        <w:rPr>
          <w:rFonts w:ascii="Times New Roman" w:hAnsi="Times New Roman" w:cs="Times New Roman"/>
          <w:sz w:val="24"/>
          <w:szCs w:val="24"/>
          <w:lang w:val="en-GB"/>
        </w:rPr>
        <w:t>70</w:t>
      </w:r>
      <w:r w:rsidR="00573D80"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 224</w:t>
      </w:r>
      <w:r w:rsidR="00573D80"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236. </w:t>
      </w:r>
    </w:p>
    <w:p w14:paraId="7E9A8126" w14:textId="77777777" w:rsidR="002811CE" w:rsidRPr="0031394A" w:rsidRDefault="002811CE" w:rsidP="00C825A0">
      <w:pPr>
        <w:shd w:val="clear" w:color="auto" w:fill="FFFFFF"/>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Alonso-García J., M.C. Boado-Penas, and P. Devolder. 2018a</w:t>
      </w:r>
      <w:r w:rsidRPr="0031394A">
        <w:rPr>
          <w:rFonts w:ascii="Times New Roman" w:hAnsi="Times New Roman" w:cs="Times New Roman"/>
          <w:i/>
          <w:iCs/>
          <w:sz w:val="24"/>
          <w:szCs w:val="24"/>
          <w:shd w:val="clear" w:color="auto" w:fill="FFFFFF"/>
          <w:lang w:val="en-GB"/>
        </w:rPr>
        <w:t xml:space="preserve">. </w:t>
      </w:r>
      <w:r w:rsidRPr="0031394A">
        <w:rPr>
          <w:rFonts w:ascii="Times New Roman" w:hAnsi="Times New Roman" w:cs="Times New Roman"/>
          <w:iCs/>
          <w:sz w:val="24"/>
          <w:szCs w:val="24"/>
          <w:shd w:val="clear" w:color="auto" w:fill="FFFFFF"/>
          <w:lang w:val="en-GB"/>
        </w:rPr>
        <w:t>“</w:t>
      </w:r>
      <w:r w:rsidRPr="0031394A">
        <w:rPr>
          <w:rFonts w:ascii="Times New Roman" w:hAnsi="Times New Roman" w:cs="Times New Roman"/>
          <w:iCs/>
          <w:sz w:val="24"/>
          <w:szCs w:val="24"/>
          <w:shd w:val="clear" w:color="auto" w:fill="FFFFFF"/>
        </w:rPr>
        <w:t xml:space="preserve">Automatic balancing mechanisms for notional defined contribution accounts in the presence of uncertainty” </w:t>
      </w:r>
      <w:r w:rsidRPr="0031394A">
        <w:rPr>
          <w:rFonts w:ascii="Times New Roman" w:hAnsi="Times New Roman" w:cs="Times New Roman"/>
          <w:i/>
          <w:iCs/>
          <w:sz w:val="24"/>
          <w:szCs w:val="24"/>
          <w:shd w:val="clear" w:color="auto" w:fill="FFFFFF"/>
        </w:rPr>
        <w:t>Scandinavian Actuarial Journal</w:t>
      </w:r>
      <w:r w:rsidRPr="0031394A">
        <w:rPr>
          <w:rFonts w:ascii="Times New Roman" w:hAnsi="Times New Roman" w:cs="Times New Roman"/>
          <w:iCs/>
          <w:sz w:val="24"/>
          <w:szCs w:val="24"/>
          <w:shd w:val="clear" w:color="auto" w:fill="FFFFFF"/>
        </w:rPr>
        <w:t xml:space="preserve">, 2018(2), 85-108. </w:t>
      </w:r>
    </w:p>
    <w:p w14:paraId="085981C0" w14:textId="77777777" w:rsidR="002811CE" w:rsidRPr="0031394A" w:rsidRDefault="00154A7A" w:rsidP="00C825A0">
      <w:pPr>
        <w:shd w:val="clear" w:color="auto" w:fill="FFFFFF"/>
        <w:spacing w:before="120" w:after="120" w:line="240" w:lineRule="auto"/>
        <w:jc w:val="both"/>
        <w:rPr>
          <w:rFonts w:ascii="Times New Roman" w:hAnsi="Times New Roman" w:cs="Times New Roman"/>
          <w:i/>
          <w:iCs/>
          <w:sz w:val="24"/>
          <w:szCs w:val="24"/>
          <w:shd w:val="clear" w:color="auto" w:fill="FFFFFF"/>
        </w:rPr>
      </w:pPr>
      <w:r w:rsidRPr="0031394A">
        <w:rPr>
          <w:rFonts w:ascii="Times New Roman" w:hAnsi="Times New Roman" w:cs="Times New Roman"/>
          <w:sz w:val="24"/>
          <w:szCs w:val="24"/>
          <w:lang w:val="en-GB"/>
        </w:rPr>
        <w:t xml:space="preserve">Alonso-García J., </w:t>
      </w:r>
      <w:r w:rsidR="00D12EC9" w:rsidRPr="0031394A">
        <w:rPr>
          <w:rFonts w:ascii="Times New Roman" w:hAnsi="Times New Roman" w:cs="Times New Roman"/>
          <w:sz w:val="24"/>
          <w:szCs w:val="24"/>
          <w:lang w:val="en-GB"/>
        </w:rPr>
        <w:t>M.C. Boado-Penas, and P. Devolder. 2018</w:t>
      </w:r>
      <w:r w:rsidR="002811CE" w:rsidRPr="0031394A">
        <w:rPr>
          <w:rFonts w:ascii="Times New Roman" w:hAnsi="Times New Roman" w:cs="Times New Roman"/>
          <w:sz w:val="24"/>
          <w:szCs w:val="24"/>
          <w:lang w:val="en-GB"/>
        </w:rPr>
        <w:t>b</w:t>
      </w:r>
      <w:r w:rsidRPr="0031394A">
        <w:rPr>
          <w:rFonts w:ascii="Times New Roman" w:hAnsi="Times New Roman" w:cs="Times New Roman"/>
          <w:i/>
          <w:iCs/>
          <w:sz w:val="24"/>
          <w:szCs w:val="24"/>
          <w:shd w:val="clear" w:color="auto" w:fill="FFFFFF"/>
          <w:lang w:val="en-GB"/>
        </w:rPr>
        <w:t xml:space="preserve">. </w:t>
      </w:r>
      <w:r w:rsidR="00D12EC9" w:rsidRPr="0031394A">
        <w:rPr>
          <w:rFonts w:ascii="Times New Roman" w:hAnsi="Times New Roman" w:cs="Times New Roman"/>
          <w:iCs/>
          <w:sz w:val="24"/>
          <w:szCs w:val="24"/>
          <w:shd w:val="clear" w:color="auto" w:fill="FFFFFF"/>
          <w:lang w:val="en-GB"/>
        </w:rPr>
        <w:t>“</w:t>
      </w:r>
      <w:r w:rsidRPr="0031394A">
        <w:rPr>
          <w:rFonts w:ascii="Times New Roman" w:hAnsi="Times New Roman" w:cs="Times New Roman"/>
          <w:iCs/>
          <w:sz w:val="24"/>
          <w:szCs w:val="24"/>
          <w:shd w:val="clear" w:color="auto" w:fill="FFFFFF"/>
        </w:rPr>
        <w:t>Adequacy, fairness and sustainability of pay-as-you-go-pension-systems: defined benefit versus defined contribution.</w:t>
      </w:r>
      <w:r w:rsidR="00D12EC9" w:rsidRPr="0031394A">
        <w:rPr>
          <w:rFonts w:ascii="Times New Roman" w:hAnsi="Times New Roman" w:cs="Times New Roman"/>
          <w:iCs/>
          <w:sz w:val="24"/>
          <w:szCs w:val="24"/>
          <w:shd w:val="clear" w:color="auto" w:fill="FFFFFF"/>
        </w:rPr>
        <w:t>”</w:t>
      </w:r>
      <w:r w:rsidRPr="0031394A">
        <w:rPr>
          <w:rFonts w:ascii="Times New Roman" w:hAnsi="Times New Roman" w:cs="Times New Roman"/>
          <w:i/>
          <w:iCs/>
          <w:sz w:val="24"/>
          <w:szCs w:val="24"/>
          <w:shd w:val="clear" w:color="auto" w:fill="FFFFFF"/>
        </w:rPr>
        <w:t xml:space="preserve"> The European Journal of Finance </w:t>
      </w:r>
      <w:r w:rsidRPr="0031394A">
        <w:rPr>
          <w:rFonts w:ascii="Times New Roman" w:hAnsi="Times New Roman" w:cs="Times New Roman"/>
          <w:iCs/>
          <w:sz w:val="24"/>
          <w:szCs w:val="24"/>
          <w:shd w:val="clear" w:color="auto" w:fill="FFFFFF"/>
        </w:rPr>
        <w:t>24(13)</w:t>
      </w:r>
      <w:r w:rsidR="00D12EC9" w:rsidRPr="0031394A">
        <w:rPr>
          <w:rFonts w:ascii="Times New Roman" w:hAnsi="Times New Roman" w:cs="Times New Roman"/>
          <w:iCs/>
          <w:sz w:val="24"/>
          <w:szCs w:val="24"/>
          <w:shd w:val="clear" w:color="auto" w:fill="FFFFFF"/>
        </w:rPr>
        <w:t>:</w:t>
      </w:r>
      <w:r w:rsidRPr="0031394A">
        <w:rPr>
          <w:rFonts w:ascii="Times New Roman" w:hAnsi="Times New Roman" w:cs="Times New Roman"/>
          <w:iCs/>
          <w:sz w:val="24"/>
          <w:szCs w:val="24"/>
          <w:shd w:val="clear" w:color="auto" w:fill="FFFFFF"/>
        </w:rPr>
        <w:t xml:space="preserve"> 1100-1122.</w:t>
      </w:r>
      <w:r w:rsidRPr="0031394A">
        <w:rPr>
          <w:rFonts w:ascii="Times New Roman" w:hAnsi="Times New Roman" w:cs="Times New Roman"/>
          <w:i/>
          <w:iCs/>
          <w:sz w:val="24"/>
          <w:szCs w:val="24"/>
          <w:shd w:val="clear" w:color="auto" w:fill="FFFFFF"/>
        </w:rPr>
        <w:t xml:space="preserve"> </w:t>
      </w:r>
    </w:p>
    <w:p w14:paraId="6CD34870" w14:textId="77777777" w:rsidR="00CC3E16" w:rsidRPr="0031394A" w:rsidRDefault="00CC3E16" w:rsidP="00C825A0">
      <w:pPr>
        <w:shd w:val="clear" w:color="auto" w:fill="FFFFFF"/>
        <w:spacing w:before="120" w:after="120" w:line="240" w:lineRule="auto"/>
        <w:jc w:val="both"/>
        <w:rPr>
          <w:rFonts w:ascii="Times New Roman" w:hAnsi="Times New Roman" w:cs="Times New Roman"/>
          <w:i/>
          <w:iCs/>
          <w:sz w:val="24"/>
          <w:szCs w:val="24"/>
          <w:shd w:val="clear" w:color="auto" w:fill="FFFFFF"/>
        </w:rPr>
      </w:pPr>
      <w:r w:rsidRPr="0031394A">
        <w:rPr>
          <w:rFonts w:ascii="Times New Roman" w:eastAsia="Times New Roman" w:hAnsi="Times New Roman" w:cs="Times New Roman"/>
          <w:sz w:val="24"/>
          <w:szCs w:val="24"/>
          <w:lang w:val="en-GB" w:eastAsia="es-ES"/>
        </w:rPr>
        <w:t>Athanasoulis, S.</w:t>
      </w:r>
      <w:r w:rsidR="00CF1B46"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sz w:val="24"/>
          <w:szCs w:val="24"/>
          <w:lang w:val="en-GB" w:eastAsia="es-ES"/>
        </w:rPr>
        <w:t>G., and R.</w:t>
      </w:r>
      <w:r w:rsidR="00CF1B46"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sz w:val="24"/>
          <w:szCs w:val="24"/>
          <w:lang w:val="en-GB" w:eastAsia="es-ES"/>
        </w:rPr>
        <w:t>J. Shiller</w:t>
      </w:r>
      <w:r w:rsidR="00573D80"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 xml:space="preserve"> 2000</w:t>
      </w:r>
      <w:r w:rsidR="00573D80"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 xml:space="preserve"> “The Significance of the Market Portfolio.” </w:t>
      </w:r>
      <w:r w:rsidRPr="0031394A">
        <w:rPr>
          <w:rFonts w:ascii="Times New Roman" w:eastAsia="Times New Roman" w:hAnsi="Times New Roman" w:cs="Times New Roman"/>
          <w:i/>
          <w:sz w:val="24"/>
          <w:szCs w:val="24"/>
          <w:lang w:val="en-GB" w:eastAsia="es-ES"/>
        </w:rPr>
        <w:t>Review of Financial Studies</w:t>
      </w:r>
      <w:r w:rsidRPr="0031394A">
        <w:rPr>
          <w:rFonts w:ascii="Times New Roman" w:eastAsia="Times New Roman" w:hAnsi="Times New Roman" w:cs="Times New Roman"/>
          <w:sz w:val="24"/>
          <w:szCs w:val="24"/>
          <w:lang w:val="en-GB" w:eastAsia="es-ES"/>
        </w:rPr>
        <w:t xml:space="preserve"> 13</w:t>
      </w:r>
      <w:r w:rsidR="00573D80"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2</w:t>
      </w:r>
      <w:r w:rsidR="00573D80"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 301-329.</w:t>
      </w:r>
    </w:p>
    <w:p w14:paraId="008ED88B" w14:textId="77777777" w:rsidR="00115290" w:rsidRPr="0031394A" w:rsidRDefault="00115290" w:rsidP="00C825A0">
      <w:pPr>
        <w:tabs>
          <w:tab w:val="center" w:pos="4800"/>
          <w:tab w:val="right" w:pos="9500"/>
        </w:tabs>
        <w:spacing w:before="120" w:after="120" w:line="240" w:lineRule="auto"/>
        <w:jc w:val="both"/>
        <w:rPr>
          <w:rFonts w:ascii="Times New Roman" w:hAnsi="Times New Roman" w:cs="Times New Roman"/>
          <w:noProof/>
          <w:sz w:val="24"/>
          <w:szCs w:val="24"/>
          <w:lang w:val="en-GB"/>
        </w:rPr>
      </w:pPr>
      <w:r w:rsidRPr="0031394A">
        <w:rPr>
          <w:rFonts w:ascii="Times New Roman" w:hAnsi="Times New Roman" w:cs="Times New Roman"/>
          <w:noProof/>
          <w:sz w:val="24"/>
          <w:szCs w:val="24"/>
          <w:lang w:val="en-GB"/>
        </w:rPr>
        <w:lastRenderedPageBreak/>
        <w:t>Auerba</w:t>
      </w:r>
      <w:r w:rsidR="009E274E" w:rsidRPr="0031394A">
        <w:rPr>
          <w:rFonts w:ascii="Times New Roman" w:hAnsi="Times New Roman" w:cs="Times New Roman"/>
          <w:noProof/>
          <w:sz w:val="24"/>
          <w:szCs w:val="24"/>
          <w:lang w:val="en-GB"/>
        </w:rPr>
        <w:t>ch, A.</w:t>
      </w:r>
      <w:r w:rsidR="00CF1B46" w:rsidRPr="0031394A">
        <w:rPr>
          <w:rFonts w:ascii="Times New Roman" w:hAnsi="Times New Roman" w:cs="Times New Roman"/>
          <w:noProof/>
          <w:sz w:val="24"/>
          <w:szCs w:val="24"/>
          <w:lang w:val="en-GB"/>
        </w:rPr>
        <w:t xml:space="preserve"> </w:t>
      </w:r>
      <w:r w:rsidR="009E274E" w:rsidRPr="0031394A">
        <w:rPr>
          <w:rFonts w:ascii="Times New Roman" w:hAnsi="Times New Roman" w:cs="Times New Roman"/>
          <w:noProof/>
          <w:sz w:val="24"/>
          <w:szCs w:val="24"/>
          <w:lang w:val="en-GB"/>
        </w:rPr>
        <w:t>J.</w:t>
      </w:r>
      <w:r w:rsidR="00573D80" w:rsidRPr="0031394A">
        <w:rPr>
          <w:rFonts w:ascii="Times New Roman" w:hAnsi="Times New Roman" w:cs="Times New Roman"/>
          <w:noProof/>
          <w:sz w:val="24"/>
          <w:szCs w:val="24"/>
          <w:lang w:val="en-GB"/>
        </w:rPr>
        <w:t>,</w:t>
      </w:r>
      <w:r w:rsidR="009E274E" w:rsidRPr="0031394A">
        <w:rPr>
          <w:rFonts w:ascii="Times New Roman" w:hAnsi="Times New Roman" w:cs="Times New Roman"/>
          <w:noProof/>
          <w:sz w:val="24"/>
          <w:szCs w:val="24"/>
          <w:lang w:val="en-GB"/>
        </w:rPr>
        <w:t xml:space="preserve"> and </w:t>
      </w:r>
      <w:r w:rsidR="00573D80" w:rsidRPr="0031394A">
        <w:rPr>
          <w:rFonts w:ascii="Times New Roman" w:hAnsi="Times New Roman" w:cs="Times New Roman"/>
          <w:noProof/>
          <w:sz w:val="24"/>
          <w:szCs w:val="24"/>
          <w:lang w:val="en-GB"/>
        </w:rPr>
        <w:t>R.</w:t>
      </w:r>
      <w:r w:rsidR="00CF1B46" w:rsidRPr="0031394A">
        <w:rPr>
          <w:rFonts w:ascii="Times New Roman" w:hAnsi="Times New Roman" w:cs="Times New Roman"/>
          <w:noProof/>
          <w:sz w:val="24"/>
          <w:szCs w:val="24"/>
          <w:lang w:val="en-GB"/>
        </w:rPr>
        <w:t xml:space="preserve"> </w:t>
      </w:r>
      <w:r w:rsidR="00573D80" w:rsidRPr="0031394A">
        <w:rPr>
          <w:rFonts w:ascii="Times New Roman" w:hAnsi="Times New Roman" w:cs="Times New Roman"/>
          <w:noProof/>
          <w:sz w:val="24"/>
          <w:szCs w:val="24"/>
          <w:lang w:val="en-GB"/>
        </w:rPr>
        <w:t xml:space="preserve">D. </w:t>
      </w:r>
      <w:r w:rsidR="009E274E" w:rsidRPr="0031394A">
        <w:rPr>
          <w:rFonts w:ascii="Times New Roman" w:hAnsi="Times New Roman" w:cs="Times New Roman"/>
          <w:noProof/>
          <w:sz w:val="24"/>
          <w:szCs w:val="24"/>
          <w:lang w:val="en-GB"/>
        </w:rPr>
        <w:t>Lee</w:t>
      </w:r>
      <w:r w:rsidR="00573D80" w:rsidRPr="0031394A">
        <w:rPr>
          <w:rFonts w:ascii="Times New Roman" w:hAnsi="Times New Roman" w:cs="Times New Roman"/>
          <w:noProof/>
          <w:sz w:val="24"/>
          <w:szCs w:val="24"/>
          <w:lang w:val="en-GB"/>
        </w:rPr>
        <w:t>.</w:t>
      </w:r>
      <w:r w:rsidR="009E274E" w:rsidRPr="0031394A">
        <w:rPr>
          <w:rFonts w:ascii="Times New Roman" w:hAnsi="Times New Roman" w:cs="Times New Roman"/>
          <w:noProof/>
          <w:sz w:val="24"/>
          <w:szCs w:val="24"/>
          <w:lang w:val="en-GB"/>
        </w:rPr>
        <w:t xml:space="preserve"> 2009</w:t>
      </w:r>
      <w:r w:rsidR="00573D80" w:rsidRPr="0031394A">
        <w:rPr>
          <w:rFonts w:ascii="Times New Roman" w:hAnsi="Times New Roman" w:cs="Times New Roman"/>
          <w:noProof/>
          <w:sz w:val="24"/>
          <w:szCs w:val="24"/>
          <w:lang w:val="en-GB"/>
        </w:rPr>
        <w:t>.</w:t>
      </w:r>
      <w:r w:rsidR="009E274E" w:rsidRPr="0031394A">
        <w:rPr>
          <w:rFonts w:ascii="Times New Roman" w:hAnsi="Times New Roman" w:cs="Times New Roman"/>
          <w:noProof/>
          <w:sz w:val="24"/>
          <w:szCs w:val="24"/>
          <w:lang w:val="en-GB"/>
        </w:rPr>
        <w:t xml:space="preserve"> “</w:t>
      </w:r>
      <w:r w:rsidRPr="0031394A">
        <w:rPr>
          <w:rFonts w:ascii="Times New Roman" w:hAnsi="Times New Roman" w:cs="Times New Roman"/>
          <w:noProof/>
          <w:sz w:val="24"/>
          <w:szCs w:val="24"/>
          <w:lang w:val="en-GB"/>
        </w:rPr>
        <w:t>Notional defined contribution pension systems in a  stochasti</w:t>
      </w:r>
      <w:r w:rsidR="009E274E" w:rsidRPr="0031394A">
        <w:rPr>
          <w:rFonts w:ascii="Times New Roman" w:hAnsi="Times New Roman" w:cs="Times New Roman"/>
          <w:noProof/>
          <w:sz w:val="24"/>
          <w:szCs w:val="24"/>
          <w:lang w:val="en-GB"/>
        </w:rPr>
        <w:t>c context: Design and stability</w:t>
      </w:r>
      <w:r w:rsidR="00573D80" w:rsidRPr="0031394A">
        <w:rPr>
          <w:rFonts w:ascii="Times New Roman" w:hAnsi="Times New Roman" w:cs="Times New Roman"/>
          <w:noProof/>
          <w:sz w:val="24"/>
          <w:szCs w:val="24"/>
          <w:lang w:val="en-GB"/>
        </w:rPr>
        <w:t>.</w:t>
      </w:r>
      <w:r w:rsidR="009E274E" w:rsidRPr="0031394A">
        <w:rPr>
          <w:rFonts w:ascii="Times New Roman" w:hAnsi="Times New Roman" w:cs="Times New Roman"/>
          <w:noProof/>
          <w:sz w:val="24"/>
          <w:szCs w:val="24"/>
          <w:lang w:val="en-GB"/>
        </w:rPr>
        <w:t>”</w:t>
      </w:r>
      <w:r w:rsidRPr="0031394A">
        <w:rPr>
          <w:rFonts w:ascii="Times New Roman" w:hAnsi="Times New Roman" w:cs="Times New Roman"/>
          <w:noProof/>
          <w:sz w:val="24"/>
          <w:szCs w:val="24"/>
          <w:lang w:val="en-GB"/>
        </w:rPr>
        <w:t xml:space="preserve"> </w:t>
      </w:r>
      <w:r w:rsidR="00573D80" w:rsidRPr="0031394A">
        <w:rPr>
          <w:rFonts w:ascii="Times New Roman" w:hAnsi="Times New Roman" w:cs="Times New Roman"/>
          <w:noProof/>
          <w:sz w:val="24"/>
          <w:szCs w:val="24"/>
          <w:lang w:val="en-GB"/>
        </w:rPr>
        <w:t>I</w:t>
      </w:r>
      <w:r w:rsidRPr="0031394A">
        <w:rPr>
          <w:rFonts w:ascii="Times New Roman" w:hAnsi="Times New Roman" w:cs="Times New Roman"/>
          <w:noProof/>
          <w:sz w:val="24"/>
          <w:szCs w:val="24"/>
          <w:lang w:val="en-GB"/>
        </w:rPr>
        <w:t>n</w:t>
      </w:r>
      <w:r w:rsidR="00573D80" w:rsidRPr="0031394A">
        <w:rPr>
          <w:rFonts w:ascii="Times New Roman" w:hAnsi="Times New Roman" w:cs="Times New Roman"/>
          <w:noProof/>
          <w:sz w:val="24"/>
          <w:szCs w:val="24"/>
          <w:lang w:val="en-GB"/>
        </w:rPr>
        <w:t xml:space="preserve"> </w:t>
      </w:r>
      <w:r w:rsidR="00573D80" w:rsidRPr="0031394A">
        <w:rPr>
          <w:rFonts w:ascii="Times New Roman" w:hAnsi="Times New Roman" w:cs="Times New Roman"/>
          <w:i/>
          <w:noProof/>
          <w:sz w:val="24"/>
          <w:szCs w:val="24"/>
          <w:lang w:val="en-GB"/>
        </w:rPr>
        <w:t xml:space="preserve">Social Security </w:t>
      </w:r>
      <w:r w:rsidRPr="0031394A">
        <w:rPr>
          <w:rFonts w:ascii="Times New Roman" w:hAnsi="Times New Roman" w:cs="Times New Roman"/>
          <w:i/>
          <w:noProof/>
          <w:sz w:val="24"/>
          <w:szCs w:val="24"/>
          <w:lang w:val="en-GB"/>
        </w:rPr>
        <w:t>Policy in a Changing Environment</w:t>
      </w:r>
      <w:r w:rsidR="00573D80" w:rsidRPr="0031394A">
        <w:rPr>
          <w:rFonts w:ascii="Times New Roman" w:hAnsi="Times New Roman" w:cs="Times New Roman"/>
          <w:noProof/>
          <w:sz w:val="24"/>
          <w:szCs w:val="24"/>
          <w:lang w:val="en-GB"/>
        </w:rPr>
        <w:t xml:space="preserve">, edited by J. Brown, J.Liebman and D. Wise, </w:t>
      </w:r>
      <w:r w:rsidR="003A3D7C" w:rsidRPr="0031394A">
        <w:rPr>
          <w:rFonts w:ascii="Times New Roman" w:hAnsi="Times New Roman" w:cs="Times New Roman"/>
          <w:noProof/>
          <w:sz w:val="24"/>
          <w:szCs w:val="24"/>
          <w:lang w:val="en-GB"/>
        </w:rPr>
        <w:t>43-72</w:t>
      </w:r>
      <w:r w:rsidRPr="0031394A">
        <w:rPr>
          <w:rFonts w:ascii="Times New Roman" w:hAnsi="Times New Roman" w:cs="Times New Roman"/>
          <w:noProof/>
          <w:sz w:val="24"/>
          <w:szCs w:val="24"/>
          <w:lang w:val="en-GB"/>
        </w:rPr>
        <w:t>. University of Chicago Press: Chicago.</w:t>
      </w:r>
    </w:p>
    <w:p w14:paraId="0315F6AF" w14:textId="77777777" w:rsidR="00115290" w:rsidRPr="0031394A" w:rsidRDefault="00115290" w:rsidP="00C825A0">
      <w:pPr>
        <w:tabs>
          <w:tab w:val="center" w:pos="4800"/>
          <w:tab w:val="right" w:pos="9500"/>
        </w:tabs>
        <w:spacing w:before="120" w:after="120" w:line="240" w:lineRule="auto"/>
        <w:jc w:val="both"/>
        <w:rPr>
          <w:rFonts w:ascii="Times New Roman" w:hAnsi="Times New Roman" w:cs="Times New Roman"/>
          <w:noProof/>
          <w:sz w:val="24"/>
          <w:szCs w:val="24"/>
          <w:lang w:val="en-GB"/>
        </w:rPr>
      </w:pPr>
      <w:r w:rsidRPr="0031394A">
        <w:rPr>
          <w:rFonts w:ascii="Times New Roman" w:hAnsi="Times New Roman" w:cs="Times New Roman"/>
          <w:noProof/>
          <w:sz w:val="24"/>
          <w:szCs w:val="24"/>
          <w:lang w:val="en-GB"/>
        </w:rPr>
        <w:t>Auerbach, A.</w:t>
      </w:r>
      <w:r w:rsidR="00CF1B46" w:rsidRPr="0031394A">
        <w:rPr>
          <w:rFonts w:ascii="Times New Roman" w:hAnsi="Times New Roman" w:cs="Times New Roman"/>
          <w:noProof/>
          <w:sz w:val="24"/>
          <w:szCs w:val="24"/>
          <w:lang w:val="en-GB"/>
        </w:rPr>
        <w:t xml:space="preserve"> </w:t>
      </w:r>
      <w:r w:rsidRPr="0031394A">
        <w:rPr>
          <w:rFonts w:ascii="Times New Roman" w:hAnsi="Times New Roman" w:cs="Times New Roman"/>
          <w:noProof/>
          <w:sz w:val="24"/>
          <w:szCs w:val="24"/>
          <w:lang w:val="en-GB"/>
        </w:rPr>
        <w:t xml:space="preserve">J. and </w:t>
      </w:r>
      <w:r w:rsidR="00573D80" w:rsidRPr="0031394A">
        <w:rPr>
          <w:rFonts w:ascii="Times New Roman" w:hAnsi="Times New Roman" w:cs="Times New Roman"/>
          <w:noProof/>
          <w:sz w:val="24"/>
          <w:szCs w:val="24"/>
          <w:lang w:val="en-GB"/>
        </w:rPr>
        <w:t>R.</w:t>
      </w:r>
      <w:r w:rsidR="00CF1B46" w:rsidRPr="0031394A">
        <w:rPr>
          <w:rFonts w:ascii="Times New Roman" w:hAnsi="Times New Roman" w:cs="Times New Roman"/>
          <w:noProof/>
          <w:sz w:val="24"/>
          <w:szCs w:val="24"/>
          <w:lang w:val="en-GB"/>
        </w:rPr>
        <w:t xml:space="preserve"> </w:t>
      </w:r>
      <w:r w:rsidR="00573D80" w:rsidRPr="0031394A">
        <w:rPr>
          <w:rFonts w:ascii="Times New Roman" w:hAnsi="Times New Roman" w:cs="Times New Roman"/>
          <w:noProof/>
          <w:sz w:val="24"/>
          <w:szCs w:val="24"/>
          <w:lang w:val="en-GB"/>
        </w:rPr>
        <w:t xml:space="preserve">D. </w:t>
      </w:r>
      <w:r w:rsidRPr="0031394A">
        <w:rPr>
          <w:rFonts w:ascii="Times New Roman" w:hAnsi="Times New Roman" w:cs="Times New Roman"/>
          <w:noProof/>
          <w:sz w:val="24"/>
          <w:szCs w:val="24"/>
          <w:lang w:val="en-GB"/>
        </w:rPr>
        <w:t>Lee. 2011</w:t>
      </w:r>
      <w:r w:rsidR="00573D80" w:rsidRPr="0031394A">
        <w:rPr>
          <w:rFonts w:ascii="Times New Roman" w:hAnsi="Times New Roman" w:cs="Times New Roman"/>
          <w:noProof/>
          <w:sz w:val="24"/>
          <w:szCs w:val="24"/>
          <w:lang w:val="en-GB"/>
        </w:rPr>
        <w:t>. “</w:t>
      </w:r>
      <w:r w:rsidRPr="0031394A">
        <w:rPr>
          <w:rFonts w:ascii="Times New Roman" w:hAnsi="Times New Roman" w:cs="Times New Roman"/>
          <w:noProof/>
          <w:sz w:val="24"/>
          <w:szCs w:val="24"/>
          <w:lang w:val="en-GB"/>
        </w:rPr>
        <w:t>Welfare and generational equity in sustainable unfunded  pension systems</w:t>
      </w:r>
      <w:r w:rsidR="00573D80" w:rsidRPr="0031394A">
        <w:rPr>
          <w:rFonts w:ascii="Times New Roman" w:hAnsi="Times New Roman" w:cs="Times New Roman"/>
          <w:noProof/>
          <w:sz w:val="24"/>
          <w:szCs w:val="24"/>
          <w:lang w:val="en-GB"/>
        </w:rPr>
        <w:t>.”</w:t>
      </w:r>
      <w:r w:rsidRPr="0031394A">
        <w:rPr>
          <w:rFonts w:ascii="Times New Roman" w:hAnsi="Times New Roman" w:cs="Times New Roman"/>
          <w:i/>
          <w:noProof/>
          <w:sz w:val="24"/>
          <w:szCs w:val="24"/>
          <w:lang w:val="en-GB"/>
        </w:rPr>
        <w:t xml:space="preserve"> Journal of Public Economics</w:t>
      </w:r>
      <w:r w:rsidRPr="0031394A">
        <w:rPr>
          <w:rFonts w:ascii="Times New Roman" w:hAnsi="Times New Roman" w:cs="Times New Roman"/>
          <w:noProof/>
          <w:sz w:val="24"/>
          <w:szCs w:val="24"/>
          <w:lang w:val="en-GB"/>
        </w:rPr>
        <w:t xml:space="preserve"> </w:t>
      </w:r>
      <w:r w:rsidR="009E274E" w:rsidRPr="0031394A">
        <w:rPr>
          <w:rFonts w:ascii="Times New Roman" w:hAnsi="Times New Roman" w:cs="Times New Roman"/>
          <w:noProof/>
          <w:sz w:val="24"/>
          <w:szCs w:val="24"/>
          <w:lang w:val="en-GB"/>
        </w:rPr>
        <w:t>95</w:t>
      </w:r>
      <w:r w:rsidR="00573D80" w:rsidRPr="0031394A">
        <w:rPr>
          <w:rFonts w:ascii="Times New Roman" w:hAnsi="Times New Roman" w:cs="Times New Roman"/>
          <w:noProof/>
          <w:sz w:val="24"/>
          <w:szCs w:val="24"/>
          <w:lang w:val="en-GB"/>
        </w:rPr>
        <w:t xml:space="preserve">: </w:t>
      </w:r>
      <w:r w:rsidRPr="0031394A">
        <w:rPr>
          <w:rFonts w:ascii="Times New Roman" w:hAnsi="Times New Roman" w:cs="Times New Roman"/>
          <w:noProof/>
          <w:sz w:val="24"/>
          <w:szCs w:val="24"/>
          <w:lang w:val="en-GB"/>
        </w:rPr>
        <w:t>16-27.</w:t>
      </w:r>
    </w:p>
    <w:p w14:paraId="7CA5552A" w14:textId="77777777" w:rsidR="00115290" w:rsidRPr="0031394A" w:rsidRDefault="00AB6112"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Börsch-Supan, A. </w:t>
      </w:r>
      <w:r w:rsidR="009E274E" w:rsidRPr="0031394A">
        <w:rPr>
          <w:rFonts w:ascii="Times New Roman" w:hAnsi="Times New Roman" w:cs="Times New Roman"/>
          <w:sz w:val="24"/>
          <w:szCs w:val="24"/>
          <w:lang w:val="en-GB"/>
        </w:rPr>
        <w:t>2006</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 “What are NDC Systems? What do they bring to Reform Strategies?” </w:t>
      </w:r>
      <w:r w:rsidRPr="0031394A">
        <w:rPr>
          <w:rFonts w:ascii="Times New Roman" w:hAnsi="Times New Roman" w:cs="Times New Roman"/>
          <w:sz w:val="24"/>
          <w:szCs w:val="24"/>
          <w:lang w:val="en-GB"/>
        </w:rPr>
        <w:t xml:space="preserve">Chapter 3 </w:t>
      </w:r>
      <w:r w:rsidR="00115290" w:rsidRPr="0031394A">
        <w:rPr>
          <w:rFonts w:ascii="Times New Roman" w:hAnsi="Times New Roman" w:cs="Times New Roman"/>
          <w:sz w:val="24"/>
          <w:szCs w:val="24"/>
          <w:lang w:val="en-GB"/>
        </w:rPr>
        <w:t xml:space="preserve">in </w:t>
      </w:r>
      <w:r w:rsidR="00115290" w:rsidRPr="0031394A">
        <w:rPr>
          <w:rFonts w:ascii="Times New Roman" w:hAnsi="Times New Roman" w:cs="Times New Roman"/>
          <w:i/>
          <w:sz w:val="24"/>
          <w:szCs w:val="24"/>
          <w:lang w:val="en-GB"/>
        </w:rPr>
        <w:t>Pension Reform: Issues and Prospects for Notional Defined Contribution (NDC) Schemes</w:t>
      </w:r>
      <w:r w:rsidRPr="0031394A">
        <w:rPr>
          <w:rFonts w:ascii="Times New Roman" w:hAnsi="Times New Roman" w:cs="Times New Roman"/>
          <w:sz w:val="24"/>
          <w:szCs w:val="24"/>
          <w:lang w:val="en-GB"/>
        </w:rPr>
        <w:t>, edited by</w:t>
      </w:r>
      <w:r w:rsidR="00115290"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 xml:space="preserve">R. </w:t>
      </w:r>
      <w:r w:rsidR="00115290" w:rsidRPr="0031394A">
        <w:rPr>
          <w:rFonts w:ascii="Times New Roman" w:hAnsi="Times New Roman" w:cs="Times New Roman"/>
          <w:sz w:val="24"/>
          <w:szCs w:val="24"/>
          <w:lang w:val="en-GB"/>
        </w:rPr>
        <w:t xml:space="preserve">Holzmann and </w:t>
      </w:r>
      <w:r w:rsidRPr="0031394A">
        <w:rPr>
          <w:rFonts w:ascii="Times New Roman" w:hAnsi="Times New Roman" w:cs="Times New Roman"/>
          <w:sz w:val="24"/>
          <w:szCs w:val="24"/>
          <w:lang w:val="en-GB"/>
        </w:rPr>
        <w:t xml:space="preserve">E. </w:t>
      </w:r>
      <w:r w:rsidR="00115290" w:rsidRPr="0031394A">
        <w:rPr>
          <w:rFonts w:ascii="Times New Roman" w:hAnsi="Times New Roman" w:cs="Times New Roman"/>
          <w:sz w:val="24"/>
          <w:szCs w:val="24"/>
          <w:lang w:val="en-GB"/>
        </w:rPr>
        <w:t>Palmer</w:t>
      </w:r>
      <w:r w:rsidRPr="0031394A">
        <w:rPr>
          <w:rFonts w:ascii="Times New Roman" w:hAnsi="Times New Roman" w:cs="Times New Roman"/>
          <w:sz w:val="24"/>
          <w:szCs w:val="24"/>
          <w:lang w:val="en-GB"/>
        </w:rPr>
        <w:t>, 35-57.</w:t>
      </w:r>
      <w:r w:rsidR="00115290" w:rsidRPr="0031394A">
        <w:rPr>
          <w:rFonts w:ascii="Times New Roman" w:hAnsi="Times New Roman" w:cs="Times New Roman"/>
          <w:sz w:val="24"/>
          <w:szCs w:val="24"/>
          <w:lang w:val="en-GB"/>
        </w:rPr>
        <w:t xml:space="preserve"> Washington, D.C.: Th</w:t>
      </w:r>
      <w:r w:rsidRPr="0031394A">
        <w:rPr>
          <w:rFonts w:ascii="Times New Roman" w:hAnsi="Times New Roman" w:cs="Times New Roman"/>
          <w:sz w:val="24"/>
          <w:szCs w:val="24"/>
          <w:lang w:val="en-GB"/>
        </w:rPr>
        <w:t>e World Bank</w:t>
      </w:r>
      <w:r w:rsidR="00115290" w:rsidRPr="0031394A">
        <w:rPr>
          <w:rFonts w:ascii="Times New Roman" w:hAnsi="Times New Roman" w:cs="Times New Roman"/>
          <w:sz w:val="24"/>
          <w:szCs w:val="24"/>
          <w:lang w:val="en-GB"/>
        </w:rPr>
        <w:t>.</w:t>
      </w:r>
    </w:p>
    <w:p w14:paraId="6DC11D6F" w14:textId="77777777" w:rsidR="00115290" w:rsidRPr="0031394A" w:rsidRDefault="00115290"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Chłón-Dominczak, A., </w:t>
      </w:r>
      <w:r w:rsidR="00E4512D" w:rsidRPr="0031394A">
        <w:rPr>
          <w:rFonts w:ascii="Times New Roman" w:hAnsi="Times New Roman" w:cs="Times New Roman"/>
          <w:sz w:val="24"/>
          <w:szCs w:val="24"/>
          <w:lang w:val="en-GB"/>
        </w:rPr>
        <w:t xml:space="preserve">D. </w:t>
      </w:r>
      <w:r w:rsidRPr="0031394A">
        <w:rPr>
          <w:rFonts w:ascii="Times New Roman" w:hAnsi="Times New Roman" w:cs="Times New Roman"/>
          <w:sz w:val="24"/>
          <w:szCs w:val="24"/>
          <w:lang w:val="en-GB"/>
        </w:rPr>
        <w:t>Fr</w:t>
      </w:r>
      <w:r w:rsidR="009E274E" w:rsidRPr="0031394A">
        <w:rPr>
          <w:rFonts w:ascii="Times New Roman" w:hAnsi="Times New Roman" w:cs="Times New Roman"/>
          <w:sz w:val="24"/>
          <w:szCs w:val="24"/>
          <w:lang w:val="en-GB"/>
        </w:rPr>
        <w:t>anco</w:t>
      </w:r>
      <w:r w:rsidR="00E4512D" w:rsidRPr="0031394A">
        <w:rPr>
          <w:rFonts w:ascii="Times New Roman" w:hAnsi="Times New Roman" w:cs="Times New Roman"/>
          <w:sz w:val="24"/>
          <w:szCs w:val="24"/>
          <w:lang w:val="en-GB"/>
        </w:rPr>
        <w:t>,</w:t>
      </w:r>
      <w:r w:rsidR="009E274E" w:rsidRPr="0031394A">
        <w:rPr>
          <w:rFonts w:ascii="Times New Roman" w:hAnsi="Times New Roman" w:cs="Times New Roman"/>
          <w:sz w:val="24"/>
          <w:szCs w:val="24"/>
          <w:lang w:val="en-GB"/>
        </w:rPr>
        <w:t xml:space="preserve"> and </w:t>
      </w:r>
      <w:r w:rsidR="00AB6112" w:rsidRPr="0031394A">
        <w:rPr>
          <w:rFonts w:ascii="Times New Roman" w:hAnsi="Times New Roman" w:cs="Times New Roman"/>
          <w:sz w:val="24"/>
          <w:szCs w:val="24"/>
          <w:lang w:val="en-GB"/>
        </w:rPr>
        <w:t xml:space="preserve">E. </w:t>
      </w:r>
      <w:r w:rsidR="009E274E" w:rsidRPr="0031394A">
        <w:rPr>
          <w:rFonts w:ascii="Times New Roman" w:hAnsi="Times New Roman" w:cs="Times New Roman"/>
          <w:sz w:val="24"/>
          <w:szCs w:val="24"/>
          <w:lang w:val="en-GB"/>
        </w:rPr>
        <w:t>Palmer</w:t>
      </w:r>
      <w:r w:rsidR="00E4512D" w:rsidRPr="0031394A">
        <w:rPr>
          <w:rFonts w:ascii="Times New Roman" w:hAnsi="Times New Roman" w:cs="Times New Roman"/>
          <w:sz w:val="24"/>
          <w:szCs w:val="24"/>
          <w:lang w:val="en-GB"/>
        </w:rPr>
        <w:t xml:space="preserve">. </w:t>
      </w:r>
      <w:r w:rsidR="009E274E" w:rsidRPr="0031394A">
        <w:rPr>
          <w:rFonts w:ascii="Times New Roman" w:hAnsi="Times New Roman" w:cs="Times New Roman"/>
          <w:sz w:val="24"/>
          <w:szCs w:val="24"/>
          <w:lang w:val="en-GB"/>
        </w:rPr>
        <w:t>2012</w:t>
      </w:r>
      <w:r w:rsidR="00AB6112" w:rsidRPr="0031394A">
        <w:rPr>
          <w:rFonts w:ascii="Times New Roman" w:hAnsi="Times New Roman" w:cs="Times New Roman"/>
          <w:sz w:val="24"/>
          <w:szCs w:val="24"/>
          <w:lang w:val="en-GB"/>
        </w:rPr>
        <w:t>. “The First Wave of NDC</w:t>
      </w:r>
      <w:r w:rsidRPr="0031394A">
        <w:rPr>
          <w:rFonts w:ascii="Times New Roman" w:hAnsi="Times New Roman" w:cs="Times New Roman"/>
          <w:sz w:val="24"/>
          <w:szCs w:val="24"/>
          <w:lang w:val="en-GB"/>
        </w:rPr>
        <w:t xml:space="preserve"> Reforms: The Experiences of Italy, Latvia, Poland, and Sweden</w:t>
      </w:r>
      <w:r w:rsidR="00AB6112"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w:t>
      </w:r>
      <w:r w:rsidR="00AB6112" w:rsidRPr="0031394A">
        <w:rPr>
          <w:rFonts w:ascii="Times New Roman" w:hAnsi="Times New Roman" w:cs="Times New Roman"/>
          <w:sz w:val="24"/>
          <w:szCs w:val="24"/>
          <w:lang w:val="en-GB"/>
        </w:rPr>
        <w:t xml:space="preserve">Chapter 2 </w:t>
      </w:r>
      <w:r w:rsidRPr="0031394A">
        <w:rPr>
          <w:rFonts w:ascii="Times New Roman" w:hAnsi="Times New Roman" w:cs="Times New Roman"/>
          <w:sz w:val="24"/>
          <w:szCs w:val="24"/>
          <w:lang w:val="en-GB"/>
        </w:rPr>
        <w:t xml:space="preserve">in </w:t>
      </w:r>
      <w:r w:rsidRPr="0031394A">
        <w:rPr>
          <w:rFonts w:ascii="Times New Roman" w:hAnsi="Times New Roman" w:cs="Times New Roman"/>
          <w:i/>
          <w:sz w:val="24"/>
          <w:szCs w:val="24"/>
          <w:lang w:val="en-GB"/>
        </w:rPr>
        <w:t>Nonfinancial Defined Contribution Pension Schemes in a Changing Pension World - Volume 1: Progress, Lessons, and Implementation</w:t>
      </w:r>
      <w:r w:rsidRPr="0031394A">
        <w:rPr>
          <w:rFonts w:ascii="Times New Roman" w:hAnsi="Times New Roman" w:cs="Times New Roman"/>
          <w:sz w:val="24"/>
          <w:szCs w:val="24"/>
          <w:lang w:val="en-GB"/>
        </w:rPr>
        <w:t>, ed</w:t>
      </w:r>
      <w:r w:rsidR="00CF1B46" w:rsidRPr="0031394A">
        <w:rPr>
          <w:rFonts w:ascii="Times New Roman" w:hAnsi="Times New Roman" w:cs="Times New Roman"/>
          <w:sz w:val="24"/>
          <w:szCs w:val="24"/>
          <w:lang w:val="en-GB"/>
        </w:rPr>
        <w:t>ited by</w:t>
      </w:r>
      <w:r w:rsidRPr="0031394A">
        <w:rPr>
          <w:rFonts w:ascii="Times New Roman" w:hAnsi="Times New Roman" w:cs="Times New Roman"/>
          <w:sz w:val="24"/>
          <w:szCs w:val="24"/>
          <w:lang w:val="en-GB"/>
        </w:rPr>
        <w:t xml:space="preserve"> </w:t>
      </w:r>
      <w:r w:rsidR="00CF1B46" w:rsidRPr="0031394A">
        <w:rPr>
          <w:rFonts w:ascii="Times New Roman" w:hAnsi="Times New Roman" w:cs="Times New Roman"/>
          <w:sz w:val="24"/>
          <w:szCs w:val="24"/>
          <w:lang w:val="en-GB"/>
        </w:rPr>
        <w:t xml:space="preserve">R. </w:t>
      </w:r>
      <w:r w:rsidRPr="0031394A">
        <w:rPr>
          <w:rFonts w:ascii="Times New Roman" w:hAnsi="Times New Roman" w:cs="Times New Roman"/>
          <w:sz w:val="24"/>
          <w:szCs w:val="24"/>
          <w:lang w:val="en-GB"/>
        </w:rPr>
        <w:t xml:space="preserve">Holzmann, </w:t>
      </w:r>
      <w:r w:rsidR="00CF1B46" w:rsidRPr="0031394A">
        <w:rPr>
          <w:rFonts w:ascii="Times New Roman" w:hAnsi="Times New Roman" w:cs="Times New Roman"/>
          <w:sz w:val="24"/>
          <w:szCs w:val="24"/>
          <w:lang w:val="en-GB"/>
        </w:rPr>
        <w:t>E.</w:t>
      </w:r>
      <w:r w:rsidRPr="0031394A">
        <w:rPr>
          <w:rFonts w:ascii="Times New Roman" w:hAnsi="Times New Roman" w:cs="Times New Roman"/>
          <w:sz w:val="24"/>
          <w:szCs w:val="24"/>
          <w:lang w:val="en-GB"/>
        </w:rPr>
        <w:t xml:space="preserve"> Palmer, and </w:t>
      </w:r>
      <w:r w:rsidR="00CF1B46" w:rsidRPr="0031394A">
        <w:rPr>
          <w:rFonts w:ascii="Times New Roman" w:hAnsi="Times New Roman" w:cs="Times New Roman"/>
          <w:sz w:val="24"/>
          <w:szCs w:val="24"/>
          <w:lang w:val="en-GB"/>
        </w:rPr>
        <w:t xml:space="preserve">D. </w:t>
      </w:r>
      <w:r w:rsidRPr="0031394A">
        <w:rPr>
          <w:rFonts w:ascii="Times New Roman" w:hAnsi="Times New Roman" w:cs="Times New Roman"/>
          <w:sz w:val="24"/>
          <w:szCs w:val="24"/>
          <w:lang w:val="en-GB"/>
        </w:rPr>
        <w:t xml:space="preserve">Robalino, </w:t>
      </w:r>
      <w:r w:rsidR="00CF1B46" w:rsidRPr="0031394A">
        <w:rPr>
          <w:rFonts w:ascii="Times New Roman" w:hAnsi="Times New Roman" w:cs="Times New Roman"/>
          <w:sz w:val="24"/>
          <w:szCs w:val="24"/>
          <w:lang w:val="en-GB"/>
        </w:rPr>
        <w:t>31-85.</w:t>
      </w:r>
      <w:r w:rsidRPr="0031394A">
        <w:rPr>
          <w:rFonts w:ascii="Times New Roman" w:hAnsi="Times New Roman" w:cs="Times New Roman"/>
          <w:sz w:val="24"/>
          <w:szCs w:val="24"/>
          <w:lang w:val="en-GB"/>
        </w:rPr>
        <w:t xml:space="preserve"> Washington, D.C.: Th</w:t>
      </w:r>
      <w:r w:rsidR="00CF1B46" w:rsidRPr="0031394A">
        <w:rPr>
          <w:rFonts w:ascii="Times New Roman" w:hAnsi="Times New Roman" w:cs="Times New Roman"/>
          <w:sz w:val="24"/>
          <w:szCs w:val="24"/>
          <w:lang w:val="en-GB"/>
        </w:rPr>
        <w:t>e World Bank</w:t>
      </w:r>
      <w:r w:rsidRPr="0031394A">
        <w:rPr>
          <w:rFonts w:ascii="Times New Roman" w:hAnsi="Times New Roman" w:cs="Times New Roman"/>
          <w:sz w:val="24"/>
          <w:szCs w:val="24"/>
          <w:lang w:val="en-GB"/>
        </w:rPr>
        <w:t>.</w:t>
      </w:r>
    </w:p>
    <w:p w14:paraId="24930F81" w14:textId="77777777" w:rsidR="00115290" w:rsidRPr="0031394A" w:rsidRDefault="00573D80" w:rsidP="00C825A0">
      <w:pPr>
        <w:widowControl w:val="0"/>
        <w:tabs>
          <w:tab w:val="center" w:pos="1418"/>
          <w:tab w:val="right" w:pos="9027"/>
        </w:tabs>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Creighton, H. </w:t>
      </w:r>
      <w:r w:rsidR="00115290" w:rsidRPr="0031394A">
        <w:rPr>
          <w:rFonts w:ascii="Times New Roman" w:hAnsi="Times New Roman" w:cs="Times New Roman"/>
          <w:sz w:val="24"/>
          <w:szCs w:val="24"/>
          <w:lang w:val="en-GB"/>
        </w:rPr>
        <w:t>2014</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 “Europe’s ageing demography</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 </w:t>
      </w:r>
      <w:r w:rsidR="00115290" w:rsidRPr="0031394A">
        <w:rPr>
          <w:rFonts w:ascii="Times New Roman" w:hAnsi="Times New Roman" w:cs="Times New Roman"/>
          <w:iCs/>
          <w:sz w:val="24"/>
          <w:szCs w:val="24"/>
          <w:lang w:val="en-GB"/>
        </w:rPr>
        <w:t>ILC-UK 2014 EU Factpack</w:t>
      </w:r>
      <w:r w:rsidR="00115290" w:rsidRPr="0031394A">
        <w:rPr>
          <w:rFonts w:ascii="Times New Roman" w:hAnsi="Times New Roman" w:cs="Times New Roman"/>
          <w:sz w:val="24"/>
          <w:szCs w:val="24"/>
          <w:lang w:val="en-GB"/>
        </w:rPr>
        <w:t>.</w:t>
      </w:r>
    </w:p>
    <w:p w14:paraId="38C69C29" w14:textId="77777777" w:rsidR="00794A78" w:rsidRPr="0031394A" w:rsidRDefault="00794A78" w:rsidP="00C825A0">
      <w:pPr>
        <w:autoSpaceDE w:val="0"/>
        <w:autoSpaceDN w:val="0"/>
        <w:adjustRightInd w:val="0"/>
        <w:spacing w:after="0" w:line="240" w:lineRule="auto"/>
        <w:jc w:val="both"/>
        <w:rPr>
          <w:rFonts w:ascii="Times New Roman" w:hAnsi="Times New Roman" w:cs="Times New Roman"/>
          <w:sz w:val="24"/>
          <w:szCs w:val="24"/>
          <w:lang w:val="en-GB" w:bidi="ar-SA"/>
        </w:rPr>
      </w:pPr>
      <w:r w:rsidRPr="0031394A">
        <w:rPr>
          <w:rFonts w:ascii="Times New Roman" w:hAnsi="Times New Roman" w:cs="Times New Roman"/>
          <w:sz w:val="24"/>
          <w:szCs w:val="24"/>
          <w:lang w:val="en-GB" w:bidi="ar-SA"/>
        </w:rPr>
        <w:t>D’Addio, A.C. and E. Whitehouse. 2012. “Towards financial sustainability of pension systems.</w:t>
      </w:r>
      <w:r w:rsidR="002811CE" w:rsidRPr="0031394A">
        <w:rPr>
          <w:rFonts w:ascii="Times New Roman" w:hAnsi="Times New Roman" w:cs="Times New Roman"/>
          <w:sz w:val="24"/>
          <w:szCs w:val="24"/>
          <w:lang w:val="en-GB" w:bidi="ar-SA"/>
        </w:rPr>
        <w:t xml:space="preserve"> </w:t>
      </w:r>
      <w:r w:rsidRPr="0031394A">
        <w:rPr>
          <w:rFonts w:ascii="Times New Roman" w:hAnsi="Times New Roman" w:cs="Times New Roman"/>
          <w:sz w:val="24"/>
          <w:szCs w:val="24"/>
          <w:lang w:val="en-GB" w:bidi="ar-SA"/>
        </w:rPr>
        <w:t>The role Of Automatic-Adjustment Mechanisms in OECD and EU Countries</w:t>
      </w:r>
      <w:r w:rsidR="002811CE" w:rsidRPr="0031394A">
        <w:rPr>
          <w:rFonts w:ascii="Times New Roman" w:hAnsi="Times New Roman" w:cs="Times New Roman"/>
          <w:sz w:val="24"/>
          <w:szCs w:val="24"/>
          <w:lang w:val="en-GB" w:bidi="ar-SA"/>
        </w:rPr>
        <w:t>.</w:t>
      </w:r>
      <w:r w:rsidRPr="0031394A">
        <w:rPr>
          <w:rFonts w:ascii="Times New Roman" w:hAnsi="Times New Roman" w:cs="Times New Roman"/>
          <w:sz w:val="24"/>
          <w:szCs w:val="24"/>
          <w:lang w:val="en-GB" w:bidi="ar-SA"/>
        </w:rPr>
        <w:t>”</w:t>
      </w:r>
      <w:r w:rsidR="002811CE" w:rsidRPr="0031394A">
        <w:rPr>
          <w:rFonts w:ascii="Times New Roman" w:hAnsi="Times New Roman" w:cs="Times New Roman"/>
          <w:sz w:val="24"/>
          <w:szCs w:val="24"/>
          <w:lang w:val="en-GB" w:bidi="ar-SA"/>
        </w:rPr>
        <w:t xml:space="preserve"> </w:t>
      </w:r>
      <w:r w:rsidRPr="0031394A">
        <w:rPr>
          <w:rFonts w:ascii="Times New Roman" w:hAnsi="Times New Roman" w:cs="Times New Roman"/>
          <w:sz w:val="24"/>
          <w:szCs w:val="24"/>
          <w:lang w:val="en-GB" w:bidi="ar-SA"/>
        </w:rPr>
        <w:t>Report number</w:t>
      </w:r>
      <w:r w:rsidR="002811CE" w:rsidRPr="0031394A">
        <w:rPr>
          <w:rFonts w:ascii="Times New Roman" w:hAnsi="Times New Roman" w:cs="Times New Roman"/>
          <w:sz w:val="24"/>
          <w:szCs w:val="24"/>
          <w:lang w:val="en-GB" w:bidi="ar-SA"/>
        </w:rPr>
        <w:t xml:space="preserve"> </w:t>
      </w:r>
      <w:r w:rsidRPr="0031394A">
        <w:rPr>
          <w:rFonts w:ascii="Times New Roman" w:hAnsi="Times New Roman" w:cs="Times New Roman"/>
          <w:sz w:val="24"/>
          <w:szCs w:val="24"/>
          <w:lang w:val="en-GB" w:bidi="ar-SA"/>
        </w:rPr>
        <w:t>8/12, Federal Social Insurance Office, Switzerland 2012.</w:t>
      </w:r>
    </w:p>
    <w:p w14:paraId="366191A2" w14:textId="77777777" w:rsidR="00115290" w:rsidRPr="0031394A" w:rsidRDefault="00115290"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De Menil, G., </w:t>
      </w:r>
      <w:r w:rsidR="00573D80" w:rsidRPr="0031394A">
        <w:rPr>
          <w:rFonts w:ascii="Times New Roman" w:hAnsi="Times New Roman" w:cs="Times New Roman"/>
          <w:sz w:val="24"/>
          <w:szCs w:val="24"/>
          <w:lang w:val="en-GB"/>
        </w:rPr>
        <w:t xml:space="preserve">F. </w:t>
      </w:r>
      <w:r w:rsidRPr="0031394A">
        <w:rPr>
          <w:rFonts w:ascii="Times New Roman" w:hAnsi="Times New Roman" w:cs="Times New Roman"/>
          <w:sz w:val="24"/>
          <w:szCs w:val="24"/>
          <w:lang w:val="en-GB"/>
        </w:rPr>
        <w:t>Murtin</w:t>
      </w:r>
      <w:r w:rsidR="009E274E" w:rsidRPr="0031394A">
        <w:rPr>
          <w:rFonts w:ascii="Times New Roman" w:hAnsi="Times New Roman" w:cs="Times New Roman"/>
          <w:sz w:val="24"/>
          <w:szCs w:val="24"/>
          <w:lang w:val="en-GB"/>
        </w:rPr>
        <w:t xml:space="preserve">, and </w:t>
      </w:r>
      <w:r w:rsidR="00573D80" w:rsidRPr="0031394A">
        <w:rPr>
          <w:rFonts w:ascii="Times New Roman" w:hAnsi="Times New Roman" w:cs="Times New Roman"/>
          <w:sz w:val="24"/>
          <w:szCs w:val="24"/>
          <w:lang w:val="en-GB"/>
        </w:rPr>
        <w:t xml:space="preserve">E. </w:t>
      </w:r>
      <w:r w:rsidR="009E274E" w:rsidRPr="0031394A">
        <w:rPr>
          <w:rFonts w:ascii="Times New Roman" w:hAnsi="Times New Roman" w:cs="Times New Roman"/>
          <w:sz w:val="24"/>
          <w:szCs w:val="24"/>
          <w:lang w:val="en-GB"/>
        </w:rPr>
        <w:t>Sheshinski. 2006</w:t>
      </w:r>
      <w:r w:rsidR="00573D80"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“Planning for the optimal mix </w:t>
      </w:r>
      <w:r w:rsidR="009E274E" w:rsidRPr="0031394A">
        <w:rPr>
          <w:rFonts w:ascii="Times New Roman" w:hAnsi="Times New Roman" w:cs="Times New Roman"/>
          <w:sz w:val="24"/>
          <w:szCs w:val="24"/>
          <w:lang w:val="en-GB"/>
        </w:rPr>
        <w:t>of paygo tax and funded savings</w:t>
      </w:r>
      <w:r w:rsidR="00573D80"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w:t>
      </w:r>
      <w:r w:rsidR="009E274E"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w:t>
      </w:r>
      <w:r w:rsidRPr="0031394A">
        <w:rPr>
          <w:rFonts w:ascii="Times New Roman" w:hAnsi="Times New Roman" w:cs="Times New Roman"/>
          <w:i/>
          <w:sz w:val="24"/>
          <w:szCs w:val="24"/>
          <w:lang w:val="en-GB"/>
        </w:rPr>
        <w:t>Journal of Pension Economics and Finance</w:t>
      </w:r>
      <w:r w:rsidR="00573D80"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5</w:t>
      </w:r>
      <w:r w:rsidR="00573D80"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1–25.</w:t>
      </w:r>
    </w:p>
    <w:p w14:paraId="581CCB4B" w14:textId="77777777" w:rsidR="00E844C3" w:rsidRPr="0031394A" w:rsidRDefault="00E844C3" w:rsidP="00C825A0">
      <w:pPr>
        <w:spacing w:before="100" w:beforeAutospacing="1" w:after="100" w:afterAutospacing="1" w:line="240" w:lineRule="auto"/>
        <w:jc w:val="both"/>
        <w:rPr>
          <w:rFonts w:ascii="Times New Roman" w:eastAsia="Times New Roman" w:hAnsi="Times New Roman" w:cs="Times New Roman"/>
          <w:sz w:val="24"/>
          <w:szCs w:val="24"/>
          <w:lang w:val="en-GB" w:eastAsia="es-ES"/>
        </w:rPr>
      </w:pPr>
      <w:r w:rsidRPr="0031394A">
        <w:rPr>
          <w:rFonts w:ascii="Times New Roman" w:eastAsia="Times New Roman" w:hAnsi="Times New Roman" w:cs="Times New Roman"/>
          <w:sz w:val="24"/>
          <w:szCs w:val="24"/>
          <w:lang w:val="en-GB" w:eastAsia="es-ES"/>
        </w:rPr>
        <w:t xml:space="preserve">Dimson, E., </w:t>
      </w:r>
      <w:r w:rsidR="00573D80" w:rsidRPr="0031394A">
        <w:rPr>
          <w:rFonts w:ascii="Times New Roman" w:eastAsia="Times New Roman" w:hAnsi="Times New Roman" w:cs="Times New Roman"/>
          <w:sz w:val="24"/>
          <w:szCs w:val="24"/>
          <w:lang w:val="en-GB" w:eastAsia="es-ES"/>
        </w:rPr>
        <w:t xml:space="preserve">P. </w:t>
      </w:r>
      <w:r w:rsidRPr="0031394A">
        <w:rPr>
          <w:rFonts w:ascii="Times New Roman" w:eastAsia="Times New Roman" w:hAnsi="Times New Roman" w:cs="Times New Roman"/>
          <w:sz w:val="24"/>
          <w:szCs w:val="24"/>
          <w:lang w:val="en-GB" w:eastAsia="es-ES"/>
        </w:rPr>
        <w:t xml:space="preserve">Marsh, and </w:t>
      </w:r>
      <w:r w:rsidR="00573D80" w:rsidRPr="0031394A">
        <w:rPr>
          <w:rFonts w:ascii="Times New Roman" w:eastAsia="Times New Roman" w:hAnsi="Times New Roman" w:cs="Times New Roman"/>
          <w:sz w:val="24"/>
          <w:szCs w:val="24"/>
          <w:lang w:val="en-GB" w:eastAsia="es-ES"/>
        </w:rPr>
        <w:t xml:space="preserve">M. </w:t>
      </w:r>
      <w:r w:rsidRPr="0031394A">
        <w:rPr>
          <w:rFonts w:ascii="Times New Roman" w:eastAsia="Times New Roman" w:hAnsi="Times New Roman" w:cs="Times New Roman"/>
          <w:sz w:val="24"/>
          <w:szCs w:val="24"/>
          <w:lang w:val="en-GB" w:eastAsia="es-ES"/>
        </w:rPr>
        <w:t>Staunton. 2011. “Credit Suisse Global Investment Returns Sourcebook</w:t>
      </w:r>
      <w:r w:rsidR="00573D80"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 xml:space="preserve"> Credit Suisse Research Institute.</w:t>
      </w:r>
    </w:p>
    <w:p w14:paraId="63AFD51C" w14:textId="77777777" w:rsidR="00115290" w:rsidRPr="0031394A" w:rsidRDefault="00573D80" w:rsidP="00C825A0">
      <w:pPr>
        <w:widowControl w:val="0"/>
        <w:tabs>
          <w:tab w:val="center" w:pos="1418"/>
          <w:tab w:val="right" w:pos="9027"/>
        </w:tabs>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European Commission. 2010.</w:t>
      </w:r>
      <w:r w:rsidR="00115290" w:rsidRPr="0031394A">
        <w:rPr>
          <w:rFonts w:ascii="Times New Roman" w:hAnsi="Times New Roman" w:cs="Times New Roman"/>
          <w:sz w:val="24"/>
          <w:szCs w:val="24"/>
          <w:lang w:val="en-GB"/>
        </w:rPr>
        <w:t xml:space="preserve"> “GREEN PAPER towards adequate, sustainable and safe European pension systems</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w:t>
      </w:r>
    </w:p>
    <w:p w14:paraId="6B8F7D58" w14:textId="77777777" w:rsidR="00115290" w:rsidRPr="0031394A" w:rsidRDefault="00573D80" w:rsidP="00C825A0">
      <w:pPr>
        <w:widowControl w:val="0"/>
        <w:tabs>
          <w:tab w:val="center" w:pos="1418"/>
          <w:tab w:val="right" w:pos="9027"/>
        </w:tabs>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European Commission. 2012.</w:t>
      </w:r>
      <w:r w:rsidR="00115290" w:rsidRPr="0031394A">
        <w:rPr>
          <w:rFonts w:ascii="Times New Roman" w:hAnsi="Times New Roman" w:cs="Times New Roman"/>
          <w:sz w:val="24"/>
          <w:szCs w:val="24"/>
          <w:lang w:val="en-GB"/>
        </w:rPr>
        <w:t xml:space="preserve"> “WHITE PAPER. An agenda for adequate, safe and sustainable pensions</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w:t>
      </w:r>
    </w:p>
    <w:p w14:paraId="7AC88191" w14:textId="77777777" w:rsidR="005359A7" w:rsidRPr="0031394A" w:rsidRDefault="005359A7" w:rsidP="00C825A0">
      <w:pPr>
        <w:spacing w:line="240" w:lineRule="auto"/>
        <w:jc w:val="both"/>
        <w:rPr>
          <w:rFonts w:ascii="Times New Roman" w:hAnsi="Times New Roman" w:cs="Times New Roman"/>
          <w:sz w:val="24"/>
          <w:szCs w:val="24"/>
          <w:shd w:val="clear" w:color="auto" w:fill="FFFFFF"/>
        </w:rPr>
      </w:pPr>
      <w:r w:rsidRPr="0031394A">
        <w:rPr>
          <w:rFonts w:ascii="Times New Roman" w:hAnsi="Times New Roman" w:cs="Times New Roman"/>
          <w:sz w:val="24"/>
          <w:szCs w:val="24"/>
          <w:shd w:val="clear" w:color="auto" w:fill="FFFFFF"/>
        </w:rPr>
        <w:t xml:space="preserve">European Commission. 2018. “The </w:t>
      </w:r>
      <w:r w:rsidRPr="0031394A">
        <w:rPr>
          <w:rStyle w:val="Emphasis"/>
          <w:rFonts w:ascii="Times New Roman" w:hAnsi="Times New Roman" w:cs="Times New Roman"/>
          <w:bCs/>
          <w:i w:val="0"/>
          <w:iCs w:val="0"/>
          <w:sz w:val="24"/>
          <w:szCs w:val="24"/>
          <w:shd w:val="clear" w:color="auto" w:fill="FFFFFF"/>
        </w:rPr>
        <w:t>Ageing Report</w:t>
      </w:r>
      <w:r w:rsidRPr="0031394A">
        <w:rPr>
          <w:rFonts w:ascii="Times New Roman" w:hAnsi="Times New Roman" w:cs="Times New Roman"/>
          <w:sz w:val="24"/>
          <w:szCs w:val="24"/>
          <w:shd w:val="clear" w:color="auto" w:fill="FFFFFF"/>
        </w:rPr>
        <w:t xml:space="preserve">. Economic &amp; Budgetary. Projections for the 28 EU. Member States (2016-2070).” </w:t>
      </w:r>
      <w:r w:rsidRPr="0031394A">
        <w:rPr>
          <w:rFonts w:ascii="Times New Roman" w:hAnsi="Times New Roman" w:cs="Times New Roman"/>
          <w:i/>
          <w:sz w:val="24"/>
          <w:szCs w:val="24"/>
          <w:shd w:val="clear" w:color="auto" w:fill="FFFFFF"/>
        </w:rPr>
        <w:t>Institutional Paper</w:t>
      </w:r>
      <w:r w:rsidRPr="0031394A">
        <w:rPr>
          <w:rFonts w:ascii="Times New Roman" w:hAnsi="Times New Roman" w:cs="Times New Roman"/>
          <w:sz w:val="24"/>
          <w:szCs w:val="24"/>
          <w:shd w:val="clear" w:color="auto" w:fill="FFFFFF"/>
        </w:rPr>
        <w:t xml:space="preserve"> 079, 25 May 2018</w:t>
      </w:r>
      <w:r w:rsidRPr="0031394A">
        <w:rPr>
          <w:rStyle w:val="Emphasis"/>
          <w:rFonts w:ascii="Times New Roman" w:hAnsi="Times New Roman" w:cs="Times New Roman"/>
          <w:bCs/>
          <w:i w:val="0"/>
          <w:iCs w:val="0"/>
          <w:sz w:val="24"/>
          <w:szCs w:val="24"/>
          <w:shd w:val="clear" w:color="auto" w:fill="FFFFFF"/>
        </w:rPr>
        <w:t>.</w:t>
      </w:r>
      <w:r w:rsidRPr="0031394A">
        <w:rPr>
          <w:rFonts w:ascii="Times New Roman" w:hAnsi="Times New Roman" w:cs="Times New Roman"/>
          <w:sz w:val="24"/>
          <w:szCs w:val="24"/>
          <w:shd w:val="clear" w:color="auto" w:fill="FFFFFF"/>
        </w:rPr>
        <w:t> </w:t>
      </w:r>
    </w:p>
    <w:p w14:paraId="791F8764" w14:textId="77777777" w:rsidR="00115290" w:rsidRPr="0031394A" w:rsidRDefault="00115290"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Fajnzylber, P. and </w:t>
      </w:r>
      <w:r w:rsidR="00CF1B46" w:rsidRPr="0031394A">
        <w:rPr>
          <w:rFonts w:ascii="Times New Roman" w:hAnsi="Times New Roman" w:cs="Times New Roman"/>
          <w:sz w:val="24"/>
          <w:szCs w:val="24"/>
          <w:lang w:val="en-GB"/>
        </w:rPr>
        <w:t xml:space="preserve">D. A. Robalino. </w:t>
      </w:r>
      <w:r w:rsidRPr="0031394A">
        <w:rPr>
          <w:rFonts w:ascii="Times New Roman" w:hAnsi="Times New Roman" w:cs="Times New Roman"/>
          <w:sz w:val="24"/>
          <w:szCs w:val="24"/>
          <w:lang w:val="en-GB"/>
        </w:rPr>
        <w:t>2012</w:t>
      </w:r>
      <w:r w:rsidR="00CF1B46"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“Assessing Fiscal Costs and Pension Distribution in Transitions to Defined Contribution Systems: A Retrospective Analysis for Chile</w:t>
      </w:r>
      <w:r w:rsidR="00CF1B46"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w:t>
      </w:r>
      <w:r w:rsidR="00CF1B46" w:rsidRPr="0031394A">
        <w:rPr>
          <w:rFonts w:ascii="Times New Roman" w:hAnsi="Times New Roman" w:cs="Times New Roman"/>
          <w:sz w:val="24"/>
          <w:szCs w:val="24"/>
          <w:lang w:val="en-GB"/>
        </w:rPr>
        <w:t xml:space="preserve"> Chapter 9</w:t>
      </w:r>
      <w:r w:rsidRPr="0031394A">
        <w:rPr>
          <w:rFonts w:ascii="Times New Roman" w:hAnsi="Times New Roman" w:cs="Times New Roman"/>
          <w:sz w:val="24"/>
          <w:szCs w:val="24"/>
          <w:lang w:val="en-GB"/>
        </w:rPr>
        <w:t xml:space="preserve"> in </w:t>
      </w:r>
      <w:r w:rsidRPr="0031394A">
        <w:rPr>
          <w:rFonts w:ascii="Times New Roman" w:hAnsi="Times New Roman" w:cs="Times New Roman"/>
          <w:i/>
          <w:sz w:val="24"/>
          <w:szCs w:val="24"/>
          <w:lang w:val="en-GB"/>
        </w:rPr>
        <w:t>Nonfinancial Defined Contribution Pension Schemes in a Changing Pension World - Volume 1: Progress, Lessons, and Implementation</w:t>
      </w:r>
      <w:r w:rsidR="00CF1B46" w:rsidRPr="0031394A">
        <w:rPr>
          <w:rFonts w:ascii="Times New Roman" w:hAnsi="Times New Roman" w:cs="Times New Roman"/>
          <w:sz w:val="24"/>
          <w:szCs w:val="24"/>
          <w:lang w:val="en-GB"/>
        </w:rPr>
        <w:t>, edited by</w:t>
      </w:r>
      <w:r w:rsidRPr="0031394A">
        <w:rPr>
          <w:rFonts w:ascii="Times New Roman" w:hAnsi="Times New Roman" w:cs="Times New Roman"/>
          <w:sz w:val="24"/>
          <w:szCs w:val="24"/>
          <w:lang w:val="en-GB"/>
        </w:rPr>
        <w:t xml:space="preserve"> </w:t>
      </w:r>
      <w:r w:rsidR="00CF1B46" w:rsidRPr="0031394A">
        <w:rPr>
          <w:rFonts w:ascii="Times New Roman" w:hAnsi="Times New Roman" w:cs="Times New Roman"/>
          <w:sz w:val="24"/>
          <w:szCs w:val="24"/>
          <w:lang w:val="en-GB"/>
        </w:rPr>
        <w:t xml:space="preserve">R. </w:t>
      </w:r>
      <w:r w:rsidRPr="0031394A">
        <w:rPr>
          <w:rFonts w:ascii="Times New Roman" w:hAnsi="Times New Roman" w:cs="Times New Roman"/>
          <w:sz w:val="24"/>
          <w:szCs w:val="24"/>
          <w:lang w:val="en-GB"/>
        </w:rPr>
        <w:t xml:space="preserve">Holzmann, </w:t>
      </w:r>
      <w:r w:rsidR="00CF1B46" w:rsidRPr="0031394A">
        <w:rPr>
          <w:rFonts w:ascii="Times New Roman" w:hAnsi="Times New Roman" w:cs="Times New Roman"/>
          <w:sz w:val="24"/>
          <w:szCs w:val="24"/>
          <w:lang w:val="en-GB"/>
        </w:rPr>
        <w:t xml:space="preserve">E. </w:t>
      </w:r>
      <w:r w:rsidRPr="0031394A">
        <w:rPr>
          <w:rFonts w:ascii="Times New Roman" w:hAnsi="Times New Roman" w:cs="Times New Roman"/>
          <w:sz w:val="24"/>
          <w:szCs w:val="24"/>
          <w:lang w:val="en-GB"/>
        </w:rPr>
        <w:t xml:space="preserve">Palmer, </w:t>
      </w:r>
      <w:r w:rsidR="00CF1B46" w:rsidRPr="0031394A">
        <w:rPr>
          <w:rFonts w:ascii="Times New Roman" w:hAnsi="Times New Roman" w:cs="Times New Roman"/>
          <w:sz w:val="24"/>
          <w:szCs w:val="24"/>
          <w:lang w:val="en-GB"/>
        </w:rPr>
        <w:t xml:space="preserve">and D. A. </w:t>
      </w:r>
      <w:r w:rsidRPr="0031394A">
        <w:rPr>
          <w:rFonts w:ascii="Times New Roman" w:hAnsi="Times New Roman" w:cs="Times New Roman"/>
          <w:sz w:val="24"/>
          <w:szCs w:val="24"/>
          <w:lang w:val="en-GB"/>
        </w:rPr>
        <w:t>Robalino</w:t>
      </w:r>
      <w:r w:rsidR="00CF1B46" w:rsidRPr="0031394A">
        <w:rPr>
          <w:rFonts w:ascii="Times New Roman" w:hAnsi="Times New Roman" w:cs="Times New Roman"/>
          <w:sz w:val="24"/>
          <w:szCs w:val="24"/>
          <w:lang w:val="en-GB"/>
        </w:rPr>
        <w:t xml:space="preserve">, 281-316. </w:t>
      </w:r>
      <w:r w:rsidRPr="0031394A">
        <w:rPr>
          <w:rFonts w:ascii="Times New Roman" w:hAnsi="Times New Roman" w:cs="Times New Roman"/>
          <w:sz w:val="24"/>
          <w:szCs w:val="24"/>
          <w:lang w:val="en-GB"/>
        </w:rPr>
        <w:t>Washington, D.C.: The World Bank.</w:t>
      </w:r>
    </w:p>
    <w:p w14:paraId="499A00F0" w14:textId="77777777" w:rsidR="00115290" w:rsidRPr="0031394A" w:rsidRDefault="00115290" w:rsidP="00C825A0">
      <w:pPr>
        <w:widowControl w:val="0"/>
        <w:tabs>
          <w:tab w:val="center" w:pos="1418"/>
          <w:tab w:val="right" w:pos="9027"/>
        </w:tabs>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Godínez-Olivares, H., </w:t>
      </w:r>
      <w:r w:rsidR="00CD3594" w:rsidRPr="0031394A">
        <w:rPr>
          <w:rFonts w:ascii="Times New Roman" w:hAnsi="Times New Roman" w:cs="Times New Roman"/>
          <w:sz w:val="24"/>
          <w:szCs w:val="24"/>
          <w:lang w:val="en-GB"/>
        </w:rPr>
        <w:t>M.</w:t>
      </w:r>
      <w:r w:rsidR="00AB6112" w:rsidRPr="0031394A">
        <w:rPr>
          <w:rFonts w:ascii="Times New Roman" w:hAnsi="Times New Roman" w:cs="Times New Roman"/>
          <w:sz w:val="24"/>
          <w:szCs w:val="24"/>
          <w:lang w:val="en-GB"/>
        </w:rPr>
        <w:t xml:space="preserve">C. </w:t>
      </w:r>
      <w:r w:rsidRPr="0031394A">
        <w:rPr>
          <w:rFonts w:ascii="Times New Roman" w:hAnsi="Times New Roman" w:cs="Times New Roman"/>
          <w:sz w:val="24"/>
          <w:szCs w:val="24"/>
          <w:lang w:val="en-GB"/>
        </w:rPr>
        <w:t xml:space="preserve">Boado-Penas, and </w:t>
      </w:r>
      <w:r w:rsidR="00AB6112" w:rsidRPr="0031394A">
        <w:rPr>
          <w:rFonts w:ascii="Times New Roman" w:hAnsi="Times New Roman" w:cs="Times New Roman"/>
          <w:sz w:val="24"/>
          <w:szCs w:val="24"/>
          <w:lang w:val="en-GB"/>
        </w:rPr>
        <w:t xml:space="preserve">S. </w:t>
      </w:r>
      <w:r w:rsidRPr="0031394A">
        <w:rPr>
          <w:rFonts w:ascii="Times New Roman" w:hAnsi="Times New Roman" w:cs="Times New Roman"/>
          <w:sz w:val="24"/>
          <w:szCs w:val="24"/>
          <w:lang w:val="en-GB"/>
        </w:rPr>
        <w:t>Haberman. 2016</w:t>
      </w:r>
      <w:r w:rsidR="00AB6112"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“Optimal strategies for pay-as-you-go pension finance: A sustainability framework</w:t>
      </w:r>
      <w:r w:rsidR="00AB6112"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w:t>
      </w:r>
      <w:r w:rsidRPr="0031394A">
        <w:rPr>
          <w:rFonts w:ascii="Times New Roman" w:hAnsi="Times New Roman" w:cs="Times New Roman"/>
          <w:i/>
          <w:sz w:val="24"/>
          <w:szCs w:val="24"/>
          <w:lang w:val="en-GB"/>
        </w:rPr>
        <w:t>Insurance: Mathematics and Economics</w:t>
      </w:r>
      <w:r w:rsidRPr="0031394A">
        <w:rPr>
          <w:rFonts w:ascii="Times New Roman" w:hAnsi="Times New Roman" w:cs="Times New Roman"/>
          <w:sz w:val="24"/>
          <w:szCs w:val="24"/>
          <w:lang w:val="en-GB"/>
        </w:rPr>
        <w:t xml:space="preserve"> 69</w:t>
      </w:r>
      <w:r w:rsidR="00AB6112"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117-126.</w:t>
      </w:r>
    </w:p>
    <w:p w14:paraId="3422C989" w14:textId="77777777" w:rsidR="00CD3594" w:rsidRPr="0031394A" w:rsidRDefault="00CD3594" w:rsidP="00C825A0">
      <w:pPr>
        <w:widowControl w:val="0"/>
        <w:tabs>
          <w:tab w:val="center" w:pos="1418"/>
          <w:tab w:val="right" w:pos="9027"/>
        </w:tabs>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Godínez-Olivares, H., M.C. Boado-Penas, and A.A. Pantelous. 2016. “How to finance pensions: Optimal strategies for pay-as-you-go pension systems.” </w:t>
      </w:r>
      <w:r w:rsidRPr="0031394A">
        <w:rPr>
          <w:rFonts w:ascii="Times New Roman" w:hAnsi="Times New Roman" w:cs="Times New Roman"/>
          <w:i/>
          <w:sz w:val="24"/>
          <w:szCs w:val="24"/>
          <w:lang w:val="en-GB"/>
        </w:rPr>
        <w:t xml:space="preserve">Journal of Forecasting </w:t>
      </w:r>
      <w:r w:rsidRPr="0031394A">
        <w:rPr>
          <w:rFonts w:ascii="Times New Roman" w:hAnsi="Times New Roman" w:cs="Times New Roman"/>
          <w:sz w:val="24"/>
          <w:szCs w:val="24"/>
          <w:lang w:val="en-GB"/>
        </w:rPr>
        <w:t>35(1): 13-33.</w:t>
      </w:r>
    </w:p>
    <w:p w14:paraId="359A5826" w14:textId="77777777" w:rsidR="00115290" w:rsidRPr="0031394A" w:rsidRDefault="00115290"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Holzmann, R. and </w:t>
      </w:r>
      <w:r w:rsidR="00AB6112" w:rsidRPr="0031394A">
        <w:rPr>
          <w:rFonts w:ascii="Times New Roman" w:hAnsi="Times New Roman" w:cs="Times New Roman"/>
          <w:sz w:val="24"/>
          <w:szCs w:val="24"/>
          <w:lang w:val="en-GB"/>
        </w:rPr>
        <w:t xml:space="preserve">E. </w:t>
      </w:r>
      <w:r w:rsidRPr="0031394A">
        <w:rPr>
          <w:rFonts w:ascii="Times New Roman" w:hAnsi="Times New Roman" w:cs="Times New Roman"/>
          <w:sz w:val="24"/>
          <w:szCs w:val="24"/>
          <w:lang w:val="en-GB"/>
        </w:rPr>
        <w:t xml:space="preserve">Palmer. 2006. </w:t>
      </w:r>
      <w:r w:rsidR="00D3746A"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Pension Reform: Issues and Prospects for Notional Defined Contribution (NDC) Schemes</w:t>
      </w:r>
      <w:r w:rsidR="00AB6112" w:rsidRPr="0031394A">
        <w:rPr>
          <w:rFonts w:ascii="Times New Roman" w:hAnsi="Times New Roman" w:cs="Times New Roman"/>
          <w:sz w:val="24"/>
          <w:szCs w:val="24"/>
          <w:lang w:val="en-GB"/>
        </w:rPr>
        <w:t>.</w:t>
      </w:r>
      <w:r w:rsidR="00D3746A"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Washington, DC: World Bank.</w:t>
      </w:r>
    </w:p>
    <w:p w14:paraId="7D34794D" w14:textId="77777777" w:rsidR="00115290" w:rsidRPr="0031394A" w:rsidRDefault="00115290" w:rsidP="00C825A0">
      <w:pPr>
        <w:widowControl w:val="0"/>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lastRenderedPageBreak/>
        <w:t xml:space="preserve">Holzmann, R., </w:t>
      </w:r>
      <w:r w:rsidR="00AB6112" w:rsidRPr="0031394A">
        <w:rPr>
          <w:rFonts w:ascii="Times New Roman" w:hAnsi="Times New Roman" w:cs="Times New Roman"/>
          <w:sz w:val="24"/>
          <w:szCs w:val="24"/>
          <w:lang w:val="en-GB"/>
        </w:rPr>
        <w:t xml:space="preserve">E. </w:t>
      </w:r>
      <w:r w:rsidRPr="0031394A">
        <w:rPr>
          <w:rFonts w:ascii="Times New Roman" w:hAnsi="Times New Roman" w:cs="Times New Roman"/>
          <w:sz w:val="24"/>
          <w:szCs w:val="24"/>
          <w:lang w:val="en-GB"/>
        </w:rPr>
        <w:t xml:space="preserve">Palmer, and </w:t>
      </w:r>
      <w:r w:rsidR="00AB6112" w:rsidRPr="0031394A">
        <w:rPr>
          <w:rFonts w:ascii="Times New Roman" w:hAnsi="Times New Roman" w:cs="Times New Roman"/>
          <w:sz w:val="24"/>
          <w:szCs w:val="24"/>
          <w:lang w:val="en-GB"/>
        </w:rPr>
        <w:t xml:space="preserve">D. </w:t>
      </w:r>
      <w:r w:rsidRPr="0031394A">
        <w:rPr>
          <w:rFonts w:ascii="Times New Roman" w:hAnsi="Times New Roman" w:cs="Times New Roman"/>
          <w:sz w:val="24"/>
          <w:szCs w:val="24"/>
          <w:lang w:val="en-GB"/>
        </w:rPr>
        <w:t>Robalino. 2012</w:t>
      </w:r>
      <w:r w:rsidR="00AB6112" w:rsidRPr="0031394A">
        <w:rPr>
          <w:rFonts w:ascii="Times New Roman" w:hAnsi="Times New Roman" w:cs="Times New Roman"/>
          <w:sz w:val="24"/>
          <w:szCs w:val="24"/>
          <w:lang w:val="en-GB"/>
        </w:rPr>
        <w:t xml:space="preserve">. </w:t>
      </w:r>
      <w:r w:rsidRPr="0031394A">
        <w:rPr>
          <w:rFonts w:ascii="Times New Roman" w:hAnsi="Times New Roman" w:cs="Times New Roman"/>
          <w:i/>
          <w:sz w:val="24"/>
          <w:szCs w:val="24"/>
          <w:lang w:val="en-GB"/>
        </w:rPr>
        <w:t>Non-financial defined contribution pension schemes in a changing pension world: Vol. 1. Progress, lessons, and implementation</w:t>
      </w:r>
      <w:r w:rsidR="00AB6112" w:rsidRPr="0031394A">
        <w:rPr>
          <w:rFonts w:ascii="Times New Roman" w:hAnsi="Times New Roman" w:cs="Times New Roman"/>
          <w:i/>
          <w:sz w:val="24"/>
          <w:szCs w:val="24"/>
          <w:lang w:val="en-GB"/>
        </w:rPr>
        <w:t>.</w:t>
      </w:r>
      <w:r w:rsidRPr="0031394A">
        <w:rPr>
          <w:rFonts w:ascii="Times New Roman" w:hAnsi="Times New Roman" w:cs="Times New Roman"/>
          <w:sz w:val="24"/>
          <w:szCs w:val="24"/>
          <w:lang w:val="en-GB"/>
        </w:rPr>
        <w:t xml:space="preserve"> Washington, DC: </w:t>
      </w:r>
      <w:r w:rsidRPr="0031394A">
        <w:rPr>
          <w:rFonts w:ascii="Times New Roman" w:hAnsi="Times New Roman" w:cs="Times New Roman"/>
          <w:iCs/>
          <w:sz w:val="24"/>
          <w:szCs w:val="24"/>
          <w:lang w:val="en-GB"/>
        </w:rPr>
        <w:t>World Bank</w:t>
      </w:r>
      <w:r w:rsidRPr="0031394A">
        <w:rPr>
          <w:rFonts w:ascii="Times New Roman" w:hAnsi="Times New Roman" w:cs="Times New Roman"/>
          <w:sz w:val="24"/>
          <w:szCs w:val="24"/>
          <w:lang w:val="en-GB"/>
        </w:rPr>
        <w:t>.</w:t>
      </w:r>
      <w:r w:rsidR="000F550E" w:rsidRPr="0031394A">
        <w:rPr>
          <w:rFonts w:ascii="Times New Roman" w:hAnsi="Times New Roman" w:cs="Times New Roman"/>
          <w:sz w:val="24"/>
          <w:szCs w:val="24"/>
          <w:lang w:val="en-GB"/>
        </w:rPr>
        <w:t xml:space="preserve"> </w:t>
      </w:r>
    </w:p>
    <w:p w14:paraId="611E7475" w14:textId="77777777" w:rsidR="00115290" w:rsidRPr="0031394A" w:rsidRDefault="00115290"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Könberg, B., </w:t>
      </w:r>
      <w:r w:rsidR="00AB6112" w:rsidRPr="0031394A">
        <w:rPr>
          <w:rFonts w:ascii="Times New Roman" w:hAnsi="Times New Roman" w:cs="Times New Roman"/>
          <w:sz w:val="24"/>
          <w:szCs w:val="24"/>
          <w:lang w:val="en-GB"/>
        </w:rPr>
        <w:t xml:space="preserve">E. </w:t>
      </w:r>
      <w:r w:rsidRPr="0031394A">
        <w:rPr>
          <w:rFonts w:ascii="Times New Roman" w:hAnsi="Times New Roman" w:cs="Times New Roman"/>
          <w:sz w:val="24"/>
          <w:szCs w:val="24"/>
          <w:lang w:val="en-GB"/>
        </w:rPr>
        <w:t xml:space="preserve">Palmer, and </w:t>
      </w:r>
      <w:r w:rsidR="00AB6112" w:rsidRPr="0031394A">
        <w:rPr>
          <w:rFonts w:ascii="Times New Roman" w:hAnsi="Times New Roman" w:cs="Times New Roman"/>
          <w:sz w:val="24"/>
          <w:szCs w:val="24"/>
          <w:lang w:val="en-GB"/>
        </w:rPr>
        <w:t xml:space="preserve">A. </w:t>
      </w:r>
      <w:r w:rsidRPr="0031394A">
        <w:rPr>
          <w:rFonts w:ascii="Times New Roman" w:hAnsi="Times New Roman" w:cs="Times New Roman"/>
          <w:sz w:val="24"/>
          <w:szCs w:val="24"/>
          <w:lang w:val="en-GB"/>
        </w:rPr>
        <w:t>Sunden. 2006</w:t>
      </w:r>
      <w:r w:rsidR="00AB6112"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“The NDC reform in Sweden: the 1994 legislation to the present</w:t>
      </w:r>
      <w:r w:rsidR="00AB6112"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w:t>
      </w:r>
      <w:r w:rsidR="00AB6112" w:rsidRPr="0031394A">
        <w:rPr>
          <w:rFonts w:ascii="Times New Roman" w:hAnsi="Times New Roman" w:cs="Times New Roman"/>
          <w:sz w:val="24"/>
          <w:szCs w:val="24"/>
          <w:lang w:val="en-GB"/>
        </w:rPr>
        <w:t>Chapter 17 in</w:t>
      </w:r>
      <w:r w:rsidRPr="0031394A">
        <w:rPr>
          <w:rFonts w:ascii="Times New Roman" w:hAnsi="Times New Roman" w:cs="Times New Roman"/>
          <w:sz w:val="24"/>
          <w:szCs w:val="24"/>
          <w:lang w:val="en-GB"/>
        </w:rPr>
        <w:t xml:space="preserve"> </w:t>
      </w:r>
      <w:r w:rsidRPr="0031394A">
        <w:rPr>
          <w:rFonts w:ascii="Times New Roman" w:hAnsi="Times New Roman" w:cs="Times New Roman"/>
          <w:i/>
          <w:sz w:val="24"/>
          <w:szCs w:val="24"/>
          <w:lang w:val="en-GB"/>
        </w:rPr>
        <w:t>Pension Reform: Issues and Prospects for NonFinancial Defined Contribution (NDC) Schemes</w:t>
      </w:r>
      <w:r w:rsidRPr="0031394A">
        <w:rPr>
          <w:rFonts w:ascii="Times New Roman" w:hAnsi="Times New Roman" w:cs="Times New Roman"/>
          <w:sz w:val="24"/>
          <w:szCs w:val="24"/>
          <w:lang w:val="en-GB"/>
        </w:rPr>
        <w:t>, ed</w:t>
      </w:r>
      <w:r w:rsidR="00AB6112" w:rsidRPr="0031394A">
        <w:rPr>
          <w:rFonts w:ascii="Times New Roman" w:hAnsi="Times New Roman" w:cs="Times New Roman"/>
          <w:sz w:val="24"/>
          <w:szCs w:val="24"/>
          <w:lang w:val="en-GB"/>
        </w:rPr>
        <w:t>ited by</w:t>
      </w:r>
      <w:r w:rsidRPr="0031394A">
        <w:rPr>
          <w:rFonts w:ascii="Times New Roman" w:hAnsi="Times New Roman" w:cs="Times New Roman"/>
          <w:sz w:val="24"/>
          <w:szCs w:val="24"/>
          <w:lang w:val="en-GB"/>
        </w:rPr>
        <w:t xml:space="preserve"> </w:t>
      </w:r>
      <w:r w:rsidR="00AB6112" w:rsidRPr="0031394A">
        <w:rPr>
          <w:rFonts w:ascii="Times New Roman" w:hAnsi="Times New Roman" w:cs="Times New Roman"/>
          <w:sz w:val="24"/>
          <w:szCs w:val="24"/>
          <w:lang w:val="en-GB"/>
        </w:rPr>
        <w:t xml:space="preserve">R. </w:t>
      </w:r>
      <w:r w:rsidRPr="0031394A">
        <w:rPr>
          <w:rFonts w:ascii="Times New Roman" w:hAnsi="Times New Roman" w:cs="Times New Roman"/>
          <w:sz w:val="24"/>
          <w:szCs w:val="24"/>
          <w:lang w:val="en-GB"/>
        </w:rPr>
        <w:t>Holzmann</w:t>
      </w:r>
      <w:r w:rsidR="00AB6112"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 xml:space="preserve">and </w:t>
      </w:r>
      <w:r w:rsidR="00AB6112" w:rsidRPr="0031394A">
        <w:rPr>
          <w:rFonts w:ascii="Times New Roman" w:hAnsi="Times New Roman" w:cs="Times New Roman"/>
          <w:sz w:val="24"/>
          <w:szCs w:val="24"/>
          <w:lang w:val="en-GB"/>
        </w:rPr>
        <w:t>E. Palmer</w:t>
      </w:r>
      <w:r w:rsidRPr="0031394A">
        <w:rPr>
          <w:rFonts w:ascii="Times New Roman" w:hAnsi="Times New Roman" w:cs="Times New Roman"/>
          <w:sz w:val="24"/>
          <w:szCs w:val="24"/>
          <w:lang w:val="en-GB"/>
        </w:rPr>
        <w:t xml:space="preserve">, </w:t>
      </w:r>
      <w:r w:rsidR="00AB6112" w:rsidRPr="0031394A">
        <w:rPr>
          <w:rFonts w:ascii="Times New Roman" w:hAnsi="Times New Roman" w:cs="Times New Roman"/>
          <w:sz w:val="24"/>
          <w:szCs w:val="24"/>
          <w:lang w:val="en-GB"/>
        </w:rPr>
        <w:t xml:space="preserve">449–467. </w:t>
      </w:r>
      <w:r w:rsidRPr="0031394A">
        <w:rPr>
          <w:rFonts w:ascii="Times New Roman" w:hAnsi="Times New Roman" w:cs="Times New Roman"/>
          <w:sz w:val="24"/>
          <w:szCs w:val="24"/>
          <w:lang w:val="en-GB"/>
        </w:rPr>
        <w:t>Washington, D.C</w:t>
      </w:r>
      <w:r w:rsidR="00AB6112" w:rsidRPr="0031394A">
        <w:rPr>
          <w:rFonts w:ascii="Times New Roman" w:hAnsi="Times New Roman" w:cs="Times New Roman"/>
          <w:sz w:val="24"/>
          <w:szCs w:val="24"/>
          <w:lang w:val="en-GB"/>
        </w:rPr>
        <w:t>.: The World Bank</w:t>
      </w:r>
      <w:r w:rsidRPr="0031394A">
        <w:rPr>
          <w:rFonts w:ascii="Times New Roman" w:hAnsi="Times New Roman" w:cs="Times New Roman"/>
          <w:sz w:val="24"/>
          <w:szCs w:val="24"/>
          <w:lang w:val="en-GB"/>
        </w:rPr>
        <w:t>.</w:t>
      </w:r>
    </w:p>
    <w:p w14:paraId="6866A583" w14:textId="77777777" w:rsidR="00CC3E16" w:rsidRPr="0031394A" w:rsidRDefault="00CC3E16" w:rsidP="00C825A0">
      <w:pPr>
        <w:spacing w:before="100" w:beforeAutospacing="1" w:after="100" w:afterAutospacing="1" w:line="240" w:lineRule="auto"/>
        <w:jc w:val="both"/>
        <w:rPr>
          <w:rFonts w:ascii="Times New Roman" w:eastAsia="Times New Roman" w:hAnsi="Times New Roman" w:cs="Times New Roman"/>
          <w:sz w:val="24"/>
          <w:szCs w:val="24"/>
          <w:lang w:val="en-GB" w:eastAsia="es-ES"/>
        </w:rPr>
      </w:pPr>
      <w:r w:rsidRPr="0031394A">
        <w:rPr>
          <w:rFonts w:ascii="Times New Roman" w:eastAsia="Times New Roman" w:hAnsi="Times New Roman" w:cs="Times New Roman"/>
          <w:sz w:val="24"/>
          <w:szCs w:val="24"/>
          <w:lang w:val="en-GB" w:eastAsia="es-ES"/>
        </w:rPr>
        <w:t xml:space="preserve">Kreiss, J. P., and </w:t>
      </w:r>
      <w:r w:rsidR="00CF1B46" w:rsidRPr="0031394A">
        <w:rPr>
          <w:rFonts w:ascii="Times New Roman" w:eastAsia="Times New Roman" w:hAnsi="Times New Roman" w:cs="Times New Roman"/>
          <w:sz w:val="24"/>
          <w:szCs w:val="24"/>
          <w:lang w:val="en-GB" w:eastAsia="es-ES"/>
        </w:rPr>
        <w:t xml:space="preserve">S. N. </w:t>
      </w:r>
      <w:r w:rsidRPr="0031394A">
        <w:rPr>
          <w:rFonts w:ascii="Times New Roman" w:eastAsia="Times New Roman" w:hAnsi="Times New Roman" w:cs="Times New Roman"/>
          <w:sz w:val="24"/>
          <w:szCs w:val="24"/>
          <w:lang w:val="en-GB" w:eastAsia="es-ES"/>
        </w:rPr>
        <w:t>Lahiri. 2012. “Bootstrap methods for time series</w:t>
      </w:r>
      <w:r w:rsidR="00CF1B46"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i/>
          <w:sz w:val="24"/>
          <w:szCs w:val="24"/>
          <w:lang w:val="en-GB" w:eastAsia="es-ES"/>
        </w:rPr>
        <w:t>Time Series Analysis: Methods and Applications</w:t>
      </w:r>
      <w:r w:rsidR="00CF1B46"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sz w:val="24"/>
          <w:szCs w:val="24"/>
          <w:lang w:val="en-GB" w:eastAsia="es-ES"/>
        </w:rPr>
        <w:t>30</w:t>
      </w:r>
      <w:r w:rsidR="00CF1B46" w:rsidRPr="0031394A">
        <w:rPr>
          <w:rFonts w:ascii="Times New Roman" w:eastAsia="Times New Roman" w:hAnsi="Times New Roman" w:cs="Times New Roman"/>
          <w:sz w:val="24"/>
          <w:szCs w:val="24"/>
          <w:lang w:val="en-GB" w:eastAsia="es-ES"/>
        </w:rPr>
        <w:t>: 3-26</w:t>
      </w:r>
      <w:r w:rsidRPr="0031394A">
        <w:rPr>
          <w:rFonts w:ascii="Times New Roman" w:eastAsia="Times New Roman" w:hAnsi="Times New Roman" w:cs="Times New Roman"/>
          <w:sz w:val="24"/>
          <w:szCs w:val="24"/>
          <w:lang w:val="en-GB" w:eastAsia="es-ES"/>
        </w:rPr>
        <w:t>.</w:t>
      </w:r>
    </w:p>
    <w:p w14:paraId="44E879D7" w14:textId="77777777" w:rsidR="00CC3E16" w:rsidRPr="0031394A" w:rsidRDefault="00CC3E16" w:rsidP="00C825A0">
      <w:pPr>
        <w:spacing w:before="100" w:beforeAutospacing="1" w:after="100" w:afterAutospacing="1" w:line="240" w:lineRule="auto"/>
        <w:jc w:val="both"/>
        <w:rPr>
          <w:rFonts w:ascii="Times New Roman" w:eastAsia="Times New Roman" w:hAnsi="Times New Roman" w:cs="Times New Roman"/>
          <w:sz w:val="24"/>
          <w:szCs w:val="24"/>
          <w:lang w:val="en-GB" w:eastAsia="es-ES"/>
        </w:rPr>
      </w:pPr>
      <w:r w:rsidRPr="0031394A">
        <w:rPr>
          <w:rFonts w:ascii="Times New Roman" w:eastAsia="Times New Roman" w:hAnsi="Times New Roman" w:cs="Times New Roman"/>
          <w:sz w:val="24"/>
          <w:szCs w:val="24"/>
          <w:lang w:val="en-GB" w:eastAsia="es-ES"/>
        </w:rPr>
        <w:t>Kü</w:t>
      </w:r>
      <w:r w:rsidR="00CF1B46" w:rsidRPr="0031394A">
        <w:rPr>
          <w:rFonts w:ascii="Times New Roman" w:eastAsia="Times New Roman" w:hAnsi="Times New Roman" w:cs="Times New Roman"/>
          <w:sz w:val="24"/>
          <w:szCs w:val="24"/>
          <w:lang w:val="en-GB" w:eastAsia="es-ES"/>
        </w:rPr>
        <w:t xml:space="preserve">nsch, </w:t>
      </w:r>
      <w:r w:rsidRPr="0031394A">
        <w:rPr>
          <w:rFonts w:ascii="Times New Roman" w:eastAsia="Times New Roman" w:hAnsi="Times New Roman" w:cs="Times New Roman"/>
          <w:sz w:val="24"/>
          <w:szCs w:val="24"/>
          <w:lang w:val="en-GB" w:eastAsia="es-ES"/>
        </w:rPr>
        <w:t>H.</w:t>
      </w:r>
      <w:r w:rsidR="00CF1B46"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sz w:val="24"/>
          <w:szCs w:val="24"/>
          <w:lang w:val="en-GB" w:eastAsia="es-ES"/>
        </w:rPr>
        <w:t>R.</w:t>
      </w:r>
      <w:r w:rsidR="00CF1B46"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sz w:val="24"/>
          <w:szCs w:val="24"/>
          <w:lang w:val="en-GB" w:eastAsia="es-ES"/>
        </w:rPr>
        <w:t>1989</w:t>
      </w:r>
      <w:r w:rsidR="00CF1B46"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sz w:val="24"/>
          <w:szCs w:val="24"/>
          <w:lang w:val="en-GB" w:eastAsia="es-ES"/>
        </w:rPr>
        <w:t>“The jackknife and the bootstrap for general stationary observations</w:t>
      </w:r>
      <w:r w:rsidR="00CF1B46"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i/>
          <w:sz w:val="24"/>
          <w:szCs w:val="24"/>
          <w:lang w:val="en-GB" w:eastAsia="es-ES"/>
        </w:rPr>
        <w:t>Ann</w:t>
      </w:r>
      <w:r w:rsidR="00CF1B46" w:rsidRPr="0031394A">
        <w:rPr>
          <w:rFonts w:ascii="Times New Roman" w:eastAsia="Times New Roman" w:hAnsi="Times New Roman" w:cs="Times New Roman"/>
          <w:i/>
          <w:sz w:val="24"/>
          <w:szCs w:val="24"/>
          <w:lang w:val="en-GB" w:eastAsia="es-ES"/>
        </w:rPr>
        <w:t xml:space="preserve">als of </w:t>
      </w:r>
      <w:r w:rsidRPr="0031394A">
        <w:rPr>
          <w:rFonts w:ascii="Times New Roman" w:eastAsia="Times New Roman" w:hAnsi="Times New Roman" w:cs="Times New Roman"/>
          <w:i/>
          <w:sz w:val="24"/>
          <w:szCs w:val="24"/>
          <w:lang w:val="en-GB" w:eastAsia="es-ES"/>
        </w:rPr>
        <w:t>Statist</w:t>
      </w:r>
      <w:r w:rsidR="00CF1B46" w:rsidRPr="0031394A">
        <w:rPr>
          <w:rFonts w:ascii="Times New Roman" w:eastAsia="Times New Roman" w:hAnsi="Times New Roman" w:cs="Times New Roman"/>
          <w:i/>
          <w:sz w:val="24"/>
          <w:szCs w:val="24"/>
          <w:lang w:val="en-GB" w:eastAsia="es-ES"/>
        </w:rPr>
        <w:t>ics</w:t>
      </w:r>
      <w:r w:rsidRPr="0031394A">
        <w:rPr>
          <w:rFonts w:ascii="Times New Roman" w:eastAsia="Times New Roman" w:hAnsi="Times New Roman" w:cs="Times New Roman"/>
          <w:sz w:val="24"/>
          <w:szCs w:val="24"/>
          <w:lang w:val="en-GB" w:eastAsia="es-ES"/>
        </w:rPr>
        <w:t xml:space="preserve"> 17</w:t>
      </w:r>
      <w:r w:rsidR="00CF1B46"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 xml:space="preserve"> 1217</w:t>
      </w:r>
      <w:r w:rsidR="00CF1B46"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1241.</w:t>
      </w:r>
    </w:p>
    <w:p w14:paraId="2597127C" w14:textId="77777777" w:rsidR="00115290" w:rsidRPr="0031394A" w:rsidRDefault="00115290"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Lindbeck, A. and </w:t>
      </w:r>
      <w:r w:rsidR="00CF1B46" w:rsidRPr="0031394A">
        <w:rPr>
          <w:rFonts w:ascii="Times New Roman" w:hAnsi="Times New Roman" w:cs="Times New Roman"/>
          <w:sz w:val="24"/>
          <w:szCs w:val="24"/>
          <w:lang w:val="en-GB"/>
        </w:rPr>
        <w:t xml:space="preserve">M. </w:t>
      </w:r>
      <w:r w:rsidRPr="0031394A">
        <w:rPr>
          <w:rFonts w:ascii="Times New Roman" w:hAnsi="Times New Roman" w:cs="Times New Roman"/>
          <w:sz w:val="24"/>
          <w:szCs w:val="24"/>
          <w:lang w:val="en-GB"/>
        </w:rPr>
        <w:t xml:space="preserve">Persson. 2003. </w:t>
      </w:r>
      <w:r w:rsidR="00CF1B46"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The gains from pension reform</w:t>
      </w:r>
      <w:r w:rsidR="00CF1B46" w:rsidRPr="0031394A">
        <w:rPr>
          <w:rFonts w:ascii="Times New Roman" w:hAnsi="Times New Roman" w:cs="Times New Roman"/>
          <w:sz w:val="24"/>
          <w:szCs w:val="24"/>
          <w:lang w:val="en-GB"/>
        </w:rPr>
        <w:t xml:space="preserve">.” </w:t>
      </w:r>
      <w:r w:rsidRPr="0031394A">
        <w:rPr>
          <w:rFonts w:ascii="Times New Roman" w:hAnsi="Times New Roman" w:cs="Times New Roman"/>
          <w:i/>
          <w:sz w:val="24"/>
          <w:szCs w:val="24"/>
          <w:lang w:val="en-GB"/>
        </w:rPr>
        <w:t>Journal of Economic Literature</w:t>
      </w:r>
      <w:r w:rsidR="00CF1B46" w:rsidRPr="0031394A">
        <w:rPr>
          <w:rFonts w:ascii="Times New Roman" w:hAnsi="Times New Roman" w:cs="Times New Roman"/>
          <w:sz w:val="24"/>
          <w:szCs w:val="24"/>
          <w:lang w:val="en-GB"/>
        </w:rPr>
        <w:t xml:space="preserve"> 41:</w:t>
      </w:r>
      <w:r w:rsidRPr="0031394A">
        <w:rPr>
          <w:rFonts w:ascii="Times New Roman" w:hAnsi="Times New Roman" w:cs="Times New Roman"/>
          <w:sz w:val="24"/>
          <w:szCs w:val="24"/>
          <w:lang w:val="en-GB"/>
        </w:rPr>
        <w:t xml:space="preserve"> 74</w:t>
      </w:r>
      <w:r w:rsidR="00CF1B46"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112.</w:t>
      </w:r>
    </w:p>
    <w:p w14:paraId="2FACEFAC" w14:textId="77777777" w:rsidR="00CC3E16" w:rsidRPr="0031394A" w:rsidRDefault="00CC3E16" w:rsidP="00C825A0">
      <w:pPr>
        <w:spacing w:before="100" w:beforeAutospacing="1" w:after="100" w:afterAutospacing="1" w:line="240" w:lineRule="auto"/>
        <w:jc w:val="both"/>
        <w:rPr>
          <w:rFonts w:ascii="Times New Roman" w:eastAsia="Times New Roman" w:hAnsi="Times New Roman" w:cs="Times New Roman"/>
          <w:sz w:val="24"/>
          <w:szCs w:val="24"/>
          <w:lang w:val="en-GB" w:eastAsia="es-ES"/>
        </w:rPr>
      </w:pPr>
      <w:r w:rsidRPr="0031394A">
        <w:rPr>
          <w:rFonts w:ascii="Times New Roman" w:eastAsia="Times New Roman" w:hAnsi="Times New Roman" w:cs="Times New Roman"/>
          <w:sz w:val="24"/>
          <w:szCs w:val="24"/>
          <w:lang w:val="en-GB" w:eastAsia="es-ES"/>
        </w:rPr>
        <w:t>Markowitz, H. 1952</w:t>
      </w:r>
      <w:r w:rsidR="00CF1B46"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 xml:space="preserve"> “Portfolio selection</w:t>
      </w:r>
      <w:r w:rsidR="00CF1B46"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i/>
          <w:sz w:val="24"/>
          <w:szCs w:val="24"/>
          <w:lang w:val="en-GB" w:eastAsia="es-ES"/>
        </w:rPr>
        <w:t>Journal of Finance</w:t>
      </w:r>
      <w:r w:rsidRPr="0031394A">
        <w:rPr>
          <w:rFonts w:ascii="Times New Roman" w:eastAsia="Times New Roman" w:hAnsi="Times New Roman" w:cs="Times New Roman"/>
          <w:sz w:val="24"/>
          <w:szCs w:val="24"/>
          <w:lang w:val="en-GB" w:eastAsia="es-ES"/>
        </w:rPr>
        <w:t xml:space="preserve"> 7</w:t>
      </w:r>
      <w:r w:rsidR="00CF1B46"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 xml:space="preserve"> 77-91.</w:t>
      </w:r>
    </w:p>
    <w:p w14:paraId="18735E0C" w14:textId="77777777" w:rsidR="00355578" w:rsidRPr="0031394A" w:rsidRDefault="00355578" w:rsidP="00C825A0">
      <w:pPr>
        <w:widowControl w:val="0"/>
        <w:tabs>
          <w:tab w:val="center" w:pos="1418"/>
          <w:tab w:val="right" w:pos="9500"/>
        </w:tabs>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shd w:val="clear" w:color="auto" w:fill="FFFFFF"/>
        </w:rPr>
        <w:t>OECD (1998). “</w:t>
      </w:r>
      <w:r w:rsidRPr="0031394A">
        <w:rPr>
          <w:rFonts w:ascii="Times New Roman" w:hAnsi="Times New Roman" w:cs="Times New Roman"/>
          <w:iCs/>
          <w:sz w:val="24"/>
          <w:szCs w:val="24"/>
          <w:shd w:val="clear" w:color="auto" w:fill="FFFFFF"/>
        </w:rPr>
        <w:t>Maintaining Prosperity in an Ageing Society</w:t>
      </w:r>
      <w:r w:rsidRPr="0031394A">
        <w:rPr>
          <w:rFonts w:ascii="Times New Roman" w:hAnsi="Times New Roman" w:cs="Times New Roman"/>
          <w:sz w:val="24"/>
          <w:szCs w:val="24"/>
          <w:shd w:val="clear" w:color="auto" w:fill="FFFFFF"/>
        </w:rPr>
        <w:t>.” OECD Publishing.</w:t>
      </w:r>
    </w:p>
    <w:p w14:paraId="1CEBAD8E" w14:textId="77777777" w:rsidR="00115290" w:rsidRPr="0031394A" w:rsidRDefault="00E95878" w:rsidP="00C825A0">
      <w:pPr>
        <w:widowControl w:val="0"/>
        <w:tabs>
          <w:tab w:val="center" w:pos="1418"/>
          <w:tab w:val="right" w:pos="9500"/>
        </w:tabs>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OECD. 2011.</w:t>
      </w:r>
      <w:r w:rsidR="00115290" w:rsidRPr="0031394A">
        <w:rPr>
          <w:rFonts w:ascii="Times New Roman" w:hAnsi="Times New Roman" w:cs="Times New Roman"/>
          <w:sz w:val="24"/>
          <w:szCs w:val="24"/>
          <w:lang w:val="en-GB"/>
        </w:rPr>
        <w:t xml:space="preserve"> “Linking Pensions to Life Expectancy</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 </w:t>
      </w:r>
      <w:r w:rsidRPr="0031394A">
        <w:rPr>
          <w:rFonts w:ascii="Times New Roman" w:hAnsi="Times New Roman" w:cs="Times New Roman"/>
          <w:iCs/>
          <w:sz w:val="24"/>
          <w:szCs w:val="24"/>
          <w:lang w:val="en-GB"/>
        </w:rPr>
        <w:t>In</w:t>
      </w:r>
      <w:r w:rsidR="00115290" w:rsidRPr="0031394A">
        <w:rPr>
          <w:rFonts w:ascii="Times New Roman" w:hAnsi="Times New Roman" w:cs="Times New Roman"/>
          <w:iCs/>
          <w:sz w:val="24"/>
          <w:szCs w:val="24"/>
          <w:lang w:val="en-GB"/>
        </w:rPr>
        <w:t xml:space="preserve"> </w:t>
      </w:r>
      <w:r w:rsidR="00115290" w:rsidRPr="0031394A">
        <w:rPr>
          <w:rFonts w:ascii="Times New Roman" w:hAnsi="Times New Roman" w:cs="Times New Roman"/>
          <w:i/>
          <w:iCs/>
          <w:sz w:val="24"/>
          <w:szCs w:val="24"/>
          <w:lang w:val="en-GB"/>
        </w:rPr>
        <w:t>Pensions at a Glance 2011: Retirement income Systems in OECD and G20 Countries</w:t>
      </w:r>
      <w:r w:rsidRPr="0031394A">
        <w:rPr>
          <w:rFonts w:ascii="Times New Roman" w:hAnsi="Times New Roman" w:cs="Times New Roman"/>
          <w:iCs/>
          <w:sz w:val="24"/>
          <w:szCs w:val="24"/>
          <w:lang w:val="en-GB"/>
        </w:rPr>
        <w:t>.</w:t>
      </w:r>
      <w:r w:rsidR="00115290" w:rsidRPr="0031394A">
        <w:rPr>
          <w:rFonts w:ascii="Times New Roman" w:hAnsi="Times New Roman" w:cs="Times New Roman"/>
          <w:iCs/>
          <w:sz w:val="24"/>
          <w:szCs w:val="24"/>
          <w:lang w:val="en-GB"/>
        </w:rPr>
        <w:t xml:space="preserve"> OECD Publishing.</w:t>
      </w:r>
    </w:p>
    <w:p w14:paraId="186DE719" w14:textId="77777777" w:rsidR="00115290" w:rsidRPr="0031394A" w:rsidRDefault="00115290" w:rsidP="00C825A0">
      <w:pPr>
        <w:widowControl w:val="0"/>
        <w:tabs>
          <w:tab w:val="center" w:pos="1418"/>
          <w:tab w:val="right" w:pos="9500"/>
        </w:tabs>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OECD</w:t>
      </w:r>
      <w:r w:rsidR="00E95878"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2012</w:t>
      </w:r>
      <w:r w:rsidR="00E95878"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“Putting pensions on auto-pilot: automatic-adjustment mechanisms and financial sustainability of retirement-income systems” </w:t>
      </w:r>
      <w:r w:rsidRPr="0031394A">
        <w:rPr>
          <w:rFonts w:ascii="Times New Roman" w:hAnsi="Times New Roman" w:cs="Times New Roman"/>
          <w:iCs/>
          <w:sz w:val="24"/>
          <w:szCs w:val="24"/>
          <w:lang w:val="en-GB"/>
        </w:rPr>
        <w:t xml:space="preserve">In </w:t>
      </w:r>
      <w:r w:rsidRPr="0031394A">
        <w:rPr>
          <w:rFonts w:ascii="Times New Roman" w:hAnsi="Times New Roman" w:cs="Times New Roman"/>
          <w:i/>
          <w:iCs/>
          <w:sz w:val="24"/>
          <w:szCs w:val="24"/>
          <w:lang w:val="en-GB"/>
        </w:rPr>
        <w:t>OECD Pensions Outlook 2012</w:t>
      </w:r>
      <w:r w:rsidR="00E95878" w:rsidRPr="0031394A">
        <w:rPr>
          <w:rFonts w:ascii="Times New Roman" w:hAnsi="Times New Roman" w:cs="Times New Roman"/>
          <w:iCs/>
          <w:sz w:val="24"/>
          <w:szCs w:val="24"/>
          <w:lang w:val="en-GB"/>
        </w:rPr>
        <w:t>.</w:t>
      </w:r>
      <w:r w:rsidRPr="0031394A">
        <w:rPr>
          <w:rFonts w:ascii="Times New Roman" w:hAnsi="Times New Roman" w:cs="Times New Roman"/>
          <w:iCs/>
          <w:sz w:val="24"/>
          <w:szCs w:val="24"/>
          <w:lang w:val="en-GB"/>
        </w:rPr>
        <w:t xml:space="preserve"> OECD Publishing.</w:t>
      </w:r>
    </w:p>
    <w:p w14:paraId="4B475AA3" w14:textId="77777777" w:rsidR="00115290" w:rsidRPr="0031394A" w:rsidRDefault="00E95878" w:rsidP="00C825A0">
      <w:pPr>
        <w:widowControl w:val="0"/>
        <w:tabs>
          <w:tab w:val="center" w:pos="1418"/>
          <w:tab w:val="right" w:pos="9500"/>
        </w:tabs>
        <w:autoSpaceDE w:val="0"/>
        <w:autoSpaceDN w:val="0"/>
        <w:adjustRightInd w:val="0"/>
        <w:spacing w:before="120" w:after="120" w:line="240" w:lineRule="auto"/>
        <w:jc w:val="both"/>
        <w:rPr>
          <w:rFonts w:ascii="Times New Roman" w:hAnsi="Times New Roman" w:cs="Times New Roman"/>
          <w:iCs/>
          <w:sz w:val="24"/>
          <w:szCs w:val="24"/>
          <w:lang w:val="en-GB"/>
        </w:rPr>
      </w:pPr>
      <w:r w:rsidRPr="0031394A">
        <w:rPr>
          <w:rFonts w:ascii="Times New Roman" w:hAnsi="Times New Roman" w:cs="Times New Roman"/>
          <w:sz w:val="24"/>
          <w:szCs w:val="24"/>
          <w:lang w:val="en-GB"/>
        </w:rPr>
        <w:t>OECD. 2013.</w:t>
      </w:r>
      <w:r w:rsidR="00115290" w:rsidRPr="0031394A">
        <w:rPr>
          <w:rFonts w:ascii="Times New Roman" w:hAnsi="Times New Roman" w:cs="Times New Roman"/>
          <w:sz w:val="24"/>
          <w:szCs w:val="24"/>
          <w:lang w:val="en-GB"/>
        </w:rPr>
        <w:t xml:space="preserve"> “Pensions at a glance 2013: OECD and G20 indicators</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w:t>
      </w:r>
      <w:r w:rsidR="00115290" w:rsidRPr="0031394A">
        <w:rPr>
          <w:rFonts w:ascii="Times New Roman" w:hAnsi="Times New Roman" w:cs="Times New Roman"/>
          <w:iCs/>
          <w:sz w:val="24"/>
          <w:szCs w:val="24"/>
          <w:lang w:val="en-GB"/>
        </w:rPr>
        <w:t xml:space="preserve"> OECD Publishing.</w:t>
      </w:r>
    </w:p>
    <w:p w14:paraId="0B6CEDAB" w14:textId="77777777" w:rsidR="00355578" w:rsidRPr="0031394A" w:rsidRDefault="00355578" w:rsidP="00C825A0">
      <w:pPr>
        <w:widowControl w:val="0"/>
        <w:tabs>
          <w:tab w:val="center" w:pos="1418"/>
          <w:tab w:val="right" w:pos="9500"/>
        </w:tabs>
        <w:autoSpaceDE w:val="0"/>
        <w:autoSpaceDN w:val="0"/>
        <w:adjustRightInd w:val="0"/>
        <w:spacing w:before="120" w:after="120" w:line="240" w:lineRule="auto"/>
        <w:jc w:val="both"/>
        <w:rPr>
          <w:rFonts w:ascii="Times New Roman" w:hAnsi="Times New Roman" w:cs="Times New Roman"/>
          <w:iCs/>
          <w:sz w:val="24"/>
          <w:szCs w:val="24"/>
          <w:lang w:val="en-GB"/>
        </w:rPr>
      </w:pPr>
      <w:r w:rsidRPr="0031394A">
        <w:rPr>
          <w:rFonts w:ascii="Times New Roman" w:hAnsi="Times New Roman" w:cs="Times New Roman"/>
          <w:iCs/>
          <w:sz w:val="24"/>
          <w:szCs w:val="24"/>
          <w:lang w:val="en-GB"/>
        </w:rPr>
        <w:t>OECD. 2017. Pensions at a glance 2017: OECD and G20 indicators.” OECD Publishing.</w:t>
      </w:r>
    </w:p>
    <w:p w14:paraId="6CE6736A" w14:textId="77777777" w:rsidR="00115290" w:rsidRPr="0031394A" w:rsidRDefault="00E95878"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Persson, M. 2002.</w:t>
      </w:r>
      <w:r w:rsidR="00115290" w:rsidRPr="0031394A">
        <w:rPr>
          <w:rFonts w:ascii="Times New Roman" w:hAnsi="Times New Roman" w:cs="Times New Roman"/>
          <w:sz w:val="24"/>
          <w:szCs w:val="24"/>
          <w:lang w:val="en-GB"/>
        </w:rPr>
        <w:t xml:space="preserve"> “Five fallacie</w:t>
      </w:r>
      <w:r w:rsidRPr="0031394A">
        <w:rPr>
          <w:rFonts w:ascii="Times New Roman" w:hAnsi="Times New Roman" w:cs="Times New Roman"/>
          <w:sz w:val="24"/>
          <w:szCs w:val="24"/>
          <w:lang w:val="en-GB"/>
        </w:rPr>
        <w:t>s in the social security debate.</w:t>
      </w:r>
      <w:r w:rsidR="00115290"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I</w:t>
      </w:r>
      <w:r w:rsidR="00115290" w:rsidRPr="0031394A">
        <w:rPr>
          <w:rFonts w:ascii="Times New Roman" w:hAnsi="Times New Roman" w:cs="Times New Roman"/>
          <w:sz w:val="24"/>
          <w:szCs w:val="24"/>
          <w:lang w:val="en-GB"/>
        </w:rPr>
        <w:t xml:space="preserve">n </w:t>
      </w:r>
      <w:r w:rsidR="00115290" w:rsidRPr="0031394A">
        <w:rPr>
          <w:rFonts w:ascii="Times New Roman" w:hAnsi="Times New Roman" w:cs="Times New Roman"/>
          <w:i/>
          <w:sz w:val="24"/>
          <w:szCs w:val="24"/>
          <w:lang w:val="en-GB"/>
        </w:rPr>
        <w:t>Social Security Reform in Advanced Countries: Evaluating Pension Finance</w:t>
      </w:r>
      <w:r w:rsidRPr="0031394A">
        <w:rPr>
          <w:rFonts w:ascii="Times New Roman" w:hAnsi="Times New Roman" w:cs="Times New Roman"/>
          <w:sz w:val="24"/>
          <w:szCs w:val="24"/>
          <w:lang w:val="en-GB"/>
        </w:rPr>
        <w:t xml:space="preserve">, edited by T. </w:t>
      </w:r>
      <w:r w:rsidR="00115290" w:rsidRPr="0031394A">
        <w:rPr>
          <w:rFonts w:ascii="Times New Roman" w:hAnsi="Times New Roman" w:cs="Times New Roman"/>
          <w:sz w:val="24"/>
          <w:szCs w:val="24"/>
          <w:lang w:val="en-GB"/>
        </w:rPr>
        <w:t xml:space="preserve">Ihori and </w:t>
      </w:r>
      <w:r w:rsidRPr="0031394A">
        <w:rPr>
          <w:rFonts w:ascii="Times New Roman" w:hAnsi="Times New Roman" w:cs="Times New Roman"/>
          <w:sz w:val="24"/>
          <w:szCs w:val="24"/>
          <w:lang w:val="en-GB"/>
        </w:rPr>
        <w:t xml:space="preserve">T. </w:t>
      </w:r>
      <w:r w:rsidR="00115290" w:rsidRPr="0031394A">
        <w:rPr>
          <w:rFonts w:ascii="Times New Roman" w:hAnsi="Times New Roman" w:cs="Times New Roman"/>
          <w:sz w:val="24"/>
          <w:szCs w:val="24"/>
          <w:lang w:val="en-GB"/>
        </w:rPr>
        <w:t>Tachibanaki,</w:t>
      </w:r>
      <w:r w:rsidRPr="0031394A">
        <w:rPr>
          <w:rFonts w:ascii="Times New Roman" w:hAnsi="Times New Roman" w:cs="Times New Roman"/>
          <w:sz w:val="24"/>
          <w:szCs w:val="24"/>
          <w:lang w:val="en-GB"/>
        </w:rPr>
        <w:t xml:space="preserve"> 39-51.</w:t>
      </w:r>
      <w:r w:rsidR="00115290" w:rsidRPr="0031394A">
        <w:rPr>
          <w:rFonts w:ascii="Times New Roman" w:hAnsi="Times New Roman" w:cs="Times New Roman"/>
          <w:sz w:val="24"/>
          <w:szCs w:val="24"/>
          <w:lang w:val="en-GB"/>
        </w:rPr>
        <w:t xml:space="preserve"> Lo</w:t>
      </w:r>
      <w:r w:rsidRPr="0031394A">
        <w:rPr>
          <w:rFonts w:ascii="Times New Roman" w:hAnsi="Times New Roman" w:cs="Times New Roman"/>
          <w:sz w:val="24"/>
          <w:szCs w:val="24"/>
          <w:lang w:val="en-GB"/>
        </w:rPr>
        <w:t>ndon: Routledge Press</w:t>
      </w:r>
      <w:r w:rsidR="00115290" w:rsidRPr="0031394A">
        <w:rPr>
          <w:rFonts w:ascii="Times New Roman" w:hAnsi="Times New Roman" w:cs="Times New Roman"/>
          <w:sz w:val="24"/>
          <w:szCs w:val="24"/>
          <w:lang w:val="en-GB"/>
        </w:rPr>
        <w:t>.</w:t>
      </w:r>
    </w:p>
    <w:p w14:paraId="5FE68F7C" w14:textId="77777777" w:rsidR="00E95878" w:rsidRPr="0031394A" w:rsidRDefault="00115290"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Robalino, D. A. and </w:t>
      </w:r>
      <w:r w:rsidR="00E95878" w:rsidRPr="0031394A">
        <w:rPr>
          <w:rFonts w:ascii="Times New Roman" w:hAnsi="Times New Roman" w:cs="Times New Roman"/>
          <w:sz w:val="24"/>
          <w:szCs w:val="24"/>
          <w:lang w:val="en-GB"/>
        </w:rPr>
        <w:t xml:space="preserve">A. </w:t>
      </w:r>
      <w:r w:rsidRPr="0031394A">
        <w:rPr>
          <w:rFonts w:ascii="Times New Roman" w:hAnsi="Times New Roman" w:cs="Times New Roman"/>
          <w:sz w:val="24"/>
          <w:szCs w:val="24"/>
          <w:lang w:val="en-GB"/>
        </w:rPr>
        <w:t>Bodor.</w:t>
      </w:r>
      <w:r w:rsidR="00E95878"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2009</w:t>
      </w:r>
      <w:r w:rsidR="00E95878"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“On the financial sustainability of earnings-related pension schemes with ‘pay-as-you-go’ financing and the r</w:t>
      </w:r>
      <w:r w:rsidR="00D3746A" w:rsidRPr="0031394A">
        <w:rPr>
          <w:rFonts w:ascii="Times New Roman" w:hAnsi="Times New Roman" w:cs="Times New Roman"/>
          <w:sz w:val="24"/>
          <w:szCs w:val="24"/>
          <w:lang w:val="en-GB"/>
        </w:rPr>
        <w:t>ole of government-indexed bonds</w:t>
      </w:r>
      <w:r w:rsidR="00E95878"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w:t>
      </w:r>
      <w:r w:rsidRPr="0031394A">
        <w:rPr>
          <w:rFonts w:ascii="Times New Roman" w:hAnsi="Times New Roman" w:cs="Times New Roman"/>
          <w:i/>
          <w:sz w:val="24"/>
          <w:szCs w:val="24"/>
          <w:lang w:val="en-GB"/>
        </w:rPr>
        <w:t>Journal of Pension Economics and Finance</w:t>
      </w:r>
      <w:r w:rsidRPr="0031394A">
        <w:rPr>
          <w:rFonts w:ascii="Times New Roman" w:hAnsi="Times New Roman" w:cs="Times New Roman"/>
          <w:sz w:val="24"/>
          <w:szCs w:val="24"/>
          <w:lang w:val="en-GB"/>
        </w:rPr>
        <w:t xml:space="preserve"> 8</w:t>
      </w:r>
      <w:r w:rsidR="00E95878"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153</w:t>
      </w:r>
      <w:r w:rsidR="00E95878"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187.</w:t>
      </w:r>
    </w:p>
    <w:p w14:paraId="2B1B6A21" w14:textId="77777777" w:rsidR="00115290" w:rsidRPr="0031394A" w:rsidRDefault="00115290" w:rsidP="00C825A0">
      <w:pPr>
        <w:widowControl w:val="0"/>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Rofman, R., </w:t>
      </w:r>
      <w:r w:rsidR="00E95878" w:rsidRPr="0031394A">
        <w:rPr>
          <w:rFonts w:ascii="Times New Roman" w:hAnsi="Times New Roman" w:cs="Times New Roman"/>
          <w:sz w:val="24"/>
          <w:szCs w:val="24"/>
          <w:lang w:val="en-GB"/>
        </w:rPr>
        <w:t xml:space="preserve">I. </w:t>
      </w:r>
      <w:r w:rsidRPr="0031394A">
        <w:rPr>
          <w:rFonts w:ascii="Times New Roman" w:hAnsi="Times New Roman" w:cs="Times New Roman"/>
          <w:sz w:val="24"/>
          <w:szCs w:val="24"/>
          <w:lang w:val="en-GB"/>
        </w:rPr>
        <w:t xml:space="preserve">Apella, and </w:t>
      </w:r>
      <w:r w:rsidR="00E95878" w:rsidRPr="0031394A">
        <w:rPr>
          <w:rFonts w:ascii="Times New Roman" w:hAnsi="Times New Roman" w:cs="Times New Roman"/>
          <w:sz w:val="24"/>
          <w:szCs w:val="24"/>
          <w:lang w:val="en-GB"/>
        </w:rPr>
        <w:t xml:space="preserve">E. </w:t>
      </w:r>
      <w:r w:rsidRPr="0031394A">
        <w:rPr>
          <w:rFonts w:ascii="Times New Roman" w:hAnsi="Times New Roman" w:cs="Times New Roman"/>
          <w:sz w:val="24"/>
          <w:szCs w:val="24"/>
          <w:lang w:val="en-GB"/>
        </w:rPr>
        <w:t>Vezza</w:t>
      </w:r>
      <w:r w:rsidR="00E95878"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2015</w:t>
      </w:r>
      <w:r w:rsidR="00E95878"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w:t>
      </w:r>
      <w:r w:rsidR="00E95878" w:rsidRPr="0031394A">
        <w:rPr>
          <w:rFonts w:ascii="Times New Roman" w:hAnsi="Times New Roman" w:cs="Times New Roman"/>
          <w:sz w:val="24"/>
          <w:szCs w:val="24"/>
          <w:lang w:val="en-GB"/>
        </w:rPr>
        <w:t>“Beyond Contributory Pensions</w:t>
      </w:r>
      <w:r w:rsidRPr="0031394A">
        <w:rPr>
          <w:rFonts w:ascii="Times New Roman" w:hAnsi="Times New Roman" w:cs="Times New Roman"/>
          <w:sz w:val="24"/>
          <w:szCs w:val="24"/>
          <w:lang w:val="en-GB"/>
        </w:rPr>
        <w:t>: Fourteen Experiences with Coverage Expansion in Latin America</w:t>
      </w:r>
      <w:r w:rsidR="00E95878" w:rsidRPr="0031394A">
        <w:rPr>
          <w:rFonts w:ascii="Times New Roman" w:hAnsi="Times New Roman" w:cs="Times New Roman"/>
          <w:sz w:val="24"/>
          <w:szCs w:val="24"/>
          <w:lang w:val="en-GB"/>
        </w:rPr>
        <w:t xml:space="preserve">.” </w:t>
      </w:r>
      <w:r w:rsidRPr="0031394A">
        <w:rPr>
          <w:rFonts w:ascii="Times New Roman" w:hAnsi="Times New Roman" w:cs="Times New Roman"/>
          <w:i/>
          <w:sz w:val="24"/>
          <w:szCs w:val="24"/>
          <w:lang w:val="en-GB"/>
        </w:rPr>
        <w:t>Directions in Development</w:t>
      </w:r>
      <w:r w:rsidR="00976191" w:rsidRPr="0031394A">
        <w:rPr>
          <w:rFonts w:ascii="Times New Roman" w:hAnsi="Times New Roman" w:cs="Times New Roman"/>
          <w:i/>
          <w:sz w:val="24"/>
          <w:szCs w:val="24"/>
          <w:lang w:val="en-GB"/>
        </w:rPr>
        <w:t>.</w:t>
      </w:r>
      <w:r w:rsidR="00E95878"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Washington, D</w:t>
      </w:r>
      <w:r w:rsidR="00976191"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C</w:t>
      </w:r>
      <w:r w:rsidR="00976191"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World Bank.</w:t>
      </w:r>
    </w:p>
    <w:p w14:paraId="55C344E9" w14:textId="77777777" w:rsidR="00CC3E16" w:rsidRPr="0031394A" w:rsidRDefault="00CC3E16" w:rsidP="00C825A0">
      <w:pPr>
        <w:spacing w:before="120" w:after="120" w:line="240" w:lineRule="auto"/>
        <w:jc w:val="both"/>
        <w:rPr>
          <w:rFonts w:ascii="Times New Roman" w:eastAsia="Times New Roman" w:hAnsi="Times New Roman" w:cs="Times New Roman"/>
          <w:sz w:val="24"/>
          <w:szCs w:val="24"/>
          <w:lang w:val="en-GB" w:eastAsia="es-ES"/>
        </w:rPr>
      </w:pPr>
      <w:r w:rsidRPr="0031394A">
        <w:rPr>
          <w:rFonts w:ascii="Times New Roman" w:eastAsia="Times New Roman" w:hAnsi="Times New Roman" w:cs="Times New Roman"/>
          <w:sz w:val="24"/>
          <w:szCs w:val="24"/>
          <w:lang w:val="en-GB" w:eastAsia="es-ES"/>
        </w:rPr>
        <w:t>Sharpe, W. F.</w:t>
      </w:r>
      <w:r w:rsidR="00AF04BB" w:rsidRPr="0031394A">
        <w:rPr>
          <w:rFonts w:ascii="Times New Roman" w:eastAsia="Times New Roman" w:hAnsi="Times New Roman" w:cs="Times New Roman"/>
          <w:sz w:val="24"/>
          <w:szCs w:val="24"/>
          <w:lang w:val="en-GB" w:eastAsia="es-ES"/>
        </w:rPr>
        <w:t xml:space="preserve"> 1964.</w:t>
      </w:r>
      <w:r w:rsidRPr="0031394A">
        <w:rPr>
          <w:rFonts w:ascii="Times New Roman" w:eastAsia="Times New Roman" w:hAnsi="Times New Roman" w:cs="Times New Roman"/>
          <w:sz w:val="24"/>
          <w:szCs w:val="24"/>
          <w:lang w:val="en-GB" w:eastAsia="es-ES"/>
        </w:rPr>
        <w:t xml:space="preserve"> “Capital asset prices: A theory of market equilibrium under conditions of risk</w:t>
      </w:r>
      <w:r w:rsidR="00AF04BB" w:rsidRPr="0031394A">
        <w:rPr>
          <w:rFonts w:ascii="Times New Roman" w:eastAsia="Times New Roman" w:hAnsi="Times New Roman" w:cs="Times New Roman"/>
          <w:sz w:val="24"/>
          <w:szCs w:val="24"/>
          <w:lang w:val="en-GB" w:eastAsia="es-ES"/>
        </w:rPr>
        <w:t>.</w:t>
      </w:r>
      <w:r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i/>
          <w:sz w:val="24"/>
          <w:szCs w:val="24"/>
          <w:lang w:val="en-GB" w:eastAsia="es-ES"/>
        </w:rPr>
        <w:t>Journal of Finance</w:t>
      </w:r>
      <w:r w:rsidRPr="0031394A">
        <w:rPr>
          <w:rFonts w:ascii="Times New Roman" w:eastAsia="Times New Roman" w:hAnsi="Times New Roman" w:cs="Times New Roman"/>
          <w:sz w:val="24"/>
          <w:szCs w:val="24"/>
          <w:lang w:val="en-GB" w:eastAsia="es-ES"/>
        </w:rPr>
        <w:t xml:space="preserve"> 19</w:t>
      </w:r>
      <w:r w:rsidR="00AF04BB" w:rsidRPr="0031394A">
        <w:rPr>
          <w:rFonts w:ascii="Times New Roman" w:eastAsia="Times New Roman" w:hAnsi="Times New Roman" w:cs="Times New Roman"/>
          <w:sz w:val="24"/>
          <w:szCs w:val="24"/>
          <w:lang w:val="en-GB" w:eastAsia="es-ES"/>
        </w:rPr>
        <w:t xml:space="preserve">: </w:t>
      </w:r>
      <w:r w:rsidRPr="0031394A">
        <w:rPr>
          <w:rFonts w:ascii="Times New Roman" w:eastAsia="Times New Roman" w:hAnsi="Times New Roman" w:cs="Times New Roman"/>
          <w:sz w:val="24"/>
          <w:szCs w:val="24"/>
          <w:lang w:val="en-GB" w:eastAsia="es-ES"/>
        </w:rPr>
        <w:t>425-442.</w:t>
      </w:r>
    </w:p>
    <w:p w14:paraId="3F377F14" w14:textId="77777777" w:rsidR="00115290" w:rsidRPr="0031394A" w:rsidRDefault="00115290" w:rsidP="00C825A0">
      <w:pPr>
        <w:widowControl w:val="0"/>
        <w:tabs>
          <w:tab w:val="center" w:pos="1418"/>
          <w:tab w:val="right" w:pos="9500"/>
        </w:tabs>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Titelman, D., </w:t>
      </w:r>
      <w:r w:rsidR="00AF04BB" w:rsidRPr="0031394A">
        <w:rPr>
          <w:rFonts w:ascii="Times New Roman" w:hAnsi="Times New Roman" w:cs="Times New Roman"/>
          <w:sz w:val="24"/>
          <w:szCs w:val="24"/>
          <w:lang w:val="en-GB"/>
        </w:rPr>
        <w:t xml:space="preserve">C. </w:t>
      </w:r>
      <w:r w:rsidRPr="0031394A">
        <w:rPr>
          <w:rFonts w:ascii="Times New Roman" w:hAnsi="Times New Roman" w:cs="Times New Roman"/>
          <w:sz w:val="24"/>
          <w:szCs w:val="24"/>
          <w:lang w:val="en-GB"/>
        </w:rPr>
        <w:t>Vera, a</w:t>
      </w:r>
      <w:r w:rsidR="00D3746A" w:rsidRPr="0031394A">
        <w:rPr>
          <w:rFonts w:ascii="Times New Roman" w:hAnsi="Times New Roman" w:cs="Times New Roman"/>
          <w:sz w:val="24"/>
          <w:szCs w:val="24"/>
          <w:lang w:val="en-GB"/>
        </w:rPr>
        <w:t xml:space="preserve">nd </w:t>
      </w:r>
      <w:r w:rsidR="00AF04BB" w:rsidRPr="0031394A">
        <w:rPr>
          <w:rFonts w:ascii="Times New Roman" w:hAnsi="Times New Roman" w:cs="Times New Roman"/>
          <w:sz w:val="24"/>
          <w:szCs w:val="24"/>
          <w:lang w:val="en-GB"/>
        </w:rPr>
        <w:t xml:space="preserve">E. </w:t>
      </w:r>
      <w:r w:rsidR="00D3746A" w:rsidRPr="0031394A">
        <w:rPr>
          <w:rFonts w:ascii="Times New Roman" w:hAnsi="Times New Roman" w:cs="Times New Roman"/>
          <w:sz w:val="24"/>
          <w:szCs w:val="24"/>
          <w:lang w:val="en-GB"/>
        </w:rPr>
        <w:t>Pérez-Caldentey. 2009</w:t>
      </w:r>
      <w:r w:rsidR="00AF04BB" w:rsidRPr="0031394A">
        <w:rPr>
          <w:rFonts w:ascii="Times New Roman" w:hAnsi="Times New Roman" w:cs="Times New Roman"/>
          <w:sz w:val="24"/>
          <w:szCs w:val="24"/>
          <w:lang w:val="en-GB"/>
        </w:rPr>
        <w:t>.</w:t>
      </w:r>
      <w:r w:rsidR="00D3746A"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Pension System Reform in Latin America and Potential Impl</w:t>
      </w:r>
      <w:r w:rsidR="00D3746A" w:rsidRPr="0031394A">
        <w:rPr>
          <w:rFonts w:ascii="Times New Roman" w:hAnsi="Times New Roman" w:cs="Times New Roman"/>
          <w:sz w:val="24"/>
          <w:szCs w:val="24"/>
          <w:lang w:val="en-GB"/>
        </w:rPr>
        <w:t>ications for the Chinese Case</w:t>
      </w:r>
      <w:r w:rsidR="00AF04BB" w:rsidRPr="0031394A">
        <w:rPr>
          <w:rFonts w:ascii="Times New Roman" w:hAnsi="Times New Roman" w:cs="Times New Roman"/>
          <w:sz w:val="24"/>
          <w:szCs w:val="24"/>
          <w:lang w:val="en-GB"/>
        </w:rPr>
        <w:t>.</w:t>
      </w:r>
      <w:r w:rsidR="00D3746A"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The Ideas Working Paper Series.</w:t>
      </w:r>
      <w:r w:rsidRPr="0031394A">
        <w:rPr>
          <w:rFonts w:ascii="Times New Roman" w:hAnsi="Times New Roman" w:cs="Times New Roman"/>
          <w:sz w:val="24"/>
          <w:szCs w:val="24"/>
          <w:lang w:val="en-GB"/>
        </w:rPr>
        <w:tab/>
      </w:r>
    </w:p>
    <w:p w14:paraId="4F12F356" w14:textId="77777777" w:rsidR="00115290" w:rsidRPr="0031394A" w:rsidRDefault="00DB389D"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Valdés-Prieto, S. 2005.</w:t>
      </w:r>
      <w:r w:rsidR="00115290" w:rsidRPr="0031394A">
        <w:rPr>
          <w:rFonts w:ascii="Times New Roman" w:hAnsi="Times New Roman" w:cs="Times New Roman"/>
          <w:sz w:val="24"/>
          <w:szCs w:val="24"/>
          <w:lang w:val="en-GB"/>
        </w:rPr>
        <w:t xml:space="preserve"> “Securitization of </w:t>
      </w:r>
      <w:r w:rsidR="00D3746A" w:rsidRPr="0031394A">
        <w:rPr>
          <w:rFonts w:ascii="Times New Roman" w:hAnsi="Times New Roman" w:cs="Times New Roman"/>
          <w:sz w:val="24"/>
          <w:szCs w:val="24"/>
          <w:lang w:val="en-GB"/>
        </w:rPr>
        <w:t>taxes implicit in PAYG pensions</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 </w:t>
      </w:r>
      <w:r w:rsidR="00115290" w:rsidRPr="0031394A">
        <w:rPr>
          <w:rFonts w:ascii="Times New Roman" w:hAnsi="Times New Roman" w:cs="Times New Roman"/>
          <w:i/>
          <w:sz w:val="24"/>
          <w:szCs w:val="24"/>
          <w:lang w:val="en-GB"/>
        </w:rPr>
        <w:t>Economic Policy</w:t>
      </w:r>
      <w:r w:rsidR="00115290" w:rsidRPr="0031394A">
        <w:rPr>
          <w:rFonts w:ascii="Times New Roman" w:hAnsi="Times New Roman" w:cs="Times New Roman"/>
          <w:sz w:val="24"/>
          <w:szCs w:val="24"/>
          <w:lang w:val="en-GB"/>
        </w:rPr>
        <w:t xml:space="preserve"> 20</w:t>
      </w:r>
      <w:r w:rsidRPr="0031394A">
        <w:rPr>
          <w:rFonts w:ascii="Times New Roman" w:hAnsi="Times New Roman" w:cs="Times New Roman"/>
          <w:sz w:val="24"/>
          <w:szCs w:val="24"/>
          <w:lang w:val="en-GB"/>
        </w:rPr>
        <w:t xml:space="preserve">: </w:t>
      </w:r>
      <w:r w:rsidR="00115290" w:rsidRPr="0031394A">
        <w:rPr>
          <w:rFonts w:ascii="Times New Roman" w:hAnsi="Times New Roman" w:cs="Times New Roman"/>
          <w:sz w:val="24"/>
          <w:szCs w:val="24"/>
          <w:lang w:val="en-GB"/>
        </w:rPr>
        <w:t>216–265.</w:t>
      </w:r>
    </w:p>
    <w:p w14:paraId="250E189D" w14:textId="77777777" w:rsidR="00115290" w:rsidRPr="0031394A" w:rsidRDefault="00115290"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lastRenderedPageBreak/>
        <w:t xml:space="preserve">Vidal-Meliá, C., </w:t>
      </w:r>
      <w:r w:rsidR="00DB389D" w:rsidRPr="0031394A">
        <w:rPr>
          <w:rFonts w:ascii="Times New Roman" w:hAnsi="Times New Roman" w:cs="Times New Roman"/>
          <w:sz w:val="24"/>
          <w:szCs w:val="24"/>
          <w:lang w:val="en-GB"/>
        </w:rPr>
        <w:t xml:space="preserve">I. </w:t>
      </w:r>
      <w:r w:rsidRPr="0031394A">
        <w:rPr>
          <w:rFonts w:ascii="Times New Roman" w:hAnsi="Times New Roman" w:cs="Times New Roman"/>
          <w:sz w:val="24"/>
          <w:szCs w:val="24"/>
          <w:lang w:val="en-GB"/>
        </w:rPr>
        <w:t xml:space="preserve">Domínguez-Fabián, </w:t>
      </w:r>
      <w:r w:rsidR="00D3746A" w:rsidRPr="0031394A">
        <w:rPr>
          <w:rFonts w:ascii="Times New Roman" w:hAnsi="Times New Roman" w:cs="Times New Roman"/>
          <w:sz w:val="24"/>
          <w:szCs w:val="24"/>
          <w:lang w:val="en-GB"/>
        </w:rPr>
        <w:t xml:space="preserve">and </w:t>
      </w:r>
      <w:r w:rsidR="00DB389D" w:rsidRPr="0031394A">
        <w:rPr>
          <w:rFonts w:ascii="Times New Roman" w:hAnsi="Times New Roman" w:cs="Times New Roman"/>
          <w:sz w:val="24"/>
          <w:szCs w:val="24"/>
          <w:lang w:val="en-GB"/>
        </w:rPr>
        <w:t xml:space="preserve">J. E. </w:t>
      </w:r>
      <w:r w:rsidR="00D3746A" w:rsidRPr="0031394A">
        <w:rPr>
          <w:rFonts w:ascii="Times New Roman" w:hAnsi="Times New Roman" w:cs="Times New Roman"/>
          <w:sz w:val="24"/>
          <w:szCs w:val="24"/>
          <w:lang w:val="en-GB"/>
        </w:rPr>
        <w:t xml:space="preserve">Devesa-Carpio. </w:t>
      </w:r>
      <w:r w:rsidR="00D3746A" w:rsidRPr="0031394A">
        <w:rPr>
          <w:rFonts w:ascii="Times New Roman" w:hAnsi="Times New Roman" w:cs="Times New Roman"/>
          <w:sz w:val="24"/>
          <w:szCs w:val="24"/>
        </w:rPr>
        <w:t>2006</w:t>
      </w:r>
      <w:r w:rsidR="00DB389D" w:rsidRPr="0031394A">
        <w:rPr>
          <w:rFonts w:ascii="Times New Roman" w:hAnsi="Times New Roman" w:cs="Times New Roman"/>
          <w:sz w:val="24"/>
          <w:szCs w:val="24"/>
        </w:rPr>
        <w:t>.</w:t>
      </w:r>
      <w:r w:rsidRPr="0031394A">
        <w:rPr>
          <w:rFonts w:ascii="Times New Roman" w:hAnsi="Times New Roman" w:cs="Times New Roman"/>
          <w:sz w:val="24"/>
          <w:szCs w:val="24"/>
        </w:rPr>
        <w:t xml:space="preserve"> </w:t>
      </w:r>
      <w:r w:rsidR="00D3746A" w:rsidRPr="0031394A">
        <w:rPr>
          <w:rFonts w:ascii="Times New Roman" w:hAnsi="Times New Roman" w:cs="Times New Roman"/>
          <w:sz w:val="24"/>
          <w:szCs w:val="24"/>
        </w:rPr>
        <w:t>“</w:t>
      </w:r>
      <w:r w:rsidR="00DB389D" w:rsidRPr="0031394A">
        <w:rPr>
          <w:rFonts w:ascii="Times New Roman" w:hAnsi="Times New Roman" w:cs="Times New Roman"/>
          <w:sz w:val="24"/>
          <w:szCs w:val="24"/>
          <w:lang w:val="en-GB"/>
        </w:rPr>
        <w:t xml:space="preserve">Subjective economic risk </w:t>
      </w:r>
      <w:r w:rsidRPr="0031394A">
        <w:rPr>
          <w:rFonts w:ascii="Times New Roman" w:hAnsi="Times New Roman" w:cs="Times New Roman"/>
          <w:sz w:val="24"/>
          <w:szCs w:val="24"/>
          <w:lang w:val="en-GB"/>
        </w:rPr>
        <w:t>to beneficiaries in notional defined contribution accounts (N</w:t>
      </w:r>
      <w:r w:rsidR="00D3746A" w:rsidRPr="0031394A">
        <w:rPr>
          <w:rFonts w:ascii="Times New Roman" w:hAnsi="Times New Roman" w:cs="Times New Roman"/>
          <w:sz w:val="24"/>
          <w:szCs w:val="24"/>
          <w:lang w:val="en-GB"/>
        </w:rPr>
        <w:t>DCs)</w:t>
      </w:r>
      <w:r w:rsidR="00DB389D" w:rsidRPr="0031394A">
        <w:rPr>
          <w:rFonts w:ascii="Times New Roman" w:hAnsi="Times New Roman" w:cs="Times New Roman"/>
          <w:sz w:val="24"/>
          <w:szCs w:val="24"/>
          <w:lang w:val="en-GB"/>
        </w:rPr>
        <w:t>.</w:t>
      </w:r>
      <w:r w:rsidR="00D3746A"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w:t>
      </w:r>
      <w:r w:rsidRPr="0031394A">
        <w:rPr>
          <w:rFonts w:ascii="Times New Roman" w:hAnsi="Times New Roman" w:cs="Times New Roman"/>
          <w:i/>
          <w:sz w:val="24"/>
          <w:szCs w:val="24"/>
          <w:lang w:val="en-GB"/>
        </w:rPr>
        <w:t>Journal of Risk and Insurance</w:t>
      </w:r>
      <w:r w:rsidR="00DB389D"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73</w:t>
      </w:r>
      <w:r w:rsidR="00DB389D"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489</w:t>
      </w:r>
      <w:r w:rsidR="00DB389D"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515.</w:t>
      </w:r>
    </w:p>
    <w:p w14:paraId="28D307DE" w14:textId="77777777" w:rsidR="00654532" w:rsidRPr="0031394A" w:rsidRDefault="00115290" w:rsidP="00C825A0">
      <w:pPr>
        <w:widowControl w:val="0"/>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Vidal-Meliá, C., </w:t>
      </w:r>
      <w:r w:rsidR="00DB389D" w:rsidRPr="0031394A">
        <w:rPr>
          <w:rFonts w:ascii="Times New Roman" w:hAnsi="Times New Roman" w:cs="Times New Roman"/>
          <w:sz w:val="24"/>
          <w:szCs w:val="24"/>
          <w:lang w:val="en-GB"/>
        </w:rPr>
        <w:t xml:space="preserve">M. C. </w:t>
      </w:r>
      <w:r w:rsidRPr="0031394A">
        <w:rPr>
          <w:rFonts w:ascii="Times New Roman" w:hAnsi="Times New Roman" w:cs="Times New Roman"/>
          <w:sz w:val="24"/>
          <w:szCs w:val="24"/>
          <w:lang w:val="en-GB"/>
        </w:rPr>
        <w:t xml:space="preserve">Boado-Penas, and </w:t>
      </w:r>
      <w:r w:rsidR="00DB389D" w:rsidRPr="0031394A">
        <w:rPr>
          <w:rFonts w:ascii="Times New Roman" w:hAnsi="Times New Roman" w:cs="Times New Roman"/>
          <w:sz w:val="24"/>
          <w:szCs w:val="24"/>
          <w:lang w:val="en-GB"/>
        </w:rPr>
        <w:t xml:space="preserve">O. </w:t>
      </w:r>
      <w:r w:rsidRPr="0031394A">
        <w:rPr>
          <w:rFonts w:ascii="Times New Roman" w:hAnsi="Times New Roman" w:cs="Times New Roman"/>
          <w:sz w:val="24"/>
          <w:szCs w:val="24"/>
          <w:lang w:val="en-GB"/>
        </w:rPr>
        <w:t>Settergren. 2009</w:t>
      </w:r>
      <w:r w:rsidR="00DB389D"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“Automatic balance mechanisms in</w:t>
      </w:r>
      <w:r w:rsidR="00D3746A" w:rsidRPr="0031394A">
        <w:rPr>
          <w:rFonts w:ascii="Times New Roman" w:hAnsi="Times New Roman" w:cs="Times New Roman"/>
          <w:sz w:val="24"/>
          <w:szCs w:val="24"/>
          <w:lang w:val="en-GB"/>
        </w:rPr>
        <w:t xml:space="preserve"> pay-as-you-go pension systems</w:t>
      </w:r>
      <w:r w:rsidR="00DB389D" w:rsidRPr="0031394A">
        <w:rPr>
          <w:rFonts w:ascii="Times New Roman" w:hAnsi="Times New Roman" w:cs="Times New Roman"/>
          <w:sz w:val="24"/>
          <w:szCs w:val="24"/>
          <w:lang w:val="en-GB"/>
        </w:rPr>
        <w:t>.</w:t>
      </w:r>
      <w:r w:rsidR="00D3746A" w:rsidRPr="0031394A">
        <w:rPr>
          <w:rFonts w:ascii="Times New Roman" w:hAnsi="Times New Roman" w:cs="Times New Roman"/>
          <w:sz w:val="24"/>
          <w:szCs w:val="24"/>
          <w:lang w:val="en-GB"/>
        </w:rPr>
        <w:t>”</w:t>
      </w:r>
      <w:r w:rsidRPr="0031394A">
        <w:rPr>
          <w:rFonts w:ascii="Times New Roman" w:hAnsi="Times New Roman" w:cs="Times New Roman"/>
          <w:iCs/>
          <w:sz w:val="24"/>
          <w:szCs w:val="24"/>
          <w:lang w:val="en-GB"/>
        </w:rPr>
        <w:t xml:space="preserve"> </w:t>
      </w:r>
      <w:r w:rsidRPr="0031394A">
        <w:rPr>
          <w:rFonts w:ascii="Times New Roman" w:hAnsi="Times New Roman" w:cs="Times New Roman"/>
          <w:i/>
          <w:iCs/>
          <w:sz w:val="24"/>
          <w:szCs w:val="24"/>
          <w:lang w:val="en-GB"/>
        </w:rPr>
        <w:t>Geneva Papers on Risk and Insurance - Issues and Practice</w:t>
      </w:r>
      <w:r w:rsidRPr="0031394A">
        <w:rPr>
          <w:rFonts w:ascii="Times New Roman" w:hAnsi="Times New Roman" w:cs="Times New Roman"/>
          <w:sz w:val="24"/>
          <w:szCs w:val="24"/>
          <w:lang w:val="en-GB"/>
        </w:rPr>
        <w:t xml:space="preserve"> </w:t>
      </w:r>
      <w:r w:rsidRPr="0031394A">
        <w:rPr>
          <w:rFonts w:ascii="Times New Roman" w:hAnsi="Times New Roman" w:cs="Times New Roman"/>
          <w:bCs/>
          <w:sz w:val="24"/>
          <w:szCs w:val="24"/>
          <w:lang w:val="en-GB"/>
        </w:rPr>
        <w:t>34 (2)</w:t>
      </w:r>
      <w:r w:rsidR="00DB389D"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287-317. </w:t>
      </w:r>
    </w:p>
    <w:p w14:paraId="42E19867" w14:textId="77777777" w:rsidR="00115290" w:rsidRPr="0031394A" w:rsidRDefault="00115290"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Vidal-Meliá, C., </w:t>
      </w:r>
      <w:r w:rsidR="00DB389D" w:rsidRPr="0031394A">
        <w:rPr>
          <w:rFonts w:ascii="Times New Roman" w:hAnsi="Times New Roman" w:cs="Times New Roman"/>
          <w:sz w:val="24"/>
          <w:szCs w:val="24"/>
          <w:lang w:val="en-GB"/>
        </w:rPr>
        <w:t xml:space="preserve">M. C. </w:t>
      </w:r>
      <w:r w:rsidRPr="0031394A">
        <w:rPr>
          <w:rFonts w:ascii="Times New Roman" w:hAnsi="Times New Roman" w:cs="Times New Roman"/>
          <w:sz w:val="24"/>
          <w:szCs w:val="24"/>
          <w:lang w:val="en-GB"/>
        </w:rPr>
        <w:t>Boado-Penas,</w:t>
      </w:r>
      <w:r w:rsidR="00DB389D" w:rsidRPr="0031394A">
        <w:rPr>
          <w:rFonts w:ascii="Times New Roman" w:hAnsi="Times New Roman" w:cs="Times New Roman"/>
          <w:sz w:val="24"/>
          <w:szCs w:val="24"/>
          <w:lang w:val="en-GB"/>
        </w:rPr>
        <w:t xml:space="preserve"> and O. </w:t>
      </w:r>
      <w:r w:rsidR="00D3746A" w:rsidRPr="0031394A">
        <w:rPr>
          <w:rFonts w:ascii="Times New Roman" w:hAnsi="Times New Roman" w:cs="Times New Roman"/>
          <w:sz w:val="24"/>
          <w:szCs w:val="24"/>
          <w:lang w:val="en-GB"/>
        </w:rPr>
        <w:t>Settergren. 2010</w:t>
      </w:r>
      <w:r w:rsidR="00DB389D" w:rsidRPr="0031394A">
        <w:rPr>
          <w:rFonts w:ascii="Times New Roman" w:hAnsi="Times New Roman" w:cs="Times New Roman"/>
          <w:sz w:val="24"/>
          <w:szCs w:val="24"/>
          <w:lang w:val="en-GB"/>
        </w:rPr>
        <w:t xml:space="preserve">. </w:t>
      </w:r>
      <w:r w:rsidR="00D3746A"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Instruments for </w:t>
      </w:r>
      <w:r w:rsidR="00D3746A" w:rsidRPr="0031394A">
        <w:rPr>
          <w:rFonts w:ascii="Times New Roman" w:hAnsi="Times New Roman" w:cs="Times New Roman"/>
          <w:sz w:val="24"/>
          <w:szCs w:val="24"/>
          <w:lang w:val="en-GB"/>
        </w:rPr>
        <w:t>improving the</w:t>
      </w:r>
      <w:r w:rsidRPr="0031394A">
        <w:rPr>
          <w:rFonts w:ascii="Times New Roman" w:hAnsi="Times New Roman" w:cs="Times New Roman"/>
          <w:sz w:val="24"/>
          <w:szCs w:val="24"/>
          <w:lang w:val="en-GB"/>
        </w:rPr>
        <w:t xml:space="preserve"> equity, transparency and solvency of pay-as-you-go pens</w:t>
      </w:r>
      <w:r w:rsidR="00D3746A" w:rsidRPr="0031394A">
        <w:rPr>
          <w:rFonts w:ascii="Times New Roman" w:hAnsi="Times New Roman" w:cs="Times New Roman"/>
          <w:sz w:val="24"/>
          <w:szCs w:val="24"/>
          <w:lang w:val="en-GB"/>
        </w:rPr>
        <w:t>ion systems: NDCs, ABs and ABMs</w:t>
      </w:r>
      <w:r w:rsidR="00DB389D" w:rsidRPr="0031394A">
        <w:rPr>
          <w:rFonts w:ascii="Times New Roman" w:hAnsi="Times New Roman" w:cs="Times New Roman"/>
          <w:sz w:val="24"/>
          <w:szCs w:val="24"/>
          <w:lang w:val="en-GB"/>
        </w:rPr>
        <w:t>.</w:t>
      </w:r>
      <w:r w:rsidR="00D3746A" w:rsidRPr="0031394A">
        <w:rPr>
          <w:rFonts w:ascii="Times New Roman" w:hAnsi="Times New Roman" w:cs="Times New Roman"/>
          <w:sz w:val="24"/>
          <w:szCs w:val="24"/>
          <w:lang w:val="en-GB"/>
        </w:rPr>
        <w:t>”</w:t>
      </w:r>
      <w:r w:rsidR="00DB389D" w:rsidRPr="0031394A">
        <w:rPr>
          <w:rFonts w:ascii="Times New Roman" w:hAnsi="Times New Roman" w:cs="Times New Roman"/>
          <w:sz w:val="24"/>
          <w:szCs w:val="24"/>
          <w:lang w:val="en-GB"/>
        </w:rPr>
        <w:t xml:space="preserve"> Chapter 18</w:t>
      </w:r>
      <w:r w:rsidRPr="0031394A">
        <w:rPr>
          <w:rFonts w:ascii="Times New Roman" w:hAnsi="Times New Roman" w:cs="Times New Roman"/>
          <w:sz w:val="24"/>
          <w:szCs w:val="24"/>
          <w:lang w:val="en-GB"/>
        </w:rPr>
        <w:t xml:space="preserve"> in </w:t>
      </w:r>
      <w:r w:rsidRPr="0031394A">
        <w:rPr>
          <w:rFonts w:ascii="Times New Roman" w:hAnsi="Times New Roman" w:cs="Times New Roman"/>
          <w:i/>
          <w:sz w:val="24"/>
          <w:szCs w:val="24"/>
          <w:lang w:val="en-GB"/>
        </w:rPr>
        <w:t>Pension Fund Risk Management. Financial and Actuarial Modelling</w:t>
      </w:r>
      <w:r w:rsidR="00DB389D" w:rsidRPr="0031394A">
        <w:rPr>
          <w:rFonts w:ascii="Times New Roman" w:hAnsi="Times New Roman" w:cs="Times New Roman"/>
          <w:sz w:val="24"/>
          <w:szCs w:val="24"/>
          <w:lang w:val="en-GB"/>
        </w:rPr>
        <w:t>, edited by M. Micocci, G.N. Gregoriou and G.B. Masala, 419-472</w:t>
      </w:r>
      <w:r w:rsidRPr="0031394A">
        <w:rPr>
          <w:rFonts w:ascii="Times New Roman" w:hAnsi="Times New Roman" w:cs="Times New Roman"/>
          <w:sz w:val="24"/>
          <w:szCs w:val="24"/>
          <w:lang w:val="en-GB"/>
        </w:rPr>
        <w:t>. Chapman &amp; Hall</w:t>
      </w:r>
      <w:r w:rsidR="00DB389D"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CRC Finance Series.</w:t>
      </w:r>
    </w:p>
    <w:p w14:paraId="63A08F91" w14:textId="77777777" w:rsidR="00115290" w:rsidRPr="0031394A" w:rsidRDefault="00DB389D" w:rsidP="00C825A0">
      <w:pPr>
        <w:widowControl w:val="0"/>
        <w:tabs>
          <w:tab w:val="center" w:pos="1418"/>
          <w:tab w:val="right" w:pos="9500"/>
        </w:tabs>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Whitehouse, E. R. </w:t>
      </w:r>
      <w:r w:rsidR="00115290" w:rsidRPr="0031394A">
        <w:rPr>
          <w:rFonts w:ascii="Times New Roman" w:hAnsi="Times New Roman" w:cs="Times New Roman"/>
          <w:sz w:val="24"/>
          <w:szCs w:val="24"/>
          <w:lang w:val="en-GB"/>
        </w:rPr>
        <w:t>2009a</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 “Pensions, Purchasing-Power Risk, Inflation and Indexation</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 </w:t>
      </w:r>
      <w:r w:rsidR="00115290" w:rsidRPr="0031394A">
        <w:rPr>
          <w:rFonts w:ascii="Times New Roman" w:hAnsi="Times New Roman" w:cs="Times New Roman"/>
          <w:i/>
          <w:sz w:val="24"/>
          <w:szCs w:val="24"/>
          <w:lang w:val="en-GB"/>
        </w:rPr>
        <w:t>OECD Social, Employment and Migration Working Papers</w:t>
      </w:r>
      <w:r w:rsidR="00115290" w:rsidRPr="0031394A">
        <w:rPr>
          <w:rFonts w:ascii="Times New Roman" w:hAnsi="Times New Roman" w:cs="Times New Roman"/>
          <w:sz w:val="24"/>
          <w:szCs w:val="24"/>
          <w:lang w:val="en-GB"/>
        </w:rPr>
        <w:t>, No. 77</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 OECD Publishing. </w:t>
      </w:r>
      <w:hyperlink r:id="rId90" w:history="1">
        <w:r w:rsidR="00115290" w:rsidRPr="0031394A">
          <w:rPr>
            <w:rStyle w:val="Hyperlink"/>
            <w:rFonts w:ascii="Times New Roman" w:hAnsi="Times New Roman" w:cs="Times New Roman"/>
            <w:color w:val="auto"/>
            <w:sz w:val="24"/>
            <w:szCs w:val="24"/>
            <w:lang w:val="en-GB"/>
          </w:rPr>
          <w:t>http://dx.doi.org/10.1787/227182142567</w:t>
        </w:r>
      </w:hyperlink>
    </w:p>
    <w:p w14:paraId="21B099F3" w14:textId="77777777" w:rsidR="00115290" w:rsidRPr="0031394A" w:rsidRDefault="00115290" w:rsidP="00C825A0">
      <w:pPr>
        <w:widowControl w:val="0"/>
        <w:tabs>
          <w:tab w:val="center" w:pos="1418"/>
          <w:tab w:val="right" w:pos="9500"/>
        </w:tabs>
        <w:autoSpaceDE w:val="0"/>
        <w:autoSpaceDN w:val="0"/>
        <w:adjustRightInd w:val="0"/>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 xml:space="preserve">Whitehouse, E. </w:t>
      </w:r>
      <w:r w:rsidR="00DB389D" w:rsidRPr="0031394A">
        <w:rPr>
          <w:rFonts w:ascii="Times New Roman" w:hAnsi="Times New Roman" w:cs="Times New Roman"/>
          <w:sz w:val="24"/>
          <w:szCs w:val="24"/>
          <w:lang w:val="en-GB"/>
        </w:rPr>
        <w:t>2009b.</w:t>
      </w:r>
      <w:r w:rsidRPr="0031394A">
        <w:rPr>
          <w:rFonts w:ascii="Times New Roman" w:hAnsi="Times New Roman" w:cs="Times New Roman"/>
          <w:sz w:val="24"/>
          <w:szCs w:val="24"/>
          <w:lang w:val="en-GB"/>
        </w:rPr>
        <w:t xml:space="preserve"> “Pensions during the crisis: impact on retirement income systems and policy responses</w:t>
      </w:r>
      <w:r w:rsidR="00DB389D" w:rsidRPr="0031394A">
        <w:rPr>
          <w:rFonts w:ascii="Times New Roman" w:hAnsi="Times New Roman" w:cs="Times New Roman"/>
          <w:sz w:val="24"/>
          <w:szCs w:val="24"/>
          <w:lang w:val="en-GB"/>
        </w:rPr>
        <w:t>.”</w:t>
      </w:r>
      <w:r w:rsidRPr="0031394A">
        <w:rPr>
          <w:rFonts w:ascii="Times New Roman" w:hAnsi="Times New Roman" w:cs="Times New Roman"/>
          <w:i/>
          <w:iCs/>
          <w:sz w:val="24"/>
          <w:szCs w:val="24"/>
          <w:lang w:val="en-GB"/>
        </w:rPr>
        <w:t xml:space="preserve"> Geneva Papers on Risk and Insurance - Issues and Practice</w:t>
      </w:r>
      <w:r w:rsidRPr="0031394A">
        <w:rPr>
          <w:rFonts w:ascii="Times New Roman" w:hAnsi="Times New Roman" w:cs="Times New Roman"/>
          <w:sz w:val="24"/>
          <w:szCs w:val="24"/>
          <w:lang w:val="en-GB"/>
        </w:rPr>
        <w:t xml:space="preserve"> </w:t>
      </w:r>
      <w:r w:rsidRPr="0031394A">
        <w:rPr>
          <w:rFonts w:ascii="Times New Roman" w:hAnsi="Times New Roman" w:cs="Times New Roman"/>
          <w:bCs/>
          <w:sz w:val="24"/>
          <w:szCs w:val="24"/>
          <w:lang w:val="en-GB"/>
        </w:rPr>
        <w:t>34 (4)</w:t>
      </w:r>
      <w:r w:rsidR="00DB389D"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 xml:space="preserve"> 536-547.</w:t>
      </w:r>
    </w:p>
    <w:p w14:paraId="0F0EC4D0" w14:textId="77777777" w:rsidR="00115290" w:rsidRPr="0031394A" w:rsidRDefault="00D3746A"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Whitehouse, E.R.</w:t>
      </w:r>
      <w:r w:rsidR="00DB389D" w:rsidRPr="0031394A">
        <w:rPr>
          <w:rFonts w:ascii="Times New Roman" w:hAnsi="Times New Roman" w:cs="Times New Roman"/>
          <w:sz w:val="24"/>
          <w:szCs w:val="24"/>
          <w:lang w:val="en-GB"/>
        </w:rPr>
        <w:t xml:space="preserve"> 2010. </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Decomposing notional defined-contribution pensions: Exper</w:t>
      </w:r>
      <w:r w:rsidRPr="0031394A">
        <w:rPr>
          <w:rFonts w:ascii="Times New Roman" w:hAnsi="Times New Roman" w:cs="Times New Roman"/>
          <w:sz w:val="24"/>
          <w:szCs w:val="24"/>
          <w:lang w:val="en-GB"/>
        </w:rPr>
        <w:t>ience of OECD countries’</w:t>
      </w:r>
      <w:r w:rsidR="00DB389D" w:rsidRPr="0031394A">
        <w:rPr>
          <w:rFonts w:ascii="Times New Roman" w:hAnsi="Times New Roman" w:cs="Times New Roman"/>
          <w:sz w:val="24"/>
          <w:szCs w:val="24"/>
          <w:lang w:val="en-GB"/>
        </w:rPr>
        <w:t xml:space="preserve"> </w:t>
      </w:r>
      <w:r w:rsidRPr="0031394A">
        <w:rPr>
          <w:rFonts w:ascii="Times New Roman" w:hAnsi="Times New Roman" w:cs="Times New Roman"/>
          <w:sz w:val="24"/>
          <w:szCs w:val="24"/>
          <w:lang w:val="en-GB"/>
        </w:rPr>
        <w:t>reforms</w:t>
      </w:r>
      <w:r w:rsidR="00DB389D" w:rsidRPr="0031394A">
        <w:rPr>
          <w:rFonts w:ascii="Times New Roman" w:hAnsi="Times New Roman" w:cs="Times New Roman"/>
          <w:sz w:val="24"/>
          <w:szCs w:val="24"/>
          <w:lang w:val="en-GB"/>
        </w:rPr>
        <w:t>.</w:t>
      </w:r>
      <w:r w:rsidRPr="0031394A">
        <w:rPr>
          <w:rFonts w:ascii="Times New Roman" w:hAnsi="Times New Roman" w:cs="Times New Roman"/>
          <w:sz w:val="24"/>
          <w:szCs w:val="24"/>
          <w:lang w:val="en-GB"/>
        </w:rPr>
        <w:t>”</w:t>
      </w:r>
      <w:r w:rsidR="00DB389D" w:rsidRPr="0031394A">
        <w:rPr>
          <w:rFonts w:ascii="Times New Roman" w:hAnsi="Times New Roman" w:cs="Times New Roman"/>
          <w:sz w:val="24"/>
          <w:szCs w:val="24"/>
          <w:lang w:val="en-GB"/>
        </w:rPr>
        <w:t xml:space="preserve"> </w:t>
      </w:r>
      <w:r w:rsidR="00115290" w:rsidRPr="0031394A">
        <w:rPr>
          <w:rFonts w:ascii="Times New Roman" w:hAnsi="Times New Roman" w:cs="Times New Roman"/>
          <w:i/>
          <w:sz w:val="24"/>
          <w:szCs w:val="24"/>
          <w:lang w:val="en-GB"/>
        </w:rPr>
        <w:t>OECD Social, Employment and Migration Working Papers</w:t>
      </w:r>
      <w:r w:rsidR="00DB389D" w:rsidRPr="0031394A">
        <w:rPr>
          <w:rFonts w:ascii="Times New Roman" w:hAnsi="Times New Roman" w:cs="Times New Roman"/>
          <w:sz w:val="24"/>
          <w:szCs w:val="24"/>
          <w:lang w:val="en-GB"/>
        </w:rPr>
        <w:t>, No. 109.</w:t>
      </w:r>
      <w:r w:rsidR="00115290" w:rsidRPr="0031394A">
        <w:rPr>
          <w:rFonts w:ascii="Times New Roman" w:hAnsi="Times New Roman" w:cs="Times New Roman"/>
          <w:sz w:val="24"/>
          <w:szCs w:val="24"/>
          <w:lang w:val="en-GB"/>
        </w:rPr>
        <w:t xml:space="preserve"> OECD Publishing.</w:t>
      </w:r>
    </w:p>
    <w:p w14:paraId="44A1289E" w14:textId="77777777" w:rsidR="00D3746A" w:rsidRPr="0031394A" w:rsidRDefault="00DB389D" w:rsidP="00C825A0">
      <w:pPr>
        <w:tabs>
          <w:tab w:val="center" w:pos="4800"/>
          <w:tab w:val="right" w:pos="9500"/>
        </w:tabs>
        <w:spacing w:before="120" w:after="120" w:line="240" w:lineRule="auto"/>
        <w:jc w:val="both"/>
        <w:rPr>
          <w:rFonts w:ascii="Times New Roman" w:hAnsi="Times New Roman" w:cs="Times New Roman"/>
          <w:sz w:val="24"/>
          <w:szCs w:val="24"/>
          <w:lang w:val="en-GB"/>
        </w:rPr>
      </w:pPr>
      <w:r w:rsidRPr="0031394A">
        <w:rPr>
          <w:rFonts w:ascii="Times New Roman" w:hAnsi="Times New Roman" w:cs="Times New Roman"/>
          <w:sz w:val="24"/>
          <w:szCs w:val="24"/>
          <w:lang w:val="en-GB"/>
        </w:rPr>
        <w:t>Williamson, J.B. 2004.</w:t>
      </w:r>
      <w:r w:rsidR="00D3746A" w:rsidRPr="0031394A">
        <w:rPr>
          <w:rFonts w:ascii="Times New Roman" w:hAnsi="Times New Roman" w:cs="Times New Roman"/>
          <w:sz w:val="24"/>
          <w:szCs w:val="24"/>
          <w:lang w:val="en-GB"/>
        </w:rPr>
        <w:t xml:space="preserve"> “</w:t>
      </w:r>
      <w:r w:rsidR="00115290" w:rsidRPr="0031394A">
        <w:rPr>
          <w:rFonts w:ascii="Times New Roman" w:hAnsi="Times New Roman" w:cs="Times New Roman"/>
          <w:sz w:val="24"/>
          <w:szCs w:val="24"/>
          <w:lang w:val="en-GB"/>
        </w:rPr>
        <w:t xml:space="preserve">Assessing the pension reform potential of a notional defined </w:t>
      </w:r>
      <w:r w:rsidR="00D3746A" w:rsidRPr="0031394A">
        <w:rPr>
          <w:rFonts w:ascii="Times New Roman" w:hAnsi="Times New Roman" w:cs="Times New Roman"/>
          <w:sz w:val="24"/>
          <w:szCs w:val="24"/>
          <w:lang w:val="en-GB"/>
        </w:rPr>
        <w:t>contribution pillar</w:t>
      </w:r>
      <w:r w:rsidRPr="0031394A">
        <w:rPr>
          <w:rFonts w:ascii="Times New Roman" w:hAnsi="Times New Roman" w:cs="Times New Roman"/>
          <w:sz w:val="24"/>
          <w:szCs w:val="24"/>
          <w:lang w:val="en-GB"/>
        </w:rPr>
        <w:t>.</w:t>
      </w:r>
      <w:r w:rsidR="00D3746A"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 </w:t>
      </w:r>
      <w:r w:rsidR="00115290" w:rsidRPr="0031394A">
        <w:rPr>
          <w:rFonts w:ascii="Times New Roman" w:hAnsi="Times New Roman" w:cs="Times New Roman"/>
          <w:i/>
          <w:sz w:val="24"/>
          <w:szCs w:val="24"/>
          <w:lang w:val="en-GB"/>
        </w:rPr>
        <w:t>International Social Security Review</w:t>
      </w:r>
      <w:r w:rsidR="00115290" w:rsidRPr="0031394A">
        <w:rPr>
          <w:rFonts w:ascii="Times New Roman" w:hAnsi="Times New Roman" w:cs="Times New Roman"/>
          <w:sz w:val="24"/>
          <w:szCs w:val="24"/>
          <w:lang w:val="en-GB"/>
        </w:rPr>
        <w:t xml:space="preserve"> 57 (1)</w:t>
      </w:r>
      <w:r w:rsidRPr="0031394A">
        <w:rPr>
          <w:rFonts w:ascii="Times New Roman" w:hAnsi="Times New Roman" w:cs="Times New Roman"/>
          <w:sz w:val="24"/>
          <w:szCs w:val="24"/>
          <w:lang w:val="en-GB"/>
        </w:rPr>
        <w:t>:</w:t>
      </w:r>
      <w:r w:rsidR="00115290" w:rsidRPr="0031394A">
        <w:rPr>
          <w:rFonts w:ascii="Times New Roman" w:hAnsi="Times New Roman" w:cs="Times New Roman"/>
          <w:sz w:val="24"/>
          <w:szCs w:val="24"/>
          <w:lang w:val="en-GB"/>
        </w:rPr>
        <w:t xml:space="preserve"> 47-64.</w:t>
      </w:r>
    </w:p>
    <w:p w14:paraId="75A0130E" w14:textId="77777777" w:rsidR="00D07CD6" w:rsidRPr="0031394A" w:rsidRDefault="00D07CD6" w:rsidP="00C825A0">
      <w:pPr>
        <w:tabs>
          <w:tab w:val="center" w:pos="4800"/>
          <w:tab w:val="right" w:pos="9500"/>
        </w:tabs>
        <w:spacing w:before="120" w:after="120" w:line="240" w:lineRule="auto"/>
        <w:jc w:val="both"/>
        <w:rPr>
          <w:rFonts w:ascii="Times New Roman" w:hAnsi="Times New Roman" w:cs="Times New Roman"/>
          <w:noProof/>
          <w:sz w:val="24"/>
          <w:szCs w:val="24"/>
          <w:lang w:val="en-GB"/>
        </w:rPr>
      </w:pPr>
      <w:r w:rsidRPr="0031394A">
        <w:rPr>
          <w:rFonts w:ascii="Times New Roman" w:hAnsi="Times New Roman" w:cs="Times New Roman"/>
          <w:noProof/>
          <w:sz w:val="24"/>
          <w:szCs w:val="24"/>
          <w:lang w:val="en-GB"/>
        </w:rPr>
        <w:t>Yermo, J. 2008. “Governance and Investment of Public Pension Reserve Funds In Selected OECD Countries”. Financial Market Trends. OECD Publishing.</w:t>
      </w:r>
    </w:p>
    <w:sectPr w:rsidR="00D07CD6" w:rsidRPr="0031394A" w:rsidSect="0083442B">
      <w:footerReference w:type="default" r:id="rId91"/>
      <w:pgSz w:w="11909" w:h="16834" w:code="9"/>
      <w:pgMar w:top="1440" w:right="1440" w:bottom="144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8846C" w14:textId="77777777" w:rsidR="004B797D" w:rsidRDefault="004B797D" w:rsidP="00C77892">
      <w:pPr>
        <w:spacing w:after="0" w:line="240" w:lineRule="auto"/>
      </w:pPr>
      <w:r>
        <w:separator/>
      </w:r>
    </w:p>
  </w:endnote>
  <w:endnote w:type="continuationSeparator" w:id="0">
    <w:p w14:paraId="360F46FA" w14:textId="77777777" w:rsidR="004B797D" w:rsidRDefault="004B797D" w:rsidP="00C77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2876692"/>
      <w:docPartObj>
        <w:docPartGallery w:val="Page Numbers (Bottom of Page)"/>
        <w:docPartUnique/>
      </w:docPartObj>
    </w:sdtPr>
    <w:sdtEndPr>
      <w:rPr>
        <w:noProof/>
      </w:rPr>
    </w:sdtEndPr>
    <w:sdtContent>
      <w:p w14:paraId="20628CA8" w14:textId="77777777" w:rsidR="00713797" w:rsidRDefault="00713797">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7FBAC7D1" w14:textId="77777777" w:rsidR="00713797" w:rsidRDefault="00713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DB431" w14:textId="77777777" w:rsidR="004B797D" w:rsidRDefault="004B797D" w:rsidP="00C77892">
      <w:pPr>
        <w:spacing w:after="0" w:line="240" w:lineRule="auto"/>
      </w:pPr>
      <w:r>
        <w:separator/>
      </w:r>
    </w:p>
  </w:footnote>
  <w:footnote w:type="continuationSeparator" w:id="0">
    <w:p w14:paraId="43DC518F" w14:textId="77777777" w:rsidR="004B797D" w:rsidRDefault="004B797D" w:rsidP="00C77892">
      <w:pPr>
        <w:spacing w:after="0" w:line="240" w:lineRule="auto"/>
      </w:pPr>
      <w:r>
        <w:continuationSeparator/>
      </w:r>
    </w:p>
  </w:footnote>
  <w:footnote w:id="1">
    <w:p w14:paraId="2144A8A1" w14:textId="77777777" w:rsidR="00713797" w:rsidRPr="000529C0" w:rsidRDefault="00713797" w:rsidP="00B934DD">
      <w:pPr>
        <w:pStyle w:val="FootnoteText"/>
        <w:jc w:val="both"/>
        <w:rPr>
          <w:rFonts w:ascii="Times New Roman" w:hAnsi="Times New Roman" w:cs="Times New Roman"/>
          <w:lang w:val="en-GB"/>
        </w:rPr>
      </w:pPr>
      <w:r w:rsidRPr="000529C0">
        <w:rPr>
          <w:rStyle w:val="FootnoteReference"/>
          <w:rFonts w:ascii="Times New Roman" w:hAnsi="Times New Roman" w:cs="Times New Roman"/>
        </w:rPr>
        <w:sym w:font="Symbol" w:char="F0AA"/>
      </w:r>
      <w:r w:rsidRPr="000529C0">
        <w:rPr>
          <w:rFonts w:ascii="Times New Roman" w:hAnsi="Times New Roman" w:cs="Times New Roman"/>
          <w:lang w:val="sv-SE"/>
        </w:rPr>
        <w:t xml:space="preserve"> (Corresponding author). </w:t>
      </w:r>
      <w:r w:rsidRPr="000529C0">
        <w:rPr>
          <w:rFonts w:ascii="Times New Roman" w:hAnsi="Times New Roman" w:cs="Times New Roman"/>
        </w:rPr>
        <w:t xml:space="preserve">Institute for Financial and Actuarial Mathematics (IFAM), Department of Mathematical Sciences, University of Liverpool, Liverpool, L69 7ZL, United Kingdom. E-mail: </w:t>
      </w:r>
      <w:hyperlink r:id="rId1" w:history="1">
        <w:r w:rsidRPr="000529C0">
          <w:rPr>
            <w:rStyle w:val="Hyperlink"/>
            <w:rFonts w:ascii="Times New Roman" w:hAnsi="Times New Roman" w:cs="Times New Roman"/>
          </w:rPr>
          <w:t>carmen.boado@liverpool.ac.uk</w:t>
        </w:r>
      </w:hyperlink>
      <w:r w:rsidRPr="000529C0">
        <w:rPr>
          <w:rStyle w:val="Hyperlink"/>
          <w:rFonts w:ascii="Times New Roman" w:hAnsi="Times New Roman" w:cs="Times New Roman"/>
          <w:color w:val="auto"/>
          <w:u w:val="none"/>
          <w:shd w:val="clear" w:color="auto" w:fill="FFFFFF"/>
        </w:rPr>
        <w:t>.</w:t>
      </w:r>
    </w:p>
  </w:footnote>
  <w:footnote w:id="2">
    <w:p w14:paraId="6205F570" w14:textId="260615EB" w:rsidR="00713797" w:rsidRPr="000529C0" w:rsidRDefault="00713797" w:rsidP="00031CE7">
      <w:pPr>
        <w:pStyle w:val="FootnoteText"/>
        <w:jc w:val="both"/>
        <w:rPr>
          <w:rFonts w:ascii="Times New Roman" w:hAnsi="Times New Roman" w:cs="Times New Roman"/>
        </w:rPr>
      </w:pPr>
      <w:r w:rsidRPr="000529C0">
        <w:rPr>
          <w:rStyle w:val="FootnoteReference"/>
          <w:rFonts w:ascii="Times New Roman" w:hAnsi="Times New Roman" w:cs="Times New Roman"/>
        </w:rPr>
        <w:footnoteRef/>
      </w:r>
      <w:r w:rsidRPr="000529C0">
        <w:rPr>
          <w:rFonts w:ascii="Times New Roman" w:hAnsi="Times New Roman" w:cs="Times New Roman"/>
        </w:rPr>
        <w:t xml:space="preserve"> </w:t>
      </w:r>
      <w:r w:rsidR="00AA46F3" w:rsidRPr="000529C0">
        <w:rPr>
          <w:rFonts w:ascii="Times New Roman" w:hAnsi="Times New Roman" w:cs="Times New Roman"/>
        </w:rPr>
        <w:t>Arundo Analytics</w:t>
      </w:r>
      <w:r w:rsidRPr="000529C0">
        <w:rPr>
          <w:rFonts w:ascii="Times New Roman" w:hAnsi="Times New Roman" w:cs="Times New Roman"/>
        </w:rPr>
        <w:t xml:space="preserve">, </w:t>
      </w:r>
      <w:r w:rsidR="00AA46F3" w:rsidRPr="000529C0">
        <w:rPr>
          <w:rFonts w:ascii="Times New Roman" w:hAnsi="Times New Roman" w:cs="Times New Roman"/>
        </w:rPr>
        <w:t>16</w:t>
      </w:r>
      <w:r w:rsidR="0028382E">
        <w:rPr>
          <w:rFonts w:ascii="Times New Roman" w:hAnsi="Times New Roman" w:cs="Times New Roman"/>
        </w:rPr>
        <w:t>00</w:t>
      </w:r>
      <w:r w:rsidR="00AA46F3" w:rsidRPr="000529C0">
        <w:rPr>
          <w:rFonts w:ascii="Times New Roman" w:hAnsi="Times New Roman" w:cs="Times New Roman"/>
        </w:rPr>
        <w:t xml:space="preserve"> Smith St, </w:t>
      </w:r>
      <w:r w:rsidRPr="000529C0">
        <w:rPr>
          <w:rFonts w:ascii="Times New Roman" w:hAnsi="Times New Roman" w:cs="Times New Roman"/>
        </w:rPr>
        <w:t>Houston, TX</w:t>
      </w:r>
      <w:r w:rsidR="00AA46F3" w:rsidRPr="000529C0">
        <w:rPr>
          <w:rFonts w:ascii="Times New Roman" w:hAnsi="Times New Roman" w:cs="Times New Roman"/>
        </w:rPr>
        <w:t>,</w:t>
      </w:r>
      <w:r w:rsidRPr="000529C0">
        <w:rPr>
          <w:rFonts w:ascii="Times New Roman" w:hAnsi="Times New Roman" w:cs="Times New Roman"/>
        </w:rPr>
        <w:t xml:space="preserve"> 770</w:t>
      </w:r>
      <w:r w:rsidR="00AA46F3" w:rsidRPr="000529C0">
        <w:rPr>
          <w:rFonts w:ascii="Times New Roman" w:hAnsi="Times New Roman" w:cs="Times New Roman"/>
        </w:rPr>
        <w:t>02</w:t>
      </w:r>
      <w:r w:rsidRPr="000529C0">
        <w:rPr>
          <w:rFonts w:ascii="Times New Roman" w:hAnsi="Times New Roman" w:cs="Times New Roman"/>
        </w:rPr>
        <w:t xml:space="preserve">, USA. E-mail: </w:t>
      </w:r>
      <w:hyperlink r:id="rId2" w:history="1">
        <w:r w:rsidRPr="000529C0">
          <w:rPr>
            <w:rStyle w:val="Hyperlink"/>
            <w:rFonts w:ascii="Times New Roman" w:hAnsi="Times New Roman" w:cs="Times New Roman"/>
          </w:rPr>
          <w:t>humberto.godinez@gmail.com</w:t>
        </w:r>
      </w:hyperlink>
      <w:r w:rsidRPr="000529C0">
        <w:rPr>
          <w:rStyle w:val="Hyperlink"/>
          <w:rFonts w:ascii="Times New Roman" w:hAnsi="Times New Roman" w:cs="Times New Roman"/>
          <w:color w:val="auto"/>
          <w:u w:val="none"/>
        </w:rPr>
        <w:t>.</w:t>
      </w:r>
    </w:p>
  </w:footnote>
  <w:footnote w:id="3">
    <w:p w14:paraId="19A5B86F" w14:textId="4F5264D9" w:rsidR="00713797" w:rsidRPr="000529C0" w:rsidRDefault="00713797" w:rsidP="00A2035A">
      <w:pPr>
        <w:pStyle w:val="FootnoteText"/>
        <w:jc w:val="both"/>
        <w:rPr>
          <w:rFonts w:ascii="Times New Roman" w:hAnsi="Times New Roman" w:cs="Times New Roman"/>
        </w:rPr>
      </w:pPr>
      <w:r w:rsidRPr="000529C0">
        <w:rPr>
          <w:rStyle w:val="FootnoteReference"/>
          <w:rFonts w:ascii="Times New Roman" w:hAnsi="Times New Roman" w:cs="Times New Roman"/>
        </w:rPr>
        <w:footnoteRef/>
      </w:r>
      <w:r w:rsidRPr="000529C0">
        <w:rPr>
          <w:rFonts w:ascii="Times New Roman" w:hAnsi="Times New Roman" w:cs="Times New Roman"/>
        </w:rPr>
        <w:t xml:space="preserve"> Faculty of Actuarial Science and Insurance, Cass Business School, City, University of London, 106 Bunhill Row, London EC1Y 8TZ, United Kingdom. E-mail: </w:t>
      </w:r>
      <w:hyperlink r:id="rId3" w:history="1">
        <w:r w:rsidRPr="000529C0">
          <w:rPr>
            <w:rStyle w:val="Hyperlink"/>
            <w:rFonts w:ascii="Times New Roman" w:hAnsi="Times New Roman" w:cs="Times New Roman"/>
          </w:rPr>
          <w:t>s.haberman@city.ac.uk</w:t>
        </w:r>
      </w:hyperlink>
      <w:r w:rsidRPr="000529C0">
        <w:rPr>
          <w:rStyle w:val="Hyperlink"/>
          <w:rFonts w:ascii="Times New Roman" w:hAnsi="Times New Roman" w:cs="Times New Roman"/>
          <w:color w:val="auto"/>
          <w:u w:val="none"/>
        </w:rPr>
        <w:t>.</w:t>
      </w:r>
    </w:p>
  </w:footnote>
  <w:footnote w:id="4">
    <w:p w14:paraId="05A13FA3" w14:textId="77777777" w:rsidR="00713797" w:rsidRPr="000529C0" w:rsidRDefault="00713797" w:rsidP="0018545B">
      <w:pPr>
        <w:autoSpaceDE w:val="0"/>
        <w:autoSpaceDN w:val="0"/>
        <w:adjustRightInd w:val="0"/>
        <w:spacing w:after="0" w:line="240" w:lineRule="auto"/>
        <w:jc w:val="both"/>
        <w:rPr>
          <w:rFonts w:ascii="Times New Roman" w:hAnsi="Times New Roman" w:cs="Times New Roman"/>
          <w:sz w:val="20"/>
          <w:szCs w:val="20"/>
          <w:lang w:val="en-GB"/>
        </w:rPr>
      </w:pPr>
      <w:r w:rsidRPr="000529C0">
        <w:rPr>
          <w:rStyle w:val="FootnoteReference"/>
          <w:rFonts w:ascii="Times New Roman" w:hAnsi="Times New Roman" w:cs="Times New Roman"/>
          <w:sz w:val="20"/>
          <w:szCs w:val="20"/>
        </w:rPr>
        <w:footnoteRef/>
      </w:r>
      <w:r w:rsidRPr="000529C0">
        <w:rPr>
          <w:rFonts w:ascii="Times New Roman" w:hAnsi="Times New Roman" w:cs="Times New Roman"/>
          <w:sz w:val="20"/>
          <w:szCs w:val="20"/>
        </w:rPr>
        <w:t xml:space="preserve"> Department of Business Administration, University Carlos III of Madrid, 28903 Getafe, Madrid, Spain. E-mail: </w:t>
      </w:r>
      <w:hyperlink r:id="rId4" w:history="1">
        <w:r w:rsidRPr="000529C0">
          <w:rPr>
            <w:rStyle w:val="Hyperlink"/>
            <w:rFonts w:ascii="Times New Roman" w:hAnsi="Times New Roman" w:cs="Times New Roman"/>
            <w:sz w:val="20"/>
            <w:szCs w:val="20"/>
          </w:rPr>
          <w:t>pedrojose.serrano@uc3m.es</w:t>
        </w:r>
      </w:hyperlink>
      <w:r w:rsidRPr="000529C0">
        <w:rPr>
          <w:rFonts w:ascii="Times New Roman" w:hAnsi="Times New Roman" w:cs="Times New Roman"/>
          <w:sz w:val="20"/>
          <w:szCs w:val="20"/>
        </w:rPr>
        <w:t>. Pedro Serrano</w:t>
      </w:r>
      <w:r w:rsidRPr="000529C0">
        <w:rPr>
          <w:rFonts w:ascii="Times New Roman" w:hAnsi="Times New Roman" w:cs="Times New Roman"/>
          <w:sz w:val="20"/>
          <w:szCs w:val="20"/>
          <w:lang w:val="en-GB" w:bidi="ar-SA"/>
        </w:rPr>
        <w:t xml:space="preserve"> gratefully acknowledges financial support from Junta de Andalucía [project P12-SEJ-1733]; Fundación Ramón </w:t>
      </w:r>
      <w:proofErr w:type="spellStart"/>
      <w:r w:rsidRPr="000529C0">
        <w:rPr>
          <w:rFonts w:ascii="Times New Roman" w:hAnsi="Times New Roman" w:cs="Times New Roman"/>
          <w:sz w:val="20"/>
          <w:szCs w:val="20"/>
          <w:lang w:val="en-GB" w:bidi="ar-SA"/>
        </w:rPr>
        <w:t>Areces</w:t>
      </w:r>
      <w:proofErr w:type="spellEnd"/>
      <w:r w:rsidRPr="000529C0">
        <w:rPr>
          <w:rFonts w:ascii="Times New Roman" w:hAnsi="Times New Roman" w:cs="Times New Roman"/>
          <w:sz w:val="20"/>
          <w:szCs w:val="20"/>
          <w:lang w:val="en-GB" w:bidi="ar-SA"/>
        </w:rPr>
        <w:t xml:space="preserve"> 2016 Social Sciences grant [project number 2016/00513/001], and Spanish Ministry of Science, Innovation and Universities [project number ECO2015-69205-P].</w:t>
      </w:r>
    </w:p>
  </w:footnote>
  <w:footnote w:id="5">
    <w:p w14:paraId="1613045E" w14:textId="77777777" w:rsidR="00713797" w:rsidRPr="000529C0" w:rsidRDefault="00713797" w:rsidP="0018545B">
      <w:pPr>
        <w:autoSpaceDE w:val="0"/>
        <w:autoSpaceDN w:val="0"/>
        <w:adjustRightInd w:val="0"/>
        <w:spacing w:after="0" w:line="240" w:lineRule="auto"/>
        <w:jc w:val="both"/>
        <w:rPr>
          <w:rFonts w:ascii="Times New Roman" w:hAnsi="Times New Roman" w:cs="Times New Roman"/>
          <w:sz w:val="20"/>
          <w:szCs w:val="20"/>
          <w:lang w:val="en-GB"/>
        </w:rPr>
      </w:pPr>
      <w:r w:rsidRPr="000529C0">
        <w:rPr>
          <w:rStyle w:val="FootnoteReference"/>
          <w:rFonts w:ascii="Times New Roman" w:hAnsi="Times New Roman" w:cs="Times New Roman"/>
          <w:sz w:val="20"/>
          <w:szCs w:val="20"/>
        </w:rPr>
        <w:footnoteRef/>
      </w:r>
      <w:r w:rsidRPr="000529C0">
        <w:rPr>
          <w:rFonts w:ascii="Times New Roman" w:hAnsi="Times New Roman" w:cs="Times New Roman"/>
          <w:sz w:val="20"/>
          <w:szCs w:val="20"/>
        </w:rPr>
        <w:t xml:space="preserve"> This research was supported by a research grant Ignacio H. de </w:t>
      </w:r>
      <w:proofErr w:type="spellStart"/>
      <w:r w:rsidRPr="000529C0">
        <w:rPr>
          <w:rFonts w:ascii="Times New Roman" w:hAnsi="Times New Roman" w:cs="Times New Roman"/>
          <w:sz w:val="20"/>
          <w:szCs w:val="20"/>
        </w:rPr>
        <w:t>Larramendi</w:t>
      </w:r>
      <w:proofErr w:type="spellEnd"/>
      <w:r w:rsidRPr="000529C0">
        <w:rPr>
          <w:rFonts w:ascii="Times New Roman" w:hAnsi="Times New Roman" w:cs="Times New Roman"/>
          <w:sz w:val="20"/>
          <w:szCs w:val="20"/>
        </w:rPr>
        <w:t xml:space="preserve"> 2015 (</w:t>
      </w:r>
      <w:proofErr w:type="spellStart"/>
      <w:r w:rsidRPr="000529C0">
        <w:rPr>
          <w:rFonts w:ascii="Times New Roman" w:hAnsi="Times New Roman" w:cs="Times New Roman"/>
          <w:sz w:val="20"/>
          <w:szCs w:val="20"/>
        </w:rPr>
        <w:t>Fundaci</w:t>
      </w:r>
      <w:proofErr w:type="spellEnd"/>
      <w:r w:rsidRPr="000529C0">
        <w:rPr>
          <w:rFonts w:ascii="Times New Roman" w:hAnsi="Times New Roman" w:cs="Times New Roman"/>
          <w:sz w:val="20"/>
          <w:szCs w:val="20"/>
          <w:lang w:val="en-GB" w:bidi="ar-SA"/>
        </w:rPr>
        <w:t>ó</w:t>
      </w:r>
      <w:r w:rsidRPr="000529C0">
        <w:rPr>
          <w:rFonts w:ascii="Times New Roman" w:hAnsi="Times New Roman" w:cs="Times New Roman"/>
          <w:sz w:val="20"/>
          <w:szCs w:val="20"/>
        </w:rPr>
        <w:t xml:space="preserve">n </w:t>
      </w:r>
      <w:proofErr w:type="spellStart"/>
      <w:r w:rsidRPr="000529C0">
        <w:rPr>
          <w:rFonts w:ascii="Times New Roman" w:hAnsi="Times New Roman" w:cs="Times New Roman"/>
          <w:sz w:val="20"/>
          <w:szCs w:val="20"/>
        </w:rPr>
        <w:t>Mapfre</w:t>
      </w:r>
      <w:proofErr w:type="spellEnd"/>
      <w:r w:rsidRPr="000529C0">
        <w:rPr>
          <w:rFonts w:ascii="Times New Roman" w:hAnsi="Times New Roman" w:cs="Times New Roman"/>
          <w:sz w:val="20"/>
          <w:szCs w:val="20"/>
        </w:rPr>
        <w:t>). María del Carmen Boado-Penas is grateful for the financial assistance received from the Spanish Ministry of the Economy and Competitiveness [project ECO2015-65826-P]. Pedro Serrano</w:t>
      </w:r>
      <w:r w:rsidRPr="000529C0">
        <w:rPr>
          <w:rFonts w:ascii="Times New Roman" w:hAnsi="Times New Roman" w:cs="Times New Roman"/>
          <w:sz w:val="20"/>
          <w:szCs w:val="20"/>
          <w:lang w:val="en-GB" w:bidi="ar-SA"/>
        </w:rPr>
        <w:t xml:space="preserve"> gratefully acknowledges financial support from Junta de Andalucía [project P12-SEJ-1733], Fundación Ramón </w:t>
      </w:r>
      <w:proofErr w:type="spellStart"/>
      <w:r w:rsidRPr="000529C0">
        <w:rPr>
          <w:rFonts w:ascii="Times New Roman" w:hAnsi="Times New Roman" w:cs="Times New Roman"/>
          <w:sz w:val="20"/>
          <w:szCs w:val="20"/>
          <w:lang w:val="en-GB" w:bidi="ar-SA"/>
        </w:rPr>
        <w:t>Areces</w:t>
      </w:r>
      <w:proofErr w:type="spellEnd"/>
      <w:r w:rsidRPr="000529C0">
        <w:rPr>
          <w:rFonts w:ascii="Times New Roman" w:hAnsi="Times New Roman" w:cs="Times New Roman"/>
          <w:sz w:val="20"/>
          <w:szCs w:val="20"/>
          <w:lang w:val="en-GB" w:bidi="ar-SA"/>
        </w:rPr>
        <w:t xml:space="preserve"> 2016 Social Sciences grant [project number 2016/00513/001], and Spanish Ministry of Science, Innovation and Universities [project number ECO2015-69205-P].</w:t>
      </w:r>
    </w:p>
    <w:p w14:paraId="729B4DCE" w14:textId="77777777" w:rsidR="00713797" w:rsidRDefault="00713797" w:rsidP="0018545B">
      <w:pPr>
        <w:pStyle w:val="FootnoteText"/>
        <w:jc w:val="both"/>
        <w:rPr>
          <w:rFonts w:ascii="Times New Roman" w:hAnsi="Times New Roman" w:cs="Times New Roman"/>
        </w:rPr>
      </w:pPr>
    </w:p>
    <w:p w14:paraId="4B04D8DD" w14:textId="77777777" w:rsidR="00713797" w:rsidRPr="005F7522" w:rsidRDefault="00713797" w:rsidP="0018545B">
      <w:pPr>
        <w:pStyle w:val="FootnoteText"/>
        <w:jc w:val="both"/>
        <w:rPr>
          <w:rFonts w:ascii="Times New Roman" w:hAnsi="Times New Roman" w:cs="Times New Roman"/>
        </w:rPr>
      </w:pPr>
    </w:p>
  </w:footnote>
  <w:footnote w:id="6">
    <w:p w14:paraId="14006809" w14:textId="77777777" w:rsidR="00713797" w:rsidRPr="0031394A" w:rsidRDefault="00713797" w:rsidP="005D36C5">
      <w:pPr>
        <w:autoSpaceDE w:val="0"/>
        <w:autoSpaceDN w:val="0"/>
        <w:adjustRightInd w:val="0"/>
        <w:spacing w:after="0"/>
        <w:ind w:right="-23"/>
        <w:jc w:val="both"/>
        <w:rPr>
          <w:rFonts w:ascii="Times New Roman" w:hAnsi="Times New Roman" w:cs="Times New Roman"/>
          <w:noProof/>
          <w:sz w:val="20"/>
          <w:szCs w:val="20"/>
        </w:rPr>
      </w:pPr>
      <w:r w:rsidRPr="003A7393">
        <w:rPr>
          <w:rStyle w:val="FootnoteReference"/>
          <w:rFonts w:ascii="Times New Roman" w:hAnsi="Times New Roman" w:cs="Times New Roman"/>
          <w:sz w:val="20"/>
          <w:szCs w:val="20"/>
        </w:rPr>
        <w:footnoteRef/>
      </w:r>
      <w:r w:rsidRPr="003A7393">
        <w:rPr>
          <w:rFonts w:ascii="Times New Roman" w:hAnsi="Times New Roman" w:cs="Times New Roman"/>
          <w:sz w:val="20"/>
          <w:szCs w:val="20"/>
        </w:rPr>
        <w:t xml:space="preserve"> </w:t>
      </w:r>
      <w:r w:rsidRPr="003A7393">
        <w:rPr>
          <w:rFonts w:ascii="Times New Roman" w:hAnsi="Times New Roman" w:cs="Times New Roman"/>
          <w:noProof/>
          <w:sz w:val="20"/>
          <w:szCs w:val="20"/>
        </w:rPr>
        <w:t>Pension contributions throughout the participant’s working life are accumulated in a fictive or notional account where the return that contributions earn is calculated on the basis of a macroeconomic index that tries to reflect the financial health of the system. Pension accounts are called notional because there is no pot of pension fund money, just a series of individual claims on future public budget. Interested readers in NDCs can consult, for example, Lindbeck and Persson (2003), Williamson (2004), Börsch-Supan (2006), Holzmann and Palmer (2006), Vidal-Meliá</w:t>
      </w:r>
      <w:r>
        <w:rPr>
          <w:rFonts w:ascii="Times New Roman" w:hAnsi="Times New Roman" w:cs="Times New Roman"/>
          <w:noProof/>
          <w:sz w:val="20"/>
          <w:szCs w:val="20"/>
        </w:rPr>
        <w:t xml:space="preserve">, </w:t>
      </w:r>
      <w:r w:rsidRPr="00C71E1D">
        <w:rPr>
          <w:rFonts w:ascii="Times New Roman" w:hAnsi="Times New Roman" w:cs="Times New Roman"/>
          <w:noProof/>
          <w:sz w:val="20"/>
          <w:szCs w:val="20"/>
        </w:rPr>
        <w:t>Domínguez-Fabián, and Devesa-Carpio</w:t>
      </w:r>
      <w:r w:rsidRPr="003A7393">
        <w:rPr>
          <w:rFonts w:ascii="Times New Roman" w:hAnsi="Times New Roman" w:cs="Times New Roman"/>
          <w:noProof/>
          <w:sz w:val="20"/>
          <w:szCs w:val="20"/>
        </w:rPr>
        <w:t xml:space="preserve"> (2006), Auerbach and Lee (2009), Vidal-Meliá</w:t>
      </w:r>
      <w:r>
        <w:rPr>
          <w:rFonts w:ascii="Times New Roman" w:hAnsi="Times New Roman" w:cs="Times New Roman"/>
          <w:noProof/>
          <w:sz w:val="20"/>
          <w:szCs w:val="20"/>
        </w:rPr>
        <w:t>,</w:t>
      </w:r>
      <w:r w:rsidRPr="003A7393">
        <w:rPr>
          <w:rFonts w:ascii="Times New Roman" w:hAnsi="Times New Roman" w:cs="Times New Roman"/>
          <w:noProof/>
          <w:sz w:val="20"/>
          <w:szCs w:val="20"/>
        </w:rPr>
        <w:t xml:space="preserve"> </w:t>
      </w:r>
      <w:r w:rsidRPr="00C71E1D">
        <w:rPr>
          <w:rFonts w:ascii="Times New Roman" w:hAnsi="Times New Roman" w:cs="Times New Roman"/>
          <w:noProof/>
          <w:sz w:val="20"/>
          <w:szCs w:val="20"/>
        </w:rPr>
        <w:t xml:space="preserve">Boado-Penas, and Settergren </w:t>
      </w:r>
      <w:r w:rsidRPr="003A7393">
        <w:rPr>
          <w:rFonts w:ascii="Times New Roman" w:hAnsi="Times New Roman" w:cs="Times New Roman"/>
          <w:noProof/>
          <w:sz w:val="20"/>
          <w:szCs w:val="20"/>
        </w:rPr>
        <w:t xml:space="preserve">(2010), Whitehouse (2010), Auerbach and Lee (2011), </w:t>
      </w:r>
      <w:r>
        <w:rPr>
          <w:rFonts w:ascii="Times New Roman" w:hAnsi="Times New Roman" w:cs="Times New Roman"/>
          <w:noProof/>
          <w:sz w:val="20"/>
          <w:szCs w:val="20"/>
        </w:rPr>
        <w:t>Chłón-Dominczak</w:t>
      </w:r>
      <w:r w:rsidRPr="00C71E1D">
        <w:rPr>
          <w:rFonts w:ascii="Times New Roman" w:hAnsi="Times New Roman" w:cs="Times New Roman"/>
          <w:noProof/>
          <w:sz w:val="20"/>
          <w:szCs w:val="20"/>
        </w:rPr>
        <w:t xml:space="preserve">, Franco, and Palmer </w:t>
      </w:r>
      <w:r w:rsidRPr="003A7393">
        <w:rPr>
          <w:rFonts w:ascii="Times New Roman" w:hAnsi="Times New Roman" w:cs="Times New Roman"/>
          <w:noProof/>
          <w:sz w:val="20"/>
          <w:szCs w:val="20"/>
        </w:rPr>
        <w:t>(2012)</w:t>
      </w:r>
      <w:r>
        <w:rPr>
          <w:rFonts w:ascii="Times New Roman" w:hAnsi="Times New Roman" w:cs="Times New Roman"/>
          <w:noProof/>
          <w:sz w:val="20"/>
          <w:szCs w:val="20"/>
        </w:rPr>
        <w:t>, Holzmann, Palmer and Robalino (2012) and Alonso-Garc</w:t>
      </w:r>
      <w:r w:rsidRPr="00C71E1D">
        <w:rPr>
          <w:rFonts w:ascii="Times New Roman" w:hAnsi="Times New Roman" w:cs="Times New Roman"/>
          <w:noProof/>
          <w:sz w:val="20"/>
          <w:szCs w:val="20"/>
        </w:rPr>
        <w:t>í</w:t>
      </w:r>
      <w:r>
        <w:rPr>
          <w:rFonts w:ascii="Times New Roman" w:hAnsi="Times New Roman" w:cs="Times New Roman"/>
          <w:noProof/>
          <w:sz w:val="20"/>
          <w:szCs w:val="20"/>
        </w:rPr>
        <w:t>a, Boado-Penas and Devolder (2018b)</w:t>
      </w:r>
      <w:r w:rsidRPr="003A7393">
        <w:rPr>
          <w:rFonts w:ascii="Times New Roman" w:hAnsi="Times New Roman" w:cs="Times New Roman"/>
          <w:noProof/>
          <w:sz w:val="20"/>
          <w:szCs w:val="20"/>
        </w:rPr>
        <w:t>.</w:t>
      </w:r>
      <w:r>
        <w:rPr>
          <w:rFonts w:ascii="Times New Roman" w:hAnsi="Times New Roman" w:cs="Times New Roman"/>
          <w:noProof/>
          <w:sz w:val="20"/>
          <w:szCs w:val="20"/>
        </w:rPr>
        <w:t xml:space="preserve"> </w:t>
      </w:r>
      <w:r w:rsidRPr="003A7393">
        <w:rPr>
          <w:rFonts w:ascii="Times New Roman" w:hAnsi="Times New Roman" w:cs="Times New Roman"/>
          <w:noProof/>
          <w:sz w:val="20"/>
          <w:szCs w:val="20"/>
        </w:rPr>
        <w:t>Other countries</w:t>
      </w:r>
      <w:r>
        <w:rPr>
          <w:rFonts w:ascii="Times New Roman" w:hAnsi="Times New Roman" w:cs="Times New Roman"/>
          <w:noProof/>
          <w:sz w:val="20"/>
          <w:szCs w:val="20"/>
        </w:rPr>
        <w:t>,</w:t>
      </w:r>
      <w:r w:rsidRPr="003A7393">
        <w:rPr>
          <w:rFonts w:ascii="Times New Roman" w:hAnsi="Times New Roman" w:cs="Times New Roman"/>
          <w:noProof/>
          <w:sz w:val="20"/>
          <w:szCs w:val="20"/>
        </w:rPr>
        <w:t xml:space="preserve"> including Egypt, China and Greece are seriously considering the introduction of NDCs</w:t>
      </w:r>
      <w:r>
        <w:rPr>
          <w:rFonts w:ascii="Times New Roman" w:hAnsi="Times New Roman" w:cs="Times New Roman"/>
          <w:noProof/>
          <w:sz w:val="20"/>
          <w:szCs w:val="20"/>
        </w:rPr>
        <w:t xml:space="preserve"> </w:t>
      </w:r>
      <w:r w:rsidRPr="0031394A">
        <w:rPr>
          <w:rFonts w:ascii="Times New Roman" w:hAnsi="Times New Roman" w:cs="Times New Roman"/>
          <w:noProof/>
          <w:sz w:val="20"/>
          <w:szCs w:val="20"/>
        </w:rPr>
        <w:t>(Holzmann, Palmer and Robalino (2012).</w:t>
      </w:r>
    </w:p>
  </w:footnote>
  <w:footnote w:id="7">
    <w:p w14:paraId="6EA3DB43" w14:textId="208170FB" w:rsidR="00713797" w:rsidRPr="00314EE5" w:rsidRDefault="00713797" w:rsidP="009450F8">
      <w:pPr>
        <w:autoSpaceDE w:val="0"/>
        <w:autoSpaceDN w:val="0"/>
        <w:adjustRightInd w:val="0"/>
        <w:spacing w:after="0"/>
        <w:ind w:right="-23"/>
        <w:jc w:val="both"/>
        <w:rPr>
          <w:rFonts w:ascii="Times New Roman" w:hAnsi="Times New Roman" w:cs="Times New Roman"/>
          <w:noProof/>
          <w:sz w:val="20"/>
          <w:szCs w:val="20"/>
          <w:lang w:val="en-GB"/>
        </w:rPr>
      </w:pPr>
      <w:r w:rsidRPr="0031394A">
        <w:rPr>
          <w:rStyle w:val="FootnoteReference"/>
          <w:rFonts w:ascii="Times New Roman" w:hAnsi="Times New Roman" w:cs="Times New Roman"/>
          <w:sz w:val="20"/>
          <w:szCs w:val="20"/>
        </w:rPr>
        <w:footnoteRef/>
      </w:r>
      <w:r w:rsidRPr="0031394A">
        <w:rPr>
          <w:rFonts w:ascii="Times New Roman" w:hAnsi="Times New Roman" w:cs="Times New Roman"/>
          <w:sz w:val="20"/>
          <w:szCs w:val="20"/>
        </w:rPr>
        <w:t xml:space="preserve"> </w:t>
      </w:r>
      <w:r w:rsidRPr="0031394A">
        <w:rPr>
          <w:rFonts w:ascii="Times New Roman" w:hAnsi="Times New Roman" w:cs="Times New Roman"/>
          <w:noProof/>
          <w:sz w:val="20"/>
          <w:szCs w:val="20"/>
        </w:rPr>
        <w:t>At the same time with the aim of reducing political opposition and increasing interest in the new system, OECD (1998)</w:t>
      </w:r>
      <w:r w:rsidR="000529C0">
        <w:rPr>
          <w:rFonts w:ascii="Times New Roman" w:hAnsi="Times New Roman" w:cs="Times New Roman"/>
          <w:noProof/>
          <w:sz w:val="20"/>
          <w:szCs w:val="20"/>
        </w:rPr>
        <w:t>,</w:t>
      </w:r>
      <w:r w:rsidRPr="0031394A">
        <w:rPr>
          <w:rFonts w:ascii="Times New Roman" w:hAnsi="Times New Roman" w:cs="Times New Roman"/>
          <w:noProof/>
          <w:sz w:val="20"/>
          <w:szCs w:val="20"/>
        </w:rPr>
        <w:t xml:space="preserve"> contribution rates were set a low level enough to increase the net take-home pay.</w:t>
      </w:r>
    </w:p>
  </w:footnote>
  <w:footnote w:id="8">
    <w:p w14:paraId="1F1F89CF" w14:textId="77777777" w:rsidR="00713797" w:rsidRPr="00355578" w:rsidRDefault="00713797" w:rsidP="007D467F">
      <w:pPr>
        <w:autoSpaceDE w:val="0"/>
        <w:autoSpaceDN w:val="0"/>
        <w:adjustRightInd w:val="0"/>
        <w:spacing w:after="0"/>
        <w:ind w:right="-23"/>
        <w:jc w:val="both"/>
        <w:rPr>
          <w:rFonts w:ascii="Times New Roman" w:hAnsi="Times New Roman" w:cs="Times New Roman"/>
          <w:noProof/>
          <w:color w:val="FF0000"/>
          <w:sz w:val="20"/>
          <w:szCs w:val="20"/>
          <w:lang w:val="en-GB"/>
        </w:rPr>
      </w:pPr>
      <w:r w:rsidRPr="002168DE">
        <w:rPr>
          <w:rStyle w:val="FootnoteReference"/>
          <w:rFonts w:ascii="Times New Roman" w:hAnsi="Times New Roman" w:cs="Times New Roman"/>
          <w:sz w:val="20"/>
          <w:szCs w:val="20"/>
        </w:rPr>
        <w:footnoteRef/>
      </w:r>
      <w:r w:rsidRPr="002168DE">
        <w:rPr>
          <w:rFonts w:ascii="Times New Roman" w:hAnsi="Times New Roman" w:cs="Times New Roman"/>
          <w:sz w:val="20"/>
          <w:szCs w:val="20"/>
        </w:rPr>
        <w:t xml:space="preserve"> See </w:t>
      </w:r>
      <w:r>
        <w:rPr>
          <w:rFonts w:ascii="Times New Roman" w:hAnsi="Times New Roman" w:cs="Times New Roman"/>
          <w:noProof/>
          <w:sz w:val="20"/>
          <w:szCs w:val="20"/>
        </w:rPr>
        <w:t>Chłón-D</w:t>
      </w:r>
      <w:r w:rsidRPr="0031394A">
        <w:rPr>
          <w:rFonts w:ascii="Times New Roman" w:hAnsi="Times New Roman" w:cs="Times New Roman"/>
          <w:noProof/>
          <w:sz w:val="20"/>
          <w:szCs w:val="20"/>
        </w:rPr>
        <w:t>ominczak, Franco, and Palmer (2012) and Könberg, Palmer and Sunden (2006). In Australia, OECD (2017), the funded element comes from the superannuation guarantee that is not a part of the first pillar. However, it consists of a mandatory employer contribution for workers earning more than AUD 450 a month.</w:t>
      </w:r>
    </w:p>
  </w:footnote>
  <w:footnote w:id="9">
    <w:p w14:paraId="69F4BCD7" w14:textId="3FF80022" w:rsidR="00713797" w:rsidRPr="00713797" w:rsidRDefault="00713797" w:rsidP="00713797">
      <w:pPr>
        <w:spacing w:after="0" w:line="240" w:lineRule="auto"/>
        <w:jc w:val="both"/>
        <w:rPr>
          <w:rFonts w:ascii="Times New Roman" w:hAnsi="Times New Roman" w:cs="Times New Roman"/>
          <w:sz w:val="20"/>
          <w:szCs w:val="20"/>
        </w:rPr>
      </w:pPr>
      <w:r w:rsidRPr="0031394A">
        <w:rPr>
          <w:rStyle w:val="FootnoteReference"/>
          <w:rFonts w:ascii="Times New Roman" w:hAnsi="Times New Roman" w:cs="Times New Roman"/>
          <w:sz w:val="20"/>
          <w:szCs w:val="20"/>
        </w:rPr>
        <w:footnoteRef/>
      </w:r>
      <w:r w:rsidRPr="0031394A">
        <w:rPr>
          <w:rFonts w:ascii="Times New Roman" w:hAnsi="Times New Roman" w:cs="Times New Roman"/>
          <w:sz w:val="20"/>
          <w:szCs w:val="20"/>
        </w:rPr>
        <w:t xml:space="preserve"> </w:t>
      </w:r>
      <w:bookmarkStart w:id="10" w:name="_Hlk3662982"/>
      <w:r w:rsidRPr="0031394A">
        <w:rPr>
          <w:rFonts w:ascii="Times New Roman" w:hAnsi="Times New Roman" w:cs="Times New Roman"/>
          <w:sz w:val="20"/>
          <w:szCs w:val="20"/>
        </w:rPr>
        <w:t xml:space="preserve">For more details on ABMs see </w:t>
      </w:r>
      <w:proofErr w:type="spellStart"/>
      <w:r w:rsidRPr="0031394A">
        <w:rPr>
          <w:rFonts w:ascii="Times New Roman" w:hAnsi="Times New Roman" w:cs="Times New Roman"/>
          <w:sz w:val="20"/>
          <w:szCs w:val="20"/>
        </w:rPr>
        <w:t>D’Addio</w:t>
      </w:r>
      <w:proofErr w:type="spellEnd"/>
      <w:r w:rsidRPr="0031394A">
        <w:rPr>
          <w:rFonts w:ascii="Times New Roman" w:hAnsi="Times New Roman" w:cs="Times New Roman"/>
          <w:sz w:val="20"/>
          <w:szCs w:val="20"/>
        </w:rPr>
        <w:t xml:space="preserve"> and Whitehouse (2012), </w:t>
      </w:r>
      <w:proofErr w:type="spellStart"/>
      <w:r w:rsidRPr="0031394A">
        <w:rPr>
          <w:rFonts w:ascii="Times New Roman" w:hAnsi="Times New Roman" w:cs="Times New Roman"/>
          <w:sz w:val="20"/>
          <w:szCs w:val="20"/>
          <w:lang w:val="en-GB"/>
        </w:rPr>
        <w:t>Godínez</w:t>
      </w:r>
      <w:proofErr w:type="spellEnd"/>
      <w:r w:rsidRPr="0031394A">
        <w:rPr>
          <w:rFonts w:ascii="Times New Roman" w:hAnsi="Times New Roman" w:cs="Times New Roman"/>
          <w:sz w:val="20"/>
          <w:szCs w:val="20"/>
          <w:lang w:val="en-GB"/>
        </w:rPr>
        <w:t xml:space="preserve">-Olivares, Boado-Penas, and </w:t>
      </w:r>
      <w:proofErr w:type="spellStart"/>
      <w:r w:rsidRPr="0031394A">
        <w:rPr>
          <w:rFonts w:ascii="Times New Roman" w:hAnsi="Times New Roman" w:cs="Times New Roman"/>
          <w:sz w:val="20"/>
          <w:szCs w:val="20"/>
          <w:lang w:val="en-GB"/>
        </w:rPr>
        <w:t>Pantelous</w:t>
      </w:r>
      <w:proofErr w:type="spellEnd"/>
      <w:r w:rsidRPr="0031394A">
        <w:rPr>
          <w:rFonts w:ascii="Times New Roman" w:hAnsi="Times New Roman" w:cs="Times New Roman"/>
          <w:sz w:val="20"/>
          <w:szCs w:val="20"/>
          <w:lang w:val="en-GB"/>
        </w:rPr>
        <w:t xml:space="preserve"> (2016), </w:t>
      </w:r>
      <w:proofErr w:type="spellStart"/>
      <w:r w:rsidRPr="0031394A">
        <w:rPr>
          <w:rFonts w:ascii="Times New Roman" w:hAnsi="Times New Roman" w:cs="Times New Roman"/>
          <w:sz w:val="20"/>
          <w:szCs w:val="20"/>
          <w:lang w:val="en-GB"/>
        </w:rPr>
        <w:t>Godínez</w:t>
      </w:r>
      <w:proofErr w:type="spellEnd"/>
      <w:r w:rsidRPr="0031394A">
        <w:rPr>
          <w:rFonts w:ascii="Times New Roman" w:hAnsi="Times New Roman" w:cs="Times New Roman"/>
          <w:sz w:val="20"/>
          <w:szCs w:val="20"/>
          <w:lang w:val="en-GB"/>
        </w:rPr>
        <w:t xml:space="preserve">-Olivares, Boado-Penas, and Haberman (2016) and Alonso-García, Boado-Penas, and </w:t>
      </w:r>
      <w:proofErr w:type="spellStart"/>
      <w:r w:rsidRPr="0031394A">
        <w:rPr>
          <w:rFonts w:ascii="Times New Roman" w:hAnsi="Times New Roman" w:cs="Times New Roman"/>
          <w:sz w:val="20"/>
          <w:szCs w:val="20"/>
          <w:lang w:val="en-GB"/>
        </w:rPr>
        <w:t>Devolder</w:t>
      </w:r>
      <w:proofErr w:type="spellEnd"/>
      <w:r w:rsidRPr="0031394A">
        <w:rPr>
          <w:rFonts w:ascii="Times New Roman" w:hAnsi="Times New Roman" w:cs="Times New Roman"/>
          <w:sz w:val="20"/>
          <w:szCs w:val="20"/>
          <w:lang w:val="en-GB"/>
        </w:rPr>
        <w:t xml:space="preserve"> (2018a</w:t>
      </w:r>
      <w:r w:rsidRPr="0031394A">
        <w:rPr>
          <w:rFonts w:ascii="Times New Roman" w:hAnsi="Times New Roman" w:cs="Times New Roman"/>
          <w:i/>
          <w:iCs/>
          <w:sz w:val="20"/>
          <w:szCs w:val="20"/>
          <w:shd w:val="clear" w:color="auto" w:fill="FFFFFF"/>
          <w:lang w:val="en-GB"/>
        </w:rPr>
        <w:t xml:space="preserve">), </w:t>
      </w:r>
      <w:r w:rsidRPr="0031394A">
        <w:rPr>
          <w:rFonts w:ascii="Times New Roman" w:hAnsi="Times New Roman" w:cs="Times New Roman"/>
          <w:sz w:val="20"/>
          <w:szCs w:val="20"/>
          <w:lang w:val="en-GB"/>
        </w:rPr>
        <w:t>amongst others.</w:t>
      </w:r>
      <w:bookmarkEnd w:id="10"/>
    </w:p>
  </w:footnote>
  <w:footnote w:id="10">
    <w:p w14:paraId="5BADE9C4" w14:textId="3F34AB5B" w:rsidR="0002216B" w:rsidRPr="00382AEC" w:rsidRDefault="00713797" w:rsidP="00713797">
      <w:pPr>
        <w:spacing w:after="0" w:line="240" w:lineRule="auto"/>
        <w:jc w:val="both"/>
        <w:rPr>
          <w:rFonts w:ascii="Times New Roman" w:hAnsi="Times New Roman" w:cs="Times New Roman"/>
          <w:sz w:val="20"/>
          <w:szCs w:val="20"/>
        </w:rPr>
      </w:pPr>
      <w:r w:rsidRPr="00382AEC">
        <w:rPr>
          <w:rStyle w:val="FootnoteReference"/>
          <w:rFonts w:ascii="Times New Roman" w:hAnsi="Times New Roman" w:cs="Times New Roman"/>
          <w:sz w:val="20"/>
          <w:szCs w:val="20"/>
        </w:rPr>
        <w:footnoteRef/>
      </w:r>
      <w:r w:rsidRPr="00382AEC">
        <w:rPr>
          <w:rFonts w:ascii="Times New Roman" w:hAnsi="Times New Roman" w:cs="Times New Roman"/>
          <w:sz w:val="20"/>
          <w:szCs w:val="20"/>
        </w:rPr>
        <w:t xml:space="preserve"> In practice, the investment strategy of the buffer fund and the</w:t>
      </w:r>
      <w:r w:rsidR="0002216B" w:rsidRPr="00382AEC">
        <w:rPr>
          <w:rFonts w:ascii="Times New Roman" w:hAnsi="Times New Roman" w:cs="Times New Roman"/>
          <w:sz w:val="20"/>
          <w:szCs w:val="20"/>
        </w:rPr>
        <w:t xml:space="preserve"> </w:t>
      </w:r>
      <w:r w:rsidRPr="00382AEC">
        <w:rPr>
          <w:rFonts w:ascii="Times New Roman" w:hAnsi="Times New Roman" w:cs="Times New Roman"/>
          <w:sz w:val="20"/>
          <w:szCs w:val="20"/>
        </w:rPr>
        <w:t xml:space="preserve">accumulated contributions of the funding part could be different. </w:t>
      </w:r>
      <w:bookmarkStart w:id="11" w:name="_Hlk11859989"/>
      <w:r w:rsidRPr="00382AEC">
        <w:rPr>
          <w:rFonts w:ascii="Times New Roman" w:hAnsi="Times New Roman" w:cs="Times New Roman"/>
          <w:sz w:val="20"/>
          <w:szCs w:val="20"/>
        </w:rPr>
        <w:t xml:space="preserve">However, as shown in the numerical application, we use the same return for both components as </w:t>
      </w:r>
      <w:r w:rsidR="0002216B" w:rsidRPr="00382AEC">
        <w:rPr>
          <w:rFonts w:ascii="Times New Roman" w:hAnsi="Times New Roman" w:cs="Times New Roman"/>
          <w:sz w:val="20"/>
          <w:szCs w:val="20"/>
        </w:rPr>
        <w:t>our results are not sensitive to the return associated to the buffer fund.</w:t>
      </w:r>
      <w:bookmarkEnd w:id="11"/>
    </w:p>
    <w:p w14:paraId="77186A65" w14:textId="77777777" w:rsidR="0002216B" w:rsidRDefault="0002216B" w:rsidP="00713797">
      <w:pPr>
        <w:spacing w:after="0" w:line="240" w:lineRule="auto"/>
        <w:jc w:val="both"/>
        <w:rPr>
          <w:rFonts w:ascii="Times New Roman" w:hAnsi="Times New Roman" w:cs="Times New Roman"/>
          <w:color w:val="FF0000"/>
          <w:sz w:val="20"/>
          <w:szCs w:val="20"/>
        </w:rPr>
      </w:pPr>
    </w:p>
    <w:p w14:paraId="07E03904" w14:textId="77777777" w:rsidR="00713797" w:rsidRPr="00E822E7" w:rsidRDefault="00713797" w:rsidP="00713797">
      <w:pPr>
        <w:autoSpaceDE w:val="0"/>
        <w:autoSpaceDN w:val="0"/>
        <w:adjustRightInd w:val="0"/>
        <w:spacing w:after="0"/>
        <w:ind w:right="-23"/>
        <w:jc w:val="both"/>
        <w:rPr>
          <w:rFonts w:ascii="Times New Roman" w:hAnsi="Times New Roman" w:cs="Times New Roman"/>
          <w:sz w:val="18"/>
          <w:szCs w:val="18"/>
        </w:rPr>
      </w:pPr>
    </w:p>
  </w:footnote>
  <w:footnote w:id="11">
    <w:p w14:paraId="6CFD729F" w14:textId="77777777" w:rsidR="00713797" w:rsidRPr="001C5AB3" w:rsidRDefault="00713797" w:rsidP="00A47702">
      <w:pPr>
        <w:autoSpaceDE w:val="0"/>
        <w:autoSpaceDN w:val="0"/>
        <w:adjustRightInd w:val="0"/>
        <w:spacing w:after="0" w:line="240" w:lineRule="auto"/>
        <w:jc w:val="both"/>
        <w:rPr>
          <w:rFonts w:ascii="Times New Roman" w:hAnsi="Times New Roman" w:cs="Times New Roman"/>
          <w:sz w:val="20"/>
          <w:szCs w:val="20"/>
          <w:lang w:val="en-GB"/>
        </w:rPr>
      </w:pPr>
      <w:r w:rsidRPr="0031394A">
        <w:rPr>
          <w:rStyle w:val="FootnoteReference"/>
          <w:rFonts w:ascii="Times New Roman" w:hAnsi="Times New Roman" w:cs="Times New Roman"/>
          <w:sz w:val="20"/>
          <w:szCs w:val="20"/>
          <w:lang w:val="en-GB"/>
        </w:rPr>
        <w:footnoteRef/>
      </w:r>
      <w:r w:rsidRPr="0031394A">
        <w:rPr>
          <w:rFonts w:ascii="Times New Roman" w:hAnsi="Times New Roman" w:cs="Times New Roman"/>
          <w:sz w:val="20"/>
          <w:szCs w:val="20"/>
          <w:lang w:val="en-GB"/>
        </w:rPr>
        <w:t xml:space="preserve"> We simulate returns instead of prices to construct the future evolution of the investment portfolio. This methodology simplifies the simulation procedure because it avoids a regular re-balancing of the portfolio to maintain the weights.</w:t>
      </w:r>
    </w:p>
  </w:footnote>
  <w:footnote w:id="12">
    <w:p w14:paraId="52233AE4" w14:textId="77777777" w:rsidR="00713797" w:rsidRPr="0031394A" w:rsidRDefault="00713797" w:rsidP="009E6B80">
      <w:pPr>
        <w:autoSpaceDE w:val="0"/>
        <w:autoSpaceDN w:val="0"/>
        <w:adjustRightInd w:val="0"/>
        <w:spacing w:after="0" w:line="240" w:lineRule="auto"/>
        <w:jc w:val="both"/>
        <w:rPr>
          <w:rFonts w:ascii="Times New Roman" w:hAnsi="Times New Roman" w:cs="Times New Roman"/>
          <w:sz w:val="20"/>
          <w:szCs w:val="20"/>
          <w:lang w:val="en-GB"/>
        </w:rPr>
      </w:pPr>
      <w:r w:rsidRPr="00E43C0C">
        <w:rPr>
          <w:rStyle w:val="FootnoteReference"/>
          <w:rFonts w:ascii="Times New Roman" w:hAnsi="Times New Roman" w:cs="Times New Roman"/>
          <w:sz w:val="20"/>
          <w:szCs w:val="20"/>
          <w:lang w:val="en-GB"/>
        </w:rPr>
        <w:footnoteRef/>
      </w:r>
      <w:r w:rsidRPr="00E43C0C">
        <w:rPr>
          <w:rFonts w:ascii="Times New Roman" w:hAnsi="Times New Roman" w:cs="Times New Roman"/>
          <w:sz w:val="20"/>
          <w:szCs w:val="20"/>
          <w:lang w:val="en-GB"/>
        </w:rPr>
        <w:t xml:space="preserve"> Other simulation techniques</w:t>
      </w:r>
      <w:r>
        <w:rPr>
          <w:rFonts w:ascii="Times New Roman" w:hAnsi="Times New Roman" w:cs="Times New Roman"/>
          <w:sz w:val="20"/>
          <w:szCs w:val="20"/>
          <w:lang w:val="en-GB"/>
        </w:rPr>
        <w:t xml:space="preserve"> such as continuous-time processes and discrete-time </w:t>
      </w:r>
      <w:proofErr w:type="spellStart"/>
      <w:r>
        <w:rPr>
          <w:rFonts w:ascii="Times New Roman" w:hAnsi="Times New Roman" w:cs="Times New Roman"/>
          <w:sz w:val="20"/>
          <w:szCs w:val="20"/>
          <w:lang w:val="en-GB"/>
        </w:rPr>
        <w:t>heterokedastic</w:t>
      </w:r>
      <w:proofErr w:type="spellEnd"/>
      <w:r>
        <w:rPr>
          <w:rFonts w:ascii="Times New Roman" w:hAnsi="Times New Roman" w:cs="Times New Roman"/>
          <w:sz w:val="20"/>
          <w:szCs w:val="20"/>
          <w:lang w:val="en-GB"/>
        </w:rPr>
        <w:t xml:space="preserve"> volatility models were also studied. However, given the long-time horizon of our simulation, block bootstrap was the preferred technique as it allows to </w:t>
      </w:r>
      <w:r w:rsidRPr="00E43C0C">
        <w:rPr>
          <w:rFonts w:ascii="Times New Roman" w:hAnsi="Times New Roman" w:cs="Times New Roman"/>
          <w:sz w:val="20"/>
          <w:szCs w:val="20"/>
          <w:lang w:val="en-GB"/>
        </w:rPr>
        <w:t>carry out statistical inference without imposin</w:t>
      </w:r>
      <w:r>
        <w:rPr>
          <w:rFonts w:ascii="Times New Roman" w:hAnsi="Times New Roman" w:cs="Times New Roman"/>
          <w:sz w:val="20"/>
          <w:szCs w:val="20"/>
          <w:lang w:val="en-GB"/>
        </w:rPr>
        <w:t>g</w:t>
      </w:r>
      <w:r w:rsidRPr="00E43C0C">
        <w:rPr>
          <w:rFonts w:ascii="Times New Roman" w:hAnsi="Times New Roman" w:cs="Times New Roman"/>
          <w:sz w:val="20"/>
          <w:szCs w:val="20"/>
          <w:lang w:val="en-GB"/>
        </w:rPr>
        <w:t xml:space="preserve"> </w:t>
      </w:r>
      <w:r w:rsidRPr="0031394A">
        <w:rPr>
          <w:rFonts w:ascii="Times New Roman" w:hAnsi="Times New Roman" w:cs="Times New Roman"/>
          <w:sz w:val="20"/>
          <w:szCs w:val="20"/>
          <w:lang w:val="en-GB"/>
        </w:rPr>
        <w:t>structural assumptions on the underlying data-generating random process (</w:t>
      </w:r>
      <w:proofErr w:type="spellStart"/>
      <w:r w:rsidRPr="0031394A">
        <w:rPr>
          <w:rFonts w:ascii="Times New Roman" w:hAnsi="Times New Roman" w:cs="Times New Roman"/>
          <w:sz w:val="20"/>
          <w:szCs w:val="20"/>
          <w:lang w:val="en-GB"/>
        </w:rPr>
        <w:t>Kreiss</w:t>
      </w:r>
      <w:proofErr w:type="spellEnd"/>
      <w:r w:rsidRPr="0031394A">
        <w:rPr>
          <w:rFonts w:ascii="Times New Roman" w:hAnsi="Times New Roman" w:cs="Times New Roman"/>
          <w:sz w:val="20"/>
          <w:szCs w:val="20"/>
          <w:lang w:val="en-GB"/>
        </w:rPr>
        <w:t xml:space="preserve"> and </w:t>
      </w:r>
      <w:proofErr w:type="spellStart"/>
      <w:r w:rsidRPr="0031394A">
        <w:rPr>
          <w:rFonts w:ascii="Times New Roman" w:hAnsi="Times New Roman" w:cs="Times New Roman"/>
          <w:sz w:val="20"/>
          <w:szCs w:val="20"/>
          <w:lang w:val="en-GB"/>
        </w:rPr>
        <w:t>Lahiri</w:t>
      </w:r>
      <w:proofErr w:type="spellEnd"/>
      <w:r w:rsidRPr="0031394A">
        <w:rPr>
          <w:rFonts w:ascii="Times New Roman" w:hAnsi="Times New Roman" w:cs="Times New Roman"/>
          <w:sz w:val="20"/>
          <w:szCs w:val="20"/>
          <w:lang w:val="en-GB"/>
        </w:rPr>
        <w:t xml:space="preserve"> 2012).</w:t>
      </w:r>
    </w:p>
  </w:footnote>
  <w:footnote w:id="13">
    <w:p w14:paraId="2C9723DB" w14:textId="77777777" w:rsidR="00713797" w:rsidRPr="009D33AD" w:rsidRDefault="00713797" w:rsidP="009D33AD">
      <w:pPr>
        <w:autoSpaceDE w:val="0"/>
        <w:autoSpaceDN w:val="0"/>
        <w:adjustRightInd w:val="0"/>
        <w:spacing w:after="0" w:line="240" w:lineRule="auto"/>
        <w:jc w:val="both"/>
        <w:rPr>
          <w:rFonts w:ascii="Times New Roman" w:hAnsi="Times New Roman" w:cs="Times New Roman"/>
          <w:sz w:val="20"/>
          <w:szCs w:val="20"/>
          <w:lang w:val="en-GB"/>
        </w:rPr>
      </w:pPr>
      <w:r w:rsidRPr="0031394A">
        <w:rPr>
          <w:rStyle w:val="FootnoteReference"/>
          <w:rFonts w:ascii="Times New Roman" w:hAnsi="Times New Roman" w:cs="Times New Roman"/>
          <w:sz w:val="20"/>
          <w:szCs w:val="20"/>
          <w:lang w:val="en-GB"/>
        </w:rPr>
        <w:footnoteRef/>
      </w:r>
      <w:r w:rsidRPr="0031394A">
        <w:rPr>
          <w:rFonts w:ascii="Times New Roman" w:hAnsi="Times New Roman" w:cs="Times New Roman"/>
          <w:sz w:val="20"/>
          <w:szCs w:val="20"/>
          <w:lang w:val="en-GB"/>
        </w:rPr>
        <w:t xml:space="preserve"> </w:t>
      </w:r>
      <w:r w:rsidRPr="0031394A">
        <w:rPr>
          <w:rFonts w:ascii="Times New Roman" w:hAnsi="Times New Roman" w:cs="Times New Roman"/>
          <w:sz w:val="20"/>
          <w:szCs w:val="20"/>
        </w:rPr>
        <w:t>We show the details for the simulation procedure for an individual stock, since its translation to portfolio prices is analogous.</w:t>
      </w:r>
    </w:p>
  </w:footnote>
  <w:footnote w:id="14">
    <w:p w14:paraId="3D475908" w14:textId="77777777" w:rsidR="00713797" w:rsidRPr="001C5AB3" w:rsidRDefault="00713797" w:rsidP="007E13A2">
      <w:pPr>
        <w:autoSpaceDE w:val="0"/>
        <w:autoSpaceDN w:val="0"/>
        <w:adjustRightInd w:val="0"/>
        <w:spacing w:after="0" w:line="240" w:lineRule="auto"/>
        <w:jc w:val="both"/>
        <w:rPr>
          <w:rFonts w:ascii="Times New Roman" w:hAnsi="Times New Roman" w:cs="Times New Roman"/>
          <w:sz w:val="20"/>
          <w:szCs w:val="20"/>
          <w:lang w:val="en-GB"/>
        </w:rPr>
      </w:pPr>
      <w:r w:rsidRPr="00E43C0C">
        <w:rPr>
          <w:rStyle w:val="FootnoteReference"/>
          <w:rFonts w:ascii="Times New Roman" w:hAnsi="Times New Roman" w:cs="Times New Roman"/>
          <w:sz w:val="20"/>
          <w:szCs w:val="20"/>
          <w:lang w:val="en-GB"/>
        </w:rPr>
        <w:footnoteRef/>
      </w:r>
      <w:r w:rsidRPr="00E43C0C">
        <w:rPr>
          <w:rFonts w:ascii="Times New Roman" w:hAnsi="Times New Roman" w:cs="Times New Roman"/>
          <w:sz w:val="20"/>
          <w:szCs w:val="20"/>
          <w:lang w:val="en-GB"/>
        </w:rPr>
        <w:t xml:space="preserve"> </w:t>
      </w:r>
      <w:r w:rsidRPr="002624E8">
        <w:rPr>
          <w:rFonts w:ascii="Times New Roman" w:eastAsia="Times New Roman" w:hAnsi="Times New Roman" w:cs="Times New Roman"/>
          <w:sz w:val="20"/>
          <w:szCs w:val="20"/>
          <w:lang w:val="en-GB" w:eastAsia="es-ES"/>
        </w:rPr>
        <w:t xml:space="preserve">A detailed exposition of the methodology is provided in </w:t>
      </w:r>
      <w:proofErr w:type="spellStart"/>
      <w:r w:rsidRPr="002624E8">
        <w:rPr>
          <w:rFonts w:ascii="Times New Roman" w:eastAsia="Times New Roman" w:hAnsi="Times New Roman" w:cs="Times New Roman"/>
          <w:sz w:val="20"/>
          <w:szCs w:val="20"/>
          <w:lang w:val="en-GB" w:eastAsia="es-ES"/>
        </w:rPr>
        <w:t>Kreiss</w:t>
      </w:r>
      <w:proofErr w:type="spellEnd"/>
      <w:r w:rsidRPr="002624E8">
        <w:rPr>
          <w:rFonts w:ascii="Times New Roman" w:eastAsia="Times New Roman" w:hAnsi="Times New Roman" w:cs="Times New Roman"/>
          <w:sz w:val="20"/>
          <w:szCs w:val="20"/>
          <w:lang w:val="en-GB" w:eastAsia="es-ES"/>
        </w:rPr>
        <w:t xml:space="preserve"> and </w:t>
      </w:r>
      <w:proofErr w:type="spellStart"/>
      <w:r w:rsidRPr="002624E8">
        <w:rPr>
          <w:rFonts w:ascii="Times New Roman" w:eastAsia="Times New Roman" w:hAnsi="Times New Roman" w:cs="Times New Roman"/>
          <w:sz w:val="20"/>
          <w:szCs w:val="20"/>
          <w:lang w:val="en-GB" w:eastAsia="es-ES"/>
        </w:rPr>
        <w:t>Lahiri</w:t>
      </w:r>
      <w:proofErr w:type="spellEnd"/>
      <w:r w:rsidRPr="002624E8">
        <w:rPr>
          <w:rFonts w:ascii="Times New Roman" w:eastAsia="Times New Roman" w:hAnsi="Times New Roman" w:cs="Times New Roman"/>
          <w:sz w:val="20"/>
          <w:szCs w:val="20"/>
          <w:lang w:val="en-GB" w:eastAsia="es-ES"/>
        </w:rPr>
        <w:t xml:space="preserve"> (2012) and references therein.</w:t>
      </w:r>
    </w:p>
  </w:footnote>
  <w:footnote w:id="15">
    <w:p w14:paraId="752F64E4" w14:textId="77777777" w:rsidR="00713797" w:rsidRPr="009D33AD" w:rsidRDefault="00713797" w:rsidP="006051C1">
      <w:pPr>
        <w:autoSpaceDE w:val="0"/>
        <w:autoSpaceDN w:val="0"/>
        <w:adjustRightInd w:val="0"/>
        <w:spacing w:after="0" w:line="240" w:lineRule="auto"/>
        <w:jc w:val="both"/>
        <w:rPr>
          <w:rFonts w:ascii="Times New Roman" w:hAnsi="Times New Roman" w:cs="Times New Roman"/>
          <w:sz w:val="20"/>
          <w:szCs w:val="20"/>
        </w:rPr>
      </w:pPr>
      <w:r w:rsidRPr="009D33AD">
        <w:rPr>
          <w:rStyle w:val="FootnoteReference"/>
          <w:rFonts w:ascii="Times New Roman" w:hAnsi="Times New Roman" w:cs="Times New Roman"/>
          <w:sz w:val="20"/>
          <w:szCs w:val="20"/>
        </w:rPr>
        <w:footnoteRef/>
      </w:r>
      <w:r w:rsidRPr="009D33AD">
        <w:rPr>
          <w:rFonts w:ascii="Times New Roman" w:hAnsi="Times New Roman" w:cs="Times New Roman"/>
          <w:sz w:val="20"/>
          <w:szCs w:val="20"/>
        </w:rPr>
        <w:t xml:space="preserve"> The panel of analysts comprises estimations from BlackRock, Vanguard, JPMorgan or Franklin Templeton, among others. We have considered the average of the expected return forecasts as input data in our simulations.</w:t>
      </w:r>
    </w:p>
  </w:footnote>
  <w:footnote w:id="16">
    <w:p w14:paraId="363E68A1" w14:textId="77777777" w:rsidR="00713797" w:rsidRPr="0031394A" w:rsidRDefault="00713797" w:rsidP="00473D86">
      <w:pPr>
        <w:pStyle w:val="FootnoteText"/>
        <w:jc w:val="both"/>
        <w:rPr>
          <w:rFonts w:ascii="Times New Roman" w:hAnsi="Times New Roman" w:cs="Times New Roman"/>
        </w:rPr>
      </w:pPr>
      <w:r w:rsidRPr="002D2DD5">
        <w:rPr>
          <w:rStyle w:val="FootnoteReference"/>
          <w:rFonts w:ascii="Times New Roman" w:hAnsi="Times New Roman" w:cs="Times New Roman"/>
        </w:rPr>
        <w:footnoteRef/>
      </w:r>
      <w:r w:rsidRPr="002D2DD5">
        <w:rPr>
          <w:rFonts w:ascii="Times New Roman" w:hAnsi="Times New Roman" w:cs="Times New Roman"/>
        </w:rPr>
        <w:t xml:space="preserve"> Data obtained from Eurostat Database, </w:t>
      </w:r>
      <w:hyperlink r:id="rId5" w:history="1">
        <w:r w:rsidRPr="00A9374B">
          <w:rPr>
            <w:rStyle w:val="Hyperlink"/>
            <w:rFonts w:ascii="Times New Roman" w:hAnsi="Times New Roman" w:cs="Times New Roman"/>
          </w:rPr>
          <w:t>http://ec.europa.eu/eurostat</w:t>
        </w:r>
      </w:hyperlink>
      <w:r>
        <w:rPr>
          <w:rFonts w:ascii="Times New Roman" w:hAnsi="Times New Roman" w:cs="Times New Roman"/>
        </w:rPr>
        <w:t xml:space="preserve"> </w:t>
      </w:r>
      <w:r w:rsidRPr="002D2DD5">
        <w:rPr>
          <w:rFonts w:ascii="Times New Roman" w:hAnsi="Times New Roman" w:cs="Times New Roman"/>
        </w:rPr>
        <w:t>(</w:t>
      </w:r>
      <w:r>
        <w:rPr>
          <w:rFonts w:ascii="Times New Roman" w:hAnsi="Times New Roman" w:cs="Times New Roman"/>
        </w:rPr>
        <w:t>baseline projection</w:t>
      </w:r>
      <w:r w:rsidRPr="002D2DD5">
        <w:rPr>
          <w:rFonts w:ascii="Times New Roman" w:hAnsi="Times New Roman" w:cs="Times New Roman"/>
        </w:rPr>
        <w:t xml:space="preserve">). </w:t>
      </w:r>
      <w:r w:rsidRPr="0031394A">
        <w:rPr>
          <w:rFonts w:ascii="Times New Roman" w:hAnsi="Times New Roman" w:cs="Times New Roman"/>
        </w:rPr>
        <w:t xml:space="preserve">Accessed 1 April 2018. </w:t>
      </w:r>
      <w:bookmarkStart w:id="16" w:name="_Hlk3716765"/>
      <w:r w:rsidRPr="0031394A">
        <w:rPr>
          <w:rFonts w:ascii="Times New Roman" w:hAnsi="Times New Roman" w:cs="Times New Roman"/>
        </w:rPr>
        <w:t>Projections are only provided for the period 2015-2080. From 2080, population is supposed to remain constant and equal to the population in 2080.</w:t>
      </w:r>
      <w:bookmarkEnd w:id="16"/>
    </w:p>
  </w:footnote>
  <w:footnote w:id="17">
    <w:p w14:paraId="1340AE40" w14:textId="77777777" w:rsidR="00713797" w:rsidRPr="002D2DD5" w:rsidRDefault="00713797" w:rsidP="00681A06">
      <w:pPr>
        <w:pStyle w:val="FootnoteText"/>
        <w:jc w:val="both"/>
        <w:rPr>
          <w:rFonts w:ascii="Times New Roman" w:hAnsi="Times New Roman" w:cs="Times New Roman"/>
        </w:rPr>
      </w:pPr>
      <w:r w:rsidRPr="002D2DD5">
        <w:rPr>
          <w:rStyle w:val="FootnoteReference"/>
          <w:rFonts w:ascii="Times New Roman" w:hAnsi="Times New Roman" w:cs="Times New Roman"/>
        </w:rPr>
        <w:footnoteRef/>
      </w:r>
      <w:r w:rsidRPr="002D2DD5">
        <w:rPr>
          <w:rFonts w:ascii="Times New Roman" w:hAnsi="Times New Roman" w:cs="Times New Roman"/>
        </w:rPr>
        <w:t xml:space="preserve"> Th</w:t>
      </w:r>
      <w:r>
        <w:rPr>
          <w:rFonts w:ascii="Times New Roman" w:hAnsi="Times New Roman" w:cs="Times New Roman"/>
        </w:rPr>
        <w:t>is ratio measures the number of elderly people relative to those of working age. It is calculated as the number of contributors divided by the number of pensioners.</w:t>
      </w:r>
    </w:p>
  </w:footnote>
  <w:footnote w:id="18">
    <w:p w14:paraId="336984D9" w14:textId="77777777" w:rsidR="00713797" w:rsidRPr="002D2DD5" w:rsidRDefault="00713797" w:rsidP="00C550D9">
      <w:pPr>
        <w:pStyle w:val="FootnoteText"/>
        <w:jc w:val="both"/>
        <w:rPr>
          <w:rFonts w:ascii="Times New Roman" w:hAnsi="Times New Roman" w:cs="Times New Roman"/>
        </w:rPr>
      </w:pPr>
      <w:r w:rsidRPr="002D2DD5">
        <w:rPr>
          <w:rStyle w:val="FootnoteReference"/>
          <w:rFonts w:ascii="Times New Roman" w:hAnsi="Times New Roman" w:cs="Times New Roman"/>
        </w:rPr>
        <w:footnoteRef/>
      </w:r>
      <w:r w:rsidRPr="002D2DD5">
        <w:rPr>
          <w:rFonts w:ascii="Times New Roman" w:hAnsi="Times New Roman" w:cs="Times New Roman"/>
        </w:rPr>
        <w:t xml:space="preserve"> </w:t>
      </w:r>
      <w:r>
        <w:rPr>
          <w:rFonts w:ascii="Times New Roman" w:hAnsi="Times New Roman" w:cs="Times New Roman"/>
        </w:rPr>
        <w:t xml:space="preserve">Average growth of the hourly </w:t>
      </w:r>
      <w:proofErr w:type="spellStart"/>
      <w:r>
        <w:rPr>
          <w:rFonts w:ascii="Times New Roman" w:hAnsi="Times New Roman" w:cs="Times New Roman"/>
        </w:rPr>
        <w:t>labour</w:t>
      </w:r>
      <w:proofErr w:type="spellEnd"/>
      <w:r>
        <w:rPr>
          <w:rFonts w:ascii="Times New Roman" w:hAnsi="Times New Roman" w:cs="Times New Roman"/>
        </w:rPr>
        <w:t xml:space="preserve"> costs in Europe from 2004 to 2015. Data obtained from Eurostat Database, </w:t>
      </w:r>
      <w:hyperlink r:id="rId6" w:history="1">
        <w:r w:rsidRPr="00A9374B">
          <w:rPr>
            <w:rStyle w:val="Hyperlink"/>
            <w:rFonts w:ascii="Times New Roman" w:hAnsi="Times New Roman" w:cs="Times New Roman"/>
          </w:rPr>
          <w:t>http://ec.europa.eu/eurostat</w:t>
        </w:r>
      </w:hyperlink>
      <w:r>
        <w:rPr>
          <w:rFonts w:ascii="Times New Roman" w:hAnsi="Times New Roman" w:cs="Times New Roman"/>
        </w:rPr>
        <w:t>, accessed 1 March 2016.</w:t>
      </w:r>
    </w:p>
  </w:footnote>
  <w:footnote w:id="19">
    <w:p w14:paraId="721A4A20" w14:textId="77777777" w:rsidR="00713797" w:rsidRPr="002D2DD5" w:rsidRDefault="00713797" w:rsidP="00802DCE">
      <w:pPr>
        <w:pStyle w:val="FootnoteText"/>
        <w:jc w:val="both"/>
        <w:rPr>
          <w:rFonts w:ascii="Times New Roman" w:hAnsi="Times New Roman" w:cs="Times New Roman"/>
        </w:rPr>
      </w:pPr>
      <w:r w:rsidRPr="00EF431E">
        <w:rPr>
          <w:rStyle w:val="FootnoteReference"/>
          <w:rFonts w:ascii="Times New Roman" w:hAnsi="Times New Roman" w:cs="Times New Roman"/>
        </w:rPr>
        <w:footnoteRef/>
      </w:r>
      <w:r w:rsidRPr="00EF431E">
        <w:rPr>
          <w:rFonts w:ascii="Times New Roman" w:hAnsi="Times New Roman" w:cs="Times New Roman"/>
        </w:rPr>
        <w:t xml:space="preserve"> Since Sweden is the most quoted example of NDC scheme we took as a baseline scenario an allocation to the DC funded scheme </w:t>
      </w:r>
      <w:proofErr w:type="gramStart"/>
      <w:r w:rsidRPr="00EF431E">
        <w:rPr>
          <w:rFonts w:ascii="Times New Roman" w:hAnsi="Times New Roman" w:cs="Times New Roman"/>
        </w:rPr>
        <w:t>similar to</w:t>
      </w:r>
      <w:proofErr w:type="gramEnd"/>
      <w:r w:rsidRPr="00EF431E">
        <w:rPr>
          <w:rFonts w:ascii="Times New Roman" w:hAnsi="Times New Roman" w:cs="Times New Roman"/>
        </w:rPr>
        <w:t xml:space="preserve"> the one is used by the Swedish Pension Agency.</w:t>
      </w:r>
    </w:p>
  </w:footnote>
  <w:footnote w:id="20">
    <w:p w14:paraId="759AB0E5" w14:textId="77777777" w:rsidR="00713797" w:rsidRPr="00AA66B5" w:rsidRDefault="00713797" w:rsidP="00BE76E6">
      <w:pPr>
        <w:pStyle w:val="FootnoteText"/>
        <w:jc w:val="both"/>
        <w:rPr>
          <w:rFonts w:ascii="Times New Roman" w:hAnsi="Times New Roman" w:cs="Times New Roman"/>
          <w:lang w:val="en-GB"/>
        </w:rPr>
      </w:pPr>
      <w:r w:rsidRPr="009A5A5E">
        <w:rPr>
          <w:rStyle w:val="FootnoteReference"/>
          <w:rFonts w:ascii="Times New Roman" w:hAnsi="Times New Roman" w:cs="Times New Roman"/>
        </w:rPr>
        <w:footnoteRef/>
      </w:r>
      <w:r w:rsidRPr="009A5A5E">
        <w:rPr>
          <w:rFonts w:ascii="Times New Roman" w:hAnsi="Times New Roman" w:cs="Times New Roman"/>
        </w:rPr>
        <w:t xml:space="preserve"> </w:t>
      </w:r>
      <w:r>
        <w:rPr>
          <w:rFonts w:ascii="Times New Roman" w:hAnsi="Times New Roman" w:cs="Times New Roman"/>
        </w:rPr>
        <w:t xml:space="preserve">This is an approximation as in practice the link between the evolution of the balanced contribution rates and replacement rates under a DB scheme is not linear. </w:t>
      </w:r>
    </w:p>
  </w:footnote>
  <w:footnote w:id="21">
    <w:p w14:paraId="4A814A63" w14:textId="77777777" w:rsidR="00713797" w:rsidRPr="00EF431E" w:rsidRDefault="00713797" w:rsidP="00861B89">
      <w:pPr>
        <w:pStyle w:val="FootnoteText"/>
        <w:jc w:val="both"/>
        <w:rPr>
          <w:rFonts w:ascii="Times New Roman" w:hAnsi="Times New Roman" w:cs="Times New Roman"/>
          <w:lang w:val="en-GB"/>
        </w:rPr>
      </w:pPr>
      <w:r w:rsidRPr="00EF431E">
        <w:rPr>
          <w:rStyle w:val="FootnoteReference"/>
          <w:rFonts w:ascii="Times New Roman" w:hAnsi="Times New Roman" w:cs="Times New Roman"/>
        </w:rPr>
        <w:footnoteRef/>
      </w:r>
      <w:r w:rsidRPr="00EF431E">
        <w:rPr>
          <w:rFonts w:ascii="Times New Roman" w:hAnsi="Times New Roman" w:cs="Times New Roman"/>
        </w:rPr>
        <w:t xml:space="preserve"> We set the indexation lower bound at 0% so that the pension payments do not decrease in nominal terms. However, pensions might decrease in real terms.</w:t>
      </w:r>
    </w:p>
  </w:footnote>
  <w:footnote w:id="22">
    <w:p w14:paraId="5D0F81EB" w14:textId="77777777" w:rsidR="00713797" w:rsidRPr="00EF431E" w:rsidRDefault="00713797" w:rsidP="00A66245">
      <w:pPr>
        <w:pStyle w:val="FootnoteText"/>
        <w:jc w:val="both"/>
        <w:rPr>
          <w:rFonts w:ascii="Times New Roman" w:hAnsi="Times New Roman" w:cs="Times New Roman"/>
          <w:lang w:val="en-GB"/>
        </w:rPr>
      </w:pPr>
      <w:r w:rsidRPr="00EF431E">
        <w:rPr>
          <w:rStyle w:val="FootnoteReference"/>
          <w:rFonts w:ascii="Times New Roman" w:hAnsi="Times New Roman" w:cs="Times New Roman"/>
        </w:rPr>
        <w:footnoteRef/>
      </w:r>
      <w:r w:rsidRPr="00EF431E">
        <w:rPr>
          <w:rFonts w:ascii="Times New Roman" w:hAnsi="Times New Roman" w:cs="Times New Roman"/>
        </w:rPr>
        <w:t xml:space="preserve"> </w:t>
      </w:r>
      <w:r w:rsidRPr="00EF431E">
        <w:rPr>
          <w:rFonts w:ascii="Times New Roman" w:eastAsia="Times New Roman" w:hAnsi="Times New Roman" w:cs="Times New Roman"/>
          <w:lang w:val="en-GB" w:eastAsia="es-ES"/>
        </w:rPr>
        <w:t xml:space="preserve">In practice, funding schemes are subject to several risks such as longevity or interest rate risks. However, such risks are beyond the scope of this paper. In this case, this scheme </w:t>
      </w:r>
      <w:proofErr w:type="gramStart"/>
      <w:r w:rsidRPr="00EF431E">
        <w:rPr>
          <w:rFonts w:ascii="Times New Roman" w:eastAsia="Times New Roman" w:hAnsi="Times New Roman" w:cs="Times New Roman"/>
          <w:lang w:val="en-GB" w:eastAsia="es-ES"/>
        </w:rPr>
        <w:t>can be seen as</w:t>
      </w:r>
      <w:proofErr w:type="gramEnd"/>
      <w:r w:rsidRPr="00EF431E">
        <w:rPr>
          <w:rFonts w:ascii="Times New Roman" w:eastAsia="Times New Roman" w:hAnsi="Times New Roman" w:cs="Times New Roman"/>
          <w:lang w:val="en-GB" w:eastAsia="es-ES"/>
        </w:rPr>
        <w:t xml:space="preserve"> actuarially fair so that the expected present value of lifetime contributions is equal to the expected present value of benefits. </w:t>
      </w:r>
    </w:p>
  </w:footnote>
  <w:footnote w:id="23">
    <w:p w14:paraId="36F7F8ED" w14:textId="77777777" w:rsidR="00713797" w:rsidRPr="00EF431E" w:rsidRDefault="00713797" w:rsidP="00EB21E8">
      <w:pPr>
        <w:pStyle w:val="FootnoteText"/>
        <w:jc w:val="both"/>
        <w:rPr>
          <w:rFonts w:ascii="Times New Roman" w:hAnsi="Times New Roman" w:cs="Times New Roman"/>
          <w:lang w:val="en-GB"/>
        </w:rPr>
      </w:pPr>
      <w:r w:rsidRPr="00EF431E">
        <w:rPr>
          <w:rStyle w:val="FootnoteReference"/>
          <w:rFonts w:ascii="Times New Roman" w:hAnsi="Times New Roman" w:cs="Times New Roman"/>
        </w:rPr>
        <w:footnoteRef/>
      </w:r>
      <w:r w:rsidRPr="00EF431E">
        <w:rPr>
          <w:rFonts w:ascii="Times New Roman" w:hAnsi="Times New Roman" w:cs="Times New Roman"/>
        </w:rPr>
        <w:t xml:space="preserve"> In countries such as Sweden and Norway the investment in equity is 60 and 40% respectively. For more information on buffer fund asset allocation please see </w:t>
      </w:r>
      <w:proofErr w:type="spellStart"/>
      <w:r w:rsidRPr="00EF431E">
        <w:rPr>
          <w:rFonts w:ascii="Times New Roman" w:hAnsi="Times New Roman" w:cs="Times New Roman"/>
        </w:rPr>
        <w:t>Yermo</w:t>
      </w:r>
      <w:proofErr w:type="spellEnd"/>
      <w:r w:rsidRPr="00EF431E">
        <w:rPr>
          <w:rFonts w:ascii="Times New Roman" w:hAnsi="Times New Roman" w:cs="Times New Roman"/>
        </w:rPr>
        <w:t xml:space="preserve"> (2008).  </w:t>
      </w:r>
    </w:p>
  </w:footnote>
  <w:footnote w:id="24">
    <w:p w14:paraId="62156CCB" w14:textId="77777777" w:rsidR="00713797" w:rsidRPr="00E43C0C" w:rsidRDefault="00713797" w:rsidP="00D92DF2">
      <w:pPr>
        <w:pStyle w:val="FootnoteText"/>
        <w:jc w:val="both"/>
        <w:rPr>
          <w:rFonts w:ascii="Times New Roman" w:hAnsi="Times New Roman" w:cs="Times New Roman"/>
          <w:lang w:val="en-GB"/>
        </w:rPr>
      </w:pPr>
      <w:r w:rsidRPr="00EF431E">
        <w:rPr>
          <w:rStyle w:val="FootnoteReference"/>
          <w:rFonts w:ascii="Times New Roman" w:hAnsi="Times New Roman" w:cs="Times New Roman"/>
        </w:rPr>
        <w:footnoteRef/>
      </w:r>
      <w:r w:rsidRPr="00EF431E">
        <w:rPr>
          <w:rFonts w:ascii="Times New Roman" w:hAnsi="Times New Roman" w:cs="Times New Roman"/>
          <w:lang w:val="en-GB"/>
        </w:rPr>
        <w:t xml:space="preserve"> There are some reasons to support our sample choice. First, we tried to be conservative in our forecasts by selecting a historical period which comprises the recent financial crisis 2008-2012. This introduces an additional degree of uncertainty to the asset portfolios. Second, there is a consensus about how the recent financial crisis resulted in a structural change in the</w:t>
      </w:r>
      <w:r w:rsidRPr="00EF431E">
        <w:rPr>
          <w:rFonts w:ascii="Times New Roman" w:hAnsi="Times New Roman" w:cs="Times New Roman"/>
        </w:rPr>
        <w:t xml:space="preserve"> financial system; see, for instance, the vast approval of regulation like the Dodd-Frank Act 2010 in the US, and </w:t>
      </w:r>
      <w:proofErr w:type="spellStart"/>
      <w:r w:rsidRPr="00EF431E">
        <w:rPr>
          <w:rFonts w:ascii="Times New Roman" w:hAnsi="Times New Roman" w:cs="Times New Roman"/>
        </w:rPr>
        <w:t>MiFIDII</w:t>
      </w:r>
      <w:proofErr w:type="spellEnd"/>
      <w:r w:rsidRPr="00EF431E">
        <w:rPr>
          <w:rFonts w:ascii="Times New Roman" w:hAnsi="Times New Roman" w:cs="Times New Roman"/>
        </w:rPr>
        <w:t xml:space="preserve"> in Europe. Under this perspective, the usage of long-term data could result in an unrealistic source of information for generating future scenarios.</w:t>
      </w:r>
    </w:p>
  </w:footnote>
  <w:footnote w:id="25">
    <w:p w14:paraId="6AFB99A3" w14:textId="77777777" w:rsidR="00713797" w:rsidRPr="00E43C0C" w:rsidRDefault="00713797" w:rsidP="0092374B">
      <w:pPr>
        <w:pStyle w:val="FootnoteText"/>
        <w:jc w:val="both"/>
        <w:rPr>
          <w:rFonts w:ascii="Times New Roman" w:hAnsi="Times New Roman" w:cs="Times New Roman"/>
          <w:lang w:val="en-GB"/>
        </w:rPr>
      </w:pPr>
      <w:r w:rsidRPr="00E43C0C">
        <w:rPr>
          <w:rStyle w:val="FootnoteReference"/>
          <w:rFonts w:ascii="Times New Roman" w:hAnsi="Times New Roman" w:cs="Times New Roman"/>
        </w:rPr>
        <w:footnoteRef/>
      </w:r>
      <w:r w:rsidRPr="00E43C0C">
        <w:rPr>
          <w:rFonts w:ascii="Times New Roman" w:hAnsi="Times New Roman" w:cs="Times New Roman"/>
          <w:lang w:val="en-GB"/>
        </w:rPr>
        <w:t xml:space="preserve"> </w:t>
      </w:r>
      <w:r w:rsidRPr="00E43C0C">
        <w:rPr>
          <w:rFonts w:ascii="Times New Roman" w:eastAsia="Times New Roman" w:hAnsi="Times New Roman" w:cs="Times New Roman"/>
          <w:lang w:val="en-GB" w:eastAsia="es-ES"/>
        </w:rPr>
        <w:t>Time series of real bond portfolio funds are employed. In this case, bonds are captured by Vanguard Euro Government Bond Index Fund (ISIN IE0007472115), a pool of different Euro government bonds with average maturity 8.90 years and duration 7.34.</w:t>
      </w:r>
    </w:p>
  </w:footnote>
  <w:footnote w:id="26">
    <w:p w14:paraId="5141DFA6" w14:textId="77777777" w:rsidR="00713797" w:rsidRPr="0092374B" w:rsidRDefault="00713797" w:rsidP="00E844C3">
      <w:pPr>
        <w:pStyle w:val="FootnoteText"/>
        <w:jc w:val="both"/>
        <w:rPr>
          <w:rFonts w:ascii="Times New Roman" w:hAnsi="Times New Roman" w:cs="Times New Roman"/>
          <w:lang w:val="en-GB"/>
        </w:rPr>
      </w:pPr>
      <w:r w:rsidRPr="009A5A5E">
        <w:rPr>
          <w:rStyle w:val="FootnoteReference"/>
          <w:rFonts w:ascii="Times New Roman" w:hAnsi="Times New Roman" w:cs="Times New Roman"/>
        </w:rPr>
        <w:footnoteRef/>
      </w:r>
      <w:r w:rsidRPr="009A5A5E">
        <w:rPr>
          <w:rFonts w:ascii="Times New Roman" w:hAnsi="Times New Roman" w:cs="Times New Roman"/>
        </w:rPr>
        <w:t xml:space="preserve"> </w:t>
      </w:r>
      <w:r>
        <w:rPr>
          <w:rFonts w:ascii="Times New Roman" w:hAnsi="Times New Roman" w:cs="Times New Roman"/>
        </w:rPr>
        <w:t xml:space="preserve">As the base year is 2015 and years 2016 and 2017 are already </w:t>
      </w:r>
      <w:proofErr w:type="spellStart"/>
      <w:r>
        <w:rPr>
          <w:rFonts w:ascii="Times New Roman" w:hAnsi="Times New Roman" w:cs="Times New Roman"/>
        </w:rPr>
        <w:t>realised</w:t>
      </w:r>
      <w:proofErr w:type="spellEnd"/>
      <w:r>
        <w:rPr>
          <w:rFonts w:ascii="Times New Roman" w:hAnsi="Times New Roman" w:cs="Times New Roman"/>
        </w:rPr>
        <w:t>, a total of 73 blocks are concatenated for year simulation.</w:t>
      </w:r>
    </w:p>
  </w:footnote>
  <w:footnote w:id="27">
    <w:p w14:paraId="672DD09F" w14:textId="6EE26C01" w:rsidR="00713797" w:rsidRPr="00935AD6" w:rsidRDefault="00713797" w:rsidP="00935AD6">
      <w:pPr>
        <w:pStyle w:val="Default"/>
        <w:jc w:val="both"/>
        <w:rPr>
          <w:color w:val="FF0000"/>
          <w:sz w:val="20"/>
          <w:szCs w:val="20"/>
        </w:rPr>
      </w:pPr>
      <w:r w:rsidRPr="00935AD6">
        <w:rPr>
          <w:rStyle w:val="FootnoteReference"/>
          <w:sz w:val="20"/>
          <w:szCs w:val="20"/>
        </w:rPr>
        <w:footnoteRef/>
      </w:r>
      <w:r w:rsidRPr="00935AD6">
        <w:rPr>
          <w:sz w:val="20"/>
          <w:szCs w:val="20"/>
        </w:rPr>
        <w:t xml:space="preserve"> We use projected Spanish mortality rates over the period 2016-2065 for males obtained from the National </w:t>
      </w:r>
      <w:r w:rsidRPr="000A1823">
        <w:rPr>
          <w:color w:val="auto"/>
          <w:sz w:val="20"/>
          <w:szCs w:val="20"/>
        </w:rPr>
        <w:t>Institute of Statistics. Mortality rates are assumed constant after 2065.</w:t>
      </w:r>
      <w:r w:rsidR="00935AD6" w:rsidRPr="000A1823">
        <w:rPr>
          <w:color w:val="auto"/>
          <w:sz w:val="20"/>
          <w:szCs w:val="20"/>
        </w:rPr>
        <w:t xml:space="preserve"> </w:t>
      </w:r>
      <w:bookmarkStart w:id="21" w:name="_Hlk11853191"/>
      <w:r w:rsidR="00935AD6" w:rsidRPr="000A1823">
        <w:rPr>
          <w:color w:val="auto"/>
          <w:sz w:val="20"/>
          <w:szCs w:val="20"/>
        </w:rPr>
        <w:t xml:space="preserve">Spain is one of the most ageing countries in Europe with only Sweden and Norway having a slightly higher life expectancy. </w:t>
      </w:r>
      <w:r w:rsidR="00C0177D" w:rsidRPr="000A1823">
        <w:rPr>
          <w:color w:val="auto"/>
          <w:sz w:val="20"/>
          <w:szCs w:val="20"/>
        </w:rPr>
        <w:t>We use the mortality tables for males whose mortality is slightly higher so that the rates are more representative of the European population.</w:t>
      </w:r>
    </w:p>
    <w:bookmarkEnd w:id="21"/>
  </w:footnote>
  <w:footnote w:id="28">
    <w:p w14:paraId="63A9647D" w14:textId="77777777" w:rsidR="00713797" w:rsidRDefault="00713797" w:rsidP="00F904B3">
      <w:pPr>
        <w:pStyle w:val="FootnoteText"/>
        <w:jc w:val="both"/>
        <w:rPr>
          <w:rFonts w:ascii="Times New Roman" w:eastAsia="Times New Roman" w:hAnsi="Times New Roman" w:cs="Times New Roman"/>
          <w:lang w:val="en-GB" w:eastAsia="es-ES"/>
        </w:rPr>
      </w:pPr>
      <w:r w:rsidRPr="00EF431E">
        <w:rPr>
          <w:rStyle w:val="FootnoteReference"/>
          <w:rFonts w:ascii="Times New Roman" w:hAnsi="Times New Roman" w:cs="Times New Roman"/>
        </w:rPr>
        <w:footnoteRef/>
      </w:r>
      <w:r w:rsidRPr="00EF431E">
        <w:rPr>
          <w:rFonts w:ascii="Times New Roman" w:hAnsi="Times New Roman" w:cs="Times New Roman"/>
        </w:rPr>
        <w:t xml:space="preserve"> </w:t>
      </w:r>
      <w:r w:rsidRPr="00EF431E">
        <w:rPr>
          <w:rFonts w:ascii="Times New Roman" w:eastAsia="Times New Roman" w:hAnsi="Times New Roman" w:cs="Times New Roman"/>
          <w:lang w:val="en-GB" w:eastAsia="es-ES"/>
        </w:rPr>
        <w:t xml:space="preserve">These results are in line with the empirical evidence on the high average </w:t>
      </w:r>
      <w:r w:rsidRPr="00E844C3">
        <w:rPr>
          <w:rFonts w:ascii="Times New Roman" w:eastAsia="Times New Roman" w:hAnsi="Times New Roman" w:cs="Times New Roman"/>
          <w:lang w:val="en-GB" w:eastAsia="es-ES"/>
        </w:rPr>
        <w:t>market risk premium -average market return over the risk-free rate. The average return of equities on excess of long-term bond returns was 6.2% during the past 110 years; see Dimson, Marsh and Staunton (2011).</w:t>
      </w:r>
    </w:p>
    <w:p w14:paraId="7480EB7F" w14:textId="77777777" w:rsidR="00713797" w:rsidRDefault="00713797" w:rsidP="00F904B3">
      <w:pPr>
        <w:pStyle w:val="FootnoteText"/>
        <w:jc w:val="both"/>
        <w:rPr>
          <w:rFonts w:ascii="Times New Roman" w:hAnsi="Times New Roman" w:cs="Times New Roman"/>
          <w:lang w:val="en-GB"/>
        </w:rPr>
      </w:pPr>
    </w:p>
    <w:p w14:paraId="10D74A0C" w14:textId="77777777" w:rsidR="00713797" w:rsidRDefault="00713797" w:rsidP="00F904B3">
      <w:pPr>
        <w:pStyle w:val="FootnoteText"/>
        <w:jc w:val="both"/>
        <w:rPr>
          <w:rFonts w:ascii="Times New Roman" w:hAnsi="Times New Roman" w:cs="Times New Roman"/>
          <w:lang w:val="en-GB"/>
        </w:rPr>
      </w:pPr>
    </w:p>
    <w:p w14:paraId="2E4058D8" w14:textId="77777777" w:rsidR="00713797" w:rsidRDefault="00713797" w:rsidP="00F904B3">
      <w:pPr>
        <w:pStyle w:val="FootnoteText"/>
        <w:jc w:val="both"/>
        <w:rPr>
          <w:rFonts w:ascii="Times New Roman" w:hAnsi="Times New Roman" w:cs="Times New Roman"/>
          <w:lang w:val="en-GB"/>
        </w:rPr>
      </w:pPr>
    </w:p>
    <w:p w14:paraId="759D2FEE" w14:textId="77777777" w:rsidR="00713797" w:rsidRPr="00713DE3" w:rsidRDefault="00713797" w:rsidP="00F904B3">
      <w:pPr>
        <w:pStyle w:val="FootnoteText"/>
        <w:jc w:val="both"/>
        <w:rPr>
          <w:rFonts w:ascii="Times New Roman" w:hAnsi="Times New Roman" w:cs="Times New Roman"/>
        </w:rPr>
      </w:pPr>
    </w:p>
  </w:footnote>
  <w:footnote w:id="29">
    <w:p w14:paraId="2A44B905" w14:textId="77777777" w:rsidR="00713797" w:rsidRDefault="00713797" w:rsidP="009C0CA9">
      <w:pPr>
        <w:pStyle w:val="FootnoteText"/>
        <w:jc w:val="both"/>
        <w:rPr>
          <w:rFonts w:ascii="Times New Roman" w:eastAsia="Times New Roman" w:hAnsi="Times New Roman" w:cs="Times New Roman"/>
          <w:lang w:val="en-GB" w:eastAsia="es-ES"/>
        </w:rPr>
      </w:pPr>
      <w:r w:rsidRPr="009A5A5E">
        <w:rPr>
          <w:rStyle w:val="FootnoteReference"/>
          <w:rFonts w:ascii="Times New Roman" w:hAnsi="Times New Roman" w:cs="Times New Roman"/>
        </w:rPr>
        <w:footnoteRef/>
      </w:r>
      <w:r w:rsidRPr="009A5A5E">
        <w:rPr>
          <w:rFonts w:ascii="Times New Roman" w:hAnsi="Times New Roman" w:cs="Times New Roman"/>
        </w:rPr>
        <w:t xml:space="preserve"> </w:t>
      </w:r>
      <w:r>
        <w:rPr>
          <w:rFonts w:ascii="Times New Roman" w:hAnsi="Times New Roman" w:cs="Times New Roman"/>
        </w:rPr>
        <w:t xml:space="preserve">Detailed </w:t>
      </w:r>
      <w:r>
        <w:rPr>
          <w:rFonts w:ascii="Times New Roman" w:eastAsia="Times New Roman" w:hAnsi="Times New Roman" w:cs="Times New Roman"/>
          <w:lang w:val="en-GB" w:eastAsia="es-ES"/>
        </w:rPr>
        <w:t>results are not included in the paper as these are very similar to the ones in Figure 4.</w:t>
      </w:r>
    </w:p>
    <w:p w14:paraId="297ABC86" w14:textId="77777777" w:rsidR="00713797" w:rsidRDefault="00713797" w:rsidP="009C0CA9">
      <w:pPr>
        <w:pStyle w:val="FootnoteText"/>
        <w:jc w:val="both"/>
        <w:rPr>
          <w:rFonts w:ascii="Times New Roman" w:hAnsi="Times New Roman" w:cs="Times New Roman"/>
          <w:lang w:val="en-GB"/>
        </w:rPr>
      </w:pPr>
    </w:p>
    <w:p w14:paraId="649F33FF" w14:textId="77777777" w:rsidR="00713797" w:rsidRDefault="00713797" w:rsidP="009C0CA9">
      <w:pPr>
        <w:pStyle w:val="FootnoteText"/>
        <w:jc w:val="both"/>
        <w:rPr>
          <w:rFonts w:ascii="Times New Roman" w:hAnsi="Times New Roman" w:cs="Times New Roman"/>
          <w:lang w:val="en-GB"/>
        </w:rPr>
      </w:pPr>
    </w:p>
    <w:p w14:paraId="4A9ABD3D" w14:textId="77777777" w:rsidR="00713797" w:rsidRDefault="00713797" w:rsidP="009C0CA9">
      <w:pPr>
        <w:pStyle w:val="FootnoteText"/>
        <w:jc w:val="both"/>
        <w:rPr>
          <w:rFonts w:ascii="Times New Roman" w:hAnsi="Times New Roman" w:cs="Times New Roman"/>
          <w:lang w:val="en-GB"/>
        </w:rPr>
      </w:pPr>
    </w:p>
    <w:p w14:paraId="2D5AB3D0" w14:textId="77777777" w:rsidR="00713797" w:rsidRPr="00713DE3" w:rsidRDefault="00713797" w:rsidP="009C0CA9">
      <w:pPr>
        <w:pStyle w:val="FootnoteText"/>
        <w:jc w:val="both"/>
        <w:rPr>
          <w:rFonts w:ascii="Times New Roman" w:hAnsi="Times New Roman" w:cs="Times New Roman"/>
        </w:rPr>
      </w:pPr>
    </w:p>
  </w:footnote>
  <w:footnote w:id="30">
    <w:p w14:paraId="0BB10690" w14:textId="13147783" w:rsidR="00713797" w:rsidRPr="005E53E5" w:rsidRDefault="00713797" w:rsidP="001B48B6">
      <w:pPr>
        <w:pStyle w:val="FootnoteText"/>
        <w:jc w:val="both"/>
        <w:rPr>
          <w:rFonts w:ascii="Times New Roman" w:hAnsi="Times New Roman" w:cs="Times New Roman"/>
        </w:rPr>
      </w:pPr>
      <w:r w:rsidRPr="009A5A5E">
        <w:rPr>
          <w:rStyle w:val="FootnoteReference"/>
          <w:rFonts w:ascii="Times New Roman" w:hAnsi="Times New Roman" w:cs="Times New Roman"/>
        </w:rPr>
        <w:footnoteRef/>
      </w:r>
      <w:r w:rsidRPr="009A5A5E">
        <w:rPr>
          <w:rFonts w:ascii="Times New Roman" w:hAnsi="Times New Roman" w:cs="Times New Roman"/>
        </w:rPr>
        <w:t xml:space="preserve"> </w:t>
      </w:r>
      <w:r>
        <w:rPr>
          <w:rFonts w:ascii="Times New Roman" w:hAnsi="Times New Roman" w:cs="Times New Roman"/>
        </w:rPr>
        <w:t xml:space="preserve">When the contribution rate is </w:t>
      </w:r>
      <w:r w:rsidR="005A7242">
        <w:rPr>
          <w:rFonts w:ascii="Times New Roman" w:hAnsi="Times New Roman" w:cs="Times New Roman"/>
        </w:rPr>
        <w:t>5%,</w:t>
      </w:r>
      <w:r>
        <w:rPr>
          <w:rFonts w:ascii="Times New Roman" w:hAnsi="Times New Roman" w:cs="Times New Roman"/>
        </w:rPr>
        <w:t xml:space="preserve"> we aim to assess whether the replacement rate of the DC part reaches 17% (i.e. 5%*60% divided by the balanced contribution rate when the replacement rate is set to 60%, i.e. 18.14%). Therefore, the replacement rate associated to the DB part is set to 43%. Similarly, when the contribution rate to the DC part is 10% the replacement rate associated to the DB part is 27%.</w:t>
      </w:r>
    </w:p>
  </w:footnote>
  <w:footnote w:id="31">
    <w:p w14:paraId="2155672E" w14:textId="77777777" w:rsidR="00713797" w:rsidRPr="00874F79" w:rsidRDefault="00713797" w:rsidP="00E81349">
      <w:pPr>
        <w:jc w:val="both"/>
        <w:rPr>
          <w:rFonts w:ascii="Times New Roman" w:hAnsi="Times New Roman" w:cs="Times New Roman"/>
          <w:sz w:val="20"/>
          <w:szCs w:val="20"/>
          <w:lang w:val="en-GB"/>
        </w:rPr>
      </w:pPr>
      <w:r w:rsidRPr="00874F79">
        <w:rPr>
          <w:rStyle w:val="FootnoteReference"/>
          <w:rFonts w:ascii="Times New Roman" w:hAnsi="Times New Roman" w:cs="Times New Roman"/>
          <w:sz w:val="20"/>
          <w:szCs w:val="20"/>
        </w:rPr>
        <w:footnoteRef/>
      </w:r>
      <w:r w:rsidRPr="00874F79">
        <w:rPr>
          <w:rFonts w:ascii="Times New Roman" w:hAnsi="Times New Roman" w:cs="Times New Roman"/>
          <w:sz w:val="20"/>
          <w:szCs w:val="20"/>
        </w:rPr>
        <w:t xml:space="preserve"> </w:t>
      </w:r>
      <w:r w:rsidRPr="00874F79">
        <w:rPr>
          <w:rFonts w:ascii="Times New Roman" w:hAnsi="Times New Roman" w:cs="Times New Roman"/>
          <w:sz w:val="20"/>
          <w:szCs w:val="20"/>
          <w:lang w:val="en-GB"/>
        </w:rPr>
        <w:t>The optimal adjustments are calculated for a close time horizon of 75 years and are not equitable in the sense that all cohorts receive the same IRR.</w:t>
      </w:r>
    </w:p>
    <w:p w14:paraId="64641145" w14:textId="77777777" w:rsidR="00713797" w:rsidRPr="00E81349" w:rsidRDefault="00713797" w:rsidP="00E81349">
      <w:pPr>
        <w:jc w:val="both"/>
        <w:rPr>
          <w:rFonts w:ascii="Times New Roman" w:hAnsi="Times New Roman" w:cs="Times New Roman"/>
          <w:sz w:val="20"/>
          <w:szCs w:val="20"/>
          <w:lang w:val="en-GB"/>
        </w:rPr>
      </w:pPr>
    </w:p>
    <w:p w14:paraId="6DF781CB" w14:textId="77777777" w:rsidR="00713797" w:rsidRDefault="00713797" w:rsidP="00E81349">
      <w:pPr>
        <w:pStyle w:val="FootnoteText"/>
        <w:jc w:val="both"/>
        <w:rPr>
          <w:rFonts w:ascii="Times New Roman" w:eastAsia="Times New Roman" w:hAnsi="Times New Roman" w:cs="Times New Roman"/>
          <w:lang w:val="en-GB" w:eastAsia="es-ES"/>
        </w:rPr>
      </w:pPr>
    </w:p>
    <w:p w14:paraId="4B3B4101" w14:textId="77777777" w:rsidR="00713797" w:rsidRDefault="00713797" w:rsidP="00E81349">
      <w:pPr>
        <w:pStyle w:val="FootnoteText"/>
        <w:jc w:val="both"/>
        <w:rPr>
          <w:rFonts w:ascii="Times New Roman" w:hAnsi="Times New Roman" w:cs="Times New Roman"/>
          <w:lang w:val="en-GB"/>
        </w:rPr>
      </w:pPr>
    </w:p>
    <w:p w14:paraId="3B39B1BC" w14:textId="77777777" w:rsidR="00713797" w:rsidRDefault="00713797" w:rsidP="00E81349">
      <w:pPr>
        <w:pStyle w:val="FootnoteText"/>
        <w:jc w:val="both"/>
        <w:rPr>
          <w:rFonts w:ascii="Times New Roman" w:hAnsi="Times New Roman" w:cs="Times New Roman"/>
          <w:lang w:val="en-GB"/>
        </w:rPr>
      </w:pPr>
    </w:p>
    <w:p w14:paraId="2F644221" w14:textId="77777777" w:rsidR="00713797" w:rsidRDefault="00713797" w:rsidP="00E81349">
      <w:pPr>
        <w:pStyle w:val="FootnoteText"/>
        <w:jc w:val="both"/>
        <w:rPr>
          <w:rFonts w:ascii="Times New Roman" w:hAnsi="Times New Roman" w:cs="Times New Roman"/>
          <w:lang w:val="en-GB"/>
        </w:rPr>
      </w:pPr>
    </w:p>
    <w:p w14:paraId="3449B4BF" w14:textId="77777777" w:rsidR="00713797" w:rsidRPr="00713DE3" w:rsidRDefault="00713797" w:rsidP="00E81349">
      <w:pPr>
        <w:pStyle w:val="FootnoteText"/>
        <w:jc w:val="both"/>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6B28"/>
    <w:multiLevelType w:val="hybridMultilevel"/>
    <w:tmpl w:val="34DC4A3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87A45"/>
    <w:multiLevelType w:val="hybridMultilevel"/>
    <w:tmpl w:val="8430B1DA"/>
    <w:lvl w:ilvl="0" w:tplc="09F8EA8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5D506B"/>
    <w:multiLevelType w:val="hybridMultilevel"/>
    <w:tmpl w:val="B9884D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23755"/>
    <w:multiLevelType w:val="hybridMultilevel"/>
    <w:tmpl w:val="FCC80F5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B6221"/>
    <w:multiLevelType w:val="hybridMultilevel"/>
    <w:tmpl w:val="A626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60643"/>
    <w:multiLevelType w:val="hybridMultilevel"/>
    <w:tmpl w:val="DB029B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5D2D82"/>
    <w:multiLevelType w:val="hybridMultilevel"/>
    <w:tmpl w:val="DB029B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921AF2"/>
    <w:multiLevelType w:val="hybridMultilevel"/>
    <w:tmpl w:val="EEA274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927BB4"/>
    <w:multiLevelType w:val="hybridMultilevel"/>
    <w:tmpl w:val="11C040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F055BA"/>
    <w:multiLevelType w:val="hybridMultilevel"/>
    <w:tmpl w:val="DB029B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995256"/>
    <w:multiLevelType w:val="hybridMultilevel"/>
    <w:tmpl w:val="3398B6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B827B5"/>
    <w:multiLevelType w:val="hybridMultilevel"/>
    <w:tmpl w:val="0BC4C12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A6457B"/>
    <w:multiLevelType w:val="hybridMultilevel"/>
    <w:tmpl w:val="DB029B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3C09B3"/>
    <w:multiLevelType w:val="hybridMultilevel"/>
    <w:tmpl w:val="DB029B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11"/>
  </w:num>
  <w:num w:numId="5">
    <w:abstractNumId w:val="9"/>
  </w:num>
  <w:num w:numId="6">
    <w:abstractNumId w:val="13"/>
  </w:num>
  <w:num w:numId="7">
    <w:abstractNumId w:val="5"/>
  </w:num>
  <w:num w:numId="8">
    <w:abstractNumId w:val="12"/>
  </w:num>
  <w:num w:numId="9">
    <w:abstractNumId w:val="7"/>
  </w:num>
  <w:num w:numId="10">
    <w:abstractNumId w:val="3"/>
  </w:num>
  <w:num w:numId="11">
    <w:abstractNumId w:val="0"/>
  </w:num>
  <w:num w:numId="12">
    <w:abstractNumId w:val="2"/>
  </w:num>
  <w:num w:numId="13">
    <w:abstractNumId w:val="8"/>
  </w:num>
  <w:num w:numId="1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F85"/>
    <w:rsid w:val="00000695"/>
    <w:rsid w:val="00001A25"/>
    <w:rsid w:val="00001E72"/>
    <w:rsid w:val="0000356C"/>
    <w:rsid w:val="00003838"/>
    <w:rsid w:val="00004879"/>
    <w:rsid w:val="00004E3F"/>
    <w:rsid w:val="00005856"/>
    <w:rsid w:val="00005C59"/>
    <w:rsid w:val="00006212"/>
    <w:rsid w:val="00007814"/>
    <w:rsid w:val="00010B79"/>
    <w:rsid w:val="00010BC7"/>
    <w:rsid w:val="00012055"/>
    <w:rsid w:val="000134BB"/>
    <w:rsid w:val="000135B4"/>
    <w:rsid w:val="000139EE"/>
    <w:rsid w:val="0001458E"/>
    <w:rsid w:val="000145C2"/>
    <w:rsid w:val="00015F2A"/>
    <w:rsid w:val="00015FE8"/>
    <w:rsid w:val="00017A4C"/>
    <w:rsid w:val="0002029E"/>
    <w:rsid w:val="0002216B"/>
    <w:rsid w:val="0002292C"/>
    <w:rsid w:val="00024149"/>
    <w:rsid w:val="000246A6"/>
    <w:rsid w:val="00024E0F"/>
    <w:rsid w:val="0002576E"/>
    <w:rsid w:val="00025BCA"/>
    <w:rsid w:val="000273D3"/>
    <w:rsid w:val="00030109"/>
    <w:rsid w:val="00030584"/>
    <w:rsid w:val="0003096D"/>
    <w:rsid w:val="00030E5F"/>
    <w:rsid w:val="000312A0"/>
    <w:rsid w:val="00031CE7"/>
    <w:rsid w:val="00032DA2"/>
    <w:rsid w:val="0003736A"/>
    <w:rsid w:val="00037C1A"/>
    <w:rsid w:val="000402B7"/>
    <w:rsid w:val="000410FC"/>
    <w:rsid w:val="00041602"/>
    <w:rsid w:val="00043066"/>
    <w:rsid w:val="000430BD"/>
    <w:rsid w:val="000448F3"/>
    <w:rsid w:val="00045D52"/>
    <w:rsid w:val="00046CCE"/>
    <w:rsid w:val="00046CD2"/>
    <w:rsid w:val="00046EDE"/>
    <w:rsid w:val="00047A72"/>
    <w:rsid w:val="000508DB"/>
    <w:rsid w:val="00050A55"/>
    <w:rsid w:val="000529C0"/>
    <w:rsid w:val="00053C1E"/>
    <w:rsid w:val="0005536F"/>
    <w:rsid w:val="000558A9"/>
    <w:rsid w:val="00056680"/>
    <w:rsid w:val="00061D7E"/>
    <w:rsid w:val="00062288"/>
    <w:rsid w:val="00063BAC"/>
    <w:rsid w:val="00063D6E"/>
    <w:rsid w:val="00064EE4"/>
    <w:rsid w:val="00065189"/>
    <w:rsid w:val="0006523E"/>
    <w:rsid w:val="00065472"/>
    <w:rsid w:val="0006607A"/>
    <w:rsid w:val="00066C45"/>
    <w:rsid w:val="00067A07"/>
    <w:rsid w:val="00070476"/>
    <w:rsid w:val="000705B3"/>
    <w:rsid w:val="000717D2"/>
    <w:rsid w:val="0007366C"/>
    <w:rsid w:val="00073EC6"/>
    <w:rsid w:val="000752D5"/>
    <w:rsid w:val="0007681B"/>
    <w:rsid w:val="00077C37"/>
    <w:rsid w:val="00077F82"/>
    <w:rsid w:val="000804AA"/>
    <w:rsid w:val="000806F5"/>
    <w:rsid w:val="000810A4"/>
    <w:rsid w:val="00082627"/>
    <w:rsid w:val="0008288C"/>
    <w:rsid w:val="000834F7"/>
    <w:rsid w:val="00084917"/>
    <w:rsid w:val="00086DC7"/>
    <w:rsid w:val="00092329"/>
    <w:rsid w:val="000923F6"/>
    <w:rsid w:val="00092563"/>
    <w:rsid w:val="00092796"/>
    <w:rsid w:val="00092D12"/>
    <w:rsid w:val="000937EA"/>
    <w:rsid w:val="000949AD"/>
    <w:rsid w:val="000955B2"/>
    <w:rsid w:val="0009577B"/>
    <w:rsid w:val="000957CF"/>
    <w:rsid w:val="00095BE6"/>
    <w:rsid w:val="000A1823"/>
    <w:rsid w:val="000A2068"/>
    <w:rsid w:val="000A271D"/>
    <w:rsid w:val="000A2D53"/>
    <w:rsid w:val="000A2FC5"/>
    <w:rsid w:val="000A3630"/>
    <w:rsid w:val="000A3A7D"/>
    <w:rsid w:val="000A4B88"/>
    <w:rsid w:val="000A6424"/>
    <w:rsid w:val="000A6DDD"/>
    <w:rsid w:val="000A6DF1"/>
    <w:rsid w:val="000A7B0C"/>
    <w:rsid w:val="000B19AE"/>
    <w:rsid w:val="000B4761"/>
    <w:rsid w:val="000B4A36"/>
    <w:rsid w:val="000B7D39"/>
    <w:rsid w:val="000C1EAD"/>
    <w:rsid w:val="000C252C"/>
    <w:rsid w:val="000C2581"/>
    <w:rsid w:val="000C6169"/>
    <w:rsid w:val="000C678A"/>
    <w:rsid w:val="000C689E"/>
    <w:rsid w:val="000D1361"/>
    <w:rsid w:val="000D204B"/>
    <w:rsid w:val="000D2195"/>
    <w:rsid w:val="000D2A0B"/>
    <w:rsid w:val="000D38C6"/>
    <w:rsid w:val="000D39D4"/>
    <w:rsid w:val="000D3C63"/>
    <w:rsid w:val="000D3DB8"/>
    <w:rsid w:val="000D477D"/>
    <w:rsid w:val="000D495E"/>
    <w:rsid w:val="000E195A"/>
    <w:rsid w:val="000E20EB"/>
    <w:rsid w:val="000E2A3F"/>
    <w:rsid w:val="000E2A75"/>
    <w:rsid w:val="000E2FE0"/>
    <w:rsid w:val="000E6AB5"/>
    <w:rsid w:val="000E6CE2"/>
    <w:rsid w:val="000E7376"/>
    <w:rsid w:val="000E7530"/>
    <w:rsid w:val="000E7A9B"/>
    <w:rsid w:val="000E7CF2"/>
    <w:rsid w:val="000F0F0D"/>
    <w:rsid w:val="000F1292"/>
    <w:rsid w:val="000F3717"/>
    <w:rsid w:val="000F4140"/>
    <w:rsid w:val="000F4C9B"/>
    <w:rsid w:val="000F550E"/>
    <w:rsid w:val="000F6E2D"/>
    <w:rsid w:val="00100503"/>
    <w:rsid w:val="00100623"/>
    <w:rsid w:val="00100D10"/>
    <w:rsid w:val="00100D2C"/>
    <w:rsid w:val="0010100F"/>
    <w:rsid w:val="001010A8"/>
    <w:rsid w:val="001018EB"/>
    <w:rsid w:val="00101E04"/>
    <w:rsid w:val="00103195"/>
    <w:rsid w:val="0010431D"/>
    <w:rsid w:val="0010475D"/>
    <w:rsid w:val="0010776E"/>
    <w:rsid w:val="00107FAE"/>
    <w:rsid w:val="001102FD"/>
    <w:rsid w:val="0011143F"/>
    <w:rsid w:val="0011358A"/>
    <w:rsid w:val="00113B3B"/>
    <w:rsid w:val="0011438F"/>
    <w:rsid w:val="00114F48"/>
    <w:rsid w:val="00115290"/>
    <w:rsid w:val="00116B11"/>
    <w:rsid w:val="00116D34"/>
    <w:rsid w:val="0011730C"/>
    <w:rsid w:val="00120038"/>
    <w:rsid w:val="00120475"/>
    <w:rsid w:val="001229E7"/>
    <w:rsid w:val="001231CB"/>
    <w:rsid w:val="001232AE"/>
    <w:rsid w:val="00123B5E"/>
    <w:rsid w:val="0012403A"/>
    <w:rsid w:val="001246D4"/>
    <w:rsid w:val="001248C6"/>
    <w:rsid w:val="00126B2B"/>
    <w:rsid w:val="00126CA1"/>
    <w:rsid w:val="00127D40"/>
    <w:rsid w:val="00127F16"/>
    <w:rsid w:val="001306E7"/>
    <w:rsid w:val="001308E0"/>
    <w:rsid w:val="001309D6"/>
    <w:rsid w:val="00131605"/>
    <w:rsid w:val="00131D49"/>
    <w:rsid w:val="00131EA3"/>
    <w:rsid w:val="0013264D"/>
    <w:rsid w:val="0013325F"/>
    <w:rsid w:val="0013380E"/>
    <w:rsid w:val="001338B5"/>
    <w:rsid w:val="001347A4"/>
    <w:rsid w:val="00135294"/>
    <w:rsid w:val="001356BF"/>
    <w:rsid w:val="001363E8"/>
    <w:rsid w:val="00136421"/>
    <w:rsid w:val="001377D1"/>
    <w:rsid w:val="001405BC"/>
    <w:rsid w:val="00140646"/>
    <w:rsid w:val="00140E76"/>
    <w:rsid w:val="001417D8"/>
    <w:rsid w:val="00142511"/>
    <w:rsid w:val="00143523"/>
    <w:rsid w:val="0014364C"/>
    <w:rsid w:val="001446A0"/>
    <w:rsid w:val="0014497F"/>
    <w:rsid w:val="00150038"/>
    <w:rsid w:val="00150C0F"/>
    <w:rsid w:val="00150F24"/>
    <w:rsid w:val="00151414"/>
    <w:rsid w:val="0015310A"/>
    <w:rsid w:val="00154A7A"/>
    <w:rsid w:val="00156345"/>
    <w:rsid w:val="0015656A"/>
    <w:rsid w:val="00156D19"/>
    <w:rsid w:val="00156D39"/>
    <w:rsid w:val="0015778D"/>
    <w:rsid w:val="00157CAF"/>
    <w:rsid w:val="001601B7"/>
    <w:rsid w:val="0016175A"/>
    <w:rsid w:val="001625BC"/>
    <w:rsid w:val="0016290E"/>
    <w:rsid w:val="0016479D"/>
    <w:rsid w:val="00164A9C"/>
    <w:rsid w:val="00165881"/>
    <w:rsid w:val="00167325"/>
    <w:rsid w:val="001704A2"/>
    <w:rsid w:val="00170CB0"/>
    <w:rsid w:val="00171040"/>
    <w:rsid w:val="00171D74"/>
    <w:rsid w:val="00172F05"/>
    <w:rsid w:val="00173C2E"/>
    <w:rsid w:val="00174350"/>
    <w:rsid w:val="00176F60"/>
    <w:rsid w:val="00177A5B"/>
    <w:rsid w:val="00180AB2"/>
    <w:rsid w:val="00181DEF"/>
    <w:rsid w:val="001825C1"/>
    <w:rsid w:val="001838B1"/>
    <w:rsid w:val="00183A94"/>
    <w:rsid w:val="001848C1"/>
    <w:rsid w:val="00185450"/>
    <w:rsid w:val="0018545B"/>
    <w:rsid w:val="00186E2E"/>
    <w:rsid w:val="00187290"/>
    <w:rsid w:val="001907B4"/>
    <w:rsid w:val="00191157"/>
    <w:rsid w:val="00191ECD"/>
    <w:rsid w:val="001927D1"/>
    <w:rsid w:val="001936FD"/>
    <w:rsid w:val="00195B52"/>
    <w:rsid w:val="00195BA7"/>
    <w:rsid w:val="00196A73"/>
    <w:rsid w:val="001A0960"/>
    <w:rsid w:val="001A11E2"/>
    <w:rsid w:val="001A11F2"/>
    <w:rsid w:val="001A1691"/>
    <w:rsid w:val="001A1AC8"/>
    <w:rsid w:val="001A4E62"/>
    <w:rsid w:val="001A52EF"/>
    <w:rsid w:val="001A58B1"/>
    <w:rsid w:val="001A7181"/>
    <w:rsid w:val="001B1F1D"/>
    <w:rsid w:val="001B48B6"/>
    <w:rsid w:val="001B61F9"/>
    <w:rsid w:val="001B62E4"/>
    <w:rsid w:val="001C01A9"/>
    <w:rsid w:val="001C0CB5"/>
    <w:rsid w:val="001C1B79"/>
    <w:rsid w:val="001C1E96"/>
    <w:rsid w:val="001C3AE9"/>
    <w:rsid w:val="001C4382"/>
    <w:rsid w:val="001C43A4"/>
    <w:rsid w:val="001C58E7"/>
    <w:rsid w:val="001C5AB3"/>
    <w:rsid w:val="001C5C56"/>
    <w:rsid w:val="001C5F38"/>
    <w:rsid w:val="001C5FC0"/>
    <w:rsid w:val="001C6826"/>
    <w:rsid w:val="001C7480"/>
    <w:rsid w:val="001D3941"/>
    <w:rsid w:val="001D44BD"/>
    <w:rsid w:val="001D4ACB"/>
    <w:rsid w:val="001D4F77"/>
    <w:rsid w:val="001D5428"/>
    <w:rsid w:val="001D6947"/>
    <w:rsid w:val="001E0A14"/>
    <w:rsid w:val="001E259A"/>
    <w:rsid w:val="001E4A8E"/>
    <w:rsid w:val="001E5959"/>
    <w:rsid w:val="001E7747"/>
    <w:rsid w:val="001F14AA"/>
    <w:rsid w:val="001F1E23"/>
    <w:rsid w:val="001F207C"/>
    <w:rsid w:val="001F2BF9"/>
    <w:rsid w:val="001F3011"/>
    <w:rsid w:val="001F537B"/>
    <w:rsid w:val="00201B80"/>
    <w:rsid w:val="00202C66"/>
    <w:rsid w:val="00204561"/>
    <w:rsid w:val="00205354"/>
    <w:rsid w:val="00205381"/>
    <w:rsid w:val="00206CF5"/>
    <w:rsid w:val="00207510"/>
    <w:rsid w:val="0020771F"/>
    <w:rsid w:val="0020775A"/>
    <w:rsid w:val="002079F4"/>
    <w:rsid w:val="00207DFD"/>
    <w:rsid w:val="002116CB"/>
    <w:rsid w:val="002141D3"/>
    <w:rsid w:val="00214778"/>
    <w:rsid w:val="002157EF"/>
    <w:rsid w:val="00215C10"/>
    <w:rsid w:val="00216736"/>
    <w:rsid w:val="002168DE"/>
    <w:rsid w:val="002207BD"/>
    <w:rsid w:val="00220A1A"/>
    <w:rsid w:val="00221997"/>
    <w:rsid w:val="00221ECF"/>
    <w:rsid w:val="002222F8"/>
    <w:rsid w:val="0022492F"/>
    <w:rsid w:val="002265EB"/>
    <w:rsid w:val="00227503"/>
    <w:rsid w:val="00227830"/>
    <w:rsid w:val="00230380"/>
    <w:rsid w:val="002304C8"/>
    <w:rsid w:val="00231037"/>
    <w:rsid w:val="00231443"/>
    <w:rsid w:val="002319DC"/>
    <w:rsid w:val="002328A4"/>
    <w:rsid w:val="00232FC4"/>
    <w:rsid w:val="002333D5"/>
    <w:rsid w:val="00234776"/>
    <w:rsid w:val="00234FD6"/>
    <w:rsid w:val="002350B1"/>
    <w:rsid w:val="00235464"/>
    <w:rsid w:val="0023620D"/>
    <w:rsid w:val="00236CDB"/>
    <w:rsid w:val="00236E98"/>
    <w:rsid w:val="00237C78"/>
    <w:rsid w:val="002411B8"/>
    <w:rsid w:val="00241ACE"/>
    <w:rsid w:val="00241B04"/>
    <w:rsid w:val="00243286"/>
    <w:rsid w:val="002437FE"/>
    <w:rsid w:val="00243981"/>
    <w:rsid w:val="002446FF"/>
    <w:rsid w:val="002456D8"/>
    <w:rsid w:val="00245AE5"/>
    <w:rsid w:val="0024607E"/>
    <w:rsid w:val="002477EA"/>
    <w:rsid w:val="00250E64"/>
    <w:rsid w:val="00252B4A"/>
    <w:rsid w:val="00253893"/>
    <w:rsid w:val="00254378"/>
    <w:rsid w:val="002550FD"/>
    <w:rsid w:val="00256092"/>
    <w:rsid w:val="00257104"/>
    <w:rsid w:val="002571A2"/>
    <w:rsid w:val="0025736E"/>
    <w:rsid w:val="0025765A"/>
    <w:rsid w:val="00260394"/>
    <w:rsid w:val="002615EC"/>
    <w:rsid w:val="002616FC"/>
    <w:rsid w:val="002624E8"/>
    <w:rsid w:val="0026257A"/>
    <w:rsid w:val="00263543"/>
    <w:rsid w:val="0026402F"/>
    <w:rsid w:val="00264BA9"/>
    <w:rsid w:val="00265A8C"/>
    <w:rsid w:val="00265F63"/>
    <w:rsid w:val="002661DF"/>
    <w:rsid w:val="00266671"/>
    <w:rsid w:val="002701A7"/>
    <w:rsid w:val="00270D5D"/>
    <w:rsid w:val="00270E78"/>
    <w:rsid w:val="00272B47"/>
    <w:rsid w:val="00275155"/>
    <w:rsid w:val="00275DD3"/>
    <w:rsid w:val="002764D3"/>
    <w:rsid w:val="00276611"/>
    <w:rsid w:val="00277689"/>
    <w:rsid w:val="002811CE"/>
    <w:rsid w:val="00281481"/>
    <w:rsid w:val="00282400"/>
    <w:rsid w:val="00283508"/>
    <w:rsid w:val="002836E4"/>
    <w:rsid w:val="0028382E"/>
    <w:rsid w:val="00283BFC"/>
    <w:rsid w:val="002843BD"/>
    <w:rsid w:val="00284589"/>
    <w:rsid w:val="0028459C"/>
    <w:rsid w:val="00286991"/>
    <w:rsid w:val="00290094"/>
    <w:rsid w:val="002912CE"/>
    <w:rsid w:val="00291656"/>
    <w:rsid w:val="00291AF4"/>
    <w:rsid w:val="00291B9E"/>
    <w:rsid w:val="00292557"/>
    <w:rsid w:val="00293617"/>
    <w:rsid w:val="00294812"/>
    <w:rsid w:val="002956E5"/>
    <w:rsid w:val="00296CD3"/>
    <w:rsid w:val="00297674"/>
    <w:rsid w:val="002A0E33"/>
    <w:rsid w:val="002A23B5"/>
    <w:rsid w:val="002A3704"/>
    <w:rsid w:val="002A3E0F"/>
    <w:rsid w:val="002A52FA"/>
    <w:rsid w:val="002A5445"/>
    <w:rsid w:val="002A5681"/>
    <w:rsid w:val="002A6276"/>
    <w:rsid w:val="002A6A3A"/>
    <w:rsid w:val="002A6D65"/>
    <w:rsid w:val="002A7890"/>
    <w:rsid w:val="002B1044"/>
    <w:rsid w:val="002B2E6C"/>
    <w:rsid w:val="002B34EA"/>
    <w:rsid w:val="002B467D"/>
    <w:rsid w:val="002B5381"/>
    <w:rsid w:val="002B5CFB"/>
    <w:rsid w:val="002B78CC"/>
    <w:rsid w:val="002C0080"/>
    <w:rsid w:val="002C0146"/>
    <w:rsid w:val="002C0D41"/>
    <w:rsid w:val="002C308C"/>
    <w:rsid w:val="002C3E81"/>
    <w:rsid w:val="002C5662"/>
    <w:rsid w:val="002C5B2F"/>
    <w:rsid w:val="002C5DDA"/>
    <w:rsid w:val="002C740C"/>
    <w:rsid w:val="002D0AD0"/>
    <w:rsid w:val="002D0B5C"/>
    <w:rsid w:val="002D1DD0"/>
    <w:rsid w:val="002D2351"/>
    <w:rsid w:val="002D2DD5"/>
    <w:rsid w:val="002D303A"/>
    <w:rsid w:val="002D3544"/>
    <w:rsid w:val="002D3BC4"/>
    <w:rsid w:val="002D547B"/>
    <w:rsid w:val="002D74DE"/>
    <w:rsid w:val="002E04B4"/>
    <w:rsid w:val="002E16F7"/>
    <w:rsid w:val="002E1C02"/>
    <w:rsid w:val="002E2100"/>
    <w:rsid w:val="002E2C7E"/>
    <w:rsid w:val="002E5565"/>
    <w:rsid w:val="002E5BD3"/>
    <w:rsid w:val="002E5C92"/>
    <w:rsid w:val="002E6A52"/>
    <w:rsid w:val="002F0D1D"/>
    <w:rsid w:val="002F133B"/>
    <w:rsid w:val="002F1841"/>
    <w:rsid w:val="002F1CDF"/>
    <w:rsid w:val="002F2FFE"/>
    <w:rsid w:val="002F3128"/>
    <w:rsid w:val="002F4A56"/>
    <w:rsid w:val="002F4A5B"/>
    <w:rsid w:val="002F4BB9"/>
    <w:rsid w:val="002F4D46"/>
    <w:rsid w:val="002F603C"/>
    <w:rsid w:val="002F6340"/>
    <w:rsid w:val="002F739C"/>
    <w:rsid w:val="002F7E8B"/>
    <w:rsid w:val="003005B4"/>
    <w:rsid w:val="00300EAC"/>
    <w:rsid w:val="003012C4"/>
    <w:rsid w:val="003017A1"/>
    <w:rsid w:val="003021FC"/>
    <w:rsid w:val="00302A2B"/>
    <w:rsid w:val="00303B22"/>
    <w:rsid w:val="003044B1"/>
    <w:rsid w:val="00306768"/>
    <w:rsid w:val="00306D67"/>
    <w:rsid w:val="00307249"/>
    <w:rsid w:val="0030731C"/>
    <w:rsid w:val="0031065C"/>
    <w:rsid w:val="00313348"/>
    <w:rsid w:val="0031394A"/>
    <w:rsid w:val="00313A32"/>
    <w:rsid w:val="00313CFA"/>
    <w:rsid w:val="0031479A"/>
    <w:rsid w:val="00314E64"/>
    <w:rsid w:val="00314EE5"/>
    <w:rsid w:val="00315065"/>
    <w:rsid w:val="003154FE"/>
    <w:rsid w:val="003158D6"/>
    <w:rsid w:val="00315A94"/>
    <w:rsid w:val="00316B82"/>
    <w:rsid w:val="00320D42"/>
    <w:rsid w:val="00320D6F"/>
    <w:rsid w:val="00321147"/>
    <w:rsid w:val="003218FE"/>
    <w:rsid w:val="00321E23"/>
    <w:rsid w:val="003225D9"/>
    <w:rsid w:val="0032452F"/>
    <w:rsid w:val="00324C6D"/>
    <w:rsid w:val="00324E7A"/>
    <w:rsid w:val="00325539"/>
    <w:rsid w:val="003260AB"/>
    <w:rsid w:val="00326552"/>
    <w:rsid w:val="00330BAF"/>
    <w:rsid w:val="00330DDF"/>
    <w:rsid w:val="00333646"/>
    <w:rsid w:val="003345D6"/>
    <w:rsid w:val="00334858"/>
    <w:rsid w:val="00335695"/>
    <w:rsid w:val="00335F0A"/>
    <w:rsid w:val="00336175"/>
    <w:rsid w:val="003363C4"/>
    <w:rsid w:val="00336927"/>
    <w:rsid w:val="00337469"/>
    <w:rsid w:val="00340D90"/>
    <w:rsid w:val="003410C7"/>
    <w:rsid w:val="003417B9"/>
    <w:rsid w:val="00341FD8"/>
    <w:rsid w:val="0034258B"/>
    <w:rsid w:val="00342844"/>
    <w:rsid w:val="00342E8B"/>
    <w:rsid w:val="00344E2A"/>
    <w:rsid w:val="00344E62"/>
    <w:rsid w:val="00345217"/>
    <w:rsid w:val="00345503"/>
    <w:rsid w:val="00345B6D"/>
    <w:rsid w:val="00350410"/>
    <w:rsid w:val="00351904"/>
    <w:rsid w:val="00351ED8"/>
    <w:rsid w:val="00352037"/>
    <w:rsid w:val="00352858"/>
    <w:rsid w:val="00352C52"/>
    <w:rsid w:val="00353085"/>
    <w:rsid w:val="0035390D"/>
    <w:rsid w:val="0035503F"/>
    <w:rsid w:val="00355296"/>
    <w:rsid w:val="00355578"/>
    <w:rsid w:val="003601B4"/>
    <w:rsid w:val="00361F66"/>
    <w:rsid w:val="003649A5"/>
    <w:rsid w:val="00366C70"/>
    <w:rsid w:val="0036726C"/>
    <w:rsid w:val="003672BE"/>
    <w:rsid w:val="0037024B"/>
    <w:rsid w:val="0037108E"/>
    <w:rsid w:val="00371E15"/>
    <w:rsid w:val="00372251"/>
    <w:rsid w:val="00372E40"/>
    <w:rsid w:val="0037601F"/>
    <w:rsid w:val="00377C38"/>
    <w:rsid w:val="003816C5"/>
    <w:rsid w:val="003818D7"/>
    <w:rsid w:val="0038227A"/>
    <w:rsid w:val="00382AEC"/>
    <w:rsid w:val="00384ACA"/>
    <w:rsid w:val="00385262"/>
    <w:rsid w:val="00385F0F"/>
    <w:rsid w:val="00385FDB"/>
    <w:rsid w:val="0038741F"/>
    <w:rsid w:val="00390393"/>
    <w:rsid w:val="00390F8D"/>
    <w:rsid w:val="003926AE"/>
    <w:rsid w:val="00392D69"/>
    <w:rsid w:val="00396FED"/>
    <w:rsid w:val="003972E0"/>
    <w:rsid w:val="003A07DA"/>
    <w:rsid w:val="003A2176"/>
    <w:rsid w:val="003A3D7C"/>
    <w:rsid w:val="003A613E"/>
    <w:rsid w:val="003A7393"/>
    <w:rsid w:val="003B0E45"/>
    <w:rsid w:val="003B1B55"/>
    <w:rsid w:val="003B3B0E"/>
    <w:rsid w:val="003B49EC"/>
    <w:rsid w:val="003B6AB9"/>
    <w:rsid w:val="003C0648"/>
    <w:rsid w:val="003C0C29"/>
    <w:rsid w:val="003C2F25"/>
    <w:rsid w:val="003C467E"/>
    <w:rsid w:val="003C46B1"/>
    <w:rsid w:val="003C5FB0"/>
    <w:rsid w:val="003C6499"/>
    <w:rsid w:val="003C65CC"/>
    <w:rsid w:val="003C68F6"/>
    <w:rsid w:val="003C7804"/>
    <w:rsid w:val="003D0EE3"/>
    <w:rsid w:val="003D38BB"/>
    <w:rsid w:val="003D4F58"/>
    <w:rsid w:val="003D5BB8"/>
    <w:rsid w:val="003E09F9"/>
    <w:rsid w:val="003E0F82"/>
    <w:rsid w:val="003E23AE"/>
    <w:rsid w:val="003E2A6D"/>
    <w:rsid w:val="003E3908"/>
    <w:rsid w:val="003E3AE1"/>
    <w:rsid w:val="003E3DB6"/>
    <w:rsid w:val="003E4089"/>
    <w:rsid w:val="003E43FF"/>
    <w:rsid w:val="003E4DDD"/>
    <w:rsid w:val="003E518E"/>
    <w:rsid w:val="003E5EB3"/>
    <w:rsid w:val="003E68DC"/>
    <w:rsid w:val="003F05CE"/>
    <w:rsid w:val="003F0A73"/>
    <w:rsid w:val="003F1CE3"/>
    <w:rsid w:val="003F21E9"/>
    <w:rsid w:val="003F283C"/>
    <w:rsid w:val="003F29AF"/>
    <w:rsid w:val="003F2A98"/>
    <w:rsid w:val="003F3E14"/>
    <w:rsid w:val="003F48E4"/>
    <w:rsid w:val="003F4D9C"/>
    <w:rsid w:val="003F588D"/>
    <w:rsid w:val="003F797D"/>
    <w:rsid w:val="00400F16"/>
    <w:rsid w:val="00401321"/>
    <w:rsid w:val="00401EE2"/>
    <w:rsid w:val="00404566"/>
    <w:rsid w:val="00406CB6"/>
    <w:rsid w:val="004073B7"/>
    <w:rsid w:val="0041009A"/>
    <w:rsid w:val="00410226"/>
    <w:rsid w:val="00410EB5"/>
    <w:rsid w:val="00411114"/>
    <w:rsid w:val="004136E2"/>
    <w:rsid w:val="00413DF2"/>
    <w:rsid w:val="0041448D"/>
    <w:rsid w:val="00414C5B"/>
    <w:rsid w:val="004162B7"/>
    <w:rsid w:val="0042000F"/>
    <w:rsid w:val="0042014D"/>
    <w:rsid w:val="004204D9"/>
    <w:rsid w:val="0042074E"/>
    <w:rsid w:val="00423503"/>
    <w:rsid w:val="00423588"/>
    <w:rsid w:val="0042529C"/>
    <w:rsid w:val="00427E50"/>
    <w:rsid w:val="00431011"/>
    <w:rsid w:val="00431A82"/>
    <w:rsid w:val="00431D1E"/>
    <w:rsid w:val="00431DE8"/>
    <w:rsid w:val="004325D7"/>
    <w:rsid w:val="00432AC9"/>
    <w:rsid w:val="00435386"/>
    <w:rsid w:val="004355AE"/>
    <w:rsid w:val="00435A2F"/>
    <w:rsid w:val="00436C52"/>
    <w:rsid w:val="00436F23"/>
    <w:rsid w:val="00437DB8"/>
    <w:rsid w:val="004408E6"/>
    <w:rsid w:val="00440986"/>
    <w:rsid w:val="00440F06"/>
    <w:rsid w:val="00442072"/>
    <w:rsid w:val="00442400"/>
    <w:rsid w:val="00442874"/>
    <w:rsid w:val="00442DD4"/>
    <w:rsid w:val="00443129"/>
    <w:rsid w:val="00443DCE"/>
    <w:rsid w:val="00443EC1"/>
    <w:rsid w:val="004449CA"/>
    <w:rsid w:val="00445CAA"/>
    <w:rsid w:val="00446769"/>
    <w:rsid w:val="004467BD"/>
    <w:rsid w:val="00447252"/>
    <w:rsid w:val="004515D6"/>
    <w:rsid w:val="00452161"/>
    <w:rsid w:val="004529E2"/>
    <w:rsid w:val="00452E95"/>
    <w:rsid w:val="00453A33"/>
    <w:rsid w:val="0045535C"/>
    <w:rsid w:val="00456065"/>
    <w:rsid w:val="00456BD2"/>
    <w:rsid w:val="004575AB"/>
    <w:rsid w:val="00457A00"/>
    <w:rsid w:val="00457CB6"/>
    <w:rsid w:val="00457CCA"/>
    <w:rsid w:val="004601E0"/>
    <w:rsid w:val="0046060C"/>
    <w:rsid w:val="00460AEF"/>
    <w:rsid w:val="004617BB"/>
    <w:rsid w:val="00461CA4"/>
    <w:rsid w:val="004628B6"/>
    <w:rsid w:val="00463297"/>
    <w:rsid w:val="004641C0"/>
    <w:rsid w:val="004645D1"/>
    <w:rsid w:val="00465EC4"/>
    <w:rsid w:val="0046697A"/>
    <w:rsid w:val="004672EE"/>
    <w:rsid w:val="00467C47"/>
    <w:rsid w:val="0047298A"/>
    <w:rsid w:val="00473D86"/>
    <w:rsid w:val="00473EC8"/>
    <w:rsid w:val="00474DE2"/>
    <w:rsid w:val="004750A8"/>
    <w:rsid w:val="004754B8"/>
    <w:rsid w:val="0047551F"/>
    <w:rsid w:val="00475768"/>
    <w:rsid w:val="00476553"/>
    <w:rsid w:val="00477D91"/>
    <w:rsid w:val="00480531"/>
    <w:rsid w:val="00482292"/>
    <w:rsid w:val="0048303F"/>
    <w:rsid w:val="004831EE"/>
    <w:rsid w:val="00483F3A"/>
    <w:rsid w:val="00484954"/>
    <w:rsid w:val="00484FE5"/>
    <w:rsid w:val="00486262"/>
    <w:rsid w:val="0048682A"/>
    <w:rsid w:val="00486A7A"/>
    <w:rsid w:val="004878BB"/>
    <w:rsid w:val="00487C77"/>
    <w:rsid w:val="00490219"/>
    <w:rsid w:val="0049119B"/>
    <w:rsid w:val="00492E51"/>
    <w:rsid w:val="0049451B"/>
    <w:rsid w:val="004959B3"/>
    <w:rsid w:val="004A0895"/>
    <w:rsid w:val="004A0E74"/>
    <w:rsid w:val="004A1D5A"/>
    <w:rsid w:val="004A1F34"/>
    <w:rsid w:val="004A26AB"/>
    <w:rsid w:val="004A376F"/>
    <w:rsid w:val="004A3BB4"/>
    <w:rsid w:val="004A55B1"/>
    <w:rsid w:val="004A64F0"/>
    <w:rsid w:val="004A6ED0"/>
    <w:rsid w:val="004A74C1"/>
    <w:rsid w:val="004A74FB"/>
    <w:rsid w:val="004B0092"/>
    <w:rsid w:val="004B036F"/>
    <w:rsid w:val="004B1CD1"/>
    <w:rsid w:val="004B1D4C"/>
    <w:rsid w:val="004B26C9"/>
    <w:rsid w:val="004B2A16"/>
    <w:rsid w:val="004B496E"/>
    <w:rsid w:val="004B6AF9"/>
    <w:rsid w:val="004B6FE7"/>
    <w:rsid w:val="004B797D"/>
    <w:rsid w:val="004B79BD"/>
    <w:rsid w:val="004C028D"/>
    <w:rsid w:val="004C13EE"/>
    <w:rsid w:val="004C1F35"/>
    <w:rsid w:val="004C2344"/>
    <w:rsid w:val="004C32A9"/>
    <w:rsid w:val="004C65AE"/>
    <w:rsid w:val="004D0382"/>
    <w:rsid w:val="004D1F5B"/>
    <w:rsid w:val="004D21E2"/>
    <w:rsid w:val="004D33A4"/>
    <w:rsid w:val="004D348C"/>
    <w:rsid w:val="004D3FB9"/>
    <w:rsid w:val="004D4439"/>
    <w:rsid w:val="004D5328"/>
    <w:rsid w:val="004D5DA0"/>
    <w:rsid w:val="004D6452"/>
    <w:rsid w:val="004D74BB"/>
    <w:rsid w:val="004E07B3"/>
    <w:rsid w:val="004E080D"/>
    <w:rsid w:val="004E0B9E"/>
    <w:rsid w:val="004E0C57"/>
    <w:rsid w:val="004E0F91"/>
    <w:rsid w:val="004E132D"/>
    <w:rsid w:val="004E27D5"/>
    <w:rsid w:val="004E31E3"/>
    <w:rsid w:val="004E3845"/>
    <w:rsid w:val="004E56A1"/>
    <w:rsid w:val="004E7C41"/>
    <w:rsid w:val="004F010D"/>
    <w:rsid w:val="004F2148"/>
    <w:rsid w:val="004F2782"/>
    <w:rsid w:val="004F27E8"/>
    <w:rsid w:val="004F5922"/>
    <w:rsid w:val="004F637F"/>
    <w:rsid w:val="004F75A9"/>
    <w:rsid w:val="005012D6"/>
    <w:rsid w:val="005015BF"/>
    <w:rsid w:val="00501C65"/>
    <w:rsid w:val="005027CE"/>
    <w:rsid w:val="00502D08"/>
    <w:rsid w:val="0050320F"/>
    <w:rsid w:val="005047EC"/>
    <w:rsid w:val="0050537F"/>
    <w:rsid w:val="00506374"/>
    <w:rsid w:val="0050754B"/>
    <w:rsid w:val="00510A31"/>
    <w:rsid w:val="00511813"/>
    <w:rsid w:val="00512BF4"/>
    <w:rsid w:val="0051338F"/>
    <w:rsid w:val="00513A0A"/>
    <w:rsid w:val="00514393"/>
    <w:rsid w:val="00514E50"/>
    <w:rsid w:val="00517304"/>
    <w:rsid w:val="00517319"/>
    <w:rsid w:val="00517607"/>
    <w:rsid w:val="00517BA2"/>
    <w:rsid w:val="00520873"/>
    <w:rsid w:val="00520F7A"/>
    <w:rsid w:val="0052100D"/>
    <w:rsid w:val="00521A4F"/>
    <w:rsid w:val="00521CCB"/>
    <w:rsid w:val="00522F20"/>
    <w:rsid w:val="005231CF"/>
    <w:rsid w:val="00523E62"/>
    <w:rsid w:val="005246E8"/>
    <w:rsid w:val="00525E2D"/>
    <w:rsid w:val="0052697D"/>
    <w:rsid w:val="0052794A"/>
    <w:rsid w:val="00527C36"/>
    <w:rsid w:val="005309CD"/>
    <w:rsid w:val="00531CCF"/>
    <w:rsid w:val="00533D8C"/>
    <w:rsid w:val="00534422"/>
    <w:rsid w:val="00535119"/>
    <w:rsid w:val="00535177"/>
    <w:rsid w:val="00535717"/>
    <w:rsid w:val="005359A7"/>
    <w:rsid w:val="00536601"/>
    <w:rsid w:val="00537DEA"/>
    <w:rsid w:val="005446F4"/>
    <w:rsid w:val="0054495C"/>
    <w:rsid w:val="00545879"/>
    <w:rsid w:val="00546235"/>
    <w:rsid w:val="00546A4F"/>
    <w:rsid w:val="00550AAD"/>
    <w:rsid w:val="00550DCB"/>
    <w:rsid w:val="00552AF4"/>
    <w:rsid w:val="00553027"/>
    <w:rsid w:val="0055325E"/>
    <w:rsid w:val="00553423"/>
    <w:rsid w:val="005536C2"/>
    <w:rsid w:val="0055405B"/>
    <w:rsid w:val="0055485F"/>
    <w:rsid w:val="00554CBF"/>
    <w:rsid w:val="00555FCD"/>
    <w:rsid w:val="00560D75"/>
    <w:rsid w:val="00565899"/>
    <w:rsid w:val="00565C11"/>
    <w:rsid w:val="0057082F"/>
    <w:rsid w:val="00570AA1"/>
    <w:rsid w:val="00570FCF"/>
    <w:rsid w:val="0057150D"/>
    <w:rsid w:val="00571F47"/>
    <w:rsid w:val="005737F6"/>
    <w:rsid w:val="005738B5"/>
    <w:rsid w:val="00573D80"/>
    <w:rsid w:val="00574282"/>
    <w:rsid w:val="00575B22"/>
    <w:rsid w:val="00576C33"/>
    <w:rsid w:val="00577256"/>
    <w:rsid w:val="005772DE"/>
    <w:rsid w:val="0057754D"/>
    <w:rsid w:val="00577885"/>
    <w:rsid w:val="00577FB8"/>
    <w:rsid w:val="00580092"/>
    <w:rsid w:val="0058044E"/>
    <w:rsid w:val="00581522"/>
    <w:rsid w:val="00583137"/>
    <w:rsid w:val="0058333F"/>
    <w:rsid w:val="005845B3"/>
    <w:rsid w:val="00585216"/>
    <w:rsid w:val="005862FC"/>
    <w:rsid w:val="00586339"/>
    <w:rsid w:val="00586F3B"/>
    <w:rsid w:val="00590CB3"/>
    <w:rsid w:val="00591A20"/>
    <w:rsid w:val="00591DB0"/>
    <w:rsid w:val="0059398C"/>
    <w:rsid w:val="005940B9"/>
    <w:rsid w:val="005962D5"/>
    <w:rsid w:val="00597207"/>
    <w:rsid w:val="005976B0"/>
    <w:rsid w:val="005977B4"/>
    <w:rsid w:val="005978AB"/>
    <w:rsid w:val="005A061F"/>
    <w:rsid w:val="005A17CC"/>
    <w:rsid w:val="005A1A75"/>
    <w:rsid w:val="005A2012"/>
    <w:rsid w:val="005A2132"/>
    <w:rsid w:val="005A25F7"/>
    <w:rsid w:val="005A34C7"/>
    <w:rsid w:val="005A41D5"/>
    <w:rsid w:val="005A4428"/>
    <w:rsid w:val="005A497B"/>
    <w:rsid w:val="005A531D"/>
    <w:rsid w:val="005A547B"/>
    <w:rsid w:val="005A7242"/>
    <w:rsid w:val="005A7D81"/>
    <w:rsid w:val="005B0717"/>
    <w:rsid w:val="005B145B"/>
    <w:rsid w:val="005B451B"/>
    <w:rsid w:val="005B53CD"/>
    <w:rsid w:val="005B54BD"/>
    <w:rsid w:val="005B585E"/>
    <w:rsid w:val="005B591A"/>
    <w:rsid w:val="005B5E74"/>
    <w:rsid w:val="005B657F"/>
    <w:rsid w:val="005B65B3"/>
    <w:rsid w:val="005B6C18"/>
    <w:rsid w:val="005B767F"/>
    <w:rsid w:val="005B79E0"/>
    <w:rsid w:val="005C06B8"/>
    <w:rsid w:val="005C114C"/>
    <w:rsid w:val="005C1C62"/>
    <w:rsid w:val="005C2D9E"/>
    <w:rsid w:val="005C3549"/>
    <w:rsid w:val="005C55F8"/>
    <w:rsid w:val="005C6F4C"/>
    <w:rsid w:val="005C7828"/>
    <w:rsid w:val="005D0E69"/>
    <w:rsid w:val="005D2694"/>
    <w:rsid w:val="005D36C5"/>
    <w:rsid w:val="005D466B"/>
    <w:rsid w:val="005D5C5D"/>
    <w:rsid w:val="005D6424"/>
    <w:rsid w:val="005D6C58"/>
    <w:rsid w:val="005D6DFF"/>
    <w:rsid w:val="005D70EF"/>
    <w:rsid w:val="005D7AF0"/>
    <w:rsid w:val="005D7BD1"/>
    <w:rsid w:val="005E0E07"/>
    <w:rsid w:val="005E140A"/>
    <w:rsid w:val="005E203C"/>
    <w:rsid w:val="005E23C8"/>
    <w:rsid w:val="005E2A10"/>
    <w:rsid w:val="005E53E5"/>
    <w:rsid w:val="005E55AB"/>
    <w:rsid w:val="005E5A06"/>
    <w:rsid w:val="005E6AB0"/>
    <w:rsid w:val="005E72D8"/>
    <w:rsid w:val="005E7853"/>
    <w:rsid w:val="005E7BB9"/>
    <w:rsid w:val="005E7FCF"/>
    <w:rsid w:val="005F0EDC"/>
    <w:rsid w:val="005F2DB1"/>
    <w:rsid w:val="005F311E"/>
    <w:rsid w:val="005F36C6"/>
    <w:rsid w:val="005F4A3A"/>
    <w:rsid w:val="005F4ECA"/>
    <w:rsid w:val="005F5F51"/>
    <w:rsid w:val="005F6595"/>
    <w:rsid w:val="005F699A"/>
    <w:rsid w:val="005F777C"/>
    <w:rsid w:val="005F7C74"/>
    <w:rsid w:val="006005D2"/>
    <w:rsid w:val="006008DC"/>
    <w:rsid w:val="006020BC"/>
    <w:rsid w:val="006028F7"/>
    <w:rsid w:val="00603C1C"/>
    <w:rsid w:val="006051C1"/>
    <w:rsid w:val="00605774"/>
    <w:rsid w:val="006057B1"/>
    <w:rsid w:val="00605EB4"/>
    <w:rsid w:val="006060B3"/>
    <w:rsid w:val="00606D63"/>
    <w:rsid w:val="00607259"/>
    <w:rsid w:val="00607540"/>
    <w:rsid w:val="00607D2D"/>
    <w:rsid w:val="00610163"/>
    <w:rsid w:val="00610C65"/>
    <w:rsid w:val="006121D6"/>
    <w:rsid w:val="006153CB"/>
    <w:rsid w:val="0061569B"/>
    <w:rsid w:val="00616CA5"/>
    <w:rsid w:val="00616E01"/>
    <w:rsid w:val="00620E02"/>
    <w:rsid w:val="00621EFB"/>
    <w:rsid w:val="006221C6"/>
    <w:rsid w:val="00624B5A"/>
    <w:rsid w:val="0062517C"/>
    <w:rsid w:val="00625961"/>
    <w:rsid w:val="00626038"/>
    <w:rsid w:val="0062676B"/>
    <w:rsid w:val="00626917"/>
    <w:rsid w:val="00630645"/>
    <w:rsid w:val="0063119C"/>
    <w:rsid w:val="006321F2"/>
    <w:rsid w:val="00632912"/>
    <w:rsid w:val="00632C79"/>
    <w:rsid w:val="0063303B"/>
    <w:rsid w:val="006343C1"/>
    <w:rsid w:val="00634505"/>
    <w:rsid w:val="0063524E"/>
    <w:rsid w:val="00635DE2"/>
    <w:rsid w:val="00636103"/>
    <w:rsid w:val="0063618A"/>
    <w:rsid w:val="00640DC3"/>
    <w:rsid w:val="00641FE2"/>
    <w:rsid w:val="0064222C"/>
    <w:rsid w:val="006424FF"/>
    <w:rsid w:val="00643994"/>
    <w:rsid w:val="0064438B"/>
    <w:rsid w:val="006460AF"/>
    <w:rsid w:val="00646BB9"/>
    <w:rsid w:val="00647C3F"/>
    <w:rsid w:val="0065098F"/>
    <w:rsid w:val="0065247B"/>
    <w:rsid w:val="00652AB3"/>
    <w:rsid w:val="00653395"/>
    <w:rsid w:val="00653622"/>
    <w:rsid w:val="006538A4"/>
    <w:rsid w:val="0065397F"/>
    <w:rsid w:val="00654440"/>
    <w:rsid w:val="00654532"/>
    <w:rsid w:val="006560DD"/>
    <w:rsid w:val="00656C1A"/>
    <w:rsid w:val="006577C4"/>
    <w:rsid w:val="00657A7C"/>
    <w:rsid w:val="00657AD4"/>
    <w:rsid w:val="00661175"/>
    <w:rsid w:val="00661B8B"/>
    <w:rsid w:val="00661D8B"/>
    <w:rsid w:val="00664123"/>
    <w:rsid w:val="006651E7"/>
    <w:rsid w:val="00665FB3"/>
    <w:rsid w:val="00667720"/>
    <w:rsid w:val="00667A58"/>
    <w:rsid w:val="00670B45"/>
    <w:rsid w:val="0067126A"/>
    <w:rsid w:val="0067242A"/>
    <w:rsid w:val="006729ED"/>
    <w:rsid w:val="006732BE"/>
    <w:rsid w:val="00673D8A"/>
    <w:rsid w:val="0067401E"/>
    <w:rsid w:val="00674123"/>
    <w:rsid w:val="0067445A"/>
    <w:rsid w:val="00675247"/>
    <w:rsid w:val="00675DB6"/>
    <w:rsid w:val="00676B5C"/>
    <w:rsid w:val="006771B7"/>
    <w:rsid w:val="0067770D"/>
    <w:rsid w:val="00677FB8"/>
    <w:rsid w:val="00680569"/>
    <w:rsid w:val="0068093E"/>
    <w:rsid w:val="006809D4"/>
    <w:rsid w:val="00680D70"/>
    <w:rsid w:val="0068162F"/>
    <w:rsid w:val="00681A06"/>
    <w:rsid w:val="00681AFC"/>
    <w:rsid w:val="006821A1"/>
    <w:rsid w:val="0068384D"/>
    <w:rsid w:val="0069015B"/>
    <w:rsid w:val="006901CE"/>
    <w:rsid w:val="006909C2"/>
    <w:rsid w:val="006919C1"/>
    <w:rsid w:val="00691C15"/>
    <w:rsid w:val="00692FBD"/>
    <w:rsid w:val="00693860"/>
    <w:rsid w:val="006954D2"/>
    <w:rsid w:val="0069623C"/>
    <w:rsid w:val="006972E2"/>
    <w:rsid w:val="00697D60"/>
    <w:rsid w:val="006A042B"/>
    <w:rsid w:val="006A129E"/>
    <w:rsid w:val="006A1E01"/>
    <w:rsid w:val="006A25F6"/>
    <w:rsid w:val="006A64E6"/>
    <w:rsid w:val="006A6F85"/>
    <w:rsid w:val="006B0D84"/>
    <w:rsid w:val="006B305F"/>
    <w:rsid w:val="006B3BE0"/>
    <w:rsid w:val="006B46FD"/>
    <w:rsid w:val="006B517C"/>
    <w:rsid w:val="006B66BA"/>
    <w:rsid w:val="006B6838"/>
    <w:rsid w:val="006B77C8"/>
    <w:rsid w:val="006C0DF4"/>
    <w:rsid w:val="006C1379"/>
    <w:rsid w:val="006C3271"/>
    <w:rsid w:val="006C3355"/>
    <w:rsid w:val="006C3358"/>
    <w:rsid w:val="006C3604"/>
    <w:rsid w:val="006C3EFE"/>
    <w:rsid w:val="006C5587"/>
    <w:rsid w:val="006C717A"/>
    <w:rsid w:val="006D0BF6"/>
    <w:rsid w:val="006D3376"/>
    <w:rsid w:val="006D40DC"/>
    <w:rsid w:val="006D4241"/>
    <w:rsid w:val="006D582D"/>
    <w:rsid w:val="006D5D54"/>
    <w:rsid w:val="006D5F6C"/>
    <w:rsid w:val="006D67F8"/>
    <w:rsid w:val="006D7556"/>
    <w:rsid w:val="006D7994"/>
    <w:rsid w:val="006E03AD"/>
    <w:rsid w:val="006E0975"/>
    <w:rsid w:val="006E259C"/>
    <w:rsid w:val="006E2BED"/>
    <w:rsid w:val="006E32FC"/>
    <w:rsid w:val="006E33CB"/>
    <w:rsid w:val="006E3988"/>
    <w:rsid w:val="006E5B21"/>
    <w:rsid w:val="006E700E"/>
    <w:rsid w:val="006E7D73"/>
    <w:rsid w:val="006F1E03"/>
    <w:rsid w:val="006F2914"/>
    <w:rsid w:val="006F2B74"/>
    <w:rsid w:val="006F30FB"/>
    <w:rsid w:val="006F3580"/>
    <w:rsid w:val="006F476D"/>
    <w:rsid w:val="006F5881"/>
    <w:rsid w:val="006F5D25"/>
    <w:rsid w:val="006F603A"/>
    <w:rsid w:val="007005D2"/>
    <w:rsid w:val="00700D03"/>
    <w:rsid w:val="0070116E"/>
    <w:rsid w:val="00703916"/>
    <w:rsid w:val="00704259"/>
    <w:rsid w:val="00704553"/>
    <w:rsid w:val="00704852"/>
    <w:rsid w:val="00704A99"/>
    <w:rsid w:val="00705AF7"/>
    <w:rsid w:val="00705E2B"/>
    <w:rsid w:val="0070619C"/>
    <w:rsid w:val="007067C7"/>
    <w:rsid w:val="00707022"/>
    <w:rsid w:val="0070776D"/>
    <w:rsid w:val="00707E20"/>
    <w:rsid w:val="007107CB"/>
    <w:rsid w:val="007122EC"/>
    <w:rsid w:val="007126EE"/>
    <w:rsid w:val="00712D76"/>
    <w:rsid w:val="00713526"/>
    <w:rsid w:val="0071378F"/>
    <w:rsid w:val="00713797"/>
    <w:rsid w:val="007137BE"/>
    <w:rsid w:val="00713DE3"/>
    <w:rsid w:val="00714462"/>
    <w:rsid w:val="0071528C"/>
    <w:rsid w:val="00715358"/>
    <w:rsid w:val="00715FE1"/>
    <w:rsid w:val="00717678"/>
    <w:rsid w:val="007200C9"/>
    <w:rsid w:val="007200D3"/>
    <w:rsid w:val="007217D1"/>
    <w:rsid w:val="00725921"/>
    <w:rsid w:val="00725946"/>
    <w:rsid w:val="00726B38"/>
    <w:rsid w:val="007275BB"/>
    <w:rsid w:val="00727A12"/>
    <w:rsid w:val="00730446"/>
    <w:rsid w:val="007306FF"/>
    <w:rsid w:val="0073137B"/>
    <w:rsid w:val="00733729"/>
    <w:rsid w:val="00735059"/>
    <w:rsid w:val="0073542D"/>
    <w:rsid w:val="00735AF1"/>
    <w:rsid w:val="007360A3"/>
    <w:rsid w:val="00736591"/>
    <w:rsid w:val="00736595"/>
    <w:rsid w:val="00737420"/>
    <w:rsid w:val="00737E2E"/>
    <w:rsid w:val="007400BF"/>
    <w:rsid w:val="00740863"/>
    <w:rsid w:val="00741375"/>
    <w:rsid w:val="00741F4E"/>
    <w:rsid w:val="0074407F"/>
    <w:rsid w:val="00746099"/>
    <w:rsid w:val="00746864"/>
    <w:rsid w:val="00747D54"/>
    <w:rsid w:val="00750279"/>
    <w:rsid w:val="007513FD"/>
    <w:rsid w:val="007517E3"/>
    <w:rsid w:val="007526E7"/>
    <w:rsid w:val="00754222"/>
    <w:rsid w:val="007547A7"/>
    <w:rsid w:val="00754E23"/>
    <w:rsid w:val="00755BC5"/>
    <w:rsid w:val="00757076"/>
    <w:rsid w:val="00760108"/>
    <w:rsid w:val="007609A6"/>
    <w:rsid w:val="00762838"/>
    <w:rsid w:val="00762DC1"/>
    <w:rsid w:val="00764E53"/>
    <w:rsid w:val="00765A01"/>
    <w:rsid w:val="00765B0F"/>
    <w:rsid w:val="007679F2"/>
    <w:rsid w:val="00770A7C"/>
    <w:rsid w:val="00771668"/>
    <w:rsid w:val="0077208D"/>
    <w:rsid w:val="00772274"/>
    <w:rsid w:val="00772471"/>
    <w:rsid w:val="0077297C"/>
    <w:rsid w:val="007729E0"/>
    <w:rsid w:val="0077360B"/>
    <w:rsid w:val="00774092"/>
    <w:rsid w:val="007748A7"/>
    <w:rsid w:val="00775458"/>
    <w:rsid w:val="00775B19"/>
    <w:rsid w:val="007762DB"/>
    <w:rsid w:val="0077688C"/>
    <w:rsid w:val="00776C4A"/>
    <w:rsid w:val="007771A6"/>
    <w:rsid w:val="0078197C"/>
    <w:rsid w:val="007824EC"/>
    <w:rsid w:val="00782EC2"/>
    <w:rsid w:val="007831A8"/>
    <w:rsid w:val="00783E6C"/>
    <w:rsid w:val="0078512B"/>
    <w:rsid w:val="00785D6B"/>
    <w:rsid w:val="00786364"/>
    <w:rsid w:val="00787671"/>
    <w:rsid w:val="00790412"/>
    <w:rsid w:val="00792B4D"/>
    <w:rsid w:val="00792BD8"/>
    <w:rsid w:val="0079314E"/>
    <w:rsid w:val="00793389"/>
    <w:rsid w:val="007938D7"/>
    <w:rsid w:val="00794A78"/>
    <w:rsid w:val="00795480"/>
    <w:rsid w:val="0079608D"/>
    <w:rsid w:val="00796BC0"/>
    <w:rsid w:val="00796ED9"/>
    <w:rsid w:val="00797558"/>
    <w:rsid w:val="0079766B"/>
    <w:rsid w:val="00797BCC"/>
    <w:rsid w:val="007A04AE"/>
    <w:rsid w:val="007A051D"/>
    <w:rsid w:val="007A1942"/>
    <w:rsid w:val="007A229A"/>
    <w:rsid w:val="007A2415"/>
    <w:rsid w:val="007A2B13"/>
    <w:rsid w:val="007A5106"/>
    <w:rsid w:val="007A51D4"/>
    <w:rsid w:val="007A5797"/>
    <w:rsid w:val="007A59C5"/>
    <w:rsid w:val="007A5A77"/>
    <w:rsid w:val="007A70A8"/>
    <w:rsid w:val="007A745D"/>
    <w:rsid w:val="007B0099"/>
    <w:rsid w:val="007B0D06"/>
    <w:rsid w:val="007B1B45"/>
    <w:rsid w:val="007B3839"/>
    <w:rsid w:val="007B4A8E"/>
    <w:rsid w:val="007B4EDF"/>
    <w:rsid w:val="007B5373"/>
    <w:rsid w:val="007B571E"/>
    <w:rsid w:val="007B7417"/>
    <w:rsid w:val="007B7504"/>
    <w:rsid w:val="007C1283"/>
    <w:rsid w:val="007C1370"/>
    <w:rsid w:val="007C25B7"/>
    <w:rsid w:val="007C3027"/>
    <w:rsid w:val="007C39E4"/>
    <w:rsid w:val="007C5DE0"/>
    <w:rsid w:val="007C760A"/>
    <w:rsid w:val="007C7BD1"/>
    <w:rsid w:val="007D079E"/>
    <w:rsid w:val="007D145E"/>
    <w:rsid w:val="007D2276"/>
    <w:rsid w:val="007D23A9"/>
    <w:rsid w:val="007D42C0"/>
    <w:rsid w:val="007D467F"/>
    <w:rsid w:val="007D55FE"/>
    <w:rsid w:val="007D5D1F"/>
    <w:rsid w:val="007D7450"/>
    <w:rsid w:val="007D78C5"/>
    <w:rsid w:val="007E02A6"/>
    <w:rsid w:val="007E06D6"/>
    <w:rsid w:val="007E072E"/>
    <w:rsid w:val="007E0812"/>
    <w:rsid w:val="007E08A7"/>
    <w:rsid w:val="007E0E6E"/>
    <w:rsid w:val="007E1374"/>
    <w:rsid w:val="007E13A2"/>
    <w:rsid w:val="007E2130"/>
    <w:rsid w:val="007E2175"/>
    <w:rsid w:val="007E2AE4"/>
    <w:rsid w:val="007E3F44"/>
    <w:rsid w:val="007E49D4"/>
    <w:rsid w:val="007E4C10"/>
    <w:rsid w:val="007E585A"/>
    <w:rsid w:val="007E5D53"/>
    <w:rsid w:val="007E5E80"/>
    <w:rsid w:val="007E6AA9"/>
    <w:rsid w:val="007E76AA"/>
    <w:rsid w:val="007F03FE"/>
    <w:rsid w:val="007F27B7"/>
    <w:rsid w:val="007F283E"/>
    <w:rsid w:val="007F34BE"/>
    <w:rsid w:val="007F3700"/>
    <w:rsid w:val="007F3EBE"/>
    <w:rsid w:val="007F6433"/>
    <w:rsid w:val="007F66F3"/>
    <w:rsid w:val="007F6778"/>
    <w:rsid w:val="007F6850"/>
    <w:rsid w:val="007F75A9"/>
    <w:rsid w:val="007F7CF8"/>
    <w:rsid w:val="008005FF"/>
    <w:rsid w:val="008012C3"/>
    <w:rsid w:val="00801677"/>
    <w:rsid w:val="00802DCE"/>
    <w:rsid w:val="008030AA"/>
    <w:rsid w:val="00803599"/>
    <w:rsid w:val="00803967"/>
    <w:rsid w:val="00805808"/>
    <w:rsid w:val="008059F8"/>
    <w:rsid w:val="00805E74"/>
    <w:rsid w:val="0080674B"/>
    <w:rsid w:val="00807776"/>
    <w:rsid w:val="008103B3"/>
    <w:rsid w:val="00810784"/>
    <w:rsid w:val="00810B5E"/>
    <w:rsid w:val="008119C7"/>
    <w:rsid w:val="00812B2F"/>
    <w:rsid w:val="00813F76"/>
    <w:rsid w:val="0081625A"/>
    <w:rsid w:val="00816628"/>
    <w:rsid w:val="008175B8"/>
    <w:rsid w:val="008177C2"/>
    <w:rsid w:val="00817C83"/>
    <w:rsid w:val="00817DE5"/>
    <w:rsid w:val="00820C20"/>
    <w:rsid w:val="008215BF"/>
    <w:rsid w:val="008222F5"/>
    <w:rsid w:val="00822C69"/>
    <w:rsid w:val="00823115"/>
    <w:rsid w:val="00823230"/>
    <w:rsid w:val="00823714"/>
    <w:rsid w:val="0082441B"/>
    <w:rsid w:val="00824B19"/>
    <w:rsid w:val="00824B80"/>
    <w:rsid w:val="00826A87"/>
    <w:rsid w:val="0083071C"/>
    <w:rsid w:val="00831A35"/>
    <w:rsid w:val="00831FCA"/>
    <w:rsid w:val="0083245A"/>
    <w:rsid w:val="00832618"/>
    <w:rsid w:val="00833FF5"/>
    <w:rsid w:val="008342BC"/>
    <w:rsid w:val="0083442B"/>
    <w:rsid w:val="00835E2E"/>
    <w:rsid w:val="0083629C"/>
    <w:rsid w:val="0083684D"/>
    <w:rsid w:val="00836FA2"/>
    <w:rsid w:val="00837051"/>
    <w:rsid w:val="00837616"/>
    <w:rsid w:val="008378D2"/>
    <w:rsid w:val="008378F0"/>
    <w:rsid w:val="00842188"/>
    <w:rsid w:val="008433AF"/>
    <w:rsid w:val="00843FA3"/>
    <w:rsid w:val="00845349"/>
    <w:rsid w:val="00845A2A"/>
    <w:rsid w:val="00845C1B"/>
    <w:rsid w:val="008471C3"/>
    <w:rsid w:val="00850170"/>
    <w:rsid w:val="008516D2"/>
    <w:rsid w:val="008518F7"/>
    <w:rsid w:val="00851EBA"/>
    <w:rsid w:val="0085290E"/>
    <w:rsid w:val="008531CB"/>
    <w:rsid w:val="00853768"/>
    <w:rsid w:val="008544BC"/>
    <w:rsid w:val="00854F8C"/>
    <w:rsid w:val="00856858"/>
    <w:rsid w:val="00861B89"/>
    <w:rsid w:val="00863066"/>
    <w:rsid w:val="008673D3"/>
    <w:rsid w:val="00870864"/>
    <w:rsid w:val="00870DB8"/>
    <w:rsid w:val="0087176F"/>
    <w:rsid w:val="0087189B"/>
    <w:rsid w:val="00871D06"/>
    <w:rsid w:val="00872A81"/>
    <w:rsid w:val="00872CAC"/>
    <w:rsid w:val="008739DF"/>
    <w:rsid w:val="008743FD"/>
    <w:rsid w:val="008747BB"/>
    <w:rsid w:val="00874F79"/>
    <w:rsid w:val="008754C8"/>
    <w:rsid w:val="00875C0B"/>
    <w:rsid w:val="00875CC1"/>
    <w:rsid w:val="008760EA"/>
    <w:rsid w:val="00876A69"/>
    <w:rsid w:val="00877435"/>
    <w:rsid w:val="008777B8"/>
    <w:rsid w:val="00877899"/>
    <w:rsid w:val="008809CB"/>
    <w:rsid w:val="008841F5"/>
    <w:rsid w:val="00884689"/>
    <w:rsid w:val="0088491F"/>
    <w:rsid w:val="00884ABC"/>
    <w:rsid w:val="008861DE"/>
    <w:rsid w:val="00886D21"/>
    <w:rsid w:val="008872D5"/>
    <w:rsid w:val="00887976"/>
    <w:rsid w:val="0089031F"/>
    <w:rsid w:val="00890C85"/>
    <w:rsid w:val="00891946"/>
    <w:rsid w:val="008919D8"/>
    <w:rsid w:val="00891A69"/>
    <w:rsid w:val="00892A12"/>
    <w:rsid w:val="00893343"/>
    <w:rsid w:val="00894AA8"/>
    <w:rsid w:val="00896668"/>
    <w:rsid w:val="008966C1"/>
    <w:rsid w:val="00896853"/>
    <w:rsid w:val="00896A6C"/>
    <w:rsid w:val="00896C7D"/>
    <w:rsid w:val="008A0441"/>
    <w:rsid w:val="008A1252"/>
    <w:rsid w:val="008A1B1C"/>
    <w:rsid w:val="008A2457"/>
    <w:rsid w:val="008A4D58"/>
    <w:rsid w:val="008A5F3A"/>
    <w:rsid w:val="008A62CD"/>
    <w:rsid w:val="008A6441"/>
    <w:rsid w:val="008A671A"/>
    <w:rsid w:val="008A6C14"/>
    <w:rsid w:val="008A79AD"/>
    <w:rsid w:val="008A7E1F"/>
    <w:rsid w:val="008A7EE7"/>
    <w:rsid w:val="008B0AC4"/>
    <w:rsid w:val="008B0EEE"/>
    <w:rsid w:val="008B19B5"/>
    <w:rsid w:val="008B222E"/>
    <w:rsid w:val="008B2232"/>
    <w:rsid w:val="008B2E24"/>
    <w:rsid w:val="008B32FD"/>
    <w:rsid w:val="008B3617"/>
    <w:rsid w:val="008B3784"/>
    <w:rsid w:val="008B3C51"/>
    <w:rsid w:val="008B4B7F"/>
    <w:rsid w:val="008B4F97"/>
    <w:rsid w:val="008B5E8F"/>
    <w:rsid w:val="008C0350"/>
    <w:rsid w:val="008C0C56"/>
    <w:rsid w:val="008C10FB"/>
    <w:rsid w:val="008C22B6"/>
    <w:rsid w:val="008C258A"/>
    <w:rsid w:val="008C327D"/>
    <w:rsid w:val="008C39CC"/>
    <w:rsid w:val="008C5482"/>
    <w:rsid w:val="008C565C"/>
    <w:rsid w:val="008C6416"/>
    <w:rsid w:val="008C77D1"/>
    <w:rsid w:val="008D0E23"/>
    <w:rsid w:val="008D23D3"/>
    <w:rsid w:val="008D395E"/>
    <w:rsid w:val="008D4A84"/>
    <w:rsid w:val="008D6B4C"/>
    <w:rsid w:val="008D7286"/>
    <w:rsid w:val="008E0CC3"/>
    <w:rsid w:val="008E16FF"/>
    <w:rsid w:val="008E1B73"/>
    <w:rsid w:val="008E1F91"/>
    <w:rsid w:val="008E2BD3"/>
    <w:rsid w:val="008E355C"/>
    <w:rsid w:val="008E3B68"/>
    <w:rsid w:val="008E419B"/>
    <w:rsid w:val="008E43DA"/>
    <w:rsid w:val="008E470E"/>
    <w:rsid w:val="008E4778"/>
    <w:rsid w:val="008E48B0"/>
    <w:rsid w:val="008E4956"/>
    <w:rsid w:val="008E537B"/>
    <w:rsid w:val="008E7D63"/>
    <w:rsid w:val="008F0787"/>
    <w:rsid w:val="008F0AE1"/>
    <w:rsid w:val="008F14BE"/>
    <w:rsid w:val="008F22FE"/>
    <w:rsid w:val="008F5E43"/>
    <w:rsid w:val="008F61DF"/>
    <w:rsid w:val="008F65BB"/>
    <w:rsid w:val="008F6E7B"/>
    <w:rsid w:val="008F77CB"/>
    <w:rsid w:val="0090036A"/>
    <w:rsid w:val="0090175F"/>
    <w:rsid w:val="0090205C"/>
    <w:rsid w:val="00902EC3"/>
    <w:rsid w:val="00904165"/>
    <w:rsid w:val="00904A49"/>
    <w:rsid w:val="00905814"/>
    <w:rsid w:val="00906928"/>
    <w:rsid w:val="009069F9"/>
    <w:rsid w:val="00906C5A"/>
    <w:rsid w:val="009105D8"/>
    <w:rsid w:val="0091100A"/>
    <w:rsid w:val="00911E3B"/>
    <w:rsid w:val="00912670"/>
    <w:rsid w:val="00912E16"/>
    <w:rsid w:val="00913436"/>
    <w:rsid w:val="009135A7"/>
    <w:rsid w:val="009145C8"/>
    <w:rsid w:val="0091500F"/>
    <w:rsid w:val="00915312"/>
    <w:rsid w:val="00915838"/>
    <w:rsid w:val="00916976"/>
    <w:rsid w:val="00917292"/>
    <w:rsid w:val="00917847"/>
    <w:rsid w:val="009207A6"/>
    <w:rsid w:val="00920D02"/>
    <w:rsid w:val="0092211F"/>
    <w:rsid w:val="009231E7"/>
    <w:rsid w:val="0092374B"/>
    <w:rsid w:val="0092436F"/>
    <w:rsid w:val="00924CDD"/>
    <w:rsid w:val="0092513D"/>
    <w:rsid w:val="00925C4F"/>
    <w:rsid w:val="00925CA0"/>
    <w:rsid w:val="00925E8E"/>
    <w:rsid w:val="00927329"/>
    <w:rsid w:val="009301FD"/>
    <w:rsid w:val="009314FD"/>
    <w:rsid w:val="00931996"/>
    <w:rsid w:val="00931AA5"/>
    <w:rsid w:val="00932AA6"/>
    <w:rsid w:val="0093441D"/>
    <w:rsid w:val="00934AB4"/>
    <w:rsid w:val="00934D84"/>
    <w:rsid w:val="00935734"/>
    <w:rsid w:val="00935928"/>
    <w:rsid w:val="00935AD6"/>
    <w:rsid w:val="0093709E"/>
    <w:rsid w:val="00937F09"/>
    <w:rsid w:val="00937FD5"/>
    <w:rsid w:val="00940D4F"/>
    <w:rsid w:val="009426C5"/>
    <w:rsid w:val="009439EA"/>
    <w:rsid w:val="009449E6"/>
    <w:rsid w:val="009450F8"/>
    <w:rsid w:val="00945DFE"/>
    <w:rsid w:val="009518D9"/>
    <w:rsid w:val="00952CDA"/>
    <w:rsid w:val="00952D65"/>
    <w:rsid w:val="009539F5"/>
    <w:rsid w:val="00954EB7"/>
    <w:rsid w:val="00954F0F"/>
    <w:rsid w:val="00954F56"/>
    <w:rsid w:val="00955935"/>
    <w:rsid w:val="00957134"/>
    <w:rsid w:val="00961AA4"/>
    <w:rsid w:val="00963085"/>
    <w:rsid w:val="00963E11"/>
    <w:rsid w:val="00964B05"/>
    <w:rsid w:val="00965D24"/>
    <w:rsid w:val="0096723B"/>
    <w:rsid w:val="0097088E"/>
    <w:rsid w:val="00971044"/>
    <w:rsid w:val="009728ED"/>
    <w:rsid w:val="00972DC3"/>
    <w:rsid w:val="0097380A"/>
    <w:rsid w:val="00973B2D"/>
    <w:rsid w:val="00974A81"/>
    <w:rsid w:val="00974D3B"/>
    <w:rsid w:val="00975070"/>
    <w:rsid w:val="00975D94"/>
    <w:rsid w:val="00975EAE"/>
    <w:rsid w:val="00975F3C"/>
    <w:rsid w:val="00976191"/>
    <w:rsid w:val="00976D32"/>
    <w:rsid w:val="0097769B"/>
    <w:rsid w:val="009822B0"/>
    <w:rsid w:val="00983141"/>
    <w:rsid w:val="00983FEA"/>
    <w:rsid w:val="00984663"/>
    <w:rsid w:val="0098597D"/>
    <w:rsid w:val="009859BB"/>
    <w:rsid w:val="009865D1"/>
    <w:rsid w:val="0098691E"/>
    <w:rsid w:val="0098699C"/>
    <w:rsid w:val="00987AF5"/>
    <w:rsid w:val="00987ED0"/>
    <w:rsid w:val="00990F86"/>
    <w:rsid w:val="0099129F"/>
    <w:rsid w:val="009915A9"/>
    <w:rsid w:val="00991B10"/>
    <w:rsid w:val="00991DEC"/>
    <w:rsid w:val="00993A46"/>
    <w:rsid w:val="00993D39"/>
    <w:rsid w:val="009943B8"/>
    <w:rsid w:val="009948AE"/>
    <w:rsid w:val="00994D39"/>
    <w:rsid w:val="00995309"/>
    <w:rsid w:val="00995589"/>
    <w:rsid w:val="009956F5"/>
    <w:rsid w:val="009957F8"/>
    <w:rsid w:val="00995B26"/>
    <w:rsid w:val="00996F3A"/>
    <w:rsid w:val="009A20A8"/>
    <w:rsid w:val="009A2ABF"/>
    <w:rsid w:val="009A34B3"/>
    <w:rsid w:val="009A3D58"/>
    <w:rsid w:val="009A5A5E"/>
    <w:rsid w:val="009A67B6"/>
    <w:rsid w:val="009A6E2F"/>
    <w:rsid w:val="009A7189"/>
    <w:rsid w:val="009A7F19"/>
    <w:rsid w:val="009B0573"/>
    <w:rsid w:val="009B08F9"/>
    <w:rsid w:val="009B274F"/>
    <w:rsid w:val="009B2882"/>
    <w:rsid w:val="009B3044"/>
    <w:rsid w:val="009B46EC"/>
    <w:rsid w:val="009B5A30"/>
    <w:rsid w:val="009C048F"/>
    <w:rsid w:val="009C0CA9"/>
    <w:rsid w:val="009C1608"/>
    <w:rsid w:val="009C1FE8"/>
    <w:rsid w:val="009C3A85"/>
    <w:rsid w:val="009C3D1F"/>
    <w:rsid w:val="009C5187"/>
    <w:rsid w:val="009C55B3"/>
    <w:rsid w:val="009C6305"/>
    <w:rsid w:val="009C6AD5"/>
    <w:rsid w:val="009C7C23"/>
    <w:rsid w:val="009D0606"/>
    <w:rsid w:val="009D1BAF"/>
    <w:rsid w:val="009D1C26"/>
    <w:rsid w:val="009D20F5"/>
    <w:rsid w:val="009D33AD"/>
    <w:rsid w:val="009D3A10"/>
    <w:rsid w:val="009D3D06"/>
    <w:rsid w:val="009D40C4"/>
    <w:rsid w:val="009D6531"/>
    <w:rsid w:val="009E0987"/>
    <w:rsid w:val="009E274E"/>
    <w:rsid w:val="009E2AD4"/>
    <w:rsid w:val="009E2C0C"/>
    <w:rsid w:val="009E337C"/>
    <w:rsid w:val="009E36DE"/>
    <w:rsid w:val="009E5CDE"/>
    <w:rsid w:val="009E5EF4"/>
    <w:rsid w:val="009E67CE"/>
    <w:rsid w:val="009E6961"/>
    <w:rsid w:val="009E6B80"/>
    <w:rsid w:val="009E7D94"/>
    <w:rsid w:val="009F1409"/>
    <w:rsid w:val="009F19B4"/>
    <w:rsid w:val="009F3F67"/>
    <w:rsid w:val="009F4D9E"/>
    <w:rsid w:val="009F565F"/>
    <w:rsid w:val="009F5BE1"/>
    <w:rsid w:val="009F5D1A"/>
    <w:rsid w:val="009F690E"/>
    <w:rsid w:val="00A000A2"/>
    <w:rsid w:val="00A00639"/>
    <w:rsid w:val="00A01B94"/>
    <w:rsid w:val="00A02243"/>
    <w:rsid w:val="00A0300F"/>
    <w:rsid w:val="00A04821"/>
    <w:rsid w:val="00A069DF"/>
    <w:rsid w:val="00A07687"/>
    <w:rsid w:val="00A11067"/>
    <w:rsid w:val="00A113A4"/>
    <w:rsid w:val="00A1142A"/>
    <w:rsid w:val="00A11AAA"/>
    <w:rsid w:val="00A11B0F"/>
    <w:rsid w:val="00A11C35"/>
    <w:rsid w:val="00A13B27"/>
    <w:rsid w:val="00A14439"/>
    <w:rsid w:val="00A14B5C"/>
    <w:rsid w:val="00A15483"/>
    <w:rsid w:val="00A169AB"/>
    <w:rsid w:val="00A16D33"/>
    <w:rsid w:val="00A170F8"/>
    <w:rsid w:val="00A17774"/>
    <w:rsid w:val="00A2035A"/>
    <w:rsid w:val="00A206A7"/>
    <w:rsid w:val="00A206FF"/>
    <w:rsid w:val="00A20970"/>
    <w:rsid w:val="00A20A9E"/>
    <w:rsid w:val="00A22100"/>
    <w:rsid w:val="00A222CD"/>
    <w:rsid w:val="00A237EC"/>
    <w:rsid w:val="00A23AF4"/>
    <w:rsid w:val="00A23C0B"/>
    <w:rsid w:val="00A23F63"/>
    <w:rsid w:val="00A2588F"/>
    <w:rsid w:val="00A25F7C"/>
    <w:rsid w:val="00A267E1"/>
    <w:rsid w:val="00A26FF6"/>
    <w:rsid w:val="00A27425"/>
    <w:rsid w:val="00A27894"/>
    <w:rsid w:val="00A27BC4"/>
    <w:rsid w:val="00A31332"/>
    <w:rsid w:val="00A3157E"/>
    <w:rsid w:val="00A3292A"/>
    <w:rsid w:val="00A3354A"/>
    <w:rsid w:val="00A33804"/>
    <w:rsid w:val="00A359B7"/>
    <w:rsid w:val="00A35E47"/>
    <w:rsid w:val="00A3620B"/>
    <w:rsid w:val="00A371F5"/>
    <w:rsid w:val="00A373EE"/>
    <w:rsid w:val="00A40CAA"/>
    <w:rsid w:val="00A41FB0"/>
    <w:rsid w:val="00A41FC0"/>
    <w:rsid w:val="00A42002"/>
    <w:rsid w:val="00A42219"/>
    <w:rsid w:val="00A424B2"/>
    <w:rsid w:val="00A43138"/>
    <w:rsid w:val="00A448AA"/>
    <w:rsid w:val="00A44B74"/>
    <w:rsid w:val="00A46173"/>
    <w:rsid w:val="00A466CF"/>
    <w:rsid w:val="00A47058"/>
    <w:rsid w:val="00A47702"/>
    <w:rsid w:val="00A50197"/>
    <w:rsid w:val="00A50354"/>
    <w:rsid w:val="00A50E37"/>
    <w:rsid w:val="00A51D4B"/>
    <w:rsid w:val="00A53081"/>
    <w:rsid w:val="00A530D3"/>
    <w:rsid w:val="00A54265"/>
    <w:rsid w:val="00A5477B"/>
    <w:rsid w:val="00A5602D"/>
    <w:rsid w:val="00A5655E"/>
    <w:rsid w:val="00A56D6D"/>
    <w:rsid w:val="00A609AE"/>
    <w:rsid w:val="00A60C7D"/>
    <w:rsid w:val="00A61347"/>
    <w:rsid w:val="00A623E4"/>
    <w:rsid w:val="00A64566"/>
    <w:rsid w:val="00A66245"/>
    <w:rsid w:val="00A67415"/>
    <w:rsid w:val="00A6744C"/>
    <w:rsid w:val="00A67613"/>
    <w:rsid w:val="00A70A66"/>
    <w:rsid w:val="00A7163E"/>
    <w:rsid w:val="00A733A2"/>
    <w:rsid w:val="00A74849"/>
    <w:rsid w:val="00A74C6F"/>
    <w:rsid w:val="00A74FB6"/>
    <w:rsid w:val="00A75B1E"/>
    <w:rsid w:val="00A76D88"/>
    <w:rsid w:val="00A77DDC"/>
    <w:rsid w:val="00A8037B"/>
    <w:rsid w:val="00A81E50"/>
    <w:rsid w:val="00A8316D"/>
    <w:rsid w:val="00A8422A"/>
    <w:rsid w:val="00A8467C"/>
    <w:rsid w:val="00A856B0"/>
    <w:rsid w:val="00A85B0C"/>
    <w:rsid w:val="00A87483"/>
    <w:rsid w:val="00A87BC5"/>
    <w:rsid w:val="00A90242"/>
    <w:rsid w:val="00A90B23"/>
    <w:rsid w:val="00A92931"/>
    <w:rsid w:val="00A92CA6"/>
    <w:rsid w:val="00A94D38"/>
    <w:rsid w:val="00A95793"/>
    <w:rsid w:val="00A95902"/>
    <w:rsid w:val="00A96141"/>
    <w:rsid w:val="00A968D2"/>
    <w:rsid w:val="00A979BD"/>
    <w:rsid w:val="00AA06D1"/>
    <w:rsid w:val="00AA1BFF"/>
    <w:rsid w:val="00AA3039"/>
    <w:rsid w:val="00AA3DBF"/>
    <w:rsid w:val="00AA407A"/>
    <w:rsid w:val="00AA46F3"/>
    <w:rsid w:val="00AA58CA"/>
    <w:rsid w:val="00AA6332"/>
    <w:rsid w:val="00AA6399"/>
    <w:rsid w:val="00AA66B5"/>
    <w:rsid w:val="00AA685E"/>
    <w:rsid w:val="00AA7532"/>
    <w:rsid w:val="00AA7578"/>
    <w:rsid w:val="00AB2129"/>
    <w:rsid w:val="00AB2A6F"/>
    <w:rsid w:val="00AB3DE6"/>
    <w:rsid w:val="00AB59EA"/>
    <w:rsid w:val="00AB6112"/>
    <w:rsid w:val="00AB6B57"/>
    <w:rsid w:val="00AB6E2C"/>
    <w:rsid w:val="00AB7C7D"/>
    <w:rsid w:val="00AC0D16"/>
    <w:rsid w:val="00AC11E2"/>
    <w:rsid w:val="00AC1205"/>
    <w:rsid w:val="00AC1287"/>
    <w:rsid w:val="00AC13FF"/>
    <w:rsid w:val="00AC2146"/>
    <w:rsid w:val="00AC2762"/>
    <w:rsid w:val="00AC3A07"/>
    <w:rsid w:val="00AC4C13"/>
    <w:rsid w:val="00AC4D19"/>
    <w:rsid w:val="00AC4DA6"/>
    <w:rsid w:val="00AC57D2"/>
    <w:rsid w:val="00AC5AFD"/>
    <w:rsid w:val="00AD0A47"/>
    <w:rsid w:val="00AD2059"/>
    <w:rsid w:val="00AD23D4"/>
    <w:rsid w:val="00AD3B70"/>
    <w:rsid w:val="00AD3CB8"/>
    <w:rsid w:val="00AD40AF"/>
    <w:rsid w:val="00AD4236"/>
    <w:rsid w:val="00AD592D"/>
    <w:rsid w:val="00AD5978"/>
    <w:rsid w:val="00AD639A"/>
    <w:rsid w:val="00AD66BF"/>
    <w:rsid w:val="00AE0602"/>
    <w:rsid w:val="00AE15D1"/>
    <w:rsid w:val="00AE2D4C"/>
    <w:rsid w:val="00AE3190"/>
    <w:rsid w:val="00AE4E9D"/>
    <w:rsid w:val="00AE5981"/>
    <w:rsid w:val="00AE60B7"/>
    <w:rsid w:val="00AE6FD6"/>
    <w:rsid w:val="00AE70FB"/>
    <w:rsid w:val="00AE7A3F"/>
    <w:rsid w:val="00AF03FC"/>
    <w:rsid w:val="00AF04BB"/>
    <w:rsid w:val="00AF1FDA"/>
    <w:rsid w:val="00AF23B8"/>
    <w:rsid w:val="00AF2435"/>
    <w:rsid w:val="00AF307A"/>
    <w:rsid w:val="00AF3FCC"/>
    <w:rsid w:val="00AF41AC"/>
    <w:rsid w:val="00AF5F16"/>
    <w:rsid w:val="00AF657E"/>
    <w:rsid w:val="00AF66AD"/>
    <w:rsid w:val="00B000A2"/>
    <w:rsid w:val="00B005FD"/>
    <w:rsid w:val="00B01D46"/>
    <w:rsid w:val="00B02521"/>
    <w:rsid w:val="00B028E3"/>
    <w:rsid w:val="00B02F9C"/>
    <w:rsid w:val="00B03D0B"/>
    <w:rsid w:val="00B046CD"/>
    <w:rsid w:val="00B04D8C"/>
    <w:rsid w:val="00B05FBC"/>
    <w:rsid w:val="00B065D2"/>
    <w:rsid w:val="00B067F9"/>
    <w:rsid w:val="00B10621"/>
    <w:rsid w:val="00B1124D"/>
    <w:rsid w:val="00B11BD8"/>
    <w:rsid w:val="00B11D47"/>
    <w:rsid w:val="00B12D6E"/>
    <w:rsid w:val="00B12EBE"/>
    <w:rsid w:val="00B137A8"/>
    <w:rsid w:val="00B1407F"/>
    <w:rsid w:val="00B1421E"/>
    <w:rsid w:val="00B14269"/>
    <w:rsid w:val="00B15B21"/>
    <w:rsid w:val="00B16B3D"/>
    <w:rsid w:val="00B16CC7"/>
    <w:rsid w:val="00B1768B"/>
    <w:rsid w:val="00B20E15"/>
    <w:rsid w:val="00B22566"/>
    <w:rsid w:val="00B228D2"/>
    <w:rsid w:val="00B23386"/>
    <w:rsid w:val="00B2377A"/>
    <w:rsid w:val="00B238E5"/>
    <w:rsid w:val="00B24ADD"/>
    <w:rsid w:val="00B24C25"/>
    <w:rsid w:val="00B26E78"/>
    <w:rsid w:val="00B27430"/>
    <w:rsid w:val="00B3088E"/>
    <w:rsid w:val="00B30B11"/>
    <w:rsid w:val="00B32987"/>
    <w:rsid w:val="00B36491"/>
    <w:rsid w:val="00B371AC"/>
    <w:rsid w:val="00B37BFC"/>
    <w:rsid w:val="00B400A3"/>
    <w:rsid w:val="00B41634"/>
    <w:rsid w:val="00B42D5F"/>
    <w:rsid w:val="00B43B8A"/>
    <w:rsid w:val="00B44EFA"/>
    <w:rsid w:val="00B45411"/>
    <w:rsid w:val="00B465ED"/>
    <w:rsid w:val="00B4741D"/>
    <w:rsid w:val="00B47AA9"/>
    <w:rsid w:val="00B47B65"/>
    <w:rsid w:val="00B47D5C"/>
    <w:rsid w:val="00B50198"/>
    <w:rsid w:val="00B52C1B"/>
    <w:rsid w:val="00B53AE5"/>
    <w:rsid w:val="00B54967"/>
    <w:rsid w:val="00B553ED"/>
    <w:rsid w:val="00B5582D"/>
    <w:rsid w:val="00B5610A"/>
    <w:rsid w:val="00B56111"/>
    <w:rsid w:val="00B565DD"/>
    <w:rsid w:val="00B575CA"/>
    <w:rsid w:val="00B57915"/>
    <w:rsid w:val="00B610C5"/>
    <w:rsid w:val="00B62C0C"/>
    <w:rsid w:val="00B62D55"/>
    <w:rsid w:val="00B633CC"/>
    <w:rsid w:val="00B636E7"/>
    <w:rsid w:val="00B639A1"/>
    <w:rsid w:val="00B647B9"/>
    <w:rsid w:val="00B65E26"/>
    <w:rsid w:val="00B66446"/>
    <w:rsid w:val="00B6795D"/>
    <w:rsid w:val="00B67C8E"/>
    <w:rsid w:val="00B7151D"/>
    <w:rsid w:val="00B74412"/>
    <w:rsid w:val="00B74C38"/>
    <w:rsid w:val="00B74FF1"/>
    <w:rsid w:val="00B75F3F"/>
    <w:rsid w:val="00B76798"/>
    <w:rsid w:val="00B77AA4"/>
    <w:rsid w:val="00B809F0"/>
    <w:rsid w:val="00B810EF"/>
    <w:rsid w:val="00B8131D"/>
    <w:rsid w:val="00B81354"/>
    <w:rsid w:val="00B817E0"/>
    <w:rsid w:val="00B81CAE"/>
    <w:rsid w:val="00B821F4"/>
    <w:rsid w:val="00B82FA4"/>
    <w:rsid w:val="00B845D8"/>
    <w:rsid w:val="00B84787"/>
    <w:rsid w:val="00B85156"/>
    <w:rsid w:val="00B85ADF"/>
    <w:rsid w:val="00B85C96"/>
    <w:rsid w:val="00B85D75"/>
    <w:rsid w:val="00B86531"/>
    <w:rsid w:val="00B86648"/>
    <w:rsid w:val="00B86BE3"/>
    <w:rsid w:val="00B87687"/>
    <w:rsid w:val="00B87F0C"/>
    <w:rsid w:val="00B9142A"/>
    <w:rsid w:val="00B91D70"/>
    <w:rsid w:val="00B921DE"/>
    <w:rsid w:val="00B922C5"/>
    <w:rsid w:val="00B92A4E"/>
    <w:rsid w:val="00B92D8A"/>
    <w:rsid w:val="00B934DD"/>
    <w:rsid w:val="00B936BD"/>
    <w:rsid w:val="00B94253"/>
    <w:rsid w:val="00B955EC"/>
    <w:rsid w:val="00B96357"/>
    <w:rsid w:val="00B97DBF"/>
    <w:rsid w:val="00BA09C2"/>
    <w:rsid w:val="00BA0FB3"/>
    <w:rsid w:val="00BA164A"/>
    <w:rsid w:val="00BA217B"/>
    <w:rsid w:val="00BA302E"/>
    <w:rsid w:val="00BA32FD"/>
    <w:rsid w:val="00BA4B69"/>
    <w:rsid w:val="00BA771B"/>
    <w:rsid w:val="00BA7B0C"/>
    <w:rsid w:val="00BB00FE"/>
    <w:rsid w:val="00BB0130"/>
    <w:rsid w:val="00BB022A"/>
    <w:rsid w:val="00BB121D"/>
    <w:rsid w:val="00BB145D"/>
    <w:rsid w:val="00BB1977"/>
    <w:rsid w:val="00BB295C"/>
    <w:rsid w:val="00BB3462"/>
    <w:rsid w:val="00BB4773"/>
    <w:rsid w:val="00BB49CA"/>
    <w:rsid w:val="00BB5769"/>
    <w:rsid w:val="00BB62D2"/>
    <w:rsid w:val="00BB72E3"/>
    <w:rsid w:val="00BB76F4"/>
    <w:rsid w:val="00BC0114"/>
    <w:rsid w:val="00BC14C0"/>
    <w:rsid w:val="00BC173A"/>
    <w:rsid w:val="00BC1C7D"/>
    <w:rsid w:val="00BC2111"/>
    <w:rsid w:val="00BC2B4D"/>
    <w:rsid w:val="00BC35AE"/>
    <w:rsid w:val="00BC3882"/>
    <w:rsid w:val="00BC43BF"/>
    <w:rsid w:val="00BC6C31"/>
    <w:rsid w:val="00BC6D20"/>
    <w:rsid w:val="00BC6F9D"/>
    <w:rsid w:val="00BC7756"/>
    <w:rsid w:val="00BD0278"/>
    <w:rsid w:val="00BD0373"/>
    <w:rsid w:val="00BD0826"/>
    <w:rsid w:val="00BD1BA1"/>
    <w:rsid w:val="00BD2FD5"/>
    <w:rsid w:val="00BD3F6C"/>
    <w:rsid w:val="00BD4987"/>
    <w:rsid w:val="00BD56BA"/>
    <w:rsid w:val="00BD577F"/>
    <w:rsid w:val="00BD595E"/>
    <w:rsid w:val="00BD5F67"/>
    <w:rsid w:val="00BD62A3"/>
    <w:rsid w:val="00BD68D1"/>
    <w:rsid w:val="00BE00AC"/>
    <w:rsid w:val="00BE3505"/>
    <w:rsid w:val="00BE3B51"/>
    <w:rsid w:val="00BE41F5"/>
    <w:rsid w:val="00BE43D2"/>
    <w:rsid w:val="00BE5049"/>
    <w:rsid w:val="00BE58BF"/>
    <w:rsid w:val="00BE71AA"/>
    <w:rsid w:val="00BE724D"/>
    <w:rsid w:val="00BE75D5"/>
    <w:rsid w:val="00BE76E6"/>
    <w:rsid w:val="00BF0AFF"/>
    <w:rsid w:val="00BF19F3"/>
    <w:rsid w:val="00BF26E8"/>
    <w:rsid w:val="00BF312E"/>
    <w:rsid w:val="00BF4D69"/>
    <w:rsid w:val="00BF6219"/>
    <w:rsid w:val="00BF72DF"/>
    <w:rsid w:val="00C00993"/>
    <w:rsid w:val="00C015CA"/>
    <w:rsid w:val="00C0177D"/>
    <w:rsid w:val="00C01D0F"/>
    <w:rsid w:val="00C02852"/>
    <w:rsid w:val="00C02E56"/>
    <w:rsid w:val="00C03F02"/>
    <w:rsid w:val="00C0499B"/>
    <w:rsid w:val="00C04E3B"/>
    <w:rsid w:val="00C06252"/>
    <w:rsid w:val="00C07405"/>
    <w:rsid w:val="00C11173"/>
    <w:rsid w:val="00C11AF2"/>
    <w:rsid w:val="00C11F53"/>
    <w:rsid w:val="00C12A06"/>
    <w:rsid w:val="00C13AE5"/>
    <w:rsid w:val="00C13C16"/>
    <w:rsid w:val="00C170B1"/>
    <w:rsid w:val="00C17A4E"/>
    <w:rsid w:val="00C2021B"/>
    <w:rsid w:val="00C20E82"/>
    <w:rsid w:val="00C22290"/>
    <w:rsid w:val="00C22E8C"/>
    <w:rsid w:val="00C23408"/>
    <w:rsid w:val="00C2586D"/>
    <w:rsid w:val="00C26039"/>
    <w:rsid w:val="00C27A5E"/>
    <w:rsid w:val="00C318E5"/>
    <w:rsid w:val="00C32830"/>
    <w:rsid w:val="00C3283A"/>
    <w:rsid w:val="00C33597"/>
    <w:rsid w:val="00C344C7"/>
    <w:rsid w:val="00C34D7F"/>
    <w:rsid w:val="00C35831"/>
    <w:rsid w:val="00C35B0D"/>
    <w:rsid w:val="00C362A3"/>
    <w:rsid w:val="00C3743B"/>
    <w:rsid w:val="00C375D4"/>
    <w:rsid w:val="00C400D0"/>
    <w:rsid w:val="00C40F74"/>
    <w:rsid w:val="00C41223"/>
    <w:rsid w:val="00C416B6"/>
    <w:rsid w:val="00C41700"/>
    <w:rsid w:val="00C41E51"/>
    <w:rsid w:val="00C42913"/>
    <w:rsid w:val="00C43227"/>
    <w:rsid w:val="00C43AD7"/>
    <w:rsid w:val="00C43C4C"/>
    <w:rsid w:val="00C43E80"/>
    <w:rsid w:val="00C449E5"/>
    <w:rsid w:val="00C45FA4"/>
    <w:rsid w:val="00C469D7"/>
    <w:rsid w:val="00C4705E"/>
    <w:rsid w:val="00C47DFF"/>
    <w:rsid w:val="00C50B87"/>
    <w:rsid w:val="00C50C7A"/>
    <w:rsid w:val="00C529FB"/>
    <w:rsid w:val="00C52F22"/>
    <w:rsid w:val="00C54D0B"/>
    <w:rsid w:val="00C550D9"/>
    <w:rsid w:val="00C556F2"/>
    <w:rsid w:val="00C55769"/>
    <w:rsid w:val="00C569DF"/>
    <w:rsid w:val="00C57450"/>
    <w:rsid w:val="00C57484"/>
    <w:rsid w:val="00C578D4"/>
    <w:rsid w:val="00C6030C"/>
    <w:rsid w:val="00C61131"/>
    <w:rsid w:val="00C61A29"/>
    <w:rsid w:val="00C62006"/>
    <w:rsid w:val="00C63861"/>
    <w:rsid w:val="00C63DEA"/>
    <w:rsid w:val="00C65396"/>
    <w:rsid w:val="00C65EC2"/>
    <w:rsid w:val="00C662AC"/>
    <w:rsid w:val="00C66531"/>
    <w:rsid w:val="00C666EC"/>
    <w:rsid w:val="00C66AB9"/>
    <w:rsid w:val="00C66CB1"/>
    <w:rsid w:val="00C66FDA"/>
    <w:rsid w:val="00C672B9"/>
    <w:rsid w:val="00C673DC"/>
    <w:rsid w:val="00C67454"/>
    <w:rsid w:val="00C67683"/>
    <w:rsid w:val="00C67900"/>
    <w:rsid w:val="00C679FF"/>
    <w:rsid w:val="00C71AF0"/>
    <w:rsid w:val="00C71C94"/>
    <w:rsid w:val="00C71E1D"/>
    <w:rsid w:val="00C7245C"/>
    <w:rsid w:val="00C732E1"/>
    <w:rsid w:val="00C73D80"/>
    <w:rsid w:val="00C7652E"/>
    <w:rsid w:val="00C7666A"/>
    <w:rsid w:val="00C7714F"/>
    <w:rsid w:val="00C77892"/>
    <w:rsid w:val="00C77DE8"/>
    <w:rsid w:val="00C8075D"/>
    <w:rsid w:val="00C825A0"/>
    <w:rsid w:val="00C82E11"/>
    <w:rsid w:val="00C832F4"/>
    <w:rsid w:val="00C83E60"/>
    <w:rsid w:val="00C84409"/>
    <w:rsid w:val="00C84D17"/>
    <w:rsid w:val="00C859D8"/>
    <w:rsid w:val="00C87782"/>
    <w:rsid w:val="00C90C26"/>
    <w:rsid w:val="00C90C45"/>
    <w:rsid w:val="00C94034"/>
    <w:rsid w:val="00C9442F"/>
    <w:rsid w:val="00C94650"/>
    <w:rsid w:val="00C95726"/>
    <w:rsid w:val="00C96AAB"/>
    <w:rsid w:val="00C96AC9"/>
    <w:rsid w:val="00C974F3"/>
    <w:rsid w:val="00C97E83"/>
    <w:rsid w:val="00CA0827"/>
    <w:rsid w:val="00CA1306"/>
    <w:rsid w:val="00CA1490"/>
    <w:rsid w:val="00CA28B5"/>
    <w:rsid w:val="00CA2BAF"/>
    <w:rsid w:val="00CA3C06"/>
    <w:rsid w:val="00CA4B3A"/>
    <w:rsid w:val="00CA5652"/>
    <w:rsid w:val="00CA5D7D"/>
    <w:rsid w:val="00CA6CD6"/>
    <w:rsid w:val="00CB2452"/>
    <w:rsid w:val="00CB3186"/>
    <w:rsid w:val="00CB3A97"/>
    <w:rsid w:val="00CB3C1C"/>
    <w:rsid w:val="00CB3F6D"/>
    <w:rsid w:val="00CB535B"/>
    <w:rsid w:val="00CB53C2"/>
    <w:rsid w:val="00CB5468"/>
    <w:rsid w:val="00CB6792"/>
    <w:rsid w:val="00CB752B"/>
    <w:rsid w:val="00CB7CA3"/>
    <w:rsid w:val="00CC07E5"/>
    <w:rsid w:val="00CC10AB"/>
    <w:rsid w:val="00CC136C"/>
    <w:rsid w:val="00CC2019"/>
    <w:rsid w:val="00CC3E16"/>
    <w:rsid w:val="00CC48C5"/>
    <w:rsid w:val="00CC49F8"/>
    <w:rsid w:val="00CC6DCD"/>
    <w:rsid w:val="00CC79B3"/>
    <w:rsid w:val="00CD032A"/>
    <w:rsid w:val="00CD1F8C"/>
    <w:rsid w:val="00CD207A"/>
    <w:rsid w:val="00CD29E4"/>
    <w:rsid w:val="00CD3594"/>
    <w:rsid w:val="00CD3885"/>
    <w:rsid w:val="00CD4BB8"/>
    <w:rsid w:val="00CD4FA1"/>
    <w:rsid w:val="00CD514C"/>
    <w:rsid w:val="00CD52A6"/>
    <w:rsid w:val="00CD6FC0"/>
    <w:rsid w:val="00CD7EBD"/>
    <w:rsid w:val="00CE0529"/>
    <w:rsid w:val="00CE149E"/>
    <w:rsid w:val="00CE2595"/>
    <w:rsid w:val="00CE25FF"/>
    <w:rsid w:val="00CE373A"/>
    <w:rsid w:val="00CE3C96"/>
    <w:rsid w:val="00CE4264"/>
    <w:rsid w:val="00CE446F"/>
    <w:rsid w:val="00CE4B52"/>
    <w:rsid w:val="00CE535E"/>
    <w:rsid w:val="00CE7094"/>
    <w:rsid w:val="00CF139C"/>
    <w:rsid w:val="00CF149F"/>
    <w:rsid w:val="00CF1813"/>
    <w:rsid w:val="00CF1B46"/>
    <w:rsid w:val="00CF3108"/>
    <w:rsid w:val="00CF39FD"/>
    <w:rsid w:val="00CF48BD"/>
    <w:rsid w:val="00CF4D26"/>
    <w:rsid w:val="00CF58BA"/>
    <w:rsid w:val="00CF70D9"/>
    <w:rsid w:val="00CF71D1"/>
    <w:rsid w:val="00CF780B"/>
    <w:rsid w:val="00D00049"/>
    <w:rsid w:val="00D0042E"/>
    <w:rsid w:val="00D0072B"/>
    <w:rsid w:val="00D00D68"/>
    <w:rsid w:val="00D0428C"/>
    <w:rsid w:val="00D042E9"/>
    <w:rsid w:val="00D05293"/>
    <w:rsid w:val="00D05F4F"/>
    <w:rsid w:val="00D061EF"/>
    <w:rsid w:val="00D0693A"/>
    <w:rsid w:val="00D07C84"/>
    <w:rsid w:val="00D07CD6"/>
    <w:rsid w:val="00D07DB0"/>
    <w:rsid w:val="00D106CD"/>
    <w:rsid w:val="00D1186E"/>
    <w:rsid w:val="00D12D8B"/>
    <w:rsid w:val="00D12EC9"/>
    <w:rsid w:val="00D1592C"/>
    <w:rsid w:val="00D16367"/>
    <w:rsid w:val="00D16606"/>
    <w:rsid w:val="00D1663C"/>
    <w:rsid w:val="00D17FB0"/>
    <w:rsid w:val="00D202CB"/>
    <w:rsid w:val="00D2068D"/>
    <w:rsid w:val="00D21B00"/>
    <w:rsid w:val="00D224A3"/>
    <w:rsid w:val="00D238ED"/>
    <w:rsid w:val="00D24A8A"/>
    <w:rsid w:val="00D256E8"/>
    <w:rsid w:val="00D2615F"/>
    <w:rsid w:val="00D31A50"/>
    <w:rsid w:val="00D31C26"/>
    <w:rsid w:val="00D329A2"/>
    <w:rsid w:val="00D33CE5"/>
    <w:rsid w:val="00D34209"/>
    <w:rsid w:val="00D34229"/>
    <w:rsid w:val="00D34F37"/>
    <w:rsid w:val="00D3520C"/>
    <w:rsid w:val="00D35281"/>
    <w:rsid w:val="00D357EF"/>
    <w:rsid w:val="00D3582E"/>
    <w:rsid w:val="00D3590A"/>
    <w:rsid w:val="00D361F4"/>
    <w:rsid w:val="00D36D52"/>
    <w:rsid w:val="00D3746A"/>
    <w:rsid w:val="00D376D4"/>
    <w:rsid w:val="00D37D32"/>
    <w:rsid w:val="00D403AA"/>
    <w:rsid w:val="00D412A8"/>
    <w:rsid w:val="00D41708"/>
    <w:rsid w:val="00D41A6B"/>
    <w:rsid w:val="00D41CE8"/>
    <w:rsid w:val="00D43AAD"/>
    <w:rsid w:val="00D43F13"/>
    <w:rsid w:val="00D44C63"/>
    <w:rsid w:val="00D44E85"/>
    <w:rsid w:val="00D4713A"/>
    <w:rsid w:val="00D53C2E"/>
    <w:rsid w:val="00D556F7"/>
    <w:rsid w:val="00D56486"/>
    <w:rsid w:val="00D5658E"/>
    <w:rsid w:val="00D569C1"/>
    <w:rsid w:val="00D57144"/>
    <w:rsid w:val="00D57BF3"/>
    <w:rsid w:val="00D61256"/>
    <w:rsid w:val="00D619EC"/>
    <w:rsid w:val="00D61AF0"/>
    <w:rsid w:val="00D61DFB"/>
    <w:rsid w:val="00D62718"/>
    <w:rsid w:val="00D62727"/>
    <w:rsid w:val="00D62BB5"/>
    <w:rsid w:val="00D62D3E"/>
    <w:rsid w:val="00D62EE1"/>
    <w:rsid w:val="00D64CB3"/>
    <w:rsid w:val="00D655F6"/>
    <w:rsid w:val="00D6612C"/>
    <w:rsid w:val="00D70294"/>
    <w:rsid w:val="00D7152A"/>
    <w:rsid w:val="00D73E2D"/>
    <w:rsid w:val="00D74A6C"/>
    <w:rsid w:val="00D7519E"/>
    <w:rsid w:val="00D7552A"/>
    <w:rsid w:val="00D75E68"/>
    <w:rsid w:val="00D7650D"/>
    <w:rsid w:val="00D77AE0"/>
    <w:rsid w:val="00D77DAB"/>
    <w:rsid w:val="00D80C0B"/>
    <w:rsid w:val="00D80ED2"/>
    <w:rsid w:val="00D81DCC"/>
    <w:rsid w:val="00D82011"/>
    <w:rsid w:val="00D82345"/>
    <w:rsid w:val="00D837FE"/>
    <w:rsid w:val="00D83EEB"/>
    <w:rsid w:val="00D84AB9"/>
    <w:rsid w:val="00D84DD0"/>
    <w:rsid w:val="00D8509D"/>
    <w:rsid w:val="00D85830"/>
    <w:rsid w:val="00D85BC5"/>
    <w:rsid w:val="00D863E1"/>
    <w:rsid w:val="00D869B0"/>
    <w:rsid w:val="00D86D81"/>
    <w:rsid w:val="00D870DF"/>
    <w:rsid w:val="00D87946"/>
    <w:rsid w:val="00D90026"/>
    <w:rsid w:val="00D911FB"/>
    <w:rsid w:val="00D91E14"/>
    <w:rsid w:val="00D922DC"/>
    <w:rsid w:val="00D92D16"/>
    <w:rsid w:val="00D92DF2"/>
    <w:rsid w:val="00D93DCB"/>
    <w:rsid w:val="00D94759"/>
    <w:rsid w:val="00D951D5"/>
    <w:rsid w:val="00D957A6"/>
    <w:rsid w:val="00D9615D"/>
    <w:rsid w:val="00D973B4"/>
    <w:rsid w:val="00D97558"/>
    <w:rsid w:val="00D976CD"/>
    <w:rsid w:val="00D97E8B"/>
    <w:rsid w:val="00DA1326"/>
    <w:rsid w:val="00DA3ABA"/>
    <w:rsid w:val="00DA6B5B"/>
    <w:rsid w:val="00DB190E"/>
    <w:rsid w:val="00DB1F6A"/>
    <w:rsid w:val="00DB2821"/>
    <w:rsid w:val="00DB308F"/>
    <w:rsid w:val="00DB37C1"/>
    <w:rsid w:val="00DB389D"/>
    <w:rsid w:val="00DB3EA6"/>
    <w:rsid w:val="00DB3F2E"/>
    <w:rsid w:val="00DB4B6D"/>
    <w:rsid w:val="00DB644D"/>
    <w:rsid w:val="00DB6B27"/>
    <w:rsid w:val="00DB70A4"/>
    <w:rsid w:val="00DC0390"/>
    <w:rsid w:val="00DC2DD7"/>
    <w:rsid w:val="00DC3967"/>
    <w:rsid w:val="00DC6742"/>
    <w:rsid w:val="00DD0DEC"/>
    <w:rsid w:val="00DD146A"/>
    <w:rsid w:val="00DD1481"/>
    <w:rsid w:val="00DD1694"/>
    <w:rsid w:val="00DD1769"/>
    <w:rsid w:val="00DD2D19"/>
    <w:rsid w:val="00DD3AA6"/>
    <w:rsid w:val="00DD43B9"/>
    <w:rsid w:val="00DD4B45"/>
    <w:rsid w:val="00DD72A1"/>
    <w:rsid w:val="00DD7FDF"/>
    <w:rsid w:val="00DE035E"/>
    <w:rsid w:val="00DE04A2"/>
    <w:rsid w:val="00DE0632"/>
    <w:rsid w:val="00DE06A8"/>
    <w:rsid w:val="00DE14A7"/>
    <w:rsid w:val="00DE1828"/>
    <w:rsid w:val="00DE186F"/>
    <w:rsid w:val="00DE39B5"/>
    <w:rsid w:val="00DE3DF5"/>
    <w:rsid w:val="00DE55EF"/>
    <w:rsid w:val="00DE5E30"/>
    <w:rsid w:val="00DE6188"/>
    <w:rsid w:val="00DE761B"/>
    <w:rsid w:val="00DF0B54"/>
    <w:rsid w:val="00DF33CC"/>
    <w:rsid w:val="00DF3DD3"/>
    <w:rsid w:val="00DF4A5A"/>
    <w:rsid w:val="00DF6954"/>
    <w:rsid w:val="00DF7B93"/>
    <w:rsid w:val="00E00693"/>
    <w:rsid w:val="00E00B17"/>
    <w:rsid w:val="00E0238B"/>
    <w:rsid w:val="00E02EBF"/>
    <w:rsid w:val="00E03E59"/>
    <w:rsid w:val="00E061A1"/>
    <w:rsid w:val="00E072BE"/>
    <w:rsid w:val="00E075A5"/>
    <w:rsid w:val="00E10457"/>
    <w:rsid w:val="00E11EF2"/>
    <w:rsid w:val="00E12EDA"/>
    <w:rsid w:val="00E13E23"/>
    <w:rsid w:val="00E1451D"/>
    <w:rsid w:val="00E14913"/>
    <w:rsid w:val="00E14A1D"/>
    <w:rsid w:val="00E14BF9"/>
    <w:rsid w:val="00E15430"/>
    <w:rsid w:val="00E154E0"/>
    <w:rsid w:val="00E1640D"/>
    <w:rsid w:val="00E16F57"/>
    <w:rsid w:val="00E177DC"/>
    <w:rsid w:val="00E1788F"/>
    <w:rsid w:val="00E178DB"/>
    <w:rsid w:val="00E17B1D"/>
    <w:rsid w:val="00E17CED"/>
    <w:rsid w:val="00E21026"/>
    <w:rsid w:val="00E210A4"/>
    <w:rsid w:val="00E2116F"/>
    <w:rsid w:val="00E268E0"/>
    <w:rsid w:val="00E27827"/>
    <w:rsid w:val="00E27FF8"/>
    <w:rsid w:val="00E30BAF"/>
    <w:rsid w:val="00E3262A"/>
    <w:rsid w:val="00E32C58"/>
    <w:rsid w:val="00E337FB"/>
    <w:rsid w:val="00E33CE2"/>
    <w:rsid w:val="00E350CE"/>
    <w:rsid w:val="00E35700"/>
    <w:rsid w:val="00E3736B"/>
    <w:rsid w:val="00E37A29"/>
    <w:rsid w:val="00E37E39"/>
    <w:rsid w:val="00E401E1"/>
    <w:rsid w:val="00E40BBE"/>
    <w:rsid w:val="00E412B6"/>
    <w:rsid w:val="00E41F55"/>
    <w:rsid w:val="00E428FB"/>
    <w:rsid w:val="00E43675"/>
    <w:rsid w:val="00E43E75"/>
    <w:rsid w:val="00E4512D"/>
    <w:rsid w:val="00E4536D"/>
    <w:rsid w:val="00E45DCF"/>
    <w:rsid w:val="00E466CF"/>
    <w:rsid w:val="00E50CC7"/>
    <w:rsid w:val="00E51015"/>
    <w:rsid w:val="00E51DC4"/>
    <w:rsid w:val="00E5223D"/>
    <w:rsid w:val="00E55738"/>
    <w:rsid w:val="00E55D27"/>
    <w:rsid w:val="00E56667"/>
    <w:rsid w:val="00E56AD5"/>
    <w:rsid w:val="00E56F7D"/>
    <w:rsid w:val="00E60006"/>
    <w:rsid w:val="00E607FA"/>
    <w:rsid w:val="00E60C50"/>
    <w:rsid w:val="00E60DA9"/>
    <w:rsid w:val="00E6188F"/>
    <w:rsid w:val="00E62289"/>
    <w:rsid w:val="00E62609"/>
    <w:rsid w:val="00E6374A"/>
    <w:rsid w:val="00E63F2D"/>
    <w:rsid w:val="00E66BE4"/>
    <w:rsid w:val="00E67704"/>
    <w:rsid w:val="00E67ABA"/>
    <w:rsid w:val="00E67D2F"/>
    <w:rsid w:val="00E71B43"/>
    <w:rsid w:val="00E71CEA"/>
    <w:rsid w:val="00E71EDA"/>
    <w:rsid w:val="00E72294"/>
    <w:rsid w:val="00E73968"/>
    <w:rsid w:val="00E74103"/>
    <w:rsid w:val="00E75BFD"/>
    <w:rsid w:val="00E8077B"/>
    <w:rsid w:val="00E81349"/>
    <w:rsid w:val="00E822E7"/>
    <w:rsid w:val="00E82DA9"/>
    <w:rsid w:val="00E82E81"/>
    <w:rsid w:val="00E83149"/>
    <w:rsid w:val="00E83177"/>
    <w:rsid w:val="00E83733"/>
    <w:rsid w:val="00E83C1E"/>
    <w:rsid w:val="00E84220"/>
    <w:rsid w:val="00E844C3"/>
    <w:rsid w:val="00E84A99"/>
    <w:rsid w:val="00E84CB8"/>
    <w:rsid w:val="00E856A1"/>
    <w:rsid w:val="00E9123E"/>
    <w:rsid w:val="00E9216E"/>
    <w:rsid w:val="00E93127"/>
    <w:rsid w:val="00E93258"/>
    <w:rsid w:val="00E9360A"/>
    <w:rsid w:val="00E9369F"/>
    <w:rsid w:val="00E9387D"/>
    <w:rsid w:val="00E94F3F"/>
    <w:rsid w:val="00E95709"/>
    <w:rsid w:val="00E95878"/>
    <w:rsid w:val="00E95A0C"/>
    <w:rsid w:val="00E96474"/>
    <w:rsid w:val="00E96847"/>
    <w:rsid w:val="00E971D9"/>
    <w:rsid w:val="00E977C7"/>
    <w:rsid w:val="00EA0B66"/>
    <w:rsid w:val="00EA0DC4"/>
    <w:rsid w:val="00EA3007"/>
    <w:rsid w:val="00EA3EC0"/>
    <w:rsid w:val="00EA4542"/>
    <w:rsid w:val="00EA4B0E"/>
    <w:rsid w:val="00EA6353"/>
    <w:rsid w:val="00EA708F"/>
    <w:rsid w:val="00EB11F4"/>
    <w:rsid w:val="00EB1998"/>
    <w:rsid w:val="00EB21E8"/>
    <w:rsid w:val="00EB27B9"/>
    <w:rsid w:val="00EB343C"/>
    <w:rsid w:val="00EB3CDD"/>
    <w:rsid w:val="00EB4E34"/>
    <w:rsid w:val="00EB5ADC"/>
    <w:rsid w:val="00EB6FA1"/>
    <w:rsid w:val="00EC0037"/>
    <w:rsid w:val="00EC04E3"/>
    <w:rsid w:val="00EC12BA"/>
    <w:rsid w:val="00EC1C9D"/>
    <w:rsid w:val="00EC2B19"/>
    <w:rsid w:val="00EC4577"/>
    <w:rsid w:val="00EC5644"/>
    <w:rsid w:val="00ED180F"/>
    <w:rsid w:val="00ED1C6B"/>
    <w:rsid w:val="00ED2150"/>
    <w:rsid w:val="00ED377C"/>
    <w:rsid w:val="00ED75FF"/>
    <w:rsid w:val="00EE04E8"/>
    <w:rsid w:val="00EE0E2D"/>
    <w:rsid w:val="00EE1BEC"/>
    <w:rsid w:val="00EE3065"/>
    <w:rsid w:val="00EE3478"/>
    <w:rsid w:val="00EE4676"/>
    <w:rsid w:val="00EE5119"/>
    <w:rsid w:val="00EE66BD"/>
    <w:rsid w:val="00EE692D"/>
    <w:rsid w:val="00EE713A"/>
    <w:rsid w:val="00EE746F"/>
    <w:rsid w:val="00EE7FED"/>
    <w:rsid w:val="00EF030B"/>
    <w:rsid w:val="00EF0724"/>
    <w:rsid w:val="00EF1476"/>
    <w:rsid w:val="00EF2725"/>
    <w:rsid w:val="00EF431E"/>
    <w:rsid w:val="00EF4BF2"/>
    <w:rsid w:val="00EF4C89"/>
    <w:rsid w:val="00EF5894"/>
    <w:rsid w:val="00EF741A"/>
    <w:rsid w:val="00EF7FA2"/>
    <w:rsid w:val="00F00A8D"/>
    <w:rsid w:val="00F017D7"/>
    <w:rsid w:val="00F0237E"/>
    <w:rsid w:val="00F024B9"/>
    <w:rsid w:val="00F0272A"/>
    <w:rsid w:val="00F0288F"/>
    <w:rsid w:val="00F03090"/>
    <w:rsid w:val="00F036B2"/>
    <w:rsid w:val="00F054DC"/>
    <w:rsid w:val="00F059AC"/>
    <w:rsid w:val="00F0739C"/>
    <w:rsid w:val="00F07544"/>
    <w:rsid w:val="00F076EA"/>
    <w:rsid w:val="00F11A6A"/>
    <w:rsid w:val="00F121BD"/>
    <w:rsid w:val="00F12DE4"/>
    <w:rsid w:val="00F12F9E"/>
    <w:rsid w:val="00F13B32"/>
    <w:rsid w:val="00F14454"/>
    <w:rsid w:val="00F1596B"/>
    <w:rsid w:val="00F16297"/>
    <w:rsid w:val="00F16356"/>
    <w:rsid w:val="00F16764"/>
    <w:rsid w:val="00F1793A"/>
    <w:rsid w:val="00F17A43"/>
    <w:rsid w:val="00F17A7D"/>
    <w:rsid w:val="00F17C0A"/>
    <w:rsid w:val="00F20E7E"/>
    <w:rsid w:val="00F2191E"/>
    <w:rsid w:val="00F21FFD"/>
    <w:rsid w:val="00F2503B"/>
    <w:rsid w:val="00F262FC"/>
    <w:rsid w:val="00F26334"/>
    <w:rsid w:val="00F26A5D"/>
    <w:rsid w:val="00F27216"/>
    <w:rsid w:val="00F27524"/>
    <w:rsid w:val="00F2789B"/>
    <w:rsid w:val="00F30483"/>
    <w:rsid w:val="00F33F11"/>
    <w:rsid w:val="00F343BC"/>
    <w:rsid w:val="00F3503D"/>
    <w:rsid w:val="00F353D2"/>
    <w:rsid w:val="00F35613"/>
    <w:rsid w:val="00F374E5"/>
    <w:rsid w:val="00F402EF"/>
    <w:rsid w:val="00F406F3"/>
    <w:rsid w:val="00F4081C"/>
    <w:rsid w:val="00F408D8"/>
    <w:rsid w:val="00F41139"/>
    <w:rsid w:val="00F41382"/>
    <w:rsid w:val="00F42072"/>
    <w:rsid w:val="00F421B3"/>
    <w:rsid w:val="00F4370F"/>
    <w:rsid w:val="00F449D3"/>
    <w:rsid w:val="00F4506A"/>
    <w:rsid w:val="00F4724D"/>
    <w:rsid w:val="00F52212"/>
    <w:rsid w:val="00F52374"/>
    <w:rsid w:val="00F5342E"/>
    <w:rsid w:val="00F53F15"/>
    <w:rsid w:val="00F55178"/>
    <w:rsid w:val="00F55BF8"/>
    <w:rsid w:val="00F565C8"/>
    <w:rsid w:val="00F566D5"/>
    <w:rsid w:val="00F6015D"/>
    <w:rsid w:val="00F60353"/>
    <w:rsid w:val="00F6035A"/>
    <w:rsid w:val="00F61CD4"/>
    <w:rsid w:val="00F64559"/>
    <w:rsid w:val="00F64865"/>
    <w:rsid w:val="00F65067"/>
    <w:rsid w:val="00F663C7"/>
    <w:rsid w:val="00F7009E"/>
    <w:rsid w:val="00F71683"/>
    <w:rsid w:val="00F71CA0"/>
    <w:rsid w:val="00F71D67"/>
    <w:rsid w:val="00F71D8F"/>
    <w:rsid w:val="00F71E46"/>
    <w:rsid w:val="00F72C08"/>
    <w:rsid w:val="00F72F5A"/>
    <w:rsid w:val="00F7304A"/>
    <w:rsid w:val="00F73348"/>
    <w:rsid w:val="00F76C0F"/>
    <w:rsid w:val="00F76E61"/>
    <w:rsid w:val="00F77183"/>
    <w:rsid w:val="00F80E8D"/>
    <w:rsid w:val="00F80F70"/>
    <w:rsid w:val="00F812F2"/>
    <w:rsid w:val="00F819E0"/>
    <w:rsid w:val="00F81FA7"/>
    <w:rsid w:val="00F82572"/>
    <w:rsid w:val="00F82705"/>
    <w:rsid w:val="00F83134"/>
    <w:rsid w:val="00F84AEF"/>
    <w:rsid w:val="00F8555C"/>
    <w:rsid w:val="00F85BA3"/>
    <w:rsid w:val="00F86D72"/>
    <w:rsid w:val="00F873F6"/>
    <w:rsid w:val="00F90113"/>
    <w:rsid w:val="00F904B3"/>
    <w:rsid w:val="00F91391"/>
    <w:rsid w:val="00F92370"/>
    <w:rsid w:val="00F93179"/>
    <w:rsid w:val="00F94E4B"/>
    <w:rsid w:val="00F9528B"/>
    <w:rsid w:val="00F95D7A"/>
    <w:rsid w:val="00F9704C"/>
    <w:rsid w:val="00F9713B"/>
    <w:rsid w:val="00F97288"/>
    <w:rsid w:val="00F97F30"/>
    <w:rsid w:val="00FA07BF"/>
    <w:rsid w:val="00FA0ECA"/>
    <w:rsid w:val="00FA2ACF"/>
    <w:rsid w:val="00FA3726"/>
    <w:rsid w:val="00FA3CF8"/>
    <w:rsid w:val="00FA3FA2"/>
    <w:rsid w:val="00FA63AD"/>
    <w:rsid w:val="00FA6618"/>
    <w:rsid w:val="00FA706C"/>
    <w:rsid w:val="00FB0436"/>
    <w:rsid w:val="00FB0C1A"/>
    <w:rsid w:val="00FB0C38"/>
    <w:rsid w:val="00FB13C5"/>
    <w:rsid w:val="00FB1E9F"/>
    <w:rsid w:val="00FB2319"/>
    <w:rsid w:val="00FB2A31"/>
    <w:rsid w:val="00FB363E"/>
    <w:rsid w:val="00FB4E80"/>
    <w:rsid w:val="00FB6057"/>
    <w:rsid w:val="00FB787F"/>
    <w:rsid w:val="00FC0933"/>
    <w:rsid w:val="00FC0A00"/>
    <w:rsid w:val="00FC0F16"/>
    <w:rsid w:val="00FC173B"/>
    <w:rsid w:val="00FC2D14"/>
    <w:rsid w:val="00FC3555"/>
    <w:rsid w:val="00FC3BB9"/>
    <w:rsid w:val="00FC412E"/>
    <w:rsid w:val="00FC5030"/>
    <w:rsid w:val="00FC590E"/>
    <w:rsid w:val="00FC72B9"/>
    <w:rsid w:val="00FD16B6"/>
    <w:rsid w:val="00FD1C35"/>
    <w:rsid w:val="00FD2900"/>
    <w:rsid w:val="00FD3453"/>
    <w:rsid w:val="00FD4530"/>
    <w:rsid w:val="00FD52B1"/>
    <w:rsid w:val="00FD7528"/>
    <w:rsid w:val="00FE12DF"/>
    <w:rsid w:val="00FE2264"/>
    <w:rsid w:val="00FE27F8"/>
    <w:rsid w:val="00FE2AA9"/>
    <w:rsid w:val="00FE2D8C"/>
    <w:rsid w:val="00FE3062"/>
    <w:rsid w:val="00FE327E"/>
    <w:rsid w:val="00FE5029"/>
    <w:rsid w:val="00FE688E"/>
    <w:rsid w:val="00FE6A59"/>
    <w:rsid w:val="00FE7959"/>
    <w:rsid w:val="00FF0232"/>
    <w:rsid w:val="00FF0ACA"/>
    <w:rsid w:val="00FF1AFD"/>
    <w:rsid w:val="00FF3652"/>
    <w:rsid w:val="00FF4825"/>
    <w:rsid w:val="00FF51CF"/>
    <w:rsid w:val="00FF5BB0"/>
    <w:rsid w:val="00FF69FD"/>
    <w:rsid w:val="00FF6CCD"/>
    <w:rsid w:val="00FF74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04A83"/>
  <w15:docId w15:val="{6BBBC5AA-EB9F-497D-AC2D-3ABC7C455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F85"/>
    <w:pPr>
      <w:spacing w:after="160" w:line="259" w:lineRule="auto"/>
    </w:pPr>
    <w:rPr>
      <w:szCs w:val="28"/>
      <w:lang w:val="en-US" w:bidi="th-TH"/>
    </w:rPr>
  </w:style>
  <w:style w:type="paragraph" w:styleId="Heading1">
    <w:name w:val="heading 1"/>
    <w:basedOn w:val="Normal"/>
    <w:next w:val="Normal"/>
    <w:link w:val="Heading1Char"/>
    <w:uiPriority w:val="9"/>
    <w:qFormat/>
    <w:rsid w:val="00473D86"/>
    <w:pPr>
      <w:widowControl w:val="0"/>
      <w:autoSpaceDE w:val="0"/>
      <w:autoSpaceDN w:val="0"/>
      <w:adjustRightInd w:val="0"/>
      <w:spacing w:after="0" w:line="240" w:lineRule="auto"/>
      <w:ind w:firstLine="720"/>
      <w:outlineLvl w:val="0"/>
    </w:pPr>
    <w:rPr>
      <w:rFonts w:ascii="Calibri" w:eastAsiaTheme="minorEastAsia" w:hAnsi="Calibri" w:cs="Calibri"/>
      <w:b/>
      <w:bCs/>
      <w:noProof/>
      <w:sz w:val="38"/>
      <w:szCs w:val="38"/>
      <w:lang w:val="en-GB" w:eastAsia="en-GB" w:bidi="ar-SA"/>
    </w:rPr>
  </w:style>
  <w:style w:type="paragraph" w:styleId="Heading2">
    <w:name w:val="heading 2"/>
    <w:basedOn w:val="Normal"/>
    <w:next w:val="Normal"/>
    <w:link w:val="Heading2Char"/>
    <w:uiPriority w:val="9"/>
    <w:qFormat/>
    <w:rsid w:val="00B85ADF"/>
    <w:pPr>
      <w:widowControl w:val="0"/>
      <w:autoSpaceDE w:val="0"/>
      <w:autoSpaceDN w:val="0"/>
      <w:adjustRightInd w:val="0"/>
      <w:spacing w:after="0" w:line="240" w:lineRule="auto"/>
      <w:ind w:firstLine="720"/>
      <w:outlineLvl w:val="1"/>
    </w:pPr>
    <w:rPr>
      <w:rFonts w:ascii="Calibri" w:eastAsiaTheme="minorEastAsia" w:hAnsi="Calibri" w:cs="Calibri"/>
      <w:b/>
      <w:bCs/>
      <w:noProof/>
      <w:sz w:val="32"/>
      <w:szCs w:val="32"/>
      <w:lang w:val="en-GB" w:eastAsia="en-GB" w:bidi="ar-SA"/>
    </w:rPr>
  </w:style>
  <w:style w:type="paragraph" w:styleId="Heading3">
    <w:name w:val="heading 3"/>
    <w:basedOn w:val="Normal"/>
    <w:next w:val="Normal"/>
    <w:link w:val="Heading3Char"/>
    <w:uiPriority w:val="9"/>
    <w:unhideWhenUsed/>
    <w:qFormat/>
    <w:rsid w:val="007B4A8E"/>
    <w:pPr>
      <w:keepNext/>
      <w:keepLines/>
      <w:spacing w:before="200" w:after="0"/>
      <w:outlineLvl w:val="2"/>
    </w:pPr>
    <w:rPr>
      <w:rFonts w:asciiTheme="majorHAnsi" w:eastAsiaTheme="majorEastAsia" w:hAnsiTheme="majorHAnsi" w:cs="Angsana New"/>
      <w:b/>
      <w:bCs/>
      <w:color w:val="4F81BD" w:themeColor="accent1"/>
    </w:rPr>
  </w:style>
  <w:style w:type="paragraph" w:styleId="Heading4">
    <w:name w:val="heading 4"/>
    <w:basedOn w:val="Normal"/>
    <w:next w:val="Normal"/>
    <w:link w:val="Heading4Char"/>
    <w:uiPriority w:val="9"/>
    <w:qFormat/>
    <w:rsid w:val="00473D86"/>
    <w:pPr>
      <w:widowControl w:val="0"/>
      <w:autoSpaceDE w:val="0"/>
      <w:autoSpaceDN w:val="0"/>
      <w:adjustRightInd w:val="0"/>
      <w:spacing w:after="0" w:line="240" w:lineRule="auto"/>
      <w:ind w:firstLine="720"/>
      <w:outlineLvl w:val="3"/>
    </w:pPr>
    <w:rPr>
      <w:rFonts w:ascii="Calibri" w:eastAsiaTheme="minorEastAsia" w:hAnsi="Calibri" w:cs="Calibri"/>
      <w:b/>
      <w:bCs/>
      <w:noProof/>
      <w:sz w:val="24"/>
      <w:szCs w:val="24"/>
      <w:lang w:val="en-GB" w:eastAsia="en-GB" w:bidi="ar-SA"/>
    </w:rPr>
  </w:style>
  <w:style w:type="paragraph" w:styleId="Heading5">
    <w:name w:val="heading 5"/>
    <w:basedOn w:val="Normal"/>
    <w:next w:val="Normal"/>
    <w:link w:val="Heading5Char"/>
    <w:uiPriority w:val="9"/>
    <w:unhideWhenUsed/>
    <w:qFormat/>
    <w:rsid w:val="00B92A4E"/>
    <w:pPr>
      <w:keepNext/>
      <w:keepLines/>
      <w:spacing w:before="200" w:after="0"/>
      <w:outlineLvl w:val="4"/>
    </w:pPr>
    <w:rPr>
      <w:rFonts w:asciiTheme="majorHAnsi" w:eastAsiaTheme="majorEastAsia" w:hAnsiTheme="majorHAnsi" w:cs="Angsana New"/>
      <w:color w:val="243F60" w:themeColor="accent1" w:themeShade="7F"/>
    </w:rPr>
  </w:style>
  <w:style w:type="paragraph" w:styleId="Heading6">
    <w:name w:val="heading 6"/>
    <w:basedOn w:val="Normal"/>
    <w:next w:val="Normal"/>
    <w:link w:val="Heading6Char"/>
    <w:qFormat/>
    <w:rsid w:val="00473D86"/>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lang w:val="en-GB" w:eastAsia="en-GB" w:bidi="ar-SA"/>
    </w:rPr>
  </w:style>
  <w:style w:type="paragraph" w:styleId="Heading7">
    <w:name w:val="heading 7"/>
    <w:basedOn w:val="Normal"/>
    <w:next w:val="Normal"/>
    <w:link w:val="Heading7Char"/>
    <w:uiPriority w:val="9"/>
    <w:semiHidden/>
    <w:unhideWhenUsed/>
    <w:qFormat/>
    <w:rsid w:val="00473D86"/>
    <w:pPr>
      <w:tabs>
        <w:tab w:val="num" w:pos="5040"/>
      </w:tabs>
      <w:spacing w:before="240" w:after="60" w:line="240" w:lineRule="auto"/>
      <w:ind w:left="5040" w:hanging="720"/>
      <w:outlineLvl w:val="6"/>
    </w:pPr>
    <w:rPr>
      <w:rFonts w:eastAsiaTheme="minorEastAsia"/>
      <w:sz w:val="24"/>
      <w:szCs w:val="24"/>
      <w:lang w:bidi="ar-SA"/>
    </w:rPr>
  </w:style>
  <w:style w:type="paragraph" w:styleId="Heading8">
    <w:name w:val="heading 8"/>
    <w:basedOn w:val="Normal"/>
    <w:next w:val="Normal"/>
    <w:link w:val="Heading8Char"/>
    <w:uiPriority w:val="9"/>
    <w:semiHidden/>
    <w:unhideWhenUsed/>
    <w:qFormat/>
    <w:rsid w:val="00473D86"/>
    <w:pPr>
      <w:tabs>
        <w:tab w:val="num" w:pos="5760"/>
      </w:tabs>
      <w:spacing w:before="240" w:after="60" w:line="240" w:lineRule="auto"/>
      <w:ind w:left="5760" w:hanging="720"/>
      <w:outlineLvl w:val="7"/>
    </w:pPr>
    <w:rPr>
      <w:rFonts w:eastAsiaTheme="minorEastAsia"/>
      <w:i/>
      <w:iCs/>
      <w:sz w:val="24"/>
      <w:szCs w:val="24"/>
      <w:lang w:bidi="ar-SA"/>
    </w:rPr>
  </w:style>
  <w:style w:type="paragraph" w:styleId="Heading9">
    <w:name w:val="heading 9"/>
    <w:basedOn w:val="Normal"/>
    <w:next w:val="Normal"/>
    <w:link w:val="Heading9Char"/>
    <w:uiPriority w:val="9"/>
    <w:semiHidden/>
    <w:unhideWhenUsed/>
    <w:qFormat/>
    <w:rsid w:val="00473D86"/>
    <w:pPr>
      <w:tabs>
        <w:tab w:val="num" w:pos="6480"/>
      </w:tabs>
      <w:spacing w:before="240" w:after="60" w:line="240" w:lineRule="auto"/>
      <w:ind w:left="6480" w:hanging="720"/>
      <w:outlineLvl w:val="8"/>
    </w:pPr>
    <w:rPr>
      <w:rFonts w:asciiTheme="majorHAnsi" w:eastAsiaTheme="majorEastAsia" w:hAnsiTheme="majorHAnsi" w:cstheme="majorBidi"/>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6F85"/>
    <w:rPr>
      <w:color w:val="0000FF" w:themeColor="hyperlink"/>
      <w:u w:val="single"/>
    </w:rPr>
  </w:style>
  <w:style w:type="character" w:customStyle="1" w:styleId="rwrr">
    <w:name w:val="rwrr"/>
    <w:basedOn w:val="DefaultParagraphFont"/>
    <w:rsid w:val="006A6F85"/>
  </w:style>
  <w:style w:type="paragraph" w:styleId="ListParagraph">
    <w:name w:val="List Paragraph"/>
    <w:basedOn w:val="Normal"/>
    <w:uiPriority w:val="34"/>
    <w:qFormat/>
    <w:rsid w:val="00B85ADF"/>
    <w:pPr>
      <w:ind w:left="720"/>
      <w:contextualSpacing/>
    </w:pPr>
    <w:rPr>
      <w:rFonts w:cs="Angsana New"/>
    </w:rPr>
  </w:style>
  <w:style w:type="character" w:customStyle="1" w:styleId="Heading2Char">
    <w:name w:val="Heading 2 Char"/>
    <w:basedOn w:val="DefaultParagraphFont"/>
    <w:link w:val="Heading2"/>
    <w:uiPriority w:val="9"/>
    <w:rsid w:val="00B85ADF"/>
    <w:rPr>
      <w:rFonts w:ascii="Calibri" w:eastAsiaTheme="minorEastAsia" w:hAnsi="Calibri" w:cs="Calibri"/>
      <w:b/>
      <w:bCs/>
      <w:noProof/>
      <w:sz w:val="32"/>
      <w:szCs w:val="32"/>
      <w:lang w:val="en-GB" w:eastAsia="en-GB"/>
    </w:rPr>
  </w:style>
  <w:style w:type="character" w:customStyle="1" w:styleId="Heading3Char">
    <w:name w:val="Heading 3 Char"/>
    <w:basedOn w:val="DefaultParagraphFont"/>
    <w:link w:val="Heading3"/>
    <w:uiPriority w:val="9"/>
    <w:rsid w:val="007B4A8E"/>
    <w:rPr>
      <w:rFonts w:asciiTheme="majorHAnsi" w:eastAsiaTheme="majorEastAsia" w:hAnsiTheme="majorHAnsi" w:cs="Angsana New"/>
      <w:b/>
      <w:bCs/>
      <w:color w:val="4F81BD" w:themeColor="accent1"/>
      <w:szCs w:val="28"/>
      <w:lang w:val="en-US" w:bidi="th-TH"/>
    </w:rPr>
  </w:style>
  <w:style w:type="paragraph" w:styleId="FootnoteText">
    <w:name w:val="footnote text"/>
    <w:basedOn w:val="Normal"/>
    <w:link w:val="FootnoteTextChar1"/>
    <w:unhideWhenUsed/>
    <w:rsid w:val="00C77892"/>
    <w:pPr>
      <w:spacing w:after="0" w:line="240" w:lineRule="auto"/>
    </w:pPr>
    <w:rPr>
      <w:sz w:val="20"/>
      <w:szCs w:val="20"/>
      <w:lang w:bidi="ar-SA"/>
    </w:rPr>
  </w:style>
  <w:style w:type="character" w:customStyle="1" w:styleId="FootnoteTextChar1">
    <w:name w:val="Footnote Text Char1"/>
    <w:basedOn w:val="DefaultParagraphFont"/>
    <w:link w:val="FootnoteText"/>
    <w:uiPriority w:val="99"/>
    <w:rsid w:val="00C77892"/>
    <w:rPr>
      <w:sz w:val="20"/>
      <w:szCs w:val="20"/>
      <w:lang w:val="en-US"/>
    </w:rPr>
  </w:style>
  <w:style w:type="character" w:styleId="FootnoteReference">
    <w:name w:val="footnote reference"/>
    <w:basedOn w:val="DefaultParagraphFont"/>
    <w:uiPriority w:val="99"/>
    <w:unhideWhenUsed/>
    <w:rsid w:val="00C77892"/>
    <w:rPr>
      <w:vertAlign w:val="superscript"/>
    </w:rPr>
  </w:style>
  <w:style w:type="character" w:customStyle="1" w:styleId="apple-converted-space">
    <w:name w:val="apple-converted-space"/>
    <w:basedOn w:val="DefaultParagraphFont"/>
    <w:rsid w:val="00636103"/>
  </w:style>
  <w:style w:type="paragraph" w:customStyle="1" w:styleId="CARLOS3">
    <w:name w:val="CARLOS3"/>
    <w:basedOn w:val="Normal"/>
    <w:rsid w:val="00CC79B3"/>
    <w:pPr>
      <w:spacing w:after="0" w:line="240" w:lineRule="auto"/>
      <w:jc w:val="both"/>
    </w:pPr>
    <w:rPr>
      <w:rFonts w:ascii="Garamond" w:eastAsia="Times New Roman" w:hAnsi="Garamond" w:cs="Times New Roman"/>
      <w:b/>
      <w:sz w:val="20"/>
      <w:szCs w:val="32"/>
      <w:lang w:val="es-ES" w:eastAsia="es-ES" w:bidi="ar-SA"/>
    </w:rPr>
  </w:style>
  <w:style w:type="paragraph" w:customStyle="1" w:styleId="GRAFICO">
    <w:name w:val="GRAFICO"/>
    <w:basedOn w:val="Normal"/>
    <w:autoRedefine/>
    <w:rsid w:val="00CC79B3"/>
    <w:pPr>
      <w:spacing w:before="120" w:after="120" w:line="240" w:lineRule="auto"/>
      <w:jc w:val="both"/>
    </w:pPr>
    <w:rPr>
      <w:rFonts w:ascii="Garamond" w:eastAsia="Times New Roman" w:hAnsi="Garamond" w:cs="Times New Roman"/>
      <w:sz w:val="24"/>
      <w:szCs w:val="24"/>
      <w:lang w:val="en-GB" w:eastAsia="es-ES" w:bidi="ar-SA"/>
    </w:rPr>
  </w:style>
  <w:style w:type="character" w:customStyle="1" w:styleId="GRAFICOCar">
    <w:name w:val="GRAFICO Car"/>
    <w:basedOn w:val="DefaultParagraphFont"/>
    <w:rsid w:val="00CC79B3"/>
    <w:rPr>
      <w:rFonts w:ascii="Garamond" w:hAnsi="Garamond"/>
      <w:b/>
      <w:sz w:val="32"/>
      <w:szCs w:val="24"/>
      <w:lang w:val="es-ES" w:eastAsia="es-ES" w:bidi="ar-SA"/>
    </w:rPr>
  </w:style>
  <w:style w:type="paragraph" w:customStyle="1" w:styleId="Proputanindrag">
    <w:name w:val="Prop. utan indrag"/>
    <w:basedOn w:val="Normal"/>
    <w:next w:val="Normal"/>
    <w:rsid w:val="00CC79B3"/>
    <w:pPr>
      <w:tabs>
        <w:tab w:val="left" w:pos="2835"/>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5"/>
      <w:szCs w:val="20"/>
      <w:lang w:val="sv-SE" w:eastAsia="es-ES" w:bidi="ar-SA"/>
    </w:rPr>
  </w:style>
  <w:style w:type="paragraph" w:styleId="Header">
    <w:name w:val="header"/>
    <w:basedOn w:val="Normal"/>
    <w:link w:val="HeaderChar"/>
    <w:uiPriority w:val="99"/>
    <w:rsid w:val="00B633CC"/>
    <w:pPr>
      <w:tabs>
        <w:tab w:val="center" w:pos="4252"/>
        <w:tab w:val="right" w:pos="8504"/>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bidi="ar-SA"/>
    </w:rPr>
  </w:style>
  <w:style w:type="character" w:customStyle="1" w:styleId="HeaderChar">
    <w:name w:val="Header Char"/>
    <w:basedOn w:val="DefaultParagraphFont"/>
    <w:link w:val="Header"/>
    <w:uiPriority w:val="99"/>
    <w:rsid w:val="00B633CC"/>
    <w:rPr>
      <w:rFonts w:ascii="Times New Roman" w:eastAsia="Times New Roman" w:hAnsi="Times New Roman" w:cs="Times New Roman"/>
      <w:sz w:val="24"/>
      <w:szCs w:val="20"/>
      <w:lang w:eastAsia="es-ES"/>
    </w:rPr>
  </w:style>
  <w:style w:type="paragraph" w:styleId="BalloonText">
    <w:name w:val="Balloon Text"/>
    <w:basedOn w:val="Normal"/>
    <w:link w:val="BalloonTextChar"/>
    <w:uiPriority w:val="99"/>
    <w:semiHidden/>
    <w:unhideWhenUsed/>
    <w:rsid w:val="00B633CC"/>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B633CC"/>
    <w:rPr>
      <w:rFonts w:ascii="Tahoma" w:hAnsi="Tahoma" w:cs="Angsana New"/>
      <w:sz w:val="16"/>
      <w:szCs w:val="20"/>
      <w:lang w:val="en-US" w:bidi="th-TH"/>
    </w:rPr>
  </w:style>
  <w:style w:type="paragraph" w:styleId="BodyText">
    <w:name w:val="Body Text"/>
    <w:basedOn w:val="Normal"/>
    <w:link w:val="BodyTextChar"/>
    <w:uiPriority w:val="1"/>
    <w:qFormat/>
    <w:rsid w:val="0079608D"/>
    <w:pPr>
      <w:widowControl w:val="0"/>
      <w:spacing w:after="0" w:line="240" w:lineRule="auto"/>
      <w:ind w:left="570"/>
    </w:pPr>
    <w:rPr>
      <w:rFonts w:ascii="Times New Roman" w:eastAsia="Times New Roman" w:hAnsi="Times New Roman"/>
      <w:sz w:val="24"/>
      <w:szCs w:val="24"/>
      <w:lang w:bidi="ar-SA"/>
    </w:rPr>
  </w:style>
  <w:style w:type="character" w:customStyle="1" w:styleId="BodyTextChar">
    <w:name w:val="Body Text Char"/>
    <w:basedOn w:val="DefaultParagraphFont"/>
    <w:link w:val="BodyText"/>
    <w:uiPriority w:val="1"/>
    <w:rsid w:val="0079608D"/>
    <w:rPr>
      <w:rFonts w:ascii="Times New Roman" w:eastAsia="Times New Roman" w:hAnsi="Times New Roman"/>
      <w:sz w:val="24"/>
      <w:szCs w:val="24"/>
      <w:lang w:val="en-US"/>
    </w:rPr>
  </w:style>
  <w:style w:type="paragraph" w:customStyle="1" w:styleId="author">
    <w:name w:val="author"/>
    <w:basedOn w:val="Normal"/>
    <w:next w:val="Normal"/>
    <w:rsid w:val="00C11F53"/>
    <w:pPr>
      <w:suppressAutoHyphens/>
      <w:overflowPunct w:val="0"/>
      <w:autoSpaceDE w:val="0"/>
      <w:autoSpaceDN w:val="0"/>
      <w:adjustRightInd w:val="0"/>
      <w:spacing w:before="480" w:after="220" w:line="240" w:lineRule="atLeast"/>
      <w:textAlignment w:val="baseline"/>
    </w:pPr>
    <w:rPr>
      <w:rFonts w:ascii="Times" w:eastAsia="Times New Roman" w:hAnsi="Times" w:cs="Times New Roman"/>
      <w:b/>
      <w:sz w:val="20"/>
      <w:szCs w:val="20"/>
      <w:lang w:eastAsia="de-DE" w:bidi="ar-SA"/>
    </w:rPr>
  </w:style>
  <w:style w:type="paragraph" w:customStyle="1" w:styleId="equation">
    <w:name w:val="equation"/>
    <w:basedOn w:val="Normal"/>
    <w:next w:val="Normal"/>
    <w:rsid w:val="00C11F53"/>
    <w:pPr>
      <w:tabs>
        <w:tab w:val="center" w:pos="3204"/>
        <w:tab w:val="right" w:pos="6634"/>
      </w:tabs>
      <w:overflowPunct w:val="0"/>
      <w:autoSpaceDE w:val="0"/>
      <w:autoSpaceDN w:val="0"/>
      <w:adjustRightInd w:val="0"/>
      <w:spacing w:before="240" w:after="240" w:line="240" w:lineRule="atLeast"/>
      <w:textAlignment w:val="baseline"/>
    </w:pPr>
    <w:rPr>
      <w:rFonts w:ascii="Times" w:eastAsia="Times New Roman" w:hAnsi="Times" w:cs="Times New Roman"/>
      <w:sz w:val="20"/>
      <w:szCs w:val="20"/>
      <w:lang w:eastAsia="de-DE" w:bidi="ar-SA"/>
    </w:rPr>
  </w:style>
  <w:style w:type="paragraph" w:styleId="Footer">
    <w:name w:val="footer"/>
    <w:basedOn w:val="Normal"/>
    <w:link w:val="FooterChar"/>
    <w:uiPriority w:val="99"/>
    <w:unhideWhenUsed/>
    <w:rsid w:val="00837051"/>
    <w:pPr>
      <w:tabs>
        <w:tab w:val="center" w:pos="4252"/>
        <w:tab w:val="right" w:pos="8504"/>
      </w:tabs>
      <w:spacing w:after="0" w:line="240" w:lineRule="auto"/>
    </w:pPr>
    <w:rPr>
      <w:rFonts w:cs="Angsana New"/>
    </w:rPr>
  </w:style>
  <w:style w:type="character" w:customStyle="1" w:styleId="FooterChar">
    <w:name w:val="Footer Char"/>
    <w:basedOn w:val="DefaultParagraphFont"/>
    <w:link w:val="Footer"/>
    <w:uiPriority w:val="99"/>
    <w:rsid w:val="00837051"/>
    <w:rPr>
      <w:rFonts w:cs="Angsana New"/>
      <w:szCs w:val="28"/>
      <w:lang w:val="en-US" w:bidi="th-TH"/>
    </w:rPr>
  </w:style>
  <w:style w:type="paragraph" w:customStyle="1" w:styleId="EndNoteBibliography">
    <w:name w:val="EndNote Bibliography"/>
    <w:basedOn w:val="Normal"/>
    <w:link w:val="EndNoteBibliographyChar"/>
    <w:rsid w:val="005D466B"/>
    <w:pPr>
      <w:spacing w:line="240" w:lineRule="auto"/>
    </w:pPr>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5D466B"/>
    <w:rPr>
      <w:rFonts w:ascii="Times New Roman" w:hAnsi="Times New Roman" w:cs="Times New Roman"/>
      <w:noProof/>
      <w:sz w:val="20"/>
      <w:szCs w:val="28"/>
      <w:lang w:val="en-US" w:bidi="th-TH"/>
    </w:rPr>
  </w:style>
  <w:style w:type="character" w:styleId="CommentReference">
    <w:name w:val="annotation reference"/>
    <w:basedOn w:val="DefaultParagraphFont"/>
    <w:uiPriority w:val="99"/>
    <w:semiHidden/>
    <w:unhideWhenUsed/>
    <w:rsid w:val="003E3DB6"/>
    <w:rPr>
      <w:sz w:val="16"/>
      <w:szCs w:val="16"/>
    </w:rPr>
  </w:style>
  <w:style w:type="paragraph" w:styleId="CommentText">
    <w:name w:val="annotation text"/>
    <w:basedOn w:val="Normal"/>
    <w:link w:val="CommentTextChar"/>
    <w:uiPriority w:val="99"/>
    <w:semiHidden/>
    <w:unhideWhenUsed/>
    <w:rsid w:val="003E3DB6"/>
    <w:pPr>
      <w:spacing w:line="240" w:lineRule="auto"/>
    </w:pPr>
    <w:rPr>
      <w:rFonts w:cs="Angsana New"/>
      <w:sz w:val="20"/>
      <w:szCs w:val="25"/>
    </w:rPr>
  </w:style>
  <w:style w:type="character" w:customStyle="1" w:styleId="CommentTextChar">
    <w:name w:val="Comment Text Char"/>
    <w:basedOn w:val="DefaultParagraphFont"/>
    <w:link w:val="CommentText"/>
    <w:uiPriority w:val="99"/>
    <w:semiHidden/>
    <w:rsid w:val="003E3DB6"/>
    <w:rPr>
      <w:rFonts w:cs="Angsana New"/>
      <w:sz w:val="20"/>
      <w:szCs w:val="25"/>
      <w:lang w:val="en-US" w:bidi="th-TH"/>
    </w:rPr>
  </w:style>
  <w:style w:type="paragraph" w:styleId="CommentSubject">
    <w:name w:val="annotation subject"/>
    <w:basedOn w:val="CommentText"/>
    <w:next w:val="CommentText"/>
    <w:link w:val="CommentSubjectChar"/>
    <w:uiPriority w:val="99"/>
    <w:semiHidden/>
    <w:unhideWhenUsed/>
    <w:rsid w:val="003E3DB6"/>
    <w:rPr>
      <w:b/>
      <w:bCs/>
    </w:rPr>
  </w:style>
  <w:style w:type="character" w:customStyle="1" w:styleId="CommentSubjectChar">
    <w:name w:val="Comment Subject Char"/>
    <w:basedOn w:val="CommentTextChar"/>
    <w:link w:val="CommentSubject"/>
    <w:uiPriority w:val="99"/>
    <w:semiHidden/>
    <w:rsid w:val="003E3DB6"/>
    <w:rPr>
      <w:rFonts w:cs="Angsana New"/>
      <w:b/>
      <w:bCs/>
      <w:sz w:val="20"/>
      <w:szCs w:val="25"/>
      <w:lang w:val="en-US" w:bidi="th-TH"/>
    </w:rPr>
  </w:style>
  <w:style w:type="character" w:styleId="Emphasis">
    <w:name w:val="Emphasis"/>
    <w:basedOn w:val="DefaultParagraphFont"/>
    <w:uiPriority w:val="20"/>
    <w:qFormat/>
    <w:rsid w:val="00A50E37"/>
    <w:rPr>
      <w:i/>
      <w:iCs/>
    </w:rPr>
  </w:style>
  <w:style w:type="table" w:styleId="TableGrid">
    <w:name w:val="Table Grid"/>
    <w:basedOn w:val="TableNormal"/>
    <w:uiPriority w:val="39"/>
    <w:rsid w:val="00B92A4E"/>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2A4E"/>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5Char">
    <w:name w:val="Heading 5 Char"/>
    <w:basedOn w:val="DefaultParagraphFont"/>
    <w:link w:val="Heading5"/>
    <w:uiPriority w:val="9"/>
    <w:semiHidden/>
    <w:rsid w:val="00B92A4E"/>
    <w:rPr>
      <w:rFonts w:asciiTheme="majorHAnsi" w:eastAsiaTheme="majorEastAsia" w:hAnsiTheme="majorHAnsi" w:cs="Angsana New"/>
      <w:color w:val="243F60" w:themeColor="accent1" w:themeShade="7F"/>
      <w:szCs w:val="28"/>
      <w:lang w:val="en-US" w:bidi="th-TH"/>
    </w:rPr>
  </w:style>
  <w:style w:type="paragraph" w:styleId="Caption">
    <w:name w:val="caption"/>
    <w:basedOn w:val="Normal"/>
    <w:next w:val="Normal"/>
    <w:uiPriority w:val="35"/>
    <w:unhideWhenUsed/>
    <w:qFormat/>
    <w:rsid w:val="00FA706C"/>
    <w:pPr>
      <w:spacing w:after="0" w:line="240" w:lineRule="auto"/>
    </w:pPr>
    <w:rPr>
      <w:rFonts w:ascii="Times New Roman" w:eastAsia="Times New Roman" w:hAnsi="Times New Roman" w:cs="Times New Roman"/>
      <w:b/>
      <w:bCs/>
      <w:sz w:val="20"/>
      <w:szCs w:val="20"/>
      <w:lang w:val="en-GB" w:bidi="ar-SA"/>
    </w:rPr>
  </w:style>
  <w:style w:type="character" w:customStyle="1" w:styleId="Heading1Char">
    <w:name w:val="Heading 1 Char"/>
    <w:basedOn w:val="DefaultParagraphFont"/>
    <w:link w:val="Heading1"/>
    <w:uiPriority w:val="9"/>
    <w:rsid w:val="00473D86"/>
    <w:rPr>
      <w:rFonts w:ascii="Calibri" w:eastAsiaTheme="minorEastAsia" w:hAnsi="Calibri" w:cs="Calibri"/>
      <w:b/>
      <w:bCs/>
      <w:noProof/>
      <w:sz w:val="38"/>
      <w:szCs w:val="38"/>
      <w:lang w:val="en-GB" w:eastAsia="en-GB"/>
    </w:rPr>
  </w:style>
  <w:style w:type="character" w:customStyle="1" w:styleId="Heading4Char">
    <w:name w:val="Heading 4 Char"/>
    <w:basedOn w:val="DefaultParagraphFont"/>
    <w:link w:val="Heading4"/>
    <w:uiPriority w:val="9"/>
    <w:rsid w:val="00473D86"/>
    <w:rPr>
      <w:rFonts w:ascii="Calibri" w:eastAsiaTheme="minorEastAsia" w:hAnsi="Calibri" w:cs="Calibri"/>
      <w:b/>
      <w:bCs/>
      <w:noProof/>
      <w:sz w:val="24"/>
      <w:szCs w:val="24"/>
      <w:lang w:val="en-GB" w:eastAsia="en-GB"/>
    </w:rPr>
  </w:style>
  <w:style w:type="character" w:customStyle="1" w:styleId="Heading6Char">
    <w:name w:val="Heading 6 Char"/>
    <w:basedOn w:val="DefaultParagraphFont"/>
    <w:link w:val="Heading6"/>
    <w:rsid w:val="00473D86"/>
    <w:rPr>
      <w:rFonts w:ascii="Calibri" w:eastAsiaTheme="minorEastAsia" w:hAnsi="Calibri" w:cs="Calibri"/>
      <w:b/>
      <w:bCs/>
      <w:noProof/>
      <w:sz w:val="46"/>
      <w:szCs w:val="46"/>
      <w:lang w:val="en-GB" w:eastAsia="en-GB"/>
    </w:rPr>
  </w:style>
  <w:style w:type="character" w:customStyle="1" w:styleId="Heading7Char">
    <w:name w:val="Heading 7 Char"/>
    <w:basedOn w:val="DefaultParagraphFont"/>
    <w:link w:val="Heading7"/>
    <w:uiPriority w:val="9"/>
    <w:semiHidden/>
    <w:rsid w:val="00473D86"/>
    <w:rPr>
      <w:rFonts w:eastAsiaTheme="minorEastAsia"/>
      <w:sz w:val="24"/>
      <w:szCs w:val="24"/>
      <w:lang w:val="en-US"/>
    </w:rPr>
  </w:style>
  <w:style w:type="character" w:customStyle="1" w:styleId="Heading8Char">
    <w:name w:val="Heading 8 Char"/>
    <w:basedOn w:val="DefaultParagraphFont"/>
    <w:link w:val="Heading8"/>
    <w:uiPriority w:val="9"/>
    <w:semiHidden/>
    <w:rsid w:val="00473D86"/>
    <w:rPr>
      <w:rFonts w:eastAsiaTheme="minorEastAsia"/>
      <w:i/>
      <w:iCs/>
      <w:sz w:val="24"/>
      <w:szCs w:val="24"/>
      <w:lang w:val="en-US"/>
    </w:rPr>
  </w:style>
  <w:style w:type="character" w:customStyle="1" w:styleId="Heading9Char">
    <w:name w:val="Heading 9 Char"/>
    <w:basedOn w:val="DefaultParagraphFont"/>
    <w:link w:val="Heading9"/>
    <w:uiPriority w:val="9"/>
    <w:semiHidden/>
    <w:rsid w:val="00473D86"/>
    <w:rPr>
      <w:rFonts w:asciiTheme="majorHAnsi" w:eastAsiaTheme="majorEastAsia" w:hAnsiTheme="majorHAnsi" w:cstheme="majorBidi"/>
      <w:lang w:val="en-US"/>
    </w:rPr>
  </w:style>
  <w:style w:type="paragraph" w:styleId="NoSpacing">
    <w:name w:val="No Spacing"/>
    <w:uiPriority w:val="1"/>
    <w:qFormat/>
    <w:rsid w:val="00473D86"/>
    <w:pPr>
      <w:spacing w:after="0" w:line="240" w:lineRule="auto"/>
    </w:pPr>
    <w:rPr>
      <w:rFonts w:ascii="Times New Roman" w:eastAsia="Times New Roman" w:hAnsi="Times New Roman" w:cs="Times New Roman"/>
      <w:sz w:val="20"/>
      <w:szCs w:val="20"/>
      <w:lang w:val="en-US"/>
    </w:rPr>
  </w:style>
  <w:style w:type="character" w:customStyle="1" w:styleId="normalfont">
    <w:name w:val="normal_font"/>
    <w:basedOn w:val="DefaultParagraphFont"/>
    <w:rsid w:val="00473D86"/>
  </w:style>
  <w:style w:type="paragraph" w:customStyle="1" w:styleId="ColorfulList-Accent11">
    <w:name w:val="Colorful List - Accent 11"/>
    <w:basedOn w:val="Normal"/>
    <w:uiPriority w:val="99"/>
    <w:rsid w:val="00473D86"/>
    <w:pPr>
      <w:spacing w:after="0" w:line="300" w:lineRule="auto"/>
      <w:jc w:val="both"/>
    </w:pPr>
    <w:rPr>
      <w:rFonts w:ascii="Garamond" w:eastAsia="MS Mincho" w:hAnsi="Garamond" w:cs="Times New Roman"/>
      <w:sz w:val="24"/>
      <w:szCs w:val="24"/>
      <w:lang w:val="en-GB" w:eastAsia="es-ES" w:bidi="ar-SA"/>
    </w:rPr>
  </w:style>
  <w:style w:type="character" w:customStyle="1" w:styleId="mi">
    <w:name w:val="mi"/>
    <w:basedOn w:val="DefaultParagraphFont"/>
    <w:rsid w:val="00473D86"/>
  </w:style>
  <w:style w:type="character" w:customStyle="1" w:styleId="mo">
    <w:name w:val="mo"/>
    <w:basedOn w:val="DefaultParagraphFont"/>
    <w:rsid w:val="00473D86"/>
  </w:style>
  <w:style w:type="character" w:customStyle="1" w:styleId="mjxassistivemathml">
    <w:name w:val="mjx_assistive_mathml"/>
    <w:basedOn w:val="DefaultParagraphFont"/>
    <w:rsid w:val="00473D86"/>
  </w:style>
  <w:style w:type="paragraph" w:customStyle="1" w:styleId="COSTNormal">
    <w:name w:val="COST_Normal"/>
    <w:rsid w:val="006B3BE0"/>
    <w:pPr>
      <w:pBdr>
        <w:top w:val="nil"/>
        <w:left w:val="nil"/>
        <w:bottom w:val="nil"/>
        <w:right w:val="nil"/>
        <w:between w:val="nil"/>
        <w:bar w:val="nil"/>
      </w:pBdr>
      <w:spacing w:after="0" w:line="240" w:lineRule="auto"/>
      <w:jc w:val="both"/>
    </w:pPr>
    <w:rPr>
      <w:rFonts w:ascii="Arial" w:eastAsia="Arial Unicode MS" w:hAnsi="Arial" w:cs="Arial Unicode MS"/>
      <w:color w:val="56585B"/>
      <w:u w:color="56585B"/>
      <w:bdr w:val="nil"/>
      <w:lang w:val="en-US" w:eastAsia="es-ES"/>
    </w:rPr>
  </w:style>
  <w:style w:type="paragraph" w:customStyle="1" w:styleId="p1a">
    <w:name w:val="p1a"/>
    <w:basedOn w:val="Normal"/>
    <w:next w:val="Normal"/>
    <w:rsid w:val="00912E16"/>
    <w:pPr>
      <w:overflowPunct w:val="0"/>
      <w:autoSpaceDE w:val="0"/>
      <w:autoSpaceDN w:val="0"/>
      <w:adjustRightInd w:val="0"/>
      <w:spacing w:after="0" w:line="240" w:lineRule="atLeast"/>
      <w:jc w:val="both"/>
      <w:textAlignment w:val="baseline"/>
    </w:pPr>
    <w:rPr>
      <w:rFonts w:ascii="Times" w:eastAsia="Times New Roman" w:hAnsi="Times" w:cs="Times New Roman"/>
      <w:sz w:val="20"/>
      <w:szCs w:val="20"/>
      <w:lang w:eastAsia="de-DE" w:bidi="ar-SA"/>
    </w:rPr>
  </w:style>
  <w:style w:type="character" w:customStyle="1" w:styleId="FootnoteTextChar">
    <w:name w:val="Footnote Text Char"/>
    <w:basedOn w:val="DefaultParagraphFont"/>
    <w:uiPriority w:val="99"/>
    <w:rsid w:val="00031CE7"/>
    <w:rPr>
      <w:sz w:val="20"/>
      <w:szCs w:val="25"/>
    </w:rPr>
  </w:style>
  <w:style w:type="character" w:customStyle="1" w:styleId="UnresolvedMention1">
    <w:name w:val="Unresolved Mention1"/>
    <w:basedOn w:val="DefaultParagraphFont"/>
    <w:uiPriority w:val="99"/>
    <w:semiHidden/>
    <w:unhideWhenUsed/>
    <w:rsid w:val="00A2035A"/>
    <w:rPr>
      <w:color w:val="605E5C"/>
      <w:shd w:val="clear" w:color="auto" w:fill="E1DFDD"/>
    </w:rPr>
  </w:style>
  <w:style w:type="character" w:customStyle="1" w:styleId="FootnoteCharacters">
    <w:name w:val="Footnote Characters"/>
    <w:basedOn w:val="DefaultParagraphFont"/>
    <w:rsid w:val="00B934DD"/>
    <w:rPr>
      <w:vertAlign w:val="superscript"/>
    </w:rPr>
  </w:style>
  <w:style w:type="paragraph" w:customStyle="1" w:styleId="Default">
    <w:name w:val="Default"/>
    <w:rsid w:val="006051C1"/>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321947">
      <w:bodyDiv w:val="1"/>
      <w:marLeft w:val="0"/>
      <w:marRight w:val="0"/>
      <w:marTop w:val="0"/>
      <w:marBottom w:val="0"/>
      <w:divBdr>
        <w:top w:val="none" w:sz="0" w:space="0" w:color="auto"/>
        <w:left w:val="none" w:sz="0" w:space="0" w:color="auto"/>
        <w:bottom w:val="none" w:sz="0" w:space="0" w:color="auto"/>
        <w:right w:val="none" w:sz="0" w:space="0" w:color="auto"/>
      </w:divBdr>
    </w:div>
    <w:div w:id="348457037">
      <w:bodyDiv w:val="1"/>
      <w:marLeft w:val="0"/>
      <w:marRight w:val="0"/>
      <w:marTop w:val="0"/>
      <w:marBottom w:val="0"/>
      <w:divBdr>
        <w:top w:val="none" w:sz="0" w:space="0" w:color="auto"/>
        <w:left w:val="none" w:sz="0" w:space="0" w:color="auto"/>
        <w:bottom w:val="none" w:sz="0" w:space="0" w:color="auto"/>
        <w:right w:val="none" w:sz="0" w:space="0" w:color="auto"/>
      </w:divBdr>
    </w:div>
    <w:div w:id="377705902">
      <w:bodyDiv w:val="1"/>
      <w:marLeft w:val="0"/>
      <w:marRight w:val="0"/>
      <w:marTop w:val="0"/>
      <w:marBottom w:val="0"/>
      <w:divBdr>
        <w:top w:val="none" w:sz="0" w:space="0" w:color="auto"/>
        <w:left w:val="none" w:sz="0" w:space="0" w:color="auto"/>
        <w:bottom w:val="none" w:sz="0" w:space="0" w:color="auto"/>
        <w:right w:val="none" w:sz="0" w:space="0" w:color="auto"/>
      </w:divBdr>
    </w:div>
    <w:div w:id="519897395">
      <w:bodyDiv w:val="1"/>
      <w:marLeft w:val="0"/>
      <w:marRight w:val="0"/>
      <w:marTop w:val="0"/>
      <w:marBottom w:val="0"/>
      <w:divBdr>
        <w:top w:val="none" w:sz="0" w:space="0" w:color="auto"/>
        <w:left w:val="none" w:sz="0" w:space="0" w:color="auto"/>
        <w:bottom w:val="none" w:sz="0" w:space="0" w:color="auto"/>
        <w:right w:val="none" w:sz="0" w:space="0" w:color="auto"/>
      </w:divBdr>
    </w:div>
    <w:div w:id="571237373">
      <w:bodyDiv w:val="1"/>
      <w:marLeft w:val="0"/>
      <w:marRight w:val="0"/>
      <w:marTop w:val="0"/>
      <w:marBottom w:val="0"/>
      <w:divBdr>
        <w:top w:val="none" w:sz="0" w:space="0" w:color="auto"/>
        <w:left w:val="none" w:sz="0" w:space="0" w:color="auto"/>
        <w:bottom w:val="none" w:sz="0" w:space="0" w:color="auto"/>
        <w:right w:val="none" w:sz="0" w:space="0" w:color="auto"/>
      </w:divBdr>
    </w:div>
    <w:div w:id="626818570">
      <w:bodyDiv w:val="1"/>
      <w:marLeft w:val="0"/>
      <w:marRight w:val="0"/>
      <w:marTop w:val="0"/>
      <w:marBottom w:val="0"/>
      <w:divBdr>
        <w:top w:val="none" w:sz="0" w:space="0" w:color="auto"/>
        <w:left w:val="none" w:sz="0" w:space="0" w:color="auto"/>
        <w:bottom w:val="none" w:sz="0" w:space="0" w:color="auto"/>
        <w:right w:val="none" w:sz="0" w:space="0" w:color="auto"/>
      </w:divBdr>
    </w:div>
    <w:div w:id="674457780">
      <w:bodyDiv w:val="1"/>
      <w:marLeft w:val="0"/>
      <w:marRight w:val="0"/>
      <w:marTop w:val="0"/>
      <w:marBottom w:val="0"/>
      <w:divBdr>
        <w:top w:val="none" w:sz="0" w:space="0" w:color="auto"/>
        <w:left w:val="none" w:sz="0" w:space="0" w:color="auto"/>
        <w:bottom w:val="none" w:sz="0" w:space="0" w:color="auto"/>
        <w:right w:val="none" w:sz="0" w:space="0" w:color="auto"/>
      </w:divBdr>
    </w:div>
    <w:div w:id="918296899">
      <w:bodyDiv w:val="1"/>
      <w:marLeft w:val="0"/>
      <w:marRight w:val="0"/>
      <w:marTop w:val="0"/>
      <w:marBottom w:val="0"/>
      <w:divBdr>
        <w:top w:val="none" w:sz="0" w:space="0" w:color="auto"/>
        <w:left w:val="none" w:sz="0" w:space="0" w:color="auto"/>
        <w:bottom w:val="none" w:sz="0" w:space="0" w:color="auto"/>
        <w:right w:val="none" w:sz="0" w:space="0" w:color="auto"/>
      </w:divBdr>
    </w:div>
    <w:div w:id="971330519">
      <w:bodyDiv w:val="1"/>
      <w:marLeft w:val="0"/>
      <w:marRight w:val="0"/>
      <w:marTop w:val="0"/>
      <w:marBottom w:val="0"/>
      <w:divBdr>
        <w:top w:val="none" w:sz="0" w:space="0" w:color="auto"/>
        <w:left w:val="none" w:sz="0" w:space="0" w:color="auto"/>
        <w:bottom w:val="none" w:sz="0" w:space="0" w:color="auto"/>
        <w:right w:val="none" w:sz="0" w:space="0" w:color="auto"/>
      </w:divBdr>
    </w:div>
    <w:div w:id="1203251481">
      <w:bodyDiv w:val="1"/>
      <w:marLeft w:val="0"/>
      <w:marRight w:val="0"/>
      <w:marTop w:val="0"/>
      <w:marBottom w:val="0"/>
      <w:divBdr>
        <w:top w:val="none" w:sz="0" w:space="0" w:color="auto"/>
        <w:left w:val="none" w:sz="0" w:space="0" w:color="auto"/>
        <w:bottom w:val="none" w:sz="0" w:space="0" w:color="auto"/>
        <w:right w:val="none" w:sz="0" w:space="0" w:color="auto"/>
      </w:divBdr>
    </w:div>
    <w:div w:id="181482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63" Type="http://schemas.openxmlformats.org/officeDocument/2006/relationships/image" Target="media/image32.png"/><Relationship Id="rId68" Type="http://schemas.openxmlformats.org/officeDocument/2006/relationships/image" Target="media/image37.emf"/><Relationship Id="rId76" Type="http://schemas.openxmlformats.org/officeDocument/2006/relationships/image" Target="media/image45.emf"/><Relationship Id="rId84" Type="http://schemas.openxmlformats.org/officeDocument/2006/relationships/image" Target="media/image53.emf"/><Relationship Id="rId89" Type="http://schemas.openxmlformats.org/officeDocument/2006/relationships/image" Target="media/image58.emf"/><Relationship Id="rId7" Type="http://schemas.openxmlformats.org/officeDocument/2006/relationships/endnotes" Target="endnotes.xml"/><Relationship Id="rId71" Type="http://schemas.openxmlformats.org/officeDocument/2006/relationships/image" Target="media/image40.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7.emf"/><Relationship Id="rId66" Type="http://schemas.openxmlformats.org/officeDocument/2006/relationships/image" Target="media/image35.emf"/><Relationship Id="rId74" Type="http://schemas.openxmlformats.org/officeDocument/2006/relationships/image" Target="media/image43.emf"/><Relationship Id="rId79" Type="http://schemas.openxmlformats.org/officeDocument/2006/relationships/image" Target="media/image48.emf"/><Relationship Id="rId87" Type="http://schemas.openxmlformats.org/officeDocument/2006/relationships/image" Target="media/image56.emf"/><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51.emf"/><Relationship Id="rId90" Type="http://schemas.openxmlformats.org/officeDocument/2006/relationships/hyperlink" Target="http://dx.doi.org/10.1787/227182142567" TargetMode="Externa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emf"/><Relationship Id="rId64" Type="http://schemas.openxmlformats.org/officeDocument/2006/relationships/image" Target="media/image33.png"/><Relationship Id="rId69" Type="http://schemas.openxmlformats.org/officeDocument/2006/relationships/image" Target="media/image38.emf"/><Relationship Id="rId77" Type="http://schemas.openxmlformats.org/officeDocument/2006/relationships/image" Target="media/image46.e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41.emf"/><Relationship Id="rId80" Type="http://schemas.openxmlformats.org/officeDocument/2006/relationships/image" Target="media/image49.emf"/><Relationship Id="rId85" Type="http://schemas.openxmlformats.org/officeDocument/2006/relationships/image" Target="media/image54.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8.jpeg"/><Relationship Id="rId67" Type="http://schemas.openxmlformats.org/officeDocument/2006/relationships/image" Target="media/image36.e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31.jpeg"/><Relationship Id="rId70" Type="http://schemas.openxmlformats.org/officeDocument/2006/relationships/image" Target="media/image39.emf"/><Relationship Id="rId75" Type="http://schemas.openxmlformats.org/officeDocument/2006/relationships/image" Target="media/image44.emf"/><Relationship Id="rId83" Type="http://schemas.openxmlformats.org/officeDocument/2006/relationships/image" Target="media/image52.emf"/><Relationship Id="rId88" Type="http://schemas.openxmlformats.org/officeDocument/2006/relationships/image" Target="media/image57.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image" Target="media/image26.e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9.jpeg"/><Relationship Id="rId65" Type="http://schemas.openxmlformats.org/officeDocument/2006/relationships/image" Target="media/image34.emf"/><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image" Target="media/image50.emf"/><Relationship Id="rId86"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3" Type="http://schemas.openxmlformats.org/officeDocument/2006/relationships/hyperlink" Target="mailto:s.haberman@city.ac.uk" TargetMode="External"/><Relationship Id="rId2" Type="http://schemas.openxmlformats.org/officeDocument/2006/relationships/hyperlink" Target="mailto:humberto.godinez@gmail.com" TargetMode="External"/><Relationship Id="rId1" Type="http://schemas.openxmlformats.org/officeDocument/2006/relationships/hyperlink" Target="mailto:carmen.boado@liverpool.ac.uk" TargetMode="External"/><Relationship Id="rId6" Type="http://schemas.openxmlformats.org/officeDocument/2006/relationships/hyperlink" Target="http://ec.europa.eu/eurostat" TargetMode="External"/><Relationship Id="rId5" Type="http://schemas.openxmlformats.org/officeDocument/2006/relationships/hyperlink" Target="http://ec.europa.eu/eurostat" TargetMode="External"/><Relationship Id="rId4" Type="http://schemas.openxmlformats.org/officeDocument/2006/relationships/hyperlink" Target="mailto:pedrojose.serrano@uc3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1AC31-FA87-41D1-89C1-49006ABF2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7514</Words>
  <Characters>42835</Characters>
  <Application>Microsoft Office Word</Application>
  <DocSecurity>0</DocSecurity>
  <Lines>356</Lines>
  <Paragraphs>100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50249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M.Carmen Boado Penas</cp:lastModifiedBy>
  <cp:revision>2</cp:revision>
  <cp:lastPrinted>2017-09-29T11:09:00Z</cp:lastPrinted>
  <dcterms:created xsi:type="dcterms:W3CDTF">2019-07-09T15:48:00Z</dcterms:created>
  <dcterms:modified xsi:type="dcterms:W3CDTF">2019-07-09T15:48:00Z</dcterms:modified>
</cp:coreProperties>
</file>