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A36D1" w14:textId="1C7B2DDF" w:rsidR="00026A07" w:rsidRPr="00004886" w:rsidRDefault="007A165D" w:rsidP="007A165D">
      <w:pPr>
        <w:spacing w:line="480" w:lineRule="auto"/>
        <w:jc w:val="center"/>
        <w:rPr>
          <w:rFonts w:ascii="Times New Roman" w:hAnsi="Times New Roman" w:cs="Times New Roman"/>
          <w:b/>
        </w:rPr>
      </w:pPr>
      <w:r>
        <w:rPr>
          <w:rFonts w:ascii="Times New Roman" w:hAnsi="Times New Roman" w:cs="Times New Roman"/>
          <w:b/>
        </w:rPr>
        <w:t>When sh</w:t>
      </w:r>
      <w:r w:rsidR="00026A07" w:rsidRPr="00004886">
        <w:rPr>
          <w:rFonts w:ascii="Times New Roman" w:hAnsi="Times New Roman" w:cs="Times New Roman"/>
          <w:b/>
        </w:rPr>
        <w:t>ould charities be allowed to discriminate?</w:t>
      </w:r>
    </w:p>
    <w:p w14:paraId="2345C3B3" w14:textId="3F55A994" w:rsidR="00026A07" w:rsidRPr="00004886" w:rsidRDefault="00026A07" w:rsidP="00004886">
      <w:pPr>
        <w:spacing w:line="480" w:lineRule="auto"/>
        <w:jc w:val="center"/>
        <w:rPr>
          <w:rFonts w:ascii="Times New Roman" w:hAnsi="Times New Roman" w:cs="Times New Roman"/>
          <w:b/>
        </w:rPr>
      </w:pPr>
      <w:r w:rsidRPr="00004886">
        <w:rPr>
          <w:rFonts w:ascii="Times New Roman" w:hAnsi="Times New Roman" w:cs="Times New Roman"/>
          <w:b/>
        </w:rPr>
        <w:t xml:space="preserve">The case of single sex services and </w:t>
      </w:r>
      <w:r w:rsidR="007666F0">
        <w:rPr>
          <w:rFonts w:ascii="Times New Roman" w:hAnsi="Times New Roman" w:cs="Times New Roman"/>
          <w:b/>
        </w:rPr>
        <w:t>transgender</w:t>
      </w:r>
      <w:r w:rsidRPr="00004886">
        <w:rPr>
          <w:rFonts w:ascii="Times New Roman" w:hAnsi="Times New Roman" w:cs="Times New Roman"/>
          <w:b/>
        </w:rPr>
        <w:t xml:space="preserve"> people</w:t>
      </w:r>
    </w:p>
    <w:p w14:paraId="78F381EA" w14:textId="7C6FC529" w:rsidR="004729AB" w:rsidRPr="00004886" w:rsidRDefault="00026A07" w:rsidP="00004886">
      <w:pPr>
        <w:spacing w:line="480" w:lineRule="auto"/>
        <w:jc w:val="center"/>
        <w:rPr>
          <w:rFonts w:ascii="Times New Roman" w:hAnsi="Times New Roman" w:cs="Times New Roman"/>
        </w:rPr>
      </w:pPr>
      <w:r w:rsidRPr="00004886">
        <w:rPr>
          <w:rFonts w:ascii="Times New Roman" w:hAnsi="Times New Roman" w:cs="Times New Roman"/>
          <w:b/>
        </w:rPr>
        <w:t>Jennifer Sigafoos</w:t>
      </w:r>
      <w:r w:rsidR="007E0EE9">
        <w:rPr>
          <w:rStyle w:val="FootnoteReference"/>
          <w:rFonts w:ascii="Times New Roman" w:hAnsi="Times New Roman" w:cs="Times New Roman"/>
          <w:b/>
        </w:rPr>
        <w:footnoteReference w:id="1"/>
      </w:r>
    </w:p>
    <w:p w14:paraId="2FB8D036" w14:textId="77777777" w:rsidR="00EF4686" w:rsidRPr="00004886" w:rsidRDefault="00EF4686" w:rsidP="00004886">
      <w:pPr>
        <w:spacing w:line="480" w:lineRule="auto"/>
        <w:rPr>
          <w:rFonts w:ascii="Times New Roman" w:hAnsi="Times New Roman" w:cs="Times New Roman"/>
        </w:rPr>
      </w:pPr>
    </w:p>
    <w:p w14:paraId="01FE2DE3" w14:textId="29D4331E" w:rsidR="00026A07" w:rsidRPr="00004886" w:rsidRDefault="00026A07" w:rsidP="00004886">
      <w:pPr>
        <w:spacing w:line="480" w:lineRule="auto"/>
        <w:jc w:val="both"/>
        <w:rPr>
          <w:rFonts w:ascii="Times New Roman" w:eastAsiaTheme="minorHAnsi" w:hAnsi="Times New Roman" w:cs="Times New Roman"/>
          <w:b/>
          <w:lang w:eastAsia="en-US"/>
        </w:rPr>
      </w:pPr>
      <w:r w:rsidRPr="00004886">
        <w:rPr>
          <w:rFonts w:ascii="Times New Roman" w:eastAsiaTheme="minorHAnsi" w:hAnsi="Times New Roman" w:cs="Times New Roman"/>
          <w:b/>
          <w:lang w:eastAsia="en-US"/>
        </w:rPr>
        <w:t>I</w:t>
      </w:r>
      <w:r w:rsidRPr="00004886">
        <w:rPr>
          <w:rFonts w:ascii="Times New Roman" w:eastAsiaTheme="minorHAnsi" w:hAnsi="Times New Roman" w:cs="Times New Roman"/>
          <w:b/>
          <w:lang w:eastAsia="en-US"/>
        </w:rPr>
        <w:tab/>
        <w:t>Introduction</w:t>
      </w:r>
    </w:p>
    <w:p w14:paraId="784AFB0D" w14:textId="77777777" w:rsidR="00B002C5" w:rsidRDefault="00B002C5" w:rsidP="00004886">
      <w:pPr>
        <w:spacing w:line="480" w:lineRule="auto"/>
        <w:jc w:val="both"/>
        <w:rPr>
          <w:rFonts w:ascii="Times New Roman" w:eastAsiaTheme="minorHAnsi" w:hAnsi="Times New Roman" w:cs="Times New Roman"/>
          <w:lang w:eastAsia="en-US"/>
        </w:rPr>
      </w:pPr>
    </w:p>
    <w:p w14:paraId="11C9AD3F" w14:textId="2FC6CA48" w:rsidR="007C6FF8" w:rsidRDefault="007C6FF8" w:rsidP="00004886">
      <w:pPr>
        <w:spacing w:line="480" w:lineRule="auto"/>
        <w:jc w:val="both"/>
        <w:rPr>
          <w:rFonts w:ascii="Times New Roman" w:eastAsiaTheme="minorHAnsi" w:hAnsi="Times New Roman" w:cs="Times New Roman"/>
          <w:lang w:eastAsia="en-US"/>
        </w:rPr>
      </w:pPr>
      <w:r w:rsidRPr="00004886">
        <w:rPr>
          <w:rFonts w:ascii="Times New Roman" w:eastAsiaTheme="minorHAnsi" w:hAnsi="Times New Roman" w:cs="Times New Roman"/>
          <w:lang w:eastAsia="en-US"/>
        </w:rPr>
        <w:t xml:space="preserve">Equality law and charity law have a complicated interaction in England and Wales. Contrast, on the one hand, the fact that discrimination is entrenched in charities, as many define their group of service users by reference to a specific protected characteristic under the Equality Act 2010, such as sex, race, or disability. </w:t>
      </w:r>
      <w:r w:rsidR="00BE0060">
        <w:rPr>
          <w:rFonts w:ascii="Times New Roman" w:eastAsiaTheme="minorHAnsi" w:hAnsi="Times New Roman" w:cs="Times New Roman"/>
          <w:lang w:eastAsia="en-US"/>
        </w:rPr>
        <w:t>Some instances of</w:t>
      </w:r>
      <w:r w:rsidRPr="00004886">
        <w:rPr>
          <w:rFonts w:ascii="Times New Roman" w:eastAsiaTheme="minorHAnsi" w:hAnsi="Times New Roman" w:cs="Times New Roman"/>
          <w:lang w:eastAsia="en-US"/>
        </w:rPr>
        <w:t xml:space="preserve"> this ‘beneficiary discrimination’</w:t>
      </w:r>
      <w:r w:rsidR="00E40EAA">
        <w:rPr>
          <w:rStyle w:val="FootnoteReference"/>
          <w:rFonts w:ascii="Times New Roman" w:eastAsiaTheme="minorHAnsi" w:hAnsi="Times New Roman" w:cs="Times New Roman"/>
          <w:lang w:eastAsia="en-US"/>
        </w:rPr>
        <w:footnoteReference w:id="2"/>
      </w:r>
      <w:r w:rsidR="00BE0060">
        <w:rPr>
          <w:rFonts w:ascii="Times New Roman" w:eastAsiaTheme="minorHAnsi" w:hAnsi="Times New Roman" w:cs="Times New Roman"/>
          <w:lang w:eastAsia="en-US"/>
        </w:rPr>
        <w:t xml:space="preserve"> </w:t>
      </w:r>
      <w:r w:rsidRPr="00004886">
        <w:rPr>
          <w:rFonts w:ascii="Times New Roman" w:eastAsiaTheme="minorHAnsi" w:hAnsi="Times New Roman" w:cs="Times New Roman"/>
          <w:lang w:eastAsia="en-US"/>
        </w:rPr>
        <w:t xml:space="preserve">are allowable under the Equality Act, while others are not, as determined by a complicated framework of exceptions and schedules. On the other hand, there is an instinctive discomfort with this idea that charities are </w:t>
      </w:r>
      <w:r w:rsidR="003752B6" w:rsidRPr="00004886">
        <w:rPr>
          <w:rFonts w:ascii="Times New Roman" w:eastAsiaTheme="minorHAnsi" w:hAnsi="Times New Roman" w:cs="Times New Roman"/>
          <w:lang w:eastAsia="en-US"/>
        </w:rPr>
        <w:t xml:space="preserve">in fact </w:t>
      </w:r>
      <w:r w:rsidRPr="00004886">
        <w:rPr>
          <w:rFonts w:ascii="Times New Roman" w:eastAsiaTheme="minorHAnsi" w:hAnsi="Times New Roman" w:cs="Times New Roman"/>
          <w:lang w:eastAsia="en-US"/>
        </w:rPr>
        <w:t xml:space="preserve">discriminating </w:t>
      </w:r>
      <w:r w:rsidR="003752B6" w:rsidRPr="00004886">
        <w:rPr>
          <w:rFonts w:ascii="Times New Roman" w:eastAsiaTheme="minorHAnsi" w:hAnsi="Times New Roman" w:cs="Times New Roman"/>
          <w:lang w:eastAsia="en-US"/>
        </w:rPr>
        <w:t>by</w:t>
      </w:r>
      <w:r w:rsidRPr="00004886">
        <w:rPr>
          <w:rFonts w:ascii="Times New Roman" w:eastAsiaTheme="minorHAnsi" w:hAnsi="Times New Roman" w:cs="Times New Roman"/>
          <w:lang w:eastAsia="en-US"/>
        </w:rPr>
        <w:t xml:space="preserve"> determining to whom they will provide services. </w:t>
      </w:r>
      <w:r w:rsidR="00CF231F">
        <w:rPr>
          <w:rFonts w:ascii="Times New Roman" w:eastAsiaTheme="minorHAnsi" w:hAnsi="Times New Roman" w:cs="Times New Roman"/>
          <w:lang w:eastAsia="en-US"/>
        </w:rPr>
        <w:t>Charities with restricted objects have frequently been founded by people who want to help others like themselves.</w:t>
      </w:r>
      <w:r w:rsidR="00B5662E">
        <w:rPr>
          <w:rFonts w:ascii="Times New Roman" w:eastAsiaTheme="minorHAnsi" w:hAnsi="Times New Roman" w:cs="Times New Roman"/>
          <w:lang w:eastAsia="en-US"/>
        </w:rPr>
        <w:t xml:space="preserve"> This is problematic when ‘people like themselves’ are relatively advantaged in society. </w:t>
      </w:r>
      <w:r w:rsidR="00EE7D88">
        <w:rPr>
          <w:rFonts w:ascii="Times New Roman" w:eastAsiaTheme="minorHAnsi" w:hAnsi="Times New Roman" w:cs="Times New Roman"/>
          <w:lang w:eastAsia="en-US"/>
        </w:rPr>
        <w:t>From a perspective concerned with a substantive idea of equality,</w:t>
      </w:r>
      <w:r w:rsidR="004148FB">
        <w:rPr>
          <w:rFonts w:ascii="Times New Roman" w:eastAsiaTheme="minorHAnsi" w:hAnsi="Times New Roman" w:cs="Times New Roman"/>
          <w:lang w:eastAsia="en-US"/>
        </w:rPr>
        <w:t xml:space="preserve"> it</w:t>
      </w:r>
      <w:r w:rsidR="00EE7D88">
        <w:rPr>
          <w:rFonts w:ascii="Times New Roman" w:eastAsiaTheme="minorHAnsi" w:hAnsi="Times New Roman" w:cs="Times New Roman"/>
          <w:lang w:eastAsia="en-US"/>
        </w:rPr>
        <w:t xml:space="preserve"> </w:t>
      </w:r>
      <w:r w:rsidR="00B5662E">
        <w:rPr>
          <w:rFonts w:ascii="Times New Roman" w:eastAsiaTheme="minorHAnsi" w:hAnsi="Times New Roman" w:cs="Times New Roman"/>
          <w:lang w:eastAsia="en-US"/>
        </w:rPr>
        <w:t>i</w:t>
      </w:r>
      <w:r w:rsidR="00CF231F">
        <w:rPr>
          <w:rFonts w:ascii="Times New Roman" w:eastAsiaTheme="minorHAnsi" w:hAnsi="Times New Roman" w:cs="Times New Roman"/>
          <w:lang w:eastAsia="en-US"/>
        </w:rPr>
        <w:t>s more acceptable to offer all of the advantages that the state provides to charities when these potential beneficiaries are from the more vulnerable of the protected characteristics.</w:t>
      </w:r>
      <w:r w:rsidRPr="00004886">
        <w:rPr>
          <w:rFonts w:ascii="Times New Roman" w:eastAsiaTheme="minorHAnsi" w:hAnsi="Times New Roman" w:cs="Times New Roman"/>
          <w:lang w:eastAsia="en-US"/>
        </w:rPr>
        <w:t xml:space="preserve"> </w:t>
      </w:r>
      <w:r w:rsidR="004148FB">
        <w:rPr>
          <w:rFonts w:ascii="Times New Roman" w:eastAsiaTheme="minorHAnsi" w:hAnsi="Times New Roman" w:cs="Times New Roman"/>
          <w:lang w:eastAsia="en-US"/>
        </w:rPr>
        <w:t>This debate in charity law considers w</w:t>
      </w:r>
      <w:r w:rsidR="004148FB" w:rsidRPr="00004886">
        <w:rPr>
          <w:rFonts w:ascii="Times New Roman" w:eastAsiaTheme="minorHAnsi" w:hAnsi="Times New Roman" w:cs="Times New Roman"/>
          <w:lang w:eastAsia="en-US"/>
        </w:rPr>
        <w:t xml:space="preserve">hen </w:t>
      </w:r>
      <w:r w:rsidR="00D20781" w:rsidRPr="00004886">
        <w:rPr>
          <w:rFonts w:ascii="Times New Roman" w:eastAsiaTheme="minorHAnsi" w:hAnsi="Times New Roman" w:cs="Times New Roman"/>
          <w:lang w:eastAsia="en-US"/>
        </w:rPr>
        <w:t xml:space="preserve">should it be acceptable for charities to exclude potential beneficiaries based upon a protected characteristic, and when should this be unlawful discrimination? </w:t>
      </w:r>
    </w:p>
    <w:p w14:paraId="33196930" w14:textId="77777777" w:rsidR="006A119E" w:rsidRPr="00004886" w:rsidRDefault="006A119E" w:rsidP="00004886">
      <w:pPr>
        <w:spacing w:line="480" w:lineRule="auto"/>
        <w:jc w:val="both"/>
        <w:rPr>
          <w:rFonts w:ascii="Times New Roman" w:eastAsiaTheme="minorHAnsi" w:hAnsi="Times New Roman" w:cs="Times New Roman"/>
          <w:lang w:eastAsia="en-US"/>
        </w:rPr>
      </w:pPr>
    </w:p>
    <w:p w14:paraId="01081797" w14:textId="044F24C4" w:rsidR="007C6FF8" w:rsidRDefault="007C6FF8" w:rsidP="00004886">
      <w:pPr>
        <w:spacing w:line="480" w:lineRule="auto"/>
        <w:ind w:firstLine="720"/>
        <w:jc w:val="both"/>
        <w:rPr>
          <w:rFonts w:ascii="Times New Roman" w:eastAsiaTheme="minorHAnsi" w:hAnsi="Times New Roman" w:cs="Times New Roman"/>
          <w:lang w:eastAsia="en-US"/>
        </w:rPr>
      </w:pPr>
      <w:r w:rsidRPr="00004886">
        <w:rPr>
          <w:rFonts w:ascii="Times New Roman" w:eastAsiaTheme="minorHAnsi" w:hAnsi="Times New Roman" w:cs="Times New Roman"/>
          <w:lang w:eastAsia="en-US"/>
        </w:rPr>
        <w:lastRenderedPageBreak/>
        <w:t xml:space="preserve">In this chapter I will use the case of </w:t>
      </w:r>
      <w:r w:rsidR="007666F0">
        <w:rPr>
          <w:rFonts w:ascii="Times New Roman" w:eastAsiaTheme="minorHAnsi" w:hAnsi="Times New Roman" w:cs="Times New Roman"/>
          <w:lang w:eastAsia="en-US"/>
        </w:rPr>
        <w:t>transgender</w:t>
      </w:r>
      <w:r w:rsidRPr="00004886">
        <w:rPr>
          <w:rFonts w:ascii="Times New Roman" w:eastAsiaTheme="minorHAnsi" w:hAnsi="Times New Roman" w:cs="Times New Roman"/>
          <w:lang w:eastAsia="en-US"/>
        </w:rPr>
        <w:t xml:space="preserve"> women and </w:t>
      </w:r>
      <w:r w:rsidR="00D97F23">
        <w:rPr>
          <w:rFonts w:ascii="Times New Roman" w:eastAsiaTheme="minorHAnsi" w:hAnsi="Times New Roman" w:cs="Times New Roman"/>
          <w:lang w:eastAsia="en-US"/>
        </w:rPr>
        <w:t>when they are lawfully entitled</w:t>
      </w:r>
      <w:r w:rsidRPr="00004886">
        <w:rPr>
          <w:rFonts w:ascii="Times New Roman" w:eastAsiaTheme="minorHAnsi" w:hAnsi="Times New Roman" w:cs="Times New Roman"/>
          <w:lang w:eastAsia="en-US"/>
        </w:rPr>
        <w:t xml:space="preserve"> to access women-only services provided by charities to illustrate the complexities of the legal framework for charities and equality law. </w:t>
      </w:r>
      <w:r w:rsidR="003752B6" w:rsidRPr="00004886">
        <w:rPr>
          <w:rFonts w:ascii="Times New Roman" w:eastAsiaTheme="minorHAnsi" w:hAnsi="Times New Roman" w:cs="Times New Roman"/>
          <w:lang w:eastAsia="en-US"/>
        </w:rPr>
        <w:t xml:space="preserve">There is considerable disagreement about the circumstances in which </w:t>
      </w:r>
      <w:r w:rsidR="007666F0">
        <w:rPr>
          <w:rFonts w:ascii="Times New Roman" w:eastAsiaTheme="minorHAnsi" w:hAnsi="Times New Roman" w:cs="Times New Roman"/>
          <w:lang w:eastAsia="en-US"/>
        </w:rPr>
        <w:t>transgender</w:t>
      </w:r>
      <w:r w:rsidR="003752B6" w:rsidRPr="00004886">
        <w:rPr>
          <w:rFonts w:ascii="Times New Roman" w:eastAsiaTheme="minorHAnsi" w:hAnsi="Times New Roman" w:cs="Times New Roman"/>
          <w:lang w:eastAsia="en-US"/>
        </w:rPr>
        <w:t xml:space="preserve"> women are entitled to access women-only services</w:t>
      </w:r>
      <w:r w:rsidR="00D97F23">
        <w:rPr>
          <w:rFonts w:ascii="Times New Roman" w:eastAsiaTheme="minorHAnsi" w:hAnsi="Times New Roman" w:cs="Times New Roman"/>
          <w:lang w:eastAsia="en-US"/>
        </w:rPr>
        <w:t>.</w:t>
      </w:r>
      <w:r w:rsidR="00EE7D88">
        <w:rPr>
          <w:rStyle w:val="FootnoteReference"/>
          <w:rFonts w:ascii="Times New Roman" w:eastAsiaTheme="minorHAnsi" w:hAnsi="Times New Roman" w:cs="Times New Roman"/>
          <w:lang w:eastAsia="en-US"/>
        </w:rPr>
        <w:footnoteReference w:id="3"/>
      </w:r>
      <w:r w:rsidR="003752B6" w:rsidRPr="00004886">
        <w:rPr>
          <w:rFonts w:ascii="Times New Roman" w:eastAsiaTheme="minorHAnsi" w:hAnsi="Times New Roman" w:cs="Times New Roman"/>
          <w:lang w:eastAsia="en-US"/>
        </w:rPr>
        <w:t xml:space="preserve"> I will argue that the circumstances in which charities can</w:t>
      </w:r>
      <w:r w:rsidR="00CF231F">
        <w:rPr>
          <w:rFonts w:ascii="Times New Roman" w:eastAsiaTheme="minorHAnsi" w:hAnsi="Times New Roman" w:cs="Times New Roman"/>
          <w:lang w:eastAsia="en-US"/>
        </w:rPr>
        <w:t xml:space="preserve"> lawfully</w:t>
      </w:r>
      <w:r w:rsidR="003752B6" w:rsidRPr="00004886">
        <w:rPr>
          <w:rFonts w:ascii="Times New Roman" w:eastAsiaTheme="minorHAnsi" w:hAnsi="Times New Roman" w:cs="Times New Roman"/>
          <w:lang w:eastAsia="en-US"/>
        </w:rPr>
        <w:t xml:space="preserve"> restrict their women-only services from </w:t>
      </w:r>
      <w:r w:rsidR="007666F0">
        <w:rPr>
          <w:rFonts w:ascii="Times New Roman" w:eastAsiaTheme="minorHAnsi" w:hAnsi="Times New Roman" w:cs="Times New Roman"/>
          <w:lang w:eastAsia="en-US"/>
        </w:rPr>
        <w:t>transgender</w:t>
      </w:r>
      <w:r w:rsidR="003752B6" w:rsidRPr="00004886">
        <w:rPr>
          <w:rFonts w:ascii="Times New Roman" w:eastAsiaTheme="minorHAnsi" w:hAnsi="Times New Roman" w:cs="Times New Roman"/>
          <w:lang w:eastAsia="en-US"/>
        </w:rPr>
        <w:t xml:space="preserve"> women are in fact quite narrow and point to some areas where the law needs clarification</w:t>
      </w:r>
      <w:r w:rsidR="007E0EE9">
        <w:rPr>
          <w:rFonts w:ascii="Times New Roman" w:eastAsiaTheme="minorHAnsi" w:hAnsi="Times New Roman" w:cs="Times New Roman"/>
          <w:lang w:eastAsia="en-US"/>
        </w:rPr>
        <w:t>, in particular when a transgender woman with a Gender Recognition Certificate could be lawfully excluded from services</w:t>
      </w:r>
      <w:r w:rsidR="003752B6" w:rsidRPr="00004886">
        <w:rPr>
          <w:rFonts w:ascii="Times New Roman" w:eastAsiaTheme="minorHAnsi" w:hAnsi="Times New Roman" w:cs="Times New Roman"/>
          <w:lang w:eastAsia="en-US"/>
        </w:rPr>
        <w:t xml:space="preserve">. </w:t>
      </w:r>
      <w:r w:rsidRPr="00004886">
        <w:rPr>
          <w:rFonts w:ascii="Times New Roman" w:eastAsiaTheme="minorHAnsi" w:hAnsi="Times New Roman" w:cs="Times New Roman"/>
          <w:lang w:eastAsia="en-US"/>
        </w:rPr>
        <w:t xml:space="preserve">This situation is topical in England and Wales because of visible clashes between transgender rights activists and some feminist groups. Although previous research has suggested that charities that are in violation of the Equality Act have little to fear in terms of regulatory interventions in an era of diminished funding for both the Charity Commission and the Equality and Human Rights Commission (EHRC), it also has raised the </w:t>
      </w:r>
      <w:r w:rsidR="007E0EE9">
        <w:rPr>
          <w:rFonts w:ascii="Times New Roman" w:eastAsiaTheme="minorHAnsi" w:hAnsi="Times New Roman" w:cs="Times New Roman"/>
          <w:lang w:eastAsia="en-US"/>
        </w:rPr>
        <w:t>possibility</w:t>
      </w:r>
      <w:r w:rsidRPr="00004886">
        <w:rPr>
          <w:rFonts w:ascii="Times New Roman" w:eastAsiaTheme="minorHAnsi" w:hAnsi="Times New Roman" w:cs="Times New Roman"/>
          <w:lang w:eastAsia="en-US"/>
        </w:rPr>
        <w:t xml:space="preserve"> of an intervent</w:t>
      </w:r>
      <w:r w:rsidR="007E0EE9">
        <w:rPr>
          <w:rFonts w:ascii="Times New Roman" w:eastAsiaTheme="minorHAnsi" w:hAnsi="Times New Roman" w:cs="Times New Roman"/>
          <w:lang w:eastAsia="en-US"/>
        </w:rPr>
        <w:t>ion by an interested litigant</w:t>
      </w:r>
      <w:r w:rsidRPr="00004886">
        <w:rPr>
          <w:rFonts w:ascii="Times New Roman" w:eastAsiaTheme="minorHAnsi" w:hAnsi="Times New Roman" w:cs="Times New Roman"/>
          <w:lang w:eastAsia="en-US"/>
        </w:rPr>
        <w:t xml:space="preserve"> trigger</w:t>
      </w:r>
      <w:r w:rsidR="007E0EE9">
        <w:rPr>
          <w:rFonts w:ascii="Times New Roman" w:eastAsiaTheme="minorHAnsi" w:hAnsi="Times New Roman" w:cs="Times New Roman"/>
          <w:lang w:eastAsia="en-US"/>
        </w:rPr>
        <w:t>ing</w:t>
      </w:r>
      <w:r w:rsidRPr="00004886">
        <w:rPr>
          <w:rFonts w:ascii="Times New Roman" w:eastAsiaTheme="minorHAnsi" w:hAnsi="Times New Roman" w:cs="Times New Roman"/>
          <w:lang w:eastAsia="en-US"/>
        </w:rPr>
        <w:t xml:space="preserve"> a r</w:t>
      </w:r>
      <w:r w:rsidR="00D20781" w:rsidRPr="00004886">
        <w:rPr>
          <w:rFonts w:ascii="Times New Roman" w:eastAsiaTheme="minorHAnsi" w:hAnsi="Times New Roman" w:cs="Times New Roman"/>
          <w:lang w:eastAsia="en-US"/>
        </w:rPr>
        <w:t>egulatory or other challenge.</w:t>
      </w:r>
      <w:r w:rsidR="00CF231F">
        <w:rPr>
          <w:rStyle w:val="FootnoteReference"/>
          <w:rFonts w:ascii="Times New Roman" w:eastAsiaTheme="minorHAnsi" w:hAnsi="Times New Roman" w:cs="Times New Roman"/>
          <w:lang w:eastAsia="en-US"/>
        </w:rPr>
        <w:footnoteReference w:id="4"/>
      </w:r>
      <w:r w:rsidR="00D20781" w:rsidRPr="00004886">
        <w:rPr>
          <w:rFonts w:ascii="Times New Roman" w:eastAsiaTheme="minorHAnsi" w:hAnsi="Times New Roman" w:cs="Times New Roman"/>
          <w:lang w:eastAsia="en-US"/>
        </w:rPr>
        <w:t xml:space="preserve"> </w:t>
      </w:r>
      <w:r w:rsidRPr="00004886">
        <w:rPr>
          <w:rFonts w:ascii="Times New Roman" w:eastAsiaTheme="minorHAnsi" w:hAnsi="Times New Roman" w:cs="Times New Roman"/>
          <w:lang w:eastAsia="en-US"/>
        </w:rPr>
        <w:t xml:space="preserve">Thus, the high profile nature of this particular </w:t>
      </w:r>
      <w:r w:rsidR="006A119E">
        <w:rPr>
          <w:rFonts w:ascii="Times New Roman" w:eastAsiaTheme="minorHAnsi" w:hAnsi="Times New Roman" w:cs="Times New Roman"/>
          <w:lang w:eastAsia="en-US"/>
        </w:rPr>
        <w:t xml:space="preserve">(perceived by some) </w:t>
      </w:r>
      <w:r w:rsidRPr="00004886">
        <w:rPr>
          <w:rFonts w:ascii="Times New Roman" w:eastAsiaTheme="minorHAnsi" w:hAnsi="Times New Roman" w:cs="Times New Roman"/>
          <w:lang w:eastAsia="en-US"/>
        </w:rPr>
        <w:t xml:space="preserve">equality clash at the moment suggests an area where clarification of the legal position </w:t>
      </w:r>
      <w:r w:rsidR="007E0EE9">
        <w:rPr>
          <w:rFonts w:ascii="Times New Roman" w:eastAsiaTheme="minorHAnsi" w:hAnsi="Times New Roman" w:cs="Times New Roman"/>
          <w:lang w:eastAsia="en-US"/>
        </w:rPr>
        <w:t>is</w:t>
      </w:r>
      <w:r w:rsidRPr="00004886">
        <w:rPr>
          <w:rFonts w:ascii="Times New Roman" w:eastAsiaTheme="minorHAnsi" w:hAnsi="Times New Roman" w:cs="Times New Roman"/>
          <w:lang w:eastAsia="en-US"/>
        </w:rPr>
        <w:t xml:space="preserve"> urgently needed. </w:t>
      </w:r>
    </w:p>
    <w:p w14:paraId="6B421E10" w14:textId="77777777" w:rsidR="006A119E" w:rsidRPr="00004886" w:rsidRDefault="006A119E" w:rsidP="00004886">
      <w:pPr>
        <w:spacing w:line="480" w:lineRule="auto"/>
        <w:ind w:firstLine="720"/>
        <w:jc w:val="both"/>
        <w:rPr>
          <w:rFonts w:ascii="Times New Roman" w:eastAsiaTheme="minorHAnsi" w:hAnsi="Times New Roman" w:cs="Times New Roman"/>
          <w:lang w:eastAsia="en-US"/>
        </w:rPr>
      </w:pPr>
    </w:p>
    <w:p w14:paraId="4CB9CDC1" w14:textId="5A78DD6B" w:rsidR="007C6FF8" w:rsidRDefault="007C6FF8" w:rsidP="00004886">
      <w:pPr>
        <w:spacing w:line="480" w:lineRule="auto"/>
        <w:ind w:firstLine="720"/>
        <w:jc w:val="both"/>
        <w:rPr>
          <w:rFonts w:ascii="Times New Roman" w:eastAsiaTheme="minorHAnsi" w:hAnsi="Times New Roman" w:cs="Times New Roman"/>
          <w:lang w:eastAsia="en-US"/>
        </w:rPr>
      </w:pPr>
      <w:r w:rsidRPr="00004886">
        <w:rPr>
          <w:rFonts w:ascii="Times New Roman" w:eastAsiaTheme="minorHAnsi" w:hAnsi="Times New Roman" w:cs="Times New Roman"/>
          <w:lang w:eastAsia="en-US"/>
        </w:rPr>
        <w:t xml:space="preserve">I will also use the case of </w:t>
      </w:r>
      <w:r w:rsidR="007666F0">
        <w:rPr>
          <w:rFonts w:ascii="Times New Roman" w:eastAsiaTheme="minorHAnsi" w:hAnsi="Times New Roman" w:cs="Times New Roman"/>
          <w:lang w:eastAsia="en-US"/>
        </w:rPr>
        <w:t>transgender</w:t>
      </w:r>
      <w:r w:rsidRPr="00004886">
        <w:rPr>
          <w:rFonts w:ascii="Times New Roman" w:eastAsiaTheme="minorHAnsi" w:hAnsi="Times New Roman" w:cs="Times New Roman"/>
          <w:lang w:eastAsia="en-US"/>
        </w:rPr>
        <w:t xml:space="preserve"> women and women-only services as an example of why all discrimination by charities </w:t>
      </w:r>
      <w:r w:rsidR="004148FB">
        <w:rPr>
          <w:rFonts w:ascii="Times New Roman" w:eastAsiaTheme="minorHAnsi" w:hAnsi="Times New Roman" w:cs="Times New Roman"/>
          <w:lang w:eastAsia="en-US"/>
        </w:rPr>
        <w:t xml:space="preserve">is not </w:t>
      </w:r>
      <w:r w:rsidRPr="00004886">
        <w:rPr>
          <w:rFonts w:ascii="Times New Roman" w:eastAsiaTheme="minorHAnsi" w:hAnsi="Times New Roman" w:cs="Times New Roman"/>
          <w:lang w:eastAsia="en-US"/>
        </w:rPr>
        <w:t>benign</w:t>
      </w:r>
      <w:r w:rsidR="00D20781" w:rsidRPr="00004886">
        <w:rPr>
          <w:rFonts w:ascii="Times New Roman" w:eastAsiaTheme="minorHAnsi" w:hAnsi="Times New Roman" w:cs="Times New Roman"/>
          <w:lang w:eastAsia="en-US"/>
        </w:rPr>
        <w:t xml:space="preserve"> specialisation</w:t>
      </w:r>
      <w:r w:rsidR="004148FB">
        <w:rPr>
          <w:rFonts w:ascii="Times New Roman" w:eastAsiaTheme="minorHAnsi" w:hAnsi="Times New Roman" w:cs="Times New Roman"/>
          <w:lang w:eastAsia="en-US"/>
        </w:rPr>
        <w:t>.</w:t>
      </w:r>
      <w:r w:rsidRPr="00004886">
        <w:rPr>
          <w:rFonts w:ascii="Times New Roman" w:eastAsiaTheme="minorHAnsi" w:hAnsi="Times New Roman" w:cs="Times New Roman"/>
          <w:lang w:eastAsia="en-US"/>
        </w:rPr>
        <w:t xml:space="preserve"> I have argued</w:t>
      </w:r>
      <w:r w:rsidR="006A119E">
        <w:rPr>
          <w:rFonts w:ascii="Times New Roman" w:eastAsiaTheme="minorHAnsi" w:hAnsi="Times New Roman" w:cs="Times New Roman"/>
          <w:lang w:eastAsia="en-US"/>
        </w:rPr>
        <w:t xml:space="preserve"> elsewhere</w:t>
      </w:r>
      <w:r w:rsidR="006A119E">
        <w:rPr>
          <w:rStyle w:val="FootnoteReference"/>
          <w:rFonts w:ascii="Times New Roman" w:eastAsiaTheme="minorHAnsi" w:hAnsi="Times New Roman" w:cs="Times New Roman"/>
          <w:lang w:eastAsia="en-US"/>
        </w:rPr>
        <w:t xml:space="preserve"> </w:t>
      </w:r>
      <w:r w:rsidRPr="00004886">
        <w:rPr>
          <w:rFonts w:ascii="Times New Roman" w:eastAsiaTheme="minorHAnsi" w:hAnsi="Times New Roman" w:cs="Times New Roman"/>
          <w:lang w:eastAsia="en-US"/>
        </w:rPr>
        <w:t>that the exceptions to equality law that allow charities to discriminate should be read strictly, as in effect these exceptions are importing the tests for justification of indirect discrimination</w:t>
      </w:r>
      <w:r w:rsidR="00C53E41">
        <w:rPr>
          <w:rFonts w:ascii="Times New Roman" w:eastAsiaTheme="minorHAnsi" w:hAnsi="Times New Roman" w:cs="Times New Roman"/>
          <w:lang w:eastAsia="en-US"/>
        </w:rPr>
        <w:t xml:space="preserve"> (measures that are facially neutral but which have a discriminatory effect),</w:t>
      </w:r>
      <w:r w:rsidRPr="00004886">
        <w:rPr>
          <w:rFonts w:ascii="Times New Roman" w:eastAsiaTheme="minorHAnsi" w:hAnsi="Times New Roman" w:cs="Times New Roman"/>
          <w:lang w:eastAsia="en-US"/>
        </w:rPr>
        <w:t xml:space="preserve"> and applying them </w:t>
      </w:r>
      <w:r w:rsidRPr="00004886">
        <w:rPr>
          <w:rFonts w:ascii="Times New Roman" w:eastAsiaTheme="minorHAnsi" w:hAnsi="Times New Roman" w:cs="Times New Roman"/>
          <w:lang w:eastAsia="en-US"/>
        </w:rPr>
        <w:lastRenderedPageBreak/>
        <w:t>to justify direct discrimination by charities.</w:t>
      </w:r>
      <w:r w:rsidR="003752B6" w:rsidRPr="00004886">
        <w:rPr>
          <w:rStyle w:val="FootnoteReference"/>
          <w:rFonts w:ascii="Times New Roman" w:eastAsiaTheme="minorHAnsi" w:hAnsi="Times New Roman" w:cs="Times New Roman"/>
          <w:lang w:eastAsia="en-US"/>
        </w:rPr>
        <w:footnoteReference w:id="5"/>
      </w:r>
      <w:r w:rsidR="006A119E">
        <w:rPr>
          <w:rFonts w:ascii="Times New Roman" w:eastAsiaTheme="minorHAnsi" w:hAnsi="Times New Roman" w:cs="Times New Roman"/>
          <w:lang w:eastAsia="en-US"/>
        </w:rPr>
        <w:t xml:space="preserve">  We</w:t>
      </w:r>
      <w:r w:rsidRPr="00004886">
        <w:rPr>
          <w:rFonts w:ascii="Times New Roman" w:eastAsiaTheme="minorHAnsi" w:hAnsi="Times New Roman" w:cs="Times New Roman"/>
          <w:lang w:eastAsia="en-US"/>
        </w:rPr>
        <w:t xml:space="preserve"> characterised the types of discrimination that should be allowable exceptions to the Equality Act as discriminating </w:t>
      </w:r>
      <w:r w:rsidRPr="00CF231F">
        <w:rPr>
          <w:rFonts w:ascii="Times New Roman" w:eastAsiaTheme="minorHAnsi" w:hAnsi="Times New Roman" w:cs="Times New Roman"/>
          <w:i/>
          <w:lang w:eastAsia="en-US"/>
        </w:rPr>
        <w:t>for</w:t>
      </w:r>
      <w:r w:rsidRPr="00004886">
        <w:rPr>
          <w:rFonts w:ascii="Times New Roman" w:eastAsiaTheme="minorHAnsi" w:hAnsi="Times New Roman" w:cs="Times New Roman"/>
          <w:lang w:eastAsia="en-US"/>
        </w:rPr>
        <w:t xml:space="preserve"> someone based upon a protected characteristic, rather than </w:t>
      </w:r>
      <w:r w:rsidRPr="00CF231F">
        <w:rPr>
          <w:rFonts w:ascii="Times New Roman" w:eastAsiaTheme="minorHAnsi" w:hAnsi="Times New Roman" w:cs="Times New Roman"/>
          <w:i/>
          <w:lang w:eastAsia="en-US"/>
        </w:rPr>
        <w:t>against</w:t>
      </w:r>
      <w:r w:rsidRPr="00004886">
        <w:rPr>
          <w:rFonts w:ascii="Times New Roman" w:eastAsiaTheme="minorHAnsi" w:hAnsi="Times New Roman" w:cs="Times New Roman"/>
          <w:lang w:eastAsia="en-US"/>
        </w:rPr>
        <w:t xml:space="preserve"> them. </w:t>
      </w:r>
      <w:r w:rsidR="00126B59">
        <w:rPr>
          <w:rFonts w:ascii="Times New Roman" w:eastAsiaTheme="minorHAnsi" w:hAnsi="Times New Roman" w:cs="Times New Roman"/>
          <w:lang w:eastAsia="en-US"/>
        </w:rPr>
        <w:t xml:space="preserve">This is essentially positive discrimination, unlawful under other circumstances. </w:t>
      </w:r>
      <w:r w:rsidR="00D216A4">
        <w:rPr>
          <w:rFonts w:ascii="Times New Roman" w:eastAsiaTheme="minorHAnsi" w:hAnsi="Times New Roman" w:cs="Times New Roman"/>
          <w:lang w:eastAsia="en-US"/>
        </w:rPr>
        <w:t xml:space="preserve">While endemic discrimination (or specialisation) may be permissible and understandable there is also an indefinable limit to what discrimination can be allowable. </w:t>
      </w:r>
      <w:r w:rsidRPr="00004886">
        <w:rPr>
          <w:rFonts w:ascii="Times New Roman" w:eastAsiaTheme="minorHAnsi" w:hAnsi="Times New Roman" w:cs="Times New Roman"/>
          <w:lang w:eastAsia="en-US"/>
        </w:rPr>
        <w:t xml:space="preserve">By reference to various theoretical underpinnings that have been advanced to justify antidiscrimination and equality law, this chapter will consider this broader question of </w:t>
      </w:r>
      <w:r w:rsidR="00845E4E" w:rsidRPr="00004886">
        <w:rPr>
          <w:rFonts w:ascii="Times New Roman" w:eastAsiaTheme="minorHAnsi" w:hAnsi="Times New Roman" w:cs="Times New Roman"/>
          <w:lang w:eastAsia="en-US"/>
        </w:rPr>
        <w:t>when</w:t>
      </w:r>
      <w:r w:rsidRPr="00004886">
        <w:rPr>
          <w:rFonts w:ascii="Times New Roman" w:eastAsiaTheme="minorHAnsi" w:hAnsi="Times New Roman" w:cs="Times New Roman"/>
          <w:lang w:eastAsia="en-US"/>
        </w:rPr>
        <w:t xml:space="preserve"> an exception in equality law </w:t>
      </w:r>
      <w:r w:rsidR="00845E4E" w:rsidRPr="00004886">
        <w:rPr>
          <w:rFonts w:ascii="Times New Roman" w:eastAsiaTheme="minorHAnsi" w:hAnsi="Times New Roman" w:cs="Times New Roman"/>
          <w:lang w:eastAsia="en-US"/>
        </w:rPr>
        <w:t>should</w:t>
      </w:r>
      <w:r w:rsidRPr="00004886">
        <w:rPr>
          <w:rFonts w:ascii="Times New Roman" w:eastAsiaTheme="minorHAnsi" w:hAnsi="Times New Roman" w:cs="Times New Roman"/>
          <w:lang w:eastAsia="en-US"/>
        </w:rPr>
        <w:t xml:space="preserve"> permit beneficiary discrimination by charities.</w:t>
      </w:r>
      <w:r w:rsidR="00FA04B9">
        <w:rPr>
          <w:rFonts w:ascii="Times New Roman" w:eastAsiaTheme="minorHAnsi" w:hAnsi="Times New Roman" w:cs="Times New Roman"/>
          <w:lang w:eastAsia="en-US"/>
        </w:rPr>
        <w:t xml:space="preserve"> The extension by the Equality Act of the </w:t>
      </w:r>
      <w:r w:rsidR="004148FB">
        <w:rPr>
          <w:rFonts w:ascii="Times New Roman" w:eastAsiaTheme="minorHAnsi" w:hAnsi="Times New Roman" w:cs="Times New Roman"/>
          <w:lang w:eastAsia="en-US"/>
        </w:rPr>
        <w:t>requirement that</w:t>
      </w:r>
      <w:r w:rsidR="00FA04B9">
        <w:rPr>
          <w:rFonts w:ascii="Times New Roman" w:eastAsiaTheme="minorHAnsi" w:hAnsi="Times New Roman" w:cs="Times New Roman"/>
          <w:lang w:eastAsia="en-US"/>
        </w:rPr>
        <w:t xml:space="preserve"> discrimination by charities </w:t>
      </w:r>
      <w:r w:rsidR="004148FB">
        <w:rPr>
          <w:rFonts w:ascii="Times New Roman" w:eastAsiaTheme="minorHAnsi" w:hAnsi="Times New Roman" w:cs="Times New Roman"/>
          <w:lang w:eastAsia="en-US"/>
        </w:rPr>
        <w:t>be</w:t>
      </w:r>
      <w:r w:rsidR="00FA04B9">
        <w:rPr>
          <w:rFonts w:ascii="Times New Roman" w:eastAsiaTheme="minorHAnsi" w:hAnsi="Times New Roman" w:cs="Times New Roman"/>
          <w:lang w:eastAsia="en-US"/>
        </w:rPr>
        <w:t xml:space="preserve"> objectively justifiable </w:t>
      </w:r>
      <w:r w:rsidR="004148FB">
        <w:rPr>
          <w:rFonts w:ascii="Times New Roman" w:eastAsiaTheme="minorHAnsi" w:hAnsi="Times New Roman" w:cs="Times New Roman"/>
          <w:lang w:eastAsia="en-US"/>
        </w:rPr>
        <w:t>to</w:t>
      </w:r>
      <w:r w:rsidR="00FA04B9">
        <w:rPr>
          <w:rFonts w:ascii="Times New Roman" w:eastAsiaTheme="minorHAnsi" w:hAnsi="Times New Roman" w:cs="Times New Roman"/>
          <w:lang w:eastAsia="en-US"/>
        </w:rPr>
        <w:t xml:space="preserve"> all protected characteristics was a welcome move away from a formal, symmetrical conception of equality. I will argue that charitable discrimination should be acceptable only when it is </w:t>
      </w:r>
      <w:r w:rsidR="00D97F23">
        <w:rPr>
          <w:rFonts w:ascii="Times New Roman" w:eastAsiaTheme="minorHAnsi" w:hAnsi="Times New Roman" w:cs="Times New Roman"/>
          <w:lang w:eastAsia="en-US"/>
        </w:rPr>
        <w:t>advancing equality in a substantive way, by redressing disadvantage, challenging stigma and stereotype, enhancing voice and participation, or achieving social change.</w:t>
      </w:r>
      <w:r w:rsidR="00D97F23">
        <w:rPr>
          <w:rStyle w:val="FootnoteReference"/>
          <w:rFonts w:ascii="Times New Roman" w:eastAsiaTheme="minorHAnsi" w:hAnsi="Times New Roman" w:cs="Times New Roman"/>
          <w:lang w:eastAsia="en-US"/>
        </w:rPr>
        <w:footnoteReference w:id="6"/>
      </w:r>
      <w:r w:rsidR="00D97F23">
        <w:rPr>
          <w:rFonts w:ascii="Times New Roman" w:eastAsiaTheme="minorHAnsi" w:hAnsi="Times New Roman" w:cs="Times New Roman"/>
          <w:lang w:eastAsia="en-US"/>
        </w:rPr>
        <w:t xml:space="preserve">   </w:t>
      </w:r>
    </w:p>
    <w:p w14:paraId="39204095" w14:textId="7CBF399E" w:rsidR="006A119E" w:rsidRDefault="006A119E" w:rsidP="00004886">
      <w:pPr>
        <w:spacing w:line="480" w:lineRule="auto"/>
        <w:ind w:firstLine="720"/>
        <w:jc w:val="both"/>
        <w:rPr>
          <w:rFonts w:ascii="Times New Roman" w:eastAsiaTheme="minorHAnsi" w:hAnsi="Times New Roman" w:cs="Times New Roman"/>
          <w:lang w:eastAsia="en-US"/>
        </w:rPr>
      </w:pPr>
    </w:p>
    <w:p w14:paraId="4F124CB9" w14:textId="5E77AF7F" w:rsidR="006A119E" w:rsidRPr="00004886" w:rsidRDefault="006A119E" w:rsidP="009F1293">
      <w:pPr>
        <w:spacing w:line="480" w:lineRule="auto"/>
        <w:ind w:firstLine="720"/>
        <w:jc w:val="both"/>
        <w:rPr>
          <w:rFonts w:ascii="Times New Roman" w:eastAsiaTheme="minorHAnsi" w:hAnsi="Times New Roman" w:cs="Times New Roman"/>
          <w:lang w:eastAsia="en-US"/>
        </w:rPr>
      </w:pPr>
      <w:r>
        <w:rPr>
          <w:rFonts w:ascii="Times New Roman" w:eastAsiaTheme="minorHAnsi" w:hAnsi="Times New Roman" w:cs="Times New Roman"/>
          <w:lang w:eastAsia="en-US"/>
        </w:rPr>
        <w:t>In section I</w:t>
      </w:r>
      <w:r w:rsidR="009F1293">
        <w:rPr>
          <w:rFonts w:ascii="Times New Roman" w:eastAsiaTheme="minorHAnsi" w:hAnsi="Times New Roman" w:cs="Times New Roman"/>
          <w:lang w:eastAsia="en-US"/>
        </w:rPr>
        <w:t>I</w:t>
      </w:r>
      <w:r>
        <w:rPr>
          <w:rFonts w:ascii="Times New Roman" w:eastAsiaTheme="minorHAnsi" w:hAnsi="Times New Roman" w:cs="Times New Roman"/>
          <w:lang w:eastAsia="en-US"/>
        </w:rPr>
        <w:t xml:space="preserve">, I will set </w:t>
      </w:r>
      <w:r w:rsidR="009F1293">
        <w:rPr>
          <w:rFonts w:ascii="Times New Roman" w:eastAsiaTheme="minorHAnsi" w:hAnsi="Times New Roman" w:cs="Times New Roman"/>
          <w:lang w:eastAsia="en-US"/>
        </w:rPr>
        <w:t>the scene for</w:t>
      </w:r>
      <w:r w:rsidR="00D216A4">
        <w:rPr>
          <w:rFonts w:ascii="Times New Roman" w:eastAsiaTheme="minorHAnsi" w:hAnsi="Times New Roman" w:cs="Times New Roman"/>
          <w:lang w:eastAsia="en-US"/>
        </w:rPr>
        <w:t xml:space="preserve"> </w:t>
      </w:r>
      <w:r w:rsidR="009F1293">
        <w:rPr>
          <w:rFonts w:ascii="Times New Roman" w:eastAsiaTheme="minorHAnsi" w:hAnsi="Times New Roman" w:cs="Times New Roman"/>
          <w:lang w:eastAsia="en-US"/>
        </w:rPr>
        <w:t>charities and discrimination. Section III analyses when charitable discrimination can be justified, by way of a case study of whether</w:t>
      </w:r>
      <w:r w:rsidR="00D216A4">
        <w:rPr>
          <w:rFonts w:ascii="Times New Roman" w:eastAsiaTheme="minorHAnsi" w:hAnsi="Times New Roman" w:cs="Times New Roman"/>
          <w:lang w:eastAsia="en-US"/>
        </w:rPr>
        <w:t xml:space="preserve"> (</w:t>
      </w:r>
      <w:r w:rsidR="009F1293">
        <w:rPr>
          <w:rFonts w:ascii="Times New Roman" w:eastAsiaTheme="minorHAnsi" w:hAnsi="Times New Roman" w:cs="Times New Roman"/>
          <w:lang w:eastAsia="en-US"/>
        </w:rPr>
        <w:t>and, if so, when</w:t>
      </w:r>
      <w:r w:rsidR="00D216A4">
        <w:rPr>
          <w:rFonts w:ascii="Times New Roman" w:eastAsiaTheme="minorHAnsi" w:hAnsi="Times New Roman" w:cs="Times New Roman"/>
          <w:lang w:eastAsia="en-US"/>
        </w:rPr>
        <w:t>)</w:t>
      </w:r>
      <w:r w:rsidR="009F1293">
        <w:rPr>
          <w:rFonts w:ascii="Times New Roman" w:eastAsiaTheme="minorHAnsi" w:hAnsi="Times New Roman" w:cs="Times New Roman"/>
          <w:lang w:eastAsia="en-US"/>
        </w:rPr>
        <w:t xml:space="preserve"> charities can lawfully exclude transgender women from their services. In section IV, I will consider some of the theoretical justifications that have been advanced for equality law, to determine when charities should be allowed to discriminate. Section V will conclude the chapter. </w:t>
      </w:r>
    </w:p>
    <w:p w14:paraId="27A9493D" w14:textId="169ABA00" w:rsidR="007C6FF8" w:rsidRPr="00004886" w:rsidRDefault="007C6FF8" w:rsidP="00004886">
      <w:pPr>
        <w:spacing w:line="480" w:lineRule="auto"/>
        <w:jc w:val="both"/>
        <w:rPr>
          <w:rFonts w:ascii="Times New Roman" w:eastAsiaTheme="minorHAnsi" w:hAnsi="Times New Roman" w:cs="Times New Roman"/>
          <w:b/>
          <w:lang w:eastAsia="en-US"/>
        </w:rPr>
      </w:pPr>
    </w:p>
    <w:p w14:paraId="48DE5702" w14:textId="4156B6CB" w:rsidR="007C6FF8" w:rsidRPr="00004886" w:rsidRDefault="007C6FF8" w:rsidP="00004886">
      <w:pPr>
        <w:spacing w:line="480" w:lineRule="auto"/>
        <w:jc w:val="both"/>
        <w:rPr>
          <w:rFonts w:ascii="Times New Roman" w:eastAsiaTheme="minorHAnsi" w:hAnsi="Times New Roman" w:cs="Times New Roman"/>
          <w:b/>
          <w:lang w:eastAsia="en-US"/>
        </w:rPr>
      </w:pPr>
      <w:r w:rsidRPr="00004886">
        <w:rPr>
          <w:rFonts w:ascii="Times New Roman" w:eastAsiaTheme="minorHAnsi" w:hAnsi="Times New Roman" w:cs="Times New Roman"/>
          <w:b/>
          <w:lang w:eastAsia="en-US"/>
        </w:rPr>
        <w:lastRenderedPageBreak/>
        <w:t>I</w:t>
      </w:r>
      <w:r w:rsidR="009F1293">
        <w:rPr>
          <w:rFonts w:ascii="Times New Roman" w:eastAsiaTheme="minorHAnsi" w:hAnsi="Times New Roman" w:cs="Times New Roman"/>
          <w:b/>
          <w:lang w:eastAsia="en-US"/>
        </w:rPr>
        <w:t>I</w:t>
      </w:r>
      <w:r w:rsidRPr="00004886">
        <w:rPr>
          <w:rFonts w:ascii="Times New Roman" w:eastAsiaTheme="minorHAnsi" w:hAnsi="Times New Roman" w:cs="Times New Roman"/>
          <w:b/>
          <w:lang w:eastAsia="en-US"/>
        </w:rPr>
        <w:tab/>
      </w:r>
      <w:r w:rsidR="009F1293">
        <w:rPr>
          <w:rFonts w:ascii="Times New Roman" w:eastAsiaTheme="minorHAnsi" w:hAnsi="Times New Roman" w:cs="Times New Roman"/>
          <w:b/>
          <w:lang w:eastAsia="en-US"/>
        </w:rPr>
        <w:t>Charities and Discrimination</w:t>
      </w:r>
    </w:p>
    <w:p w14:paraId="1C355AA5" w14:textId="77777777" w:rsidR="00B002C5" w:rsidRDefault="00B002C5" w:rsidP="00004886">
      <w:pPr>
        <w:spacing w:line="480" w:lineRule="auto"/>
        <w:rPr>
          <w:rFonts w:ascii="Times New Roman" w:hAnsi="Times New Roman" w:cs="Times New Roman"/>
        </w:rPr>
      </w:pPr>
    </w:p>
    <w:p w14:paraId="3E113414" w14:textId="4D504A0B" w:rsidR="00241095" w:rsidRPr="00004886" w:rsidRDefault="007C6FF8" w:rsidP="00004886">
      <w:pPr>
        <w:spacing w:line="480" w:lineRule="auto"/>
        <w:rPr>
          <w:rFonts w:ascii="Times New Roman" w:hAnsi="Times New Roman" w:cs="Times New Roman"/>
        </w:rPr>
      </w:pPr>
      <w:r w:rsidRPr="00004886">
        <w:rPr>
          <w:rFonts w:ascii="Times New Roman" w:hAnsi="Times New Roman" w:cs="Times New Roman"/>
        </w:rPr>
        <w:t xml:space="preserve">The Equality Act 2010 requires equal treatment across a number of different activities, including work and the provision of goods and services. It prohibits discrimination, harassment, and victimisation based upon nine protected characteristics: age, disability, gender reassignment, marriage and civil partnership, pregnancy and maternity, race, religion or belief, sex and sexual orientation. </w:t>
      </w:r>
      <w:r w:rsidR="00B62B3D" w:rsidRPr="00004886">
        <w:rPr>
          <w:rFonts w:ascii="Times New Roman" w:hAnsi="Times New Roman" w:cs="Times New Roman"/>
        </w:rPr>
        <w:t>Charities have long been restricting their services based upon what we would now term a protected characteristic. For example, the Hospital of St Cross and Almshouse of Noble Poverty, thought to be the oldest surviving charitable institution in England</w:t>
      </w:r>
      <w:r w:rsidR="00B62B3D" w:rsidRPr="00004886">
        <w:rPr>
          <w:rStyle w:val="FootnoteReference"/>
          <w:rFonts w:ascii="Times New Roman" w:hAnsi="Times New Roman" w:cs="Times New Roman"/>
        </w:rPr>
        <w:footnoteReference w:id="7"/>
      </w:r>
      <w:r w:rsidR="00B62B3D" w:rsidRPr="00004886">
        <w:rPr>
          <w:rFonts w:ascii="Times New Roman" w:hAnsi="Times New Roman" w:cs="Times New Roman"/>
        </w:rPr>
        <w:t xml:space="preserve"> was founded in the twelfth century to provide accommodation for 13 elderly poor men and to feed 100 poor men daily at its gates. As well as maintaining a chapel, it still provides housing to 25 elderly men.</w:t>
      </w:r>
      <w:r w:rsidR="00B62B3D" w:rsidRPr="00004886">
        <w:rPr>
          <w:rStyle w:val="FootnoteReference"/>
          <w:rFonts w:ascii="Times New Roman" w:hAnsi="Times New Roman" w:cs="Times New Roman"/>
        </w:rPr>
        <w:footnoteReference w:id="8"/>
      </w:r>
      <w:r w:rsidR="00B62B3D" w:rsidRPr="00004886">
        <w:rPr>
          <w:rFonts w:ascii="Times New Roman" w:hAnsi="Times New Roman" w:cs="Times New Roman"/>
        </w:rPr>
        <w:t xml:space="preserve"> </w:t>
      </w:r>
      <w:r w:rsidR="00CF231F">
        <w:rPr>
          <w:rFonts w:ascii="Times New Roman" w:hAnsi="Times New Roman" w:cs="Times New Roman"/>
        </w:rPr>
        <w:t xml:space="preserve">In terms of service provision, it thus appears to restrict its beneficiaries to men. </w:t>
      </w:r>
      <w:r w:rsidR="00241095" w:rsidRPr="00004886">
        <w:rPr>
          <w:rFonts w:ascii="Times New Roman" w:hAnsi="Times New Roman" w:cs="Times New Roman"/>
        </w:rPr>
        <w:t>Compared to the common law of charity, a</w:t>
      </w:r>
      <w:r w:rsidR="00964F3E" w:rsidRPr="00004886">
        <w:rPr>
          <w:rFonts w:ascii="Times New Roman" w:hAnsi="Times New Roman" w:cs="Times New Roman"/>
        </w:rPr>
        <w:t xml:space="preserve">nti-discrimination legislation is a relative late comer to the scene </w:t>
      </w:r>
      <w:r w:rsidR="00FA04B9">
        <w:rPr>
          <w:rFonts w:ascii="Times New Roman" w:hAnsi="Times New Roman" w:cs="Times New Roman"/>
        </w:rPr>
        <w:t xml:space="preserve">the scope of </w:t>
      </w:r>
      <w:r w:rsidR="00964F3E" w:rsidRPr="00004886">
        <w:rPr>
          <w:rFonts w:ascii="Times New Roman" w:hAnsi="Times New Roman" w:cs="Times New Roman"/>
        </w:rPr>
        <w:t xml:space="preserve">both the Sex Discrimination Act 1975 s 43 and the Race Relations Act 1976 s 34 </w:t>
      </w:r>
      <w:r w:rsidR="00FA04B9" w:rsidRPr="004E769B">
        <w:rPr>
          <w:rFonts w:ascii="Times New Roman" w:hAnsi="Times New Roman" w:cs="Times New Roman"/>
        </w:rPr>
        <w:t xml:space="preserve">was </w:t>
      </w:r>
      <w:r w:rsidR="00964F3E" w:rsidRPr="004E769B">
        <w:rPr>
          <w:rFonts w:ascii="Times New Roman" w:hAnsi="Times New Roman" w:cs="Times New Roman"/>
        </w:rPr>
        <w:t>restrict</w:t>
      </w:r>
      <w:r w:rsidR="00FA04B9" w:rsidRPr="004E769B">
        <w:rPr>
          <w:rFonts w:ascii="Times New Roman" w:hAnsi="Times New Roman" w:cs="Times New Roman"/>
        </w:rPr>
        <w:t>ed</w:t>
      </w:r>
      <w:r w:rsidR="00964F3E" w:rsidRPr="004E769B">
        <w:rPr>
          <w:rFonts w:ascii="Times New Roman" w:hAnsi="Times New Roman" w:cs="Times New Roman"/>
        </w:rPr>
        <w:t xml:space="preserve"> to not extend to charitable gifts.</w:t>
      </w:r>
      <w:r w:rsidR="00964F3E" w:rsidRPr="00004886">
        <w:rPr>
          <w:rFonts w:ascii="Times New Roman" w:hAnsi="Times New Roman" w:cs="Times New Roman"/>
        </w:rPr>
        <w:t xml:space="preserve"> </w:t>
      </w:r>
      <w:r w:rsidR="006B69C9" w:rsidRPr="00004886">
        <w:rPr>
          <w:rFonts w:ascii="Times New Roman" w:hAnsi="Times New Roman" w:cs="Times New Roman"/>
        </w:rPr>
        <w:t xml:space="preserve">As noted by Watkin, </w:t>
      </w:r>
      <w:r w:rsidR="00964F3E" w:rsidRPr="00004886">
        <w:rPr>
          <w:rFonts w:ascii="Times New Roman" w:hAnsi="Times New Roman" w:cs="Times New Roman"/>
        </w:rPr>
        <w:t>‘Discrimination has been, and still is, an accepted feature of charity.’</w:t>
      </w:r>
      <w:r w:rsidR="00964F3E" w:rsidRPr="00004886">
        <w:rPr>
          <w:rStyle w:val="FootnoteReference"/>
          <w:rFonts w:ascii="Times New Roman" w:hAnsi="Times New Roman" w:cs="Times New Roman"/>
        </w:rPr>
        <w:footnoteReference w:id="9"/>
      </w:r>
      <w:r w:rsidR="00964F3E" w:rsidRPr="00004886">
        <w:rPr>
          <w:rFonts w:ascii="Times New Roman" w:hAnsi="Times New Roman" w:cs="Times New Roman"/>
        </w:rPr>
        <w:t xml:space="preserve"> </w:t>
      </w:r>
      <w:r w:rsidR="00C20D0D" w:rsidRPr="00004886">
        <w:rPr>
          <w:rFonts w:ascii="Times New Roman" w:hAnsi="Times New Roman" w:cs="Times New Roman"/>
        </w:rPr>
        <w:t xml:space="preserve">This is linked to the longstanding common law freedom to discriminate in testamentary gifts or trusts, illustrated by </w:t>
      </w:r>
      <w:r w:rsidR="00241095" w:rsidRPr="00004886">
        <w:rPr>
          <w:rFonts w:ascii="Times New Roman" w:hAnsi="Times New Roman" w:cs="Times New Roman"/>
        </w:rPr>
        <w:t>Lord Wilb</w:t>
      </w:r>
      <w:r w:rsidR="00015E42">
        <w:rPr>
          <w:rFonts w:ascii="Times New Roman" w:hAnsi="Times New Roman" w:cs="Times New Roman"/>
        </w:rPr>
        <w:t>e</w:t>
      </w:r>
      <w:r w:rsidR="00241095" w:rsidRPr="00004886">
        <w:rPr>
          <w:rFonts w:ascii="Times New Roman" w:hAnsi="Times New Roman" w:cs="Times New Roman"/>
        </w:rPr>
        <w:t xml:space="preserve">rforce’s observation that: </w:t>
      </w:r>
    </w:p>
    <w:p w14:paraId="5EC95D17" w14:textId="4F4752F5" w:rsidR="00964F3E" w:rsidRPr="00004886" w:rsidRDefault="00241095" w:rsidP="00004886">
      <w:pPr>
        <w:spacing w:line="480" w:lineRule="auto"/>
        <w:ind w:left="720"/>
        <w:rPr>
          <w:rFonts w:ascii="Times New Roman" w:hAnsi="Times New Roman" w:cs="Times New Roman"/>
        </w:rPr>
      </w:pPr>
      <w:r w:rsidRPr="00004886">
        <w:rPr>
          <w:rFonts w:ascii="Times New Roman" w:hAnsi="Times New Roman" w:cs="Times New Roman"/>
        </w:rPr>
        <w:t>Discrimination is not the same thing as choice: it operates over a larger and less personal area, and neither by express provision nor by implication has private selection yet become a matter of public policy.</w:t>
      </w:r>
      <w:r w:rsidR="00C20D0D" w:rsidRPr="00004886">
        <w:rPr>
          <w:rStyle w:val="FootnoteReference"/>
          <w:rFonts w:ascii="Times New Roman" w:hAnsi="Times New Roman" w:cs="Times New Roman"/>
        </w:rPr>
        <w:footnoteReference w:id="10"/>
      </w:r>
    </w:p>
    <w:p w14:paraId="5513496D" w14:textId="77777777" w:rsidR="00EB04B1" w:rsidRDefault="00EB04B1" w:rsidP="00004886">
      <w:pPr>
        <w:spacing w:line="480" w:lineRule="auto"/>
        <w:rPr>
          <w:rFonts w:ascii="Times New Roman" w:hAnsi="Times New Roman" w:cs="Times New Roman"/>
        </w:rPr>
      </w:pPr>
    </w:p>
    <w:p w14:paraId="15AE8E22" w14:textId="77777777" w:rsidR="00EB04B1" w:rsidRDefault="00EB04B1" w:rsidP="00004886">
      <w:pPr>
        <w:spacing w:line="480" w:lineRule="auto"/>
        <w:rPr>
          <w:rFonts w:ascii="Times New Roman" w:hAnsi="Times New Roman" w:cs="Times New Roman"/>
        </w:rPr>
      </w:pPr>
    </w:p>
    <w:p w14:paraId="4441E5CB" w14:textId="435E59F9" w:rsidR="00D62D88" w:rsidRPr="00004886" w:rsidRDefault="00B62B3D" w:rsidP="00EB04B1">
      <w:pPr>
        <w:spacing w:line="480" w:lineRule="auto"/>
        <w:ind w:firstLine="720"/>
        <w:rPr>
          <w:rFonts w:ascii="Times New Roman" w:hAnsi="Times New Roman" w:cs="Times New Roman"/>
        </w:rPr>
      </w:pPr>
      <w:r w:rsidRPr="00004886">
        <w:rPr>
          <w:rFonts w:ascii="Times New Roman" w:hAnsi="Times New Roman" w:cs="Times New Roman"/>
        </w:rPr>
        <w:t>Harding argues that it would be possible to eliminate these discriminatory gifts through common law devices,</w:t>
      </w:r>
      <w:r w:rsidRPr="00004886">
        <w:rPr>
          <w:rStyle w:val="FootnoteReference"/>
          <w:rFonts w:ascii="Times New Roman" w:hAnsi="Times New Roman" w:cs="Times New Roman"/>
        </w:rPr>
        <w:footnoteReference w:id="11"/>
      </w:r>
      <w:r w:rsidRPr="00004886">
        <w:rPr>
          <w:rFonts w:ascii="Times New Roman" w:hAnsi="Times New Roman" w:cs="Times New Roman"/>
        </w:rPr>
        <w:t xml:space="preserve"> but statute-based approaches have been </w:t>
      </w:r>
      <w:r w:rsidR="00FA04B9">
        <w:rPr>
          <w:rFonts w:ascii="Times New Roman" w:hAnsi="Times New Roman" w:cs="Times New Roman"/>
        </w:rPr>
        <w:t>preferred</w:t>
      </w:r>
      <w:r w:rsidRPr="00004886">
        <w:rPr>
          <w:rFonts w:ascii="Times New Roman" w:hAnsi="Times New Roman" w:cs="Times New Roman"/>
        </w:rPr>
        <w:t xml:space="preserve">. </w:t>
      </w:r>
      <w:r w:rsidR="00964F3E" w:rsidRPr="00004886">
        <w:rPr>
          <w:rFonts w:ascii="Times New Roman" w:hAnsi="Times New Roman" w:cs="Times New Roman"/>
        </w:rPr>
        <w:t>Beneficiary</w:t>
      </w:r>
      <w:r w:rsidR="00D62D88" w:rsidRPr="00004886">
        <w:rPr>
          <w:rFonts w:ascii="Times New Roman" w:hAnsi="Times New Roman" w:cs="Times New Roman"/>
        </w:rPr>
        <w:t xml:space="preserve"> discrimination was allowable </w:t>
      </w:r>
      <w:r w:rsidR="00F40411" w:rsidRPr="00004886">
        <w:rPr>
          <w:rFonts w:ascii="Times New Roman" w:hAnsi="Times New Roman" w:cs="Times New Roman"/>
        </w:rPr>
        <w:t>under</w:t>
      </w:r>
      <w:r w:rsidR="00D62D88" w:rsidRPr="00004886">
        <w:rPr>
          <w:rFonts w:ascii="Times New Roman" w:hAnsi="Times New Roman" w:cs="Times New Roman"/>
        </w:rPr>
        <w:t xml:space="preserve"> the predecessor equalities legislation</w:t>
      </w:r>
      <w:r w:rsidR="00964F3E" w:rsidRPr="00004886">
        <w:rPr>
          <w:rStyle w:val="FootnoteReference"/>
          <w:rFonts w:ascii="Times New Roman" w:hAnsi="Times New Roman" w:cs="Times New Roman"/>
        </w:rPr>
        <w:footnoteReference w:id="12"/>
      </w:r>
      <w:r w:rsidR="00964F3E" w:rsidRPr="00004886">
        <w:rPr>
          <w:rFonts w:ascii="Times New Roman" w:hAnsi="Times New Roman" w:cs="Times New Roman"/>
        </w:rPr>
        <w:t xml:space="preserve"> </w:t>
      </w:r>
      <w:r w:rsidR="00F40411" w:rsidRPr="00004886">
        <w:rPr>
          <w:rFonts w:ascii="Times New Roman" w:hAnsi="Times New Roman" w:cs="Times New Roman"/>
        </w:rPr>
        <w:t>so lon</w:t>
      </w:r>
      <w:r w:rsidR="00964F3E" w:rsidRPr="00004886">
        <w:rPr>
          <w:rFonts w:ascii="Times New Roman" w:hAnsi="Times New Roman" w:cs="Times New Roman"/>
        </w:rPr>
        <w:t xml:space="preserve">g as a charity could show that </w:t>
      </w:r>
      <w:r w:rsidR="00F40411" w:rsidRPr="00004886">
        <w:rPr>
          <w:rFonts w:ascii="Times New Roman" w:hAnsi="Times New Roman" w:cs="Times New Roman"/>
        </w:rPr>
        <w:t>its charitable objects were in the public benefit</w:t>
      </w:r>
      <w:r w:rsidR="00EB04B1">
        <w:rPr>
          <w:rFonts w:ascii="Times New Roman" w:hAnsi="Times New Roman" w:cs="Times New Roman"/>
        </w:rPr>
        <w:t>. I</w:t>
      </w:r>
      <w:r w:rsidR="00015E42">
        <w:rPr>
          <w:rFonts w:ascii="Times New Roman" w:hAnsi="Times New Roman" w:cs="Times New Roman"/>
        </w:rPr>
        <w:t xml:space="preserve">t </w:t>
      </w:r>
      <w:r w:rsidR="00D62D88" w:rsidRPr="00004886">
        <w:rPr>
          <w:rFonts w:ascii="Times New Roman" w:hAnsi="Times New Roman" w:cs="Times New Roman"/>
        </w:rPr>
        <w:t xml:space="preserve">remains lawful under the </w:t>
      </w:r>
      <w:r w:rsidR="006A0739" w:rsidRPr="00004886">
        <w:rPr>
          <w:rFonts w:ascii="Times New Roman" w:hAnsi="Times New Roman" w:cs="Times New Roman"/>
        </w:rPr>
        <w:t>Equality Act</w:t>
      </w:r>
      <w:r w:rsidR="00D62D88" w:rsidRPr="00004886">
        <w:rPr>
          <w:rFonts w:ascii="Times New Roman" w:hAnsi="Times New Roman" w:cs="Times New Roman"/>
        </w:rPr>
        <w:t xml:space="preserve">, but the </w:t>
      </w:r>
      <w:r w:rsidR="002402F6" w:rsidRPr="00004886">
        <w:rPr>
          <w:rFonts w:ascii="Times New Roman" w:hAnsi="Times New Roman" w:cs="Times New Roman"/>
        </w:rPr>
        <w:t xml:space="preserve">circumstances in which this is </w:t>
      </w:r>
      <w:r w:rsidR="00845E4E" w:rsidRPr="00004886">
        <w:rPr>
          <w:rFonts w:ascii="Times New Roman" w:hAnsi="Times New Roman" w:cs="Times New Roman"/>
        </w:rPr>
        <w:t>allowable</w:t>
      </w:r>
      <w:r w:rsidR="00CF231F">
        <w:rPr>
          <w:rFonts w:ascii="Times New Roman" w:hAnsi="Times New Roman" w:cs="Times New Roman"/>
        </w:rPr>
        <w:t xml:space="preserve"> have been tightened</w:t>
      </w:r>
      <w:r w:rsidR="00D62D88" w:rsidRPr="00004886">
        <w:rPr>
          <w:rFonts w:ascii="Times New Roman" w:hAnsi="Times New Roman" w:cs="Times New Roman"/>
        </w:rPr>
        <w:t xml:space="preserve">. </w:t>
      </w:r>
      <w:r w:rsidR="00015E42">
        <w:rPr>
          <w:rFonts w:ascii="Times New Roman" w:hAnsi="Times New Roman" w:cs="Times New Roman"/>
        </w:rPr>
        <w:t>As a result, c</w:t>
      </w:r>
      <w:r w:rsidR="00D62D88" w:rsidRPr="00004886">
        <w:rPr>
          <w:rFonts w:ascii="Times New Roman" w:hAnsi="Times New Roman" w:cs="Times New Roman"/>
        </w:rPr>
        <w:t xml:space="preserve">harities must consider to what extent their often long-entrenched practices continue to be </w:t>
      </w:r>
      <w:r w:rsidR="00845E4E" w:rsidRPr="00004886">
        <w:rPr>
          <w:rFonts w:ascii="Times New Roman" w:hAnsi="Times New Roman" w:cs="Times New Roman"/>
        </w:rPr>
        <w:t>lawful</w:t>
      </w:r>
      <w:r w:rsidR="00D62D88" w:rsidRPr="00004886">
        <w:rPr>
          <w:rFonts w:ascii="Times New Roman" w:hAnsi="Times New Roman" w:cs="Times New Roman"/>
        </w:rPr>
        <w:t xml:space="preserve">. </w:t>
      </w:r>
    </w:p>
    <w:p w14:paraId="4747C6B3" w14:textId="77777777" w:rsidR="00EB04B1" w:rsidRDefault="00EB04B1" w:rsidP="00004886">
      <w:pPr>
        <w:spacing w:line="480" w:lineRule="auto"/>
        <w:ind w:firstLine="720"/>
        <w:rPr>
          <w:rFonts w:ascii="Times New Roman" w:hAnsi="Times New Roman" w:cs="Times New Roman"/>
        </w:rPr>
      </w:pPr>
    </w:p>
    <w:p w14:paraId="507263B2" w14:textId="4D5B6BEA" w:rsidR="00964F3E" w:rsidRPr="00004886" w:rsidRDefault="00964F3E" w:rsidP="00004886">
      <w:pPr>
        <w:spacing w:line="480" w:lineRule="auto"/>
        <w:ind w:firstLine="720"/>
        <w:rPr>
          <w:rFonts w:ascii="Times New Roman" w:hAnsi="Times New Roman" w:cs="Times New Roman"/>
        </w:rPr>
      </w:pPr>
      <w:r w:rsidRPr="00004886">
        <w:rPr>
          <w:rFonts w:ascii="Times New Roman" w:hAnsi="Times New Roman" w:cs="Times New Roman"/>
        </w:rPr>
        <w:t xml:space="preserve">Section 193 of the </w:t>
      </w:r>
      <w:r w:rsidR="006A0739" w:rsidRPr="00004886">
        <w:rPr>
          <w:rFonts w:ascii="Times New Roman" w:hAnsi="Times New Roman" w:cs="Times New Roman"/>
        </w:rPr>
        <w:t xml:space="preserve">Equality </w:t>
      </w:r>
      <w:r w:rsidR="00FA04B9" w:rsidRPr="00004886">
        <w:rPr>
          <w:rFonts w:ascii="Times New Roman" w:hAnsi="Times New Roman" w:cs="Times New Roman"/>
        </w:rPr>
        <w:t xml:space="preserve">Act </w:t>
      </w:r>
      <w:r w:rsidR="00FA04B9">
        <w:rPr>
          <w:rFonts w:ascii="Times New Roman" w:hAnsi="Times New Roman" w:cs="Times New Roman"/>
        </w:rPr>
        <w:t>creates</w:t>
      </w:r>
      <w:r w:rsidR="00015E42">
        <w:rPr>
          <w:rFonts w:ascii="Times New Roman" w:hAnsi="Times New Roman" w:cs="Times New Roman"/>
        </w:rPr>
        <w:t xml:space="preserve"> </w:t>
      </w:r>
      <w:r w:rsidRPr="00004886">
        <w:rPr>
          <w:rFonts w:ascii="Times New Roman" w:hAnsi="Times New Roman" w:cs="Times New Roman"/>
        </w:rPr>
        <w:t>a specific exception for charities. They may restrict their benefits to persons sharing a protected characteristic so long as they do so in furtherance of a charitable instrument</w:t>
      </w:r>
      <w:r w:rsidR="00126B59" w:rsidRPr="00004886">
        <w:rPr>
          <w:rStyle w:val="FootnoteReference"/>
          <w:rFonts w:ascii="Times New Roman" w:hAnsi="Times New Roman" w:cs="Times New Roman"/>
        </w:rPr>
        <w:footnoteReference w:id="13"/>
      </w:r>
      <w:r w:rsidRPr="00004886">
        <w:rPr>
          <w:rFonts w:ascii="Times New Roman" w:hAnsi="Times New Roman" w:cs="Times New Roman"/>
        </w:rPr>
        <w:t xml:space="preserve"> and the restriction is either a proportionate means of achieving a legitimate aim</w:t>
      </w:r>
      <w:r w:rsidR="00126B59">
        <w:rPr>
          <w:rStyle w:val="FootnoteReference"/>
          <w:rFonts w:ascii="Times New Roman" w:hAnsi="Times New Roman" w:cs="Times New Roman"/>
        </w:rPr>
        <w:footnoteReference w:id="14"/>
      </w:r>
      <w:r w:rsidRPr="00004886">
        <w:rPr>
          <w:rFonts w:ascii="Times New Roman" w:hAnsi="Times New Roman" w:cs="Times New Roman"/>
        </w:rPr>
        <w:t xml:space="preserve"> or for the purpose of preventing or compensating for historic disadvantage.</w:t>
      </w:r>
      <w:r w:rsidRPr="00004886">
        <w:rPr>
          <w:rStyle w:val="FootnoteReference"/>
          <w:rFonts w:ascii="Times New Roman" w:hAnsi="Times New Roman" w:cs="Times New Roman"/>
        </w:rPr>
        <w:footnoteReference w:id="15"/>
      </w:r>
      <w:r w:rsidRPr="00004886">
        <w:rPr>
          <w:rFonts w:ascii="Times New Roman" w:hAnsi="Times New Roman" w:cs="Times New Roman"/>
        </w:rPr>
        <w:t xml:space="preserve"> A number of other exceptions that are not specifically restricted to charities may also allow some charities to discriminate in particular ways, such as the provision of single-sex services.</w:t>
      </w:r>
      <w:r w:rsidR="00CF231F">
        <w:rPr>
          <w:rStyle w:val="FootnoteReference"/>
          <w:rFonts w:ascii="Times New Roman" w:hAnsi="Times New Roman" w:cs="Times New Roman"/>
        </w:rPr>
        <w:footnoteReference w:id="16"/>
      </w:r>
      <w:r w:rsidRPr="00004886">
        <w:rPr>
          <w:rFonts w:ascii="Times New Roman" w:hAnsi="Times New Roman" w:cs="Times New Roman"/>
        </w:rPr>
        <w:t xml:space="preserve"> Finally, where it is reasonably thought that persons sharing a protected characteristic suffer a disadvantage linked to that characteristic or have different needs </w:t>
      </w:r>
      <w:r w:rsidR="00FA04B9">
        <w:rPr>
          <w:rFonts w:ascii="Times New Roman" w:hAnsi="Times New Roman" w:cs="Times New Roman"/>
        </w:rPr>
        <w:t>from</w:t>
      </w:r>
      <w:r w:rsidR="00FA04B9" w:rsidRPr="00004886">
        <w:rPr>
          <w:rFonts w:ascii="Times New Roman" w:hAnsi="Times New Roman" w:cs="Times New Roman"/>
        </w:rPr>
        <w:t xml:space="preserve"> </w:t>
      </w:r>
      <w:r w:rsidRPr="00004886">
        <w:rPr>
          <w:rFonts w:ascii="Times New Roman" w:hAnsi="Times New Roman" w:cs="Times New Roman"/>
        </w:rPr>
        <w:t xml:space="preserve">those who do not share the protected characteristic, or that participation in an activity by persons who share a protected characteristic is disproportionately low, then charities might </w:t>
      </w:r>
      <w:r w:rsidRPr="00004886">
        <w:rPr>
          <w:rFonts w:ascii="Times New Roman" w:hAnsi="Times New Roman" w:cs="Times New Roman"/>
        </w:rPr>
        <w:lastRenderedPageBreak/>
        <w:t>engage in positive action that is a proportionate means of achieving the legitimate aim of redressing any of these situations.</w:t>
      </w:r>
      <w:r w:rsidRPr="00004886">
        <w:rPr>
          <w:rStyle w:val="FootnoteReference"/>
          <w:rFonts w:ascii="Times New Roman" w:hAnsi="Times New Roman" w:cs="Times New Roman"/>
        </w:rPr>
        <w:footnoteReference w:id="17"/>
      </w:r>
      <w:r w:rsidRPr="00004886">
        <w:rPr>
          <w:rFonts w:ascii="Times New Roman" w:hAnsi="Times New Roman" w:cs="Times New Roman"/>
        </w:rPr>
        <w:t xml:space="preserve">   </w:t>
      </w:r>
    </w:p>
    <w:p w14:paraId="6EEE44CA" w14:textId="77777777" w:rsidR="00EB04B1" w:rsidRDefault="00EB04B1" w:rsidP="00004886">
      <w:pPr>
        <w:spacing w:line="480" w:lineRule="auto"/>
        <w:ind w:firstLine="720"/>
        <w:rPr>
          <w:rFonts w:ascii="Times New Roman" w:hAnsi="Times New Roman" w:cs="Times New Roman"/>
        </w:rPr>
      </w:pPr>
    </w:p>
    <w:p w14:paraId="1FC99800" w14:textId="674576DF" w:rsidR="002402F6" w:rsidRPr="00004886" w:rsidRDefault="002402F6" w:rsidP="00004886">
      <w:pPr>
        <w:spacing w:line="480" w:lineRule="auto"/>
        <w:ind w:firstLine="720"/>
        <w:rPr>
          <w:rFonts w:ascii="Times New Roman" w:hAnsi="Times New Roman" w:cs="Times New Roman"/>
        </w:rPr>
      </w:pPr>
      <w:r w:rsidRPr="00004886">
        <w:rPr>
          <w:rFonts w:ascii="Times New Roman" w:hAnsi="Times New Roman" w:cs="Times New Roman"/>
        </w:rPr>
        <w:t xml:space="preserve">The activities, as well as the aims, of a charity must be considered when assessing if </w:t>
      </w:r>
      <w:r w:rsidR="00F61026">
        <w:rPr>
          <w:rFonts w:ascii="Times New Roman" w:hAnsi="Times New Roman" w:cs="Times New Roman"/>
        </w:rPr>
        <w:t>it</w:t>
      </w:r>
      <w:r w:rsidRPr="00004886">
        <w:rPr>
          <w:rFonts w:ascii="Times New Roman" w:hAnsi="Times New Roman" w:cs="Times New Roman"/>
        </w:rPr>
        <w:t xml:space="preserve"> is acting in an unlawfully discriminatory way. The Charity Commission assesses an applicant organisation’s purposes or aims and determines whether or not they are exclusively charitable</w:t>
      </w:r>
      <w:r w:rsidRPr="00004886">
        <w:rPr>
          <w:rStyle w:val="FootnoteReference"/>
          <w:rFonts w:ascii="Times New Roman" w:hAnsi="Times New Roman" w:cs="Times New Roman"/>
        </w:rPr>
        <w:footnoteReference w:id="18"/>
      </w:r>
      <w:r w:rsidRPr="00004886">
        <w:rPr>
          <w:rFonts w:ascii="Times New Roman" w:hAnsi="Times New Roman" w:cs="Times New Roman"/>
        </w:rPr>
        <w:t xml:space="preserve"> in deciding if the organisation should be registered as a charity. </w:t>
      </w:r>
      <w:r w:rsidR="00845E4E" w:rsidRPr="00004886">
        <w:rPr>
          <w:rFonts w:ascii="Times New Roman" w:hAnsi="Times New Roman" w:cs="Times New Roman"/>
        </w:rPr>
        <w:t>Although this is traditionally considered to be the extent of its regulatory scrutiny,</w:t>
      </w:r>
      <w:r w:rsidR="00845E4E" w:rsidRPr="00004886">
        <w:rPr>
          <w:rStyle w:val="FootnoteReference"/>
          <w:rFonts w:ascii="Times New Roman" w:hAnsi="Times New Roman" w:cs="Times New Roman"/>
        </w:rPr>
        <w:footnoteReference w:id="19"/>
      </w:r>
      <w:r w:rsidR="00845E4E" w:rsidRPr="00004886">
        <w:rPr>
          <w:rFonts w:ascii="Times New Roman" w:hAnsi="Times New Roman" w:cs="Times New Roman"/>
        </w:rPr>
        <w:t xml:space="preserve"> t</w:t>
      </w:r>
      <w:r w:rsidRPr="00004886">
        <w:rPr>
          <w:rFonts w:ascii="Times New Roman" w:hAnsi="Times New Roman" w:cs="Times New Roman"/>
        </w:rPr>
        <w:t xml:space="preserve">he Charity Commission guidance on the </w:t>
      </w:r>
      <w:r w:rsidR="006A0739" w:rsidRPr="00004886">
        <w:rPr>
          <w:rFonts w:ascii="Times New Roman" w:hAnsi="Times New Roman" w:cs="Times New Roman"/>
        </w:rPr>
        <w:t>Equality Act</w:t>
      </w:r>
      <w:r w:rsidRPr="00004886">
        <w:rPr>
          <w:rFonts w:ascii="Times New Roman" w:hAnsi="Times New Roman" w:cs="Times New Roman"/>
        </w:rPr>
        <w:t xml:space="preserve"> repeatedly addresses what would be considered charitable activities, rather than purposes or aims.</w:t>
      </w:r>
      <w:r w:rsidRPr="00004886">
        <w:rPr>
          <w:rStyle w:val="FootnoteReference"/>
          <w:rFonts w:ascii="Times New Roman" w:hAnsi="Times New Roman" w:cs="Times New Roman"/>
        </w:rPr>
        <w:footnoteReference w:id="20"/>
      </w:r>
      <w:r w:rsidRPr="00004886">
        <w:rPr>
          <w:rFonts w:ascii="Times New Roman" w:hAnsi="Times New Roman" w:cs="Times New Roman"/>
        </w:rPr>
        <w:t xml:space="preserve"> </w:t>
      </w:r>
      <w:r w:rsidR="00225B8C" w:rsidRPr="00004886">
        <w:rPr>
          <w:rFonts w:ascii="Times New Roman" w:hAnsi="Times New Roman" w:cs="Times New Roman"/>
        </w:rPr>
        <w:t>T</w:t>
      </w:r>
      <w:r w:rsidRPr="00004886">
        <w:rPr>
          <w:rFonts w:ascii="Times New Roman" w:hAnsi="Times New Roman" w:cs="Times New Roman"/>
        </w:rPr>
        <w:t>he Equality and Human Rights Commission could also be a potential source of regulatory enforcement.</w:t>
      </w:r>
      <w:r w:rsidR="00225B8C" w:rsidRPr="00004886">
        <w:rPr>
          <w:rFonts w:ascii="Times New Roman" w:hAnsi="Times New Roman" w:cs="Times New Roman"/>
        </w:rPr>
        <w:t xml:space="preserve"> In addition, civil claims </w:t>
      </w:r>
      <w:r w:rsidR="00EB04B1">
        <w:rPr>
          <w:rFonts w:ascii="Times New Roman" w:hAnsi="Times New Roman" w:cs="Times New Roman"/>
        </w:rPr>
        <w:t>are</w:t>
      </w:r>
      <w:r w:rsidR="00225B8C" w:rsidRPr="00004886">
        <w:rPr>
          <w:rFonts w:ascii="Times New Roman" w:hAnsi="Times New Roman" w:cs="Times New Roman"/>
        </w:rPr>
        <w:t xml:space="preserve"> brought</w:t>
      </w:r>
      <w:r w:rsidR="00EB04B1">
        <w:rPr>
          <w:rFonts w:ascii="Times New Roman" w:hAnsi="Times New Roman" w:cs="Times New Roman"/>
        </w:rPr>
        <w:t xml:space="preserve"> against charities</w:t>
      </w:r>
      <w:r w:rsidR="00225B8C" w:rsidRPr="00004886">
        <w:rPr>
          <w:rFonts w:ascii="Times New Roman" w:hAnsi="Times New Roman" w:cs="Times New Roman"/>
        </w:rPr>
        <w:t>.</w:t>
      </w:r>
    </w:p>
    <w:p w14:paraId="31836EF7" w14:textId="77777777" w:rsidR="00EB04B1" w:rsidRDefault="00EB04B1" w:rsidP="00004886">
      <w:pPr>
        <w:spacing w:line="480" w:lineRule="auto"/>
        <w:ind w:firstLine="720"/>
        <w:rPr>
          <w:rFonts w:ascii="Times New Roman" w:hAnsi="Times New Roman" w:cs="Times New Roman"/>
        </w:rPr>
      </w:pPr>
    </w:p>
    <w:p w14:paraId="15B7A58C" w14:textId="429A38D7" w:rsidR="00EB04B1" w:rsidRDefault="00AF2CA5" w:rsidP="00004886">
      <w:pPr>
        <w:spacing w:line="480" w:lineRule="auto"/>
        <w:ind w:firstLine="720"/>
        <w:rPr>
          <w:rFonts w:ascii="Times New Roman" w:hAnsi="Times New Roman" w:cs="Times New Roman"/>
        </w:rPr>
      </w:pPr>
      <w:r>
        <w:rPr>
          <w:rFonts w:ascii="Times New Roman" w:hAnsi="Times New Roman" w:cs="Times New Roman"/>
        </w:rPr>
        <w:t>This chapter responds to an important question raised</w:t>
      </w:r>
      <w:r w:rsidR="00D62D88" w:rsidRPr="00004886">
        <w:rPr>
          <w:rFonts w:ascii="Times New Roman" w:hAnsi="Times New Roman" w:cs="Times New Roman"/>
        </w:rPr>
        <w:t xml:space="preserve"> by </w:t>
      </w:r>
      <w:r w:rsidR="00B53A1C">
        <w:rPr>
          <w:rFonts w:ascii="Times New Roman" w:hAnsi="Times New Roman" w:cs="Times New Roman"/>
        </w:rPr>
        <w:t xml:space="preserve">a study conducted by </w:t>
      </w:r>
      <w:r w:rsidR="00D62D88" w:rsidRPr="00004886">
        <w:rPr>
          <w:rFonts w:ascii="Times New Roman" w:hAnsi="Times New Roman" w:cs="Times New Roman"/>
        </w:rPr>
        <w:t xml:space="preserve">the Charity Law and Policy Unit at the University of Liverpool in 2012-13, which was the first comprehensive exploration of the implications of the </w:t>
      </w:r>
      <w:r w:rsidR="006A0739" w:rsidRPr="00004886">
        <w:rPr>
          <w:rFonts w:ascii="Times New Roman" w:hAnsi="Times New Roman" w:cs="Times New Roman"/>
        </w:rPr>
        <w:t>Equality Act</w:t>
      </w:r>
      <w:r w:rsidR="00D62D88" w:rsidRPr="00004886">
        <w:rPr>
          <w:rFonts w:ascii="Times New Roman" w:hAnsi="Times New Roman" w:cs="Times New Roman"/>
        </w:rPr>
        <w:t xml:space="preserve"> for charities.</w:t>
      </w:r>
      <w:r w:rsidR="00D62D88" w:rsidRPr="00004886">
        <w:rPr>
          <w:rStyle w:val="FootnoteReference"/>
          <w:rFonts w:ascii="Times New Roman" w:hAnsi="Times New Roman" w:cs="Times New Roman"/>
        </w:rPr>
        <w:footnoteReference w:id="21"/>
      </w:r>
      <w:r w:rsidR="00D62D88" w:rsidRPr="00004886">
        <w:rPr>
          <w:rFonts w:ascii="Times New Roman" w:hAnsi="Times New Roman" w:cs="Times New Roman"/>
        </w:rPr>
        <w:t xml:space="preserve"> The study involved 45 interviews with charities, lawyers and regulators, as well as Freedom of Information Act requests of regulators, and two stakeholder focus groups. </w:t>
      </w:r>
      <w:r w:rsidR="008904C3" w:rsidRPr="00004886">
        <w:rPr>
          <w:rFonts w:ascii="Times New Roman" w:hAnsi="Times New Roman" w:cs="Times New Roman"/>
        </w:rPr>
        <w:t xml:space="preserve">One of the specific case studies we included in the study was that of women-only charities. We </w:t>
      </w:r>
      <w:r w:rsidR="00E26B5F" w:rsidRPr="00004886">
        <w:rPr>
          <w:rFonts w:ascii="Times New Roman" w:hAnsi="Times New Roman" w:cs="Times New Roman"/>
        </w:rPr>
        <w:t>identified this case study</w:t>
      </w:r>
      <w:r w:rsidR="008904C3" w:rsidRPr="00004886">
        <w:rPr>
          <w:rFonts w:ascii="Times New Roman" w:hAnsi="Times New Roman" w:cs="Times New Roman"/>
        </w:rPr>
        <w:t xml:space="preserve"> after a number of participants in the first r</w:t>
      </w:r>
      <w:r w:rsidR="00E26B5F" w:rsidRPr="00004886">
        <w:rPr>
          <w:rFonts w:ascii="Times New Roman" w:hAnsi="Times New Roman" w:cs="Times New Roman"/>
        </w:rPr>
        <w:t>ound of interviews</w:t>
      </w:r>
      <w:r w:rsidR="00866E6C" w:rsidRPr="00004886">
        <w:rPr>
          <w:rFonts w:ascii="Times New Roman" w:hAnsi="Times New Roman" w:cs="Times New Roman"/>
        </w:rPr>
        <w:t xml:space="preserve"> with lawyers</w:t>
      </w:r>
      <w:r w:rsidR="00E26B5F" w:rsidRPr="00004886">
        <w:rPr>
          <w:rFonts w:ascii="Times New Roman" w:hAnsi="Times New Roman" w:cs="Times New Roman"/>
        </w:rPr>
        <w:t xml:space="preserve"> highlighted that the </w:t>
      </w:r>
      <w:r w:rsidR="006A0739" w:rsidRPr="00004886">
        <w:rPr>
          <w:rFonts w:ascii="Times New Roman" w:hAnsi="Times New Roman" w:cs="Times New Roman"/>
        </w:rPr>
        <w:t>Equality Act</w:t>
      </w:r>
      <w:r w:rsidR="00E26B5F" w:rsidRPr="00004886">
        <w:rPr>
          <w:rFonts w:ascii="Times New Roman" w:hAnsi="Times New Roman" w:cs="Times New Roman"/>
        </w:rPr>
        <w:t xml:space="preserve"> was presenting a</w:t>
      </w:r>
      <w:r w:rsidR="008904C3" w:rsidRPr="00004886">
        <w:rPr>
          <w:rFonts w:ascii="Times New Roman" w:hAnsi="Times New Roman" w:cs="Times New Roman"/>
        </w:rPr>
        <w:t xml:space="preserve"> particular issue for these organisati</w:t>
      </w:r>
      <w:r w:rsidR="00E26B5F" w:rsidRPr="00004886">
        <w:rPr>
          <w:rFonts w:ascii="Times New Roman" w:hAnsi="Times New Roman" w:cs="Times New Roman"/>
        </w:rPr>
        <w:t>ons. W</w:t>
      </w:r>
      <w:r w:rsidR="008904C3" w:rsidRPr="00004886">
        <w:rPr>
          <w:rFonts w:ascii="Times New Roman" w:hAnsi="Times New Roman" w:cs="Times New Roman"/>
        </w:rPr>
        <w:t xml:space="preserve">e then conducted two </w:t>
      </w:r>
      <w:r w:rsidR="00424AC0" w:rsidRPr="00004886">
        <w:rPr>
          <w:rFonts w:ascii="Times New Roman" w:hAnsi="Times New Roman" w:cs="Times New Roman"/>
        </w:rPr>
        <w:t xml:space="preserve">additional </w:t>
      </w:r>
      <w:r w:rsidR="008904C3" w:rsidRPr="00004886">
        <w:rPr>
          <w:rFonts w:ascii="Times New Roman" w:hAnsi="Times New Roman" w:cs="Times New Roman"/>
        </w:rPr>
        <w:t xml:space="preserve">interviews specifically related to this case study </w:t>
      </w:r>
      <w:r w:rsidR="00866E6C" w:rsidRPr="00004886">
        <w:rPr>
          <w:rFonts w:ascii="Times New Roman" w:hAnsi="Times New Roman" w:cs="Times New Roman"/>
        </w:rPr>
        <w:t xml:space="preserve">with umbrella </w:t>
      </w:r>
      <w:r w:rsidR="00866E6C" w:rsidRPr="00004886">
        <w:rPr>
          <w:rFonts w:ascii="Times New Roman" w:hAnsi="Times New Roman" w:cs="Times New Roman"/>
        </w:rPr>
        <w:lastRenderedPageBreak/>
        <w:t xml:space="preserve">groups for women’s charities </w:t>
      </w:r>
      <w:r w:rsidR="008904C3" w:rsidRPr="00004886">
        <w:rPr>
          <w:rFonts w:ascii="Times New Roman" w:hAnsi="Times New Roman" w:cs="Times New Roman"/>
        </w:rPr>
        <w:t xml:space="preserve">in the second round of interviews and also analysed a number of online reports and other sources of evidence related to the case study.  Most of the substance of the case study was around the threat that austerity measures presented to these sources of women-only services, mainly from local authorities and other commissioning bodies requiring organisations tendering for contracts to provide services to agree to provide a universal service. </w:t>
      </w:r>
    </w:p>
    <w:p w14:paraId="5E040EED" w14:textId="77777777" w:rsidR="00EB04B1" w:rsidRDefault="00EB04B1" w:rsidP="00004886">
      <w:pPr>
        <w:spacing w:line="480" w:lineRule="auto"/>
        <w:ind w:firstLine="720"/>
        <w:rPr>
          <w:rFonts w:ascii="Times New Roman" w:hAnsi="Times New Roman" w:cs="Times New Roman"/>
        </w:rPr>
      </w:pPr>
    </w:p>
    <w:p w14:paraId="1637C497" w14:textId="44225B25" w:rsidR="008A4888" w:rsidRDefault="008904C3" w:rsidP="00EB04B1">
      <w:pPr>
        <w:spacing w:line="480" w:lineRule="auto"/>
        <w:ind w:firstLine="720"/>
        <w:rPr>
          <w:rFonts w:ascii="Times New Roman" w:hAnsi="Times New Roman" w:cs="Times New Roman"/>
        </w:rPr>
      </w:pPr>
      <w:r w:rsidRPr="00004886">
        <w:rPr>
          <w:rFonts w:ascii="Times New Roman" w:hAnsi="Times New Roman" w:cs="Times New Roman"/>
        </w:rPr>
        <w:t>A</w:t>
      </w:r>
      <w:r w:rsidR="008A4888" w:rsidRPr="00004886">
        <w:rPr>
          <w:rFonts w:ascii="Times New Roman" w:hAnsi="Times New Roman" w:cs="Times New Roman"/>
        </w:rPr>
        <w:t>l</w:t>
      </w:r>
      <w:r w:rsidRPr="00004886">
        <w:rPr>
          <w:rFonts w:ascii="Times New Roman" w:hAnsi="Times New Roman" w:cs="Times New Roman"/>
        </w:rPr>
        <w:t>s</w:t>
      </w:r>
      <w:r w:rsidR="008A4888" w:rsidRPr="00004886">
        <w:rPr>
          <w:rFonts w:ascii="Times New Roman" w:hAnsi="Times New Roman" w:cs="Times New Roman"/>
        </w:rPr>
        <w:t>o as</w:t>
      </w:r>
      <w:r w:rsidRPr="00004886">
        <w:rPr>
          <w:rFonts w:ascii="Times New Roman" w:hAnsi="Times New Roman" w:cs="Times New Roman"/>
        </w:rPr>
        <w:t xml:space="preserve"> part of that case study, participants noted </w:t>
      </w:r>
      <w:r w:rsidR="002320AB" w:rsidRPr="00004886">
        <w:rPr>
          <w:rFonts w:ascii="Times New Roman" w:hAnsi="Times New Roman" w:cs="Times New Roman"/>
        </w:rPr>
        <w:t>reluctance</w:t>
      </w:r>
      <w:r w:rsidRPr="00004886">
        <w:rPr>
          <w:rFonts w:ascii="Times New Roman" w:hAnsi="Times New Roman" w:cs="Times New Roman"/>
        </w:rPr>
        <w:t xml:space="preserve"> on the part of some charities</w:t>
      </w:r>
      <w:r w:rsidR="00225B8C" w:rsidRPr="00004886">
        <w:rPr>
          <w:rFonts w:ascii="Times New Roman" w:hAnsi="Times New Roman" w:cs="Times New Roman"/>
        </w:rPr>
        <w:t xml:space="preserve"> providing women-only services </w:t>
      </w:r>
      <w:r w:rsidRPr="00004886">
        <w:rPr>
          <w:rFonts w:ascii="Times New Roman" w:hAnsi="Times New Roman" w:cs="Times New Roman"/>
        </w:rPr>
        <w:t xml:space="preserve">to </w:t>
      </w:r>
      <w:r w:rsidR="00225B8C" w:rsidRPr="00004886">
        <w:rPr>
          <w:rFonts w:ascii="Times New Roman" w:hAnsi="Times New Roman" w:cs="Times New Roman"/>
        </w:rPr>
        <w:t>allow access</w:t>
      </w:r>
      <w:r w:rsidRPr="00004886">
        <w:rPr>
          <w:rFonts w:ascii="Times New Roman" w:hAnsi="Times New Roman" w:cs="Times New Roman"/>
        </w:rPr>
        <w:t xml:space="preserve"> to </w:t>
      </w:r>
      <w:r w:rsidR="007666F0">
        <w:rPr>
          <w:rFonts w:ascii="Times New Roman" w:hAnsi="Times New Roman" w:cs="Times New Roman"/>
        </w:rPr>
        <w:t>transgender</w:t>
      </w:r>
      <w:r w:rsidRPr="00004886">
        <w:rPr>
          <w:rFonts w:ascii="Times New Roman" w:hAnsi="Times New Roman" w:cs="Times New Roman"/>
        </w:rPr>
        <w:t xml:space="preserve"> women. </w:t>
      </w:r>
      <w:r w:rsidR="00AF2CA5">
        <w:rPr>
          <w:rFonts w:ascii="Times New Roman" w:hAnsi="Times New Roman" w:cs="Times New Roman"/>
        </w:rPr>
        <w:t>In the years since the report for the study was written the issue of transgender rights has become a frontline social debate. T</w:t>
      </w:r>
      <w:r w:rsidR="008A4888" w:rsidRPr="00004886">
        <w:rPr>
          <w:rFonts w:ascii="Times New Roman" w:hAnsi="Times New Roman" w:cs="Times New Roman"/>
        </w:rPr>
        <w:t xml:space="preserve">he 2016 Miller Enquiry into transgender equality and a consultation in 2018 on proposed changes to amend the Gender Recognition Act to allow for self-identification have further highlighted the extent of </w:t>
      </w:r>
      <w:r w:rsidR="00225B8C" w:rsidRPr="00004886">
        <w:rPr>
          <w:rFonts w:ascii="Times New Roman" w:hAnsi="Times New Roman" w:cs="Times New Roman"/>
        </w:rPr>
        <w:t xml:space="preserve">the confusion about what is lawful under the </w:t>
      </w:r>
      <w:r w:rsidR="006A0739" w:rsidRPr="00004886">
        <w:rPr>
          <w:rFonts w:ascii="Times New Roman" w:hAnsi="Times New Roman" w:cs="Times New Roman"/>
        </w:rPr>
        <w:t>Equality Act</w:t>
      </w:r>
      <w:r w:rsidR="00225B8C" w:rsidRPr="00004886">
        <w:rPr>
          <w:rFonts w:ascii="Times New Roman" w:hAnsi="Times New Roman" w:cs="Times New Roman"/>
        </w:rPr>
        <w:t xml:space="preserve"> and </w:t>
      </w:r>
      <w:r w:rsidR="008A4888" w:rsidRPr="00004886">
        <w:rPr>
          <w:rFonts w:ascii="Times New Roman" w:hAnsi="Times New Roman" w:cs="Times New Roman"/>
        </w:rPr>
        <w:t xml:space="preserve">the concern among </w:t>
      </w:r>
      <w:r w:rsidR="00F61026">
        <w:rPr>
          <w:rFonts w:ascii="Times New Roman" w:hAnsi="Times New Roman" w:cs="Times New Roman"/>
        </w:rPr>
        <w:t>some</w:t>
      </w:r>
      <w:r w:rsidR="008A4888" w:rsidRPr="00004886">
        <w:rPr>
          <w:rFonts w:ascii="Times New Roman" w:hAnsi="Times New Roman" w:cs="Times New Roman"/>
        </w:rPr>
        <w:t xml:space="preserve"> charities</w:t>
      </w:r>
      <w:r w:rsidR="00F61026">
        <w:rPr>
          <w:rFonts w:ascii="Times New Roman" w:hAnsi="Times New Roman" w:cs="Times New Roman"/>
        </w:rPr>
        <w:t xml:space="preserve"> providing single sex services</w:t>
      </w:r>
      <w:r w:rsidR="008A4888" w:rsidRPr="00004886">
        <w:rPr>
          <w:rFonts w:ascii="Times New Roman" w:hAnsi="Times New Roman" w:cs="Times New Roman"/>
        </w:rPr>
        <w:t xml:space="preserve"> about this issue. </w:t>
      </w:r>
      <w:r w:rsidR="00EB04B1">
        <w:rPr>
          <w:rFonts w:ascii="Times New Roman" w:hAnsi="Times New Roman" w:cs="Times New Roman"/>
        </w:rPr>
        <w:t xml:space="preserve">The results of that study showed that further doctrinal investigation is essential to come to grips with this difficult issue, </w:t>
      </w:r>
      <w:r w:rsidR="00337DD9">
        <w:rPr>
          <w:rFonts w:ascii="Times New Roman" w:hAnsi="Times New Roman" w:cs="Times New Roman"/>
        </w:rPr>
        <w:t>as is further evidenced by the current heated debate. T</w:t>
      </w:r>
      <w:r w:rsidR="00EB04B1">
        <w:rPr>
          <w:rFonts w:ascii="Times New Roman" w:hAnsi="Times New Roman" w:cs="Times New Roman"/>
        </w:rPr>
        <w:t xml:space="preserve">his chapter supplies that </w:t>
      </w:r>
      <w:r w:rsidR="007666F0">
        <w:rPr>
          <w:rFonts w:ascii="Times New Roman" w:hAnsi="Times New Roman" w:cs="Times New Roman"/>
        </w:rPr>
        <w:t>doctrinal investigation, rather than a presentation of study findings.</w:t>
      </w:r>
    </w:p>
    <w:p w14:paraId="750F84D6" w14:textId="77777777" w:rsidR="00337DD9" w:rsidRPr="00004886" w:rsidRDefault="00337DD9" w:rsidP="00EB04B1">
      <w:pPr>
        <w:spacing w:line="480" w:lineRule="auto"/>
        <w:ind w:firstLine="720"/>
        <w:rPr>
          <w:rFonts w:ascii="Times New Roman" w:hAnsi="Times New Roman" w:cs="Times New Roman"/>
        </w:rPr>
      </w:pPr>
    </w:p>
    <w:p w14:paraId="2A9E3FE7" w14:textId="07E5C074" w:rsidR="00F61026" w:rsidRDefault="008A4888" w:rsidP="00F61026">
      <w:pPr>
        <w:spacing w:line="480" w:lineRule="auto"/>
        <w:ind w:firstLine="567"/>
        <w:rPr>
          <w:rFonts w:ascii="Times New Roman" w:hAnsi="Times New Roman" w:cs="Times New Roman"/>
        </w:rPr>
      </w:pPr>
      <w:r w:rsidRPr="00004886">
        <w:rPr>
          <w:rFonts w:ascii="Times New Roman" w:hAnsi="Times New Roman" w:cs="Times New Roman"/>
        </w:rPr>
        <w:t xml:space="preserve">The case of </w:t>
      </w:r>
      <w:r w:rsidR="007666F0">
        <w:rPr>
          <w:rFonts w:ascii="Times New Roman" w:hAnsi="Times New Roman" w:cs="Times New Roman"/>
        </w:rPr>
        <w:t>trans</w:t>
      </w:r>
      <w:r w:rsidR="00B53A1C">
        <w:rPr>
          <w:rFonts w:ascii="Times New Roman" w:hAnsi="Times New Roman" w:cs="Times New Roman"/>
        </w:rPr>
        <w:t xml:space="preserve">gender </w:t>
      </w:r>
      <w:r w:rsidR="00AF2CA5" w:rsidRPr="00004886">
        <w:rPr>
          <w:rFonts w:ascii="Times New Roman" w:hAnsi="Times New Roman" w:cs="Times New Roman"/>
        </w:rPr>
        <w:t>women</w:t>
      </w:r>
      <w:r w:rsidR="00AF2CA5">
        <w:rPr>
          <w:rFonts w:ascii="Times New Roman" w:hAnsi="Times New Roman" w:cs="Times New Roman"/>
        </w:rPr>
        <w:t xml:space="preserve"> and access to single-sex services </w:t>
      </w:r>
      <w:r w:rsidRPr="00004886">
        <w:rPr>
          <w:rFonts w:ascii="Times New Roman" w:hAnsi="Times New Roman" w:cs="Times New Roman"/>
        </w:rPr>
        <w:t xml:space="preserve">is illustrative of the thorny issues that can present when there is a clash of rights between two protected characteristics under the </w:t>
      </w:r>
      <w:r w:rsidR="006A0739" w:rsidRPr="00004886">
        <w:rPr>
          <w:rFonts w:ascii="Times New Roman" w:hAnsi="Times New Roman" w:cs="Times New Roman"/>
        </w:rPr>
        <w:t>Equality Act</w:t>
      </w:r>
      <w:r w:rsidRPr="00004886">
        <w:rPr>
          <w:rFonts w:ascii="Times New Roman" w:hAnsi="Times New Roman" w:cs="Times New Roman"/>
        </w:rPr>
        <w:t xml:space="preserve">. </w:t>
      </w:r>
      <w:r w:rsidR="00F61026" w:rsidRPr="00004886">
        <w:rPr>
          <w:rFonts w:ascii="Times New Roman" w:hAnsi="Times New Roman" w:cs="Times New Roman"/>
        </w:rPr>
        <w:t xml:space="preserve">This idea </w:t>
      </w:r>
      <w:r w:rsidR="00F61026">
        <w:rPr>
          <w:rFonts w:ascii="Times New Roman" w:hAnsi="Times New Roman" w:cs="Times New Roman"/>
        </w:rPr>
        <w:t>is often</w:t>
      </w:r>
      <w:r w:rsidR="00F61026" w:rsidRPr="00004886">
        <w:rPr>
          <w:rFonts w:ascii="Times New Roman" w:hAnsi="Times New Roman" w:cs="Times New Roman"/>
        </w:rPr>
        <w:t xml:space="preserve"> expressed as a hierarchy of rights. We can clearly perceive a hierarchy of rights in European Union antidiscrimination law, when we consider the scope of the protections afforded under the various directives. The Race Equality Directive</w:t>
      </w:r>
      <w:r w:rsidR="00F61026" w:rsidRPr="00004886">
        <w:rPr>
          <w:rStyle w:val="FootnoteReference"/>
          <w:rFonts w:ascii="Times New Roman" w:hAnsi="Times New Roman" w:cs="Times New Roman"/>
        </w:rPr>
        <w:footnoteReference w:id="22"/>
      </w:r>
      <w:r w:rsidR="00F61026" w:rsidRPr="00004886">
        <w:rPr>
          <w:rFonts w:ascii="Times New Roman" w:hAnsi="Times New Roman" w:cs="Times New Roman"/>
        </w:rPr>
        <w:t xml:space="preserve"> prohibits discrimination on the grounds of race or ethnic origin </w:t>
      </w:r>
      <w:r w:rsidR="00F61026" w:rsidRPr="00004886">
        <w:rPr>
          <w:rFonts w:ascii="Times New Roman" w:hAnsi="Times New Roman" w:cs="Times New Roman"/>
        </w:rPr>
        <w:lastRenderedPageBreak/>
        <w:t>across a broad range of areas, including education. Various EU Directives covering sex discrimination and equal treatment of men and women in work,</w:t>
      </w:r>
      <w:r w:rsidR="00F61026" w:rsidRPr="00004886">
        <w:rPr>
          <w:rStyle w:val="FootnoteReference"/>
          <w:rFonts w:ascii="Times New Roman" w:hAnsi="Times New Roman" w:cs="Times New Roman"/>
        </w:rPr>
        <w:footnoteReference w:id="23"/>
      </w:r>
      <w:r w:rsidR="00F61026" w:rsidRPr="00004886">
        <w:rPr>
          <w:rFonts w:ascii="Times New Roman" w:hAnsi="Times New Roman" w:cs="Times New Roman"/>
        </w:rPr>
        <w:t xml:space="preserve"> national social security systems,</w:t>
      </w:r>
      <w:r w:rsidR="00F61026" w:rsidRPr="00004886">
        <w:rPr>
          <w:rStyle w:val="FootnoteReference"/>
          <w:rFonts w:ascii="Times New Roman" w:hAnsi="Times New Roman" w:cs="Times New Roman"/>
        </w:rPr>
        <w:footnoteReference w:id="24"/>
      </w:r>
      <w:r w:rsidR="00F61026" w:rsidRPr="00004886">
        <w:rPr>
          <w:rFonts w:ascii="Times New Roman" w:hAnsi="Times New Roman" w:cs="Times New Roman"/>
        </w:rPr>
        <w:t xml:space="preserve"> provision of goods and services</w:t>
      </w:r>
      <w:r w:rsidR="00F61026" w:rsidRPr="00004886">
        <w:rPr>
          <w:rStyle w:val="FootnoteReference"/>
          <w:rFonts w:ascii="Times New Roman" w:hAnsi="Times New Roman" w:cs="Times New Roman"/>
        </w:rPr>
        <w:footnoteReference w:id="25"/>
      </w:r>
      <w:r w:rsidR="00F61026" w:rsidRPr="00004886">
        <w:rPr>
          <w:rFonts w:ascii="Times New Roman" w:hAnsi="Times New Roman" w:cs="Times New Roman"/>
        </w:rPr>
        <w:t xml:space="preserve"> and pregnancy</w:t>
      </w:r>
      <w:r w:rsidR="00F61026" w:rsidRPr="00004886">
        <w:rPr>
          <w:rStyle w:val="FootnoteReference"/>
          <w:rFonts w:ascii="Times New Roman" w:hAnsi="Times New Roman" w:cs="Times New Roman"/>
        </w:rPr>
        <w:footnoteReference w:id="26"/>
      </w:r>
      <w:r w:rsidR="00F61026" w:rsidRPr="00004886">
        <w:rPr>
          <w:rFonts w:ascii="Times New Roman" w:hAnsi="Times New Roman" w:cs="Times New Roman"/>
        </w:rPr>
        <w:t xml:space="preserve"> and parental leave</w:t>
      </w:r>
      <w:r w:rsidR="00F61026" w:rsidRPr="00004886">
        <w:rPr>
          <w:rStyle w:val="FootnoteReference"/>
          <w:rFonts w:ascii="Times New Roman" w:hAnsi="Times New Roman" w:cs="Times New Roman"/>
        </w:rPr>
        <w:footnoteReference w:id="27"/>
      </w:r>
      <w:r w:rsidR="00F61026" w:rsidRPr="00004886">
        <w:rPr>
          <w:rFonts w:ascii="Times New Roman" w:hAnsi="Times New Roman" w:cs="Times New Roman"/>
        </w:rPr>
        <w:t xml:space="preserve"> offer the next level of protection in the hierarchy but do not cover education. </w:t>
      </w:r>
      <w:r w:rsidR="005C48B9">
        <w:rPr>
          <w:rFonts w:ascii="Times New Roman" w:hAnsi="Times New Roman" w:cs="Times New Roman"/>
        </w:rPr>
        <w:t>D</w:t>
      </w:r>
      <w:r w:rsidR="005C48B9" w:rsidRPr="00004886">
        <w:rPr>
          <w:rFonts w:ascii="Times New Roman" w:hAnsi="Times New Roman" w:cs="Times New Roman"/>
        </w:rPr>
        <w:t xml:space="preserve">iscrimination based upon transgender </w:t>
      </w:r>
      <w:r w:rsidR="00337DD9">
        <w:rPr>
          <w:rFonts w:ascii="Times New Roman" w:hAnsi="Times New Roman" w:cs="Times New Roman"/>
        </w:rPr>
        <w:t xml:space="preserve">status </w:t>
      </w:r>
      <w:r w:rsidR="005C48B9" w:rsidRPr="00004886">
        <w:rPr>
          <w:rFonts w:ascii="Times New Roman" w:hAnsi="Times New Roman" w:cs="Times New Roman"/>
        </w:rPr>
        <w:t>has been held to be discrimination based upon sex by the CJEU</w:t>
      </w:r>
      <w:r w:rsidR="005C48B9">
        <w:rPr>
          <w:rFonts w:ascii="Times New Roman" w:hAnsi="Times New Roman" w:cs="Times New Roman"/>
        </w:rPr>
        <w:t xml:space="preserve"> and thus the protections against sex discrimination extend to transgender discrimination</w:t>
      </w:r>
      <w:r w:rsidR="005C48B9" w:rsidRPr="00004886">
        <w:rPr>
          <w:rFonts w:ascii="Times New Roman" w:hAnsi="Times New Roman" w:cs="Times New Roman"/>
        </w:rPr>
        <w:t>.</w:t>
      </w:r>
      <w:r w:rsidR="005C48B9" w:rsidRPr="00004886">
        <w:rPr>
          <w:rStyle w:val="FootnoteReference"/>
          <w:rFonts w:ascii="Times New Roman" w:hAnsi="Times New Roman" w:cs="Times New Roman"/>
        </w:rPr>
        <w:footnoteReference w:id="28"/>
      </w:r>
      <w:r w:rsidR="005C48B9">
        <w:rPr>
          <w:rFonts w:ascii="Times New Roman" w:hAnsi="Times New Roman" w:cs="Times New Roman"/>
        </w:rPr>
        <w:t xml:space="preserve"> </w:t>
      </w:r>
      <w:r w:rsidR="00F61026" w:rsidRPr="00004886">
        <w:rPr>
          <w:rFonts w:ascii="Times New Roman" w:hAnsi="Times New Roman" w:cs="Times New Roman"/>
        </w:rPr>
        <w:t>The Framework Directive</w:t>
      </w:r>
      <w:r w:rsidR="00F61026" w:rsidRPr="00004886">
        <w:rPr>
          <w:rStyle w:val="FootnoteReference"/>
          <w:rFonts w:ascii="Times New Roman" w:hAnsi="Times New Roman" w:cs="Times New Roman"/>
        </w:rPr>
        <w:footnoteReference w:id="29"/>
      </w:r>
      <w:r w:rsidR="00F61026" w:rsidRPr="00004886">
        <w:rPr>
          <w:rFonts w:ascii="Times New Roman" w:hAnsi="Times New Roman" w:cs="Times New Roman"/>
        </w:rPr>
        <w:t xml:space="preserve"> prohibits discrimination against people on grounds of disability, religion or belief, sexual orientation and age in employment. These last characteristics are therefore offered a lower level of protection than either race or sex. </w:t>
      </w:r>
      <w:r w:rsidR="005C48B9">
        <w:rPr>
          <w:rFonts w:ascii="Times New Roman" w:hAnsi="Times New Roman" w:cs="Times New Roman"/>
        </w:rPr>
        <w:t xml:space="preserve">Unlike this visible hierarchy in European anti-discrimination law, </w:t>
      </w:r>
      <w:r w:rsidR="00F61026">
        <w:rPr>
          <w:rFonts w:ascii="Times New Roman" w:hAnsi="Times New Roman" w:cs="Times New Roman"/>
        </w:rPr>
        <w:t xml:space="preserve">the Equality Act </w:t>
      </w:r>
      <w:r w:rsidR="007666F0">
        <w:rPr>
          <w:rFonts w:ascii="Times New Roman" w:hAnsi="Times New Roman" w:cs="Times New Roman"/>
        </w:rPr>
        <w:t>for the most part offers ostensibly the same protection to</w:t>
      </w:r>
      <w:r w:rsidR="00F61026">
        <w:rPr>
          <w:rFonts w:ascii="Times New Roman" w:hAnsi="Times New Roman" w:cs="Times New Roman"/>
        </w:rPr>
        <w:t xml:space="preserve"> the same protected characteristics for the same situations, such as employment, or the provision of goods and services</w:t>
      </w:r>
      <w:r w:rsidR="005C48B9">
        <w:rPr>
          <w:rFonts w:ascii="Times New Roman" w:hAnsi="Times New Roman" w:cs="Times New Roman"/>
        </w:rPr>
        <w:t xml:space="preserve">. </w:t>
      </w:r>
      <w:r w:rsidR="007666F0">
        <w:rPr>
          <w:rFonts w:ascii="Times New Roman" w:hAnsi="Times New Roman" w:cs="Times New Roman"/>
        </w:rPr>
        <w:t xml:space="preserve">Domestic law thus offers more protection than the EU antidiscrimination law, </w:t>
      </w:r>
      <w:r w:rsidR="005C48B9">
        <w:rPr>
          <w:rFonts w:ascii="Times New Roman" w:hAnsi="Times New Roman" w:cs="Times New Roman"/>
        </w:rPr>
        <w:t xml:space="preserve">in some situations, </w:t>
      </w:r>
      <w:r w:rsidR="00337DD9">
        <w:rPr>
          <w:rFonts w:ascii="Times New Roman" w:hAnsi="Times New Roman" w:cs="Times New Roman"/>
        </w:rPr>
        <w:t xml:space="preserve">because there is no </w:t>
      </w:r>
      <w:r w:rsidR="00D216A4">
        <w:rPr>
          <w:rFonts w:ascii="Times New Roman" w:hAnsi="Times New Roman" w:cs="Times New Roman"/>
        </w:rPr>
        <w:t xml:space="preserve">explicit </w:t>
      </w:r>
      <w:r w:rsidR="00337DD9">
        <w:rPr>
          <w:rFonts w:ascii="Times New Roman" w:hAnsi="Times New Roman" w:cs="Times New Roman"/>
        </w:rPr>
        <w:t xml:space="preserve">hierarchy </w:t>
      </w:r>
      <w:r w:rsidR="00D216A4">
        <w:rPr>
          <w:rFonts w:ascii="Times New Roman" w:hAnsi="Times New Roman" w:cs="Times New Roman"/>
        </w:rPr>
        <w:t>of protection</w:t>
      </w:r>
      <w:r w:rsidR="00337DD9">
        <w:rPr>
          <w:rFonts w:ascii="Times New Roman" w:hAnsi="Times New Roman" w:cs="Times New Roman"/>
        </w:rPr>
        <w:t>. I</w:t>
      </w:r>
      <w:r w:rsidR="005C48B9">
        <w:rPr>
          <w:rFonts w:ascii="Times New Roman" w:hAnsi="Times New Roman" w:cs="Times New Roman"/>
        </w:rPr>
        <w:t>t is difficult</w:t>
      </w:r>
      <w:r w:rsidR="00337DD9">
        <w:rPr>
          <w:rFonts w:ascii="Times New Roman" w:hAnsi="Times New Roman" w:cs="Times New Roman"/>
        </w:rPr>
        <w:t>, however,</w:t>
      </w:r>
      <w:r w:rsidR="005C48B9">
        <w:rPr>
          <w:rFonts w:ascii="Times New Roman" w:hAnsi="Times New Roman" w:cs="Times New Roman"/>
        </w:rPr>
        <w:t xml:space="preserve"> to weigh up which rights to privilege when those of two protected characteristics come into opposition</w:t>
      </w:r>
      <w:r w:rsidR="007666F0">
        <w:rPr>
          <w:rFonts w:ascii="Times New Roman" w:hAnsi="Times New Roman" w:cs="Times New Roman"/>
        </w:rPr>
        <w:t>.</w:t>
      </w:r>
    </w:p>
    <w:p w14:paraId="23F46C60" w14:textId="77777777" w:rsidR="00337DD9" w:rsidRDefault="00337DD9" w:rsidP="00F61026">
      <w:pPr>
        <w:spacing w:line="480" w:lineRule="auto"/>
        <w:ind w:firstLine="567"/>
        <w:rPr>
          <w:rFonts w:ascii="Times New Roman" w:hAnsi="Times New Roman" w:cs="Times New Roman"/>
        </w:rPr>
      </w:pPr>
    </w:p>
    <w:p w14:paraId="0DD5C2B6" w14:textId="639CD9FF" w:rsidR="00C0560D" w:rsidRDefault="00337DD9" w:rsidP="00F61026">
      <w:pPr>
        <w:spacing w:line="480" w:lineRule="auto"/>
        <w:ind w:firstLine="567"/>
        <w:rPr>
          <w:rFonts w:ascii="Times New Roman" w:hAnsi="Times New Roman" w:cs="Times New Roman"/>
        </w:rPr>
      </w:pPr>
      <w:r>
        <w:rPr>
          <w:rFonts w:ascii="Times New Roman" w:hAnsi="Times New Roman" w:cs="Times New Roman"/>
        </w:rPr>
        <w:t>C</w:t>
      </w:r>
      <w:r w:rsidR="008A4888" w:rsidRPr="00004886">
        <w:rPr>
          <w:rFonts w:ascii="Times New Roman" w:hAnsi="Times New Roman" w:cs="Times New Roman"/>
        </w:rPr>
        <w:t>onflict arise</w:t>
      </w:r>
      <w:r>
        <w:rPr>
          <w:rFonts w:ascii="Times New Roman" w:hAnsi="Times New Roman" w:cs="Times New Roman"/>
        </w:rPr>
        <w:t>s</w:t>
      </w:r>
      <w:r w:rsidR="008A4888" w:rsidRPr="00004886">
        <w:rPr>
          <w:rFonts w:ascii="Times New Roman" w:hAnsi="Times New Roman" w:cs="Times New Roman"/>
        </w:rPr>
        <w:t xml:space="preserve"> between charity and equality law</w:t>
      </w:r>
      <w:r w:rsidR="00F61026">
        <w:rPr>
          <w:rFonts w:ascii="Times New Roman" w:hAnsi="Times New Roman" w:cs="Times New Roman"/>
        </w:rPr>
        <w:t>,</w:t>
      </w:r>
      <w:r>
        <w:rPr>
          <w:rFonts w:ascii="Times New Roman" w:hAnsi="Times New Roman" w:cs="Times New Roman"/>
        </w:rPr>
        <w:t xml:space="preserve"> and</w:t>
      </w:r>
      <w:r w:rsidR="00F61026">
        <w:rPr>
          <w:rFonts w:ascii="Times New Roman" w:hAnsi="Times New Roman" w:cs="Times New Roman"/>
        </w:rPr>
        <w:t xml:space="preserve"> </w:t>
      </w:r>
      <w:r>
        <w:rPr>
          <w:rFonts w:ascii="Times New Roman" w:hAnsi="Times New Roman" w:cs="Times New Roman"/>
        </w:rPr>
        <w:t>it is</w:t>
      </w:r>
      <w:r w:rsidR="00F61026">
        <w:rPr>
          <w:rFonts w:ascii="Times New Roman" w:hAnsi="Times New Roman" w:cs="Times New Roman"/>
        </w:rPr>
        <w:t xml:space="preserve"> difficult for charities and their beneficiaries to navigate</w:t>
      </w:r>
      <w:r>
        <w:rPr>
          <w:rFonts w:ascii="Times New Roman" w:hAnsi="Times New Roman" w:cs="Times New Roman"/>
        </w:rPr>
        <w:t xml:space="preserve"> this legally complex area</w:t>
      </w:r>
      <w:r w:rsidR="008A4888" w:rsidRPr="00004886">
        <w:rPr>
          <w:rFonts w:ascii="Times New Roman" w:hAnsi="Times New Roman" w:cs="Times New Roman"/>
        </w:rPr>
        <w:t xml:space="preserve">. </w:t>
      </w:r>
      <w:r>
        <w:rPr>
          <w:rFonts w:ascii="Times New Roman" w:hAnsi="Times New Roman" w:cs="Times New Roman"/>
        </w:rPr>
        <w:t xml:space="preserve">This chapter presents a case study to illustrate this conflict. </w:t>
      </w:r>
      <w:r w:rsidR="00F85397" w:rsidRPr="00004886">
        <w:rPr>
          <w:rFonts w:ascii="Times New Roman" w:hAnsi="Times New Roman" w:cs="Times New Roman"/>
        </w:rPr>
        <w:t>I</w:t>
      </w:r>
      <w:r w:rsidR="00C0560D" w:rsidRPr="00004886">
        <w:rPr>
          <w:rFonts w:ascii="Times New Roman" w:hAnsi="Times New Roman" w:cs="Times New Roman"/>
        </w:rPr>
        <w:t xml:space="preserve"> will consider the legal position of a hypothetical charity that </w:t>
      </w:r>
      <w:r w:rsidR="00040C1D" w:rsidRPr="00004886">
        <w:rPr>
          <w:rFonts w:ascii="Times New Roman" w:hAnsi="Times New Roman" w:cs="Times New Roman"/>
        </w:rPr>
        <w:t xml:space="preserve">provides counselling services to domestic abuse survivors, a general charitable purpose under the </w:t>
      </w:r>
      <w:r w:rsidR="00040C1D" w:rsidRPr="00004886">
        <w:rPr>
          <w:rFonts w:ascii="Times New Roman" w:hAnsi="Times New Roman" w:cs="Times New Roman"/>
        </w:rPr>
        <w:lastRenderedPageBreak/>
        <w:t>Charities Act 2011, s</w:t>
      </w:r>
      <w:r w:rsidR="00626E1E">
        <w:rPr>
          <w:rFonts w:ascii="Times New Roman" w:hAnsi="Times New Roman" w:cs="Times New Roman"/>
        </w:rPr>
        <w:t>s 3(</w:t>
      </w:r>
      <w:r w:rsidR="00040C1D" w:rsidRPr="00004886">
        <w:rPr>
          <w:rFonts w:ascii="Times New Roman" w:hAnsi="Times New Roman" w:cs="Times New Roman"/>
        </w:rPr>
        <w:t>1</w:t>
      </w:r>
      <w:r w:rsidR="00626E1E">
        <w:rPr>
          <w:rFonts w:ascii="Times New Roman" w:hAnsi="Times New Roman" w:cs="Times New Roman"/>
        </w:rPr>
        <w:t>)</w:t>
      </w:r>
      <w:r w:rsidR="00040C1D" w:rsidRPr="00004886">
        <w:rPr>
          <w:rFonts w:ascii="Times New Roman" w:hAnsi="Times New Roman" w:cs="Times New Roman"/>
        </w:rPr>
        <w:t>.</w:t>
      </w:r>
      <w:r w:rsidR="00F85397" w:rsidRPr="00004886">
        <w:rPr>
          <w:rStyle w:val="FootnoteReference"/>
          <w:rFonts w:ascii="Times New Roman" w:hAnsi="Times New Roman" w:cs="Times New Roman"/>
        </w:rPr>
        <w:footnoteReference w:id="30"/>
      </w:r>
      <w:r w:rsidR="00040C1D" w:rsidRPr="00004886">
        <w:rPr>
          <w:rFonts w:ascii="Times New Roman" w:hAnsi="Times New Roman" w:cs="Times New Roman"/>
        </w:rPr>
        <w:t xml:space="preserve"> </w:t>
      </w:r>
      <w:r w:rsidR="00626E1E">
        <w:rPr>
          <w:rFonts w:ascii="Times New Roman" w:hAnsi="Times New Roman" w:cs="Times New Roman"/>
        </w:rPr>
        <w:t>The hypothetical</w:t>
      </w:r>
      <w:r w:rsidR="00626E1E" w:rsidRPr="00004886">
        <w:rPr>
          <w:rFonts w:ascii="Times New Roman" w:hAnsi="Times New Roman" w:cs="Times New Roman"/>
        </w:rPr>
        <w:t xml:space="preserve"> </w:t>
      </w:r>
      <w:r w:rsidR="00040C1D" w:rsidRPr="00004886">
        <w:rPr>
          <w:rFonts w:ascii="Times New Roman" w:hAnsi="Times New Roman" w:cs="Times New Roman"/>
        </w:rPr>
        <w:t xml:space="preserve">charity </w:t>
      </w:r>
      <w:r w:rsidR="00C0560D" w:rsidRPr="00004886">
        <w:rPr>
          <w:rFonts w:ascii="Times New Roman" w:hAnsi="Times New Roman" w:cs="Times New Roman"/>
        </w:rPr>
        <w:t xml:space="preserve">wishes to restrict its services to </w:t>
      </w:r>
      <w:r w:rsidR="007666F0">
        <w:rPr>
          <w:rFonts w:ascii="Times New Roman" w:hAnsi="Times New Roman" w:cs="Times New Roman"/>
        </w:rPr>
        <w:t>cisgender</w:t>
      </w:r>
      <w:r w:rsidR="00C0560D" w:rsidRPr="00004886">
        <w:rPr>
          <w:rFonts w:ascii="Times New Roman" w:hAnsi="Times New Roman" w:cs="Times New Roman"/>
        </w:rPr>
        <w:t xml:space="preserve"> women</w:t>
      </w:r>
      <w:r w:rsidR="00040C1D" w:rsidRPr="00004886">
        <w:rPr>
          <w:rFonts w:ascii="Times New Roman" w:hAnsi="Times New Roman" w:cs="Times New Roman"/>
        </w:rPr>
        <w:t xml:space="preserve">, that is, women who identify in the gender to which they were </w:t>
      </w:r>
      <w:r w:rsidR="00193A76" w:rsidRPr="00004886">
        <w:rPr>
          <w:rFonts w:ascii="Times New Roman" w:hAnsi="Times New Roman" w:cs="Times New Roman"/>
        </w:rPr>
        <w:t>assigned at</w:t>
      </w:r>
      <w:r w:rsidR="00040C1D" w:rsidRPr="00004886">
        <w:rPr>
          <w:rFonts w:ascii="Times New Roman" w:hAnsi="Times New Roman" w:cs="Times New Roman"/>
        </w:rPr>
        <w:t xml:space="preserve"> birth, rather than </w:t>
      </w:r>
      <w:r w:rsidR="007666F0">
        <w:rPr>
          <w:rFonts w:ascii="Times New Roman" w:hAnsi="Times New Roman" w:cs="Times New Roman"/>
        </w:rPr>
        <w:t>trans</w:t>
      </w:r>
      <w:r w:rsidR="00626E1E">
        <w:rPr>
          <w:rFonts w:ascii="Times New Roman" w:hAnsi="Times New Roman" w:cs="Times New Roman"/>
        </w:rPr>
        <w:t xml:space="preserve">gender </w:t>
      </w:r>
      <w:r w:rsidR="00040C1D" w:rsidRPr="00004886">
        <w:rPr>
          <w:rFonts w:ascii="Times New Roman" w:hAnsi="Times New Roman" w:cs="Times New Roman"/>
        </w:rPr>
        <w:t>women.</w:t>
      </w:r>
      <w:r w:rsidR="00626E1E">
        <w:rPr>
          <w:rStyle w:val="FootnoteReference"/>
          <w:rFonts w:ascii="Times New Roman" w:hAnsi="Times New Roman" w:cs="Times New Roman"/>
        </w:rPr>
        <w:footnoteReference w:id="31"/>
      </w:r>
      <w:r w:rsidR="00040C1D" w:rsidRPr="00004886">
        <w:rPr>
          <w:rFonts w:ascii="Times New Roman" w:hAnsi="Times New Roman" w:cs="Times New Roman"/>
        </w:rPr>
        <w:t xml:space="preserve"> The analysis will evaluate the charity’s position under</w:t>
      </w:r>
      <w:r w:rsidR="00C0560D" w:rsidRPr="00004886">
        <w:rPr>
          <w:rFonts w:ascii="Times New Roman" w:hAnsi="Times New Roman" w:cs="Times New Roman"/>
        </w:rPr>
        <w:t xml:space="preserve"> the various mechanisms by which specific kinds of discrimination by charities </w:t>
      </w:r>
      <w:r w:rsidR="00895E3E" w:rsidRPr="00004886">
        <w:rPr>
          <w:rFonts w:ascii="Times New Roman" w:hAnsi="Times New Roman" w:cs="Times New Roman"/>
        </w:rPr>
        <w:t xml:space="preserve">and others </w:t>
      </w:r>
      <w:r w:rsidR="00C0560D" w:rsidRPr="00004886">
        <w:rPr>
          <w:rFonts w:ascii="Times New Roman" w:hAnsi="Times New Roman" w:cs="Times New Roman"/>
        </w:rPr>
        <w:t xml:space="preserve">can fall within exceptions to the prohibitions against discrimination in the provision of services under the </w:t>
      </w:r>
      <w:r w:rsidR="006A0739" w:rsidRPr="00004886">
        <w:rPr>
          <w:rFonts w:ascii="Times New Roman" w:hAnsi="Times New Roman" w:cs="Times New Roman"/>
        </w:rPr>
        <w:t>Equality Act</w:t>
      </w:r>
      <w:r w:rsidR="00C0560D" w:rsidRPr="00004886">
        <w:rPr>
          <w:rFonts w:ascii="Times New Roman" w:hAnsi="Times New Roman" w:cs="Times New Roman"/>
        </w:rPr>
        <w:t xml:space="preserve">.  </w:t>
      </w:r>
    </w:p>
    <w:p w14:paraId="1363F01E" w14:textId="77777777" w:rsidR="00D216A4" w:rsidRPr="00004886" w:rsidRDefault="00D216A4" w:rsidP="00F61026">
      <w:pPr>
        <w:spacing w:line="480" w:lineRule="auto"/>
        <w:ind w:firstLine="567"/>
        <w:rPr>
          <w:rFonts w:ascii="Times New Roman" w:hAnsi="Times New Roman" w:cs="Times New Roman"/>
        </w:rPr>
      </w:pPr>
    </w:p>
    <w:p w14:paraId="0895ECB0" w14:textId="74AC8C4D" w:rsidR="000702DC" w:rsidRPr="00004886" w:rsidRDefault="00C0560D" w:rsidP="00004886">
      <w:pPr>
        <w:spacing w:line="480" w:lineRule="auto"/>
        <w:ind w:firstLine="720"/>
        <w:rPr>
          <w:rFonts w:ascii="Times New Roman" w:hAnsi="Times New Roman" w:cs="Times New Roman"/>
        </w:rPr>
      </w:pPr>
      <w:r w:rsidRPr="00004886">
        <w:rPr>
          <w:rFonts w:ascii="Times New Roman" w:hAnsi="Times New Roman" w:cs="Times New Roman"/>
        </w:rPr>
        <w:t>This case study also</w:t>
      </w:r>
      <w:r w:rsidR="008A4888" w:rsidRPr="00004886">
        <w:rPr>
          <w:rFonts w:ascii="Times New Roman" w:hAnsi="Times New Roman" w:cs="Times New Roman"/>
        </w:rPr>
        <w:t xml:space="preserve"> raises issues about the br</w:t>
      </w:r>
      <w:r w:rsidRPr="00004886">
        <w:rPr>
          <w:rFonts w:ascii="Times New Roman" w:hAnsi="Times New Roman" w:cs="Times New Roman"/>
        </w:rPr>
        <w:t>oader justifications for charitable discrimination</w:t>
      </w:r>
      <w:r w:rsidR="008A4888" w:rsidRPr="00004886">
        <w:rPr>
          <w:rFonts w:ascii="Times New Roman" w:hAnsi="Times New Roman" w:cs="Times New Roman"/>
        </w:rPr>
        <w:t xml:space="preserve"> more generally. When does the discrimination that is endemic but permissible and understandable for charities </w:t>
      </w:r>
      <w:r w:rsidR="00A859E9">
        <w:rPr>
          <w:rFonts w:ascii="Times New Roman" w:hAnsi="Times New Roman" w:cs="Times New Roman"/>
        </w:rPr>
        <w:t>(</w:t>
      </w:r>
      <w:r w:rsidR="008A4888" w:rsidRPr="00004886">
        <w:rPr>
          <w:rFonts w:ascii="Times New Roman" w:hAnsi="Times New Roman" w:cs="Times New Roman"/>
        </w:rPr>
        <w:t>what I have termed discrimination but which others might call specialisation</w:t>
      </w:r>
      <w:r w:rsidR="00A859E9">
        <w:rPr>
          <w:rFonts w:ascii="Times New Roman" w:hAnsi="Times New Roman" w:cs="Times New Roman"/>
        </w:rPr>
        <w:t>)</w:t>
      </w:r>
      <w:r w:rsidR="008A4888" w:rsidRPr="00004886">
        <w:rPr>
          <w:rFonts w:ascii="Times New Roman" w:hAnsi="Times New Roman" w:cs="Times New Roman"/>
        </w:rPr>
        <w:t xml:space="preserve"> become ‘real’ discrimination? There must be a point on the spectrum of discrimination when we can no longer be satisfied that charities engaging in these activities can </w:t>
      </w:r>
      <w:r w:rsidR="00225B8C" w:rsidRPr="00004886">
        <w:rPr>
          <w:rFonts w:ascii="Times New Roman" w:hAnsi="Times New Roman" w:cs="Times New Roman"/>
        </w:rPr>
        <w:t>meet</w:t>
      </w:r>
      <w:r w:rsidR="008A4888" w:rsidRPr="00004886">
        <w:rPr>
          <w:rFonts w:ascii="Times New Roman" w:hAnsi="Times New Roman" w:cs="Times New Roman"/>
        </w:rPr>
        <w:t xml:space="preserve"> the public benefit test. </w:t>
      </w:r>
    </w:p>
    <w:p w14:paraId="532CDA33" w14:textId="77777777" w:rsidR="00162B68" w:rsidRPr="00004886" w:rsidRDefault="00162B68" w:rsidP="00004886">
      <w:pPr>
        <w:spacing w:line="480" w:lineRule="auto"/>
        <w:rPr>
          <w:rFonts w:ascii="Times New Roman" w:hAnsi="Times New Roman" w:cs="Times New Roman"/>
        </w:rPr>
      </w:pPr>
    </w:p>
    <w:p w14:paraId="4D141136" w14:textId="3A0DD53F" w:rsidR="00F85397" w:rsidRPr="00004886" w:rsidRDefault="00026A07" w:rsidP="00004886">
      <w:pPr>
        <w:spacing w:line="480" w:lineRule="auto"/>
        <w:ind w:left="720" w:hanging="720"/>
        <w:rPr>
          <w:rFonts w:ascii="Times New Roman" w:hAnsi="Times New Roman" w:cs="Times New Roman"/>
          <w:b/>
        </w:rPr>
      </w:pPr>
      <w:r w:rsidRPr="00004886">
        <w:rPr>
          <w:rFonts w:ascii="Times New Roman" w:hAnsi="Times New Roman" w:cs="Times New Roman"/>
          <w:b/>
        </w:rPr>
        <w:t>I</w:t>
      </w:r>
      <w:r w:rsidR="007C6FF8" w:rsidRPr="00004886">
        <w:rPr>
          <w:rFonts w:ascii="Times New Roman" w:hAnsi="Times New Roman" w:cs="Times New Roman"/>
          <w:b/>
        </w:rPr>
        <w:t>I</w:t>
      </w:r>
      <w:r w:rsidRPr="00004886">
        <w:rPr>
          <w:rFonts w:ascii="Times New Roman" w:hAnsi="Times New Roman" w:cs="Times New Roman"/>
          <w:b/>
        </w:rPr>
        <w:t>I</w:t>
      </w:r>
      <w:r w:rsidRPr="00004886">
        <w:rPr>
          <w:rFonts w:ascii="Times New Roman" w:hAnsi="Times New Roman" w:cs="Times New Roman"/>
          <w:b/>
        </w:rPr>
        <w:tab/>
      </w:r>
      <w:r w:rsidR="00F85397" w:rsidRPr="00004886">
        <w:rPr>
          <w:rFonts w:ascii="Times New Roman" w:hAnsi="Times New Roman" w:cs="Times New Roman"/>
          <w:b/>
        </w:rPr>
        <w:t xml:space="preserve">Justifying Charitable Discrimination </w:t>
      </w:r>
    </w:p>
    <w:p w14:paraId="6F89FE12" w14:textId="77777777" w:rsidR="00614AAB" w:rsidRDefault="00614AAB" w:rsidP="00004886">
      <w:pPr>
        <w:spacing w:line="480" w:lineRule="auto"/>
        <w:rPr>
          <w:rFonts w:ascii="Times New Roman" w:hAnsi="Times New Roman" w:cs="Times New Roman"/>
        </w:rPr>
      </w:pPr>
    </w:p>
    <w:p w14:paraId="3FBAAA87" w14:textId="4D1E49D9" w:rsidR="009474A3" w:rsidRDefault="009474A3" w:rsidP="00004886">
      <w:pPr>
        <w:spacing w:line="480" w:lineRule="auto"/>
        <w:rPr>
          <w:rFonts w:ascii="Times New Roman" w:hAnsi="Times New Roman" w:cs="Times New Roman"/>
        </w:rPr>
      </w:pPr>
      <w:r w:rsidRPr="00004886">
        <w:rPr>
          <w:rFonts w:ascii="Times New Roman" w:hAnsi="Times New Roman" w:cs="Times New Roman"/>
        </w:rPr>
        <w:t xml:space="preserve">In the case of a hypothetical charity that wished to limit its services to </w:t>
      </w:r>
      <w:r w:rsidR="007666F0">
        <w:rPr>
          <w:rFonts w:ascii="Times New Roman" w:hAnsi="Times New Roman" w:cs="Times New Roman"/>
        </w:rPr>
        <w:t>cisgender</w:t>
      </w:r>
      <w:r w:rsidRPr="00004886">
        <w:rPr>
          <w:rFonts w:ascii="Times New Roman" w:hAnsi="Times New Roman" w:cs="Times New Roman"/>
        </w:rPr>
        <w:t xml:space="preserve"> women, and to exclude </w:t>
      </w:r>
      <w:r w:rsidR="007666F0">
        <w:rPr>
          <w:rFonts w:ascii="Times New Roman" w:hAnsi="Times New Roman" w:cs="Times New Roman"/>
        </w:rPr>
        <w:t>transgender</w:t>
      </w:r>
      <w:r w:rsidR="00614AAB">
        <w:rPr>
          <w:rFonts w:ascii="Times New Roman" w:hAnsi="Times New Roman" w:cs="Times New Roman"/>
        </w:rPr>
        <w:t xml:space="preserve"> women, </w:t>
      </w:r>
      <w:r w:rsidRPr="00004886">
        <w:rPr>
          <w:rFonts w:ascii="Times New Roman" w:hAnsi="Times New Roman" w:cs="Times New Roman"/>
        </w:rPr>
        <w:t>it is</w:t>
      </w:r>
      <w:r w:rsidR="00614AAB">
        <w:rPr>
          <w:rFonts w:ascii="Times New Roman" w:hAnsi="Times New Roman" w:cs="Times New Roman"/>
        </w:rPr>
        <w:t xml:space="preserve"> first</w:t>
      </w:r>
      <w:r w:rsidRPr="00004886">
        <w:rPr>
          <w:rFonts w:ascii="Times New Roman" w:hAnsi="Times New Roman" w:cs="Times New Roman"/>
        </w:rPr>
        <w:t xml:space="preserve"> necessary to establish if this is discrimination based upon a protected characteristic under the Equality Act. If it is discriminatory, the charity would then need to be able to justify this under an exception to the Equality Act. This might be possible under the so-called ‘ch</w:t>
      </w:r>
      <w:r w:rsidR="001C48FB">
        <w:rPr>
          <w:rFonts w:ascii="Times New Roman" w:hAnsi="Times New Roman" w:cs="Times New Roman"/>
        </w:rPr>
        <w:t xml:space="preserve">arities exception’ of s 193, </w:t>
      </w:r>
      <w:r w:rsidRPr="00004886">
        <w:rPr>
          <w:rFonts w:ascii="Times New Roman" w:hAnsi="Times New Roman" w:cs="Times New Roman"/>
        </w:rPr>
        <w:t>under the exception for separate or single sex services</w:t>
      </w:r>
      <w:r w:rsidR="001C48FB">
        <w:rPr>
          <w:rFonts w:ascii="Times New Roman" w:hAnsi="Times New Roman" w:cs="Times New Roman"/>
        </w:rPr>
        <w:t>, or potentially under positive action</w:t>
      </w:r>
      <w:r w:rsidRPr="00004886">
        <w:rPr>
          <w:rFonts w:ascii="Times New Roman" w:hAnsi="Times New Roman" w:cs="Times New Roman"/>
        </w:rPr>
        <w:t xml:space="preserve">. Each of these will be considered in </w:t>
      </w:r>
      <w:r w:rsidRPr="00004886">
        <w:rPr>
          <w:rFonts w:ascii="Times New Roman" w:hAnsi="Times New Roman" w:cs="Times New Roman"/>
        </w:rPr>
        <w:lastRenderedPageBreak/>
        <w:t>turn on behalf of our hypothetical charity.</w:t>
      </w:r>
      <w:r w:rsidR="00626E1E">
        <w:rPr>
          <w:rFonts w:ascii="Times New Roman" w:hAnsi="Times New Roman" w:cs="Times New Roman"/>
        </w:rPr>
        <w:t xml:space="preserve"> </w:t>
      </w:r>
      <w:r w:rsidR="00225BD6">
        <w:rPr>
          <w:rFonts w:ascii="Times New Roman" w:hAnsi="Times New Roman" w:cs="Times New Roman"/>
        </w:rPr>
        <w:t>This area</w:t>
      </w:r>
      <w:r w:rsidR="00626E1E">
        <w:rPr>
          <w:rFonts w:ascii="Times New Roman" w:hAnsi="Times New Roman" w:cs="Times New Roman"/>
        </w:rPr>
        <w:t xml:space="preserve"> is conceptually difficult because a number of different pieces of legislation interact in the consideration of the question. I will conclude that only under the exception for single sex services could this discrimination be justifiable under the Equality Act</w:t>
      </w:r>
      <w:r w:rsidR="00CB403D">
        <w:rPr>
          <w:rFonts w:ascii="Times New Roman" w:hAnsi="Times New Roman" w:cs="Times New Roman"/>
        </w:rPr>
        <w:t>,</w:t>
      </w:r>
      <w:r w:rsidR="00626E1E">
        <w:rPr>
          <w:rFonts w:ascii="Times New Roman" w:hAnsi="Times New Roman" w:cs="Times New Roman"/>
        </w:rPr>
        <w:t xml:space="preserve"> and even then </w:t>
      </w:r>
      <w:r w:rsidR="00CB403D">
        <w:rPr>
          <w:rFonts w:ascii="Times New Roman" w:hAnsi="Times New Roman" w:cs="Times New Roman"/>
        </w:rPr>
        <w:t xml:space="preserve">only </w:t>
      </w:r>
      <w:r w:rsidR="00626E1E">
        <w:rPr>
          <w:rFonts w:ascii="Times New Roman" w:hAnsi="Times New Roman" w:cs="Times New Roman"/>
        </w:rPr>
        <w:t>under a very limited set of circumstances.</w:t>
      </w:r>
    </w:p>
    <w:p w14:paraId="344E9596" w14:textId="77777777" w:rsidR="00614AAB" w:rsidRPr="00004886" w:rsidRDefault="00614AAB" w:rsidP="00004886">
      <w:pPr>
        <w:spacing w:line="480" w:lineRule="auto"/>
        <w:rPr>
          <w:rFonts w:ascii="Times New Roman" w:hAnsi="Times New Roman" w:cs="Times New Roman"/>
        </w:rPr>
      </w:pPr>
    </w:p>
    <w:p w14:paraId="0EEB067E" w14:textId="659975F4" w:rsidR="00866E6C" w:rsidRPr="00004886" w:rsidRDefault="00F85397" w:rsidP="00004886">
      <w:pPr>
        <w:spacing w:line="480" w:lineRule="auto"/>
        <w:ind w:left="720" w:hanging="720"/>
        <w:rPr>
          <w:rFonts w:ascii="Times New Roman" w:hAnsi="Times New Roman" w:cs="Times New Roman"/>
          <w:b/>
        </w:rPr>
      </w:pPr>
      <w:r w:rsidRPr="00004886">
        <w:rPr>
          <w:rFonts w:ascii="Times New Roman" w:hAnsi="Times New Roman" w:cs="Times New Roman"/>
          <w:b/>
        </w:rPr>
        <w:t>A</w:t>
      </w:r>
      <w:r w:rsidRPr="00004886">
        <w:rPr>
          <w:rFonts w:ascii="Times New Roman" w:hAnsi="Times New Roman" w:cs="Times New Roman"/>
          <w:b/>
        </w:rPr>
        <w:tab/>
      </w:r>
      <w:r w:rsidR="00823B93" w:rsidRPr="00004886">
        <w:rPr>
          <w:rFonts w:ascii="Times New Roman" w:hAnsi="Times New Roman" w:cs="Times New Roman"/>
          <w:b/>
        </w:rPr>
        <w:t xml:space="preserve">The protection </w:t>
      </w:r>
      <w:r w:rsidR="009474A3" w:rsidRPr="00004886">
        <w:rPr>
          <w:rFonts w:ascii="Times New Roman" w:hAnsi="Times New Roman" w:cs="Times New Roman"/>
          <w:b/>
        </w:rPr>
        <w:t>from</w:t>
      </w:r>
      <w:r w:rsidR="002479F5" w:rsidRPr="00004886">
        <w:rPr>
          <w:rFonts w:ascii="Times New Roman" w:hAnsi="Times New Roman" w:cs="Times New Roman"/>
          <w:b/>
        </w:rPr>
        <w:t xml:space="preserve"> discrimination</w:t>
      </w:r>
      <w:r w:rsidR="002402F6" w:rsidRPr="00004886">
        <w:rPr>
          <w:rFonts w:ascii="Times New Roman" w:hAnsi="Times New Roman" w:cs="Times New Roman"/>
          <w:b/>
        </w:rPr>
        <w:t xml:space="preserve"> based on </w:t>
      </w:r>
      <w:r w:rsidR="007666F0">
        <w:rPr>
          <w:rFonts w:ascii="Times New Roman" w:hAnsi="Times New Roman" w:cs="Times New Roman"/>
          <w:b/>
        </w:rPr>
        <w:t>transgender</w:t>
      </w:r>
      <w:r w:rsidR="002402F6" w:rsidRPr="00004886">
        <w:rPr>
          <w:rFonts w:ascii="Times New Roman" w:hAnsi="Times New Roman" w:cs="Times New Roman"/>
          <w:b/>
        </w:rPr>
        <w:t xml:space="preserve"> status</w:t>
      </w:r>
      <w:r w:rsidR="002479F5" w:rsidRPr="00004886">
        <w:rPr>
          <w:rFonts w:ascii="Times New Roman" w:hAnsi="Times New Roman" w:cs="Times New Roman"/>
          <w:b/>
        </w:rPr>
        <w:t xml:space="preserve"> in the delivery of goods and services </w:t>
      </w:r>
    </w:p>
    <w:p w14:paraId="3BA195F9" w14:textId="77777777" w:rsidR="00614AAB" w:rsidRDefault="00866E6C" w:rsidP="00004886">
      <w:pPr>
        <w:spacing w:line="480" w:lineRule="auto"/>
        <w:rPr>
          <w:rFonts w:ascii="Times New Roman" w:hAnsi="Times New Roman" w:cs="Times New Roman"/>
        </w:rPr>
      </w:pPr>
      <w:r w:rsidRPr="00004886">
        <w:rPr>
          <w:rFonts w:ascii="Times New Roman" w:hAnsi="Times New Roman" w:cs="Times New Roman"/>
        </w:rPr>
        <w:t xml:space="preserve"> </w:t>
      </w:r>
    </w:p>
    <w:p w14:paraId="5D0D189B" w14:textId="65D96249" w:rsidR="007F12C7" w:rsidRDefault="005C48B9" w:rsidP="00004886">
      <w:pPr>
        <w:spacing w:line="480" w:lineRule="auto"/>
        <w:rPr>
          <w:rFonts w:ascii="Times New Roman" w:hAnsi="Times New Roman" w:cs="Times New Roman"/>
        </w:rPr>
      </w:pPr>
      <w:r>
        <w:rPr>
          <w:rFonts w:ascii="Times New Roman" w:hAnsi="Times New Roman" w:cs="Times New Roman"/>
        </w:rPr>
        <w:t>O</w:t>
      </w:r>
      <w:r w:rsidRPr="00004886">
        <w:rPr>
          <w:rFonts w:ascii="Times New Roman" w:hAnsi="Times New Roman" w:cs="Times New Roman"/>
        </w:rPr>
        <w:t xml:space="preserve">ne </w:t>
      </w:r>
      <w:r w:rsidR="00866E6C" w:rsidRPr="00004886">
        <w:rPr>
          <w:rFonts w:ascii="Times New Roman" w:hAnsi="Times New Roman" w:cs="Times New Roman"/>
        </w:rPr>
        <w:t xml:space="preserve">of the nine protected characteristics under the </w:t>
      </w:r>
      <w:r w:rsidR="006A0739" w:rsidRPr="00004886">
        <w:rPr>
          <w:rFonts w:ascii="Times New Roman" w:hAnsi="Times New Roman" w:cs="Times New Roman"/>
        </w:rPr>
        <w:t>Equality Act</w:t>
      </w:r>
      <w:r w:rsidR="00866E6C" w:rsidRPr="00004886">
        <w:rPr>
          <w:rFonts w:ascii="Times New Roman" w:hAnsi="Times New Roman" w:cs="Times New Roman"/>
        </w:rPr>
        <w:t xml:space="preserve"> is gender reassignment. </w:t>
      </w:r>
      <w:r w:rsidR="006A0739" w:rsidRPr="00004886">
        <w:rPr>
          <w:rFonts w:ascii="Times New Roman" w:hAnsi="Times New Roman" w:cs="Times New Roman"/>
        </w:rPr>
        <w:t>Equality Act</w:t>
      </w:r>
      <w:r w:rsidR="00923234" w:rsidRPr="00004886">
        <w:rPr>
          <w:rFonts w:ascii="Times New Roman" w:hAnsi="Times New Roman" w:cs="Times New Roman"/>
        </w:rPr>
        <w:t xml:space="preserve"> S.7(1) describes </w:t>
      </w:r>
      <w:r w:rsidR="00866E6C" w:rsidRPr="00004886">
        <w:rPr>
          <w:rFonts w:ascii="Times New Roman" w:hAnsi="Times New Roman" w:cs="Times New Roman"/>
        </w:rPr>
        <w:t>a person</w:t>
      </w:r>
      <w:r w:rsidR="00923234" w:rsidRPr="00004886">
        <w:rPr>
          <w:rFonts w:ascii="Times New Roman" w:hAnsi="Times New Roman" w:cs="Times New Roman"/>
        </w:rPr>
        <w:t xml:space="preserve"> sharing this protected characteristic as </w:t>
      </w:r>
      <w:r w:rsidR="00866E6C" w:rsidRPr="00004886">
        <w:rPr>
          <w:rFonts w:ascii="Times New Roman" w:hAnsi="Times New Roman" w:cs="Times New Roman"/>
        </w:rPr>
        <w:t xml:space="preserve">a </w:t>
      </w:r>
      <w:r w:rsidR="00923234" w:rsidRPr="00004886">
        <w:rPr>
          <w:rFonts w:ascii="Times New Roman" w:hAnsi="Times New Roman" w:cs="Times New Roman"/>
        </w:rPr>
        <w:t>‘transsexual person’,</w:t>
      </w:r>
      <w:r w:rsidR="00923234" w:rsidRPr="00004886">
        <w:rPr>
          <w:rStyle w:val="FootnoteReference"/>
          <w:rFonts w:ascii="Times New Roman" w:hAnsi="Times New Roman" w:cs="Times New Roman"/>
        </w:rPr>
        <w:footnoteReference w:id="32"/>
      </w:r>
      <w:r w:rsidR="00923234" w:rsidRPr="00004886">
        <w:rPr>
          <w:rFonts w:ascii="Times New Roman" w:hAnsi="Times New Roman" w:cs="Times New Roman"/>
        </w:rPr>
        <w:t xml:space="preserve"> defined as someone who ‘…is proposing to undergo, is undergoing, or has undergone a process (or part of a process) for the purpose of reassigning the person’s sex by changing physiological or other attributes of sex.’  </w:t>
      </w:r>
      <w:r w:rsidR="005704C9" w:rsidRPr="00004886">
        <w:rPr>
          <w:rFonts w:ascii="Times New Roman" w:hAnsi="Times New Roman" w:cs="Times New Roman"/>
        </w:rPr>
        <w:t>Th</w:t>
      </w:r>
      <w:r w:rsidR="00866E6C" w:rsidRPr="00004886">
        <w:rPr>
          <w:rFonts w:ascii="Times New Roman" w:hAnsi="Times New Roman" w:cs="Times New Roman"/>
        </w:rPr>
        <w:t xml:space="preserve">e process mentioned in section 7 </w:t>
      </w:r>
      <w:r w:rsidR="005704C9" w:rsidRPr="00004886">
        <w:rPr>
          <w:rFonts w:ascii="Times New Roman" w:hAnsi="Times New Roman" w:cs="Times New Roman"/>
        </w:rPr>
        <w:t>does not need to describe a medical or hormonal process.</w:t>
      </w:r>
      <w:r w:rsidR="0054258F" w:rsidRPr="00004886">
        <w:rPr>
          <w:rStyle w:val="FootnoteReference"/>
          <w:rFonts w:ascii="Times New Roman" w:hAnsi="Times New Roman" w:cs="Times New Roman"/>
        </w:rPr>
        <w:footnoteReference w:id="33"/>
      </w:r>
      <w:r w:rsidR="005704C9" w:rsidRPr="00004886">
        <w:rPr>
          <w:rFonts w:ascii="Times New Roman" w:hAnsi="Times New Roman" w:cs="Times New Roman"/>
        </w:rPr>
        <w:t xml:space="preserve"> It could include changing one’s name, dress or other aspects of one’s appearance. </w:t>
      </w:r>
      <w:r w:rsidR="00D20781" w:rsidRPr="00004886">
        <w:rPr>
          <w:rFonts w:ascii="Times New Roman" w:hAnsi="Times New Roman" w:cs="Times New Roman"/>
        </w:rPr>
        <w:t>The Act prohibits direct or indirect discrimination</w:t>
      </w:r>
      <w:r w:rsidR="00D70C39">
        <w:rPr>
          <w:rFonts w:ascii="Times New Roman" w:hAnsi="Times New Roman" w:cs="Times New Roman"/>
        </w:rPr>
        <w:t xml:space="preserve"> on this ground</w:t>
      </w:r>
      <w:r w:rsidR="00D20781" w:rsidRPr="00004886">
        <w:rPr>
          <w:rFonts w:ascii="Times New Roman" w:hAnsi="Times New Roman" w:cs="Times New Roman"/>
        </w:rPr>
        <w:t xml:space="preserve">, as well as harassment and victimisation. </w:t>
      </w:r>
    </w:p>
    <w:p w14:paraId="5F9C6CD3" w14:textId="77777777" w:rsidR="00614AAB" w:rsidRPr="00004886" w:rsidRDefault="00614AAB" w:rsidP="00004886">
      <w:pPr>
        <w:spacing w:line="480" w:lineRule="auto"/>
        <w:rPr>
          <w:rFonts w:ascii="Times New Roman" w:hAnsi="Times New Roman" w:cs="Times New Roman"/>
        </w:rPr>
      </w:pPr>
    </w:p>
    <w:p w14:paraId="760E497D" w14:textId="0E6D6C61" w:rsidR="00890759" w:rsidRDefault="007F12C7" w:rsidP="00004886">
      <w:pPr>
        <w:spacing w:line="480" w:lineRule="auto"/>
        <w:ind w:firstLine="720"/>
        <w:rPr>
          <w:rFonts w:ascii="Times New Roman" w:hAnsi="Times New Roman" w:cs="Times New Roman"/>
        </w:rPr>
      </w:pPr>
      <w:r w:rsidRPr="00004886">
        <w:rPr>
          <w:rFonts w:ascii="Times New Roman" w:hAnsi="Times New Roman" w:cs="Times New Roman"/>
        </w:rPr>
        <w:t xml:space="preserve">Although this is how transsexual is defined in the </w:t>
      </w:r>
      <w:r w:rsidR="006A0739" w:rsidRPr="00004886">
        <w:rPr>
          <w:rFonts w:ascii="Times New Roman" w:hAnsi="Times New Roman" w:cs="Times New Roman"/>
        </w:rPr>
        <w:t>Equality Act</w:t>
      </w:r>
      <w:r w:rsidRPr="00004886">
        <w:rPr>
          <w:rFonts w:ascii="Times New Roman" w:hAnsi="Times New Roman" w:cs="Times New Roman"/>
        </w:rPr>
        <w:t>, there is an</w:t>
      </w:r>
      <w:r w:rsidR="00D70C39">
        <w:rPr>
          <w:rFonts w:ascii="Times New Roman" w:hAnsi="Times New Roman" w:cs="Times New Roman"/>
        </w:rPr>
        <w:t xml:space="preserve"> added</w:t>
      </w:r>
      <w:r w:rsidRPr="00004886">
        <w:rPr>
          <w:rFonts w:ascii="Times New Roman" w:hAnsi="Times New Roman" w:cs="Times New Roman"/>
        </w:rPr>
        <w:t xml:space="preserve"> complication, in that the Gender Recognition Act 2004 (GRA) controls which individuals may receive a Gender Recognition Certificate (GRC), officially recognising th</w:t>
      </w:r>
      <w:r w:rsidR="00F21C63" w:rsidRPr="00004886">
        <w:rPr>
          <w:rFonts w:ascii="Times New Roman" w:hAnsi="Times New Roman" w:cs="Times New Roman"/>
        </w:rPr>
        <w:t xml:space="preserve">at the </w:t>
      </w:r>
      <w:r w:rsidR="00F21C63" w:rsidRPr="00004886">
        <w:rPr>
          <w:rFonts w:ascii="Times New Roman" w:hAnsi="Times New Roman" w:cs="Times New Roman"/>
        </w:rPr>
        <w:lastRenderedPageBreak/>
        <w:t xml:space="preserve">individual’s </w:t>
      </w:r>
      <w:r w:rsidR="00EC7F83" w:rsidRPr="00004886">
        <w:rPr>
          <w:rFonts w:ascii="Times New Roman" w:hAnsi="Times New Roman" w:cs="Times New Roman"/>
        </w:rPr>
        <w:t xml:space="preserve">legal </w:t>
      </w:r>
      <w:r w:rsidR="00F21C63" w:rsidRPr="00004886">
        <w:rPr>
          <w:rFonts w:ascii="Times New Roman" w:hAnsi="Times New Roman" w:cs="Times New Roman"/>
        </w:rPr>
        <w:t>sex has changed to that of the</w:t>
      </w:r>
      <w:r w:rsidR="00195A43" w:rsidRPr="00004886">
        <w:rPr>
          <w:rFonts w:ascii="Times New Roman" w:hAnsi="Times New Roman" w:cs="Times New Roman"/>
        </w:rPr>
        <w:t xml:space="preserve"> gender in which they identify</w:t>
      </w:r>
      <w:r w:rsidRPr="00004886">
        <w:rPr>
          <w:rFonts w:ascii="Times New Roman" w:hAnsi="Times New Roman" w:cs="Times New Roman"/>
        </w:rPr>
        <w:t xml:space="preserve">. </w:t>
      </w:r>
      <w:r w:rsidR="00F21C63" w:rsidRPr="00004886">
        <w:rPr>
          <w:rFonts w:ascii="Times New Roman" w:hAnsi="Times New Roman" w:cs="Times New Roman"/>
        </w:rPr>
        <w:t xml:space="preserve">Individuals in possession of a GRC are entitled to protection under anti-discrimination legislation in their acquired </w:t>
      </w:r>
      <w:r w:rsidR="00EC7F83" w:rsidRPr="00004886">
        <w:rPr>
          <w:rFonts w:ascii="Times New Roman" w:hAnsi="Times New Roman" w:cs="Times New Roman"/>
        </w:rPr>
        <w:t>legal sex</w:t>
      </w:r>
      <w:r w:rsidR="00F21C63" w:rsidRPr="00004886">
        <w:rPr>
          <w:rFonts w:ascii="Times New Roman" w:hAnsi="Times New Roman" w:cs="Times New Roman"/>
        </w:rPr>
        <w:t>.</w:t>
      </w:r>
      <w:r w:rsidR="00F21C63" w:rsidRPr="00004886">
        <w:rPr>
          <w:rStyle w:val="FootnoteReference"/>
          <w:rFonts w:ascii="Times New Roman" w:hAnsi="Times New Roman" w:cs="Times New Roman"/>
        </w:rPr>
        <w:footnoteReference w:id="34"/>
      </w:r>
      <w:r w:rsidR="00F21C63" w:rsidRPr="00004886">
        <w:rPr>
          <w:rFonts w:ascii="Times New Roman" w:hAnsi="Times New Roman" w:cs="Times New Roman"/>
        </w:rPr>
        <w:t xml:space="preserve"> </w:t>
      </w:r>
      <w:r w:rsidR="00823B93" w:rsidRPr="00004886">
        <w:rPr>
          <w:rFonts w:ascii="Times New Roman" w:hAnsi="Times New Roman" w:cs="Times New Roman"/>
        </w:rPr>
        <w:t xml:space="preserve">The individual </w:t>
      </w:r>
      <w:r w:rsidR="002479F5" w:rsidRPr="00004886">
        <w:rPr>
          <w:rFonts w:ascii="Times New Roman" w:hAnsi="Times New Roman" w:cs="Times New Roman"/>
        </w:rPr>
        <w:t>must</w:t>
      </w:r>
      <w:r w:rsidR="00823B93" w:rsidRPr="00004886">
        <w:rPr>
          <w:rFonts w:ascii="Times New Roman" w:hAnsi="Times New Roman" w:cs="Times New Roman"/>
        </w:rPr>
        <w:t xml:space="preserve"> have lived in the gender in which they identify for two years and intend to do so for life.</w:t>
      </w:r>
      <w:r w:rsidR="00823B93" w:rsidRPr="00004886">
        <w:rPr>
          <w:rStyle w:val="FootnoteReference"/>
          <w:rFonts w:ascii="Times New Roman" w:hAnsi="Times New Roman" w:cs="Times New Roman"/>
        </w:rPr>
        <w:footnoteReference w:id="35"/>
      </w:r>
      <w:r w:rsidR="00823B93" w:rsidRPr="00004886">
        <w:rPr>
          <w:rFonts w:ascii="Times New Roman" w:hAnsi="Times New Roman" w:cs="Times New Roman"/>
        </w:rPr>
        <w:t xml:space="preserve"> </w:t>
      </w:r>
      <w:r w:rsidR="005E701C" w:rsidRPr="00004886">
        <w:rPr>
          <w:rFonts w:ascii="Times New Roman" w:hAnsi="Times New Roman" w:cs="Times New Roman"/>
        </w:rPr>
        <w:t>The process under the GRA requires that an individual have received a diagnosis of gender dysphoria.</w:t>
      </w:r>
      <w:r w:rsidR="005E701C" w:rsidRPr="00004886">
        <w:rPr>
          <w:rStyle w:val="FootnoteReference"/>
          <w:rFonts w:ascii="Times New Roman" w:hAnsi="Times New Roman" w:cs="Times New Roman"/>
        </w:rPr>
        <w:footnoteReference w:id="36"/>
      </w:r>
      <w:r w:rsidR="005E701C" w:rsidRPr="00004886">
        <w:rPr>
          <w:rFonts w:ascii="Times New Roman" w:hAnsi="Times New Roman" w:cs="Times New Roman"/>
        </w:rPr>
        <w:t xml:space="preserve"> </w:t>
      </w:r>
      <w:r w:rsidR="00F21C63" w:rsidRPr="00004886">
        <w:rPr>
          <w:rFonts w:ascii="Times New Roman" w:hAnsi="Times New Roman" w:cs="Times New Roman"/>
        </w:rPr>
        <w:t>The GRA does not require any sort of surgical or other process to change the physical manifestations of biological sex, and thus</w:t>
      </w:r>
      <w:r w:rsidR="005E701C" w:rsidRPr="00004886">
        <w:rPr>
          <w:rFonts w:ascii="Times New Roman" w:hAnsi="Times New Roman" w:cs="Times New Roman"/>
        </w:rPr>
        <w:t>, according to Sharpe,</w:t>
      </w:r>
      <w:r w:rsidR="00F21C63" w:rsidRPr="00004886">
        <w:rPr>
          <w:rFonts w:ascii="Times New Roman" w:hAnsi="Times New Roman" w:cs="Times New Roman"/>
        </w:rPr>
        <w:t xml:space="preserve"> </w:t>
      </w:r>
      <w:r w:rsidR="005E701C" w:rsidRPr="00004886">
        <w:rPr>
          <w:rFonts w:ascii="Times New Roman" w:hAnsi="Times New Roman" w:cs="Times New Roman"/>
        </w:rPr>
        <w:t>can be seen to</w:t>
      </w:r>
      <w:r w:rsidR="00F21C63" w:rsidRPr="00004886">
        <w:rPr>
          <w:rFonts w:ascii="Times New Roman" w:hAnsi="Times New Roman" w:cs="Times New Roman"/>
        </w:rPr>
        <w:t xml:space="preserve"> </w:t>
      </w:r>
      <w:r w:rsidR="005E701C" w:rsidRPr="00004886">
        <w:rPr>
          <w:rFonts w:ascii="Times New Roman" w:hAnsi="Times New Roman" w:cs="Times New Roman"/>
        </w:rPr>
        <w:t>‘</w:t>
      </w:r>
      <w:r w:rsidR="00F21C63" w:rsidRPr="00004886">
        <w:rPr>
          <w:rFonts w:ascii="Times New Roman" w:hAnsi="Times New Roman" w:cs="Times New Roman"/>
        </w:rPr>
        <w:t>sever the link between sexed status and the physical bod</w:t>
      </w:r>
      <w:r w:rsidR="005E701C" w:rsidRPr="00004886">
        <w:rPr>
          <w:rFonts w:ascii="Times New Roman" w:hAnsi="Times New Roman" w:cs="Times New Roman"/>
        </w:rPr>
        <w:t>y.’</w:t>
      </w:r>
      <w:r w:rsidR="005E701C" w:rsidRPr="00004886">
        <w:rPr>
          <w:rStyle w:val="FootnoteReference"/>
          <w:rFonts w:ascii="Times New Roman" w:hAnsi="Times New Roman" w:cs="Times New Roman"/>
        </w:rPr>
        <w:footnoteReference w:id="37"/>
      </w:r>
      <w:r w:rsidR="005E701C" w:rsidRPr="00004886">
        <w:rPr>
          <w:rFonts w:ascii="Times New Roman" w:hAnsi="Times New Roman" w:cs="Times New Roman"/>
        </w:rPr>
        <w:t xml:space="preserve"> Nevertheless, Sharpe asserts that it was the clear intention of the Government that surgical intervention would be the expected position, and individuals not intending to undertake surgery must justify why.</w:t>
      </w:r>
      <w:r w:rsidR="005E701C" w:rsidRPr="00004886">
        <w:rPr>
          <w:rStyle w:val="FootnoteReference"/>
          <w:rFonts w:ascii="Times New Roman" w:hAnsi="Times New Roman" w:cs="Times New Roman"/>
        </w:rPr>
        <w:footnoteReference w:id="38"/>
      </w:r>
      <w:r w:rsidR="005E701C" w:rsidRPr="00004886">
        <w:rPr>
          <w:rFonts w:ascii="Times New Roman" w:hAnsi="Times New Roman" w:cs="Times New Roman"/>
        </w:rPr>
        <w:t xml:space="preserve"> Moreover, the change is viewed as permanent. </w:t>
      </w:r>
    </w:p>
    <w:p w14:paraId="16E38B99" w14:textId="77777777" w:rsidR="00614AAB" w:rsidRDefault="00614AAB" w:rsidP="00004886">
      <w:pPr>
        <w:spacing w:line="480" w:lineRule="auto"/>
        <w:ind w:firstLine="720"/>
        <w:rPr>
          <w:rFonts w:ascii="Times New Roman" w:hAnsi="Times New Roman" w:cs="Times New Roman"/>
        </w:rPr>
      </w:pPr>
    </w:p>
    <w:p w14:paraId="2137BC0C" w14:textId="0664CA4A" w:rsidR="00274BA8" w:rsidRDefault="00274BA8" w:rsidP="00004886">
      <w:pPr>
        <w:spacing w:line="480" w:lineRule="auto"/>
        <w:ind w:firstLine="720"/>
        <w:rPr>
          <w:rFonts w:ascii="Times New Roman" w:hAnsi="Times New Roman" w:cs="Times New Roman"/>
        </w:rPr>
      </w:pPr>
      <w:r>
        <w:rPr>
          <w:rFonts w:ascii="Times New Roman" w:hAnsi="Times New Roman" w:cs="Times New Roman"/>
        </w:rPr>
        <w:t xml:space="preserve">In 2018, the </w:t>
      </w:r>
      <w:r w:rsidR="007666F0">
        <w:rPr>
          <w:rFonts w:ascii="Times New Roman" w:hAnsi="Times New Roman" w:cs="Times New Roman"/>
        </w:rPr>
        <w:t>CJEU</w:t>
      </w:r>
      <w:r>
        <w:rPr>
          <w:rFonts w:ascii="Times New Roman" w:hAnsi="Times New Roman" w:cs="Times New Roman"/>
        </w:rPr>
        <w:t xml:space="preserve"> in </w:t>
      </w:r>
      <w:r>
        <w:rPr>
          <w:rFonts w:ascii="Times New Roman" w:hAnsi="Times New Roman" w:cs="Times New Roman"/>
          <w:i/>
        </w:rPr>
        <w:t xml:space="preserve">MB v Secretary of State for Work and </w:t>
      </w:r>
      <w:r w:rsidRPr="00274BA8">
        <w:rPr>
          <w:rFonts w:ascii="Times New Roman" w:hAnsi="Times New Roman" w:cs="Times New Roman"/>
          <w:i/>
        </w:rPr>
        <w:t xml:space="preserve">Pensions </w:t>
      </w:r>
      <w:r>
        <w:rPr>
          <w:rFonts w:ascii="Times New Roman" w:hAnsi="Times New Roman" w:cs="Times New Roman"/>
        </w:rPr>
        <w:t>held that the UK had discriminated against a transgender woman who had been denied a pension at the lower state retirement age for women. The woman had been denied a GRC because she refused to have her pre-transition marriage annulled (another requirement of the GRA)</w:t>
      </w:r>
      <w:r>
        <w:rPr>
          <w:rStyle w:val="FootnoteReference"/>
          <w:rFonts w:ascii="Times New Roman" w:hAnsi="Times New Roman" w:cs="Times New Roman"/>
        </w:rPr>
        <w:footnoteReference w:id="39"/>
      </w:r>
      <w:r>
        <w:rPr>
          <w:rFonts w:ascii="Times New Roman" w:hAnsi="Times New Roman" w:cs="Times New Roman"/>
        </w:rPr>
        <w:t xml:space="preserve"> for religious reasons. The CJEU accepted that the woman was transgender, even though she did not hold a GRC: </w:t>
      </w:r>
    </w:p>
    <w:p w14:paraId="07C5DFAF" w14:textId="139293F4" w:rsidR="00274BA8" w:rsidRPr="00004886" w:rsidRDefault="00274BA8" w:rsidP="00274BA8">
      <w:pPr>
        <w:spacing w:line="480" w:lineRule="auto"/>
        <w:ind w:left="720"/>
        <w:rPr>
          <w:rFonts w:ascii="Times New Roman" w:hAnsi="Times New Roman" w:cs="Times New Roman"/>
        </w:rPr>
      </w:pPr>
      <w:r>
        <w:rPr>
          <w:rFonts w:ascii="Times New Roman" w:hAnsi="Times New Roman" w:cs="Times New Roman"/>
        </w:rPr>
        <w:t>i</w:t>
      </w:r>
      <w:r w:rsidR="00614AAB">
        <w:rPr>
          <w:rFonts w:ascii="Times New Roman" w:hAnsi="Times New Roman" w:cs="Times New Roman"/>
        </w:rPr>
        <w:t>n that regard, although</w:t>
      </w:r>
      <w:r w:rsidRPr="00274BA8">
        <w:rPr>
          <w:rFonts w:ascii="Times New Roman" w:hAnsi="Times New Roman" w:cs="Times New Roman"/>
        </w:rPr>
        <w:t xml:space="preserve"> </w:t>
      </w:r>
      <w:r w:rsidR="00614AAB">
        <w:rPr>
          <w:rFonts w:ascii="Times New Roman" w:hAnsi="Times New Roman" w:cs="Times New Roman"/>
        </w:rPr>
        <w:t>…</w:t>
      </w:r>
      <w:r w:rsidRPr="00274BA8">
        <w:rPr>
          <w:rFonts w:ascii="Times New Roman" w:hAnsi="Times New Roman" w:cs="Times New Roman"/>
        </w:rPr>
        <w:t xml:space="preserve"> it is for the Member States to establish the conditions for legal recognition of a person’s change of gender, the fact remains that, for the purposes of the application of Directive 79/7, persons who have lived for a significant </w:t>
      </w:r>
      <w:r w:rsidRPr="00274BA8">
        <w:rPr>
          <w:rFonts w:ascii="Times New Roman" w:hAnsi="Times New Roman" w:cs="Times New Roman"/>
        </w:rPr>
        <w:lastRenderedPageBreak/>
        <w:t>period as persons of a gender other than their birth gender and who have undergone a gender reassignment operation must be considered to have changed gender.</w:t>
      </w:r>
      <w:r>
        <w:rPr>
          <w:rStyle w:val="FootnoteReference"/>
          <w:rFonts w:ascii="Times New Roman" w:hAnsi="Times New Roman" w:cs="Times New Roman"/>
        </w:rPr>
        <w:footnoteReference w:id="40"/>
      </w:r>
    </w:p>
    <w:p w14:paraId="30824EA9" w14:textId="4945EBAE" w:rsidR="00B5662E" w:rsidRDefault="00B5662E" w:rsidP="00B5662E">
      <w:pPr>
        <w:spacing w:line="480" w:lineRule="auto"/>
        <w:rPr>
          <w:rFonts w:ascii="Times New Roman" w:hAnsi="Times New Roman" w:cs="Times New Roman"/>
        </w:rPr>
      </w:pPr>
      <w:r>
        <w:rPr>
          <w:rFonts w:ascii="Times New Roman" w:hAnsi="Times New Roman" w:cs="Times New Roman"/>
        </w:rPr>
        <w:t>The court held that this was less favourable treatment based upon sex and was discriminatory. Although the ruling is expressly limited to determinations of eligibility for social security,</w:t>
      </w:r>
      <w:r>
        <w:rPr>
          <w:rStyle w:val="FootnoteReference"/>
          <w:rFonts w:ascii="Times New Roman" w:hAnsi="Times New Roman" w:cs="Times New Roman"/>
        </w:rPr>
        <w:footnoteReference w:id="41"/>
      </w:r>
      <w:r>
        <w:rPr>
          <w:rFonts w:ascii="Times New Roman" w:hAnsi="Times New Roman" w:cs="Times New Roman"/>
        </w:rPr>
        <w:t xml:space="preserve"> this may have implications for the consideration of the proportionality of any exclusions of transgender women.</w:t>
      </w:r>
    </w:p>
    <w:p w14:paraId="16457F19" w14:textId="77777777" w:rsidR="00F73E7D" w:rsidRDefault="00F73E7D" w:rsidP="00004886">
      <w:pPr>
        <w:spacing w:line="480" w:lineRule="auto"/>
        <w:ind w:firstLine="720"/>
        <w:rPr>
          <w:rFonts w:ascii="Times New Roman" w:hAnsi="Times New Roman" w:cs="Times New Roman"/>
        </w:rPr>
      </w:pPr>
    </w:p>
    <w:p w14:paraId="078BC1BC" w14:textId="5F03341D" w:rsidR="00585C76" w:rsidRDefault="007F12C7" w:rsidP="00004886">
      <w:pPr>
        <w:spacing w:line="480" w:lineRule="auto"/>
        <w:ind w:firstLine="720"/>
        <w:rPr>
          <w:rFonts w:ascii="Times New Roman" w:hAnsi="Times New Roman" w:cs="Times New Roman"/>
        </w:rPr>
      </w:pPr>
      <w:r w:rsidRPr="00004886">
        <w:rPr>
          <w:rFonts w:ascii="Times New Roman" w:hAnsi="Times New Roman" w:cs="Times New Roman"/>
        </w:rPr>
        <w:t xml:space="preserve">The definition under the GRA is more restrictive than the scope of the protected characteristic under the </w:t>
      </w:r>
      <w:r w:rsidR="006A0739" w:rsidRPr="00004886">
        <w:rPr>
          <w:rFonts w:ascii="Times New Roman" w:hAnsi="Times New Roman" w:cs="Times New Roman"/>
        </w:rPr>
        <w:t>Equality Act</w:t>
      </w:r>
      <w:r w:rsidR="00EC7F83" w:rsidRPr="00004886">
        <w:rPr>
          <w:rFonts w:ascii="Times New Roman" w:hAnsi="Times New Roman" w:cs="Times New Roman"/>
        </w:rPr>
        <w:t>. Although only persons in possession of a GRC</w:t>
      </w:r>
      <w:r w:rsidR="00B5662E">
        <w:rPr>
          <w:rFonts w:ascii="Times New Roman" w:hAnsi="Times New Roman" w:cs="Times New Roman"/>
        </w:rPr>
        <w:t>, and possibly those</w:t>
      </w:r>
      <w:r w:rsidR="00EC7F83" w:rsidRPr="00004886">
        <w:rPr>
          <w:rFonts w:ascii="Times New Roman" w:hAnsi="Times New Roman" w:cs="Times New Roman"/>
        </w:rPr>
        <w:t xml:space="preserve"> </w:t>
      </w:r>
      <w:r w:rsidR="00B5662E">
        <w:rPr>
          <w:rFonts w:ascii="Times New Roman" w:hAnsi="Times New Roman" w:cs="Times New Roman"/>
        </w:rPr>
        <w:t xml:space="preserve">similarly situated to the woman in </w:t>
      </w:r>
      <w:r w:rsidR="00B5662E" w:rsidRPr="00B5662E">
        <w:rPr>
          <w:rFonts w:ascii="Times New Roman" w:hAnsi="Times New Roman" w:cs="Times New Roman"/>
          <w:i/>
        </w:rPr>
        <w:t>MB</w:t>
      </w:r>
      <w:r w:rsidR="00B5662E">
        <w:rPr>
          <w:rFonts w:ascii="Times New Roman" w:hAnsi="Times New Roman" w:cs="Times New Roman"/>
        </w:rPr>
        <w:t xml:space="preserve"> in the case of social security, </w:t>
      </w:r>
      <w:r w:rsidR="00EC7F83" w:rsidRPr="00004886">
        <w:rPr>
          <w:rFonts w:ascii="Times New Roman" w:hAnsi="Times New Roman" w:cs="Times New Roman"/>
        </w:rPr>
        <w:t xml:space="preserve">are entitled to protection under the protected characteristic of </w:t>
      </w:r>
      <w:r w:rsidR="00EC7F83" w:rsidRPr="00FB6D2A">
        <w:rPr>
          <w:rFonts w:ascii="Times New Roman" w:hAnsi="Times New Roman" w:cs="Times New Roman"/>
          <w:i/>
        </w:rPr>
        <w:t>sex</w:t>
      </w:r>
      <w:r w:rsidR="00EC7F83" w:rsidRPr="00004886">
        <w:rPr>
          <w:rFonts w:ascii="Times New Roman" w:hAnsi="Times New Roman" w:cs="Times New Roman"/>
        </w:rPr>
        <w:t xml:space="preserve"> in their acquired gender, both persons who have a GRC and those who are in the process of gender reassignment but who do not yet have a GRC are entitled to protection from discrimination under the protected characteristic of </w:t>
      </w:r>
      <w:r w:rsidR="00EC7F83" w:rsidRPr="00FB6D2A">
        <w:rPr>
          <w:rFonts w:ascii="Times New Roman" w:hAnsi="Times New Roman" w:cs="Times New Roman"/>
          <w:i/>
        </w:rPr>
        <w:t>gender reassignment</w:t>
      </w:r>
      <w:r w:rsidR="00EC7F83" w:rsidRPr="00004886">
        <w:rPr>
          <w:rFonts w:ascii="Times New Roman" w:hAnsi="Times New Roman" w:cs="Times New Roman"/>
        </w:rPr>
        <w:t>.</w:t>
      </w:r>
      <w:r w:rsidR="006632FB">
        <w:rPr>
          <w:rStyle w:val="FootnoteReference"/>
          <w:rFonts w:ascii="Times New Roman" w:hAnsi="Times New Roman" w:cs="Times New Roman"/>
        </w:rPr>
        <w:footnoteReference w:id="42"/>
      </w:r>
      <w:r w:rsidR="00EC7F83" w:rsidRPr="00004886">
        <w:rPr>
          <w:rFonts w:ascii="Times New Roman" w:hAnsi="Times New Roman" w:cs="Times New Roman"/>
        </w:rPr>
        <w:t xml:space="preserve"> </w:t>
      </w:r>
    </w:p>
    <w:p w14:paraId="18F31CA2" w14:textId="77777777" w:rsidR="00F73E7D" w:rsidRDefault="00F73E7D" w:rsidP="00004886">
      <w:pPr>
        <w:spacing w:line="480" w:lineRule="auto"/>
        <w:ind w:firstLine="720"/>
        <w:rPr>
          <w:rFonts w:ascii="Times New Roman" w:hAnsi="Times New Roman" w:cs="Times New Roman"/>
        </w:rPr>
      </w:pPr>
    </w:p>
    <w:p w14:paraId="730D737A" w14:textId="42BDC60C" w:rsidR="00585C76" w:rsidRDefault="00585C76" w:rsidP="00585C76">
      <w:pPr>
        <w:spacing w:line="480" w:lineRule="auto"/>
        <w:ind w:firstLine="720"/>
        <w:rPr>
          <w:rFonts w:ascii="Times New Roman" w:hAnsi="Times New Roman" w:cs="Times New Roman"/>
        </w:rPr>
      </w:pPr>
      <w:r>
        <w:rPr>
          <w:rFonts w:ascii="Times New Roman" w:hAnsi="Times New Roman" w:cs="Times New Roman"/>
        </w:rPr>
        <w:t>The scope of the protected characteristic</w:t>
      </w:r>
      <w:r w:rsidR="006632FB">
        <w:rPr>
          <w:rFonts w:ascii="Times New Roman" w:hAnsi="Times New Roman" w:cs="Times New Roman"/>
        </w:rPr>
        <w:t xml:space="preserve"> of gender reassignment</w:t>
      </w:r>
      <w:r>
        <w:rPr>
          <w:rFonts w:ascii="Times New Roman" w:hAnsi="Times New Roman" w:cs="Times New Roman"/>
        </w:rPr>
        <w:t xml:space="preserve"> under the Equality Act thus offers protection to a considerably broader group of people than those who would be eligible for a GRC. This is welcome as there are many issues identified with the certification process, leading to the government consultation in 2018 on proposed changes to the GRA</w:t>
      </w:r>
      <w:r w:rsidR="00311563" w:rsidRPr="00004886">
        <w:rPr>
          <w:rFonts w:ascii="Times New Roman" w:hAnsi="Times New Roman" w:cs="Times New Roman"/>
        </w:rPr>
        <w:t>, including a shift away from the requirement for a diagnosis of gender dysphoria and a move closer to self-identification.</w:t>
      </w:r>
      <w:r>
        <w:rPr>
          <w:rStyle w:val="FootnoteReference"/>
          <w:rFonts w:ascii="Times New Roman" w:hAnsi="Times New Roman" w:cs="Times New Roman"/>
        </w:rPr>
        <w:footnoteReference w:id="43"/>
      </w:r>
      <w:r>
        <w:rPr>
          <w:rFonts w:ascii="Times New Roman" w:hAnsi="Times New Roman" w:cs="Times New Roman"/>
        </w:rPr>
        <w:t xml:space="preserve"> A particular concern with certification is that it is ultimately </w:t>
      </w:r>
      <w:r>
        <w:rPr>
          <w:rFonts w:ascii="Times New Roman" w:hAnsi="Times New Roman" w:cs="Times New Roman"/>
        </w:rPr>
        <w:lastRenderedPageBreak/>
        <w:t>about something that is known (and therefore verifiable) personally. Requiring a time period as a qualifying factor for certification</w:t>
      </w:r>
      <w:r w:rsidR="006632FB">
        <w:rPr>
          <w:rFonts w:ascii="Times New Roman" w:hAnsi="Times New Roman" w:cs="Times New Roman"/>
        </w:rPr>
        <w:t>, moreover,</w:t>
      </w:r>
      <w:r>
        <w:rPr>
          <w:rFonts w:ascii="Times New Roman" w:hAnsi="Times New Roman" w:cs="Times New Roman"/>
        </w:rPr>
        <w:t xml:space="preserve"> means that a transgender person </w:t>
      </w:r>
      <w:r w:rsidR="006632FB">
        <w:rPr>
          <w:rFonts w:ascii="Times New Roman" w:hAnsi="Times New Roman" w:cs="Times New Roman"/>
        </w:rPr>
        <w:t xml:space="preserve">may have less of a support system around them during their transition – they will be at their most exposed during a time when they are potentially the most vulnerable emotionally, physically and politically. </w:t>
      </w:r>
    </w:p>
    <w:p w14:paraId="0563879D" w14:textId="77777777" w:rsidR="00F73E7D" w:rsidRDefault="00F73E7D" w:rsidP="00585C76">
      <w:pPr>
        <w:spacing w:line="480" w:lineRule="auto"/>
        <w:ind w:firstLine="720"/>
        <w:rPr>
          <w:rFonts w:ascii="Times New Roman" w:hAnsi="Times New Roman" w:cs="Times New Roman"/>
        </w:rPr>
      </w:pPr>
    </w:p>
    <w:p w14:paraId="0DCAD8F4" w14:textId="3E3A87F6" w:rsidR="00026A07" w:rsidRPr="00004886" w:rsidRDefault="009474A3" w:rsidP="00004886">
      <w:pPr>
        <w:spacing w:line="480" w:lineRule="auto"/>
        <w:rPr>
          <w:rFonts w:ascii="Times New Roman" w:hAnsi="Times New Roman" w:cs="Times New Roman"/>
          <w:b/>
        </w:rPr>
      </w:pPr>
      <w:r w:rsidRPr="00004886">
        <w:rPr>
          <w:rFonts w:ascii="Times New Roman" w:hAnsi="Times New Roman" w:cs="Times New Roman"/>
          <w:b/>
        </w:rPr>
        <w:t>B</w:t>
      </w:r>
      <w:r w:rsidR="00026A07" w:rsidRPr="00004886">
        <w:rPr>
          <w:rFonts w:ascii="Times New Roman" w:hAnsi="Times New Roman" w:cs="Times New Roman"/>
          <w:b/>
        </w:rPr>
        <w:tab/>
        <w:t xml:space="preserve"> The charities ‘exception’</w:t>
      </w:r>
    </w:p>
    <w:p w14:paraId="7E4B23C8" w14:textId="77777777" w:rsidR="00EF700D" w:rsidRDefault="00EF700D" w:rsidP="00004886">
      <w:pPr>
        <w:spacing w:line="480" w:lineRule="auto"/>
        <w:rPr>
          <w:rFonts w:ascii="Times New Roman" w:hAnsi="Times New Roman" w:cs="Times New Roman"/>
        </w:rPr>
      </w:pPr>
    </w:p>
    <w:p w14:paraId="0215B7C3" w14:textId="42E48BAA" w:rsidR="00866E6C" w:rsidRDefault="00866E6C" w:rsidP="00004886">
      <w:pPr>
        <w:spacing w:line="480" w:lineRule="auto"/>
        <w:rPr>
          <w:rFonts w:ascii="Times New Roman" w:hAnsi="Times New Roman" w:cs="Times New Roman"/>
        </w:rPr>
      </w:pPr>
      <w:r w:rsidRPr="00004886">
        <w:rPr>
          <w:rFonts w:ascii="Times New Roman" w:hAnsi="Times New Roman" w:cs="Times New Roman"/>
        </w:rPr>
        <w:t>If a charity wish</w:t>
      </w:r>
      <w:r w:rsidR="00D70C39">
        <w:rPr>
          <w:rFonts w:ascii="Times New Roman" w:hAnsi="Times New Roman" w:cs="Times New Roman"/>
        </w:rPr>
        <w:t>ed</w:t>
      </w:r>
      <w:r w:rsidRPr="00004886">
        <w:rPr>
          <w:rFonts w:ascii="Times New Roman" w:hAnsi="Times New Roman" w:cs="Times New Roman"/>
        </w:rPr>
        <w:t xml:space="preserve"> to limit its </w:t>
      </w:r>
      <w:r w:rsidR="00EC355D" w:rsidRPr="00004886">
        <w:rPr>
          <w:rFonts w:ascii="Times New Roman" w:hAnsi="Times New Roman" w:cs="Times New Roman"/>
        </w:rPr>
        <w:t>beneficiaries</w:t>
      </w:r>
      <w:r w:rsidRPr="00004886">
        <w:rPr>
          <w:rFonts w:ascii="Times New Roman" w:hAnsi="Times New Roman" w:cs="Times New Roman"/>
        </w:rPr>
        <w:t xml:space="preserve"> to only </w:t>
      </w:r>
      <w:r w:rsidR="007666F0">
        <w:rPr>
          <w:rFonts w:ascii="Times New Roman" w:hAnsi="Times New Roman" w:cs="Times New Roman"/>
        </w:rPr>
        <w:t>cisgender</w:t>
      </w:r>
      <w:r w:rsidRPr="00004886">
        <w:rPr>
          <w:rFonts w:ascii="Times New Roman" w:hAnsi="Times New Roman" w:cs="Times New Roman"/>
        </w:rPr>
        <w:t xml:space="preserve"> women, </w:t>
      </w:r>
      <w:r w:rsidR="0086165B" w:rsidRPr="00004886">
        <w:rPr>
          <w:rFonts w:ascii="Times New Roman" w:hAnsi="Times New Roman" w:cs="Times New Roman"/>
        </w:rPr>
        <w:t xml:space="preserve">thus engaging in direct discrimination based upon gender reassignment against </w:t>
      </w:r>
      <w:r w:rsidR="007666F0">
        <w:rPr>
          <w:rFonts w:ascii="Times New Roman" w:hAnsi="Times New Roman" w:cs="Times New Roman"/>
        </w:rPr>
        <w:t>transgender</w:t>
      </w:r>
      <w:r w:rsidR="0086165B" w:rsidRPr="00004886">
        <w:rPr>
          <w:rFonts w:ascii="Times New Roman" w:hAnsi="Times New Roman" w:cs="Times New Roman"/>
        </w:rPr>
        <w:t xml:space="preserve"> women (both those in possession of a GRC and those who are not), </w:t>
      </w:r>
      <w:r w:rsidR="001D5711" w:rsidRPr="00004886">
        <w:rPr>
          <w:rFonts w:ascii="Times New Roman" w:hAnsi="Times New Roman" w:cs="Times New Roman"/>
        </w:rPr>
        <w:t xml:space="preserve">it could try to come under the exception in </w:t>
      </w:r>
      <w:r w:rsidRPr="00004886">
        <w:rPr>
          <w:rFonts w:ascii="Times New Roman" w:hAnsi="Times New Roman" w:cs="Times New Roman"/>
        </w:rPr>
        <w:t xml:space="preserve">section 193, the so-called ‘charities exception’.  </w:t>
      </w:r>
      <w:r w:rsidR="00562A20" w:rsidRPr="00004886">
        <w:rPr>
          <w:rFonts w:ascii="Times New Roman" w:hAnsi="Times New Roman" w:cs="Times New Roman"/>
        </w:rPr>
        <w:t xml:space="preserve">In order to bring the discrimination within the exception it must be in furtherance of the charitable instrument and </w:t>
      </w:r>
      <w:r w:rsidR="007666F0">
        <w:rPr>
          <w:rFonts w:ascii="Times New Roman" w:hAnsi="Times New Roman" w:cs="Times New Roman"/>
        </w:rPr>
        <w:t>be</w:t>
      </w:r>
      <w:r w:rsidR="00562A20" w:rsidRPr="00004886">
        <w:rPr>
          <w:rFonts w:ascii="Times New Roman" w:hAnsi="Times New Roman" w:cs="Times New Roman"/>
        </w:rPr>
        <w:t xml:space="preserve"> objectively justifiable.</w:t>
      </w:r>
    </w:p>
    <w:p w14:paraId="54CED3DF" w14:textId="77777777" w:rsidR="00EF700D" w:rsidRPr="00004886" w:rsidRDefault="00EF700D" w:rsidP="00004886">
      <w:pPr>
        <w:spacing w:line="480" w:lineRule="auto"/>
        <w:rPr>
          <w:rFonts w:ascii="Times New Roman" w:hAnsi="Times New Roman" w:cs="Times New Roman"/>
        </w:rPr>
      </w:pPr>
    </w:p>
    <w:p w14:paraId="67BF91DF" w14:textId="0CD55C71" w:rsidR="00562A20" w:rsidRDefault="00F71274" w:rsidP="00004886">
      <w:pPr>
        <w:spacing w:line="480" w:lineRule="auto"/>
        <w:ind w:firstLine="720"/>
        <w:rPr>
          <w:rFonts w:ascii="Times New Roman" w:hAnsi="Times New Roman" w:cs="Times New Roman"/>
        </w:rPr>
      </w:pPr>
      <w:r w:rsidRPr="00004886">
        <w:rPr>
          <w:rFonts w:ascii="Times New Roman" w:hAnsi="Times New Roman" w:cs="Times New Roman"/>
        </w:rPr>
        <w:t>To begin</w:t>
      </w:r>
      <w:r w:rsidR="00866E6C" w:rsidRPr="00004886">
        <w:rPr>
          <w:rFonts w:ascii="Times New Roman" w:hAnsi="Times New Roman" w:cs="Times New Roman"/>
        </w:rPr>
        <w:t>, the exception allowable under s</w:t>
      </w:r>
      <w:r w:rsidR="00562A20" w:rsidRPr="00004886">
        <w:rPr>
          <w:rFonts w:ascii="Times New Roman" w:hAnsi="Times New Roman" w:cs="Times New Roman"/>
        </w:rPr>
        <w:t xml:space="preserve"> </w:t>
      </w:r>
      <w:r w:rsidR="00866E6C" w:rsidRPr="00004886">
        <w:rPr>
          <w:rFonts w:ascii="Times New Roman" w:hAnsi="Times New Roman" w:cs="Times New Roman"/>
        </w:rPr>
        <w:t xml:space="preserve">193 needs to be </w:t>
      </w:r>
      <w:r w:rsidR="00562A20" w:rsidRPr="00004886">
        <w:rPr>
          <w:rFonts w:ascii="Times New Roman" w:hAnsi="Times New Roman" w:cs="Times New Roman"/>
        </w:rPr>
        <w:t>‘</w:t>
      </w:r>
      <w:r w:rsidR="00866E6C" w:rsidRPr="00004886">
        <w:rPr>
          <w:rFonts w:ascii="Times New Roman" w:hAnsi="Times New Roman" w:cs="Times New Roman"/>
        </w:rPr>
        <w:t xml:space="preserve">in </w:t>
      </w:r>
      <w:r w:rsidR="00562A20" w:rsidRPr="00004886">
        <w:rPr>
          <w:rFonts w:ascii="Times New Roman" w:hAnsi="Times New Roman" w:cs="Times New Roman"/>
        </w:rPr>
        <w:t>pursuance</w:t>
      </w:r>
      <w:r w:rsidR="00866E6C" w:rsidRPr="00004886">
        <w:rPr>
          <w:rFonts w:ascii="Times New Roman" w:hAnsi="Times New Roman" w:cs="Times New Roman"/>
        </w:rPr>
        <w:t xml:space="preserve"> of </w:t>
      </w:r>
      <w:r w:rsidR="00562A20" w:rsidRPr="00004886">
        <w:rPr>
          <w:rFonts w:ascii="Times New Roman" w:hAnsi="Times New Roman" w:cs="Times New Roman"/>
        </w:rPr>
        <w:t xml:space="preserve">a </w:t>
      </w:r>
      <w:r w:rsidR="00866E6C" w:rsidRPr="00004886">
        <w:rPr>
          <w:rFonts w:ascii="Times New Roman" w:hAnsi="Times New Roman" w:cs="Times New Roman"/>
        </w:rPr>
        <w:t xml:space="preserve">charitable </w:t>
      </w:r>
      <w:r w:rsidR="00562A20" w:rsidRPr="00004886">
        <w:rPr>
          <w:rFonts w:ascii="Times New Roman" w:hAnsi="Times New Roman" w:cs="Times New Roman"/>
        </w:rPr>
        <w:t>instrument’.</w:t>
      </w:r>
      <w:r w:rsidR="00866E6C" w:rsidRPr="00004886">
        <w:rPr>
          <w:rFonts w:ascii="Times New Roman" w:hAnsi="Times New Roman" w:cs="Times New Roman"/>
        </w:rPr>
        <w:t xml:space="preserve"> As has been interpreted to date, this would likely mean that the</w:t>
      </w:r>
      <w:r w:rsidR="00562A20" w:rsidRPr="00004886">
        <w:rPr>
          <w:rFonts w:ascii="Times New Roman" w:hAnsi="Times New Roman" w:cs="Times New Roman"/>
        </w:rPr>
        <w:t xml:space="preserve"> intention to restrict the</w:t>
      </w:r>
      <w:r w:rsidRPr="00004886">
        <w:rPr>
          <w:rFonts w:ascii="Times New Roman" w:hAnsi="Times New Roman" w:cs="Times New Roman"/>
        </w:rPr>
        <w:t xml:space="preserve"> hypothetical</w:t>
      </w:r>
      <w:r w:rsidR="00562A20" w:rsidRPr="00004886">
        <w:rPr>
          <w:rFonts w:ascii="Times New Roman" w:hAnsi="Times New Roman" w:cs="Times New Roman"/>
        </w:rPr>
        <w:t xml:space="preserve"> charity’s</w:t>
      </w:r>
      <w:r w:rsidR="00866E6C" w:rsidRPr="00004886">
        <w:rPr>
          <w:rFonts w:ascii="Times New Roman" w:hAnsi="Times New Roman" w:cs="Times New Roman"/>
        </w:rPr>
        <w:t xml:space="preserve"> services only to </w:t>
      </w:r>
      <w:r w:rsidR="007666F0">
        <w:rPr>
          <w:rFonts w:ascii="Times New Roman" w:hAnsi="Times New Roman" w:cs="Times New Roman"/>
        </w:rPr>
        <w:t>cisgender</w:t>
      </w:r>
      <w:r w:rsidR="00866E6C" w:rsidRPr="00004886">
        <w:rPr>
          <w:rFonts w:ascii="Times New Roman" w:hAnsi="Times New Roman" w:cs="Times New Roman"/>
        </w:rPr>
        <w:t xml:space="preserve">, rather than trans-gendered, women would need to be </w:t>
      </w:r>
      <w:r w:rsidR="00562A20" w:rsidRPr="00004886">
        <w:rPr>
          <w:rFonts w:ascii="Times New Roman" w:hAnsi="Times New Roman" w:cs="Times New Roman"/>
        </w:rPr>
        <w:t>stated</w:t>
      </w:r>
      <w:r w:rsidR="00195A43" w:rsidRPr="00004886">
        <w:rPr>
          <w:rFonts w:ascii="Times New Roman" w:hAnsi="Times New Roman" w:cs="Times New Roman"/>
        </w:rPr>
        <w:t xml:space="preserve"> in the</w:t>
      </w:r>
      <w:r w:rsidR="00866E6C" w:rsidRPr="00004886">
        <w:rPr>
          <w:rFonts w:ascii="Times New Roman" w:hAnsi="Times New Roman" w:cs="Times New Roman"/>
        </w:rPr>
        <w:t xml:space="preserve"> </w:t>
      </w:r>
      <w:r w:rsidR="00562A20" w:rsidRPr="00004886">
        <w:rPr>
          <w:rFonts w:ascii="Times New Roman" w:hAnsi="Times New Roman" w:cs="Times New Roman"/>
        </w:rPr>
        <w:t>instrument establishing or governing the charity</w:t>
      </w:r>
      <w:r w:rsidR="00866E6C" w:rsidRPr="00004886">
        <w:rPr>
          <w:rFonts w:ascii="Times New Roman" w:hAnsi="Times New Roman" w:cs="Times New Roman"/>
        </w:rPr>
        <w:t>.</w:t>
      </w:r>
      <w:r w:rsidR="008460E9" w:rsidRPr="00004886">
        <w:rPr>
          <w:rFonts w:ascii="Times New Roman" w:hAnsi="Times New Roman" w:cs="Times New Roman"/>
        </w:rPr>
        <w:t xml:space="preserve"> </w:t>
      </w:r>
      <w:r w:rsidR="00562A20" w:rsidRPr="00004886">
        <w:rPr>
          <w:rFonts w:ascii="Times New Roman" w:hAnsi="Times New Roman" w:cs="Times New Roman"/>
        </w:rPr>
        <w:t>As drawn, the restrictio</w:t>
      </w:r>
      <w:r w:rsidR="00E368DB" w:rsidRPr="00004886">
        <w:rPr>
          <w:rFonts w:ascii="Times New Roman" w:hAnsi="Times New Roman" w:cs="Times New Roman"/>
        </w:rPr>
        <w:t>n i</w:t>
      </w:r>
      <w:r w:rsidR="00562A20" w:rsidRPr="00004886">
        <w:rPr>
          <w:rFonts w:ascii="Times New Roman" w:hAnsi="Times New Roman" w:cs="Times New Roman"/>
        </w:rPr>
        <w:t>n s</w:t>
      </w:r>
      <w:r w:rsidR="00E368DB" w:rsidRPr="00004886">
        <w:rPr>
          <w:rFonts w:ascii="Times New Roman" w:hAnsi="Times New Roman" w:cs="Times New Roman"/>
        </w:rPr>
        <w:t>ection</w:t>
      </w:r>
      <w:r w:rsidR="00EC355D" w:rsidRPr="00004886">
        <w:rPr>
          <w:rFonts w:ascii="Times New Roman" w:hAnsi="Times New Roman" w:cs="Times New Roman"/>
        </w:rPr>
        <w:t xml:space="preserve"> 193</w:t>
      </w:r>
      <w:r w:rsidR="00562A20" w:rsidRPr="00004886">
        <w:rPr>
          <w:rFonts w:ascii="Times New Roman" w:hAnsi="Times New Roman" w:cs="Times New Roman"/>
        </w:rPr>
        <w:t xml:space="preserve"> is looser than that of the equivalent sections in the predecessor sex and race legislation, which referred to a ‘provision’ in the charitable instrument. Thus there is an argument that discrimination under s</w:t>
      </w:r>
      <w:r w:rsidR="00E368DB" w:rsidRPr="00004886">
        <w:rPr>
          <w:rFonts w:ascii="Times New Roman" w:hAnsi="Times New Roman" w:cs="Times New Roman"/>
        </w:rPr>
        <w:t>ection</w:t>
      </w:r>
      <w:r w:rsidR="00562A20" w:rsidRPr="00004886">
        <w:rPr>
          <w:rFonts w:ascii="Times New Roman" w:hAnsi="Times New Roman" w:cs="Times New Roman"/>
        </w:rPr>
        <w:t xml:space="preserve"> 193 could be acceptable even for charities with more broadly drafted objects. The Explanatory Notes to the </w:t>
      </w:r>
      <w:r w:rsidR="00562A20" w:rsidRPr="00004886">
        <w:rPr>
          <w:rFonts w:ascii="Times New Roman" w:hAnsi="Times New Roman" w:cs="Times New Roman"/>
        </w:rPr>
        <w:lastRenderedPageBreak/>
        <w:t>Equality Act indicate, however, that what was intended was to replicate and harmonise the predecessor legislation, rather than to change it.</w:t>
      </w:r>
      <w:r w:rsidR="00562A20" w:rsidRPr="00004886">
        <w:rPr>
          <w:rStyle w:val="FootnoteReference"/>
          <w:rFonts w:ascii="Times New Roman" w:hAnsi="Times New Roman" w:cs="Times New Roman"/>
        </w:rPr>
        <w:footnoteReference w:id="44"/>
      </w:r>
      <w:r w:rsidR="00562A20" w:rsidRPr="00004886">
        <w:rPr>
          <w:rFonts w:ascii="Times New Roman" w:hAnsi="Times New Roman" w:cs="Times New Roman"/>
        </w:rPr>
        <w:t xml:space="preserve">   </w:t>
      </w:r>
    </w:p>
    <w:p w14:paraId="7048090E" w14:textId="77777777" w:rsidR="00EF700D" w:rsidRPr="00004886" w:rsidRDefault="00EF700D" w:rsidP="00004886">
      <w:pPr>
        <w:spacing w:line="480" w:lineRule="auto"/>
        <w:ind w:firstLine="720"/>
        <w:rPr>
          <w:rFonts w:ascii="Times New Roman" w:hAnsi="Times New Roman" w:cs="Times New Roman"/>
        </w:rPr>
      </w:pPr>
    </w:p>
    <w:p w14:paraId="6FF976C8" w14:textId="25B805DC" w:rsidR="007609B3" w:rsidRDefault="00F71274" w:rsidP="00004886">
      <w:pPr>
        <w:spacing w:line="480" w:lineRule="auto"/>
        <w:ind w:firstLine="720"/>
        <w:rPr>
          <w:rFonts w:ascii="Times New Roman" w:hAnsi="Times New Roman" w:cs="Times New Roman"/>
        </w:rPr>
      </w:pPr>
      <w:r w:rsidRPr="00004886">
        <w:rPr>
          <w:rFonts w:ascii="Times New Roman" w:hAnsi="Times New Roman" w:cs="Times New Roman"/>
        </w:rPr>
        <w:t xml:space="preserve">Prior to the </w:t>
      </w:r>
      <w:r w:rsidR="006A0739" w:rsidRPr="00004886">
        <w:rPr>
          <w:rFonts w:ascii="Times New Roman" w:hAnsi="Times New Roman" w:cs="Times New Roman"/>
        </w:rPr>
        <w:t>Equality Act</w:t>
      </w:r>
      <w:r w:rsidRPr="00004886">
        <w:rPr>
          <w:rFonts w:ascii="Times New Roman" w:hAnsi="Times New Roman" w:cs="Times New Roman"/>
        </w:rPr>
        <w:t>, the general charitable exception would not have required further justification, except in the case of sex discrimination. In the case of sex discrimination, the Sex Discrimination Act 1975 was amended in 2008 to comply with the EC Directive 2004/113 on equal treatment of men and women in the supply of goods and services. Secti</w:t>
      </w:r>
      <w:r w:rsidR="00195A43" w:rsidRPr="00004886">
        <w:rPr>
          <w:rFonts w:ascii="Times New Roman" w:hAnsi="Times New Roman" w:cs="Times New Roman"/>
        </w:rPr>
        <w:t>on 43(2A) was inserted to impose</w:t>
      </w:r>
      <w:r w:rsidRPr="00004886">
        <w:rPr>
          <w:rFonts w:ascii="Times New Roman" w:hAnsi="Times New Roman" w:cs="Times New Roman"/>
        </w:rPr>
        <w:t xml:space="preserve"> the additional criteria that as well as the provision for the discrimination in the charitable instrument, the discriminatory treatment </w:t>
      </w:r>
      <w:r w:rsidR="00195A43" w:rsidRPr="00004886">
        <w:rPr>
          <w:rFonts w:ascii="Times New Roman" w:hAnsi="Times New Roman" w:cs="Times New Roman"/>
        </w:rPr>
        <w:t>must be capable of objective justification, and therefore must</w:t>
      </w:r>
      <w:r w:rsidRPr="00004886">
        <w:rPr>
          <w:rFonts w:ascii="Times New Roman" w:hAnsi="Times New Roman" w:cs="Times New Roman"/>
        </w:rPr>
        <w:t xml:space="preserve"> be either a proportionate means of achieving </w:t>
      </w:r>
      <w:r w:rsidR="00EF700D">
        <w:rPr>
          <w:rFonts w:ascii="Times New Roman" w:hAnsi="Times New Roman" w:cs="Times New Roman"/>
        </w:rPr>
        <w:t>a legitimate</w:t>
      </w:r>
      <w:r w:rsidRPr="00004886">
        <w:rPr>
          <w:rFonts w:ascii="Times New Roman" w:hAnsi="Times New Roman" w:cs="Times New Roman"/>
        </w:rPr>
        <w:t xml:space="preserve"> aim or for the purpose of preventing or compensating for a disadvantage. </w:t>
      </w:r>
      <w:r w:rsidR="007609B3" w:rsidRPr="00004886">
        <w:rPr>
          <w:rFonts w:ascii="Times New Roman" w:hAnsi="Times New Roman" w:cs="Times New Roman"/>
        </w:rPr>
        <w:t xml:space="preserve">These two restrictions are </w:t>
      </w:r>
      <w:r w:rsidR="000E7B2C" w:rsidRPr="00004886">
        <w:rPr>
          <w:rFonts w:ascii="Times New Roman" w:hAnsi="Times New Roman" w:cs="Times New Roman"/>
        </w:rPr>
        <w:t xml:space="preserve">replicated in </w:t>
      </w:r>
      <w:r w:rsidR="006A0739" w:rsidRPr="00004886">
        <w:rPr>
          <w:rFonts w:ascii="Times New Roman" w:hAnsi="Times New Roman" w:cs="Times New Roman"/>
        </w:rPr>
        <w:t>Equality Act</w:t>
      </w:r>
      <w:r w:rsidR="000E7B2C" w:rsidRPr="00004886">
        <w:rPr>
          <w:rFonts w:ascii="Times New Roman" w:hAnsi="Times New Roman" w:cs="Times New Roman"/>
        </w:rPr>
        <w:t xml:space="preserve"> </w:t>
      </w:r>
      <w:r w:rsidR="007609B3" w:rsidRPr="00004886">
        <w:rPr>
          <w:rFonts w:ascii="Times New Roman" w:hAnsi="Times New Roman" w:cs="Times New Roman"/>
        </w:rPr>
        <w:t>s</w:t>
      </w:r>
      <w:r w:rsidR="000E7B2C" w:rsidRPr="00004886">
        <w:rPr>
          <w:rFonts w:ascii="Times New Roman" w:hAnsi="Times New Roman" w:cs="Times New Roman"/>
        </w:rPr>
        <w:t>ection</w:t>
      </w:r>
      <w:r w:rsidR="007609B3" w:rsidRPr="00004886">
        <w:rPr>
          <w:rFonts w:ascii="Times New Roman" w:hAnsi="Times New Roman" w:cs="Times New Roman"/>
        </w:rPr>
        <w:t xml:space="preserve"> 193(</w:t>
      </w:r>
      <w:r w:rsidR="006741F9" w:rsidRPr="00004886">
        <w:rPr>
          <w:rFonts w:ascii="Times New Roman" w:hAnsi="Times New Roman" w:cs="Times New Roman"/>
        </w:rPr>
        <w:t>2</w:t>
      </w:r>
      <w:r w:rsidR="007609B3" w:rsidRPr="00004886">
        <w:rPr>
          <w:rFonts w:ascii="Times New Roman" w:hAnsi="Times New Roman" w:cs="Times New Roman"/>
        </w:rPr>
        <w:t>)</w:t>
      </w:r>
      <w:r w:rsidR="006741F9" w:rsidRPr="00004886">
        <w:rPr>
          <w:rFonts w:ascii="Times New Roman" w:hAnsi="Times New Roman" w:cs="Times New Roman"/>
        </w:rPr>
        <w:t>(a)</w:t>
      </w:r>
      <w:r w:rsidR="007609B3" w:rsidRPr="00004886">
        <w:rPr>
          <w:rFonts w:ascii="Times New Roman" w:hAnsi="Times New Roman" w:cs="Times New Roman"/>
        </w:rPr>
        <w:t xml:space="preserve"> and (</w:t>
      </w:r>
      <w:r w:rsidR="006741F9" w:rsidRPr="00004886">
        <w:rPr>
          <w:rFonts w:ascii="Times New Roman" w:hAnsi="Times New Roman" w:cs="Times New Roman"/>
        </w:rPr>
        <w:t>b</w:t>
      </w:r>
      <w:r w:rsidR="007609B3" w:rsidRPr="00004886">
        <w:rPr>
          <w:rFonts w:ascii="Times New Roman" w:hAnsi="Times New Roman" w:cs="Times New Roman"/>
        </w:rPr>
        <w:t xml:space="preserve">). </w:t>
      </w:r>
      <w:r w:rsidR="00562A20" w:rsidRPr="00004886">
        <w:rPr>
          <w:rFonts w:ascii="Times New Roman" w:hAnsi="Times New Roman" w:cs="Times New Roman"/>
        </w:rPr>
        <w:t xml:space="preserve">The </w:t>
      </w:r>
      <w:r w:rsidR="007666F0">
        <w:rPr>
          <w:rFonts w:ascii="Times New Roman" w:hAnsi="Times New Roman" w:cs="Times New Roman"/>
        </w:rPr>
        <w:t>cisgender</w:t>
      </w:r>
      <w:r w:rsidR="000E7B2C" w:rsidRPr="00004886">
        <w:rPr>
          <w:rFonts w:ascii="Times New Roman" w:hAnsi="Times New Roman" w:cs="Times New Roman"/>
        </w:rPr>
        <w:t xml:space="preserve"> women’s </w:t>
      </w:r>
      <w:r w:rsidR="007609B3" w:rsidRPr="00004886">
        <w:rPr>
          <w:rFonts w:ascii="Times New Roman" w:hAnsi="Times New Roman" w:cs="Times New Roman"/>
        </w:rPr>
        <w:t>charity would therefore</w:t>
      </w:r>
      <w:r w:rsidR="00562A20" w:rsidRPr="00004886">
        <w:rPr>
          <w:rFonts w:ascii="Times New Roman" w:hAnsi="Times New Roman" w:cs="Times New Roman"/>
        </w:rPr>
        <w:t xml:space="preserve"> </w:t>
      </w:r>
      <w:r w:rsidR="007609B3" w:rsidRPr="00004886">
        <w:rPr>
          <w:rFonts w:ascii="Times New Roman" w:hAnsi="Times New Roman" w:cs="Times New Roman"/>
        </w:rPr>
        <w:t>be required to demonstrate that its proposed discriminatory restriction in the provisio</w:t>
      </w:r>
      <w:r w:rsidR="000E7B2C" w:rsidRPr="00004886">
        <w:rPr>
          <w:rFonts w:ascii="Times New Roman" w:hAnsi="Times New Roman" w:cs="Times New Roman"/>
        </w:rPr>
        <w:t>n of services could fall within</w:t>
      </w:r>
      <w:r w:rsidR="007609B3" w:rsidRPr="00004886">
        <w:rPr>
          <w:rFonts w:ascii="Times New Roman" w:hAnsi="Times New Roman" w:cs="Times New Roman"/>
        </w:rPr>
        <w:t xml:space="preserve"> one of these two tests. </w:t>
      </w:r>
    </w:p>
    <w:p w14:paraId="1FC584CB" w14:textId="77777777" w:rsidR="00EF700D" w:rsidRPr="00004886" w:rsidRDefault="00EF700D" w:rsidP="00004886">
      <w:pPr>
        <w:spacing w:line="480" w:lineRule="auto"/>
        <w:ind w:firstLine="720"/>
        <w:rPr>
          <w:rFonts w:ascii="Times New Roman" w:hAnsi="Times New Roman" w:cs="Times New Roman"/>
        </w:rPr>
      </w:pPr>
    </w:p>
    <w:p w14:paraId="790904F3" w14:textId="039E4DB0" w:rsidR="004C2535" w:rsidRDefault="006741F9" w:rsidP="00004886">
      <w:pPr>
        <w:spacing w:line="480" w:lineRule="auto"/>
        <w:ind w:firstLine="720"/>
        <w:rPr>
          <w:rFonts w:ascii="Times New Roman" w:hAnsi="Times New Roman" w:cs="Times New Roman"/>
        </w:rPr>
      </w:pPr>
      <w:r w:rsidRPr="00004886">
        <w:rPr>
          <w:rFonts w:ascii="Times New Roman" w:hAnsi="Times New Roman" w:cs="Times New Roman"/>
        </w:rPr>
        <w:t xml:space="preserve">I will </w:t>
      </w:r>
      <w:r w:rsidR="00F61026">
        <w:rPr>
          <w:rFonts w:ascii="Times New Roman" w:hAnsi="Times New Roman" w:cs="Times New Roman"/>
        </w:rPr>
        <w:t xml:space="preserve">first </w:t>
      </w:r>
      <w:r w:rsidRPr="00004886">
        <w:rPr>
          <w:rFonts w:ascii="Times New Roman" w:hAnsi="Times New Roman" w:cs="Times New Roman"/>
        </w:rPr>
        <w:t>consider the test in s</w:t>
      </w:r>
      <w:r w:rsidR="000E7B2C" w:rsidRPr="00004886">
        <w:rPr>
          <w:rFonts w:ascii="Times New Roman" w:hAnsi="Times New Roman" w:cs="Times New Roman"/>
        </w:rPr>
        <w:t>ection</w:t>
      </w:r>
      <w:r w:rsidRPr="00004886">
        <w:rPr>
          <w:rFonts w:ascii="Times New Roman" w:hAnsi="Times New Roman" w:cs="Times New Roman"/>
        </w:rPr>
        <w:t xml:space="preserve"> 193(2)(b)</w:t>
      </w:r>
      <w:r w:rsidR="00C7051B" w:rsidRPr="00004886">
        <w:rPr>
          <w:rFonts w:ascii="Times New Roman" w:hAnsi="Times New Roman" w:cs="Times New Roman"/>
        </w:rPr>
        <w:t>, compensating for disadvantage,</w:t>
      </w:r>
      <w:r w:rsidRPr="00004886">
        <w:rPr>
          <w:rFonts w:ascii="Times New Roman" w:hAnsi="Times New Roman" w:cs="Times New Roman"/>
        </w:rPr>
        <w:t xml:space="preserve"> as our study indicated that it would likely be the easier of the two tests to satisfy.</w:t>
      </w:r>
      <w:r w:rsidR="00C7051B" w:rsidRPr="00004886">
        <w:rPr>
          <w:rFonts w:ascii="Times New Roman" w:hAnsi="Times New Roman" w:cs="Times New Roman"/>
        </w:rPr>
        <w:t xml:space="preserve"> This view may be shared by the Charity Commission, which refers to the s</w:t>
      </w:r>
      <w:r w:rsidR="000E7B2C" w:rsidRPr="00004886">
        <w:rPr>
          <w:rFonts w:ascii="Times New Roman" w:hAnsi="Times New Roman" w:cs="Times New Roman"/>
        </w:rPr>
        <w:t>ection</w:t>
      </w:r>
      <w:r w:rsidR="00C7051B" w:rsidRPr="00004886">
        <w:rPr>
          <w:rFonts w:ascii="Times New Roman" w:hAnsi="Times New Roman" w:cs="Times New Roman"/>
        </w:rPr>
        <w:t xml:space="preserve"> 193(2)(b) test as ‘Test A’ in its guidance.</w:t>
      </w:r>
      <w:r w:rsidR="00C7051B" w:rsidRPr="00004886">
        <w:rPr>
          <w:rStyle w:val="FootnoteReference"/>
          <w:rFonts w:ascii="Times New Roman" w:hAnsi="Times New Roman" w:cs="Times New Roman"/>
        </w:rPr>
        <w:footnoteReference w:id="45"/>
      </w:r>
      <w:r w:rsidR="00C7051B" w:rsidRPr="00004886">
        <w:rPr>
          <w:rFonts w:ascii="Times New Roman" w:hAnsi="Times New Roman" w:cs="Times New Roman"/>
        </w:rPr>
        <w:t xml:space="preserve"> It would be up to the charity to establish the existence of the disadvantage</w:t>
      </w:r>
      <w:r w:rsidR="007327C5">
        <w:rPr>
          <w:rFonts w:ascii="Times New Roman" w:hAnsi="Times New Roman" w:cs="Times New Roman"/>
        </w:rPr>
        <w:t xml:space="preserve"> it aims to remedy</w:t>
      </w:r>
      <w:r w:rsidR="00C7051B" w:rsidRPr="00004886">
        <w:rPr>
          <w:rFonts w:ascii="Times New Roman" w:hAnsi="Times New Roman" w:cs="Times New Roman"/>
        </w:rPr>
        <w:t>. The Charity Commission guidance offers examples for when the test would be satisfied. One example is that of a charity set</w:t>
      </w:r>
      <w:r w:rsidR="007211E2" w:rsidRPr="00004886">
        <w:rPr>
          <w:rFonts w:ascii="Times New Roman" w:hAnsi="Times New Roman" w:cs="Times New Roman"/>
        </w:rPr>
        <w:t xml:space="preserve"> </w:t>
      </w:r>
      <w:r w:rsidR="00C7051B" w:rsidRPr="00004886">
        <w:rPr>
          <w:rFonts w:ascii="Times New Roman" w:hAnsi="Times New Roman" w:cs="Times New Roman"/>
        </w:rPr>
        <w:t xml:space="preserve">up to address unemployment among persons of a particular nationality or ethnic origin. In order to satisfy the requirements of </w:t>
      </w:r>
      <w:r w:rsidR="006632FB">
        <w:rPr>
          <w:rFonts w:ascii="Times New Roman" w:hAnsi="Times New Roman" w:cs="Times New Roman"/>
        </w:rPr>
        <w:t>s</w:t>
      </w:r>
      <w:r w:rsidR="00C7051B" w:rsidRPr="00004886">
        <w:rPr>
          <w:rFonts w:ascii="Times New Roman" w:hAnsi="Times New Roman" w:cs="Times New Roman"/>
        </w:rPr>
        <w:t xml:space="preserve"> 193(2)(b), the charity would need to be able to demonstrate that unemployment is ‘particularly high’ for </w:t>
      </w:r>
      <w:r w:rsidR="00C7051B" w:rsidRPr="00004886">
        <w:rPr>
          <w:rFonts w:ascii="Times New Roman" w:hAnsi="Times New Roman" w:cs="Times New Roman"/>
        </w:rPr>
        <w:lastRenderedPageBreak/>
        <w:t>that group as compared to the population as a whole.</w:t>
      </w:r>
      <w:r w:rsidR="002A7A64" w:rsidRPr="00004886">
        <w:rPr>
          <w:rStyle w:val="FootnoteReference"/>
          <w:rFonts w:ascii="Times New Roman" w:hAnsi="Times New Roman" w:cs="Times New Roman"/>
        </w:rPr>
        <w:footnoteReference w:id="46"/>
      </w:r>
      <w:r w:rsidR="00C7051B" w:rsidRPr="00004886">
        <w:rPr>
          <w:rFonts w:ascii="Times New Roman" w:hAnsi="Times New Roman" w:cs="Times New Roman"/>
        </w:rPr>
        <w:t xml:space="preserve"> </w:t>
      </w:r>
      <w:r w:rsidR="002A7A64" w:rsidRPr="00004886">
        <w:rPr>
          <w:rFonts w:ascii="Times New Roman" w:hAnsi="Times New Roman" w:cs="Times New Roman"/>
        </w:rPr>
        <w:t xml:space="preserve">The guidance is silent as to the </w:t>
      </w:r>
      <w:r w:rsidR="007666F0">
        <w:rPr>
          <w:rFonts w:ascii="Times New Roman" w:hAnsi="Times New Roman" w:cs="Times New Roman"/>
        </w:rPr>
        <w:t xml:space="preserve">standard of </w:t>
      </w:r>
      <w:r w:rsidR="002A7A64" w:rsidRPr="00004886">
        <w:rPr>
          <w:rFonts w:ascii="Times New Roman" w:hAnsi="Times New Roman" w:cs="Times New Roman"/>
        </w:rPr>
        <w:t>evidentiary requirements for this. The EHRC Statutory Code of Practice on Services, Public Functions and Associations instructs that a charity would have to ‘demonstrate a reasonable connection between the past or current disadvantage experienced by this group and the benefits provided by the charity.’</w:t>
      </w:r>
      <w:r w:rsidR="002A7A64" w:rsidRPr="00004886">
        <w:rPr>
          <w:rStyle w:val="FootnoteReference"/>
          <w:rFonts w:ascii="Times New Roman" w:hAnsi="Times New Roman" w:cs="Times New Roman"/>
        </w:rPr>
        <w:footnoteReference w:id="47"/>
      </w:r>
      <w:r w:rsidR="002C5A2C" w:rsidRPr="00004886">
        <w:rPr>
          <w:rFonts w:ascii="Times New Roman" w:hAnsi="Times New Roman" w:cs="Times New Roman"/>
        </w:rPr>
        <w:t xml:space="preserve"> Moreover, the benefits must be ‘capable of making a difference in terms of overcoming the disadvantage linked to the protected characteristic.’</w:t>
      </w:r>
      <w:r w:rsidR="002C5A2C" w:rsidRPr="00004886">
        <w:rPr>
          <w:rStyle w:val="FootnoteReference"/>
          <w:rFonts w:ascii="Times New Roman" w:hAnsi="Times New Roman" w:cs="Times New Roman"/>
        </w:rPr>
        <w:footnoteReference w:id="48"/>
      </w:r>
    </w:p>
    <w:p w14:paraId="6B170F1C" w14:textId="77777777" w:rsidR="00EF700D" w:rsidRPr="00004886" w:rsidRDefault="00EF700D" w:rsidP="00004886">
      <w:pPr>
        <w:spacing w:line="480" w:lineRule="auto"/>
        <w:ind w:firstLine="720"/>
        <w:rPr>
          <w:rFonts w:ascii="Times New Roman" w:hAnsi="Times New Roman" w:cs="Times New Roman"/>
        </w:rPr>
      </w:pPr>
    </w:p>
    <w:p w14:paraId="7A3C3004" w14:textId="078FF68D" w:rsidR="00195A43" w:rsidRDefault="004C2535" w:rsidP="00004886">
      <w:pPr>
        <w:spacing w:line="480" w:lineRule="auto"/>
        <w:ind w:firstLine="720"/>
        <w:rPr>
          <w:rFonts w:ascii="Times New Roman" w:hAnsi="Times New Roman" w:cs="Times New Roman"/>
        </w:rPr>
      </w:pPr>
      <w:r w:rsidRPr="00004886">
        <w:rPr>
          <w:rFonts w:ascii="Times New Roman" w:hAnsi="Times New Roman" w:cs="Times New Roman"/>
        </w:rPr>
        <w:t xml:space="preserve">Participants in the study indicated that data that might establish the disadvantage </w:t>
      </w:r>
      <w:r w:rsidR="00802147" w:rsidRPr="00004886">
        <w:rPr>
          <w:rFonts w:ascii="Times New Roman" w:hAnsi="Times New Roman" w:cs="Times New Roman"/>
        </w:rPr>
        <w:t>were</w:t>
      </w:r>
      <w:r w:rsidRPr="00004886">
        <w:rPr>
          <w:rFonts w:ascii="Times New Roman" w:hAnsi="Times New Roman" w:cs="Times New Roman"/>
        </w:rPr>
        <w:t xml:space="preserve"> inconsistently collected. An example was offered of an attempt by a local association to set up a women’s network. Although the association employed a researcher to get baseline data</w:t>
      </w:r>
      <w:r w:rsidR="00195A43" w:rsidRPr="00004886">
        <w:rPr>
          <w:rFonts w:ascii="Times New Roman" w:hAnsi="Times New Roman" w:cs="Times New Roman"/>
        </w:rPr>
        <w:t>,</w:t>
      </w:r>
      <w:r w:rsidRPr="00004886">
        <w:rPr>
          <w:rFonts w:ascii="Times New Roman" w:hAnsi="Times New Roman" w:cs="Times New Roman"/>
        </w:rPr>
        <w:t xml:space="preserve"> there was little data available and agencies were reluctant to disclose it</w:t>
      </w:r>
      <w:r w:rsidR="00802147" w:rsidRPr="00004886">
        <w:rPr>
          <w:rFonts w:ascii="Times New Roman" w:hAnsi="Times New Roman" w:cs="Times New Roman"/>
        </w:rPr>
        <w:t>, forcing FOI requests</w:t>
      </w:r>
      <w:r w:rsidRPr="00004886">
        <w:rPr>
          <w:rFonts w:ascii="Times New Roman" w:hAnsi="Times New Roman" w:cs="Times New Roman"/>
        </w:rPr>
        <w:t xml:space="preserve"> (Focus Gr</w:t>
      </w:r>
      <w:r w:rsidR="00802147" w:rsidRPr="00004886">
        <w:rPr>
          <w:rFonts w:ascii="Times New Roman" w:hAnsi="Times New Roman" w:cs="Times New Roman"/>
        </w:rPr>
        <w:t>oup 17/1/13). Even where data a</w:t>
      </w:r>
      <w:r w:rsidRPr="00004886">
        <w:rPr>
          <w:rFonts w:ascii="Times New Roman" w:hAnsi="Times New Roman" w:cs="Times New Roman"/>
        </w:rPr>
        <w:t xml:space="preserve">re available, the test requires a causal connection that participants </w:t>
      </w:r>
      <w:r w:rsidR="00802147" w:rsidRPr="00004886">
        <w:rPr>
          <w:rFonts w:ascii="Times New Roman" w:hAnsi="Times New Roman" w:cs="Times New Roman"/>
        </w:rPr>
        <w:t>noted could be hard to establish ‘how do you know that BME youth unemployment is linked to race, rather than just that all y</w:t>
      </w:r>
      <w:r w:rsidR="000E7B2C" w:rsidRPr="00004886">
        <w:rPr>
          <w:rFonts w:ascii="Times New Roman" w:hAnsi="Times New Roman" w:cs="Times New Roman"/>
        </w:rPr>
        <w:t>outh in the area are unemployed</w:t>
      </w:r>
      <w:r w:rsidR="00802147" w:rsidRPr="00004886">
        <w:rPr>
          <w:rFonts w:ascii="Times New Roman" w:hAnsi="Times New Roman" w:cs="Times New Roman"/>
        </w:rPr>
        <w:t>’ (Focus Group 17/1/13).</w:t>
      </w:r>
      <w:r w:rsidRPr="00004886">
        <w:rPr>
          <w:rFonts w:ascii="Times New Roman" w:hAnsi="Times New Roman" w:cs="Times New Roman"/>
        </w:rPr>
        <w:t xml:space="preserve"> </w:t>
      </w:r>
    </w:p>
    <w:p w14:paraId="38F227FC" w14:textId="77777777" w:rsidR="00EF700D" w:rsidRPr="00004886" w:rsidRDefault="00EF700D" w:rsidP="00004886">
      <w:pPr>
        <w:spacing w:line="480" w:lineRule="auto"/>
        <w:ind w:firstLine="720"/>
        <w:rPr>
          <w:rFonts w:ascii="Times New Roman" w:hAnsi="Times New Roman" w:cs="Times New Roman"/>
        </w:rPr>
      </w:pPr>
    </w:p>
    <w:p w14:paraId="2B89EED9" w14:textId="4E0C0D0A" w:rsidR="00195A43" w:rsidRDefault="006632FB" w:rsidP="00004886">
      <w:pPr>
        <w:spacing w:line="480" w:lineRule="auto"/>
        <w:ind w:firstLine="720"/>
        <w:rPr>
          <w:rFonts w:ascii="Times New Roman" w:hAnsi="Times New Roman" w:cs="Times New Roman"/>
        </w:rPr>
      </w:pPr>
      <w:r>
        <w:rPr>
          <w:rFonts w:ascii="Times New Roman" w:hAnsi="Times New Roman" w:cs="Times New Roman"/>
        </w:rPr>
        <w:t>The</w:t>
      </w:r>
      <w:r w:rsidRPr="00004886">
        <w:rPr>
          <w:rFonts w:ascii="Times New Roman" w:hAnsi="Times New Roman" w:cs="Times New Roman"/>
        </w:rPr>
        <w:t xml:space="preserve"> </w:t>
      </w:r>
      <w:r>
        <w:rPr>
          <w:rFonts w:ascii="Times New Roman" w:hAnsi="Times New Roman" w:cs="Times New Roman"/>
        </w:rPr>
        <w:t xml:space="preserve">requirements for s 193(2)(b) </w:t>
      </w:r>
      <w:r w:rsidR="00195A43" w:rsidRPr="00004886">
        <w:rPr>
          <w:rFonts w:ascii="Times New Roman" w:hAnsi="Times New Roman" w:cs="Times New Roman"/>
        </w:rPr>
        <w:t xml:space="preserve">would present </w:t>
      </w:r>
      <w:r w:rsidR="00C4672D" w:rsidRPr="00004886">
        <w:rPr>
          <w:rFonts w:ascii="Times New Roman" w:hAnsi="Times New Roman" w:cs="Times New Roman"/>
        </w:rPr>
        <w:t>a substantial barrier</w:t>
      </w:r>
      <w:r w:rsidR="00195A43" w:rsidRPr="00004886">
        <w:rPr>
          <w:rFonts w:ascii="Times New Roman" w:hAnsi="Times New Roman" w:cs="Times New Roman"/>
        </w:rPr>
        <w:t xml:space="preserve"> for </w:t>
      </w:r>
      <w:r>
        <w:rPr>
          <w:rFonts w:ascii="Times New Roman" w:hAnsi="Times New Roman" w:cs="Times New Roman"/>
        </w:rPr>
        <w:t xml:space="preserve">the hypothetical </w:t>
      </w:r>
      <w:r w:rsidR="007666F0">
        <w:rPr>
          <w:rFonts w:ascii="Times New Roman" w:hAnsi="Times New Roman" w:cs="Times New Roman"/>
        </w:rPr>
        <w:t>cisgender</w:t>
      </w:r>
      <w:r w:rsidR="000E7B2C" w:rsidRPr="00004886">
        <w:rPr>
          <w:rFonts w:ascii="Times New Roman" w:hAnsi="Times New Roman" w:cs="Times New Roman"/>
        </w:rPr>
        <w:t xml:space="preserve"> women’s charity</w:t>
      </w:r>
      <w:r w:rsidR="00195A43" w:rsidRPr="00004886">
        <w:rPr>
          <w:rFonts w:ascii="Times New Roman" w:hAnsi="Times New Roman" w:cs="Times New Roman"/>
        </w:rPr>
        <w:t>. The</w:t>
      </w:r>
      <w:r>
        <w:rPr>
          <w:rFonts w:ascii="Times New Roman" w:hAnsi="Times New Roman" w:cs="Times New Roman"/>
        </w:rPr>
        <w:t xml:space="preserve"> charity would</w:t>
      </w:r>
      <w:r w:rsidR="007001BE">
        <w:rPr>
          <w:rFonts w:ascii="Times New Roman" w:hAnsi="Times New Roman" w:cs="Times New Roman"/>
        </w:rPr>
        <w:t xml:space="preserve"> </w:t>
      </w:r>
      <w:r w:rsidR="00195A43" w:rsidRPr="00004886">
        <w:rPr>
          <w:rFonts w:ascii="Times New Roman" w:hAnsi="Times New Roman" w:cs="Times New Roman"/>
        </w:rPr>
        <w:t xml:space="preserve">have to show that </w:t>
      </w:r>
      <w:r w:rsidR="007666F0">
        <w:rPr>
          <w:rFonts w:ascii="Times New Roman" w:hAnsi="Times New Roman" w:cs="Times New Roman"/>
        </w:rPr>
        <w:t>cisgender</w:t>
      </w:r>
      <w:r w:rsidR="00195A43" w:rsidRPr="00004886">
        <w:rPr>
          <w:rFonts w:ascii="Times New Roman" w:hAnsi="Times New Roman" w:cs="Times New Roman"/>
        </w:rPr>
        <w:t xml:space="preserve"> women suffer some disadvantage that transgend</w:t>
      </w:r>
      <w:r w:rsidR="00C4672D" w:rsidRPr="00004886">
        <w:rPr>
          <w:rFonts w:ascii="Times New Roman" w:hAnsi="Times New Roman" w:cs="Times New Roman"/>
        </w:rPr>
        <w:t>ered women do not. A case might be able to be made for this under</w:t>
      </w:r>
      <w:r w:rsidR="00195A43" w:rsidRPr="00004886">
        <w:rPr>
          <w:rFonts w:ascii="Times New Roman" w:hAnsi="Times New Roman" w:cs="Times New Roman"/>
        </w:rPr>
        <w:t xml:space="preserve"> s</w:t>
      </w:r>
      <w:r w:rsidR="00C4672D" w:rsidRPr="00004886">
        <w:rPr>
          <w:rFonts w:ascii="Times New Roman" w:hAnsi="Times New Roman" w:cs="Times New Roman"/>
        </w:rPr>
        <w:t>ection</w:t>
      </w:r>
      <w:r w:rsidR="00195A43" w:rsidRPr="00004886">
        <w:rPr>
          <w:rFonts w:ascii="Times New Roman" w:hAnsi="Times New Roman" w:cs="Times New Roman"/>
        </w:rPr>
        <w:t xml:space="preserve"> 193(2)(b)</w:t>
      </w:r>
      <w:r w:rsidR="00C4672D" w:rsidRPr="00004886">
        <w:rPr>
          <w:rFonts w:ascii="Times New Roman" w:hAnsi="Times New Roman" w:cs="Times New Roman"/>
        </w:rPr>
        <w:t xml:space="preserve"> if the charity </w:t>
      </w:r>
      <w:r>
        <w:rPr>
          <w:rFonts w:ascii="Times New Roman" w:hAnsi="Times New Roman" w:cs="Times New Roman"/>
        </w:rPr>
        <w:t>were</w:t>
      </w:r>
      <w:r w:rsidR="00C4672D" w:rsidRPr="00004886">
        <w:rPr>
          <w:rFonts w:ascii="Times New Roman" w:hAnsi="Times New Roman" w:cs="Times New Roman"/>
        </w:rPr>
        <w:t xml:space="preserve"> addressing some sort of biologically linked disadvantage that </w:t>
      </w:r>
      <w:r w:rsidR="007666F0">
        <w:rPr>
          <w:rFonts w:ascii="Times New Roman" w:hAnsi="Times New Roman" w:cs="Times New Roman"/>
        </w:rPr>
        <w:t>cisgender</w:t>
      </w:r>
      <w:r w:rsidR="00C4672D" w:rsidRPr="00004886">
        <w:rPr>
          <w:rFonts w:ascii="Times New Roman" w:hAnsi="Times New Roman" w:cs="Times New Roman"/>
        </w:rPr>
        <w:t xml:space="preserve"> women experience but trans women </w:t>
      </w:r>
      <w:r w:rsidR="00EF700D">
        <w:rPr>
          <w:rFonts w:ascii="Times New Roman" w:hAnsi="Times New Roman" w:cs="Times New Roman"/>
        </w:rPr>
        <w:t xml:space="preserve">do not, such as cervical cancer, making the discrimination necessary. </w:t>
      </w:r>
      <w:r w:rsidR="00C6254F">
        <w:rPr>
          <w:rFonts w:ascii="Times New Roman" w:hAnsi="Times New Roman" w:cs="Times New Roman"/>
        </w:rPr>
        <w:t>It would be more appropriate to</w:t>
      </w:r>
      <w:r w:rsidR="00C4672D" w:rsidRPr="00004886">
        <w:rPr>
          <w:rFonts w:ascii="Times New Roman" w:hAnsi="Times New Roman" w:cs="Times New Roman"/>
        </w:rPr>
        <w:t xml:space="preserve"> </w:t>
      </w:r>
      <w:r w:rsidR="00C4672D" w:rsidRPr="00004886">
        <w:rPr>
          <w:rFonts w:ascii="Times New Roman" w:hAnsi="Times New Roman" w:cs="Times New Roman"/>
        </w:rPr>
        <w:lastRenderedPageBreak/>
        <w:t>set up a charity to address cervical cancer</w:t>
      </w:r>
      <w:r w:rsidR="00C6254F">
        <w:rPr>
          <w:rFonts w:ascii="Times New Roman" w:hAnsi="Times New Roman" w:cs="Times New Roman"/>
        </w:rPr>
        <w:t xml:space="preserve"> in this situation</w:t>
      </w:r>
      <w:r w:rsidR="00195A43" w:rsidRPr="00004886">
        <w:rPr>
          <w:rFonts w:ascii="Times New Roman" w:hAnsi="Times New Roman" w:cs="Times New Roman"/>
        </w:rPr>
        <w:t>.</w:t>
      </w:r>
      <w:r w:rsidR="00F61026">
        <w:rPr>
          <w:rFonts w:ascii="Times New Roman" w:hAnsi="Times New Roman" w:cs="Times New Roman"/>
        </w:rPr>
        <w:t xml:space="preserve"> </w:t>
      </w:r>
      <w:r w:rsidR="00EF700D">
        <w:rPr>
          <w:rFonts w:ascii="Times New Roman" w:hAnsi="Times New Roman" w:cs="Times New Roman"/>
        </w:rPr>
        <w:t xml:space="preserve">Concerns about the inclusion of transgender women are </w:t>
      </w:r>
      <w:r w:rsidR="00E14FAE">
        <w:rPr>
          <w:rFonts w:ascii="Times New Roman" w:hAnsi="Times New Roman" w:cs="Times New Roman"/>
        </w:rPr>
        <w:t xml:space="preserve">most </w:t>
      </w:r>
      <w:r w:rsidR="00EF700D">
        <w:rPr>
          <w:rFonts w:ascii="Times New Roman" w:hAnsi="Times New Roman" w:cs="Times New Roman"/>
        </w:rPr>
        <w:t xml:space="preserve">often </w:t>
      </w:r>
      <w:r w:rsidR="00E14FAE">
        <w:rPr>
          <w:rFonts w:ascii="Times New Roman" w:hAnsi="Times New Roman" w:cs="Times New Roman"/>
        </w:rPr>
        <w:t>express</w:t>
      </w:r>
      <w:r w:rsidR="00EF700D">
        <w:rPr>
          <w:rFonts w:ascii="Times New Roman" w:hAnsi="Times New Roman" w:cs="Times New Roman"/>
        </w:rPr>
        <w:t>ed i</w:t>
      </w:r>
      <w:r w:rsidR="00F61026">
        <w:rPr>
          <w:rFonts w:ascii="Times New Roman" w:hAnsi="Times New Roman" w:cs="Times New Roman"/>
        </w:rPr>
        <w:t xml:space="preserve">n the case of </w:t>
      </w:r>
      <w:r w:rsidR="00E14FAE">
        <w:rPr>
          <w:rFonts w:ascii="Times New Roman" w:hAnsi="Times New Roman" w:cs="Times New Roman"/>
        </w:rPr>
        <w:t xml:space="preserve">sensitive services, such as </w:t>
      </w:r>
      <w:r w:rsidR="00F61026">
        <w:rPr>
          <w:rFonts w:ascii="Times New Roman" w:hAnsi="Times New Roman" w:cs="Times New Roman"/>
        </w:rPr>
        <w:t>domestic violence counselling or a rape crisis centre</w:t>
      </w:r>
      <w:r w:rsidR="00E14FAE">
        <w:rPr>
          <w:rFonts w:ascii="Times New Roman" w:hAnsi="Times New Roman" w:cs="Times New Roman"/>
        </w:rPr>
        <w:t>.</w:t>
      </w:r>
      <w:r w:rsidR="00E14FAE">
        <w:rPr>
          <w:rStyle w:val="FootnoteReference"/>
          <w:rFonts w:ascii="Times New Roman" w:hAnsi="Times New Roman" w:cs="Times New Roman"/>
        </w:rPr>
        <w:footnoteReference w:id="49"/>
      </w:r>
      <w:r w:rsidR="00F61026">
        <w:rPr>
          <w:rFonts w:ascii="Times New Roman" w:hAnsi="Times New Roman" w:cs="Times New Roman"/>
        </w:rPr>
        <w:t xml:space="preserve"> </w:t>
      </w:r>
      <w:r w:rsidR="00E14FAE">
        <w:rPr>
          <w:rFonts w:ascii="Times New Roman" w:hAnsi="Times New Roman" w:cs="Times New Roman"/>
        </w:rPr>
        <w:t>Even here, however,</w:t>
      </w:r>
      <w:r w:rsidR="00F61026">
        <w:rPr>
          <w:rFonts w:ascii="Times New Roman" w:hAnsi="Times New Roman" w:cs="Times New Roman"/>
        </w:rPr>
        <w:t xml:space="preserve"> the evidence of disadvantage would not support excluding </w:t>
      </w:r>
      <w:r w:rsidR="007666F0">
        <w:rPr>
          <w:rFonts w:ascii="Times New Roman" w:hAnsi="Times New Roman" w:cs="Times New Roman"/>
        </w:rPr>
        <w:t>transgender</w:t>
      </w:r>
      <w:r w:rsidR="00F61026">
        <w:rPr>
          <w:rFonts w:ascii="Times New Roman" w:hAnsi="Times New Roman" w:cs="Times New Roman"/>
        </w:rPr>
        <w:t xml:space="preserve"> women, who suffer violence at a high rate.</w:t>
      </w:r>
      <w:r w:rsidR="00F61026">
        <w:rPr>
          <w:rStyle w:val="FootnoteReference"/>
          <w:rFonts w:ascii="Times New Roman" w:hAnsi="Times New Roman" w:cs="Times New Roman"/>
        </w:rPr>
        <w:footnoteReference w:id="50"/>
      </w:r>
    </w:p>
    <w:p w14:paraId="535EEA49" w14:textId="77777777" w:rsidR="00EF700D" w:rsidRPr="00004886" w:rsidRDefault="00EF700D" w:rsidP="00004886">
      <w:pPr>
        <w:spacing w:line="480" w:lineRule="auto"/>
        <w:ind w:firstLine="720"/>
        <w:rPr>
          <w:rFonts w:ascii="Times New Roman" w:hAnsi="Times New Roman" w:cs="Times New Roman"/>
        </w:rPr>
      </w:pPr>
    </w:p>
    <w:p w14:paraId="49A0BE4C" w14:textId="270E9FC8" w:rsidR="001321E3" w:rsidRDefault="00195A43" w:rsidP="00004886">
      <w:pPr>
        <w:spacing w:line="480" w:lineRule="auto"/>
        <w:ind w:firstLine="720"/>
        <w:rPr>
          <w:rFonts w:ascii="Times New Roman" w:hAnsi="Times New Roman" w:cs="Times New Roman"/>
        </w:rPr>
      </w:pPr>
      <w:r w:rsidRPr="00004886">
        <w:rPr>
          <w:rFonts w:ascii="Times New Roman" w:hAnsi="Times New Roman" w:cs="Times New Roman"/>
        </w:rPr>
        <w:t xml:space="preserve">The </w:t>
      </w:r>
      <w:r w:rsidR="007666F0">
        <w:rPr>
          <w:rFonts w:ascii="Times New Roman" w:hAnsi="Times New Roman" w:cs="Times New Roman"/>
        </w:rPr>
        <w:t>cisgender</w:t>
      </w:r>
      <w:r w:rsidR="00C4672D" w:rsidRPr="00004886">
        <w:rPr>
          <w:rFonts w:ascii="Times New Roman" w:hAnsi="Times New Roman" w:cs="Times New Roman"/>
        </w:rPr>
        <w:t xml:space="preserve"> women’</w:t>
      </w:r>
      <w:r w:rsidR="007211E2" w:rsidRPr="00004886">
        <w:rPr>
          <w:rFonts w:ascii="Times New Roman" w:hAnsi="Times New Roman" w:cs="Times New Roman"/>
        </w:rPr>
        <w:t>s</w:t>
      </w:r>
      <w:r w:rsidRPr="00004886">
        <w:rPr>
          <w:rFonts w:ascii="Times New Roman" w:hAnsi="Times New Roman" w:cs="Times New Roman"/>
        </w:rPr>
        <w:t xml:space="preserve"> charity w</w:t>
      </w:r>
      <w:r w:rsidR="00C6254F">
        <w:rPr>
          <w:rFonts w:ascii="Times New Roman" w:hAnsi="Times New Roman" w:cs="Times New Roman"/>
        </w:rPr>
        <w:t>ould</w:t>
      </w:r>
      <w:r w:rsidRPr="00004886">
        <w:rPr>
          <w:rFonts w:ascii="Times New Roman" w:hAnsi="Times New Roman" w:cs="Times New Roman"/>
        </w:rPr>
        <w:t xml:space="preserve"> likewise have difficulty under what the Charity Commission calls ‘Test B’ – the s</w:t>
      </w:r>
      <w:r w:rsidR="00F766FD" w:rsidRPr="00004886">
        <w:rPr>
          <w:rFonts w:ascii="Times New Roman" w:hAnsi="Times New Roman" w:cs="Times New Roman"/>
        </w:rPr>
        <w:t>ection</w:t>
      </w:r>
      <w:r w:rsidRPr="00004886">
        <w:rPr>
          <w:rFonts w:ascii="Times New Roman" w:hAnsi="Times New Roman" w:cs="Times New Roman"/>
        </w:rPr>
        <w:t xml:space="preserve"> 193(2)(a) exception for where the proposed discriminatory treatment is a proportionate means of achieving a legitimate aim.</w:t>
      </w:r>
      <w:r w:rsidR="00DA5419" w:rsidRPr="00004886">
        <w:rPr>
          <w:rFonts w:ascii="Times New Roman" w:hAnsi="Times New Roman" w:cs="Times New Roman"/>
        </w:rPr>
        <w:t xml:space="preserve"> Th</w:t>
      </w:r>
      <w:r w:rsidR="002909F9" w:rsidRPr="00004886">
        <w:rPr>
          <w:rFonts w:ascii="Times New Roman" w:hAnsi="Times New Roman" w:cs="Times New Roman"/>
        </w:rPr>
        <w:t>e wording of this</w:t>
      </w:r>
      <w:r w:rsidR="00FB6D2A">
        <w:rPr>
          <w:rFonts w:ascii="Times New Roman" w:hAnsi="Times New Roman" w:cs="Times New Roman"/>
        </w:rPr>
        <w:t xml:space="preserve"> test is the same as that</w:t>
      </w:r>
      <w:r w:rsidR="00716DBE">
        <w:rPr>
          <w:rFonts w:ascii="Times New Roman" w:hAnsi="Times New Roman" w:cs="Times New Roman"/>
        </w:rPr>
        <w:t xml:space="preserve"> for</w:t>
      </w:r>
      <w:r w:rsidR="00DA5419" w:rsidRPr="00004886">
        <w:rPr>
          <w:rFonts w:ascii="Times New Roman" w:hAnsi="Times New Roman" w:cs="Times New Roman"/>
        </w:rPr>
        <w:t xml:space="preserve"> </w:t>
      </w:r>
      <w:r w:rsidR="00FB6D2A" w:rsidRPr="00004886">
        <w:rPr>
          <w:rFonts w:ascii="Times New Roman" w:hAnsi="Times New Roman" w:cs="Times New Roman"/>
        </w:rPr>
        <w:t>justif</w:t>
      </w:r>
      <w:r w:rsidR="00FB6D2A">
        <w:rPr>
          <w:rFonts w:ascii="Times New Roman" w:hAnsi="Times New Roman" w:cs="Times New Roman"/>
        </w:rPr>
        <w:t>ying</w:t>
      </w:r>
      <w:r w:rsidR="00DA5419" w:rsidRPr="00004886">
        <w:rPr>
          <w:rFonts w:ascii="Times New Roman" w:hAnsi="Times New Roman" w:cs="Times New Roman"/>
        </w:rPr>
        <w:t xml:space="preserve"> indirect discrimination, and the EHRC expressly makes this connection in its Code of Practice on Services.</w:t>
      </w:r>
      <w:r w:rsidR="00DA5419" w:rsidRPr="00004886">
        <w:rPr>
          <w:rStyle w:val="FootnoteReference"/>
          <w:rFonts w:ascii="Times New Roman" w:hAnsi="Times New Roman" w:cs="Times New Roman"/>
        </w:rPr>
        <w:footnoteReference w:id="51"/>
      </w:r>
      <w:r w:rsidR="00DA5419" w:rsidRPr="00004886">
        <w:rPr>
          <w:rFonts w:ascii="Times New Roman" w:hAnsi="Times New Roman" w:cs="Times New Roman"/>
        </w:rPr>
        <w:t xml:space="preserve"> Although the wording of the provision in s 193(2)(a) and the test for indirect discrimination are the same, it is not necessarily the case that the two tests ought to be construed in the same way. The conduct being justified by s 193(2)(a) is not indirect discrimination, </w:t>
      </w:r>
      <w:r w:rsidR="007211E2" w:rsidRPr="00004886">
        <w:rPr>
          <w:rFonts w:ascii="Times New Roman" w:hAnsi="Times New Roman" w:cs="Times New Roman"/>
        </w:rPr>
        <w:t>but rather</w:t>
      </w:r>
      <w:r w:rsidR="00DA5419" w:rsidRPr="00004886">
        <w:rPr>
          <w:rFonts w:ascii="Times New Roman" w:hAnsi="Times New Roman" w:cs="Times New Roman"/>
        </w:rPr>
        <w:t xml:space="preserve"> direct discrimination, which is not normally justifiable except in the case of age.</w:t>
      </w:r>
      <w:r w:rsidR="00231DA6" w:rsidRPr="00004886">
        <w:rPr>
          <w:rFonts w:ascii="Times New Roman" w:hAnsi="Times New Roman" w:cs="Times New Roman"/>
        </w:rPr>
        <w:t xml:space="preserve"> In the case of direct age discrimination, case law has established that a stricter scrutiny is appropriate in these cases where direct dissertation is being justified than would be the case for indirect discrimination.</w:t>
      </w:r>
      <w:r w:rsidR="00C24C40" w:rsidRPr="00004886">
        <w:rPr>
          <w:rFonts w:ascii="Times New Roman" w:hAnsi="Times New Roman" w:cs="Times New Roman"/>
        </w:rPr>
        <w:t xml:space="preserve"> In </w:t>
      </w:r>
      <w:r w:rsidR="00C24C40" w:rsidRPr="00004886">
        <w:rPr>
          <w:rFonts w:ascii="Times New Roman" w:hAnsi="Times New Roman" w:cs="Times New Roman"/>
          <w:i/>
          <w:iCs/>
        </w:rPr>
        <w:t>MacCulloch v Imperial Chemical Industries plc</w:t>
      </w:r>
      <w:r w:rsidR="00C24C40" w:rsidRPr="00004886">
        <w:rPr>
          <w:rFonts w:ascii="Times New Roman" w:hAnsi="Times New Roman" w:cs="Times New Roman"/>
        </w:rPr>
        <w:t>, Elias J (as he was then) noted that the discriminatory effect of a measure that is directly discriminatory on its face will be greater than that of a measure that is facially neutral but has an indirectly discriminatory effect, and may therefore be harder to justify.</w:t>
      </w:r>
      <w:r w:rsidR="00C24C40" w:rsidRPr="00004886">
        <w:rPr>
          <w:rStyle w:val="FootnoteReference"/>
          <w:rFonts w:ascii="Times New Roman" w:hAnsi="Times New Roman" w:cs="Times New Roman"/>
        </w:rPr>
        <w:footnoteReference w:id="52"/>
      </w:r>
      <w:r w:rsidR="00C24C40" w:rsidRPr="00004886">
        <w:rPr>
          <w:rFonts w:ascii="Times New Roman" w:hAnsi="Times New Roman" w:cs="Times New Roman"/>
        </w:rPr>
        <w:t xml:space="preserve"> This stricter scrutiny approach to justify direct </w:t>
      </w:r>
      <w:r w:rsidR="000706FD" w:rsidRPr="00004886">
        <w:rPr>
          <w:rFonts w:ascii="Times New Roman" w:hAnsi="Times New Roman" w:cs="Times New Roman"/>
        </w:rPr>
        <w:lastRenderedPageBreak/>
        <w:t>discrimination</w:t>
      </w:r>
      <w:r w:rsidR="00C24C40" w:rsidRPr="00004886">
        <w:rPr>
          <w:rFonts w:ascii="Times New Roman" w:hAnsi="Times New Roman" w:cs="Times New Roman"/>
        </w:rPr>
        <w:t xml:space="preserve"> was confirmed by the Supreme Court in </w:t>
      </w:r>
      <w:r w:rsidR="00C24C40" w:rsidRPr="00004886">
        <w:rPr>
          <w:rFonts w:ascii="Times New Roman" w:hAnsi="Times New Roman" w:cs="Times New Roman"/>
          <w:i/>
          <w:iCs/>
        </w:rPr>
        <w:t>Seldon</w:t>
      </w:r>
      <w:r w:rsidR="00C24C40" w:rsidRPr="00004886">
        <w:rPr>
          <w:rFonts w:ascii="Times New Roman" w:hAnsi="Times New Roman" w:cs="Times New Roman"/>
        </w:rPr>
        <w:t>.</w:t>
      </w:r>
      <w:r w:rsidR="00C24C40" w:rsidRPr="00004886">
        <w:rPr>
          <w:rStyle w:val="FootnoteReference"/>
          <w:rFonts w:ascii="Times New Roman" w:hAnsi="Times New Roman" w:cs="Times New Roman"/>
        </w:rPr>
        <w:footnoteReference w:id="53"/>
      </w:r>
      <w:r w:rsidR="002909F9" w:rsidRPr="00004886">
        <w:rPr>
          <w:rFonts w:ascii="Times New Roman" w:hAnsi="Times New Roman" w:cs="Times New Roman"/>
        </w:rPr>
        <w:t xml:space="preserve"> As s 193(a)(1) justifies </w:t>
      </w:r>
      <w:r w:rsidR="002909F9" w:rsidRPr="00FB6D2A">
        <w:rPr>
          <w:rFonts w:ascii="Times New Roman" w:hAnsi="Times New Roman" w:cs="Times New Roman"/>
          <w:i/>
        </w:rPr>
        <w:t>direct</w:t>
      </w:r>
      <w:r w:rsidR="002909F9" w:rsidRPr="00004886">
        <w:rPr>
          <w:rFonts w:ascii="Times New Roman" w:hAnsi="Times New Roman" w:cs="Times New Roman"/>
        </w:rPr>
        <w:t xml:space="preserve"> discrimination, it is appropriate that the proportionality of the direct discrimination should also be strictly construed.</w:t>
      </w:r>
    </w:p>
    <w:p w14:paraId="77147C04" w14:textId="77777777" w:rsidR="00E14FAE" w:rsidRPr="00004886" w:rsidRDefault="00E14FAE" w:rsidP="00004886">
      <w:pPr>
        <w:spacing w:line="480" w:lineRule="auto"/>
        <w:ind w:firstLine="720"/>
        <w:rPr>
          <w:rFonts w:ascii="Times New Roman" w:hAnsi="Times New Roman" w:cs="Times New Roman"/>
        </w:rPr>
      </w:pPr>
    </w:p>
    <w:p w14:paraId="4B750D6E" w14:textId="299815B8" w:rsidR="00670B08" w:rsidRDefault="00A02A40" w:rsidP="00004886">
      <w:pPr>
        <w:spacing w:line="480" w:lineRule="auto"/>
        <w:ind w:firstLine="720"/>
        <w:rPr>
          <w:rFonts w:ascii="Times New Roman" w:hAnsi="Times New Roman" w:cs="Times New Roman"/>
        </w:rPr>
      </w:pPr>
      <w:r w:rsidRPr="00004886">
        <w:rPr>
          <w:rFonts w:ascii="Times New Roman" w:hAnsi="Times New Roman" w:cs="Times New Roman"/>
        </w:rPr>
        <w:t>In</w:t>
      </w:r>
      <w:r w:rsidR="001321E3" w:rsidRPr="00004886">
        <w:rPr>
          <w:rFonts w:ascii="Times New Roman" w:hAnsi="Times New Roman" w:cs="Times New Roman"/>
        </w:rPr>
        <w:t xml:space="preserve"> </w:t>
      </w:r>
      <w:r w:rsidR="001321E3" w:rsidRPr="00004886">
        <w:rPr>
          <w:rFonts w:ascii="Times New Roman" w:hAnsi="Times New Roman" w:cs="Times New Roman"/>
          <w:i/>
          <w:iCs/>
        </w:rPr>
        <w:t>Catholic Care</w:t>
      </w:r>
      <w:r w:rsidRPr="00004886">
        <w:rPr>
          <w:rFonts w:ascii="Times New Roman" w:hAnsi="Times New Roman" w:cs="Times New Roman"/>
        </w:rPr>
        <w:t>, the only</w:t>
      </w:r>
      <w:r w:rsidR="001321E3" w:rsidRPr="00004886">
        <w:rPr>
          <w:rFonts w:ascii="Times New Roman" w:hAnsi="Times New Roman" w:cs="Times New Roman"/>
        </w:rPr>
        <w:t xml:space="preserve"> case </w:t>
      </w:r>
      <w:r w:rsidRPr="00004886">
        <w:rPr>
          <w:rFonts w:ascii="Times New Roman" w:hAnsi="Times New Roman" w:cs="Times New Roman"/>
        </w:rPr>
        <w:t>to consider s 193, the court chose to apply the Article 14 European Convention on Human Rights</w:t>
      </w:r>
      <w:r w:rsidR="00F766FD" w:rsidRPr="00004886">
        <w:rPr>
          <w:rFonts w:ascii="Times New Roman" w:hAnsi="Times New Roman" w:cs="Times New Roman"/>
        </w:rPr>
        <w:t xml:space="preserve"> (ECHR)</w:t>
      </w:r>
      <w:r w:rsidRPr="00004886">
        <w:rPr>
          <w:rFonts w:ascii="Times New Roman" w:hAnsi="Times New Roman" w:cs="Times New Roman"/>
        </w:rPr>
        <w:t xml:space="preserve"> test instead</w:t>
      </w:r>
      <w:r w:rsidR="00923713" w:rsidRPr="00004886">
        <w:rPr>
          <w:rFonts w:ascii="Times New Roman" w:hAnsi="Times New Roman" w:cs="Times New Roman"/>
        </w:rPr>
        <w:t xml:space="preserve"> of the s 193 test</w:t>
      </w:r>
      <w:r w:rsidRPr="00004886">
        <w:rPr>
          <w:rFonts w:ascii="Times New Roman" w:hAnsi="Times New Roman" w:cs="Times New Roman"/>
        </w:rPr>
        <w:t xml:space="preserve">. The case began under the predecessor equality legislation. As is </w:t>
      </w:r>
      <w:r w:rsidR="00B70E10" w:rsidRPr="00004886">
        <w:rPr>
          <w:rFonts w:ascii="Times New Roman" w:hAnsi="Times New Roman" w:cs="Times New Roman"/>
        </w:rPr>
        <w:t>mention</w:t>
      </w:r>
      <w:r w:rsidRPr="00004886">
        <w:rPr>
          <w:rFonts w:ascii="Times New Roman" w:hAnsi="Times New Roman" w:cs="Times New Roman"/>
        </w:rPr>
        <w:t xml:space="preserve">ed above, </w:t>
      </w:r>
      <w:r w:rsidR="00B70E10" w:rsidRPr="00004886">
        <w:rPr>
          <w:rFonts w:ascii="Times New Roman" w:hAnsi="Times New Roman" w:cs="Times New Roman"/>
        </w:rPr>
        <w:t>s 43 of the Sex Discrimination Act 1975</w:t>
      </w:r>
      <w:r w:rsidR="00897183" w:rsidRPr="00004886">
        <w:rPr>
          <w:rFonts w:ascii="Times New Roman" w:hAnsi="Times New Roman" w:cs="Times New Roman"/>
        </w:rPr>
        <w:t xml:space="preserve"> (SDA)</w:t>
      </w:r>
      <w:r w:rsidR="00B70E10" w:rsidRPr="00004886">
        <w:rPr>
          <w:rFonts w:ascii="Times New Roman" w:hAnsi="Times New Roman" w:cs="Times New Roman"/>
        </w:rPr>
        <w:t xml:space="preserve">, which allowed charities to discriminate on grounds of sex, </w:t>
      </w:r>
      <w:r w:rsidRPr="00004886">
        <w:rPr>
          <w:rFonts w:ascii="Times New Roman" w:hAnsi="Times New Roman" w:cs="Times New Roman"/>
        </w:rPr>
        <w:t xml:space="preserve">was </w:t>
      </w:r>
      <w:r w:rsidR="00B70E10" w:rsidRPr="00004886">
        <w:rPr>
          <w:rFonts w:ascii="Times New Roman" w:hAnsi="Times New Roman" w:cs="Times New Roman"/>
        </w:rPr>
        <w:t>amended by the insertion of s 43(2A) to introduce</w:t>
      </w:r>
      <w:r w:rsidRPr="00004886">
        <w:rPr>
          <w:rFonts w:ascii="Times New Roman" w:hAnsi="Times New Roman" w:cs="Times New Roman"/>
        </w:rPr>
        <w:t xml:space="preserve"> a requirement</w:t>
      </w:r>
      <w:r w:rsidR="00B70E10" w:rsidRPr="00004886">
        <w:rPr>
          <w:rFonts w:ascii="Times New Roman" w:hAnsi="Times New Roman" w:cs="Times New Roman"/>
        </w:rPr>
        <w:t xml:space="preserve"> that the discrimination be included in the charitable instrument and that it be </w:t>
      </w:r>
      <w:r w:rsidRPr="00004886">
        <w:rPr>
          <w:rFonts w:ascii="Times New Roman" w:hAnsi="Times New Roman" w:cs="Times New Roman"/>
        </w:rPr>
        <w:t>objective</w:t>
      </w:r>
      <w:r w:rsidR="00B70E10" w:rsidRPr="00004886">
        <w:rPr>
          <w:rFonts w:ascii="Times New Roman" w:hAnsi="Times New Roman" w:cs="Times New Roman"/>
        </w:rPr>
        <w:t>ly justifiable, in order</w:t>
      </w:r>
      <w:r w:rsidRPr="00004886">
        <w:rPr>
          <w:rFonts w:ascii="Times New Roman" w:hAnsi="Times New Roman" w:cs="Times New Roman"/>
        </w:rPr>
        <w:t xml:space="preserve"> to comply with Directive 2004/113</w:t>
      </w:r>
      <w:r w:rsidR="00B70E10" w:rsidRPr="00004886">
        <w:rPr>
          <w:rFonts w:ascii="Times New Roman" w:hAnsi="Times New Roman" w:cs="Times New Roman"/>
        </w:rPr>
        <w:t>.</w:t>
      </w:r>
      <w:r w:rsidR="00270335" w:rsidRPr="00004886">
        <w:rPr>
          <w:rFonts w:ascii="Times New Roman" w:hAnsi="Times New Roman" w:cs="Times New Roman"/>
        </w:rPr>
        <w:t xml:space="preserve"> In response, Catholic Care </w:t>
      </w:r>
      <w:r w:rsidR="00B70E10" w:rsidRPr="00004886">
        <w:rPr>
          <w:rFonts w:ascii="Times New Roman" w:hAnsi="Times New Roman" w:cs="Times New Roman"/>
        </w:rPr>
        <w:t xml:space="preserve">attempted to amend its Memorandum of Association to </w:t>
      </w:r>
      <w:r w:rsidR="00B1745B">
        <w:rPr>
          <w:rFonts w:ascii="Times New Roman" w:hAnsi="Times New Roman" w:cs="Times New Roman"/>
        </w:rPr>
        <w:t xml:space="preserve">expressly </w:t>
      </w:r>
      <w:r w:rsidR="00897183" w:rsidRPr="00004886">
        <w:rPr>
          <w:rFonts w:ascii="Times New Roman" w:hAnsi="Times New Roman" w:cs="Times New Roman"/>
        </w:rPr>
        <w:t>limit its provision of adoption services</w:t>
      </w:r>
      <w:r w:rsidR="00B70E10" w:rsidRPr="00004886">
        <w:rPr>
          <w:rFonts w:ascii="Times New Roman" w:hAnsi="Times New Roman" w:cs="Times New Roman"/>
        </w:rPr>
        <w:t xml:space="preserve"> to </w:t>
      </w:r>
      <w:r w:rsidR="00602D5B" w:rsidRPr="00004886">
        <w:rPr>
          <w:rFonts w:ascii="Times New Roman" w:hAnsi="Times New Roman" w:cs="Times New Roman"/>
        </w:rPr>
        <w:t xml:space="preserve">married </w:t>
      </w:r>
      <w:r w:rsidR="00B70E10" w:rsidRPr="00004886">
        <w:rPr>
          <w:rFonts w:ascii="Times New Roman" w:hAnsi="Times New Roman" w:cs="Times New Roman"/>
        </w:rPr>
        <w:t>heterosexual couples</w:t>
      </w:r>
      <w:r w:rsidR="00897183" w:rsidRPr="00004886">
        <w:rPr>
          <w:rFonts w:ascii="Times New Roman" w:hAnsi="Times New Roman" w:cs="Times New Roman"/>
        </w:rPr>
        <w:t xml:space="preserve"> (same sex marriage was not yet provided for)</w:t>
      </w:r>
      <w:r w:rsidR="00B70E10" w:rsidRPr="00004886">
        <w:rPr>
          <w:rFonts w:ascii="Times New Roman" w:hAnsi="Times New Roman" w:cs="Times New Roman"/>
        </w:rPr>
        <w:t xml:space="preserve">, a practice that </w:t>
      </w:r>
      <w:r w:rsidR="00897183" w:rsidRPr="00004886">
        <w:rPr>
          <w:rFonts w:ascii="Times New Roman" w:hAnsi="Times New Roman" w:cs="Times New Roman"/>
        </w:rPr>
        <w:t xml:space="preserve">it had followed </w:t>
      </w:r>
      <w:r w:rsidR="00923713" w:rsidRPr="00004886">
        <w:rPr>
          <w:rFonts w:ascii="Times New Roman" w:hAnsi="Times New Roman" w:cs="Times New Roman"/>
        </w:rPr>
        <w:t>before</w:t>
      </w:r>
      <w:r w:rsidR="00B70E10" w:rsidRPr="00004886">
        <w:rPr>
          <w:rFonts w:ascii="Times New Roman" w:hAnsi="Times New Roman" w:cs="Times New Roman"/>
        </w:rPr>
        <w:t xml:space="preserve"> the change in the </w:t>
      </w:r>
      <w:r w:rsidR="00897183" w:rsidRPr="00004886">
        <w:rPr>
          <w:rFonts w:ascii="Times New Roman" w:hAnsi="Times New Roman" w:cs="Times New Roman"/>
        </w:rPr>
        <w:t>SDA</w:t>
      </w:r>
      <w:r w:rsidR="00B70E10" w:rsidRPr="00004886">
        <w:rPr>
          <w:rFonts w:ascii="Times New Roman" w:hAnsi="Times New Roman" w:cs="Times New Roman"/>
        </w:rPr>
        <w:t xml:space="preserve">. The Charity </w:t>
      </w:r>
      <w:r w:rsidR="005E7310" w:rsidRPr="00004886">
        <w:rPr>
          <w:rFonts w:ascii="Times New Roman" w:hAnsi="Times New Roman" w:cs="Times New Roman"/>
        </w:rPr>
        <w:t>Commission</w:t>
      </w:r>
      <w:r w:rsidR="00B70E10" w:rsidRPr="00004886">
        <w:rPr>
          <w:rFonts w:ascii="Times New Roman" w:hAnsi="Times New Roman" w:cs="Times New Roman"/>
        </w:rPr>
        <w:t xml:space="preserve"> refused permission</w:t>
      </w:r>
      <w:r w:rsidR="005E7310" w:rsidRPr="00004886">
        <w:rPr>
          <w:rFonts w:ascii="Times New Roman" w:hAnsi="Times New Roman" w:cs="Times New Roman"/>
        </w:rPr>
        <w:t>,</w:t>
      </w:r>
      <w:r w:rsidR="00B70E10" w:rsidRPr="00004886">
        <w:rPr>
          <w:rFonts w:ascii="Times New Roman" w:hAnsi="Times New Roman" w:cs="Times New Roman"/>
        </w:rPr>
        <w:t xml:space="preserve"> on </w:t>
      </w:r>
      <w:r w:rsidR="005E7310" w:rsidRPr="00004886">
        <w:rPr>
          <w:rFonts w:ascii="Times New Roman" w:hAnsi="Times New Roman" w:cs="Times New Roman"/>
        </w:rPr>
        <w:t>grounds</w:t>
      </w:r>
      <w:r w:rsidR="00B70E10" w:rsidRPr="00004886">
        <w:rPr>
          <w:rFonts w:ascii="Times New Roman" w:hAnsi="Times New Roman" w:cs="Times New Roman"/>
        </w:rPr>
        <w:t xml:space="preserve"> that it would not fall within the char</w:t>
      </w:r>
      <w:r w:rsidR="005E7310" w:rsidRPr="00004886">
        <w:rPr>
          <w:rFonts w:ascii="Times New Roman" w:hAnsi="Times New Roman" w:cs="Times New Roman"/>
        </w:rPr>
        <w:t>ity exce</w:t>
      </w:r>
      <w:r w:rsidR="00B70E10" w:rsidRPr="00004886">
        <w:rPr>
          <w:rFonts w:ascii="Times New Roman" w:hAnsi="Times New Roman" w:cs="Times New Roman"/>
        </w:rPr>
        <w:t xml:space="preserve">ption. </w:t>
      </w:r>
      <w:r w:rsidR="005E7310" w:rsidRPr="00004886">
        <w:rPr>
          <w:rFonts w:ascii="Times New Roman" w:hAnsi="Times New Roman" w:cs="Times New Roman"/>
        </w:rPr>
        <w:t>An appeal by the Charity to the Charity Tribunal was unsuccessful. On further appeal,</w:t>
      </w:r>
      <w:r w:rsidR="00B70E10" w:rsidRPr="00004886">
        <w:rPr>
          <w:rFonts w:ascii="Times New Roman" w:hAnsi="Times New Roman" w:cs="Times New Roman"/>
        </w:rPr>
        <w:t xml:space="preserve"> Briggs J</w:t>
      </w:r>
      <w:r w:rsidRPr="00004886">
        <w:rPr>
          <w:rFonts w:ascii="Times New Roman" w:hAnsi="Times New Roman" w:cs="Times New Roman"/>
        </w:rPr>
        <w:t xml:space="preserve"> </w:t>
      </w:r>
      <w:r w:rsidR="00B70E10" w:rsidRPr="00004886">
        <w:rPr>
          <w:rFonts w:ascii="Times New Roman" w:hAnsi="Times New Roman" w:cs="Times New Roman"/>
        </w:rPr>
        <w:t>in the High</w:t>
      </w:r>
      <w:r w:rsidR="005E7310" w:rsidRPr="00004886">
        <w:rPr>
          <w:rFonts w:ascii="Times New Roman" w:hAnsi="Times New Roman" w:cs="Times New Roman"/>
        </w:rPr>
        <w:t xml:space="preserve"> Court remitted the case to the Charity Commission. Briggs J</w:t>
      </w:r>
      <w:r w:rsidRPr="00004886">
        <w:rPr>
          <w:rFonts w:ascii="Times New Roman" w:hAnsi="Times New Roman" w:cs="Times New Roman"/>
        </w:rPr>
        <w:t>, said that the amendment ‘was introduced to bring the express terms of section 43 into compatibility with Convention rights, and with Article 14 in particular.’</w:t>
      </w:r>
      <w:r w:rsidRPr="00004886">
        <w:rPr>
          <w:rStyle w:val="FootnoteReference"/>
          <w:rFonts w:ascii="Times New Roman" w:hAnsi="Times New Roman" w:cs="Times New Roman"/>
        </w:rPr>
        <w:footnoteReference w:id="54"/>
      </w:r>
      <w:r w:rsidRPr="00004886">
        <w:rPr>
          <w:rFonts w:ascii="Times New Roman" w:hAnsi="Times New Roman" w:cs="Times New Roman"/>
        </w:rPr>
        <w:t xml:space="preserve"> By this reasoning, all of the exceptions </w:t>
      </w:r>
      <w:r w:rsidR="00923713" w:rsidRPr="00004886">
        <w:rPr>
          <w:rFonts w:ascii="Times New Roman" w:hAnsi="Times New Roman" w:cs="Times New Roman"/>
        </w:rPr>
        <w:t>i</w:t>
      </w:r>
      <w:r w:rsidRPr="00004886">
        <w:rPr>
          <w:rFonts w:ascii="Times New Roman" w:hAnsi="Times New Roman" w:cs="Times New Roman"/>
        </w:rPr>
        <w:t>n the predecessor equality legislation required objective justification after the implementation of the Human Rights Act 1998, a surprising result.</w:t>
      </w:r>
      <w:r w:rsidR="00B70E10" w:rsidRPr="00004886">
        <w:rPr>
          <w:rFonts w:ascii="Times New Roman" w:hAnsi="Times New Roman" w:cs="Times New Roman"/>
        </w:rPr>
        <w:t xml:space="preserve"> This framing led Briggs to formulate the question </w:t>
      </w:r>
      <w:r w:rsidR="008A0BEE" w:rsidRPr="00004886">
        <w:rPr>
          <w:rFonts w:ascii="Times New Roman" w:hAnsi="Times New Roman" w:cs="Times New Roman"/>
        </w:rPr>
        <w:t xml:space="preserve">remitted </w:t>
      </w:r>
      <w:r w:rsidR="005E7310" w:rsidRPr="00004886">
        <w:rPr>
          <w:rFonts w:ascii="Times New Roman" w:hAnsi="Times New Roman" w:cs="Times New Roman"/>
        </w:rPr>
        <w:t>to</w:t>
      </w:r>
      <w:r w:rsidR="00B70E10" w:rsidRPr="00004886">
        <w:rPr>
          <w:rFonts w:ascii="Times New Roman" w:hAnsi="Times New Roman" w:cs="Times New Roman"/>
        </w:rPr>
        <w:t xml:space="preserve"> the Charity Commission </w:t>
      </w:r>
      <w:r w:rsidR="005E7310" w:rsidRPr="00004886">
        <w:rPr>
          <w:rFonts w:ascii="Times New Roman" w:hAnsi="Times New Roman" w:cs="Times New Roman"/>
        </w:rPr>
        <w:t xml:space="preserve">as </w:t>
      </w:r>
      <w:r w:rsidR="008A0BEE" w:rsidRPr="00004886">
        <w:rPr>
          <w:rFonts w:ascii="Times New Roman" w:hAnsi="Times New Roman" w:cs="Times New Roman"/>
        </w:rPr>
        <w:t xml:space="preserve">whether the revised charitable objects sought by Catholic Care would be justifiable under Article 14. This is potentially problematic as what can be objectively </w:t>
      </w:r>
      <w:r w:rsidR="008A0BEE" w:rsidRPr="00004886">
        <w:rPr>
          <w:rFonts w:ascii="Times New Roman" w:hAnsi="Times New Roman" w:cs="Times New Roman"/>
        </w:rPr>
        <w:lastRenderedPageBreak/>
        <w:t>justified under Article 14 may be broader in circumstances where the European Court of Human Rights</w:t>
      </w:r>
      <w:r w:rsidR="00670B08" w:rsidRPr="00004886">
        <w:rPr>
          <w:rFonts w:ascii="Times New Roman" w:hAnsi="Times New Roman" w:cs="Times New Roman"/>
        </w:rPr>
        <w:t xml:space="preserve"> (ECtHR)</w:t>
      </w:r>
      <w:r w:rsidR="008A0BEE" w:rsidRPr="00004886">
        <w:rPr>
          <w:rFonts w:ascii="Times New Roman" w:hAnsi="Times New Roman" w:cs="Times New Roman"/>
        </w:rPr>
        <w:t xml:space="preserve"> affords to states a wide margin of appreciation.</w:t>
      </w:r>
      <w:r w:rsidR="008A0BEE" w:rsidRPr="00004886">
        <w:rPr>
          <w:rStyle w:val="FootnoteReference"/>
          <w:rFonts w:ascii="Times New Roman" w:hAnsi="Times New Roman" w:cs="Times New Roman"/>
        </w:rPr>
        <w:footnoteReference w:id="55"/>
      </w:r>
      <w:r w:rsidR="00400B0C" w:rsidRPr="00004886">
        <w:rPr>
          <w:rFonts w:ascii="Times New Roman" w:hAnsi="Times New Roman" w:cs="Times New Roman"/>
        </w:rPr>
        <w:t xml:space="preserve"> </w:t>
      </w:r>
      <w:r w:rsidR="007666F0">
        <w:rPr>
          <w:rFonts w:ascii="Times New Roman" w:hAnsi="Times New Roman" w:cs="Times New Roman"/>
        </w:rPr>
        <w:t>Although</w:t>
      </w:r>
      <w:r w:rsidR="00400B0C" w:rsidRPr="00004886">
        <w:rPr>
          <w:rFonts w:ascii="Times New Roman" w:hAnsi="Times New Roman" w:cs="Times New Roman"/>
        </w:rPr>
        <w:t xml:space="preserve"> it has been the case </w:t>
      </w:r>
      <w:r w:rsidR="007666F0">
        <w:rPr>
          <w:rFonts w:ascii="Times New Roman" w:hAnsi="Times New Roman" w:cs="Times New Roman"/>
        </w:rPr>
        <w:t xml:space="preserve">so far </w:t>
      </w:r>
      <w:r w:rsidR="00400B0C" w:rsidRPr="00004886">
        <w:rPr>
          <w:rFonts w:ascii="Times New Roman" w:hAnsi="Times New Roman" w:cs="Times New Roman"/>
        </w:rPr>
        <w:t>that, on the particular facts, the approach would have been the same,</w:t>
      </w:r>
      <w:r w:rsidR="00400B0C" w:rsidRPr="00004886">
        <w:rPr>
          <w:rStyle w:val="FootnoteReference"/>
          <w:rFonts w:ascii="Times New Roman" w:hAnsi="Times New Roman" w:cs="Times New Roman"/>
        </w:rPr>
        <w:footnoteReference w:id="56"/>
      </w:r>
      <w:r w:rsidR="00400B0C" w:rsidRPr="00004886">
        <w:rPr>
          <w:rFonts w:ascii="Times New Roman" w:hAnsi="Times New Roman" w:cs="Times New Roman"/>
        </w:rPr>
        <w:t xml:space="preserve"> this is not necessarily so.</w:t>
      </w:r>
      <w:r w:rsidR="00E14FAE">
        <w:rPr>
          <w:rFonts w:ascii="Times New Roman" w:hAnsi="Times New Roman" w:cs="Times New Roman"/>
        </w:rPr>
        <w:t xml:space="preserve"> T</w:t>
      </w:r>
      <w:r w:rsidR="00B40A69">
        <w:rPr>
          <w:rFonts w:ascii="Times New Roman" w:hAnsi="Times New Roman" w:cs="Times New Roman"/>
        </w:rPr>
        <w:t>he use of the ECtHR jurisprudence may thus be ill suited as a basis for Charity Commission determinations in some circumstances where there is a wide margin of appreciation afforded to states.</w:t>
      </w:r>
    </w:p>
    <w:p w14:paraId="26445115" w14:textId="77777777" w:rsidR="00E14FAE" w:rsidRPr="00004886" w:rsidRDefault="00E14FAE" w:rsidP="00004886">
      <w:pPr>
        <w:spacing w:line="480" w:lineRule="auto"/>
        <w:ind w:firstLine="720"/>
        <w:rPr>
          <w:rFonts w:ascii="Times New Roman" w:hAnsi="Times New Roman" w:cs="Times New Roman"/>
        </w:rPr>
      </w:pPr>
    </w:p>
    <w:p w14:paraId="2B2E28F1" w14:textId="367900C5" w:rsidR="00602D5B" w:rsidRDefault="00670B08" w:rsidP="00004886">
      <w:pPr>
        <w:spacing w:line="480" w:lineRule="auto"/>
        <w:ind w:firstLine="720"/>
        <w:rPr>
          <w:rFonts w:ascii="Times New Roman" w:hAnsi="Times New Roman" w:cs="Times New Roman"/>
        </w:rPr>
      </w:pPr>
      <w:r w:rsidRPr="00004886">
        <w:rPr>
          <w:rFonts w:ascii="Times New Roman" w:hAnsi="Times New Roman" w:cs="Times New Roman"/>
        </w:rPr>
        <w:t xml:space="preserve">In </w:t>
      </w:r>
      <w:r w:rsidRPr="00004886">
        <w:rPr>
          <w:rFonts w:ascii="Times New Roman" w:hAnsi="Times New Roman" w:cs="Times New Roman"/>
          <w:i/>
          <w:iCs/>
        </w:rPr>
        <w:t>Catholic Care</w:t>
      </w:r>
      <w:r w:rsidRPr="00004886">
        <w:rPr>
          <w:rFonts w:ascii="Times New Roman" w:hAnsi="Times New Roman" w:cs="Times New Roman"/>
        </w:rPr>
        <w:t xml:space="preserve">, Briggs further deployed the case law and language of the ECtHR on Article 14, noting that discrimination based upon sexual orientation requires particularly weighty and convincing reasons to be justifiable. He cited </w:t>
      </w:r>
      <w:r w:rsidRPr="00004886">
        <w:rPr>
          <w:rFonts w:ascii="Times New Roman" w:hAnsi="Times New Roman" w:cs="Times New Roman"/>
          <w:i/>
          <w:iCs/>
        </w:rPr>
        <w:t>Kozak v Poland</w:t>
      </w:r>
      <w:r w:rsidRPr="00004886">
        <w:rPr>
          <w:rStyle w:val="FootnoteReference"/>
          <w:rFonts w:ascii="Times New Roman" w:hAnsi="Times New Roman" w:cs="Times New Roman"/>
          <w:i/>
          <w:iCs/>
        </w:rPr>
        <w:footnoteReference w:id="57"/>
      </w:r>
      <w:r w:rsidRPr="00004886">
        <w:rPr>
          <w:rFonts w:ascii="Times New Roman" w:hAnsi="Times New Roman" w:cs="Times New Roman"/>
        </w:rPr>
        <w:t xml:space="preserve"> for the proposition that the State’s margin of appreciation is narrow in such cases and that the proposed discriminatory measure used to meet the legitimate aim must be necessary, as well as suitable. </w:t>
      </w:r>
      <w:r w:rsidR="00E844F4" w:rsidRPr="00004886">
        <w:rPr>
          <w:rFonts w:ascii="Times New Roman" w:hAnsi="Times New Roman" w:cs="Times New Roman"/>
        </w:rPr>
        <w:t>When the matter returned to it</w:t>
      </w:r>
      <w:r w:rsidRPr="00004886">
        <w:rPr>
          <w:rFonts w:ascii="Times New Roman" w:hAnsi="Times New Roman" w:cs="Times New Roman"/>
        </w:rPr>
        <w:t>, the Charity Commission again decided that Catholic Care could not change its objects, concluding that the charity had not provided ‘sufficiently convincing and weighty reasons’ to justify the discrimination.</w:t>
      </w:r>
      <w:r w:rsidRPr="00004886">
        <w:rPr>
          <w:rStyle w:val="FootnoteReference"/>
          <w:rFonts w:ascii="Times New Roman" w:hAnsi="Times New Roman" w:cs="Times New Roman"/>
        </w:rPr>
        <w:footnoteReference w:id="58"/>
      </w:r>
      <w:r w:rsidR="00961664" w:rsidRPr="00004886">
        <w:rPr>
          <w:rFonts w:ascii="Times New Roman" w:hAnsi="Times New Roman" w:cs="Times New Roman"/>
        </w:rPr>
        <w:t xml:space="preserve"> This was affirmed in the now renamed First-tier Tribunal (Charity) and then appealed to the Upper Tribunal (Tax and Chancery Chamber), where Sales J</w:t>
      </w:r>
      <w:r w:rsidR="00303807" w:rsidRPr="00004886">
        <w:rPr>
          <w:rFonts w:ascii="Times New Roman" w:hAnsi="Times New Roman" w:cs="Times New Roman"/>
        </w:rPr>
        <w:t xml:space="preserve"> upheld the FTT and</w:t>
      </w:r>
      <w:r w:rsidR="00961664" w:rsidRPr="00004886">
        <w:rPr>
          <w:rFonts w:ascii="Times New Roman" w:hAnsi="Times New Roman" w:cs="Times New Roman"/>
        </w:rPr>
        <w:t xml:space="preserve"> again considered justification under Article 14, noting that ‘…it is unnecessary to examine further the precise basis on which Article 14 principles come to infuse the interpretation of section 193’, although ‘…on any view Article 14 provides a powerful analogy for the operation of section 193.’</w:t>
      </w:r>
      <w:r w:rsidR="00961664" w:rsidRPr="00004886">
        <w:rPr>
          <w:rStyle w:val="FootnoteReference"/>
          <w:rFonts w:ascii="Times New Roman" w:hAnsi="Times New Roman" w:cs="Times New Roman"/>
        </w:rPr>
        <w:footnoteReference w:id="59"/>
      </w:r>
      <w:r w:rsidR="004F2AD2" w:rsidRPr="00004886">
        <w:rPr>
          <w:rFonts w:ascii="Times New Roman" w:hAnsi="Times New Roman" w:cs="Times New Roman"/>
        </w:rPr>
        <w:t xml:space="preserve"> This suggests that future considerations of whether or not charities can be allowed to </w:t>
      </w:r>
      <w:r w:rsidR="004F2AD2" w:rsidRPr="00004886">
        <w:rPr>
          <w:rFonts w:ascii="Times New Roman" w:hAnsi="Times New Roman" w:cs="Times New Roman"/>
        </w:rPr>
        <w:lastRenderedPageBreak/>
        <w:t>discriminate will focus more on the case</w:t>
      </w:r>
      <w:r w:rsidR="007211E2" w:rsidRPr="00004886">
        <w:rPr>
          <w:rFonts w:ascii="Times New Roman" w:hAnsi="Times New Roman" w:cs="Times New Roman"/>
        </w:rPr>
        <w:t xml:space="preserve"> </w:t>
      </w:r>
      <w:r w:rsidR="004F2AD2" w:rsidRPr="00004886">
        <w:rPr>
          <w:rFonts w:ascii="Times New Roman" w:hAnsi="Times New Roman" w:cs="Times New Roman"/>
        </w:rPr>
        <w:t xml:space="preserve">law derived from indirect discrimination, rather than the </w:t>
      </w:r>
      <w:r w:rsidR="006A0739" w:rsidRPr="00004886">
        <w:rPr>
          <w:rFonts w:ascii="Times New Roman" w:hAnsi="Times New Roman" w:cs="Times New Roman"/>
        </w:rPr>
        <w:t>Equality Act</w:t>
      </w:r>
      <w:r w:rsidR="004F2AD2" w:rsidRPr="00004886">
        <w:rPr>
          <w:rFonts w:ascii="Times New Roman" w:hAnsi="Times New Roman" w:cs="Times New Roman"/>
        </w:rPr>
        <w:t xml:space="preserve"> and directives. </w:t>
      </w:r>
    </w:p>
    <w:p w14:paraId="5B1F677F" w14:textId="77777777" w:rsidR="00B40A69" w:rsidRPr="00004886" w:rsidRDefault="00B40A69" w:rsidP="00004886">
      <w:pPr>
        <w:spacing w:line="480" w:lineRule="auto"/>
        <w:ind w:firstLine="720"/>
        <w:rPr>
          <w:rFonts w:ascii="Times New Roman" w:hAnsi="Times New Roman" w:cs="Times New Roman"/>
        </w:rPr>
      </w:pPr>
    </w:p>
    <w:p w14:paraId="0F445FD2" w14:textId="2EEFE278" w:rsidR="005074D0" w:rsidRPr="00004886" w:rsidRDefault="00602D5B" w:rsidP="00004886">
      <w:pPr>
        <w:spacing w:line="480" w:lineRule="auto"/>
        <w:ind w:firstLine="567"/>
        <w:rPr>
          <w:rFonts w:ascii="Times New Roman" w:hAnsi="Times New Roman" w:cs="Times New Roman"/>
        </w:rPr>
      </w:pPr>
      <w:r w:rsidRPr="00004886">
        <w:rPr>
          <w:rFonts w:ascii="Times New Roman" w:hAnsi="Times New Roman" w:cs="Times New Roman"/>
        </w:rPr>
        <w:t>In the UT</w:t>
      </w:r>
      <w:r w:rsidR="00183A5E" w:rsidRPr="00004886">
        <w:rPr>
          <w:rFonts w:ascii="Times New Roman" w:hAnsi="Times New Roman" w:cs="Times New Roman"/>
        </w:rPr>
        <w:t>,</w:t>
      </w:r>
      <w:r w:rsidRPr="00004886">
        <w:rPr>
          <w:rFonts w:ascii="Times New Roman" w:hAnsi="Times New Roman" w:cs="Times New Roman"/>
        </w:rPr>
        <w:t xml:space="preserve"> Sales J agreed with Catholic Care that placing hard to adopt children was a legitimate aim, but he did not agree that the means pursued were proportionate. Notably of interest to </w:t>
      </w:r>
      <w:r w:rsidR="009443CB">
        <w:rPr>
          <w:rFonts w:ascii="Times New Roman" w:hAnsi="Times New Roman" w:cs="Times New Roman"/>
        </w:rPr>
        <w:t xml:space="preserve">the </w:t>
      </w:r>
      <w:r w:rsidR="007666F0">
        <w:rPr>
          <w:rFonts w:ascii="Times New Roman" w:hAnsi="Times New Roman" w:cs="Times New Roman"/>
        </w:rPr>
        <w:t>cisgender</w:t>
      </w:r>
      <w:r w:rsidRPr="00004886">
        <w:rPr>
          <w:rFonts w:ascii="Times New Roman" w:hAnsi="Times New Roman" w:cs="Times New Roman"/>
        </w:rPr>
        <w:t xml:space="preserve"> women’s charity was Sales J’s willingness to entertain the argument that the availability of services for </w:t>
      </w:r>
      <w:r w:rsidR="00897183" w:rsidRPr="00004886">
        <w:rPr>
          <w:rFonts w:ascii="Times New Roman" w:hAnsi="Times New Roman" w:cs="Times New Roman"/>
        </w:rPr>
        <w:t>same sex</w:t>
      </w:r>
      <w:r w:rsidRPr="00004886">
        <w:rPr>
          <w:rFonts w:ascii="Times New Roman" w:hAnsi="Times New Roman" w:cs="Times New Roman"/>
        </w:rPr>
        <w:t xml:space="preserve"> couples elsewhere might be considered in the calculation of objective justification of the discriminatory </w:t>
      </w:r>
      <w:r w:rsidR="00183A5E" w:rsidRPr="00004886">
        <w:rPr>
          <w:rFonts w:ascii="Times New Roman" w:hAnsi="Times New Roman" w:cs="Times New Roman"/>
        </w:rPr>
        <w:t>practice</w:t>
      </w:r>
      <w:r w:rsidRPr="00004886">
        <w:rPr>
          <w:rFonts w:ascii="Times New Roman" w:hAnsi="Times New Roman" w:cs="Times New Roman"/>
        </w:rPr>
        <w:t xml:space="preserve"> of limiting services to </w:t>
      </w:r>
      <w:r w:rsidR="00183A5E" w:rsidRPr="00004886">
        <w:rPr>
          <w:rFonts w:ascii="Times New Roman" w:hAnsi="Times New Roman" w:cs="Times New Roman"/>
        </w:rPr>
        <w:t>heterosexual couples</w:t>
      </w:r>
      <w:r w:rsidRPr="00004886">
        <w:rPr>
          <w:rFonts w:ascii="Times New Roman" w:hAnsi="Times New Roman" w:cs="Times New Roman"/>
        </w:rPr>
        <w:t xml:space="preserve">. </w:t>
      </w:r>
      <w:r w:rsidR="00183A5E" w:rsidRPr="00004886">
        <w:rPr>
          <w:rFonts w:ascii="Times New Roman" w:hAnsi="Times New Roman" w:cs="Times New Roman"/>
        </w:rPr>
        <w:t>He said that although availability of services elsewhere would not ‘of itself justify’ the practice, it could be relevant ‘in some circumstances’.</w:t>
      </w:r>
      <w:r w:rsidR="00183A5E" w:rsidRPr="00004886">
        <w:rPr>
          <w:rStyle w:val="FootnoteReference"/>
          <w:rFonts w:ascii="Times New Roman" w:hAnsi="Times New Roman" w:cs="Times New Roman"/>
        </w:rPr>
        <w:footnoteReference w:id="60"/>
      </w:r>
      <w:r w:rsidR="00183A5E" w:rsidRPr="00004886">
        <w:rPr>
          <w:rFonts w:ascii="Times New Roman" w:hAnsi="Times New Roman" w:cs="Times New Roman"/>
        </w:rPr>
        <w:t xml:space="preserve"> </w:t>
      </w:r>
      <w:r w:rsidR="00AA0DE3" w:rsidRPr="00004886">
        <w:rPr>
          <w:rFonts w:ascii="Times New Roman" w:hAnsi="Times New Roman" w:cs="Times New Roman"/>
        </w:rPr>
        <w:t>Catholic Care’s services ‘do not dominate the public sphere in relation to the activity in question – provision of adoption services – which are otherwise widely available to homosexuals and same sex couples.’</w:t>
      </w:r>
      <w:r w:rsidR="00AA0DE3" w:rsidRPr="00004886">
        <w:rPr>
          <w:rStyle w:val="FootnoteReference"/>
          <w:rFonts w:ascii="Times New Roman" w:hAnsi="Times New Roman" w:cs="Times New Roman"/>
        </w:rPr>
        <w:footnoteReference w:id="61"/>
      </w:r>
      <w:r w:rsidR="00AA0DE3" w:rsidRPr="00004886">
        <w:rPr>
          <w:rFonts w:ascii="Times New Roman" w:hAnsi="Times New Roman" w:cs="Times New Roman"/>
        </w:rPr>
        <w:t xml:space="preserve"> </w:t>
      </w:r>
      <w:r w:rsidR="00183A5E" w:rsidRPr="00004886">
        <w:rPr>
          <w:rFonts w:ascii="Times New Roman" w:hAnsi="Times New Roman" w:cs="Times New Roman"/>
        </w:rPr>
        <w:t xml:space="preserve">This is troubling, </w:t>
      </w:r>
      <w:r w:rsidR="005074D0" w:rsidRPr="00004886">
        <w:rPr>
          <w:rFonts w:ascii="Times New Roman" w:hAnsi="Times New Roman" w:cs="Times New Roman"/>
        </w:rPr>
        <w:t xml:space="preserve">as it is analogous to the arguments seen in </w:t>
      </w:r>
      <w:r w:rsidR="005074D0" w:rsidRPr="00004886">
        <w:rPr>
          <w:rFonts w:ascii="Times New Roman" w:hAnsi="Times New Roman" w:cs="Times New Roman"/>
          <w:i/>
          <w:iCs/>
        </w:rPr>
        <w:t>Bull v Hall and Preddy</w:t>
      </w:r>
      <w:r w:rsidR="005074D0" w:rsidRPr="00004886">
        <w:rPr>
          <w:rFonts w:ascii="Times New Roman" w:hAnsi="Times New Roman" w:cs="Times New Roman"/>
        </w:rPr>
        <w:t xml:space="preserve"> that the same sex couple could simply seek accommodation elsewhere.</w:t>
      </w:r>
      <w:r w:rsidR="005074D0" w:rsidRPr="00004886">
        <w:rPr>
          <w:rStyle w:val="FootnoteReference"/>
          <w:rFonts w:ascii="Times New Roman" w:hAnsi="Times New Roman" w:cs="Times New Roman"/>
        </w:rPr>
        <w:footnoteReference w:id="62"/>
      </w:r>
      <w:r w:rsidR="005074D0" w:rsidRPr="00004886">
        <w:rPr>
          <w:rFonts w:ascii="Times New Roman" w:hAnsi="Times New Roman" w:cs="Times New Roman"/>
        </w:rPr>
        <w:t xml:space="preserve">  Sales, J nevertheless concluded that the provision of services elsewhere, although possibly </w:t>
      </w:r>
      <w:r w:rsidR="007211E2" w:rsidRPr="00004886">
        <w:rPr>
          <w:rFonts w:ascii="Times New Roman" w:hAnsi="Times New Roman" w:cs="Times New Roman"/>
        </w:rPr>
        <w:t>reducing the</w:t>
      </w:r>
      <w:r w:rsidR="005074D0" w:rsidRPr="00004886">
        <w:rPr>
          <w:rFonts w:ascii="Times New Roman" w:hAnsi="Times New Roman" w:cs="Times New Roman"/>
        </w:rPr>
        <w:t xml:space="preserve"> detrimental effect,</w:t>
      </w:r>
    </w:p>
    <w:p w14:paraId="5FB16F26" w14:textId="3395A5DE" w:rsidR="00562A20" w:rsidRPr="00004886" w:rsidRDefault="005074D0" w:rsidP="00004886">
      <w:pPr>
        <w:spacing w:line="480" w:lineRule="auto"/>
        <w:ind w:left="567"/>
        <w:rPr>
          <w:rFonts w:ascii="Times New Roman" w:hAnsi="Times New Roman" w:cs="Times New Roman"/>
        </w:rPr>
      </w:pPr>
      <w:r w:rsidRPr="00004886">
        <w:rPr>
          <w:rFonts w:ascii="Times New Roman" w:hAnsi="Times New Roman" w:cs="Times New Roman"/>
        </w:rPr>
        <w:t xml:space="preserve">did not remove the harm that would be caused to them through feeling that discrimination on grounds of sexual orientation was practiced at some point in the adoption system nor would it remove the harm to the </w:t>
      </w:r>
      <w:r w:rsidR="00A87248" w:rsidRPr="00004886">
        <w:rPr>
          <w:rFonts w:ascii="Times New Roman" w:hAnsi="Times New Roman" w:cs="Times New Roman"/>
        </w:rPr>
        <w:t>general</w:t>
      </w:r>
      <w:r w:rsidRPr="00004886">
        <w:rPr>
          <w:rFonts w:ascii="Times New Roman" w:hAnsi="Times New Roman" w:cs="Times New Roman"/>
        </w:rPr>
        <w:t xml:space="preserve"> social value of promotion of equality of treatment for heterosexual and homosexuals – a value endorsed by Parliament in assessing and responding to the needs of society by legislating general rules to promote quality of treatment for homosexuals.</w:t>
      </w:r>
      <w:r w:rsidRPr="00004886">
        <w:rPr>
          <w:rStyle w:val="FootnoteReference"/>
          <w:rFonts w:ascii="Times New Roman" w:hAnsi="Times New Roman" w:cs="Times New Roman"/>
        </w:rPr>
        <w:footnoteReference w:id="63"/>
      </w:r>
    </w:p>
    <w:p w14:paraId="28BDB874" w14:textId="003CBCD8" w:rsidR="004B0C5F" w:rsidRDefault="006D7032" w:rsidP="00B40A69">
      <w:pPr>
        <w:spacing w:line="480" w:lineRule="auto"/>
        <w:rPr>
          <w:rFonts w:ascii="Times New Roman" w:hAnsi="Times New Roman" w:cs="Times New Roman"/>
        </w:rPr>
      </w:pPr>
      <w:r w:rsidRPr="00004886">
        <w:rPr>
          <w:rFonts w:ascii="Times New Roman" w:hAnsi="Times New Roman" w:cs="Times New Roman"/>
        </w:rPr>
        <w:lastRenderedPageBreak/>
        <w:t xml:space="preserve">Thus, the availability of the service itself is really only </w:t>
      </w:r>
      <w:r w:rsidR="00EE2D67" w:rsidRPr="00004886">
        <w:rPr>
          <w:rFonts w:ascii="Times New Roman" w:hAnsi="Times New Roman" w:cs="Times New Roman"/>
        </w:rPr>
        <w:t>a piece</w:t>
      </w:r>
      <w:r w:rsidRPr="00004886">
        <w:rPr>
          <w:rFonts w:ascii="Times New Roman" w:hAnsi="Times New Roman" w:cs="Times New Roman"/>
        </w:rPr>
        <w:t xml:space="preserve"> of the puzzle, and the fact of the discrimination itself is important, both to the individuals who are discriminated against, and to broader society. The harm caused by the existence of the discrimination tips the calculation of proportionality against the discrimination.  </w:t>
      </w:r>
    </w:p>
    <w:p w14:paraId="35255ACC" w14:textId="77777777" w:rsidR="00B40A69" w:rsidRPr="00004886" w:rsidRDefault="00B40A69" w:rsidP="00B40A69">
      <w:pPr>
        <w:spacing w:line="480" w:lineRule="auto"/>
        <w:rPr>
          <w:rFonts w:ascii="Times New Roman" w:hAnsi="Times New Roman" w:cs="Times New Roman"/>
        </w:rPr>
      </w:pPr>
    </w:p>
    <w:p w14:paraId="164C97D0" w14:textId="448552C2" w:rsidR="00E844F4" w:rsidRPr="00004886" w:rsidRDefault="004B0C5F" w:rsidP="00004886">
      <w:pPr>
        <w:spacing w:line="480" w:lineRule="auto"/>
        <w:ind w:firstLine="567"/>
        <w:rPr>
          <w:rFonts w:ascii="Times New Roman" w:hAnsi="Times New Roman" w:cs="Times New Roman"/>
        </w:rPr>
      </w:pPr>
      <w:r w:rsidRPr="00004886">
        <w:rPr>
          <w:rFonts w:ascii="Times New Roman" w:hAnsi="Times New Roman" w:cs="Times New Roman"/>
        </w:rPr>
        <w:t xml:space="preserve">Sales, J also </w:t>
      </w:r>
      <w:r w:rsidR="00B40A69">
        <w:rPr>
          <w:rFonts w:ascii="Times New Roman" w:hAnsi="Times New Roman" w:cs="Times New Roman"/>
        </w:rPr>
        <w:t>state</w:t>
      </w:r>
      <w:r w:rsidRPr="00004886">
        <w:rPr>
          <w:rFonts w:ascii="Times New Roman" w:hAnsi="Times New Roman" w:cs="Times New Roman"/>
        </w:rPr>
        <w:t>d that the motivation of donors to the charity might also be capable of being relevant to calculating proportionality under Article 14</w:t>
      </w:r>
      <w:r w:rsidR="00AA0DE3" w:rsidRPr="00004886">
        <w:rPr>
          <w:rFonts w:ascii="Times New Roman" w:hAnsi="Times New Roman" w:cs="Times New Roman"/>
        </w:rPr>
        <w:t>, particularly where they,</w:t>
      </w:r>
      <w:r w:rsidRPr="00004886">
        <w:rPr>
          <w:rFonts w:ascii="Times New Roman" w:hAnsi="Times New Roman" w:cs="Times New Roman"/>
        </w:rPr>
        <w:t xml:space="preserve"> </w:t>
      </w:r>
      <w:r w:rsidR="00AA0DE3" w:rsidRPr="00004886">
        <w:rPr>
          <w:rFonts w:ascii="Times New Roman" w:hAnsi="Times New Roman" w:cs="Times New Roman"/>
        </w:rPr>
        <w:t>‘</w:t>
      </w:r>
      <w:r w:rsidRPr="00004886">
        <w:rPr>
          <w:rFonts w:ascii="Times New Roman" w:hAnsi="Times New Roman" w:cs="Times New Roman"/>
        </w:rPr>
        <w:t>are motivated by sincerely held religious beliefs in line with a major tradition in European society such as that represented by the doctrine of the Catholic church</w:t>
      </w:r>
      <w:r w:rsidR="00AA0DE3" w:rsidRPr="00004886">
        <w:rPr>
          <w:rFonts w:ascii="Times New Roman" w:hAnsi="Times New Roman" w:cs="Times New Roman"/>
        </w:rPr>
        <w:t>.’</w:t>
      </w:r>
      <w:r w:rsidRPr="00004886">
        <w:rPr>
          <w:rStyle w:val="FootnoteReference"/>
          <w:rFonts w:ascii="Times New Roman" w:hAnsi="Times New Roman" w:cs="Times New Roman"/>
        </w:rPr>
        <w:footnoteReference w:id="64"/>
      </w:r>
      <w:r w:rsidRPr="00004886">
        <w:rPr>
          <w:rFonts w:ascii="Times New Roman" w:hAnsi="Times New Roman" w:cs="Times New Roman"/>
        </w:rPr>
        <w:t xml:space="preserve"> </w:t>
      </w:r>
      <w:r w:rsidR="00651751" w:rsidRPr="00004886">
        <w:rPr>
          <w:rFonts w:ascii="Times New Roman" w:hAnsi="Times New Roman" w:cs="Times New Roman"/>
        </w:rPr>
        <w:t xml:space="preserve">This is one of the areas where the argumentation under Article 14 </w:t>
      </w:r>
      <w:r w:rsidR="00C51316" w:rsidRPr="00004886">
        <w:rPr>
          <w:rFonts w:ascii="Times New Roman" w:hAnsi="Times New Roman" w:cs="Times New Roman"/>
        </w:rPr>
        <w:t xml:space="preserve">in </w:t>
      </w:r>
      <w:r w:rsidR="00C51316" w:rsidRPr="00004886">
        <w:rPr>
          <w:rFonts w:ascii="Times New Roman" w:hAnsi="Times New Roman" w:cs="Times New Roman"/>
          <w:i/>
          <w:iCs/>
        </w:rPr>
        <w:t>Catholic Care</w:t>
      </w:r>
      <w:r w:rsidR="00C51316" w:rsidRPr="00004886">
        <w:rPr>
          <w:rFonts w:ascii="Times New Roman" w:hAnsi="Times New Roman" w:cs="Times New Roman"/>
        </w:rPr>
        <w:t xml:space="preserve"> </w:t>
      </w:r>
      <w:r w:rsidR="00651751" w:rsidRPr="00004886">
        <w:rPr>
          <w:rFonts w:ascii="Times New Roman" w:hAnsi="Times New Roman" w:cs="Times New Roman"/>
        </w:rPr>
        <w:t>is problematic. Benign motive cannot be a defence to direct discrimination, and the section 193 exception is justifying direct discrimination.</w:t>
      </w:r>
      <w:r w:rsidR="00651751" w:rsidRPr="00004886">
        <w:rPr>
          <w:rStyle w:val="FootnoteReference"/>
          <w:rFonts w:ascii="Times New Roman" w:hAnsi="Times New Roman" w:cs="Times New Roman"/>
        </w:rPr>
        <w:footnoteReference w:id="65"/>
      </w:r>
      <w:r w:rsidR="00651751" w:rsidRPr="00004886">
        <w:rPr>
          <w:rFonts w:ascii="Times New Roman" w:hAnsi="Times New Roman" w:cs="Times New Roman"/>
        </w:rPr>
        <w:t xml:space="preserve"> </w:t>
      </w:r>
      <w:r w:rsidR="00AA0DE3" w:rsidRPr="00004886">
        <w:rPr>
          <w:rFonts w:ascii="Times New Roman" w:hAnsi="Times New Roman" w:cs="Times New Roman"/>
        </w:rPr>
        <w:t>A charity could always argue that it is operating in pursuance of a recognised charitable purpose and in the public benefit, and that therefore this is benign motivation</w:t>
      </w:r>
      <w:r w:rsidR="00651751" w:rsidRPr="00004886">
        <w:rPr>
          <w:rFonts w:ascii="Times New Roman" w:hAnsi="Times New Roman" w:cs="Times New Roman"/>
        </w:rPr>
        <w:t xml:space="preserve">. </w:t>
      </w:r>
      <w:r w:rsidR="00F4728E" w:rsidRPr="00004886">
        <w:rPr>
          <w:rFonts w:ascii="Times New Roman" w:hAnsi="Times New Roman" w:cs="Times New Roman"/>
        </w:rPr>
        <w:t xml:space="preserve">The acceptance of a purpose as charitable would provide the justification of the reasonableness of the benign motivation, as the ‘major tradition’ of Catholicism does for Sales, J in the case of Catholic Care. Nevertheless, both European and domestic lawmakers have placed limits on the ability of charities to discriminate. To allow the discrimination because the motivation is benign would, in the case of charities, effectively read out the limitations of s 193. </w:t>
      </w:r>
      <w:r w:rsidR="00A87248" w:rsidRPr="00004886">
        <w:rPr>
          <w:rFonts w:ascii="Times New Roman" w:hAnsi="Times New Roman" w:cs="Times New Roman"/>
        </w:rPr>
        <w:t>T</w:t>
      </w:r>
      <w:r w:rsidR="002C6050" w:rsidRPr="00004886">
        <w:rPr>
          <w:rFonts w:ascii="Times New Roman" w:hAnsi="Times New Roman" w:cs="Times New Roman"/>
        </w:rPr>
        <w:t>his</w:t>
      </w:r>
      <w:r w:rsidR="00A87248" w:rsidRPr="00004886">
        <w:rPr>
          <w:rFonts w:ascii="Times New Roman" w:hAnsi="Times New Roman" w:cs="Times New Roman"/>
        </w:rPr>
        <w:t>, however,</w:t>
      </w:r>
      <w:r w:rsidR="002C6050" w:rsidRPr="00004886">
        <w:rPr>
          <w:rFonts w:ascii="Times New Roman" w:hAnsi="Times New Roman" w:cs="Times New Roman"/>
        </w:rPr>
        <w:t xml:space="preserve"> is one of the difficulties of balancing equality law. Religion is a protected characteristic, so the </w:t>
      </w:r>
      <w:r w:rsidR="00E844F4" w:rsidRPr="00004886">
        <w:rPr>
          <w:rFonts w:ascii="Times New Roman" w:hAnsi="Times New Roman" w:cs="Times New Roman"/>
        </w:rPr>
        <w:t xml:space="preserve">beliefs that motivated the </w:t>
      </w:r>
      <w:r w:rsidR="002C6050" w:rsidRPr="00004886">
        <w:rPr>
          <w:rFonts w:ascii="Times New Roman" w:hAnsi="Times New Roman" w:cs="Times New Roman"/>
        </w:rPr>
        <w:t xml:space="preserve">charity in Catholic Care </w:t>
      </w:r>
      <w:r w:rsidR="00E844F4" w:rsidRPr="00004886">
        <w:rPr>
          <w:rFonts w:ascii="Times New Roman" w:hAnsi="Times New Roman" w:cs="Times New Roman"/>
        </w:rPr>
        <w:t>are protected</w:t>
      </w:r>
      <w:r w:rsidR="002C6050" w:rsidRPr="00004886">
        <w:rPr>
          <w:rFonts w:ascii="Times New Roman" w:hAnsi="Times New Roman" w:cs="Times New Roman"/>
        </w:rPr>
        <w:t xml:space="preserve">. This then sets up conflicts with other equality strands, such as sex discrimination, or gender reassignment. Whose interests ought society to privilege then? </w:t>
      </w:r>
    </w:p>
    <w:p w14:paraId="09C8B888" w14:textId="77777777" w:rsidR="00B40A69" w:rsidRDefault="00B40A69" w:rsidP="00004886">
      <w:pPr>
        <w:spacing w:line="480" w:lineRule="auto"/>
        <w:ind w:firstLine="567"/>
        <w:rPr>
          <w:rFonts w:ascii="Times New Roman" w:hAnsi="Times New Roman" w:cs="Times New Roman"/>
        </w:rPr>
      </w:pPr>
    </w:p>
    <w:p w14:paraId="1F5CEBF4" w14:textId="5A1C27CE" w:rsidR="005074D0" w:rsidRDefault="00B40A69" w:rsidP="00004886">
      <w:pPr>
        <w:spacing w:line="480" w:lineRule="auto"/>
        <w:ind w:firstLine="567"/>
        <w:rPr>
          <w:rFonts w:ascii="Times New Roman" w:hAnsi="Times New Roman" w:cs="Times New Roman"/>
        </w:rPr>
      </w:pPr>
      <w:r>
        <w:rPr>
          <w:rFonts w:ascii="Times New Roman" w:hAnsi="Times New Roman" w:cs="Times New Roman"/>
        </w:rPr>
        <w:lastRenderedPageBreak/>
        <w:t xml:space="preserve">Applying </w:t>
      </w:r>
      <w:r>
        <w:rPr>
          <w:rFonts w:ascii="Times New Roman" w:hAnsi="Times New Roman" w:cs="Times New Roman"/>
          <w:i/>
        </w:rPr>
        <w:t xml:space="preserve">Catholic </w:t>
      </w:r>
      <w:r w:rsidRPr="00B40A69">
        <w:rPr>
          <w:rFonts w:ascii="Times New Roman" w:hAnsi="Times New Roman" w:cs="Times New Roman"/>
          <w:i/>
        </w:rPr>
        <w:t>Care</w:t>
      </w:r>
      <w:r>
        <w:rPr>
          <w:rFonts w:ascii="Times New Roman" w:hAnsi="Times New Roman" w:cs="Times New Roman"/>
        </w:rPr>
        <w:t xml:space="preserve"> to the situation of the </w:t>
      </w:r>
      <w:r w:rsidR="00227F2D" w:rsidRPr="00004886">
        <w:rPr>
          <w:rFonts w:ascii="Times New Roman" w:hAnsi="Times New Roman" w:cs="Times New Roman"/>
        </w:rPr>
        <w:t>hypothetical</w:t>
      </w:r>
      <w:r w:rsidR="005074D0" w:rsidRPr="00004886">
        <w:rPr>
          <w:rFonts w:ascii="Times New Roman" w:hAnsi="Times New Roman" w:cs="Times New Roman"/>
        </w:rPr>
        <w:t xml:space="preserve"> </w:t>
      </w:r>
      <w:r>
        <w:rPr>
          <w:rFonts w:ascii="Times New Roman" w:hAnsi="Times New Roman" w:cs="Times New Roman"/>
        </w:rPr>
        <w:t xml:space="preserve">cisgender women’s </w:t>
      </w:r>
      <w:r w:rsidR="005074D0" w:rsidRPr="00004886">
        <w:rPr>
          <w:rFonts w:ascii="Times New Roman" w:hAnsi="Times New Roman" w:cs="Times New Roman"/>
        </w:rPr>
        <w:t>charity</w:t>
      </w:r>
      <w:r>
        <w:rPr>
          <w:rFonts w:ascii="Times New Roman" w:hAnsi="Times New Roman" w:cs="Times New Roman"/>
        </w:rPr>
        <w:t xml:space="preserve"> considered in this case study, the charity</w:t>
      </w:r>
      <w:r w:rsidR="005074D0" w:rsidRPr="00004886">
        <w:rPr>
          <w:rFonts w:ascii="Times New Roman" w:hAnsi="Times New Roman" w:cs="Times New Roman"/>
        </w:rPr>
        <w:t xml:space="preserve"> may be able to establish that providing s</w:t>
      </w:r>
      <w:r>
        <w:rPr>
          <w:rFonts w:ascii="Times New Roman" w:hAnsi="Times New Roman" w:cs="Times New Roman"/>
        </w:rPr>
        <w:t xml:space="preserve">ervices </w:t>
      </w:r>
      <w:r w:rsidR="005074D0" w:rsidRPr="00004886">
        <w:rPr>
          <w:rFonts w:ascii="Times New Roman" w:hAnsi="Times New Roman" w:cs="Times New Roman"/>
        </w:rPr>
        <w:t xml:space="preserve">to </w:t>
      </w:r>
      <w:r w:rsidR="007666F0">
        <w:rPr>
          <w:rFonts w:ascii="Times New Roman" w:hAnsi="Times New Roman" w:cs="Times New Roman"/>
        </w:rPr>
        <w:t>cisgender</w:t>
      </w:r>
      <w:r w:rsidR="005074D0" w:rsidRPr="00004886">
        <w:rPr>
          <w:rFonts w:ascii="Times New Roman" w:hAnsi="Times New Roman" w:cs="Times New Roman"/>
        </w:rPr>
        <w:t xml:space="preserve"> women is a legitimate aim.</w:t>
      </w:r>
      <w:r w:rsidR="00040C1D" w:rsidRPr="00004886">
        <w:rPr>
          <w:rFonts w:ascii="Times New Roman" w:hAnsi="Times New Roman" w:cs="Times New Roman"/>
        </w:rPr>
        <w:t xml:space="preserve"> It cannot be the case that section 193(2)(a) requires that </w:t>
      </w:r>
      <w:r w:rsidR="007666F0">
        <w:rPr>
          <w:rFonts w:ascii="Times New Roman" w:hAnsi="Times New Roman" w:cs="Times New Roman"/>
        </w:rPr>
        <w:t>cisgender</w:t>
      </w:r>
      <w:r w:rsidR="00040C1D" w:rsidRPr="00004886">
        <w:rPr>
          <w:rFonts w:ascii="Times New Roman" w:hAnsi="Times New Roman" w:cs="Times New Roman"/>
        </w:rPr>
        <w:t xml:space="preserve"> women be at a greater disadvantage than the general public, because if that were the case then section 193(2)(b) would apply, robbing section 193(2)(a) of meaning. </w:t>
      </w:r>
      <w:r w:rsidR="000F7F40" w:rsidRPr="00004886">
        <w:rPr>
          <w:rFonts w:ascii="Times New Roman" w:hAnsi="Times New Roman" w:cs="Times New Roman"/>
        </w:rPr>
        <w:t>Ther</w:t>
      </w:r>
      <w:r w:rsidR="00E4370F" w:rsidRPr="00004886">
        <w:rPr>
          <w:rFonts w:ascii="Times New Roman" w:hAnsi="Times New Roman" w:cs="Times New Roman"/>
        </w:rPr>
        <w:t>efore, providing support to cis</w:t>
      </w:r>
      <w:r w:rsidR="000F7F40" w:rsidRPr="00004886">
        <w:rPr>
          <w:rFonts w:ascii="Times New Roman" w:hAnsi="Times New Roman" w:cs="Times New Roman"/>
        </w:rPr>
        <w:t xml:space="preserve">gender survivors of domestic violence might be </w:t>
      </w:r>
      <w:r w:rsidR="004106E3" w:rsidRPr="00004886">
        <w:rPr>
          <w:rFonts w:ascii="Times New Roman" w:hAnsi="Times New Roman" w:cs="Times New Roman"/>
        </w:rPr>
        <w:t>a</w:t>
      </w:r>
      <w:r w:rsidR="000F7F40" w:rsidRPr="00004886">
        <w:rPr>
          <w:rFonts w:ascii="Times New Roman" w:hAnsi="Times New Roman" w:cs="Times New Roman"/>
        </w:rPr>
        <w:t xml:space="preserve"> legitimate aim, even if it were not possible to establish that </w:t>
      </w:r>
      <w:r w:rsidR="007666F0">
        <w:rPr>
          <w:rFonts w:ascii="Times New Roman" w:hAnsi="Times New Roman" w:cs="Times New Roman"/>
        </w:rPr>
        <w:t>cisgender</w:t>
      </w:r>
      <w:r w:rsidR="000F7F40" w:rsidRPr="00004886">
        <w:rPr>
          <w:rFonts w:ascii="Times New Roman" w:hAnsi="Times New Roman" w:cs="Times New Roman"/>
        </w:rPr>
        <w:t xml:space="preserve"> women are subjected to domestic violence at a greater rate than the general public or trans</w:t>
      </w:r>
      <w:r w:rsidR="007001BE">
        <w:rPr>
          <w:rFonts w:ascii="Times New Roman" w:hAnsi="Times New Roman" w:cs="Times New Roman"/>
        </w:rPr>
        <w:t>gender</w:t>
      </w:r>
      <w:r w:rsidR="000F7F40" w:rsidRPr="00004886">
        <w:rPr>
          <w:rFonts w:ascii="Times New Roman" w:hAnsi="Times New Roman" w:cs="Times New Roman"/>
        </w:rPr>
        <w:t xml:space="preserve"> women. </w:t>
      </w:r>
      <w:r w:rsidR="00040C1D" w:rsidRPr="00004886">
        <w:rPr>
          <w:rFonts w:ascii="Times New Roman" w:hAnsi="Times New Roman" w:cs="Times New Roman"/>
        </w:rPr>
        <w:t>The Charity Commission’s guidance on ‘test B’ would indicate otherwise</w:t>
      </w:r>
      <w:r w:rsidR="000F7F40" w:rsidRPr="00004886">
        <w:rPr>
          <w:rFonts w:ascii="Times New Roman" w:hAnsi="Times New Roman" w:cs="Times New Roman"/>
        </w:rPr>
        <w:t xml:space="preserve">, </w:t>
      </w:r>
      <w:r w:rsidR="009443CB">
        <w:rPr>
          <w:rFonts w:ascii="Times New Roman" w:hAnsi="Times New Roman" w:cs="Times New Roman"/>
        </w:rPr>
        <w:t xml:space="preserve">however, </w:t>
      </w:r>
      <w:r w:rsidR="00040C1D" w:rsidRPr="00004886">
        <w:rPr>
          <w:rFonts w:ascii="Times New Roman" w:hAnsi="Times New Roman" w:cs="Times New Roman"/>
        </w:rPr>
        <w:t>stating that a legitimate aim ‘has a reasonable social policy objective … is consistent with the lawful carrying out of the charity’s stated purpose for the public benefit … and is not itself discriminatory.’</w:t>
      </w:r>
      <w:r w:rsidR="00040C1D" w:rsidRPr="00004886">
        <w:rPr>
          <w:rStyle w:val="FootnoteReference"/>
          <w:rFonts w:ascii="Times New Roman" w:hAnsi="Times New Roman" w:cs="Times New Roman"/>
        </w:rPr>
        <w:footnoteReference w:id="66"/>
      </w:r>
      <w:r w:rsidR="00040C1D" w:rsidRPr="00004886">
        <w:rPr>
          <w:rFonts w:ascii="Times New Roman" w:hAnsi="Times New Roman" w:cs="Times New Roman"/>
        </w:rPr>
        <w:t xml:space="preserve"> </w:t>
      </w:r>
      <w:r w:rsidR="00E4370F" w:rsidRPr="00004886">
        <w:rPr>
          <w:rFonts w:ascii="Times New Roman" w:hAnsi="Times New Roman" w:cs="Times New Roman"/>
        </w:rPr>
        <w:t>This guidance seems rather circular as</w:t>
      </w:r>
      <w:r w:rsidR="009E73C3">
        <w:rPr>
          <w:rFonts w:ascii="Times New Roman" w:hAnsi="Times New Roman" w:cs="Times New Roman"/>
        </w:rPr>
        <w:t>,</w:t>
      </w:r>
      <w:r w:rsidR="00E4370F" w:rsidRPr="00004886">
        <w:rPr>
          <w:rFonts w:ascii="Times New Roman" w:hAnsi="Times New Roman" w:cs="Times New Roman"/>
        </w:rPr>
        <w:t xml:space="preserve"> if the objective were not itself discriminatory</w:t>
      </w:r>
      <w:r w:rsidR="009E73C3">
        <w:rPr>
          <w:rFonts w:ascii="Times New Roman" w:hAnsi="Times New Roman" w:cs="Times New Roman"/>
        </w:rPr>
        <w:t>,</w:t>
      </w:r>
      <w:r w:rsidR="00E4370F" w:rsidRPr="00004886">
        <w:rPr>
          <w:rFonts w:ascii="Times New Roman" w:hAnsi="Times New Roman" w:cs="Times New Roman"/>
        </w:rPr>
        <w:t xml:space="preserve"> there would be nothing to justify via s</w:t>
      </w:r>
      <w:r w:rsidR="00F44EF9" w:rsidRPr="00004886">
        <w:rPr>
          <w:rFonts w:ascii="Times New Roman" w:hAnsi="Times New Roman" w:cs="Times New Roman"/>
        </w:rPr>
        <w:t xml:space="preserve"> 193(a</w:t>
      </w:r>
      <w:r w:rsidR="00E4370F" w:rsidRPr="00004886">
        <w:rPr>
          <w:rFonts w:ascii="Times New Roman" w:hAnsi="Times New Roman" w:cs="Times New Roman"/>
        </w:rPr>
        <w:t>). The EHRC’s Statutory Code of Practice on Services, Public Functions and Associations states that ‘the restriction would need to promote, or in any event not inhibit, the achievement of one of it</w:t>
      </w:r>
      <w:r>
        <w:rPr>
          <w:rFonts w:ascii="Times New Roman" w:hAnsi="Times New Roman" w:cs="Times New Roman"/>
        </w:rPr>
        <w:t>s</w:t>
      </w:r>
      <w:r w:rsidR="00E4370F" w:rsidRPr="00004886">
        <w:rPr>
          <w:rFonts w:ascii="Times New Roman" w:hAnsi="Times New Roman" w:cs="Times New Roman"/>
        </w:rPr>
        <w:t xml:space="preserve"> stated aims.’</w:t>
      </w:r>
      <w:r w:rsidR="00E4370F" w:rsidRPr="00004886">
        <w:rPr>
          <w:rStyle w:val="FootnoteReference"/>
          <w:rFonts w:ascii="Times New Roman" w:hAnsi="Times New Roman" w:cs="Times New Roman"/>
        </w:rPr>
        <w:footnoteReference w:id="67"/>
      </w:r>
      <w:r w:rsidR="00E4370F" w:rsidRPr="00004886">
        <w:rPr>
          <w:rFonts w:ascii="Times New Roman" w:hAnsi="Times New Roman" w:cs="Times New Roman"/>
        </w:rPr>
        <w:t xml:space="preserve"> </w:t>
      </w:r>
    </w:p>
    <w:p w14:paraId="5BFCC62C" w14:textId="77777777" w:rsidR="00B40A69" w:rsidRPr="00004886" w:rsidRDefault="00B40A69" w:rsidP="00004886">
      <w:pPr>
        <w:spacing w:line="480" w:lineRule="auto"/>
        <w:ind w:firstLine="567"/>
        <w:rPr>
          <w:rFonts w:ascii="Times New Roman" w:hAnsi="Times New Roman" w:cs="Times New Roman"/>
        </w:rPr>
      </w:pPr>
    </w:p>
    <w:p w14:paraId="3B6E9735" w14:textId="3421FBB9" w:rsidR="009443CB" w:rsidRDefault="00F44EF9" w:rsidP="00004886">
      <w:pPr>
        <w:spacing w:line="480" w:lineRule="auto"/>
        <w:ind w:firstLine="567"/>
        <w:rPr>
          <w:rFonts w:ascii="Times New Roman" w:hAnsi="Times New Roman" w:cs="Times New Roman"/>
        </w:rPr>
      </w:pPr>
      <w:r w:rsidRPr="00004886">
        <w:rPr>
          <w:rFonts w:ascii="Times New Roman" w:hAnsi="Times New Roman" w:cs="Times New Roman"/>
        </w:rPr>
        <w:t xml:space="preserve">Even were this to be a legitimate </w:t>
      </w:r>
      <w:r w:rsidR="00894238" w:rsidRPr="00004886">
        <w:rPr>
          <w:rFonts w:ascii="Times New Roman" w:hAnsi="Times New Roman" w:cs="Times New Roman"/>
        </w:rPr>
        <w:t>aim, however, proportionality would require sufficiently weighty justification</w:t>
      </w:r>
      <w:r w:rsidR="007001BE">
        <w:rPr>
          <w:rFonts w:ascii="Times New Roman" w:hAnsi="Times New Roman" w:cs="Times New Roman"/>
        </w:rPr>
        <w:t>, which</w:t>
      </w:r>
      <w:r w:rsidR="00894238" w:rsidRPr="00004886">
        <w:rPr>
          <w:rFonts w:ascii="Times New Roman" w:hAnsi="Times New Roman" w:cs="Times New Roman"/>
        </w:rPr>
        <w:t xml:space="preserve"> would be difficult for the </w:t>
      </w:r>
      <w:r w:rsidR="007666F0">
        <w:rPr>
          <w:rFonts w:ascii="Times New Roman" w:hAnsi="Times New Roman" w:cs="Times New Roman"/>
        </w:rPr>
        <w:t>cisgender</w:t>
      </w:r>
      <w:r w:rsidR="00894238" w:rsidRPr="00004886">
        <w:rPr>
          <w:rFonts w:ascii="Times New Roman" w:hAnsi="Times New Roman" w:cs="Times New Roman"/>
        </w:rPr>
        <w:t xml:space="preserve"> charity to meet. </w:t>
      </w:r>
      <w:r w:rsidR="009443CB">
        <w:rPr>
          <w:rFonts w:ascii="Times New Roman" w:hAnsi="Times New Roman" w:cs="Times New Roman"/>
        </w:rPr>
        <w:t>There are fundamental problems with the arguments that are made to justify this position</w:t>
      </w:r>
      <w:r w:rsidR="00B76138">
        <w:rPr>
          <w:rFonts w:ascii="Times New Roman" w:hAnsi="Times New Roman" w:cs="Times New Roman"/>
        </w:rPr>
        <w:t>, as they accept premises that should be challenged. First, the case for a blan</w:t>
      </w:r>
      <w:r w:rsidR="006E7D8D">
        <w:rPr>
          <w:rFonts w:ascii="Times New Roman" w:hAnsi="Times New Roman" w:cs="Times New Roman"/>
        </w:rPr>
        <w:t>ket exclusion of transgender</w:t>
      </w:r>
      <w:r w:rsidR="00B76138">
        <w:rPr>
          <w:rFonts w:ascii="Times New Roman" w:hAnsi="Times New Roman" w:cs="Times New Roman"/>
        </w:rPr>
        <w:t xml:space="preserve"> </w:t>
      </w:r>
      <w:r w:rsidR="006E7D8D">
        <w:rPr>
          <w:rFonts w:ascii="Times New Roman" w:hAnsi="Times New Roman" w:cs="Times New Roman"/>
        </w:rPr>
        <w:t xml:space="preserve">women suggests that they will look like men, and that this might be ‘triggering’ or distressing for cisgender women service users of sensitive services such as domestic violence counselling. It is not the case that all transgender women look like men, and even if </w:t>
      </w:r>
      <w:r w:rsidR="006E7D8D">
        <w:rPr>
          <w:rFonts w:ascii="Times New Roman" w:hAnsi="Times New Roman" w:cs="Times New Roman"/>
        </w:rPr>
        <w:lastRenderedPageBreak/>
        <w:t>it were</w:t>
      </w:r>
      <w:r w:rsidR="007001BE">
        <w:rPr>
          <w:rFonts w:ascii="Times New Roman" w:hAnsi="Times New Roman" w:cs="Times New Roman"/>
        </w:rPr>
        <w:t>, then this</w:t>
      </w:r>
      <w:r w:rsidR="006E7D8D">
        <w:rPr>
          <w:rFonts w:ascii="Times New Roman" w:hAnsi="Times New Roman" w:cs="Times New Roman"/>
        </w:rPr>
        <w:t xml:space="preserve"> argument </w:t>
      </w:r>
      <w:r w:rsidR="007001BE">
        <w:rPr>
          <w:rFonts w:ascii="Times New Roman" w:hAnsi="Times New Roman" w:cs="Times New Roman"/>
        </w:rPr>
        <w:t>would</w:t>
      </w:r>
      <w:r w:rsidR="006E7D8D">
        <w:rPr>
          <w:rFonts w:ascii="Times New Roman" w:hAnsi="Times New Roman" w:cs="Times New Roman"/>
        </w:rPr>
        <w:t xml:space="preserve"> require that any cisgender women who do not look ‘womanly’</w:t>
      </w:r>
      <w:r w:rsidR="009443CB">
        <w:rPr>
          <w:rFonts w:ascii="Times New Roman" w:hAnsi="Times New Roman" w:cs="Times New Roman"/>
        </w:rPr>
        <w:t xml:space="preserve"> </w:t>
      </w:r>
      <w:r w:rsidR="006E7D8D">
        <w:rPr>
          <w:rFonts w:ascii="Times New Roman" w:hAnsi="Times New Roman" w:cs="Times New Roman"/>
        </w:rPr>
        <w:t>be excluded as well. Secondly, it assumes a uniformity and safety among cisgender women that is always greater than those between cisgender and transgender women, which is problematic. The government consultation points to potential circumstances that challenge this construction: ‘</w:t>
      </w:r>
      <w:r w:rsidR="006E7D8D" w:rsidRPr="006E7D8D">
        <w:rPr>
          <w:rFonts w:ascii="Times New Roman" w:hAnsi="Times New Roman" w:cs="Times New Roman"/>
        </w:rPr>
        <w:t>for example the refuge might want to prevent an abusive lesbian from entering when her abused female partner is inside, or it may exclude a woman with a history of violence and instability.</w:t>
      </w:r>
      <w:r w:rsidR="006E7D8D">
        <w:rPr>
          <w:rFonts w:ascii="Times New Roman" w:hAnsi="Times New Roman" w:cs="Times New Roman"/>
        </w:rPr>
        <w:t>’</w:t>
      </w:r>
      <w:r w:rsidR="006E7D8D">
        <w:rPr>
          <w:rStyle w:val="FootnoteReference"/>
          <w:rFonts w:ascii="Times New Roman" w:hAnsi="Times New Roman" w:cs="Times New Roman"/>
        </w:rPr>
        <w:footnoteReference w:id="68"/>
      </w:r>
      <w:r w:rsidR="009C48E7">
        <w:rPr>
          <w:rFonts w:ascii="Times New Roman" w:hAnsi="Times New Roman" w:cs="Times New Roman"/>
        </w:rPr>
        <w:t xml:space="preserve"> The argument is sometimes justified on the basis that abusive cisgender men will pretend to be transgender women in order to access these services and abuse women.</w:t>
      </w:r>
      <w:r w:rsidR="009C48E7">
        <w:rPr>
          <w:rStyle w:val="FootnoteReference"/>
          <w:rFonts w:ascii="Times New Roman" w:hAnsi="Times New Roman" w:cs="Times New Roman"/>
        </w:rPr>
        <w:footnoteReference w:id="69"/>
      </w:r>
      <w:r w:rsidR="009C48E7">
        <w:rPr>
          <w:rFonts w:ascii="Times New Roman" w:hAnsi="Times New Roman" w:cs="Times New Roman"/>
        </w:rPr>
        <w:t xml:space="preserve"> It is entirely disproportionate, however, to deny services to a vulnerable population group on the chance that another population group entirely might try and abuse the existence of the vulnerable population group in order to commit crimes. </w:t>
      </w:r>
    </w:p>
    <w:p w14:paraId="16C2BEAD" w14:textId="77777777" w:rsidR="003F1DB8" w:rsidRDefault="003F1DB8" w:rsidP="00004886">
      <w:pPr>
        <w:spacing w:line="480" w:lineRule="auto"/>
        <w:ind w:firstLine="567"/>
        <w:rPr>
          <w:rFonts w:ascii="Times New Roman" w:hAnsi="Times New Roman" w:cs="Times New Roman"/>
        </w:rPr>
      </w:pPr>
    </w:p>
    <w:p w14:paraId="3536C5E0" w14:textId="6FAC48E1" w:rsidR="00F44EF9" w:rsidRDefault="009C48E7" w:rsidP="00004886">
      <w:pPr>
        <w:spacing w:line="480" w:lineRule="auto"/>
        <w:ind w:firstLine="567"/>
        <w:rPr>
          <w:rFonts w:ascii="Times New Roman" w:hAnsi="Times New Roman" w:cs="Times New Roman"/>
        </w:rPr>
      </w:pPr>
      <w:r>
        <w:rPr>
          <w:rFonts w:ascii="Times New Roman" w:hAnsi="Times New Roman" w:cs="Times New Roman"/>
        </w:rPr>
        <w:t xml:space="preserve">By way of analogy to </w:t>
      </w:r>
      <w:r>
        <w:rPr>
          <w:rFonts w:ascii="Times New Roman" w:hAnsi="Times New Roman" w:cs="Times New Roman"/>
          <w:i/>
        </w:rPr>
        <w:t xml:space="preserve">Catholic </w:t>
      </w:r>
      <w:r w:rsidRPr="009C48E7">
        <w:rPr>
          <w:rFonts w:ascii="Times New Roman" w:hAnsi="Times New Roman" w:cs="Times New Roman"/>
          <w:i/>
        </w:rPr>
        <w:t>Care</w:t>
      </w:r>
      <w:r>
        <w:rPr>
          <w:rFonts w:ascii="Times New Roman" w:hAnsi="Times New Roman" w:cs="Times New Roman"/>
        </w:rPr>
        <w:t>, t</w:t>
      </w:r>
      <w:r w:rsidR="00894238" w:rsidRPr="009C48E7">
        <w:rPr>
          <w:rFonts w:ascii="Times New Roman" w:hAnsi="Times New Roman" w:cs="Times New Roman"/>
        </w:rPr>
        <w:t>he</w:t>
      </w:r>
      <w:r w:rsidR="00894238" w:rsidRPr="00004886">
        <w:rPr>
          <w:rFonts w:ascii="Times New Roman" w:hAnsi="Times New Roman" w:cs="Times New Roman"/>
        </w:rPr>
        <w:t xml:space="preserve"> harm of the discrimination to the </w:t>
      </w:r>
      <w:r w:rsidR="007666F0">
        <w:rPr>
          <w:rFonts w:ascii="Times New Roman" w:hAnsi="Times New Roman" w:cs="Times New Roman"/>
        </w:rPr>
        <w:t>transgender</w:t>
      </w:r>
      <w:r w:rsidR="00894238" w:rsidRPr="00004886">
        <w:rPr>
          <w:rFonts w:ascii="Times New Roman" w:hAnsi="Times New Roman" w:cs="Times New Roman"/>
        </w:rPr>
        <w:t xml:space="preserve"> potential service users who are denied services </w:t>
      </w:r>
      <w:r w:rsidR="007937BB">
        <w:rPr>
          <w:rFonts w:ascii="Times New Roman" w:hAnsi="Times New Roman" w:cs="Times New Roman"/>
        </w:rPr>
        <w:t xml:space="preserve">would be equivalent to that noted </w:t>
      </w:r>
      <w:r w:rsidR="006347FC">
        <w:rPr>
          <w:rFonts w:ascii="Times New Roman" w:hAnsi="Times New Roman" w:cs="Times New Roman"/>
        </w:rPr>
        <w:t xml:space="preserve">in the case </w:t>
      </w:r>
      <w:r w:rsidR="007937BB">
        <w:rPr>
          <w:rFonts w:ascii="Times New Roman" w:hAnsi="Times New Roman" w:cs="Times New Roman"/>
        </w:rPr>
        <w:t>by Sa</w:t>
      </w:r>
      <w:r w:rsidR="003F1DB8">
        <w:rPr>
          <w:rFonts w:ascii="Times New Roman" w:hAnsi="Times New Roman" w:cs="Times New Roman"/>
        </w:rPr>
        <w:t xml:space="preserve">les, J. There </w:t>
      </w:r>
      <w:r w:rsidR="007937BB">
        <w:rPr>
          <w:rFonts w:ascii="Times New Roman" w:hAnsi="Times New Roman" w:cs="Times New Roman"/>
        </w:rPr>
        <w:t xml:space="preserve">would </w:t>
      </w:r>
      <w:r w:rsidR="003F1DB8">
        <w:rPr>
          <w:rFonts w:ascii="Times New Roman" w:hAnsi="Times New Roman" w:cs="Times New Roman"/>
        </w:rPr>
        <w:t xml:space="preserve">also </w:t>
      </w:r>
      <w:r w:rsidR="007937BB">
        <w:rPr>
          <w:rFonts w:ascii="Times New Roman" w:hAnsi="Times New Roman" w:cs="Times New Roman"/>
        </w:rPr>
        <w:t>be</w:t>
      </w:r>
      <w:r w:rsidR="003F1DB8">
        <w:rPr>
          <w:rFonts w:ascii="Times New Roman" w:hAnsi="Times New Roman" w:cs="Times New Roman"/>
        </w:rPr>
        <w:t xml:space="preserve"> harm to society by </w:t>
      </w:r>
      <w:r w:rsidR="00894238" w:rsidRPr="00004886">
        <w:rPr>
          <w:rFonts w:ascii="Times New Roman" w:hAnsi="Times New Roman" w:cs="Times New Roman"/>
        </w:rPr>
        <w:t>allowing the discrimination</w:t>
      </w:r>
      <w:r w:rsidR="007937BB">
        <w:rPr>
          <w:rFonts w:ascii="Times New Roman" w:hAnsi="Times New Roman" w:cs="Times New Roman"/>
        </w:rPr>
        <w:t xml:space="preserve">, violating the general social value of </w:t>
      </w:r>
      <w:r w:rsidR="00924627">
        <w:rPr>
          <w:rFonts w:ascii="Times New Roman" w:hAnsi="Times New Roman" w:cs="Times New Roman"/>
        </w:rPr>
        <w:t>equal treatment, a value endorsed and protected by Parliament. These harms</w:t>
      </w:r>
      <w:r w:rsidR="00894238" w:rsidRPr="00004886">
        <w:rPr>
          <w:rFonts w:ascii="Times New Roman" w:hAnsi="Times New Roman" w:cs="Times New Roman"/>
        </w:rPr>
        <w:t xml:space="preserve"> would weigh against the charity in any proportionality calculation. </w:t>
      </w:r>
      <w:r w:rsidR="00924627">
        <w:rPr>
          <w:rFonts w:ascii="Times New Roman" w:hAnsi="Times New Roman" w:cs="Times New Roman"/>
        </w:rPr>
        <w:t xml:space="preserve">Moreover, it may well be the case that services are not generally available elsewhere for </w:t>
      </w:r>
      <w:r w:rsidR="007666F0">
        <w:rPr>
          <w:rFonts w:ascii="Times New Roman" w:hAnsi="Times New Roman" w:cs="Times New Roman"/>
        </w:rPr>
        <w:t>transgender</w:t>
      </w:r>
      <w:r w:rsidR="00924627">
        <w:rPr>
          <w:rFonts w:ascii="Times New Roman" w:hAnsi="Times New Roman" w:cs="Times New Roman"/>
        </w:rPr>
        <w:t xml:space="preserve"> women </w:t>
      </w:r>
      <w:r w:rsidR="007666F0">
        <w:rPr>
          <w:rFonts w:ascii="Times New Roman" w:hAnsi="Times New Roman" w:cs="Times New Roman"/>
        </w:rPr>
        <w:t xml:space="preserve">survivors of violence </w:t>
      </w:r>
      <w:r w:rsidR="00924627">
        <w:rPr>
          <w:rFonts w:ascii="Times New Roman" w:hAnsi="Times New Roman" w:cs="Times New Roman"/>
        </w:rPr>
        <w:t xml:space="preserve">in need of counselling. These resources are generally stretched thin throughout the country. Despite the focus on Article 14 in </w:t>
      </w:r>
      <w:r w:rsidR="00924627" w:rsidRPr="007666F0">
        <w:rPr>
          <w:rFonts w:ascii="Times New Roman" w:hAnsi="Times New Roman" w:cs="Times New Roman"/>
          <w:i/>
        </w:rPr>
        <w:t>Catholic Care</w:t>
      </w:r>
      <w:r w:rsidR="00924627">
        <w:rPr>
          <w:rFonts w:ascii="Times New Roman" w:hAnsi="Times New Roman" w:cs="Times New Roman"/>
        </w:rPr>
        <w:t xml:space="preserve">, </w:t>
      </w:r>
      <w:r w:rsidR="00A86DDA" w:rsidRPr="00924627">
        <w:rPr>
          <w:rFonts w:ascii="Times New Roman" w:hAnsi="Times New Roman" w:cs="Times New Roman"/>
        </w:rPr>
        <w:t>Section</w:t>
      </w:r>
      <w:r w:rsidR="00A86DDA" w:rsidRPr="00004886">
        <w:rPr>
          <w:rFonts w:ascii="Times New Roman" w:hAnsi="Times New Roman" w:cs="Times New Roman"/>
        </w:rPr>
        <w:t xml:space="preserve"> 193 is justifying direct discrimination and must</w:t>
      </w:r>
      <w:r w:rsidR="003F1DB8">
        <w:rPr>
          <w:rFonts w:ascii="Times New Roman" w:hAnsi="Times New Roman" w:cs="Times New Roman"/>
        </w:rPr>
        <w:t>,</w:t>
      </w:r>
      <w:r w:rsidR="00A86DDA" w:rsidRPr="00004886">
        <w:rPr>
          <w:rFonts w:ascii="Times New Roman" w:hAnsi="Times New Roman" w:cs="Times New Roman"/>
        </w:rPr>
        <w:t xml:space="preserve"> therefore</w:t>
      </w:r>
      <w:r w:rsidR="003F1DB8">
        <w:rPr>
          <w:rFonts w:ascii="Times New Roman" w:hAnsi="Times New Roman" w:cs="Times New Roman"/>
        </w:rPr>
        <w:t>,</w:t>
      </w:r>
      <w:r w:rsidR="00A86DDA" w:rsidRPr="00004886">
        <w:rPr>
          <w:rFonts w:ascii="Times New Roman" w:hAnsi="Times New Roman" w:cs="Times New Roman"/>
        </w:rPr>
        <w:t xml:space="preserve"> be strictly construed. </w:t>
      </w:r>
      <w:r w:rsidR="00924627">
        <w:rPr>
          <w:rFonts w:ascii="Times New Roman" w:hAnsi="Times New Roman" w:cs="Times New Roman"/>
        </w:rPr>
        <w:t xml:space="preserve">It is disproportionate to allow a charity to exclude all </w:t>
      </w:r>
      <w:r w:rsidR="007666F0">
        <w:rPr>
          <w:rFonts w:ascii="Times New Roman" w:hAnsi="Times New Roman" w:cs="Times New Roman"/>
        </w:rPr>
        <w:t>transgender</w:t>
      </w:r>
      <w:r w:rsidR="00924627">
        <w:rPr>
          <w:rFonts w:ascii="Times New Roman" w:hAnsi="Times New Roman" w:cs="Times New Roman"/>
        </w:rPr>
        <w:t xml:space="preserve"> women.</w:t>
      </w:r>
      <w:r>
        <w:rPr>
          <w:rStyle w:val="FootnoteReference"/>
          <w:rFonts w:ascii="Times New Roman" w:hAnsi="Times New Roman" w:cs="Times New Roman"/>
        </w:rPr>
        <w:footnoteReference w:id="70"/>
      </w:r>
      <w:r w:rsidR="00924627">
        <w:rPr>
          <w:rFonts w:ascii="Times New Roman" w:hAnsi="Times New Roman" w:cs="Times New Roman"/>
        </w:rPr>
        <w:t xml:space="preserve"> </w:t>
      </w:r>
      <w:r w:rsidR="00894238" w:rsidRPr="00004886">
        <w:rPr>
          <w:rFonts w:ascii="Times New Roman" w:hAnsi="Times New Roman" w:cs="Times New Roman"/>
        </w:rPr>
        <w:t xml:space="preserve"> </w:t>
      </w:r>
    </w:p>
    <w:p w14:paraId="3F74CE42" w14:textId="77777777" w:rsidR="003F1DB8" w:rsidRPr="00004886" w:rsidRDefault="003F1DB8" w:rsidP="00004886">
      <w:pPr>
        <w:spacing w:line="480" w:lineRule="auto"/>
        <w:ind w:firstLine="567"/>
        <w:rPr>
          <w:rFonts w:ascii="Times New Roman" w:hAnsi="Times New Roman" w:cs="Times New Roman"/>
        </w:rPr>
      </w:pPr>
    </w:p>
    <w:p w14:paraId="59CF2A35" w14:textId="209E51FD" w:rsidR="00026A07" w:rsidRPr="00004886" w:rsidRDefault="009474A3" w:rsidP="00004886">
      <w:pPr>
        <w:spacing w:line="480" w:lineRule="auto"/>
        <w:rPr>
          <w:rFonts w:ascii="Times New Roman" w:hAnsi="Times New Roman" w:cs="Times New Roman"/>
          <w:b/>
        </w:rPr>
      </w:pPr>
      <w:r w:rsidRPr="00004886">
        <w:rPr>
          <w:rFonts w:ascii="Times New Roman" w:hAnsi="Times New Roman" w:cs="Times New Roman"/>
          <w:b/>
        </w:rPr>
        <w:t>C</w:t>
      </w:r>
      <w:r w:rsidR="00026A07" w:rsidRPr="00004886">
        <w:rPr>
          <w:rFonts w:ascii="Times New Roman" w:hAnsi="Times New Roman" w:cs="Times New Roman"/>
          <w:b/>
        </w:rPr>
        <w:tab/>
        <w:t xml:space="preserve"> Single-sex services</w:t>
      </w:r>
    </w:p>
    <w:p w14:paraId="606F46BB" w14:textId="77777777" w:rsidR="003F1DB8" w:rsidRDefault="003F1DB8" w:rsidP="00004886">
      <w:pPr>
        <w:spacing w:line="480" w:lineRule="auto"/>
        <w:rPr>
          <w:rFonts w:ascii="Times New Roman" w:hAnsi="Times New Roman" w:cs="Times New Roman"/>
        </w:rPr>
      </w:pPr>
    </w:p>
    <w:p w14:paraId="012545B9" w14:textId="474F71B8" w:rsidR="00227F2D" w:rsidRDefault="00227F2D" w:rsidP="00004886">
      <w:pPr>
        <w:spacing w:line="480" w:lineRule="auto"/>
        <w:rPr>
          <w:rFonts w:ascii="Times New Roman" w:hAnsi="Times New Roman" w:cs="Times New Roman"/>
        </w:rPr>
      </w:pPr>
      <w:r w:rsidRPr="00004886">
        <w:rPr>
          <w:rFonts w:ascii="Times New Roman" w:hAnsi="Times New Roman" w:cs="Times New Roman"/>
        </w:rPr>
        <w:t xml:space="preserve">The discussion </w:t>
      </w:r>
      <w:r w:rsidR="009E73C3">
        <w:rPr>
          <w:rFonts w:ascii="Times New Roman" w:hAnsi="Times New Roman" w:cs="Times New Roman"/>
        </w:rPr>
        <w:t xml:space="preserve">of </w:t>
      </w:r>
      <w:r w:rsidRPr="00004886">
        <w:rPr>
          <w:rFonts w:ascii="Times New Roman" w:hAnsi="Times New Roman" w:cs="Times New Roman"/>
        </w:rPr>
        <w:t xml:space="preserve">section 193 applies if the charity in question would like to restrict all of its services to </w:t>
      </w:r>
      <w:r w:rsidR="007666F0">
        <w:rPr>
          <w:rFonts w:ascii="Times New Roman" w:hAnsi="Times New Roman" w:cs="Times New Roman"/>
        </w:rPr>
        <w:t>cisgender</w:t>
      </w:r>
      <w:r w:rsidRPr="00004886">
        <w:rPr>
          <w:rFonts w:ascii="Times New Roman" w:hAnsi="Times New Roman" w:cs="Times New Roman"/>
        </w:rPr>
        <w:t xml:space="preserve"> women. It may be the case however, that a charity </w:t>
      </w:r>
      <w:r w:rsidR="009E73C3">
        <w:rPr>
          <w:rFonts w:ascii="Times New Roman" w:hAnsi="Times New Roman" w:cs="Times New Roman"/>
        </w:rPr>
        <w:t xml:space="preserve">wants </w:t>
      </w:r>
      <w:r w:rsidRPr="00004886">
        <w:rPr>
          <w:rFonts w:ascii="Times New Roman" w:hAnsi="Times New Roman" w:cs="Times New Roman"/>
        </w:rPr>
        <w:t xml:space="preserve">to restrict </w:t>
      </w:r>
      <w:r w:rsidR="009E73C3">
        <w:rPr>
          <w:rFonts w:ascii="Times New Roman" w:hAnsi="Times New Roman" w:cs="Times New Roman"/>
        </w:rPr>
        <w:t xml:space="preserve">only </w:t>
      </w:r>
      <w:r w:rsidRPr="00004886">
        <w:rPr>
          <w:rFonts w:ascii="Times New Roman" w:hAnsi="Times New Roman" w:cs="Times New Roman"/>
        </w:rPr>
        <w:t xml:space="preserve">some of its </w:t>
      </w:r>
      <w:r w:rsidR="009C48E7">
        <w:rPr>
          <w:rFonts w:ascii="Times New Roman" w:hAnsi="Times New Roman" w:cs="Times New Roman"/>
        </w:rPr>
        <w:t xml:space="preserve">services or charitable </w:t>
      </w:r>
      <w:r w:rsidRPr="00004886">
        <w:rPr>
          <w:rFonts w:ascii="Times New Roman" w:hAnsi="Times New Roman" w:cs="Times New Roman"/>
        </w:rPr>
        <w:t xml:space="preserve">activities to </w:t>
      </w:r>
      <w:r w:rsidR="007666F0">
        <w:rPr>
          <w:rFonts w:ascii="Times New Roman" w:hAnsi="Times New Roman" w:cs="Times New Roman"/>
        </w:rPr>
        <w:t>cisgender</w:t>
      </w:r>
      <w:r w:rsidRPr="00004886">
        <w:rPr>
          <w:rFonts w:ascii="Times New Roman" w:hAnsi="Times New Roman" w:cs="Times New Roman"/>
        </w:rPr>
        <w:t xml:space="preserve"> women. </w:t>
      </w:r>
      <w:r w:rsidR="009E73C3">
        <w:rPr>
          <w:rFonts w:ascii="Times New Roman" w:hAnsi="Times New Roman" w:cs="Times New Roman"/>
        </w:rPr>
        <w:t>T</w:t>
      </w:r>
      <w:r w:rsidRPr="00004886">
        <w:rPr>
          <w:rFonts w:ascii="Times New Roman" w:hAnsi="Times New Roman" w:cs="Times New Roman"/>
        </w:rPr>
        <w:t xml:space="preserve">he charity could not </w:t>
      </w:r>
      <w:r w:rsidR="009E73C3">
        <w:rPr>
          <w:rFonts w:ascii="Times New Roman" w:hAnsi="Times New Roman" w:cs="Times New Roman"/>
        </w:rPr>
        <w:t xml:space="preserve">then </w:t>
      </w:r>
      <w:r w:rsidRPr="00004886">
        <w:rPr>
          <w:rFonts w:ascii="Times New Roman" w:hAnsi="Times New Roman" w:cs="Times New Roman"/>
        </w:rPr>
        <w:t xml:space="preserve">rely on s 193, as the restriction would not be in furtherance of its charitable instrument. Charities with more general charitable objects would have to rely upon different exceptions to the </w:t>
      </w:r>
      <w:r w:rsidR="006A0739" w:rsidRPr="00004886">
        <w:rPr>
          <w:rFonts w:ascii="Times New Roman" w:hAnsi="Times New Roman" w:cs="Times New Roman"/>
        </w:rPr>
        <w:t>Equality Act</w:t>
      </w:r>
      <w:r w:rsidRPr="00004886">
        <w:rPr>
          <w:rFonts w:ascii="Times New Roman" w:hAnsi="Times New Roman" w:cs="Times New Roman"/>
        </w:rPr>
        <w:t xml:space="preserve">. </w:t>
      </w:r>
    </w:p>
    <w:p w14:paraId="4DCA83F3" w14:textId="77777777" w:rsidR="003F1DB8" w:rsidRPr="00004886" w:rsidRDefault="003F1DB8" w:rsidP="00004886">
      <w:pPr>
        <w:spacing w:line="480" w:lineRule="auto"/>
        <w:rPr>
          <w:rFonts w:ascii="Times New Roman" w:hAnsi="Times New Roman" w:cs="Times New Roman"/>
        </w:rPr>
      </w:pPr>
    </w:p>
    <w:p w14:paraId="4646375E" w14:textId="1A39DEE5" w:rsidR="002F04E9" w:rsidRDefault="008A5CE0" w:rsidP="002F04E9">
      <w:pPr>
        <w:spacing w:line="480" w:lineRule="auto"/>
        <w:ind w:firstLine="720"/>
        <w:rPr>
          <w:rFonts w:ascii="Times New Roman" w:hAnsi="Times New Roman" w:cs="Times New Roman"/>
        </w:rPr>
      </w:pPr>
      <w:r w:rsidRPr="00004886">
        <w:rPr>
          <w:rFonts w:ascii="Times New Roman" w:hAnsi="Times New Roman" w:cs="Times New Roman"/>
        </w:rPr>
        <w:t>There are a number of exceptions</w:t>
      </w:r>
      <w:r w:rsidR="009E73C3">
        <w:rPr>
          <w:rFonts w:ascii="Times New Roman" w:hAnsi="Times New Roman" w:cs="Times New Roman"/>
        </w:rPr>
        <w:t xml:space="preserve"> in the Equality Act</w:t>
      </w:r>
      <w:r w:rsidRPr="00004886">
        <w:rPr>
          <w:rFonts w:ascii="Times New Roman" w:hAnsi="Times New Roman" w:cs="Times New Roman"/>
        </w:rPr>
        <w:t>, some of which are relevant to this chapter, including the exceptions in Schedule 3</w:t>
      </w:r>
      <w:r w:rsidR="0024167B" w:rsidRPr="00004886">
        <w:rPr>
          <w:rFonts w:ascii="Times New Roman" w:hAnsi="Times New Roman" w:cs="Times New Roman"/>
        </w:rPr>
        <w:t>, Part 7</w:t>
      </w:r>
      <w:r w:rsidR="009E73C3">
        <w:rPr>
          <w:rFonts w:ascii="Times New Roman" w:hAnsi="Times New Roman" w:cs="Times New Roman"/>
        </w:rPr>
        <w:t xml:space="preserve">, </w:t>
      </w:r>
      <w:r w:rsidR="009E73C3" w:rsidRPr="00004886">
        <w:rPr>
          <w:rFonts w:ascii="Times New Roman" w:hAnsi="Times New Roman" w:cs="Times New Roman"/>
        </w:rPr>
        <w:t xml:space="preserve">paragraph 27, </w:t>
      </w:r>
      <w:r w:rsidRPr="00004886">
        <w:rPr>
          <w:rFonts w:ascii="Times New Roman" w:hAnsi="Times New Roman" w:cs="Times New Roman"/>
        </w:rPr>
        <w:t>for the provision of services</w:t>
      </w:r>
      <w:r w:rsidR="00E26FF1" w:rsidRPr="00004886">
        <w:rPr>
          <w:rFonts w:ascii="Times New Roman" w:hAnsi="Times New Roman" w:cs="Times New Roman"/>
        </w:rPr>
        <w:t xml:space="preserve"> differently to different sexes, including separate but the same services, separate and different services, and services only to one sex</w:t>
      </w:r>
      <w:r w:rsidR="0024167B" w:rsidRPr="00004886">
        <w:rPr>
          <w:rFonts w:ascii="Times New Roman" w:hAnsi="Times New Roman" w:cs="Times New Roman"/>
        </w:rPr>
        <w:t xml:space="preserve">. </w:t>
      </w:r>
      <w:r w:rsidR="00F77EC8" w:rsidRPr="00004886">
        <w:rPr>
          <w:rFonts w:ascii="Times New Roman" w:hAnsi="Times New Roman" w:cs="Times New Roman"/>
        </w:rPr>
        <w:t>The Sex Discrimination Act 1975 allowed charities to provide services and benefits to one sex if that was why the organisation had been set up.</w:t>
      </w:r>
      <w:r w:rsidR="00F77EC8" w:rsidRPr="00004886">
        <w:rPr>
          <w:rStyle w:val="FootnoteReference"/>
          <w:rFonts w:ascii="Times New Roman" w:hAnsi="Times New Roman" w:cs="Times New Roman"/>
        </w:rPr>
        <w:footnoteReference w:id="71"/>
      </w:r>
      <w:r w:rsidR="00F77EC8" w:rsidRPr="00004886">
        <w:rPr>
          <w:rFonts w:ascii="Times New Roman" w:hAnsi="Times New Roman" w:cs="Times New Roman"/>
        </w:rPr>
        <w:t xml:space="preserve"> The </w:t>
      </w:r>
      <w:r w:rsidR="006A0739" w:rsidRPr="00004886">
        <w:rPr>
          <w:rFonts w:ascii="Times New Roman" w:hAnsi="Times New Roman" w:cs="Times New Roman"/>
        </w:rPr>
        <w:t>Equality Act</w:t>
      </w:r>
      <w:r w:rsidR="00F77EC8" w:rsidRPr="00004886">
        <w:rPr>
          <w:rFonts w:ascii="Times New Roman" w:hAnsi="Times New Roman" w:cs="Times New Roman"/>
        </w:rPr>
        <w:t xml:space="preserve"> permits single-sex services where they fall within context-dependent circumstances, such as where only persons of that sex need the service</w:t>
      </w:r>
      <w:r w:rsidR="009E73C3">
        <w:rPr>
          <w:rFonts w:ascii="Times New Roman" w:hAnsi="Times New Roman" w:cs="Times New Roman"/>
        </w:rPr>
        <w:t>;</w:t>
      </w:r>
      <w:r w:rsidR="00F77EC8" w:rsidRPr="00004886">
        <w:rPr>
          <w:rStyle w:val="FootnoteReference"/>
          <w:rFonts w:ascii="Times New Roman" w:hAnsi="Times New Roman" w:cs="Times New Roman"/>
        </w:rPr>
        <w:footnoteReference w:id="72"/>
      </w:r>
      <w:r w:rsidR="00F77EC8" w:rsidRPr="00004886">
        <w:rPr>
          <w:rFonts w:ascii="Times New Roman" w:hAnsi="Times New Roman" w:cs="Times New Roman"/>
        </w:rPr>
        <w:t xml:space="preserve"> where the service would be insufficiently effective were it to be provided jointly to both sexes</w:t>
      </w:r>
      <w:r w:rsidR="009E73C3">
        <w:rPr>
          <w:rFonts w:ascii="Times New Roman" w:hAnsi="Times New Roman" w:cs="Times New Roman"/>
        </w:rPr>
        <w:t>;</w:t>
      </w:r>
      <w:r w:rsidR="00F77EC8" w:rsidRPr="00004886">
        <w:rPr>
          <w:rStyle w:val="FootnoteReference"/>
          <w:rFonts w:ascii="Times New Roman" w:hAnsi="Times New Roman" w:cs="Times New Roman"/>
        </w:rPr>
        <w:footnoteReference w:id="73"/>
      </w:r>
      <w:r w:rsidR="00F77EC8" w:rsidRPr="00004886">
        <w:rPr>
          <w:rFonts w:ascii="Times New Roman" w:hAnsi="Times New Roman" w:cs="Times New Roman"/>
        </w:rPr>
        <w:t xml:space="preserve"> or where a service would be used by two or more persons at the same time and a person of one sex might ‘reasona</w:t>
      </w:r>
      <w:r w:rsidR="00E95D3F" w:rsidRPr="00004886">
        <w:rPr>
          <w:rFonts w:ascii="Times New Roman" w:hAnsi="Times New Roman" w:cs="Times New Roman"/>
        </w:rPr>
        <w:t xml:space="preserve">bly object’ to the presence of a </w:t>
      </w:r>
      <w:r w:rsidR="00F77EC8" w:rsidRPr="00004886">
        <w:rPr>
          <w:rFonts w:ascii="Times New Roman" w:hAnsi="Times New Roman" w:cs="Times New Roman"/>
        </w:rPr>
        <w:t>person of the opposite sex’.</w:t>
      </w:r>
      <w:r w:rsidR="00F77EC8" w:rsidRPr="00004886">
        <w:rPr>
          <w:rStyle w:val="FootnoteReference"/>
          <w:rFonts w:ascii="Times New Roman" w:hAnsi="Times New Roman" w:cs="Times New Roman"/>
        </w:rPr>
        <w:footnoteReference w:id="74"/>
      </w:r>
      <w:r w:rsidR="00F77EC8" w:rsidRPr="00004886">
        <w:rPr>
          <w:rFonts w:ascii="Times New Roman" w:hAnsi="Times New Roman" w:cs="Times New Roman"/>
        </w:rPr>
        <w:t xml:space="preserve"> In all of these instances, however, the limited provision of the service must also be a proportionate means of achieving a l</w:t>
      </w:r>
      <w:r w:rsidR="00B05EC7">
        <w:rPr>
          <w:rFonts w:ascii="Times New Roman" w:hAnsi="Times New Roman" w:cs="Times New Roman"/>
        </w:rPr>
        <w:t>egitimate</w:t>
      </w:r>
      <w:r w:rsidR="00F77EC8" w:rsidRPr="00004886">
        <w:rPr>
          <w:rFonts w:ascii="Times New Roman" w:hAnsi="Times New Roman" w:cs="Times New Roman"/>
        </w:rPr>
        <w:t xml:space="preserve"> aim.</w:t>
      </w:r>
      <w:r w:rsidR="00F77EC8" w:rsidRPr="00004886">
        <w:rPr>
          <w:rStyle w:val="FootnoteReference"/>
          <w:rFonts w:ascii="Times New Roman" w:hAnsi="Times New Roman" w:cs="Times New Roman"/>
        </w:rPr>
        <w:footnoteReference w:id="75"/>
      </w:r>
      <w:r w:rsidR="00F77EC8" w:rsidRPr="00004886">
        <w:rPr>
          <w:rFonts w:ascii="Times New Roman" w:hAnsi="Times New Roman" w:cs="Times New Roman"/>
        </w:rPr>
        <w:t xml:space="preserve"> </w:t>
      </w:r>
    </w:p>
    <w:p w14:paraId="0B8438FE" w14:textId="77777777" w:rsidR="003F1DB8" w:rsidRPr="00004886" w:rsidRDefault="003F1DB8" w:rsidP="00004886">
      <w:pPr>
        <w:spacing w:line="480" w:lineRule="auto"/>
        <w:ind w:firstLine="720"/>
        <w:rPr>
          <w:rFonts w:ascii="Times New Roman" w:hAnsi="Times New Roman" w:cs="Times New Roman"/>
        </w:rPr>
      </w:pPr>
    </w:p>
    <w:p w14:paraId="757886E8" w14:textId="437E223B" w:rsidR="00585991" w:rsidRPr="00004886" w:rsidRDefault="00E26FF1" w:rsidP="00004886">
      <w:pPr>
        <w:spacing w:line="480" w:lineRule="auto"/>
        <w:ind w:firstLine="720"/>
        <w:rPr>
          <w:rFonts w:ascii="Times New Roman" w:hAnsi="Times New Roman" w:cs="Times New Roman"/>
        </w:rPr>
      </w:pPr>
      <w:r w:rsidRPr="00004886">
        <w:rPr>
          <w:rFonts w:ascii="Times New Roman" w:hAnsi="Times New Roman" w:cs="Times New Roman"/>
        </w:rPr>
        <w:t xml:space="preserve">The </w:t>
      </w:r>
      <w:r w:rsidR="006A0739" w:rsidRPr="00004886">
        <w:rPr>
          <w:rFonts w:ascii="Times New Roman" w:hAnsi="Times New Roman" w:cs="Times New Roman"/>
        </w:rPr>
        <w:t>Equality Act</w:t>
      </w:r>
      <w:r w:rsidRPr="00004886">
        <w:rPr>
          <w:rFonts w:ascii="Times New Roman" w:hAnsi="Times New Roman" w:cs="Times New Roman"/>
        </w:rPr>
        <w:t xml:space="preserve"> also permits the exclusion of persons on grounds of </w:t>
      </w:r>
      <w:r w:rsidR="004729AB" w:rsidRPr="00004886">
        <w:rPr>
          <w:rFonts w:ascii="Times New Roman" w:hAnsi="Times New Roman" w:cs="Times New Roman"/>
        </w:rPr>
        <w:t>gender reassignment in the provision of separate and single sex services, so long as it can be objectively justified.</w:t>
      </w:r>
      <w:r w:rsidRPr="00004886">
        <w:rPr>
          <w:rStyle w:val="FootnoteReference"/>
          <w:rFonts w:ascii="Times New Roman" w:hAnsi="Times New Roman" w:cs="Times New Roman"/>
        </w:rPr>
        <w:footnoteReference w:id="76"/>
      </w:r>
      <w:r w:rsidR="004729AB" w:rsidRPr="00004886">
        <w:rPr>
          <w:rFonts w:ascii="Times New Roman" w:hAnsi="Times New Roman" w:cs="Times New Roman"/>
        </w:rPr>
        <w:t xml:space="preserve"> </w:t>
      </w:r>
      <w:r w:rsidR="001145A2" w:rsidRPr="00004886">
        <w:rPr>
          <w:rFonts w:ascii="Times New Roman" w:hAnsi="Times New Roman" w:cs="Times New Roman"/>
        </w:rPr>
        <w:t xml:space="preserve"> </w:t>
      </w:r>
      <w:r w:rsidR="00585991" w:rsidRPr="00004886">
        <w:rPr>
          <w:rFonts w:ascii="Times New Roman" w:hAnsi="Times New Roman" w:cs="Times New Roman"/>
        </w:rPr>
        <w:t>It is c</w:t>
      </w:r>
      <w:r w:rsidR="00B05EC7">
        <w:rPr>
          <w:rFonts w:ascii="Times New Roman" w:hAnsi="Times New Roman" w:cs="Times New Roman"/>
        </w:rPr>
        <w:t xml:space="preserve">lear that this </w:t>
      </w:r>
      <w:r w:rsidR="003F1DB8">
        <w:rPr>
          <w:rFonts w:ascii="Times New Roman" w:hAnsi="Times New Roman" w:cs="Times New Roman"/>
        </w:rPr>
        <w:t>is not the</w:t>
      </w:r>
      <w:r w:rsidR="00B05EC7">
        <w:rPr>
          <w:rFonts w:ascii="Times New Roman" w:hAnsi="Times New Roman" w:cs="Times New Roman"/>
        </w:rPr>
        <w:t xml:space="preserve"> expected state of affairs,</w:t>
      </w:r>
      <w:r w:rsidR="00585991" w:rsidRPr="00004886">
        <w:rPr>
          <w:rFonts w:ascii="Times New Roman" w:hAnsi="Times New Roman" w:cs="Times New Roman"/>
        </w:rPr>
        <w:t xml:space="preserve"> </w:t>
      </w:r>
      <w:r w:rsidR="00365E22">
        <w:rPr>
          <w:rFonts w:ascii="Times New Roman" w:hAnsi="Times New Roman" w:cs="Times New Roman"/>
        </w:rPr>
        <w:t xml:space="preserve">as </w:t>
      </w:r>
      <w:r w:rsidR="00585991" w:rsidRPr="00004886">
        <w:rPr>
          <w:rFonts w:ascii="Times New Roman" w:hAnsi="Times New Roman" w:cs="Times New Roman"/>
        </w:rPr>
        <w:t xml:space="preserve">the EHRC’s guidance states: </w:t>
      </w:r>
    </w:p>
    <w:p w14:paraId="3D86C118" w14:textId="17BD04B9" w:rsidR="00585991" w:rsidRPr="00004886" w:rsidRDefault="00585991" w:rsidP="00004886">
      <w:pPr>
        <w:spacing w:line="480" w:lineRule="auto"/>
        <w:ind w:left="720"/>
        <w:rPr>
          <w:rFonts w:ascii="Times New Roman" w:hAnsi="Times New Roman" w:cs="Times New Roman"/>
        </w:rPr>
      </w:pPr>
      <w:r w:rsidRPr="00004886">
        <w:rPr>
          <w:rFonts w:ascii="Times New Roman" w:hAnsi="Times New Roman" w:cs="Times New Roman"/>
        </w:rPr>
        <w:t>Generally, a business which is providing separate or single-sex services should treat a transsexual person according to the sex in which the transsexual person presents (as opposed to the sex recorded at birth), as it is unlawful to discriminate against someone because of gender reassignment.</w:t>
      </w:r>
      <w:r w:rsidRPr="00004886">
        <w:rPr>
          <w:rStyle w:val="FootnoteReference"/>
          <w:rFonts w:ascii="Times New Roman" w:hAnsi="Times New Roman" w:cs="Times New Roman"/>
        </w:rPr>
        <w:footnoteReference w:id="77"/>
      </w:r>
      <w:r w:rsidRPr="00004886">
        <w:rPr>
          <w:rFonts w:ascii="Times New Roman" w:hAnsi="Times New Roman" w:cs="Times New Roman"/>
        </w:rPr>
        <w:t xml:space="preserve"> </w:t>
      </w:r>
    </w:p>
    <w:p w14:paraId="4695F8F2" w14:textId="694FC6EC" w:rsidR="001669CA" w:rsidRPr="00004886" w:rsidRDefault="00E26FF1" w:rsidP="00004886">
      <w:pPr>
        <w:spacing w:line="480" w:lineRule="auto"/>
        <w:rPr>
          <w:rFonts w:ascii="Times New Roman" w:hAnsi="Times New Roman" w:cs="Times New Roman"/>
        </w:rPr>
      </w:pPr>
      <w:r w:rsidRPr="00004886">
        <w:rPr>
          <w:rFonts w:ascii="Times New Roman" w:hAnsi="Times New Roman" w:cs="Times New Roman"/>
        </w:rPr>
        <w:t xml:space="preserve">The circumstances in which the exclusion of </w:t>
      </w:r>
      <w:r w:rsidR="007666F0">
        <w:rPr>
          <w:rFonts w:ascii="Times New Roman" w:hAnsi="Times New Roman" w:cs="Times New Roman"/>
        </w:rPr>
        <w:t>transgender</w:t>
      </w:r>
      <w:r w:rsidRPr="00004886">
        <w:rPr>
          <w:rFonts w:ascii="Times New Roman" w:hAnsi="Times New Roman" w:cs="Times New Roman"/>
        </w:rPr>
        <w:t xml:space="preserve"> persons would be a legitimate aim are not explicitly listed, as they are in the case of separate and single sex services for males and females. </w:t>
      </w:r>
      <w:r w:rsidR="003F1DB8">
        <w:rPr>
          <w:rFonts w:ascii="Times New Roman" w:hAnsi="Times New Roman" w:cs="Times New Roman"/>
        </w:rPr>
        <w:t>T</w:t>
      </w:r>
      <w:r w:rsidRPr="00004886">
        <w:rPr>
          <w:rFonts w:ascii="Times New Roman" w:hAnsi="Times New Roman" w:cs="Times New Roman"/>
        </w:rPr>
        <w:t xml:space="preserve">he grounds that would be </w:t>
      </w:r>
      <w:r w:rsidR="003F1DB8">
        <w:rPr>
          <w:rFonts w:ascii="Times New Roman" w:hAnsi="Times New Roman" w:cs="Times New Roman"/>
        </w:rPr>
        <w:t xml:space="preserve">considered </w:t>
      </w:r>
      <w:r w:rsidRPr="00004886">
        <w:rPr>
          <w:rFonts w:ascii="Times New Roman" w:hAnsi="Times New Roman" w:cs="Times New Roman"/>
        </w:rPr>
        <w:t xml:space="preserve">acceptable </w:t>
      </w:r>
      <w:r w:rsidR="002F04E9">
        <w:rPr>
          <w:rFonts w:ascii="Times New Roman" w:hAnsi="Times New Roman" w:cs="Times New Roman"/>
        </w:rPr>
        <w:t xml:space="preserve">to be a legitimate aim </w:t>
      </w:r>
      <w:r w:rsidRPr="00004886">
        <w:rPr>
          <w:rFonts w:ascii="Times New Roman" w:hAnsi="Times New Roman" w:cs="Times New Roman"/>
        </w:rPr>
        <w:t>are likely to be similar.</w:t>
      </w:r>
      <w:r w:rsidR="00C76FC2" w:rsidRPr="00004886">
        <w:rPr>
          <w:rStyle w:val="FootnoteReference"/>
          <w:rFonts w:ascii="Times New Roman" w:hAnsi="Times New Roman" w:cs="Times New Roman"/>
        </w:rPr>
        <w:footnoteReference w:id="78"/>
      </w:r>
      <w:r w:rsidR="0098276B" w:rsidRPr="00004886">
        <w:rPr>
          <w:rFonts w:ascii="Times New Roman" w:hAnsi="Times New Roman" w:cs="Times New Roman"/>
        </w:rPr>
        <w:t xml:space="preserve"> </w:t>
      </w:r>
      <w:r w:rsidR="003F1DB8">
        <w:rPr>
          <w:rFonts w:ascii="Times New Roman" w:hAnsi="Times New Roman" w:cs="Times New Roman"/>
        </w:rPr>
        <w:t>Therefore, under the current legal configuration, it</w:t>
      </w:r>
      <w:r w:rsidR="0098276B" w:rsidRPr="00004886">
        <w:rPr>
          <w:rFonts w:ascii="Times New Roman" w:hAnsi="Times New Roman" w:cs="Times New Roman"/>
        </w:rPr>
        <w:t xml:space="preserve"> would be likely to be </w:t>
      </w:r>
      <w:r w:rsidR="00365E22">
        <w:rPr>
          <w:rFonts w:ascii="Times New Roman" w:hAnsi="Times New Roman" w:cs="Times New Roman"/>
        </w:rPr>
        <w:t xml:space="preserve">a </w:t>
      </w:r>
      <w:r w:rsidR="0098276B" w:rsidRPr="00004886">
        <w:rPr>
          <w:rFonts w:ascii="Times New Roman" w:hAnsi="Times New Roman" w:cs="Times New Roman"/>
        </w:rPr>
        <w:t>legitimate aim for a</w:t>
      </w:r>
      <w:r w:rsidRPr="00004886">
        <w:rPr>
          <w:rFonts w:ascii="Times New Roman" w:hAnsi="Times New Roman" w:cs="Times New Roman"/>
        </w:rPr>
        <w:t xml:space="preserve"> service provider </w:t>
      </w:r>
      <w:r w:rsidR="0098276B" w:rsidRPr="00004886">
        <w:rPr>
          <w:rFonts w:ascii="Times New Roman" w:hAnsi="Times New Roman" w:cs="Times New Roman"/>
        </w:rPr>
        <w:t>to exclude</w:t>
      </w:r>
      <w:r w:rsidRPr="00004886">
        <w:rPr>
          <w:rFonts w:ascii="Times New Roman" w:hAnsi="Times New Roman" w:cs="Times New Roman"/>
        </w:rPr>
        <w:t xml:space="preserve"> </w:t>
      </w:r>
      <w:r w:rsidR="007666F0">
        <w:rPr>
          <w:rFonts w:ascii="Times New Roman" w:hAnsi="Times New Roman" w:cs="Times New Roman"/>
        </w:rPr>
        <w:t>transgender</w:t>
      </w:r>
      <w:r w:rsidRPr="00004886">
        <w:rPr>
          <w:rFonts w:ascii="Times New Roman" w:hAnsi="Times New Roman" w:cs="Times New Roman"/>
        </w:rPr>
        <w:t xml:space="preserve"> </w:t>
      </w:r>
      <w:r w:rsidR="0098276B" w:rsidRPr="00004886">
        <w:rPr>
          <w:rFonts w:ascii="Times New Roman" w:hAnsi="Times New Roman" w:cs="Times New Roman"/>
        </w:rPr>
        <w:t>persons if</w:t>
      </w:r>
      <w:r w:rsidRPr="00004886">
        <w:rPr>
          <w:rFonts w:ascii="Times New Roman" w:hAnsi="Times New Roman" w:cs="Times New Roman"/>
        </w:rPr>
        <w:t xml:space="preserve"> the service would be less effective if they were </w:t>
      </w:r>
      <w:r w:rsidR="0098276B" w:rsidRPr="00004886">
        <w:rPr>
          <w:rFonts w:ascii="Times New Roman" w:hAnsi="Times New Roman" w:cs="Times New Roman"/>
        </w:rPr>
        <w:t>i</w:t>
      </w:r>
      <w:r w:rsidRPr="00004886">
        <w:rPr>
          <w:rFonts w:ascii="Times New Roman" w:hAnsi="Times New Roman" w:cs="Times New Roman"/>
        </w:rPr>
        <w:t>ncluded</w:t>
      </w:r>
      <w:r w:rsidR="00365E22">
        <w:rPr>
          <w:rFonts w:ascii="Times New Roman" w:hAnsi="Times New Roman" w:cs="Times New Roman"/>
        </w:rPr>
        <w:t>;</w:t>
      </w:r>
      <w:r w:rsidRPr="00004886">
        <w:rPr>
          <w:rFonts w:ascii="Times New Roman" w:hAnsi="Times New Roman" w:cs="Times New Roman"/>
        </w:rPr>
        <w:t xml:space="preserve"> </w:t>
      </w:r>
      <w:r w:rsidR="00837883">
        <w:rPr>
          <w:rFonts w:ascii="Times New Roman" w:hAnsi="Times New Roman" w:cs="Times New Roman"/>
        </w:rPr>
        <w:t xml:space="preserve">if </w:t>
      </w:r>
      <w:r w:rsidRPr="00004886">
        <w:rPr>
          <w:rFonts w:ascii="Times New Roman" w:hAnsi="Times New Roman" w:cs="Times New Roman"/>
        </w:rPr>
        <w:t xml:space="preserve">the service might be used by both </w:t>
      </w:r>
      <w:r w:rsidR="007666F0">
        <w:rPr>
          <w:rFonts w:ascii="Times New Roman" w:hAnsi="Times New Roman" w:cs="Times New Roman"/>
        </w:rPr>
        <w:t>cisgender</w:t>
      </w:r>
      <w:r w:rsidRPr="00004886">
        <w:rPr>
          <w:rFonts w:ascii="Times New Roman" w:hAnsi="Times New Roman" w:cs="Times New Roman"/>
        </w:rPr>
        <w:t xml:space="preserve"> and </w:t>
      </w:r>
      <w:r w:rsidR="007666F0">
        <w:rPr>
          <w:rFonts w:ascii="Times New Roman" w:hAnsi="Times New Roman" w:cs="Times New Roman"/>
        </w:rPr>
        <w:t>transgender</w:t>
      </w:r>
      <w:r w:rsidRPr="00004886">
        <w:rPr>
          <w:rFonts w:ascii="Times New Roman" w:hAnsi="Times New Roman" w:cs="Times New Roman"/>
        </w:rPr>
        <w:t xml:space="preserve"> </w:t>
      </w:r>
      <w:r w:rsidR="0098276B" w:rsidRPr="00004886">
        <w:rPr>
          <w:rFonts w:ascii="Times New Roman" w:hAnsi="Times New Roman" w:cs="Times New Roman"/>
        </w:rPr>
        <w:t>persons</w:t>
      </w:r>
      <w:r w:rsidRPr="00004886">
        <w:rPr>
          <w:rFonts w:ascii="Times New Roman" w:hAnsi="Times New Roman" w:cs="Times New Roman"/>
        </w:rPr>
        <w:t xml:space="preserve"> at the same time and the </w:t>
      </w:r>
      <w:r w:rsidR="007666F0">
        <w:rPr>
          <w:rFonts w:ascii="Times New Roman" w:hAnsi="Times New Roman" w:cs="Times New Roman"/>
        </w:rPr>
        <w:t>cisgender</w:t>
      </w:r>
      <w:r w:rsidRPr="00004886">
        <w:rPr>
          <w:rFonts w:ascii="Times New Roman" w:hAnsi="Times New Roman" w:cs="Times New Roman"/>
        </w:rPr>
        <w:t xml:space="preserve"> </w:t>
      </w:r>
      <w:r w:rsidR="0098276B" w:rsidRPr="00004886">
        <w:rPr>
          <w:rFonts w:ascii="Times New Roman" w:hAnsi="Times New Roman" w:cs="Times New Roman"/>
        </w:rPr>
        <w:t>persons</w:t>
      </w:r>
      <w:r w:rsidRPr="00004886">
        <w:rPr>
          <w:rFonts w:ascii="Times New Roman" w:hAnsi="Times New Roman" w:cs="Times New Roman"/>
        </w:rPr>
        <w:t xml:space="preserve"> could </w:t>
      </w:r>
      <w:r w:rsidR="0098276B" w:rsidRPr="00004886">
        <w:rPr>
          <w:rFonts w:ascii="Times New Roman" w:hAnsi="Times New Roman" w:cs="Times New Roman"/>
        </w:rPr>
        <w:t>r</w:t>
      </w:r>
      <w:r w:rsidRPr="00004886">
        <w:rPr>
          <w:rFonts w:ascii="Times New Roman" w:hAnsi="Times New Roman" w:cs="Times New Roman"/>
        </w:rPr>
        <w:t>easonably</w:t>
      </w:r>
      <w:r w:rsidR="0010772C">
        <w:rPr>
          <w:rFonts w:ascii="Times New Roman" w:hAnsi="Times New Roman" w:cs="Times New Roman"/>
        </w:rPr>
        <w:t xml:space="preserve"> </w:t>
      </w:r>
      <w:r w:rsidRPr="00004886">
        <w:rPr>
          <w:rFonts w:ascii="Times New Roman" w:hAnsi="Times New Roman" w:cs="Times New Roman"/>
        </w:rPr>
        <w:t xml:space="preserve">object to the </w:t>
      </w:r>
      <w:r w:rsidR="0098276B" w:rsidRPr="00004886">
        <w:rPr>
          <w:rFonts w:ascii="Times New Roman" w:hAnsi="Times New Roman" w:cs="Times New Roman"/>
        </w:rPr>
        <w:t>presence</w:t>
      </w:r>
      <w:r w:rsidRPr="00004886">
        <w:rPr>
          <w:rFonts w:ascii="Times New Roman" w:hAnsi="Times New Roman" w:cs="Times New Roman"/>
        </w:rPr>
        <w:t xml:space="preserve"> of </w:t>
      </w:r>
      <w:r w:rsidR="007666F0">
        <w:rPr>
          <w:rFonts w:ascii="Times New Roman" w:hAnsi="Times New Roman" w:cs="Times New Roman"/>
        </w:rPr>
        <w:t>transgender</w:t>
      </w:r>
      <w:r w:rsidRPr="00004886">
        <w:rPr>
          <w:rFonts w:ascii="Times New Roman" w:hAnsi="Times New Roman" w:cs="Times New Roman"/>
        </w:rPr>
        <w:t xml:space="preserve"> </w:t>
      </w:r>
      <w:r w:rsidR="0098276B" w:rsidRPr="00004886">
        <w:rPr>
          <w:rFonts w:ascii="Times New Roman" w:hAnsi="Times New Roman" w:cs="Times New Roman"/>
        </w:rPr>
        <w:t>persons</w:t>
      </w:r>
      <w:r w:rsidR="00365E22">
        <w:rPr>
          <w:rFonts w:ascii="Times New Roman" w:hAnsi="Times New Roman" w:cs="Times New Roman"/>
        </w:rPr>
        <w:t>;</w:t>
      </w:r>
      <w:r w:rsidR="0098276B" w:rsidRPr="00004886">
        <w:rPr>
          <w:rFonts w:ascii="Times New Roman" w:hAnsi="Times New Roman" w:cs="Times New Roman"/>
        </w:rPr>
        <w:t xml:space="preserve"> or </w:t>
      </w:r>
      <w:r w:rsidR="00837883">
        <w:rPr>
          <w:rFonts w:ascii="Times New Roman" w:hAnsi="Times New Roman" w:cs="Times New Roman"/>
        </w:rPr>
        <w:t xml:space="preserve">if </w:t>
      </w:r>
      <w:r w:rsidR="0098276B" w:rsidRPr="00004886">
        <w:rPr>
          <w:rFonts w:ascii="Times New Roman" w:hAnsi="Times New Roman" w:cs="Times New Roman"/>
        </w:rPr>
        <w:t xml:space="preserve">there would likely be physical contact between service users and service users could reasonably object to the presence of the </w:t>
      </w:r>
      <w:r w:rsidR="007666F0">
        <w:rPr>
          <w:rFonts w:ascii="Times New Roman" w:hAnsi="Times New Roman" w:cs="Times New Roman"/>
        </w:rPr>
        <w:t>transgender</w:t>
      </w:r>
      <w:r w:rsidR="0098276B" w:rsidRPr="00004886">
        <w:rPr>
          <w:rFonts w:ascii="Times New Roman" w:hAnsi="Times New Roman" w:cs="Times New Roman"/>
        </w:rPr>
        <w:t xml:space="preserve"> person.</w:t>
      </w:r>
      <w:r w:rsidR="004A4D64" w:rsidRPr="00004886">
        <w:rPr>
          <w:rFonts w:ascii="Times New Roman" w:hAnsi="Times New Roman" w:cs="Times New Roman"/>
        </w:rPr>
        <w:t xml:space="preserve"> </w:t>
      </w:r>
      <w:r w:rsidR="006F0CB9" w:rsidRPr="00004886">
        <w:rPr>
          <w:rFonts w:ascii="Times New Roman" w:hAnsi="Times New Roman" w:cs="Times New Roman"/>
        </w:rPr>
        <w:t xml:space="preserve">The Explanatory Notes to the </w:t>
      </w:r>
      <w:r w:rsidR="006A0739" w:rsidRPr="00004886">
        <w:rPr>
          <w:rFonts w:ascii="Times New Roman" w:hAnsi="Times New Roman" w:cs="Times New Roman"/>
        </w:rPr>
        <w:t>Equality Act</w:t>
      </w:r>
      <w:r w:rsidR="006F0CB9" w:rsidRPr="00004886">
        <w:rPr>
          <w:rFonts w:ascii="Times New Roman" w:hAnsi="Times New Roman" w:cs="Times New Roman"/>
        </w:rPr>
        <w:t xml:space="preserve"> offer the following example: ‘A group counselling session is provided for female victims of sexual assault. The organisers do not allow transsexual people to attend as they judge that the clients who attend the group session are unlikely to do so if a male-to-female transsexual person was also there. This would be </w:t>
      </w:r>
      <w:r w:rsidR="006F0CB9" w:rsidRPr="00004886">
        <w:rPr>
          <w:rFonts w:ascii="Times New Roman" w:hAnsi="Times New Roman" w:cs="Times New Roman"/>
        </w:rPr>
        <w:lastRenderedPageBreak/>
        <w:t>lawful.’</w:t>
      </w:r>
      <w:r w:rsidR="006F0CB9" w:rsidRPr="00004886">
        <w:rPr>
          <w:rStyle w:val="FootnoteReference"/>
          <w:rFonts w:ascii="Times New Roman" w:hAnsi="Times New Roman" w:cs="Times New Roman"/>
        </w:rPr>
        <w:footnoteReference w:id="79"/>
      </w:r>
      <w:r w:rsidR="006F0CB9" w:rsidRPr="00004886">
        <w:rPr>
          <w:rFonts w:ascii="Times New Roman" w:hAnsi="Times New Roman" w:cs="Times New Roman"/>
        </w:rPr>
        <w:t xml:space="preserve"> Another potential example</w:t>
      </w:r>
      <w:r w:rsidR="004A4D64" w:rsidRPr="00004886">
        <w:rPr>
          <w:rFonts w:ascii="Times New Roman" w:hAnsi="Times New Roman" w:cs="Times New Roman"/>
        </w:rPr>
        <w:t xml:space="preserve"> is that of a women’s refuge for survivors of violence, or a rape crisis centre, where the service might be less effective or other service users might reasonably object to the presence of </w:t>
      </w:r>
      <w:r w:rsidR="007666F0">
        <w:rPr>
          <w:rFonts w:ascii="Times New Roman" w:hAnsi="Times New Roman" w:cs="Times New Roman"/>
        </w:rPr>
        <w:t>transgender</w:t>
      </w:r>
      <w:r w:rsidR="004A4D64" w:rsidRPr="00004886">
        <w:rPr>
          <w:rFonts w:ascii="Times New Roman" w:hAnsi="Times New Roman" w:cs="Times New Roman"/>
        </w:rPr>
        <w:t xml:space="preserve"> women as service users.</w:t>
      </w:r>
      <w:r w:rsidR="00C76FC2" w:rsidRPr="00004886">
        <w:rPr>
          <w:rStyle w:val="FootnoteReference"/>
          <w:rFonts w:ascii="Times New Roman" w:hAnsi="Times New Roman" w:cs="Times New Roman"/>
        </w:rPr>
        <w:footnoteReference w:id="80"/>
      </w:r>
    </w:p>
    <w:p w14:paraId="7D710093" w14:textId="77777777" w:rsidR="002F04E9" w:rsidRDefault="002F04E9" w:rsidP="00004886">
      <w:pPr>
        <w:spacing w:line="480" w:lineRule="auto"/>
        <w:ind w:firstLine="720"/>
        <w:rPr>
          <w:rFonts w:ascii="Times New Roman" w:hAnsi="Times New Roman" w:cs="Times New Roman"/>
        </w:rPr>
      </w:pPr>
    </w:p>
    <w:p w14:paraId="4F97E1AD" w14:textId="4A4255A1" w:rsidR="00486A33" w:rsidRDefault="001669CA" w:rsidP="00004886">
      <w:pPr>
        <w:spacing w:line="480" w:lineRule="auto"/>
        <w:ind w:firstLine="720"/>
        <w:rPr>
          <w:rFonts w:ascii="Times New Roman" w:hAnsi="Times New Roman" w:cs="Times New Roman"/>
        </w:rPr>
      </w:pPr>
      <w:r w:rsidRPr="00004886">
        <w:rPr>
          <w:rFonts w:ascii="Times New Roman" w:hAnsi="Times New Roman" w:cs="Times New Roman"/>
        </w:rPr>
        <w:t xml:space="preserve">Even though these may be legitimate aims for the service provider, it would nevertheless be necessary to determine if the exclusion of the </w:t>
      </w:r>
      <w:r w:rsidR="007666F0">
        <w:rPr>
          <w:rFonts w:ascii="Times New Roman" w:hAnsi="Times New Roman" w:cs="Times New Roman"/>
        </w:rPr>
        <w:t>transgender</w:t>
      </w:r>
      <w:r w:rsidRPr="00004886">
        <w:rPr>
          <w:rFonts w:ascii="Times New Roman" w:hAnsi="Times New Roman" w:cs="Times New Roman"/>
        </w:rPr>
        <w:t xml:space="preserve"> person in these circumstances is proportionate. </w:t>
      </w:r>
      <w:r w:rsidR="006F0CB9" w:rsidRPr="00004886">
        <w:rPr>
          <w:rFonts w:ascii="Times New Roman" w:hAnsi="Times New Roman" w:cs="Times New Roman"/>
        </w:rPr>
        <w:t>McCann noted that the example in the Explanatory Notes was ‘drafted too categorically’.</w:t>
      </w:r>
      <w:r w:rsidR="006F0CB9" w:rsidRPr="00004886">
        <w:rPr>
          <w:rStyle w:val="FootnoteReference"/>
          <w:rFonts w:ascii="Times New Roman" w:hAnsi="Times New Roman" w:cs="Times New Roman"/>
        </w:rPr>
        <w:footnoteReference w:id="81"/>
      </w:r>
      <w:r w:rsidR="006F0CB9" w:rsidRPr="00004886">
        <w:rPr>
          <w:rFonts w:ascii="Times New Roman" w:hAnsi="Times New Roman" w:cs="Times New Roman"/>
        </w:rPr>
        <w:t xml:space="preserve"> </w:t>
      </w:r>
      <w:r w:rsidR="007666F0">
        <w:rPr>
          <w:rFonts w:ascii="Times New Roman" w:hAnsi="Times New Roman" w:cs="Times New Roman"/>
        </w:rPr>
        <w:t>T</w:t>
      </w:r>
      <w:r w:rsidR="004A4D64" w:rsidRPr="00004886">
        <w:rPr>
          <w:rFonts w:ascii="Times New Roman" w:hAnsi="Times New Roman" w:cs="Times New Roman"/>
        </w:rPr>
        <w:t>he w</w:t>
      </w:r>
      <w:r w:rsidRPr="00004886">
        <w:rPr>
          <w:rFonts w:ascii="Times New Roman" w:hAnsi="Times New Roman" w:cs="Times New Roman"/>
        </w:rPr>
        <w:t xml:space="preserve">omen’s refuge </w:t>
      </w:r>
      <w:r w:rsidR="004A4D64" w:rsidRPr="00004886">
        <w:rPr>
          <w:rFonts w:ascii="Times New Roman" w:hAnsi="Times New Roman" w:cs="Times New Roman"/>
        </w:rPr>
        <w:t xml:space="preserve">or rape crisis centre would </w:t>
      </w:r>
      <w:r w:rsidR="007666F0">
        <w:rPr>
          <w:rFonts w:ascii="Times New Roman" w:hAnsi="Times New Roman" w:cs="Times New Roman"/>
        </w:rPr>
        <w:t xml:space="preserve">therefore </w:t>
      </w:r>
      <w:r w:rsidR="004A4D64" w:rsidRPr="00004886">
        <w:rPr>
          <w:rFonts w:ascii="Times New Roman" w:hAnsi="Times New Roman" w:cs="Times New Roman"/>
        </w:rPr>
        <w:t xml:space="preserve">need to be able to evidence that their service would be less effective if opened up to </w:t>
      </w:r>
      <w:r w:rsidR="007666F0">
        <w:rPr>
          <w:rFonts w:ascii="Times New Roman" w:hAnsi="Times New Roman" w:cs="Times New Roman"/>
        </w:rPr>
        <w:t>transgender</w:t>
      </w:r>
      <w:r w:rsidR="004A4D64" w:rsidRPr="00004886">
        <w:rPr>
          <w:rFonts w:ascii="Times New Roman" w:hAnsi="Times New Roman" w:cs="Times New Roman"/>
        </w:rPr>
        <w:t xml:space="preserve"> women or that their </w:t>
      </w:r>
      <w:r w:rsidR="007666F0">
        <w:rPr>
          <w:rFonts w:ascii="Times New Roman" w:hAnsi="Times New Roman" w:cs="Times New Roman"/>
        </w:rPr>
        <w:t>cisgender</w:t>
      </w:r>
      <w:r w:rsidR="004A4D64" w:rsidRPr="00004886">
        <w:rPr>
          <w:rFonts w:ascii="Times New Roman" w:hAnsi="Times New Roman" w:cs="Times New Roman"/>
        </w:rPr>
        <w:t xml:space="preserve"> service users would object to the presence of </w:t>
      </w:r>
      <w:r w:rsidR="007666F0">
        <w:rPr>
          <w:rFonts w:ascii="Times New Roman" w:hAnsi="Times New Roman" w:cs="Times New Roman"/>
        </w:rPr>
        <w:t>transgender</w:t>
      </w:r>
      <w:r w:rsidR="004A4D64" w:rsidRPr="00004886">
        <w:rPr>
          <w:rFonts w:ascii="Times New Roman" w:hAnsi="Times New Roman" w:cs="Times New Roman"/>
        </w:rPr>
        <w:t xml:space="preserve"> women. </w:t>
      </w:r>
      <w:r w:rsidR="00064C4A" w:rsidRPr="00004886">
        <w:rPr>
          <w:rFonts w:ascii="Times New Roman" w:hAnsi="Times New Roman" w:cs="Times New Roman"/>
        </w:rPr>
        <w:t xml:space="preserve">This would align with the need to substantiate other charity exceptions with evidence, as discussed above. </w:t>
      </w:r>
      <w:r w:rsidR="004A4D64" w:rsidRPr="00004886">
        <w:rPr>
          <w:rFonts w:ascii="Times New Roman" w:hAnsi="Times New Roman" w:cs="Times New Roman"/>
        </w:rPr>
        <w:t xml:space="preserve">The service provider would also need to assess the circumstances of each potential </w:t>
      </w:r>
      <w:r w:rsidR="007666F0">
        <w:rPr>
          <w:rFonts w:ascii="Times New Roman" w:hAnsi="Times New Roman" w:cs="Times New Roman"/>
        </w:rPr>
        <w:t>transgender</w:t>
      </w:r>
      <w:r w:rsidR="004A4D64" w:rsidRPr="00004886">
        <w:rPr>
          <w:rFonts w:ascii="Times New Roman" w:hAnsi="Times New Roman" w:cs="Times New Roman"/>
        </w:rPr>
        <w:t xml:space="preserve"> service user to determine how proportionate the exclusion would be in that individual’s case.</w:t>
      </w:r>
      <w:r w:rsidR="00311563" w:rsidRPr="00311563">
        <w:rPr>
          <w:rStyle w:val="FootnoteReference"/>
          <w:rFonts w:ascii="Times New Roman" w:hAnsi="Times New Roman" w:cs="Times New Roman"/>
        </w:rPr>
        <w:t xml:space="preserve"> </w:t>
      </w:r>
      <w:r w:rsidR="00311563" w:rsidRPr="00004886">
        <w:rPr>
          <w:rStyle w:val="FootnoteReference"/>
          <w:rFonts w:ascii="Times New Roman" w:hAnsi="Times New Roman" w:cs="Times New Roman"/>
        </w:rPr>
        <w:footnoteReference w:id="82"/>
      </w:r>
      <w:r w:rsidR="00311563" w:rsidRPr="00004886">
        <w:rPr>
          <w:rFonts w:ascii="Times New Roman" w:hAnsi="Times New Roman" w:cs="Times New Roman"/>
        </w:rPr>
        <w:t xml:space="preserve"> </w:t>
      </w:r>
      <w:r w:rsidR="00311563">
        <w:rPr>
          <w:rFonts w:ascii="Times New Roman" w:hAnsi="Times New Roman" w:cs="Times New Roman"/>
        </w:rPr>
        <w:t>As is discussed abo</w:t>
      </w:r>
      <w:r w:rsidR="00203B4B">
        <w:rPr>
          <w:rFonts w:ascii="Times New Roman" w:hAnsi="Times New Roman" w:cs="Times New Roman"/>
        </w:rPr>
        <w:t xml:space="preserve">ve in </w:t>
      </w:r>
      <w:r w:rsidR="00311563">
        <w:rPr>
          <w:rFonts w:ascii="Times New Roman" w:hAnsi="Times New Roman" w:cs="Times New Roman"/>
        </w:rPr>
        <w:t>relation to the proportionality of</w:t>
      </w:r>
      <w:r w:rsidR="00203B4B">
        <w:rPr>
          <w:rFonts w:ascii="Times New Roman" w:hAnsi="Times New Roman" w:cs="Times New Roman"/>
        </w:rPr>
        <w:t xml:space="preserve"> barring</w:t>
      </w:r>
      <w:r w:rsidR="00311563">
        <w:rPr>
          <w:rFonts w:ascii="Times New Roman" w:hAnsi="Times New Roman" w:cs="Times New Roman"/>
        </w:rPr>
        <w:t xml:space="preserve"> all transgender women, the premise on which these arguments are founded is flawed. A</w:t>
      </w:r>
      <w:r w:rsidR="00311563" w:rsidRPr="00D97F23">
        <w:rPr>
          <w:rFonts w:ascii="Times New Roman" w:hAnsi="Times New Roman" w:cs="Times New Roman"/>
        </w:rPr>
        <w:t xml:space="preserve"> blanket ban on transgender individuals using a single sex service would be unacceptable under the Equality Act. </w:t>
      </w:r>
    </w:p>
    <w:p w14:paraId="6DDBD9E7" w14:textId="77777777" w:rsidR="0010772C" w:rsidRPr="00004886" w:rsidRDefault="0010772C" w:rsidP="00004886">
      <w:pPr>
        <w:spacing w:line="480" w:lineRule="auto"/>
        <w:ind w:firstLine="720"/>
        <w:rPr>
          <w:rFonts w:ascii="Times New Roman" w:hAnsi="Times New Roman" w:cs="Times New Roman"/>
        </w:rPr>
      </w:pPr>
    </w:p>
    <w:p w14:paraId="6310FC55" w14:textId="72BA0EBF" w:rsidR="00486A33" w:rsidRDefault="004A4D64" w:rsidP="00004886">
      <w:pPr>
        <w:spacing w:line="480" w:lineRule="auto"/>
        <w:ind w:firstLine="720"/>
        <w:rPr>
          <w:rFonts w:ascii="Times New Roman" w:hAnsi="Times New Roman" w:cs="Times New Roman"/>
        </w:rPr>
      </w:pPr>
      <w:r w:rsidRPr="00004886">
        <w:rPr>
          <w:rFonts w:ascii="Times New Roman" w:hAnsi="Times New Roman" w:cs="Times New Roman"/>
        </w:rPr>
        <w:t xml:space="preserve">In the case of potential service users who hold a </w:t>
      </w:r>
      <w:r w:rsidR="008B74C5" w:rsidRPr="00004886">
        <w:rPr>
          <w:rFonts w:ascii="Times New Roman" w:hAnsi="Times New Roman" w:cs="Times New Roman"/>
        </w:rPr>
        <w:t>GRC, the grounds justifying their exclusion would need to be weightier in order for the exclusion to be proportionate.</w:t>
      </w:r>
      <w:r w:rsidR="006F0CB9" w:rsidRPr="00004886">
        <w:rPr>
          <w:rStyle w:val="FootnoteReference"/>
          <w:rFonts w:ascii="Times New Roman" w:hAnsi="Times New Roman" w:cs="Times New Roman"/>
        </w:rPr>
        <w:footnoteReference w:id="83"/>
      </w:r>
      <w:r w:rsidR="008B74C5" w:rsidRPr="00004886">
        <w:rPr>
          <w:rFonts w:ascii="Times New Roman" w:hAnsi="Times New Roman" w:cs="Times New Roman"/>
        </w:rPr>
        <w:t xml:space="preserve"> </w:t>
      </w:r>
      <w:r w:rsidR="007666F0">
        <w:rPr>
          <w:rFonts w:ascii="Times New Roman" w:hAnsi="Times New Roman" w:cs="Times New Roman"/>
        </w:rPr>
        <w:lastRenderedPageBreak/>
        <w:t>Transgender</w:t>
      </w:r>
      <w:r w:rsidR="00064C4A" w:rsidRPr="00004886">
        <w:rPr>
          <w:rFonts w:ascii="Times New Roman" w:hAnsi="Times New Roman" w:cs="Times New Roman"/>
        </w:rPr>
        <w:t xml:space="preserve"> women with a GRC have lived in their acquired gender for a number of years and undergone a lengthy legal process involving medical assessments. </w:t>
      </w:r>
      <w:r w:rsidR="00486A33" w:rsidRPr="00004886">
        <w:rPr>
          <w:rFonts w:ascii="Times New Roman" w:hAnsi="Times New Roman" w:cs="Times New Roman"/>
        </w:rPr>
        <w:t>Their sex has legally been changed to that of their acquired gender. It is logical that their exclusion from single sex services is only objectively justifiable based upon particularly serious grounds.</w:t>
      </w:r>
    </w:p>
    <w:p w14:paraId="66D4BCDB" w14:textId="77777777" w:rsidR="0010772C" w:rsidRPr="00004886" w:rsidRDefault="0010772C" w:rsidP="00004886">
      <w:pPr>
        <w:spacing w:line="480" w:lineRule="auto"/>
        <w:ind w:firstLine="720"/>
        <w:rPr>
          <w:rFonts w:ascii="Times New Roman" w:hAnsi="Times New Roman" w:cs="Times New Roman"/>
        </w:rPr>
      </w:pPr>
    </w:p>
    <w:p w14:paraId="309F33E5" w14:textId="21EF8F12" w:rsidR="00C96119" w:rsidRDefault="00486A33" w:rsidP="00004886">
      <w:pPr>
        <w:spacing w:line="480" w:lineRule="auto"/>
        <w:ind w:firstLine="720"/>
        <w:rPr>
          <w:rFonts w:ascii="Times New Roman" w:hAnsi="Times New Roman" w:cs="Times New Roman"/>
        </w:rPr>
      </w:pPr>
      <w:r w:rsidRPr="00004886">
        <w:rPr>
          <w:rFonts w:ascii="Times New Roman" w:hAnsi="Times New Roman" w:cs="Times New Roman"/>
        </w:rPr>
        <w:t xml:space="preserve">It is not clear what circumstances can justify the exclusion of </w:t>
      </w:r>
      <w:r w:rsidR="007666F0">
        <w:rPr>
          <w:rFonts w:ascii="Times New Roman" w:hAnsi="Times New Roman" w:cs="Times New Roman"/>
        </w:rPr>
        <w:t>transgender</w:t>
      </w:r>
      <w:r w:rsidRPr="00004886">
        <w:rPr>
          <w:rFonts w:ascii="Times New Roman" w:hAnsi="Times New Roman" w:cs="Times New Roman"/>
        </w:rPr>
        <w:t xml:space="preserve"> women who hold a GRC from single sex services. </w:t>
      </w:r>
      <w:r w:rsidR="00C96119">
        <w:rPr>
          <w:rFonts w:ascii="Times New Roman" w:hAnsi="Times New Roman" w:cs="Times New Roman"/>
        </w:rPr>
        <w:t>In the 2018 government consultation document it was noted that, ‘T</w:t>
      </w:r>
      <w:r w:rsidR="00C96119" w:rsidRPr="00585C76">
        <w:rPr>
          <w:rFonts w:ascii="Times New Roman" w:hAnsi="Times New Roman" w:cs="Times New Roman"/>
        </w:rPr>
        <w:t>he fact a trans person has legal gender recognition will form part of a service provider’s decision as to whether to provide a different, or even no service to a trans person, but having a GRC is not a complete answer.</w:t>
      </w:r>
      <w:r w:rsidR="00C96119">
        <w:rPr>
          <w:rFonts w:ascii="Times New Roman" w:hAnsi="Times New Roman" w:cs="Times New Roman"/>
        </w:rPr>
        <w:t>’</w:t>
      </w:r>
      <w:r w:rsidR="00C96119" w:rsidRPr="00585C76">
        <w:rPr>
          <w:rFonts w:ascii="Times New Roman" w:hAnsi="Times New Roman" w:cs="Times New Roman"/>
        </w:rPr>
        <w:t xml:space="preserve"> </w:t>
      </w:r>
      <w:r w:rsidR="00C96119">
        <w:rPr>
          <w:rStyle w:val="FootnoteReference"/>
          <w:rFonts w:ascii="Times New Roman" w:hAnsi="Times New Roman" w:cs="Times New Roman"/>
        </w:rPr>
        <w:footnoteReference w:id="84"/>
      </w:r>
      <w:r w:rsidR="00C96119">
        <w:rPr>
          <w:rFonts w:ascii="Times New Roman" w:hAnsi="Times New Roman" w:cs="Times New Roman"/>
        </w:rPr>
        <w:t xml:space="preserve"> </w:t>
      </w:r>
      <w:r w:rsidRPr="00004886">
        <w:rPr>
          <w:rFonts w:ascii="Times New Roman" w:hAnsi="Times New Roman" w:cs="Times New Roman"/>
        </w:rPr>
        <w:t xml:space="preserve"> </w:t>
      </w:r>
      <w:r w:rsidR="00052847" w:rsidRPr="00004886">
        <w:rPr>
          <w:rFonts w:ascii="Times New Roman" w:hAnsi="Times New Roman" w:cs="Times New Roman"/>
        </w:rPr>
        <w:t xml:space="preserve">In </w:t>
      </w:r>
      <w:r w:rsidR="00311563">
        <w:rPr>
          <w:rFonts w:ascii="Times New Roman" w:hAnsi="Times New Roman" w:cs="Times New Roman"/>
        </w:rPr>
        <w:t>response</w:t>
      </w:r>
      <w:r w:rsidRPr="00004886">
        <w:rPr>
          <w:rFonts w:ascii="Times New Roman" w:hAnsi="Times New Roman" w:cs="Times New Roman"/>
        </w:rPr>
        <w:t xml:space="preserve"> </w:t>
      </w:r>
      <w:r w:rsidR="00C96119">
        <w:rPr>
          <w:rFonts w:ascii="Times New Roman" w:hAnsi="Times New Roman" w:cs="Times New Roman"/>
        </w:rPr>
        <w:t>to consultation, t</w:t>
      </w:r>
      <w:r w:rsidR="00B77BD8" w:rsidRPr="00004886">
        <w:rPr>
          <w:rFonts w:ascii="Times New Roman" w:hAnsi="Times New Roman" w:cs="Times New Roman"/>
        </w:rPr>
        <w:t>here were repeated arguments that allowing a GRC only based upon self-identification would erode the protection of women-only spaces.</w:t>
      </w:r>
      <w:r w:rsidR="00B77BD8" w:rsidRPr="00004886">
        <w:rPr>
          <w:rStyle w:val="FootnoteReference"/>
          <w:rFonts w:ascii="Times New Roman" w:hAnsi="Times New Roman" w:cs="Times New Roman"/>
        </w:rPr>
        <w:footnoteReference w:id="85"/>
      </w:r>
      <w:r w:rsidR="00064C4A" w:rsidRPr="00004886">
        <w:rPr>
          <w:rFonts w:ascii="Times New Roman" w:hAnsi="Times New Roman" w:cs="Times New Roman"/>
        </w:rPr>
        <w:t xml:space="preserve"> </w:t>
      </w:r>
      <w:r w:rsidR="00B05EC7">
        <w:rPr>
          <w:rFonts w:ascii="Times New Roman" w:hAnsi="Times New Roman" w:cs="Times New Roman"/>
        </w:rPr>
        <w:t>T</w:t>
      </w:r>
      <w:r w:rsidR="00B77BD8" w:rsidRPr="00004886">
        <w:rPr>
          <w:rFonts w:ascii="Times New Roman" w:hAnsi="Times New Roman" w:cs="Times New Roman"/>
        </w:rPr>
        <w:t>his is a misreading of the impact of changes to obtaining a GRC. A</w:t>
      </w:r>
      <w:r w:rsidR="00B05EC7">
        <w:rPr>
          <w:rFonts w:ascii="Times New Roman" w:hAnsi="Times New Roman" w:cs="Times New Roman"/>
        </w:rPr>
        <w:t>lthough a</w:t>
      </w:r>
      <w:r w:rsidR="00B77BD8" w:rsidRPr="00004886">
        <w:rPr>
          <w:rFonts w:ascii="Times New Roman" w:hAnsi="Times New Roman" w:cs="Times New Roman"/>
        </w:rPr>
        <w:t xml:space="preserve">t present the reasons required to objectively justify excluding a </w:t>
      </w:r>
      <w:r w:rsidR="007666F0">
        <w:rPr>
          <w:rFonts w:ascii="Times New Roman" w:hAnsi="Times New Roman" w:cs="Times New Roman"/>
        </w:rPr>
        <w:t>transgender</w:t>
      </w:r>
      <w:r w:rsidR="00B77BD8" w:rsidRPr="00004886">
        <w:rPr>
          <w:rFonts w:ascii="Times New Roman" w:hAnsi="Times New Roman" w:cs="Times New Roman"/>
        </w:rPr>
        <w:t xml:space="preserve"> woman with a GRC would have to be weightier</w:t>
      </w:r>
      <w:r w:rsidR="00B05EC7">
        <w:rPr>
          <w:rFonts w:ascii="Times New Roman" w:hAnsi="Times New Roman" w:cs="Times New Roman"/>
        </w:rPr>
        <w:t xml:space="preserve"> than would be required for a woman with</w:t>
      </w:r>
      <w:r w:rsidR="00C96119">
        <w:rPr>
          <w:rFonts w:ascii="Times New Roman" w:hAnsi="Times New Roman" w:cs="Times New Roman"/>
        </w:rPr>
        <w:t>out</w:t>
      </w:r>
      <w:r w:rsidR="00B05EC7">
        <w:rPr>
          <w:rFonts w:ascii="Times New Roman" w:hAnsi="Times New Roman" w:cs="Times New Roman"/>
        </w:rPr>
        <w:t xml:space="preserve"> a GRC, </w:t>
      </w:r>
      <w:r w:rsidR="00B77BD8" w:rsidRPr="00004886">
        <w:rPr>
          <w:rFonts w:ascii="Times New Roman" w:hAnsi="Times New Roman" w:cs="Times New Roman"/>
        </w:rPr>
        <w:t>this</w:t>
      </w:r>
      <w:r w:rsidR="00170650" w:rsidRPr="00004886">
        <w:rPr>
          <w:rFonts w:ascii="Times New Roman" w:hAnsi="Times New Roman" w:cs="Times New Roman"/>
        </w:rPr>
        <w:t xml:space="preserve"> is </w:t>
      </w:r>
      <w:r w:rsidR="007666F0">
        <w:rPr>
          <w:rFonts w:ascii="Times New Roman" w:hAnsi="Times New Roman" w:cs="Times New Roman"/>
        </w:rPr>
        <w:t xml:space="preserve">both </w:t>
      </w:r>
      <w:r w:rsidR="00170650" w:rsidRPr="00004886">
        <w:rPr>
          <w:rFonts w:ascii="Times New Roman" w:hAnsi="Times New Roman" w:cs="Times New Roman"/>
        </w:rPr>
        <w:t xml:space="preserve">because </w:t>
      </w:r>
      <w:r w:rsidR="007666F0">
        <w:rPr>
          <w:rFonts w:ascii="Times New Roman" w:hAnsi="Times New Roman" w:cs="Times New Roman"/>
        </w:rPr>
        <w:t xml:space="preserve">of the legal status conferred by the GRC and because </w:t>
      </w:r>
      <w:r w:rsidR="00170650" w:rsidRPr="00004886">
        <w:rPr>
          <w:rFonts w:ascii="Times New Roman" w:hAnsi="Times New Roman" w:cs="Times New Roman"/>
        </w:rPr>
        <w:t>a</w:t>
      </w:r>
      <w:r w:rsidR="00B77BD8" w:rsidRPr="00004886">
        <w:rPr>
          <w:rFonts w:ascii="Times New Roman" w:hAnsi="Times New Roman" w:cs="Times New Roman"/>
        </w:rPr>
        <w:t xml:space="preserve"> GRC is evidence of commitment. </w:t>
      </w:r>
      <w:r w:rsidR="00170650" w:rsidRPr="00004886">
        <w:rPr>
          <w:rFonts w:ascii="Times New Roman" w:hAnsi="Times New Roman" w:cs="Times New Roman"/>
        </w:rPr>
        <w:t>When weighing up the risk of admitting an individual to a women-only service, the GRC is evidence that this individual has been not only identifying as a women, but living as a wom</w:t>
      </w:r>
      <w:r w:rsidR="00365E22">
        <w:rPr>
          <w:rFonts w:ascii="Times New Roman" w:hAnsi="Times New Roman" w:cs="Times New Roman"/>
        </w:rPr>
        <w:t>a</w:t>
      </w:r>
      <w:r w:rsidR="00170650" w:rsidRPr="00004886">
        <w:rPr>
          <w:rFonts w:ascii="Times New Roman" w:hAnsi="Times New Roman" w:cs="Times New Roman"/>
        </w:rPr>
        <w:t xml:space="preserve">n, for a long time. </w:t>
      </w:r>
      <w:r w:rsidR="00585C76">
        <w:rPr>
          <w:rFonts w:ascii="Times New Roman" w:hAnsi="Times New Roman" w:cs="Times New Roman"/>
        </w:rPr>
        <w:t xml:space="preserve"> </w:t>
      </w:r>
    </w:p>
    <w:p w14:paraId="7E506C7E" w14:textId="77777777" w:rsidR="0010772C" w:rsidRDefault="0010772C" w:rsidP="00004886">
      <w:pPr>
        <w:spacing w:line="480" w:lineRule="auto"/>
        <w:ind w:firstLine="720"/>
        <w:rPr>
          <w:rFonts w:ascii="Times New Roman" w:hAnsi="Times New Roman" w:cs="Times New Roman"/>
        </w:rPr>
      </w:pPr>
    </w:p>
    <w:p w14:paraId="1518BD9B" w14:textId="48496506" w:rsidR="00A86DDA" w:rsidRDefault="007666F0" w:rsidP="00004886">
      <w:pPr>
        <w:spacing w:line="480" w:lineRule="auto"/>
        <w:ind w:firstLine="720"/>
        <w:rPr>
          <w:rFonts w:ascii="Times New Roman" w:hAnsi="Times New Roman" w:cs="Times New Roman"/>
        </w:rPr>
      </w:pPr>
      <w:r>
        <w:rPr>
          <w:rFonts w:ascii="Times New Roman" w:hAnsi="Times New Roman" w:cs="Times New Roman"/>
        </w:rPr>
        <w:t xml:space="preserve">We can see from the CJEU in </w:t>
      </w:r>
      <w:r w:rsidRPr="007666F0">
        <w:rPr>
          <w:rFonts w:ascii="Times New Roman" w:hAnsi="Times New Roman" w:cs="Times New Roman"/>
          <w:i/>
        </w:rPr>
        <w:t>MB</w:t>
      </w:r>
      <w:r>
        <w:rPr>
          <w:rFonts w:ascii="Times New Roman" w:hAnsi="Times New Roman" w:cs="Times New Roman"/>
        </w:rPr>
        <w:t xml:space="preserve"> that even in the absence of a GRC, the facts of a particular case may be such as to warrant an assumption that a woman is transgender and that she is experiencing discrimination based upon sex.</w:t>
      </w:r>
      <w:r w:rsidR="00902BA7">
        <w:rPr>
          <w:rStyle w:val="FootnoteReference"/>
          <w:rFonts w:ascii="Times New Roman" w:hAnsi="Times New Roman" w:cs="Times New Roman"/>
        </w:rPr>
        <w:footnoteReference w:id="86"/>
      </w:r>
      <w:r>
        <w:rPr>
          <w:rFonts w:ascii="Times New Roman" w:hAnsi="Times New Roman" w:cs="Times New Roman"/>
        </w:rPr>
        <w:t xml:space="preserve"> </w:t>
      </w:r>
      <w:r w:rsidR="00170650" w:rsidRPr="007666F0">
        <w:rPr>
          <w:rFonts w:ascii="Times New Roman" w:hAnsi="Times New Roman" w:cs="Times New Roman"/>
        </w:rPr>
        <w:t>Some</w:t>
      </w:r>
      <w:r w:rsidR="00B77BD8" w:rsidRPr="00004886">
        <w:rPr>
          <w:rFonts w:ascii="Times New Roman" w:hAnsi="Times New Roman" w:cs="Times New Roman"/>
        </w:rPr>
        <w:t xml:space="preserve"> of the more heated </w:t>
      </w:r>
      <w:r w:rsidR="00170650" w:rsidRPr="00004886">
        <w:rPr>
          <w:rFonts w:ascii="Times New Roman" w:hAnsi="Times New Roman" w:cs="Times New Roman"/>
        </w:rPr>
        <w:t>argumentation</w:t>
      </w:r>
      <w:r w:rsidR="00B77BD8" w:rsidRPr="00004886">
        <w:rPr>
          <w:rFonts w:ascii="Times New Roman" w:hAnsi="Times New Roman" w:cs="Times New Roman"/>
        </w:rPr>
        <w:t xml:space="preserve"> from those who are opposed to </w:t>
      </w:r>
      <w:r w:rsidR="00170650" w:rsidRPr="00004886">
        <w:rPr>
          <w:rFonts w:ascii="Times New Roman" w:hAnsi="Times New Roman" w:cs="Times New Roman"/>
        </w:rPr>
        <w:t xml:space="preserve">reforming the GRA is around the risk of male predators </w:t>
      </w:r>
      <w:r w:rsidR="00170650" w:rsidRPr="00004886">
        <w:rPr>
          <w:rFonts w:ascii="Times New Roman" w:hAnsi="Times New Roman" w:cs="Times New Roman"/>
        </w:rPr>
        <w:lastRenderedPageBreak/>
        <w:t xml:space="preserve">declaring themselves to be </w:t>
      </w:r>
      <w:r>
        <w:rPr>
          <w:rFonts w:ascii="Times New Roman" w:hAnsi="Times New Roman" w:cs="Times New Roman"/>
        </w:rPr>
        <w:t>transgender</w:t>
      </w:r>
      <w:r w:rsidR="00170650" w:rsidRPr="00004886">
        <w:rPr>
          <w:rFonts w:ascii="Times New Roman" w:hAnsi="Times New Roman" w:cs="Times New Roman"/>
        </w:rPr>
        <w:t xml:space="preserve"> in order to access wo</w:t>
      </w:r>
      <w:r w:rsidR="0010772C">
        <w:rPr>
          <w:rFonts w:ascii="Times New Roman" w:hAnsi="Times New Roman" w:cs="Times New Roman"/>
        </w:rPr>
        <w:t>men-only spaces in order to prey</w:t>
      </w:r>
      <w:r w:rsidR="00170650" w:rsidRPr="00004886">
        <w:rPr>
          <w:rFonts w:ascii="Times New Roman" w:hAnsi="Times New Roman" w:cs="Times New Roman"/>
        </w:rPr>
        <w:t xml:space="preserve"> </w:t>
      </w:r>
      <w:r w:rsidR="0010772C">
        <w:rPr>
          <w:rFonts w:ascii="Times New Roman" w:hAnsi="Times New Roman" w:cs="Times New Roman"/>
        </w:rPr>
        <w:t>up</w:t>
      </w:r>
      <w:r w:rsidR="00170650" w:rsidRPr="00004886">
        <w:rPr>
          <w:rFonts w:ascii="Times New Roman" w:hAnsi="Times New Roman" w:cs="Times New Roman"/>
        </w:rPr>
        <w:t>on the other service users.</w:t>
      </w:r>
      <w:r w:rsidR="00170650" w:rsidRPr="00004886">
        <w:rPr>
          <w:rStyle w:val="FootnoteReference"/>
          <w:rFonts w:ascii="Times New Roman" w:hAnsi="Times New Roman" w:cs="Times New Roman"/>
        </w:rPr>
        <w:footnoteReference w:id="87"/>
      </w:r>
      <w:r w:rsidR="00170650" w:rsidRPr="00004886">
        <w:rPr>
          <w:rFonts w:ascii="Times New Roman" w:hAnsi="Times New Roman" w:cs="Times New Roman"/>
        </w:rPr>
        <w:t xml:space="preserve"> </w:t>
      </w:r>
      <w:r w:rsidR="00C96119">
        <w:rPr>
          <w:rFonts w:ascii="Times New Roman" w:hAnsi="Times New Roman" w:cs="Times New Roman"/>
        </w:rPr>
        <w:t>A</w:t>
      </w:r>
      <w:r w:rsidR="00170650" w:rsidRPr="00004886">
        <w:rPr>
          <w:rFonts w:ascii="Times New Roman" w:hAnsi="Times New Roman" w:cs="Times New Roman"/>
        </w:rPr>
        <w:t xml:space="preserve"> service can already exclude any person, whether </w:t>
      </w:r>
      <w:r>
        <w:rPr>
          <w:rFonts w:ascii="Times New Roman" w:hAnsi="Times New Roman" w:cs="Times New Roman"/>
        </w:rPr>
        <w:t>cisgender</w:t>
      </w:r>
      <w:r w:rsidR="00170650" w:rsidRPr="00004886">
        <w:rPr>
          <w:rFonts w:ascii="Times New Roman" w:hAnsi="Times New Roman" w:cs="Times New Roman"/>
        </w:rPr>
        <w:t xml:space="preserve"> or </w:t>
      </w:r>
      <w:r>
        <w:rPr>
          <w:rFonts w:ascii="Times New Roman" w:hAnsi="Times New Roman" w:cs="Times New Roman"/>
        </w:rPr>
        <w:t>transgender</w:t>
      </w:r>
      <w:r w:rsidR="00170650" w:rsidRPr="00004886">
        <w:rPr>
          <w:rFonts w:ascii="Times New Roman" w:hAnsi="Times New Roman" w:cs="Times New Roman"/>
        </w:rPr>
        <w:t xml:space="preserve">, if they pose a risk to other users of the service. </w:t>
      </w:r>
      <w:r w:rsidR="00475489">
        <w:rPr>
          <w:rFonts w:ascii="Times New Roman" w:hAnsi="Times New Roman" w:cs="Times New Roman"/>
        </w:rPr>
        <w:t>Indeed, there is evidence that many services have found ways to accommodate trans</w:t>
      </w:r>
      <w:r w:rsidR="00C96119">
        <w:rPr>
          <w:rFonts w:ascii="Times New Roman" w:hAnsi="Times New Roman" w:cs="Times New Roman"/>
        </w:rPr>
        <w:t>gender</w:t>
      </w:r>
      <w:r w:rsidR="00475489">
        <w:rPr>
          <w:rFonts w:ascii="Times New Roman" w:hAnsi="Times New Roman" w:cs="Times New Roman"/>
        </w:rPr>
        <w:t xml:space="preserve"> women.</w:t>
      </w:r>
      <w:r w:rsidR="00475489">
        <w:rPr>
          <w:rStyle w:val="FootnoteReference"/>
          <w:rFonts w:ascii="Times New Roman" w:hAnsi="Times New Roman" w:cs="Times New Roman"/>
        </w:rPr>
        <w:footnoteReference w:id="88"/>
      </w:r>
    </w:p>
    <w:p w14:paraId="42B56422" w14:textId="77777777" w:rsidR="0010772C" w:rsidRPr="00004886" w:rsidRDefault="0010772C" w:rsidP="00004886">
      <w:pPr>
        <w:spacing w:line="480" w:lineRule="auto"/>
        <w:ind w:firstLine="720"/>
        <w:rPr>
          <w:rFonts w:ascii="Times New Roman" w:hAnsi="Times New Roman" w:cs="Times New Roman"/>
        </w:rPr>
      </w:pPr>
    </w:p>
    <w:p w14:paraId="45B7E04B" w14:textId="7E6DF21E" w:rsidR="001669CA" w:rsidRDefault="00A86DDA" w:rsidP="00004886">
      <w:pPr>
        <w:spacing w:line="480" w:lineRule="auto"/>
        <w:ind w:firstLine="720"/>
        <w:rPr>
          <w:rFonts w:ascii="Times New Roman" w:hAnsi="Times New Roman" w:cs="Times New Roman"/>
        </w:rPr>
      </w:pPr>
      <w:r w:rsidRPr="00004886">
        <w:rPr>
          <w:rFonts w:ascii="Times New Roman" w:hAnsi="Times New Roman" w:cs="Times New Roman"/>
        </w:rPr>
        <w:t xml:space="preserve">In this investigation of whether charities can exclude </w:t>
      </w:r>
      <w:r w:rsidR="007666F0">
        <w:rPr>
          <w:rFonts w:ascii="Times New Roman" w:hAnsi="Times New Roman" w:cs="Times New Roman"/>
        </w:rPr>
        <w:t>transgender</w:t>
      </w:r>
      <w:r w:rsidRPr="00004886">
        <w:rPr>
          <w:rFonts w:ascii="Times New Roman" w:hAnsi="Times New Roman" w:cs="Times New Roman"/>
        </w:rPr>
        <w:t xml:space="preserve"> women from single-sex services we come</w:t>
      </w:r>
      <w:r w:rsidR="00B05EC7">
        <w:rPr>
          <w:rFonts w:ascii="Times New Roman" w:hAnsi="Times New Roman" w:cs="Times New Roman"/>
        </w:rPr>
        <w:t>,</w:t>
      </w:r>
      <w:r w:rsidRPr="00004886">
        <w:rPr>
          <w:rFonts w:ascii="Times New Roman" w:hAnsi="Times New Roman" w:cs="Times New Roman"/>
        </w:rPr>
        <w:t xml:space="preserve"> therefore, to the very lawyerly answer of: it depends. A blanket ban on </w:t>
      </w:r>
      <w:r w:rsidR="007666F0">
        <w:rPr>
          <w:rFonts w:ascii="Times New Roman" w:hAnsi="Times New Roman" w:cs="Times New Roman"/>
        </w:rPr>
        <w:t>transgender</w:t>
      </w:r>
      <w:r w:rsidRPr="00004886">
        <w:rPr>
          <w:rFonts w:ascii="Times New Roman" w:hAnsi="Times New Roman" w:cs="Times New Roman"/>
        </w:rPr>
        <w:t xml:space="preserve"> women accessing single sex services is not lawful. It will be lawful to exclude a particular trans</w:t>
      </w:r>
      <w:r w:rsidR="00C96119">
        <w:rPr>
          <w:rFonts w:ascii="Times New Roman" w:hAnsi="Times New Roman" w:cs="Times New Roman"/>
        </w:rPr>
        <w:t>gender</w:t>
      </w:r>
      <w:r w:rsidRPr="00004886">
        <w:rPr>
          <w:rFonts w:ascii="Times New Roman" w:hAnsi="Times New Roman" w:cs="Times New Roman"/>
        </w:rPr>
        <w:t xml:space="preserve"> woman if this discrimination can be objectively justified. A charity should consider each </w:t>
      </w:r>
      <w:r w:rsidR="007666F0">
        <w:rPr>
          <w:rFonts w:ascii="Times New Roman" w:hAnsi="Times New Roman" w:cs="Times New Roman"/>
        </w:rPr>
        <w:t>transgender</w:t>
      </w:r>
      <w:r w:rsidRPr="00004886">
        <w:rPr>
          <w:rFonts w:ascii="Times New Roman" w:hAnsi="Times New Roman" w:cs="Times New Roman"/>
        </w:rPr>
        <w:t xml:space="preserve"> woman on a case by case basis in assessing whether it is proportionate to exclude her from services. </w:t>
      </w:r>
      <w:r w:rsidR="00316700">
        <w:rPr>
          <w:rFonts w:ascii="Times New Roman" w:hAnsi="Times New Roman" w:cs="Times New Roman"/>
        </w:rPr>
        <w:t xml:space="preserve">This is likely to be the case in only a limited number of cases. </w:t>
      </w:r>
      <w:r w:rsidR="009474A3" w:rsidRPr="00004886">
        <w:rPr>
          <w:rFonts w:ascii="Times New Roman" w:hAnsi="Times New Roman" w:cs="Times New Roman"/>
        </w:rPr>
        <w:t>I</w:t>
      </w:r>
      <w:r w:rsidRPr="00004886">
        <w:rPr>
          <w:rFonts w:ascii="Times New Roman" w:hAnsi="Times New Roman" w:cs="Times New Roman"/>
        </w:rPr>
        <w:t>n the case of a trans</w:t>
      </w:r>
      <w:r w:rsidR="00C96119">
        <w:rPr>
          <w:rFonts w:ascii="Times New Roman" w:hAnsi="Times New Roman" w:cs="Times New Roman"/>
        </w:rPr>
        <w:t>gender</w:t>
      </w:r>
      <w:r w:rsidRPr="00004886">
        <w:rPr>
          <w:rFonts w:ascii="Times New Roman" w:hAnsi="Times New Roman" w:cs="Times New Roman"/>
        </w:rPr>
        <w:t xml:space="preserve"> woman with a GRC, those reasons will need to be </w:t>
      </w:r>
      <w:r w:rsidR="00C96119">
        <w:rPr>
          <w:rFonts w:ascii="Times New Roman" w:hAnsi="Times New Roman" w:cs="Times New Roman"/>
        </w:rPr>
        <w:t xml:space="preserve">considerably </w:t>
      </w:r>
      <w:r w:rsidRPr="00004886">
        <w:rPr>
          <w:rFonts w:ascii="Times New Roman" w:hAnsi="Times New Roman" w:cs="Times New Roman"/>
        </w:rPr>
        <w:t xml:space="preserve">weightier in order to be proportionate. </w:t>
      </w:r>
      <w:r w:rsidR="00170650" w:rsidRPr="00004886">
        <w:rPr>
          <w:rFonts w:ascii="Times New Roman" w:hAnsi="Times New Roman" w:cs="Times New Roman"/>
        </w:rPr>
        <w:t xml:space="preserve"> </w:t>
      </w:r>
      <w:r w:rsidR="00F80E3C" w:rsidRPr="00004886">
        <w:rPr>
          <w:rFonts w:ascii="Times New Roman" w:hAnsi="Times New Roman" w:cs="Times New Roman"/>
        </w:rPr>
        <w:t xml:space="preserve"> </w:t>
      </w:r>
    </w:p>
    <w:p w14:paraId="5AEE65E1" w14:textId="77777777" w:rsidR="0010772C" w:rsidRDefault="0010772C" w:rsidP="00004886">
      <w:pPr>
        <w:spacing w:line="480" w:lineRule="auto"/>
        <w:ind w:firstLine="720"/>
        <w:rPr>
          <w:rFonts w:ascii="Times New Roman" w:hAnsi="Times New Roman" w:cs="Times New Roman"/>
        </w:rPr>
      </w:pPr>
    </w:p>
    <w:p w14:paraId="1E3CC5DF" w14:textId="218631C6" w:rsidR="001C48FB" w:rsidRPr="001150B3" w:rsidRDefault="001C48FB" w:rsidP="001C48FB">
      <w:pPr>
        <w:spacing w:line="480" w:lineRule="auto"/>
        <w:rPr>
          <w:rFonts w:ascii="Times New Roman" w:hAnsi="Times New Roman" w:cs="Times New Roman"/>
          <w:b/>
        </w:rPr>
      </w:pPr>
      <w:r w:rsidRPr="001150B3">
        <w:rPr>
          <w:rFonts w:ascii="Times New Roman" w:hAnsi="Times New Roman" w:cs="Times New Roman"/>
          <w:b/>
        </w:rPr>
        <w:t>D</w:t>
      </w:r>
      <w:r w:rsidRPr="001150B3">
        <w:rPr>
          <w:rFonts w:ascii="Times New Roman" w:hAnsi="Times New Roman" w:cs="Times New Roman"/>
          <w:b/>
        </w:rPr>
        <w:tab/>
        <w:t>Positive Action</w:t>
      </w:r>
    </w:p>
    <w:p w14:paraId="3F85F3B0" w14:textId="77777777" w:rsidR="0010772C" w:rsidRDefault="0010772C" w:rsidP="001C48FB">
      <w:pPr>
        <w:spacing w:line="480" w:lineRule="auto"/>
        <w:rPr>
          <w:rFonts w:ascii="Times New Roman" w:hAnsi="Times New Roman" w:cs="Times New Roman"/>
        </w:rPr>
      </w:pPr>
    </w:p>
    <w:p w14:paraId="34303CBE" w14:textId="735B10E1" w:rsidR="001C48FB" w:rsidRDefault="001C48FB" w:rsidP="001C48FB">
      <w:pPr>
        <w:spacing w:line="480" w:lineRule="auto"/>
        <w:rPr>
          <w:rFonts w:ascii="Times New Roman" w:hAnsi="Times New Roman" w:cs="Times New Roman"/>
        </w:rPr>
      </w:pPr>
      <w:r>
        <w:rPr>
          <w:rFonts w:ascii="Times New Roman" w:hAnsi="Times New Roman" w:cs="Times New Roman"/>
        </w:rPr>
        <w:t>The final mechanism that might be of use to the charity</w:t>
      </w:r>
      <w:r w:rsidR="00C96119">
        <w:rPr>
          <w:rFonts w:ascii="Times New Roman" w:hAnsi="Times New Roman" w:cs="Times New Roman"/>
        </w:rPr>
        <w:t xml:space="preserve"> in trying to limit its services</w:t>
      </w:r>
      <w:r>
        <w:rPr>
          <w:rFonts w:ascii="Times New Roman" w:hAnsi="Times New Roman" w:cs="Times New Roman"/>
        </w:rPr>
        <w:t xml:space="preserve"> is positive action. </w:t>
      </w:r>
      <w:r w:rsidR="001150B3">
        <w:rPr>
          <w:rFonts w:ascii="Times New Roman" w:hAnsi="Times New Roman" w:cs="Times New Roman"/>
        </w:rPr>
        <w:t xml:space="preserve">Positive action may be used when a group defined by one or more protected characteristics are disadvantaged or subject to systematic discrimination. </w:t>
      </w:r>
      <w:r>
        <w:rPr>
          <w:rFonts w:ascii="Times New Roman" w:hAnsi="Times New Roman" w:cs="Times New Roman"/>
        </w:rPr>
        <w:t>Positive action is allowable under the Equality Act if it is reasonably though</w:t>
      </w:r>
      <w:r w:rsidR="00902BA7">
        <w:rPr>
          <w:rFonts w:ascii="Times New Roman" w:hAnsi="Times New Roman" w:cs="Times New Roman"/>
        </w:rPr>
        <w:t>t</w:t>
      </w:r>
      <w:r>
        <w:rPr>
          <w:rFonts w:ascii="Times New Roman" w:hAnsi="Times New Roman" w:cs="Times New Roman"/>
        </w:rPr>
        <w:t xml:space="preserve"> that persons who share a protected characteristic are disadvantaged in a way linked to the protected characteristic, if persons who share a protected characteristic have needs that are different from the needs of those who do not share it, or where participation is particularly low on the part of those who </w:t>
      </w:r>
      <w:r>
        <w:rPr>
          <w:rFonts w:ascii="Times New Roman" w:hAnsi="Times New Roman" w:cs="Times New Roman"/>
        </w:rPr>
        <w:lastRenderedPageBreak/>
        <w:t>share a protected characteristic.</w:t>
      </w:r>
      <w:r>
        <w:rPr>
          <w:rStyle w:val="FootnoteReference"/>
          <w:rFonts w:ascii="Times New Roman" w:hAnsi="Times New Roman" w:cs="Times New Roman"/>
        </w:rPr>
        <w:footnoteReference w:id="89"/>
      </w:r>
      <w:r>
        <w:rPr>
          <w:rFonts w:ascii="Times New Roman" w:hAnsi="Times New Roman" w:cs="Times New Roman"/>
        </w:rPr>
        <w:t xml:space="preserve"> </w:t>
      </w:r>
      <w:r w:rsidR="001150B3">
        <w:rPr>
          <w:rFonts w:ascii="Times New Roman" w:hAnsi="Times New Roman" w:cs="Times New Roman"/>
        </w:rPr>
        <w:t>In those instances, members of the group who share the protected characteristic may be treated more favourably than others in order to enable them to overcome or minimise the disadvantage, to meet the needs, or to increase participation, so long as this is a proportionate means of achieving a legitimate aim.</w:t>
      </w:r>
      <w:r w:rsidR="001150B3">
        <w:rPr>
          <w:rStyle w:val="FootnoteReference"/>
          <w:rFonts w:ascii="Times New Roman" w:hAnsi="Times New Roman" w:cs="Times New Roman"/>
        </w:rPr>
        <w:footnoteReference w:id="90"/>
      </w:r>
      <w:r w:rsidR="001150B3">
        <w:rPr>
          <w:rFonts w:ascii="Times New Roman" w:hAnsi="Times New Roman" w:cs="Times New Roman"/>
        </w:rPr>
        <w:t xml:space="preserve"> </w:t>
      </w:r>
    </w:p>
    <w:p w14:paraId="07A3815A" w14:textId="77777777" w:rsidR="0010772C" w:rsidRDefault="0010772C" w:rsidP="001C48FB">
      <w:pPr>
        <w:spacing w:line="480" w:lineRule="auto"/>
        <w:rPr>
          <w:rFonts w:ascii="Times New Roman" w:hAnsi="Times New Roman" w:cs="Times New Roman"/>
        </w:rPr>
      </w:pPr>
    </w:p>
    <w:p w14:paraId="1A4055A4" w14:textId="7D412886" w:rsidR="00DF6826" w:rsidRDefault="001150B3" w:rsidP="00DF6826">
      <w:pPr>
        <w:spacing w:line="480" w:lineRule="auto"/>
        <w:ind w:firstLine="720"/>
        <w:rPr>
          <w:rFonts w:ascii="Times New Roman" w:hAnsi="Times New Roman" w:cs="Times New Roman"/>
        </w:rPr>
      </w:pPr>
      <w:r w:rsidRPr="00004886">
        <w:rPr>
          <w:rFonts w:ascii="Times New Roman" w:hAnsi="Times New Roman" w:cs="Times New Roman"/>
        </w:rPr>
        <w:t>Due to the essentially symmetrical nature of the equality law in the UK, there were few opportunities for positive action, compared with that allowable in the United States and in other EU member states, until quite recently.</w:t>
      </w:r>
      <w:r w:rsidRPr="00004886">
        <w:rPr>
          <w:rStyle w:val="FootnoteReference"/>
          <w:rFonts w:ascii="Times New Roman" w:hAnsi="Times New Roman" w:cs="Times New Roman"/>
        </w:rPr>
        <w:footnoteReference w:id="91"/>
      </w:r>
      <w:r w:rsidRPr="00004886">
        <w:rPr>
          <w:rFonts w:ascii="Times New Roman" w:hAnsi="Times New Roman" w:cs="Times New Roman"/>
        </w:rPr>
        <w:t xml:space="preserve"> </w:t>
      </w:r>
      <w:r w:rsidR="00DF6826">
        <w:rPr>
          <w:rFonts w:ascii="Times New Roman" w:hAnsi="Times New Roman" w:cs="Times New Roman"/>
        </w:rPr>
        <w:t>Positi</w:t>
      </w:r>
      <w:r w:rsidR="00902BA7">
        <w:rPr>
          <w:rFonts w:ascii="Times New Roman" w:hAnsi="Times New Roman" w:cs="Times New Roman"/>
        </w:rPr>
        <w:t>ve action is limited in scope. As it</w:t>
      </w:r>
      <w:r w:rsidR="00DF6826">
        <w:rPr>
          <w:rFonts w:ascii="Times New Roman" w:hAnsi="Times New Roman" w:cs="Times New Roman"/>
        </w:rPr>
        <w:t xml:space="preserve"> must be ‘reasonably thought’</w:t>
      </w:r>
      <w:r w:rsidR="00902BA7">
        <w:rPr>
          <w:rFonts w:ascii="Times New Roman" w:hAnsi="Times New Roman" w:cs="Times New Roman"/>
        </w:rPr>
        <w:t>,</w:t>
      </w:r>
      <w:r w:rsidR="00DF6826">
        <w:rPr>
          <w:rFonts w:ascii="Times New Roman" w:hAnsi="Times New Roman" w:cs="Times New Roman"/>
        </w:rPr>
        <w:t xml:space="preserve"> there must be some evidentiary basis for the determination that a particular group needs to be privileged over others. Positive action also must be time limited, so a charity could not rely on this as </w:t>
      </w:r>
      <w:r w:rsidR="00902BA7">
        <w:rPr>
          <w:rFonts w:ascii="Times New Roman" w:hAnsi="Times New Roman" w:cs="Times New Roman"/>
        </w:rPr>
        <w:t>to allow</w:t>
      </w:r>
      <w:r w:rsidR="00DF6826">
        <w:rPr>
          <w:rFonts w:ascii="Times New Roman" w:hAnsi="Times New Roman" w:cs="Times New Roman"/>
        </w:rPr>
        <w:t xml:space="preserve"> the discrimination forever. Finally, if the positive action </w:t>
      </w:r>
      <w:r w:rsidR="00D51963">
        <w:rPr>
          <w:rFonts w:ascii="Times New Roman" w:hAnsi="Times New Roman" w:cs="Times New Roman"/>
        </w:rPr>
        <w:t xml:space="preserve">has </w:t>
      </w:r>
      <w:r w:rsidR="00DF6826">
        <w:rPr>
          <w:rFonts w:ascii="Times New Roman" w:hAnsi="Times New Roman" w:cs="Times New Roman"/>
        </w:rPr>
        <w:t xml:space="preserve">been pursued for a period of time and there is no improvement in the situation of the disadvantaged group, then it is likely that the positive action would be viewed as </w:t>
      </w:r>
      <w:r w:rsidR="00902BA7">
        <w:rPr>
          <w:rFonts w:ascii="Times New Roman" w:hAnsi="Times New Roman" w:cs="Times New Roman"/>
        </w:rPr>
        <w:t xml:space="preserve">a </w:t>
      </w:r>
      <w:r w:rsidR="00DF6826">
        <w:rPr>
          <w:rFonts w:ascii="Times New Roman" w:hAnsi="Times New Roman" w:cs="Times New Roman"/>
        </w:rPr>
        <w:t xml:space="preserve">less </w:t>
      </w:r>
      <w:r w:rsidR="00D51963">
        <w:rPr>
          <w:rFonts w:ascii="Times New Roman" w:hAnsi="Times New Roman" w:cs="Times New Roman"/>
        </w:rPr>
        <w:t xml:space="preserve">than </w:t>
      </w:r>
      <w:r w:rsidR="00DF6826">
        <w:rPr>
          <w:rFonts w:ascii="Times New Roman" w:hAnsi="Times New Roman" w:cs="Times New Roman"/>
        </w:rPr>
        <w:t>proportionate</w:t>
      </w:r>
      <w:r w:rsidR="00902BA7">
        <w:rPr>
          <w:rFonts w:ascii="Times New Roman" w:hAnsi="Times New Roman" w:cs="Times New Roman"/>
        </w:rPr>
        <w:t xml:space="preserve"> response and therefore not justifiable</w:t>
      </w:r>
      <w:r w:rsidR="00DF6826">
        <w:rPr>
          <w:rFonts w:ascii="Times New Roman" w:hAnsi="Times New Roman" w:cs="Times New Roman"/>
        </w:rPr>
        <w:t xml:space="preserve">. </w:t>
      </w:r>
    </w:p>
    <w:p w14:paraId="47BC8A86" w14:textId="77777777" w:rsidR="0046688B" w:rsidRDefault="0046688B" w:rsidP="00DF6826">
      <w:pPr>
        <w:spacing w:line="480" w:lineRule="auto"/>
        <w:ind w:firstLine="720"/>
        <w:rPr>
          <w:rFonts w:ascii="Times New Roman" w:hAnsi="Times New Roman" w:cs="Times New Roman"/>
        </w:rPr>
      </w:pPr>
    </w:p>
    <w:p w14:paraId="0FB93535" w14:textId="2B7F21C6" w:rsidR="001150B3" w:rsidRDefault="00DF6826" w:rsidP="00DC7638">
      <w:pPr>
        <w:spacing w:line="480" w:lineRule="auto"/>
        <w:ind w:firstLine="720"/>
        <w:rPr>
          <w:rFonts w:ascii="Times New Roman" w:hAnsi="Times New Roman" w:cs="Times New Roman"/>
        </w:rPr>
      </w:pPr>
      <w:r>
        <w:rPr>
          <w:rFonts w:ascii="Times New Roman" w:hAnsi="Times New Roman" w:cs="Times New Roman"/>
        </w:rPr>
        <w:t xml:space="preserve">Positive action is unlikely to be very helpful for the hypothetical charity. </w:t>
      </w:r>
      <w:r w:rsidR="00DC7638">
        <w:rPr>
          <w:rFonts w:ascii="Times New Roman" w:hAnsi="Times New Roman" w:cs="Times New Roman"/>
        </w:rPr>
        <w:t>A greater need for the services of counselling might be viewed as a disadvantage linked to the protected characteristic of sex</w:t>
      </w:r>
      <w:r w:rsidR="00C96119">
        <w:rPr>
          <w:rFonts w:ascii="Times New Roman" w:hAnsi="Times New Roman" w:cs="Times New Roman"/>
        </w:rPr>
        <w:t>, as women are more likely to be subject to domestic violence</w:t>
      </w:r>
      <w:r w:rsidR="00DC7638">
        <w:rPr>
          <w:rFonts w:ascii="Times New Roman" w:hAnsi="Times New Roman" w:cs="Times New Roman"/>
        </w:rPr>
        <w:t>. It is</w:t>
      </w:r>
      <w:r w:rsidR="00D51963">
        <w:rPr>
          <w:rFonts w:ascii="Times New Roman" w:hAnsi="Times New Roman" w:cs="Times New Roman"/>
        </w:rPr>
        <w:t>, however,</w:t>
      </w:r>
      <w:r w:rsidR="00DC7638">
        <w:rPr>
          <w:rFonts w:ascii="Times New Roman" w:hAnsi="Times New Roman" w:cs="Times New Roman"/>
        </w:rPr>
        <w:t xml:space="preserve"> also a disadvantage linked to the protected characteristic of gender reassignment. Again, it would not be proportionate to exclude </w:t>
      </w:r>
      <w:r w:rsidR="007666F0">
        <w:rPr>
          <w:rFonts w:ascii="Times New Roman" w:hAnsi="Times New Roman" w:cs="Times New Roman"/>
        </w:rPr>
        <w:t>transgender</w:t>
      </w:r>
      <w:r w:rsidR="00DC7638">
        <w:rPr>
          <w:rFonts w:ascii="Times New Roman" w:hAnsi="Times New Roman" w:cs="Times New Roman"/>
        </w:rPr>
        <w:t xml:space="preserve"> women to compensate for this disadvantage. </w:t>
      </w:r>
    </w:p>
    <w:p w14:paraId="473F6B9E" w14:textId="77777777" w:rsidR="0046688B" w:rsidRPr="00004886" w:rsidRDefault="0046688B" w:rsidP="00DC7638">
      <w:pPr>
        <w:spacing w:line="480" w:lineRule="auto"/>
        <w:ind w:firstLine="720"/>
        <w:rPr>
          <w:rFonts w:ascii="Times New Roman" w:hAnsi="Times New Roman" w:cs="Times New Roman"/>
        </w:rPr>
      </w:pPr>
    </w:p>
    <w:p w14:paraId="4C65BD09" w14:textId="5FACA1CC" w:rsidR="00EC22D4" w:rsidRPr="00004886" w:rsidRDefault="00EC22D4" w:rsidP="00004886">
      <w:pPr>
        <w:spacing w:line="480" w:lineRule="auto"/>
        <w:rPr>
          <w:rFonts w:ascii="Times New Roman" w:hAnsi="Times New Roman" w:cs="Times New Roman"/>
          <w:b/>
        </w:rPr>
      </w:pPr>
      <w:r w:rsidRPr="00004886">
        <w:rPr>
          <w:rFonts w:ascii="Times New Roman" w:hAnsi="Times New Roman" w:cs="Times New Roman"/>
          <w:b/>
        </w:rPr>
        <w:t>IV</w:t>
      </w:r>
      <w:r w:rsidRPr="00004886">
        <w:rPr>
          <w:rFonts w:ascii="Times New Roman" w:hAnsi="Times New Roman" w:cs="Times New Roman"/>
          <w:b/>
        </w:rPr>
        <w:tab/>
        <w:t>When should charities be able to discriminate?</w:t>
      </w:r>
    </w:p>
    <w:p w14:paraId="02DD7DA9" w14:textId="0D6FDBFB" w:rsidR="006D41A2" w:rsidRDefault="00D51963" w:rsidP="00004886">
      <w:pPr>
        <w:spacing w:line="480" w:lineRule="auto"/>
        <w:rPr>
          <w:rFonts w:ascii="Times New Roman" w:hAnsi="Times New Roman" w:cs="Times New Roman"/>
        </w:rPr>
      </w:pPr>
      <w:r>
        <w:rPr>
          <w:rFonts w:ascii="Times New Roman" w:hAnsi="Times New Roman" w:cs="Times New Roman"/>
        </w:rPr>
        <w:lastRenderedPageBreak/>
        <w:t>T</w:t>
      </w:r>
      <w:r w:rsidR="00A86DDA" w:rsidRPr="00004886">
        <w:rPr>
          <w:rFonts w:ascii="Times New Roman" w:hAnsi="Times New Roman" w:cs="Times New Roman"/>
        </w:rPr>
        <w:t xml:space="preserve">he complicated interaction between charity law and equality law </w:t>
      </w:r>
      <w:r>
        <w:rPr>
          <w:rFonts w:ascii="Times New Roman" w:hAnsi="Times New Roman" w:cs="Times New Roman"/>
        </w:rPr>
        <w:t xml:space="preserve">is illustrated </w:t>
      </w:r>
      <w:r w:rsidR="00A86DDA" w:rsidRPr="00004886">
        <w:rPr>
          <w:rFonts w:ascii="Times New Roman" w:hAnsi="Times New Roman" w:cs="Times New Roman"/>
        </w:rPr>
        <w:t xml:space="preserve">by the case study. </w:t>
      </w:r>
      <w:r w:rsidR="00902BA7">
        <w:rPr>
          <w:rFonts w:ascii="Times New Roman" w:hAnsi="Times New Roman" w:cs="Times New Roman"/>
        </w:rPr>
        <w:t xml:space="preserve">Much of the discussion involved calculating when discrimination is proportionate and therefore objectively justifiable. These calculations may be informed by reference </w:t>
      </w:r>
      <w:r>
        <w:rPr>
          <w:rFonts w:ascii="Times New Roman" w:hAnsi="Times New Roman" w:cs="Times New Roman"/>
        </w:rPr>
        <w:t>t</w:t>
      </w:r>
      <w:r w:rsidR="00902BA7">
        <w:rPr>
          <w:rFonts w:ascii="Times New Roman" w:hAnsi="Times New Roman" w:cs="Times New Roman"/>
        </w:rPr>
        <w:t xml:space="preserve">o the principles underpinning equality and anti-discrimination law. </w:t>
      </w:r>
      <w:r w:rsidR="00A86DDA" w:rsidRPr="00004886">
        <w:rPr>
          <w:rFonts w:ascii="Times New Roman" w:hAnsi="Times New Roman" w:cs="Times New Roman"/>
        </w:rPr>
        <w:t xml:space="preserve">In this section I will address when </w:t>
      </w:r>
      <w:r w:rsidR="0060053C" w:rsidRPr="00004886">
        <w:rPr>
          <w:rFonts w:ascii="Times New Roman" w:hAnsi="Times New Roman" w:cs="Times New Roman"/>
        </w:rPr>
        <w:t xml:space="preserve">it should be lawful for charities to discriminate. </w:t>
      </w:r>
    </w:p>
    <w:p w14:paraId="1756E56E" w14:textId="77777777" w:rsidR="0046688B" w:rsidRDefault="0046688B" w:rsidP="00004886">
      <w:pPr>
        <w:spacing w:line="480" w:lineRule="auto"/>
        <w:rPr>
          <w:rFonts w:ascii="Times New Roman" w:hAnsi="Times New Roman" w:cs="Times New Roman"/>
        </w:rPr>
      </w:pPr>
    </w:p>
    <w:p w14:paraId="716EA39E" w14:textId="142A6AA0" w:rsidR="00902BA7" w:rsidRPr="00902BA7" w:rsidRDefault="00902BA7" w:rsidP="00004886">
      <w:pPr>
        <w:spacing w:line="480" w:lineRule="auto"/>
        <w:rPr>
          <w:rFonts w:ascii="Times New Roman" w:hAnsi="Times New Roman" w:cs="Times New Roman"/>
          <w:b/>
        </w:rPr>
      </w:pPr>
      <w:r w:rsidRPr="00902BA7">
        <w:rPr>
          <w:rFonts w:ascii="Times New Roman" w:hAnsi="Times New Roman" w:cs="Times New Roman"/>
          <w:b/>
        </w:rPr>
        <w:t>A</w:t>
      </w:r>
      <w:r w:rsidRPr="00902BA7">
        <w:rPr>
          <w:rFonts w:ascii="Times New Roman" w:hAnsi="Times New Roman" w:cs="Times New Roman"/>
          <w:b/>
        </w:rPr>
        <w:tab/>
        <w:t>What about Public Benefit?</w:t>
      </w:r>
    </w:p>
    <w:p w14:paraId="01D85FC6" w14:textId="77777777" w:rsidR="0046688B" w:rsidRDefault="0046688B" w:rsidP="0046688B">
      <w:pPr>
        <w:spacing w:line="480" w:lineRule="auto"/>
        <w:rPr>
          <w:rFonts w:ascii="Times New Roman" w:hAnsi="Times New Roman" w:cs="Times New Roman"/>
        </w:rPr>
      </w:pPr>
    </w:p>
    <w:p w14:paraId="4800EFBF" w14:textId="6091FB01" w:rsidR="00A86DDA" w:rsidRDefault="006D41A2" w:rsidP="0046688B">
      <w:pPr>
        <w:spacing w:line="480" w:lineRule="auto"/>
        <w:rPr>
          <w:rFonts w:ascii="Times New Roman" w:hAnsi="Times New Roman" w:cs="Times New Roman"/>
        </w:rPr>
      </w:pPr>
      <w:r w:rsidRPr="00004886">
        <w:rPr>
          <w:rFonts w:ascii="Times New Roman" w:hAnsi="Times New Roman" w:cs="Times New Roman"/>
        </w:rPr>
        <w:t>All charities must act exclusively in the public benefit. It is generally agreed that discrimination causes public harm, and the public is benefitted by the promotion of diversity. How, then, can it be in the public benefit for a charity to discriminate? Government rejected an opportunity to link public benefit and a lack of discrimination in the charity law reform process that led up to the passage of the Charities Act 2006.</w:t>
      </w:r>
      <w:r w:rsidRPr="00004886">
        <w:rPr>
          <w:rStyle w:val="FootnoteReference"/>
          <w:rFonts w:ascii="Times New Roman" w:hAnsi="Times New Roman" w:cs="Times New Roman"/>
        </w:rPr>
        <w:footnoteReference w:id="92"/>
      </w:r>
      <w:r w:rsidRPr="00004886">
        <w:rPr>
          <w:rFonts w:ascii="Times New Roman" w:hAnsi="Times New Roman" w:cs="Times New Roman"/>
        </w:rPr>
        <w:t xml:space="preserve">  Could a charity that fails to justify its discrimination be in the public benefit? The indication is no. The Charity Commission will consider the impact of any restriction in a charitable instrument and whether it can be justified in determining whether a charity passes the public benefit test.</w:t>
      </w:r>
      <w:r w:rsidRPr="00004886">
        <w:rPr>
          <w:rStyle w:val="FootnoteReference"/>
          <w:rFonts w:ascii="Times New Roman" w:hAnsi="Times New Roman" w:cs="Times New Roman"/>
        </w:rPr>
        <w:footnoteReference w:id="93"/>
      </w:r>
      <w:r w:rsidRPr="00004886">
        <w:rPr>
          <w:rFonts w:ascii="Times New Roman" w:hAnsi="Times New Roman" w:cs="Times New Roman"/>
        </w:rPr>
        <w:t xml:space="preserve"> If the class of persons to benefit is unreasonably restricted then it will not constitute ‘a section of the public’ and will</w:t>
      </w:r>
      <w:r w:rsidR="0046688B">
        <w:rPr>
          <w:rFonts w:ascii="Times New Roman" w:hAnsi="Times New Roman" w:cs="Times New Roman"/>
        </w:rPr>
        <w:t>,</w:t>
      </w:r>
      <w:r w:rsidRPr="00004886">
        <w:rPr>
          <w:rFonts w:ascii="Times New Roman" w:hAnsi="Times New Roman" w:cs="Times New Roman"/>
        </w:rPr>
        <w:t xml:space="preserve"> therefore</w:t>
      </w:r>
      <w:r w:rsidR="0046688B">
        <w:rPr>
          <w:rFonts w:ascii="Times New Roman" w:hAnsi="Times New Roman" w:cs="Times New Roman"/>
        </w:rPr>
        <w:t>,</w:t>
      </w:r>
      <w:r w:rsidRPr="00004886">
        <w:rPr>
          <w:rFonts w:ascii="Times New Roman" w:hAnsi="Times New Roman" w:cs="Times New Roman"/>
        </w:rPr>
        <w:t xml:space="preserve"> not be in the public benefit. In its guidance for charities on the Equality Act</w:t>
      </w:r>
      <w:r w:rsidR="00B05EC7">
        <w:rPr>
          <w:rFonts w:ascii="Times New Roman" w:hAnsi="Times New Roman" w:cs="Times New Roman"/>
        </w:rPr>
        <w:t>,</w:t>
      </w:r>
      <w:r w:rsidRPr="00004886">
        <w:rPr>
          <w:rFonts w:ascii="Times New Roman" w:hAnsi="Times New Roman" w:cs="Times New Roman"/>
        </w:rPr>
        <w:t xml:space="preserve"> the Commission conflates the Equality Act requirements and public benefit. If a would-be charity is unable to justify discrimination based upon a protected characteristic under s 193, the Commission may not be able to register the organisation, ‘as it is unlikely to be able to show that it is for the public benefit.’</w:t>
      </w:r>
      <w:r w:rsidRPr="00004886">
        <w:rPr>
          <w:rStyle w:val="FootnoteReference"/>
          <w:rFonts w:ascii="Times New Roman" w:hAnsi="Times New Roman" w:cs="Times New Roman"/>
        </w:rPr>
        <w:footnoteReference w:id="94"/>
      </w:r>
      <w:r w:rsidRPr="00004886">
        <w:rPr>
          <w:rFonts w:ascii="Times New Roman" w:hAnsi="Times New Roman" w:cs="Times New Roman"/>
        </w:rPr>
        <w:t xml:space="preserve"> This is the same argument that EHRC made </w:t>
      </w:r>
      <w:r w:rsidRPr="00004886">
        <w:rPr>
          <w:rFonts w:ascii="Times New Roman" w:hAnsi="Times New Roman" w:cs="Times New Roman"/>
        </w:rPr>
        <w:lastRenderedPageBreak/>
        <w:t>in its intervention in the Catholic Care litigation.</w:t>
      </w:r>
      <w:r w:rsidRPr="00004886">
        <w:rPr>
          <w:rStyle w:val="FootnoteReference"/>
          <w:rFonts w:ascii="Times New Roman" w:hAnsi="Times New Roman" w:cs="Times New Roman"/>
        </w:rPr>
        <w:footnoteReference w:id="95"/>
      </w:r>
      <w:r w:rsidRPr="00004886">
        <w:rPr>
          <w:rFonts w:ascii="Times New Roman" w:hAnsi="Times New Roman" w:cs="Times New Roman"/>
        </w:rPr>
        <w:t xml:space="preserve"> Although the Tribunal was not inclined to accept this submission, </w:t>
      </w:r>
      <w:r w:rsidR="00B05EC7">
        <w:rPr>
          <w:rFonts w:ascii="Times New Roman" w:hAnsi="Times New Roman" w:cs="Times New Roman"/>
        </w:rPr>
        <w:t>it</w:t>
      </w:r>
      <w:r w:rsidRPr="00004886">
        <w:rPr>
          <w:rFonts w:ascii="Times New Roman" w:hAnsi="Times New Roman" w:cs="Times New Roman"/>
        </w:rPr>
        <w:t xml:space="preserve"> seems a logical position. The argument is rather circular, however. </w:t>
      </w:r>
      <w:r w:rsidR="00060857" w:rsidRPr="00004886">
        <w:rPr>
          <w:rFonts w:ascii="Times New Roman" w:hAnsi="Times New Roman" w:cs="Times New Roman"/>
        </w:rPr>
        <w:t xml:space="preserve">If a would-be charity cannot satisfy section 193 to justify its discrimination, then it is not acting in the public benefit. </w:t>
      </w:r>
      <w:r w:rsidRPr="00004886">
        <w:rPr>
          <w:rFonts w:ascii="Times New Roman" w:hAnsi="Times New Roman" w:cs="Times New Roman"/>
        </w:rPr>
        <w:t xml:space="preserve">If an entity does not meet the public benefit test then it is not a charity, and cannot rely on s 193 to justify the discrimination. </w:t>
      </w:r>
      <w:r w:rsidR="00902BA7">
        <w:rPr>
          <w:rFonts w:ascii="Times New Roman" w:hAnsi="Times New Roman" w:cs="Times New Roman"/>
        </w:rPr>
        <w:t xml:space="preserve">At any rate, reference to public benefit does not provide much in the way of insight into when this discrimination could be in the public benefit. </w:t>
      </w:r>
    </w:p>
    <w:p w14:paraId="5B5740F5" w14:textId="77777777" w:rsidR="0046688B" w:rsidRPr="00004886" w:rsidRDefault="0046688B" w:rsidP="0046688B">
      <w:pPr>
        <w:spacing w:line="480" w:lineRule="auto"/>
        <w:rPr>
          <w:rFonts w:ascii="Times New Roman" w:hAnsi="Times New Roman" w:cs="Times New Roman"/>
        </w:rPr>
      </w:pPr>
    </w:p>
    <w:p w14:paraId="2731EBFF" w14:textId="154C3449" w:rsidR="00060857" w:rsidRDefault="00902BA7" w:rsidP="00004886">
      <w:pPr>
        <w:spacing w:line="480" w:lineRule="auto"/>
        <w:rPr>
          <w:rFonts w:ascii="Times New Roman" w:hAnsi="Times New Roman" w:cs="Times New Roman"/>
          <w:b/>
        </w:rPr>
      </w:pPr>
      <w:r>
        <w:rPr>
          <w:rFonts w:ascii="Times New Roman" w:hAnsi="Times New Roman" w:cs="Times New Roman"/>
          <w:b/>
        </w:rPr>
        <w:t>B</w:t>
      </w:r>
      <w:r w:rsidR="00A86DDA" w:rsidRPr="00004886">
        <w:rPr>
          <w:rFonts w:ascii="Times New Roman" w:hAnsi="Times New Roman" w:cs="Times New Roman"/>
          <w:b/>
        </w:rPr>
        <w:tab/>
      </w:r>
      <w:r>
        <w:rPr>
          <w:rFonts w:ascii="Times New Roman" w:hAnsi="Times New Roman" w:cs="Times New Roman"/>
          <w:b/>
        </w:rPr>
        <w:t>Principles of</w:t>
      </w:r>
      <w:r w:rsidR="00A86DDA" w:rsidRPr="00004886">
        <w:rPr>
          <w:rFonts w:ascii="Times New Roman" w:hAnsi="Times New Roman" w:cs="Times New Roman"/>
          <w:b/>
        </w:rPr>
        <w:t xml:space="preserve"> equality </w:t>
      </w:r>
      <w:r>
        <w:rPr>
          <w:rFonts w:ascii="Times New Roman" w:hAnsi="Times New Roman" w:cs="Times New Roman"/>
          <w:b/>
        </w:rPr>
        <w:t xml:space="preserve">law </w:t>
      </w:r>
    </w:p>
    <w:p w14:paraId="277E836D" w14:textId="77777777" w:rsidR="0046688B" w:rsidRPr="00004886" w:rsidRDefault="0046688B" w:rsidP="00004886">
      <w:pPr>
        <w:spacing w:line="480" w:lineRule="auto"/>
        <w:rPr>
          <w:rFonts w:ascii="Times New Roman" w:hAnsi="Times New Roman" w:cs="Times New Roman"/>
          <w:b/>
        </w:rPr>
      </w:pPr>
    </w:p>
    <w:p w14:paraId="533D2708" w14:textId="77777777" w:rsidR="00060857" w:rsidRPr="00004886" w:rsidRDefault="00060857" w:rsidP="00004886">
      <w:pPr>
        <w:spacing w:line="480" w:lineRule="auto"/>
        <w:rPr>
          <w:rFonts w:ascii="Times New Roman" w:hAnsi="Times New Roman" w:cs="Times New Roman"/>
        </w:rPr>
      </w:pPr>
      <w:r w:rsidRPr="00004886">
        <w:rPr>
          <w:rFonts w:ascii="Times New Roman" w:hAnsi="Times New Roman" w:cs="Times New Roman"/>
        </w:rPr>
        <w:t xml:space="preserve">When considering what the limits should be for when charitable discrimination can be justified, it may be useful to consider the theoretical underpinnings for equality law. If we can situate the sort of specialisation that charities undertake within equality law, then we may gain some insight into when these activities are objectively justifiable discrimination. </w:t>
      </w:r>
    </w:p>
    <w:p w14:paraId="1AD4FEE2" w14:textId="0B1AD600" w:rsidR="00004886" w:rsidRPr="00004886" w:rsidRDefault="00A86DDA" w:rsidP="00004886">
      <w:pPr>
        <w:spacing w:line="480" w:lineRule="auto"/>
        <w:rPr>
          <w:rFonts w:ascii="Times New Roman" w:eastAsiaTheme="minorHAnsi" w:hAnsi="Times New Roman" w:cs="Times New Roman"/>
          <w:lang w:eastAsia="en-US"/>
        </w:rPr>
      </w:pPr>
      <w:r w:rsidRPr="00004886">
        <w:rPr>
          <w:rFonts w:ascii="Times New Roman" w:hAnsi="Times New Roman" w:cs="Times New Roman"/>
        </w:rPr>
        <w:t>Although a right to equality ‘is a central commitment in human rights law … the meaning of the right to equality is deeply contested.’</w:t>
      </w:r>
      <w:r w:rsidR="00004886" w:rsidRPr="00004886">
        <w:rPr>
          <w:rStyle w:val="FootnoteReference"/>
          <w:rFonts w:ascii="Times New Roman" w:hAnsi="Times New Roman" w:cs="Times New Roman"/>
        </w:rPr>
        <w:t xml:space="preserve"> </w:t>
      </w:r>
      <w:r w:rsidR="00004886" w:rsidRPr="00004886">
        <w:rPr>
          <w:rStyle w:val="FootnoteReference"/>
          <w:rFonts w:ascii="Times New Roman" w:hAnsi="Times New Roman" w:cs="Times New Roman"/>
        </w:rPr>
        <w:footnoteReference w:id="96"/>
      </w:r>
      <w:r w:rsidRPr="00004886">
        <w:rPr>
          <w:rFonts w:ascii="Times New Roman" w:hAnsi="Times New Roman" w:cs="Times New Roman"/>
        </w:rPr>
        <w:t xml:space="preserve">  There is reasonably broad agreement that such a right must involve more than formal equality – the Aristotelian conception of treating like cases alike. Barnard and Hepple describe this as ‘a notion of procedural justice which does not gua</w:t>
      </w:r>
      <w:r w:rsidR="00004886" w:rsidRPr="00004886">
        <w:rPr>
          <w:rFonts w:ascii="Times New Roman" w:hAnsi="Times New Roman" w:cs="Times New Roman"/>
        </w:rPr>
        <w:t>rantee any particular outcome.’</w:t>
      </w:r>
      <w:r w:rsidR="00004886" w:rsidRPr="00004886">
        <w:rPr>
          <w:rStyle w:val="FootnoteReference"/>
          <w:rFonts w:ascii="Times New Roman" w:hAnsi="Times New Roman" w:cs="Times New Roman"/>
        </w:rPr>
        <w:footnoteReference w:id="97"/>
      </w:r>
      <w:r w:rsidRPr="00004886">
        <w:rPr>
          <w:rFonts w:ascii="Times New Roman" w:hAnsi="Times New Roman" w:cs="Times New Roman"/>
        </w:rPr>
        <w:t xml:space="preserve"> A person or entity in a position of power would be free to treat both men and women, for example, equally poorly – there is no normative power in the term beyond the idea of intergroup fairness.</w:t>
      </w:r>
      <w:r w:rsidR="00004886" w:rsidRPr="00004886">
        <w:rPr>
          <w:rStyle w:val="FootnoteReference"/>
          <w:rFonts w:ascii="Times New Roman" w:hAnsi="Times New Roman" w:cs="Times New Roman"/>
        </w:rPr>
        <w:t xml:space="preserve"> </w:t>
      </w:r>
      <w:r w:rsidR="00004886" w:rsidRPr="00004886">
        <w:rPr>
          <w:rStyle w:val="FootnoteReference"/>
          <w:rFonts w:ascii="Times New Roman" w:hAnsi="Times New Roman" w:cs="Times New Roman"/>
        </w:rPr>
        <w:footnoteReference w:id="98"/>
      </w:r>
      <w:r w:rsidRPr="00004886">
        <w:rPr>
          <w:rFonts w:ascii="Times New Roman" w:hAnsi="Times New Roman" w:cs="Times New Roman"/>
        </w:rPr>
        <w:t xml:space="preserve">  </w:t>
      </w:r>
      <w:r w:rsidR="00060857" w:rsidRPr="00004886">
        <w:rPr>
          <w:rFonts w:ascii="Times New Roman" w:eastAsiaTheme="minorHAnsi" w:hAnsi="Times New Roman" w:cs="Times New Roman"/>
          <w:lang w:eastAsia="en-US"/>
        </w:rPr>
        <w:t xml:space="preserve">This problem arises, at least in part, because of the largely symmetrical nature of English equality law, where once a </w:t>
      </w:r>
      <w:r w:rsidR="00060857" w:rsidRPr="00004886">
        <w:rPr>
          <w:rFonts w:ascii="Times New Roman" w:eastAsiaTheme="minorHAnsi" w:hAnsi="Times New Roman" w:cs="Times New Roman"/>
          <w:lang w:eastAsia="en-US"/>
        </w:rPr>
        <w:lastRenderedPageBreak/>
        <w:t xml:space="preserve">characteristic is identified as worthy of protection from discrimination, all groups are protected from discrimination based upon that trait. </w:t>
      </w:r>
      <w:r w:rsidR="00060857" w:rsidRPr="00004886">
        <w:rPr>
          <w:rFonts w:ascii="Times New Roman" w:hAnsi="Times New Roman" w:cs="Times New Roman"/>
        </w:rPr>
        <w:t xml:space="preserve">Formal equality is not, therefore, a very satisfactory framework, as it would restrict the sort of measures to address inequality where people who have been disadvantaged are accorded more favourable treatment in order to improve their position. </w:t>
      </w:r>
      <w:r w:rsidR="00902BA7">
        <w:rPr>
          <w:rFonts w:ascii="Times New Roman" w:hAnsi="Times New Roman" w:cs="Times New Roman"/>
        </w:rPr>
        <w:t xml:space="preserve">We can see that the Equality Act has </w:t>
      </w:r>
      <w:r w:rsidR="00D451FC">
        <w:rPr>
          <w:rFonts w:ascii="Times New Roman" w:hAnsi="Times New Roman" w:cs="Times New Roman"/>
        </w:rPr>
        <w:t xml:space="preserve">departed </w:t>
      </w:r>
      <w:r w:rsidR="00902BA7">
        <w:rPr>
          <w:rFonts w:ascii="Times New Roman" w:hAnsi="Times New Roman" w:cs="Times New Roman"/>
        </w:rPr>
        <w:t xml:space="preserve">from formal symmetrical equality for charities, with the addition of the requirement that discrimination by charities must be objectively justifiable across all protected characteristics, rather than limited only to the protected characteristic of sex, as was the case previously. </w:t>
      </w:r>
      <w:r w:rsidR="00060857" w:rsidRPr="00004886">
        <w:rPr>
          <w:rFonts w:ascii="Times New Roman" w:eastAsiaTheme="minorHAnsi" w:hAnsi="Times New Roman" w:cs="Times New Roman"/>
          <w:lang w:eastAsia="en-US"/>
        </w:rPr>
        <w:t xml:space="preserve">  </w:t>
      </w:r>
    </w:p>
    <w:p w14:paraId="62029309" w14:textId="77777777" w:rsidR="002A3488" w:rsidRDefault="002A3488" w:rsidP="00004886">
      <w:pPr>
        <w:spacing w:line="480" w:lineRule="auto"/>
        <w:ind w:firstLine="720"/>
        <w:rPr>
          <w:rFonts w:ascii="Times New Roman" w:hAnsi="Times New Roman" w:cs="Times New Roman"/>
        </w:rPr>
      </w:pPr>
    </w:p>
    <w:p w14:paraId="3F943805" w14:textId="342161B6" w:rsidR="00004886" w:rsidRDefault="00004886" w:rsidP="00004886">
      <w:pPr>
        <w:spacing w:line="480" w:lineRule="auto"/>
        <w:ind w:firstLine="720"/>
        <w:rPr>
          <w:rFonts w:ascii="Times New Roman" w:hAnsi="Times New Roman" w:cs="Times New Roman"/>
        </w:rPr>
      </w:pPr>
      <w:r w:rsidRPr="00004886">
        <w:rPr>
          <w:rFonts w:ascii="Times New Roman" w:hAnsi="Times New Roman" w:cs="Times New Roman"/>
        </w:rPr>
        <w:t>What, then, should equality law be for? McCrudden noted that there was no one source or organising principle for notions of equality or non-discrimination in English public law, the concept of equality therefore being ‘essentially pluralistic in its sources, in its origins, in its meaning, in its application, and in its functions.’</w:t>
      </w:r>
      <w:r w:rsidRPr="00004886">
        <w:rPr>
          <w:rStyle w:val="FootnoteReference"/>
          <w:rFonts w:ascii="Times New Roman" w:hAnsi="Times New Roman" w:cs="Times New Roman"/>
        </w:rPr>
        <w:footnoteReference w:id="99"/>
      </w:r>
      <w:r w:rsidRPr="00004886">
        <w:rPr>
          <w:rFonts w:ascii="Times New Roman" w:hAnsi="Times New Roman" w:cs="Times New Roman"/>
        </w:rPr>
        <w:t xml:space="preserve"> McCrudden has also suggested considering equalities, rather than equality, as there is no one complete notion of the concept.</w:t>
      </w:r>
      <w:r w:rsidRPr="00004886">
        <w:rPr>
          <w:rStyle w:val="FootnoteReference"/>
          <w:rFonts w:ascii="Times New Roman" w:hAnsi="Times New Roman" w:cs="Times New Roman"/>
        </w:rPr>
        <w:footnoteReference w:id="100"/>
      </w:r>
      <w:r w:rsidRPr="00004886">
        <w:rPr>
          <w:rFonts w:ascii="Times New Roman" w:hAnsi="Times New Roman" w:cs="Times New Roman"/>
        </w:rPr>
        <w:t xml:space="preserve"> Formal equality is often contrasted with substantive equality, though this also does not have an agreed definition. Fredman argues that a substantive idea of equality ‘would only be suspicious of groups who are excluded because of, or in spite of, their especial vulnerability.’</w:t>
      </w:r>
      <w:r w:rsidRPr="00004886">
        <w:rPr>
          <w:rStyle w:val="FootnoteReference"/>
          <w:rFonts w:ascii="Times New Roman" w:hAnsi="Times New Roman" w:cs="Times New Roman"/>
        </w:rPr>
        <w:footnoteReference w:id="101"/>
      </w:r>
      <w:r>
        <w:rPr>
          <w:rFonts w:ascii="Times New Roman" w:hAnsi="Times New Roman" w:cs="Times New Roman"/>
        </w:rPr>
        <w:t xml:space="preserve"> </w:t>
      </w:r>
      <w:r w:rsidR="00CF3CA5">
        <w:rPr>
          <w:rFonts w:ascii="Times New Roman" w:hAnsi="Times New Roman" w:cs="Times New Roman"/>
        </w:rPr>
        <w:t>Young suggests that the groups who should be protected by equality law a</w:t>
      </w:r>
      <w:r w:rsidR="00AD758F">
        <w:rPr>
          <w:rFonts w:ascii="Times New Roman" w:hAnsi="Times New Roman" w:cs="Times New Roman"/>
        </w:rPr>
        <w:t>r</w:t>
      </w:r>
      <w:r w:rsidR="00CF3CA5">
        <w:rPr>
          <w:rFonts w:ascii="Times New Roman" w:hAnsi="Times New Roman" w:cs="Times New Roman"/>
        </w:rPr>
        <w:t>e those where the members experience systematic or structural disadvantage across multiples spheres.</w:t>
      </w:r>
      <w:r w:rsidR="00CF3CA5">
        <w:rPr>
          <w:rStyle w:val="FootnoteReference"/>
          <w:rFonts w:ascii="Times New Roman" w:hAnsi="Times New Roman" w:cs="Times New Roman"/>
        </w:rPr>
        <w:footnoteReference w:id="102"/>
      </w:r>
      <w:r w:rsidR="00CF3CA5">
        <w:rPr>
          <w:rFonts w:ascii="Times New Roman" w:hAnsi="Times New Roman" w:cs="Times New Roman"/>
        </w:rPr>
        <w:t xml:space="preserve"> </w:t>
      </w:r>
      <w:r>
        <w:rPr>
          <w:rFonts w:ascii="Times New Roman" w:hAnsi="Times New Roman" w:cs="Times New Roman"/>
        </w:rPr>
        <w:t xml:space="preserve">This then would be consistent with a concept that charities may choose to limit their beneficiaries by reference to a protected characteristic, but only where the charity is </w:t>
      </w:r>
      <w:r>
        <w:rPr>
          <w:rFonts w:ascii="Times New Roman" w:hAnsi="Times New Roman" w:cs="Times New Roman"/>
        </w:rPr>
        <w:lastRenderedPageBreak/>
        <w:t xml:space="preserve">helping the more disadvantaged side of the symmetrical grouping: women rather than men, for example. In the case of the </w:t>
      </w:r>
      <w:r w:rsidR="007666F0">
        <w:rPr>
          <w:rFonts w:ascii="Times New Roman" w:hAnsi="Times New Roman" w:cs="Times New Roman"/>
        </w:rPr>
        <w:t>transgender</w:t>
      </w:r>
      <w:r>
        <w:rPr>
          <w:rFonts w:ascii="Times New Roman" w:hAnsi="Times New Roman" w:cs="Times New Roman"/>
        </w:rPr>
        <w:t xml:space="preserve"> women, equality law is suspicious of a charity that excludes </w:t>
      </w:r>
      <w:r w:rsidR="007666F0">
        <w:rPr>
          <w:rFonts w:ascii="Times New Roman" w:hAnsi="Times New Roman" w:cs="Times New Roman"/>
        </w:rPr>
        <w:t>transgender</w:t>
      </w:r>
      <w:r>
        <w:rPr>
          <w:rFonts w:ascii="Times New Roman" w:hAnsi="Times New Roman" w:cs="Times New Roman"/>
        </w:rPr>
        <w:t xml:space="preserve"> people because of their special vulnerability. </w:t>
      </w:r>
      <w:r w:rsidR="00940250">
        <w:rPr>
          <w:rFonts w:ascii="Times New Roman" w:hAnsi="Times New Roman" w:cs="Times New Roman"/>
        </w:rPr>
        <w:t>Perhaps we can use the degrees of vulnerability of</w:t>
      </w:r>
      <w:r>
        <w:rPr>
          <w:rFonts w:ascii="Times New Roman" w:hAnsi="Times New Roman" w:cs="Times New Roman"/>
        </w:rPr>
        <w:t xml:space="preserve"> various </w:t>
      </w:r>
      <w:r w:rsidR="00940250">
        <w:rPr>
          <w:rFonts w:ascii="Times New Roman" w:hAnsi="Times New Roman" w:cs="Times New Roman"/>
        </w:rPr>
        <w:t xml:space="preserve">protected </w:t>
      </w:r>
      <w:r>
        <w:rPr>
          <w:rFonts w:ascii="Times New Roman" w:hAnsi="Times New Roman" w:cs="Times New Roman"/>
        </w:rPr>
        <w:t>groups</w:t>
      </w:r>
      <w:r w:rsidR="00940250">
        <w:rPr>
          <w:rFonts w:ascii="Times New Roman" w:hAnsi="Times New Roman" w:cs="Times New Roman"/>
        </w:rPr>
        <w:t xml:space="preserve"> to decide which should be protected over the </w:t>
      </w:r>
      <w:r w:rsidR="00BC79C7">
        <w:rPr>
          <w:rFonts w:ascii="Times New Roman" w:hAnsi="Times New Roman" w:cs="Times New Roman"/>
        </w:rPr>
        <w:t>other</w:t>
      </w:r>
      <w:r>
        <w:rPr>
          <w:rFonts w:ascii="Times New Roman" w:hAnsi="Times New Roman" w:cs="Times New Roman"/>
        </w:rPr>
        <w:t>.</w:t>
      </w:r>
    </w:p>
    <w:p w14:paraId="7FAE468D" w14:textId="77777777" w:rsidR="002A3488" w:rsidRDefault="002A3488" w:rsidP="00004886">
      <w:pPr>
        <w:spacing w:line="480" w:lineRule="auto"/>
        <w:ind w:firstLine="720"/>
        <w:rPr>
          <w:rFonts w:ascii="Times New Roman" w:hAnsi="Times New Roman" w:cs="Times New Roman"/>
        </w:rPr>
      </w:pPr>
    </w:p>
    <w:p w14:paraId="43845421" w14:textId="4EBE2BBA" w:rsidR="00871B6B" w:rsidRPr="00871B6B" w:rsidRDefault="00902BA7" w:rsidP="00871B6B">
      <w:pPr>
        <w:spacing w:line="480" w:lineRule="auto"/>
        <w:rPr>
          <w:rFonts w:ascii="Times New Roman" w:hAnsi="Times New Roman" w:cs="Times New Roman"/>
          <w:b/>
        </w:rPr>
      </w:pPr>
      <w:r>
        <w:rPr>
          <w:rFonts w:ascii="Times New Roman" w:hAnsi="Times New Roman" w:cs="Times New Roman"/>
          <w:b/>
        </w:rPr>
        <w:t>C</w:t>
      </w:r>
      <w:r w:rsidR="00871B6B" w:rsidRPr="00871B6B">
        <w:rPr>
          <w:rFonts w:ascii="Times New Roman" w:hAnsi="Times New Roman" w:cs="Times New Roman"/>
          <w:b/>
        </w:rPr>
        <w:t xml:space="preserve"> </w:t>
      </w:r>
      <w:r w:rsidR="00871B6B" w:rsidRPr="00871B6B">
        <w:rPr>
          <w:rFonts w:ascii="Times New Roman" w:hAnsi="Times New Roman" w:cs="Times New Roman"/>
          <w:b/>
        </w:rPr>
        <w:tab/>
        <w:t>Substantive Equality</w:t>
      </w:r>
    </w:p>
    <w:p w14:paraId="5DCBB176" w14:textId="77777777" w:rsidR="002A3488" w:rsidRDefault="002A3488" w:rsidP="00374906">
      <w:pPr>
        <w:spacing w:line="480" w:lineRule="auto"/>
        <w:ind w:firstLine="720"/>
        <w:rPr>
          <w:rFonts w:ascii="Times New Roman" w:hAnsi="Times New Roman" w:cs="Times New Roman"/>
        </w:rPr>
      </w:pPr>
    </w:p>
    <w:p w14:paraId="72DE4EA7" w14:textId="61B45271" w:rsidR="00B05EC7" w:rsidRDefault="00004886" w:rsidP="00374906">
      <w:pPr>
        <w:spacing w:line="480" w:lineRule="auto"/>
        <w:ind w:firstLine="720"/>
        <w:rPr>
          <w:rFonts w:ascii="Times New Roman" w:hAnsi="Times New Roman" w:cs="Times New Roman"/>
        </w:rPr>
      </w:pPr>
      <w:r w:rsidRPr="00004886">
        <w:rPr>
          <w:rFonts w:ascii="Times New Roman" w:hAnsi="Times New Roman" w:cs="Times New Roman"/>
        </w:rPr>
        <w:t xml:space="preserve">Vickers classified three conceptual approaches to this deeper or more substantive understanding of equality: linked to </w:t>
      </w:r>
      <w:r w:rsidR="00B05EC7" w:rsidRPr="00004886">
        <w:rPr>
          <w:rFonts w:ascii="Times New Roman" w:hAnsi="Times New Roman" w:cs="Times New Roman"/>
        </w:rPr>
        <w:t>removing disadvantage,</w:t>
      </w:r>
      <w:r w:rsidR="00B05EC7">
        <w:rPr>
          <w:rFonts w:ascii="Times New Roman" w:hAnsi="Times New Roman" w:cs="Times New Roman"/>
        </w:rPr>
        <w:t xml:space="preserve"> </w:t>
      </w:r>
      <w:r w:rsidRPr="00004886">
        <w:rPr>
          <w:rFonts w:ascii="Times New Roman" w:hAnsi="Times New Roman" w:cs="Times New Roman"/>
        </w:rPr>
        <w:t>individual dignity and recognition, and a broader approach that she terms inclusion and participation.</w:t>
      </w:r>
      <w:r w:rsidRPr="00004886">
        <w:rPr>
          <w:rStyle w:val="FootnoteReference"/>
          <w:rFonts w:ascii="Times New Roman" w:hAnsi="Times New Roman" w:cs="Times New Roman"/>
        </w:rPr>
        <w:footnoteReference w:id="103"/>
      </w:r>
      <w:r w:rsidRPr="00004886">
        <w:rPr>
          <w:rFonts w:ascii="Times New Roman" w:hAnsi="Times New Roman" w:cs="Times New Roman"/>
        </w:rPr>
        <w:t xml:space="preserve"> </w:t>
      </w:r>
      <w:r w:rsidR="00B05EC7">
        <w:rPr>
          <w:rFonts w:ascii="Times New Roman" w:hAnsi="Times New Roman" w:cs="Times New Roman"/>
        </w:rPr>
        <w:t>Of these,</w:t>
      </w:r>
      <w:r w:rsidR="00B05EC7" w:rsidRPr="00004886">
        <w:rPr>
          <w:rFonts w:ascii="Times New Roman" w:hAnsi="Times New Roman" w:cs="Times New Roman"/>
        </w:rPr>
        <w:t xml:space="preserve"> removing disadvantag</w:t>
      </w:r>
      <w:r w:rsidR="00B05EC7">
        <w:rPr>
          <w:rFonts w:ascii="Times New Roman" w:hAnsi="Times New Roman" w:cs="Times New Roman"/>
        </w:rPr>
        <w:t>e is conceptually easy to understand</w:t>
      </w:r>
      <w:r w:rsidR="00B05EC7" w:rsidRPr="00004886">
        <w:rPr>
          <w:rFonts w:ascii="Times New Roman" w:hAnsi="Times New Roman" w:cs="Times New Roman"/>
        </w:rPr>
        <w:t>. It would hold that the point of equality law is to remove disadvantage associated with discriminatory treatment, or historical discriminatory treatment, based upon a protected characteristic. A concern with this basis is the need to evidence disadvantage</w:t>
      </w:r>
      <w:r w:rsidR="00902BA7">
        <w:rPr>
          <w:rFonts w:ascii="Times New Roman" w:hAnsi="Times New Roman" w:cs="Times New Roman"/>
        </w:rPr>
        <w:t>, which was also raised</w:t>
      </w:r>
      <w:r w:rsidR="00B05EC7" w:rsidRPr="00004886">
        <w:rPr>
          <w:rFonts w:ascii="Times New Roman" w:hAnsi="Times New Roman" w:cs="Times New Roman"/>
        </w:rPr>
        <w:t xml:space="preserve"> by the study. Participants identified that the data </w:t>
      </w:r>
      <w:r w:rsidR="002A3488">
        <w:rPr>
          <w:rFonts w:ascii="Times New Roman" w:hAnsi="Times New Roman" w:cs="Times New Roman"/>
        </w:rPr>
        <w:t xml:space="preserve">which could provide evidence </w:t>
      </w:r>
      <w:r w:rsidR="00B05EC7" w:rsidRPr="00004886">
        <w:rPr>
          <w:rFonts w:ascii="Times New Roman" w:hAnsi="Times New Roman" w:cs="Times New Roman"/>
        </w:rPr>
        <w:t>to justify positive action, or the s193 charity exception</w:t>
      </w:r>
      <w:r w:rsidR="002A3488">
        <w:rPr>
          <w:rFonts w:ascii="Times New Roman" w:hAnsi="Times New Roman" w:cs="Times New Roman"/>
        </w:rPr>
        <w:t>,</w:t>
      </w:r>
      <w:r w:rsidR="00B05EC7" w:rsidRPr="00004886">
        <w:rPr>
          <w:rFonts w:ascii="Times New Roman" w:hAnsi="Times New Roman" w:cs="Times New Roman"/>
        </w:rPr>
        <w:t xml:space="preserve"> were </w:t>
      </w:r>
      <w:r w:rsidR="002A3488">
        <w:rPr>
          <w:rFonts w:ascii="Times New Roman" w:hAnsi="Times New Roman" w:cs="Times New Roman"/>
        </w:rPr>
        <w:t xml:space="preserve">generally not </w:t>
      </w:r>
      <w:r w:rsidR="00B05EC7" w:rsidRPr="00004886">
        <w:rPr>
          <w:rFonts w:ascii="Times New Roman" w:hAnsi="Times New Roman" w:cs="Times New Roman"/>
        </w:rPr>
        <w:t>collected and therefore it was difficult to rely on the exception in any practical way.</w:t>
      </w:r>
      <w:r w:rsidR="00374906">
        <w:rPr>
          <w:rFonts w:ascii="Times New Roman" w:hAnsi="Times New Roman" w:cs="Times New Roman"/>
        </w:rPr>
        <w:t xml:space="preserve"> Despite these evidentiary issues, it is uncontroversial that discrimination designed to address past disadvantage is justifiable under s 193(2)(b). These are the situations that are likely to come most readily to mind when thinking of charity. </w:t>
      </w:r>
      <w:r w:rsidR="00902BA7">
        <w:rPr>
          <w:rFonts w:ascii="Times New Roman" w:hAnsi="Times New Roman" w:cs="Times New Roman"/>
        </w:rPr>
        <w:t>This is also possibl</w:t>
      </w:r>
      <w:r w:rsidR="00D451FC">
        <w:rPr>
          <w:rFonts w:ascii="Times New Roman" w:hAnsi="Times New Roman" w:cs="Times New Roman"/>
        </w:rPr>
        <w:t>y</w:t>
      </w:r>
      <w:r w:rsidR="00902BA7">
        <w:rPr>
          <w:rFonts w:ascii="Times New Roman" w:hAnsi="Times New Roman" w:cs="Times New Roman"/>
        </w:rPr>
        <w:t xml:space="preserve"> why the Charity Commission refers to the test under s 193(2)(b) as Test A. </w:t>
      </w:r>
      <w:r w:rsidR="00374906">
        <w:rPr>
          <w:rFonts w:ascii="Times New Roman" w:hAnsi="Times New Roman" w:cs="Times New Roman"/>
        </w:rPr>
        <w:t>Preferential treatment designed to redress disadvantage is the classic situation for justifiable charitable discrimination.</w:t>
      </w:r>
    </w:p>
    <w:p w14:paraId="0690A164" w14:textId="34077229" w:rsidR="00004886" w:rsidRDefault="00374906" w:rsidP="00004886">
      <w:pPr>
        <w:spacing w:line="480" w:lineRule="auto"/>
        <w:ind w:firstLine="720"/>
        <w:rPr>
          <w:rFonts w:ascii="Times New Roman" w:hAnsi="Times New Roman" w:cs="Times New Roman"/>
        </w:rPr>
      </w:pPr>
      <w:r>
        <w:rPr>
          <w:rFonts w:ascii="Times New Roman" w:hAnsi="Times New Roman" w:cs="Times New Roman"/>
        </w:rPr>
        <w:lastRenderedPageBreak/>
        <w:t>The second of Vicker’s clarifications, d</w:t>
      </w:r>
      <w:r w:rsidR="00004886" w:rsidRPr="00004886">
        <w:rPr>
          <w:rFonts w:ascii="Times New Roman" w:hAnsi="Times New Roman" w:cs="Times New Roman"/>
        </w:rPr>
        <w:t>ignity or recognition</w:t>
      </w:r>
      <w:r>
        <w:rPr>
          <w:rFonts w:ascii="Times New Roman" w:hAnsi="Times New Roman" w:cs="Times New Roman"/>
        </w:rPr>
        <w:t>,</w:t>
      </w:r>
      <w:r w:rsidR="00004886" w:rsidRPr="00004886">
        <w:rPr>
          <w:rFonts w:ascii="Times New Roman" w:hAnsi="Times New Roman" w:cs="Times New Roman"/>
        </w:rPr>
        <w:t xml:space="preserve"> </w:t>
      </w:r>
      <w:r>
        <w:rPr>
          <w:rFonts w:ascii="Times New Roman" w:hAnsi="Times New Roman" w:cs="Times New Roman"/>
        </w:rPr>
        <w:t>is an appealing basis</w:t>
      </w:r>
      <w:r w:rsidR="00004886" w:rsidRPr="00004886">
        <w:rPr>
          <w:rFonts w:ascii="Times New Roman" w:hAnsi="Times New Roman" w:cs="Times New Roman"/>
        </w:rPr>
        <w:t xml:space="preserve"> for these more substantive ideas of equality. We can find dignity used as a first principle of equality and human rights in a number of different sources, including the Universal Declaration of Human Rights.</w:t>
      </w:r>
      <w:r w:rsidR="00004886" w:rsidRPr="00004886">
        <w:rPr>
          <w:rStyle w:val="FootnoteReference"/>
          <w:rFonts w:ascii="Times New Roman" w:hAnsi="Times New Roman" w:cs="Times New Roman"/>
        </w:rPr>
        <w:footnoteReference w:id="104"/>
      </w:r>
      <w:r w:rsidR="00004886" w:rsidRPr="00004886">
        <w:rPr>
          <w:rFonts w:ascii="Times New Roman" w:hAnsi="Times New Roman" w:cs="Times New Roman"/>
        </w:rPr>
        <w:t xml:space="preserve"> This concept has also been exp</w:t>
      </w:r>
      <w:r w:rsidR="00004886">
        <w:rPr>
          <w:rFonts w:ascii="Times New Roman" w:hAnsi="Times New Roman" w:cs="Times New Roman"/>
        </w:rPr>
        <w:t>ressed as ‘recognition’;</w:t>
      </w:r>
      <w:r w:rsidR="00004886" w:rsidRPr="00004886">
        <w:rPr>
          <w:rFonts w:ascii="Times New Roman" w:hAnsi="Times New Roman" w:cs="Times New Roman"/>
        </w:rPr>
        <w:t xml:space="preserve"> inequality can also arise from individuals’ personal identity and self-worth not being sufficiently valued.</w:t>
      </w:r>
      <w:r w:rsidR="00004886" w:rsidRPr="00004886">
        <w:rPr>
          <w:rStyle w:val="FootnoteReference"/>
          <w:rFonts w:ascii="Times New Roman" w:hAnsi="Times New Roman" w:cs="Times New Roman"/>
        </w:rPr>
        <w:footnoteReference w:id="105"/>
      </w:r>
      <w:r w:rsidR="00004886" w:rsidRPr="00004886">
        <w:rPr>
          <w:rFonts w:ascii="Times New Roman" w:hAnsi="Times New Roman" w:cs="Times New Roman"/>
        </w:rPr>
        <w:t xml:space="preserve"> Dignity as a basis for equality should help to prevent ‘levelling-down’, where protections for all are dropped to the lowest common denominator rather than raised, in order to comply with a symmetrical approach to protection. Dignity has also been criticised as a ground for equality law, however, with Feldman noting that dignity is a ‘quality characteristic of human beings, so that an individual cannot have a right to it.’</w:t>
      </w:r>
      <w:r w:rsidR="00004886" w:rsidRPr="00004886">
        <w:rPr>
          <w:rStyle w:val="FootnoteReference"/>
          <w:rFonts w:ascii="Times New Roman" w:hAnsi="Times New Roman" w:cs="Times New Roman"/>
        </w:rPr>
        <w:footnoteReference w:id="106"/>
      </w:r>
      <w:r w:rsidR="00004886" w:rsidRPr="00004886">
        <w:rPr>
          <w:rFonts w:ascii="Times New Roman" w:hAnsi="Times New Roman" w:cs="Times New Roman"/>
        </w:rPr>
        <w:t xml:space="preserve"> </w:t>
      </w:r>
    </w:p>
    <w:p w14:paraId="1CB35268" w14:textId="77777777" w:rsidR="002A3488" w:rsidRDefault="002A3488" w:rsidP="00004886">
      <w:pPr>
        <w:spacing w:line="480" w:lineRule="auto"/>
        <w:ind w:firstLine="720"/>
        <w:rPr>
          <w:rFonts w:ascii="Times New Roman" w:hAnsi="Times New Roman" w:cs="Times New Roman"/>
        </w:rPr>
      </w:pPr>
    </w:p>
    <w:p w14:paraId="096667AB" w14:textId="73ACF9E4" w:rsidR="003B2FC4" w:rsidRDefault="00004886" w:rsidP="00004886">
      <w:pPr>
        <w:spacing w:line="480" w:lineRule="auto"/>
        <w:ind w:firstLine="720"/>
        <w:rPr>
          <w:rFonts w:ascii="Times New Roman" w:hAnsi="Times New Roman" w:cs="Times New Roman"/>
        </w:rPr>
      </w:pPr>
      <w:r w:rsidRPr="00004886">
        <w:rPr>
          <w:rFonts w:ascii="Times New Roman" w:hAnsi="Times New Roman" w:cs="Times New Roman"/>
        </w:rPr>
        <w:t xml:space="preserve">The addition of dignity to interpretation of the </w:t>
      </w:r>
      <w:r w:rsidR="002A3488">
        <w:rPr>
          <w:rFonts w:ascii="Times New Roman" w:hAnsi="Times New Roman" w:cs="Times New Roman"/>
        </w:rPr>
        <w:t xml:space="preserve">slippery </w:t>
      </w:r>
      <w:r w:rsidRPr="00004886">
        <w:rPr>
          <w:rFonts w:ascii="Times New Roman" w:hAnsi="Times New Roman" w:cs="Times New Roman"/>
        </w:rPr>
        <w:t>concept of equality adds little in the way of analytical traction. At times, it has proved a false friend to those who would advance a more substantive concept of equality. In Canada, the prevention of ‘the violation of essential human dignity and freedom’</w:t>
      </w:r>
      <w:r w:rsidRPr="00004886">
        <w:rPr>
          <w:rStyle w:val="FootnoteReference"/>
          <w:rFonts w:ascii="Times New Roman" w:hAnsi="Times New Roman" w:cs="Times New Roman"/>
        </w:rPr>
        <w:footnoteReference w:id="107"/>
      </w:r>
      <w:r w:rsidRPr="00004886">
        <w:rPr>
          <w:rFonts w:ascii="Times New Roman" w:hAnsi="Times New Roman" w:cs="Times New Roman"/>
        </w:rPr>
        <w:t xml:space="preserve"> was defined by the Supreme Court in </w:t>
      </w:r>
      <w:r w:rsidRPr="00004886">
        <w:rPr>
          <w:rFonts w:ascii="Times New Roman" w:hAnsi="Times New Roman" w:cs="Times New Roman"/>
          <w:i/>
        </w:rPr>
        <w:t>Law v Canada</w:t>
      </w:r>
      <w:r w:rsidRPr="00004886">
        <w:rPr>
          <w:rFonts w:ascii="Times New Roman" w:hAnsi="Times New Roman" w:cs="Times New Roman"/>
        </w:rPr>
        <w:t xml:space="preserve"> as the purpose of the equality guarantee in section 1(1) to Canada’s Charter of Rights.</w:t>
      </w:r>
      <w:r w:rsidRPr="00004886">
        <w:rPr>
          <w:rStyle w:val="FootnoteReference"/>
          <w:rFonts w:ascii="Times New Roman" w:hAnsi="Times New Roman" w:cs="Times New Roman"/>
        </w:rPr>
        <w:footnoteReference w:id="108"/>
      </w:r>
      <w:r w:rsidRPr="00004886">
        <w:rPr>
          <w:rFonts w:ascii="Times New Roman" w:hAnsi="Times New Roman" w:cs="Times New Roman"/>
        </w:rPr>
        <w:t xml:space="preserve"> Subsequently, in </w:t>
      </w:r>
      <w:r w:rsidRPr="00004886">
        <w:rPr>
          <w:rFonts w:ascii="Times New Roman" w:hAnsi="Times New Roman" w:cs="Times New Roman"/>
          <w:i/>
        </w:rPr>
        <w:t>Gosselin v Quebec (Attorney General)</w:t>
      </w:r>
      <w:r w:rsidRPr="00004886">
        <w:rPr>
          <w:rStyle w:val="FootnoteReference"/>
          <w:rFonts w:ascii="Times New Roman" w:hAnsi="Times New Roman" w:cs="Times New Roman"/>
          <w:i/>
        </w:rPr>
        <w:footnoteReference w:id="109"/>
      </w:r>
      <w:r w:rsidRPr="00004886">
        <w:rPr>
          <w:rFonts w:ascii="Times New Roman" w:hAnsi="Times New Roman" w:cs="Times New Roman"/>
        </w:rPr>
        <w:t xml:space="preserve">, the Supreme Court deployed the idea of dignity as an additional hurdle to surmount for younger social security claimants trying to assert that higher rates paid to those aged 30 and over violated the section 15 </w:t>
      </w:r>
      <w:r w:rsidRPr="00004886">
        <w:rPr>
          <w:rFonts w:ascii="Times New Roman" w:hAnsi="Times New Roman" w:cs="Times New Roman"/>
        </w:rPr>
        <w:lastRenderedPageBreak/>
        <w:t>equality guarantee.</w:t>
      </w:r>
      <w:r w:rsidR="002E56C1">
        <w:rPr>
          <w:rStyle w:val="FootnoteReference"/>
          <w:rFonts w:ascii="Times New Roman" w:hAnsi="Times New Roman" w:cs="Times New Roman"/>
        </w:rPr>
        <w:footnoteReference w:id="110"/>
      </w:r>
      <w:r w:rsidRPr="00004886">
        <w:rPr>
          <w:rFonts w:ascii="Times New Roman" w:hAnsi="Times New Roman" w:cs="Times New Roman"/>
        </w:rPr>
        <w:t xml:space="preserve"> This risk had been raised by Grabham, who pointed out that ‘one could conceivably be dignified </w:t>
      </w:r>
      <w:r w:rsidRPr="00004886">
        <w:rPr>
          <w:rFonts w:ascii="Times New Roman" w:hAnsi="Times New Roman" w:cs="Times New Roman"/>
          <w:i/>
        </w:rPr>
        <w:t>and</w:t>
      </w:r>
      <w:r w:rsidRPr="00004886">
        <w:rPr>
          <w:rFonts w:ascii="Times New Roman" w:hAnsi="Times New Roman" w:cs="Times New Roman"/>
        </w:rPr>
        <w:t xml:space="preserve"> materially disadvantaged.’</w:t>
      </w:r>
      <w:r w:rsidRPr="00004886">
        <w:rPr>
          <w:rStyle w:val="FootnoteReference"/>
          <w:rFonts w:ascii="Times New Roman" w:hAnsi="Times New Roman" w:cs="Times New Roman"/>
        </w:rPr>
        <w:footnoteReference w:id="111"/>
      </w:r>
      <w:r w:rsidRPr="00004886">
        <w:rPr>
          <w:rFonts w:ascii="Times New Roman" w:hAnsi="Times New Roman" w:cs="Times New Roman"/>
        </w:rPr>
        <w:t xml:space="preserve"> In </w:t>
      </w:r>
      <w:r w:rsidRPr="00004886">
        <w:rPr>
          <w:rFonts w:ascii="Times New Roman" w:hAnsi="Times New Roman" w:cs="Times New Roman"/>
          <w:i/>
        </w:rPr>
        <w:t>R v Kapp</w:t>
      </w:r>
      <w:r w:rsidRPr="00004886">
        <w:rPr>
          <w:rFonts w:ascii="Times New Roman" w:hAnsi="Times New Roman" w:cs="Times New Roman"/>
        </w:rPr>
        <w:t xml:space="preserve"> the </w:t>
      </w:r>
      <w:r w:rsidR="00902BA7">
        <w:rPr>
          <w:rFonts w:ascii="Times New Roman" w:hAnsi="Times New Roman" w:cs="Times New Roman"/>
        </w:rPr>
        <w:t xml:space="preserve">Canadian </w:t>
      </w:r>
      <w:r w:rsidRPr="00004886">
        <w:rPr>
          <w:rFonts w:ascii="Times New Roman" w:hAnsi="Times New Roman" w:cs="Times New Roman"/>
        </w:rPr>
        <w:t xml:space="preserve">Supreme Court acknowledged the contribution that human dignity, as incorporated by the </w:t>
      </w:r>
      <w:r w:rsidRPr="00004886">
        <w:rPr>
          <w:rFonts w:ascii="Times New Roman" w:hAnsi="Times New Roman" w:cs="Times New Roman"/>
          <w:i/>
        </w:rPr>
        <w:t>Law</w:t>
      </w:r>
      <w:r w:rsidRPr="00004886">
        <w:rPr>
          <w:rFonts w:ascii="Times New Roman" w:hAnsi="Times New Roman" w:cs="Times New Roman"/>
        </w:rPr>
        <w:t xml:space="preserve"> court, had added to ‘understanding of the conceptual underpinnings of substantive equality’ but that nevertheless difficulties had arisen from its use ‘as a legal test’.</w:t>
      </w:r>
      <w:r w:rsidRPr="00004886">
        <w:rPr>
          <w:rStyle w:val="FootnoteReference"/>
          <w:rFonts w:ascii="Times New Roman" w:hAnsi="Times New Roman" w:cs="Times New Roman"/>
        </w:rPr>
        <w:footnoteReference w:id="112"/>
      </w:r>
      <w:r w:rsidRPr="00004886">
        <w:rPr>
          <w:rFonts w:ascii="Times New Roman" w:hAnsi="Times New Roman" w:cs="Times New Roman"/>
        </w:rPr>
        <w:t xml:space="preserve"> </w:t>
      </w:r>
    </w:p>
    <w:p w14:paraId="5913E74D" w14:textId="77777777" w:rsidR="002A3488" w:rsidRDefault="002A3488" w:rsidP="00004886">
      <w:pPr>
        <w:spacing w:line="480" w:lineRule="auto"/>
        <w:ind w:firstLine="720"/>
        <w:rPr>
          <w:rFonts w:ascii="Times New Roman" w:hAnsi="Times New Roman" w:cs="Times New Roman"/>
        </w:rPr>
      </w:pPr>
    </w:p>
    <w:p w14:paraId="3435EA17" w14:textId="752AD3F1" w:rsidR="00004886" w:rsidRDefault="00004886" w:rsidP="00004886">
      <w:pPr>
        <w:spacing w:line="480" w:lineRule="auto"/>
        <w:ind w:firstLine="720"/>
        <w:rPr>
          <w:rFonts w:ascii="Times New Roman" w:hAnsi="Times New Roman" w:cs="Times New Roman"/>
        </w:rPr>
      </w:pPr>
      <w:r w:rsidRPr="00004886">
        <w:rPr>
          <w:rFonts w:ascii="Times New Roman" w:hAnsi="Times New Roman" w:cs="Times New Roman"/>
        </w:rPr>
        <w:t>Vickers argues that ‘the reifying of difference’ between groups is another shortcoming of dignity as a basis for equality claims, particularly in the area of religion and belief, where the boundaries are unclear and ‘the range of voices within religious groupings so varied’.</w:t>
      </w:r>
      <w:r w:rsidRPr="00004886">
        <w:rPr>
          <w:rStyle w:val="FootnoteReference"/>
          <w:rFonts w:ascii="Times New Roman" w:hAnsi="Times New Roman" w:cs="Times New Roman"/>
        </w:rPr>
        <w:footnoteReference w:id="113"/>
      </w:r>
      <w:r w:rsidR="003B2FC4">
        <w:rPr>
          <w:rFonts w:ascii="Times New Roman" w:hAnsi="Times New Roman" w:cs="Times New Roman"/>
        </w:rPr>
        <w:t xml:space="preserve"> </w:t>
      </w:r>
      <w:r w:rsidR="00663556">
        <w:rPr>
          <w:rFonts w:ascii="Times New Roman" w:hAnsi="Times New Roman" w:cs="Times New Roman"/>
        </w:rPr>
        <w:t>In considering how to weigh up the hierarchy of protection</w:t>
      </w:r>
      <w:r w:rsidR="00902BA7" w:rsidRPr="00902BA7">
        <w:rPr>
          <w:rFonts w:ascii="Times New Roman" w:hAnsi="Times New Roman" w:cs="Times New Roman"/>
        </w:rPr>
        <w:t xml:space="preserve"> </w:t>
      </w:r>
      <w:r w:rsidR="00902BA7">
        <w:rPr>
          <w:rFonts w:ascii="Times New Roman" w:hAnsi="Times New Roman" w:cs="Times New Roman"/>
        </w:rPr>
        <w:t>in a reworked equality law structure for the UK</w:t>
      </w:r>
      <w:r w:rsidR="00663556">
        <w:rPr>
          <w:rFonts w:ascii="Times New Roman" w:hAnsi="Times New Roman" w:cs="Times New Roman"/>
        </w:rPr>
        <w:t>, Mc</w:t>
      </w:r>
      <w:r w:rsidR="00975F82">
        <w:rPr>
          <w:rFonts w:ascii="Times New Roman" w:hAnsi="Times New Roman" w:cs="Times New Roman"/>
        </w:rPr>
        <w:t xml:space="preserve">Colgan would relegate religion or belief to a lower level of protection </w:t>
      </w:r>
      <w:r w:rsidR="00663556">
        <w:rPr>
          <w:rFonts w:ascii="Times New Roman" w:hAnsi="Times New Roman" w:cs="Times New Roman"/>
        </w:rPr>
        <w:t>than that afforded sex, race, disability or sexual orientation, except where it is serving as a proxy for ethnicity</w:t>
      </w:r>
      <w:r w:rsidR="00975F82">
        <w:rPr>
          <w:rFonts w:ascii="Times New Roman" w:hAnsi="Times New Roman" w:cs="Times New Roman"/>
        </w:rPr>
        <w:t>.</w:t>
      </w:r>
      <w:r w:rsidR="00975F82">
        <w:rPr>
          <w:rStyle w:val="FootnoteReference"/>
          <w:rFonts w:ascii="Times New Roman" w:hAnsi="Times New Roman" w:cs="Times New Roman"/>
        </w:rPr>
        <w:footnoteReference w:id="114"/>
      </w:r>
      <w:r w:rsidR="00975F82">
        <w:rPr>
          <w:rFonts w:ascii="Times New Roman" w:hAnsi="Times New Roman" w:cs="Times New Roman"/>
        </w:rPr>
        <w:t xml:space="preserve"> </w:t>
      </w:r>
      <w:r w:rsidR="003B2FC4">
        <w:rPr>
          <w:rFonts w:ascii="Times New Roman" w:hAnsi="Times New Roman" w:cs="Times New Roman"/>
        </w:rPr>
        <w:t xml:space="preserve">It can be seen from the </w:t>
      </w:r>
      <w:r w:rsidR="003B2FC4">
        <w:rPr>
          <w:rFonts w:ascii="Times New Roman" w:hAnsi="Times New Roman" w:cs="Times New Roman"/>
          <w:i/>
        </w:rPr>
        <w:t>Catholic Care</w:t>
      </w:r>
      <w:r w:rsidR="003B2FC4">
        <w:rPr>
          <w:rFonts w:ascii="Times New Roman" w:hAnsi="Times New Roman" w:cs="Times New Roman"/>
        </w:rPr>
        <w:t xml:space="preserve"> litigation, that there is tension between modern charity law and the practices of some religious groups. Religion was one of the traditional four heads of English charity law</w:t>
      </w:r>
      <w:r w:rsidR="00975F82">
        <w:rPr>
          <w:rFonts w:ascii="Times New Roman" w:hAnsi="Times New Roman" w:cs="Times New Roman"/>
        </w:rPr>
        <w:t>,</w:t>
      </w:r>
      <w:r w:rsidR="003B2FC4">
        <w:rPr>
          <w:rStyle w:val="FootnoteReference"/>
          <w:rFonts w:ascii="Times New Roman" w:hAnsi="Times New Roman" w:cs="Times New Roman"/>
        </w:rPr>
        <w:footnoteReference w:id="115"/>
      </w:r>
      <w:r w:rsidR="003B2FC4">
        <w:rPr>
          <w:rFonts w:ascii="Times New Roman" w:hAnsi="Times New Roman" w:cs="Times New Roman"/>
        </w:rPr>
        <w:t xml:space="preserve"> </w:t>
      </w:r>
      <w:r w:rsidR="00975F82">
        <w:rPr>
          <w:rFonts w:ascii="Times New Roman" w:hAnsi="Times New Roman" w:cs="Times New Roman"/>
        </w:rPr>
        <w:t xml:space="preserve">and yet it is an area where there is </w:t>
      </w:r>
      <w:r w:rsidR="00374906">
        <w:rPr>
          <w:rFonts w:ascii="Times New Roman" w:hAnsi="Times New Roman" w:cs="Times New Roman"/>
        </w:rPr>
        <w:t xml:space="preserve">controversy about charitable status in the modern era. </w:t>
      </w:r>
    </w:p>
    <w:p w14:paraId="0711B792" w14:textId="77777777" w:rsidR="00D203AE" w:rsidRDefault="00D203AE" w:rsidP="00004886">
      <w:pPr>
        <w:spacing w:line="480" w:lineRule="auto"/>
        <w:ind w:firstLine="720"/>
        <w:rPr>
          <w:rFonts w:ascii="Times New Roman" w:hAnsi="Times New Roman" w:cs="Times New Roman"/>
        </w:rPr>
      </w:pPr>
    </w:p>
    <w:p w14:paraId="2D9ECF8A" w14:textId="5C416832" w:rsidR="00374906" w:rsidRDefault="00374906" w:rsidP="00004886">
      <w:pPr>
        <w:spacing w:line="480" w:lineRule="auto"/>
        <w:ind w:firstLine="720"/>
        <w:rPr>
          <w:rFonts w:ascii="Times New Roman" w:hAnsi="Times New Roman" w:cs="Times New Roman"/>
        </w:rPr>
      </w:pPr>
      <w:r>
        <w:rPr>
          <w:rFonts w:ascii="Times New Roman" w:hAnsi="Times New Roman" w:cs="Times New Roman"/>
        </w:rPr>
        <w:t xml:space="preserve">Dignity or recognition does seem conceptually similar to the ideas invoked by Sales, J. in </w:t>
      </w:r>
      <w:r>
        <w:rPr>
          <w:rFonts w:ascii="Times New Roman" w:hAnsi="Times New Roman" w:cs="Times New Roman"/>
          <w:i/>
        </w:rPr>
        <w:t>Catholic Care</w:t>
      </w:r>
      <w:r>
        <w:rPr>
          <w:rFonts w:ascii="Times New Roman" w:hAnsi="Times New Roman" w:cs="Times New Roman"/>
        </w:rPr>
        <w:t xml:space="preserve"> as to when and why discrimination is harmful for individuals and broader society. In the case of </w:t>
      </w:r>
      <w:r w:rsidR="007666F0">
        <w:rPr>
          <w:rFonts w:ascii="Times New Roman" w:hAnsi="Times New Roman" w:cs="Times New Roman"/>
        </w:rPr>
        <w:t>transgender</w:t>
      </w:r>
      <w:r>
        <w:rPr>
          <w:rFonts w:ascii="Times New Roman" w:hAnsi="Times New Roman" w:cs="Times New Roman"/>
        </w:rPr>
        <w:t xml:space="preserve"> </w:t>
      </w:r>
      <w:r w:rsidR="00902BA7">
        <w:rPr>
          <w:rFonts w:ascii="Times New Roman" w:hAnsi="Times New Roman" w:cs="Times New Roman"/>
        </w:rPr>
        <w:t>women, recognition or dignity is</w:t>
      </w:r>
      <w:r>
        <w:rPr>
          <w:rFonts w:ascii="Times New Roman" w:hAnsi="Times New Roman" w:cs="Times New Roman"/>
        </w:rPr>
        <w:t xml:space="preserve"> a key conceptual issue. </w:t>
      </w:r>
      <w:r>
        <w:rPr>
          <w:rFonts w:ascii="Times New Roman" w:hAnsi="Times New Roman" w:cs="Times New Roman"/>
        </w:rPr>
        <w:lastRenderedPageBreak/>
        <w:t>To be ‘misgendered’ or ‘</w:t>
      </w:r>
      <w:r w:rsidR="00BC79C7">
        <w:rPr>
          <w:rFonts w:ascii="Times New Roman" w:hAnsi="Times New Roman" w:cs="Times New Roman"/>
        </w:rPr>
        <w:t>dead</w:t>
      </w:r>
      <w:r>
        <w:rPr>
          <w:rFonts w:ascii="Times New Roman" w:hAnsi="Times New Roman" w:cs="Times New Roman"/>
        </w:rPr>
        <w:t>named’ is an assault.</w:t>
      </w:r>
      <w:r w:rsidR="00BC79C7">
        <w:rPr>
          <w:rStyle w:val="FootnoteReference"/>
          <w:rFonts w:ascii="Times New Roman" w:hAnsi="Times New Roman" w:cs="Times New Roman"/>
        </w:rPr>
        <w:footnoteReference w:id="116"/>
      </w:r>
      <w:r w:rsidR="00290DC0">
        <w:rPr>
          <w:rFonts w:ascii="Times New Roman" w:hAnsi="Times New Roman" w:cs="Times New Roman"/>
        </w:rPr>
        <w:t xml:space="preserve"> </w:t>
      </w:r>
      <w:r w:rsidR="00D203AE">
        <w:rPr>
          <w:rFonts w:ascii="Times New Roman" w:hAnsi="Times New Roman" w:cs="Times New Roman"/>
        </w:rPr>
        <w:t xml:space="preserve">Exclusion from services for transgender women is misgendering that woman, by treating her as if she had not acquired her new gender. This is an assault on the dignity of the transgender woman. </w:t>
      </w:r>
      <w:r w:rsidR="00290DC0">
        <w:rPr>
          <w:rFonts w:ascii="Times New Roman" w:hAnsi="Times New Roman" w:cs="Times New Roman"/>
        </w:rPr>
        <w:t>Dignity or recognition might thus be a helpful concept when considering whether discrimination can be justified in the case of transgender. Vickers noted that some theoretical conceptions for equality law may be better suited to different protected characteristics.</w:t>
      </w:r>
      <w:r w:rsidR="00290DC0">
        <w:rPr>
          <w:rStyle w:val="FootnoteReference"/>
          <w:rFonts w:ascii="Times New Roman" w:hAnsi="Times New Roman" w:cs="Times New Roman"/>
        </w:rPr>
        <w:footnoteReference w:id="117"/>
      </w:r>
      <w:r w:rsidR="00290DC0">
        <w:rPr>
          <w:rFonts w:ascii="Times New Roman" w:hAnsi="Times New Roman" w:cs="Times New Roman"/>
        </w:rPr>
        <w:t xml:space="preserve"> </w:t>
      </w:r>
    </w:p>
    <w:p w14:paraId="5447404C" w14:textId="77777777" w:rsidR="00D203AE" w:rsidRPr="00374906" w:rsidRDefault="00D203AE" w:rsidP="00004886">
      <w:pPr>
        <w:spacing w:line="480" w:lineRule="auto"/>
        <w:ind w:firstLine="720"/>
        <w:rPr>
          <w:rFonts w:ascii="Times New Roman" w:hAnsi="Times New Roman" w:cs="Times New Roman"/>
        </w:rPr>
      </w:pPr>
    </w:p>
    <w:p w14:paraId="3A288AD3" w14:textId="098282A5" w:rsidR="00004886" w:rsidRDefault="00004886" w:rsidP="00CF3CA5">
      <w:pPr>
        <w:spacing w:line="480" w:lineRule="auto"/>
        <w:ind w:firstLine="720"/>
        <w:rPr>
          <w:rFonts w:ascii="Times New Roman" w:hAnsi="Times New Roman" w:cs="Times New Roman"/>
        </w:rPr>
      </w:pPr>
      <w:r w:rsidRPr="00004886">
        <w:rPr>
          <w:rFonts w:ascii="Times New Roman" w:hAnsi="Times New Roman" w:cs="Times New Roman"/>
        </w:rPr>
        <w:t xml:space="preserve">The last of Vicker’s classifications is the inclusive model, which would address both </w:t>
      </w:r>
      <w:r w:rsidR="00BC79C7">
        <w:rPr>
          <w:rFonts w:ascii="Times New Roman" w:hAnsi="Times New Roman" w:cs="Times New Roman"/>
        </w:rPr>
        <w:t>recognition and redistribution.</w:t>
      </w:r>
      <w:r w:rsidR="00940250">
        <w:rPr>
          <w:rFonts w:ascii="Times New Roman" w:hAnsi="Times New Roman" w:cs="Times New Roman"/>
        </w:rPr>
        <w:t xml:space="preserve"> </w:t>
      </w:r>
      <w:r w:rsidR="00BC79C7">
        <w:rPr>
          <w:rFonts w:ascii="Times New Roman" w:hAnsi="Times New Roman" w:cs="Times New Roman"/>
        </w:rPr>
        <w:t xml:space="preserve">There are many models of what equality law is for that would fall into this category. </w:t>
      </w:r>
      <w:r w:rsidR="00940250">
        <w:rPr>
          <w:rFonts w:ascii="Times New Roman" w:hAnsi="Times New Roman" w:cs="Times New Roman"/>
        </w:rPr>
        <w:t xml:space="preserve">O’Cinneide argues that equality and anti-discrimination law are </w:t>
      </w:r>
      <w:r w:rsidR="00BC79C7">
        <w:rPr>
          <w:rFonts w:ascii="Times New Roman" w:hAnsi="Times New Roman" w:cs="Times New Roman"/>
        </w:rPr>
        <w:t xml:space="preserve">intended to </w:t>
      </w:r>
      <w:r w:rsidR="00940250">
        <w:rPr>
          <w:rFonts w:ascii="Times New Roman" w:hAnsi="Times New Roman" w:cs="Times New Roman"/>
        </w:rPr>
        <w:t xml:space="preserve">tackle a variety of different </w:t>
      </w:r>
      <w:r w:rsidR="00940250" w:rsidRPr="00BC79C7">
        <w:rPr>
          <w:rFonts w:ascii="Times New Roman" w:hAnsi="Times New Roman" w:cs="Times New Roman"/>
        </w:rPr>
        <w:t>harms</w:t>
      </w:r>
      <w:r w:rsidR="00940250">
        <w:rPr>
          <w:rFonts w:ascii="Times New Roman" w:hAnsi="Times New Roman" w:cs="Times New Roman"/>
        </w:rPr>
        <w:t xml:space="preserve"> and so therefore it could be impossible to distil the concepts down to a single underlying harm. The ultimate aim of equality and anti-discrimination law is ‘as a tool to help achieve some sort of social transformation.’</w:t>
      </w:r>
      <w:r w:rsidR="00940250">
        <w:rPr>
          <w:rStyle w:val="FootnoteReference"/>
          <w:rFonts w:ascii="Times New Roman" w:hAnsi="Times New Roman" w:cs="Times New Roman"/>
        </w:rPr>
        <w:footnoteReference w:id="118"/>
      </w:r>
      <w:r w:rsidR="00940250">
        <w:rPr>
          <w:rFonts w:ascii="Times New Roman" w:hAnsi="Times New Roman" w:cs="Times New Roman"/>
        </w:rPr>
        <w:t xml:space="preserve"> </w:t>
      </w:r>
      <w:r w:rsidR="00BC79C7">
        <w:rPr>
          <w:rFonts w:ascii="Times New Roman" w:hAnsi="Times New Roman" w:cs="Times New Roman"/>
        </w:rPr>
        <w:t>Fredman elaborated</w:t>
      </w:r>
      <w:r w:rsidR="00902BA7">
        <w:rPr>
          <w:rFonts w:ascii="Times New Roman" w:hAnsi="Times New Roman" w:cs="Times New Roman"/>
        </w:rPr>
        <w:t xml:space="preserve"> a</w:t>
      </w:r>
      <w:r w:rsidRPr="00004886">
        <w:rPr>
          <w:rFonts w:ascii="Times New Roman" w:hAnsi="Times New Roman" w:cs="Times New Roman"/>
        </w:rPr>
        <w:t xml:space="preserve"> ‘four dimensional principle’ for substantive equality: ‘to redress disadvantage; to address stigma, stereotyping, prejudice and violence; to enhance voice and participation; and to accommodate difference and achieve structural change.’</w:t>
      </w:r>
      <w:r w:rsidRPr="00004886">
        <w:rPr>
          <w:rStyle w:val="FootnoteReference"/>
          <w:rFonts w:ascii="Times New Roman" w:hAnsi="Times New Roman" w:cs="Times New Roman"/>
        </w:rPr>
        <w:footnoteReference w:id="119"/>
      </w:r>
      <w:r w:rsidR="00BC79C7">
        <w:rPr>
          <w:rFonts w:ascii="Times New Roman" w:hAnsi="Times New Roman" w:cs="Times New Roman"/>
        </w:rPr>
        <w:t xml:space="preserve"> If we are to consider when </w:t>
      </w:r>
      <w:r w:rsidR="00156876">
        <w:rPr>
          <w:rFonts w:ascii="Times New Roman" w:hAnsi="Times New Roman" w:cs="Times New Roman"/>
        </w:rPr>
        <w:t xml:space="preserve">a charity should be able to </w:t>
      </w:r>
      <w:r w:rsidR="00FB6D2A">
        <w:rPr>
          <w:rFonts w:ascii="Times New Roman" w:hAnsi="Times New Roman" w:cs="Times New Roman"/>
        </w:rPr>
        <w:t>justify discrimination</w:t>
      </w:r>
      <w:r w:rsidR="00156876">
        <w:rPr>
          <w:rFonts w:ascii="Times New Roman" w:hAnsi="Times New Roman" w:cs="Times New Roman"/>
        </w:rPr>
        <w:t xml:space="preserve"> under these models, we see that it would be in situations when a charity is challenging social structures that perpetuate inequality. </w:t>
      </w:r>
    </w:p>
    <w:p w14:paraId="6EDAB833" w14:textId="77777777" w:rsidR="00D203AE" w:rsidRDefault="00D203AE" w:rsidP="00CF3CA5">
      <w:pPr>
        <w:spacing w:line="480" w:lineRule="auto"/>
        <w:ind w:firstLine="720"/>
        <w:rPr>
          <w:rFonts w:ascii="Times New Roman" w:hAnsi="Times New Roman" w:cs="Times New Roman"/>
        </w:rPr>
      </w:pPr>
    </w:p>
    <w:p w14:paraId="65708B61" w14:textId="6BED7DCD" w:rsidR="00156876" w:rsidRPr="001C48FB" w:rsidRDefault="00156876" w:rsidP="00156876">
      <w:pPr>
        <w:spacing w:line="480" w:lineRule="auto"/>
        <w:rPr>
          <w:rFonts w:ascii="Times New Roman" w:hAnsi="Times New Roman" w:cs="Times New Roman"/>
          <w:b/>
        </w:rPr>
      </w:pPr>
      <w:r w:rsidRPr="001C48FB">
        <w:rPr>
          <w:rFonts w:ascii="Times New Roman" w:hAnsi="Times New Roman" w:cs="Times New Roman"/>
          <w:b/>
        </w:rPr>
        <w:lastRenderedPageBreak/>
        <w:t>V</w:t>
      </w:r>
      <w:r w:rsidRPr="001C48FB">
        <w:rPr>
          <w:rFonts w:ascii="Times New Roman" w:hAnsi="Times New Roman" w:cs="Times New Roman"/>
          <w:b/>
        </w:rPr>
        <w:tab/>
        <w:t xml:space="preserve"> Conclusion</w:t>
      </w:r>
    </w:p>
    <w:p w14:paraId="341FD280" w14:textId="77777777" w:rsidR="00D203AE" w:rsidRDefault="00D203AE" w:rsidP="00156876">
      <w:pPr>
        <w:spacing w:line="480" w:lineRule="auto"/>
        <w:rPr>
          <w:rFonts w:ascii="Times New Roman" w:hAnsi="Times New Roman" w:cs="Times New Roman"/>
        </w:rPr>
      </w:pPr>
    </w:p>
    <w:p w14:paraId="589FFA9B" w14:textId="6BE9DE3D" w:rsidR="005849FC" w:rsidRDefault="00FB6D2A" w:rsidP="00156876">
      <w:pPr>
        <w:spacing w:line="480" w:lineRule="auto"/>
        <w:rPr>
          <w:rFonts w:ascii="Times New Roman" w:hAnsi="Times New Roman" w:cs="Times New Roman"/>
        </w:rPr>
      </w:pPr>
      <w:r>
        <w:rPr>
          <w:rFonts w:ascii="Times New Roman" w:hAnsi="Times New Roman" w:cs="Times New Roman"/>
        </w:rPr>
        <w:t xml:space="preserve">This chapter has focused on a legal flash point in the UK at the moment. </w:t>
      </w:r>
      <w:r w:rsidR="00482C15">
        <w:rPr>
          <w:rFonts w:ascii="Times New Roman" w:hAnsi="Times New Roman" w:cs="Times New Roman"/>
        </w:rPr>
        <w:t xml:space="preserve">The consultation on potential changes to the GRA has led to debate about whether and when transgender people should be able to access single sex services in the gender in which they identify. Charities that offer </w:t>
      </w:r>
      <w:r w:rsidR="005849FC">
        <w:rPr>
          <w:rFonts w:ascii="Times New Roman" w:hAnsi="Times New Roman" w:cs="Times New Roman"/>
        </w:rPr>
        <w:t xml:space="preserve">these services would do well to consider their policies for including transgender people, to determine whether they are lawful. If a charity’s policy is framed as an exclusion policy, it is unlikely to be lawful. </w:t>
      </w:r>
    </w:p>
    <w:p w14:paraId="787BCEC9" w14:textId="77777777" w:rsidR="005849FC" w:rsidRDefault="005849FC" w:rsidP="00156876">
      <w:pPr>
        <w:spacing w:line="480" w:lineRule="auto"/>
        <w:rPr>
          <w:rFonts w:ascii="Times New Roman" w:hAnsi="Times New Roman" w:cs="Times New Roman"/>
        </w:rPr>
      </w:pPr>
    </w:p>
    <w:p w14:paraId="11000222" w14:textId="5C31AB0C" w:rsidR="00156876" w:rsidRDefault="00AD758F" w:rsidP="005849FC">
      <w:pPr>
        <w:spacing w:line="480" w:lineRule="auto"/>
        <w:ind w:firstLine="720"/>
        <w:rPr>
          <w:rFonts w:ascii="Times New Roman" w:hAnsi="Times New Roman" w:cs="Times New Roman"/>
        </w:rPr>
      </w:pPr>
      <w:r>
        <w:rPr>
          <w:rFonts w:ascii="Times New Roman" w:hAnsi="Times New Roman" w:cs="Times New Roman"/>
        </w:rPr>
        <w:t xml:space="preserve">I have demonstrated the complex interrelationship between charity and equality law. </w:t>
      </w:r>
      <w:r w:rsidR="00ED68A5">
        <w:rPr>
          <w:rFonts w:ascii="Times New Roman" w:hAnsi="Times New Roman" w:cs="Times New Roman"/>
        </w:rPr>
        <w:t>The inclusion of s</w:t>
      </w:r>
      <w:r>
        <w:rPr>
          <w:rFonts w:ascii="Times New Roman" w:hAnsi="Times New Roman" w:cs="Times New Roman"/>
        </w:rPr>
        <w:t xml:space="preserve"> 193 </w:t>
      </w:r>
      <w:r w:rsidR="00ED68A5">
        <w:rPr>
          <w:rFonts w:ascii="Times New Roman" w:hAnsi="Times New Roman" w:cs="Times New Roman"/>
        </w:rPr>
        <w:t>in</w:t>
      </w:r>
      <w:r>
        <w:rPr>
          <w:rFonts w:ascii="Times New Roman" w:hAnsi="Times New Roman" w:cs="Times New Roman"/>
        </w:rPr>
        <w:t xml:space="preserve"> the Equality Act, requiring that discrimination be justifiable across all protected characteristics, was a positive step. As </w:t>
      </w:r>
      <w:r w:rsidR="00902BA7">
        <w:rPr>
          <w:rFonts w:ascii="Times New Roman" w:hAnsi="Times New Roman" w:cs="Times New Roman"/>
        </w:rPr>
        <w:t>UK</w:t>
      </w:r>
      <w:r w:rsidR="00ED68A5">
        <w:rPr>
          <w:rFonts w:ascii="Times New Roman" w:hAnsi="Times New Roman" w:cs="Times New Roman"/>
        </w:rPr>
        <w:t xml:space="preserve"> </w:t>
      </w:r>
      <w:r>
        <w:rPr>
          <w:rFonts w:ascii="Times New Roman" w:hAnsi="Times New Roman" w:cs="Times New Roman"/>
        </w:rPr>
        <w:t xml:space="preserve">equality law is largely symmetrical, this additional </w:t>
      </w:r>
      <w:r w:rsidR="00902BA7">
        <w:rPr>
          <w:rFonts w:ascii="Times New Roman" w:hAnsi="Times New Roman" w:cs="Times New Roman"/>
        </w:rPr>
        <w:t xml:space="preserve">justification </w:t>
      </w:r>
      <w:r>
        <w:rPr>
          <w:rFonts w:ascii="Times New Roman" w:hAnsi="Times New Roman" w:cs="Times New Roman"/>
        </w:rPr>
        <w:t xml:space="preserve">requirement </w:t>
      </w:r>
      <w:r w:rsidR="00902BA7">
        <w:rPr>
          <w:rFonts w:ascii="Times New Roman" w:hAnsi="Times New Roman" w:cs="Times New Roman"/>
        </w:rPr>
        <w:t>is necessary to</w:t>
      </w:r>
      <w:r>
        <w:rPr>
          <w:rFonts w:ascii="Times New Roman" w:hAnsi="Times New Roman" w:cs="Times New Roman"/>
        </w:rPr>
        <w:t xml:space="preserve"> ensure that charitable discri</w:t>
      </w:r>
      <w:r w:rsidR="001C48FB">
        <w:rPr>
          <w:rFonts w:ascii="Times New Roman" w:hAnsi="Times New Roman" w:cs="Times New Roman"/>
        </w:rPr>
        <w:t>minat</w:t>
      </w:r>
      <w:r>
        <w:rPr>
          <w:rFonts w:ascii="Times New Roman" w:hAnsi="Times New Roman" w:cs="Times New Roman"/>
        </w:rPr>
        <w:t xml:space="preserve">ion is </w:t>
      </w:r>
      <w:r w:rsidR="00902BA7">
        <w:rPr>
          <w:rFonts w:ascii="Times New Roman" w:hAnsi="Times New Roman" w:cs="Times New Roman"/>
        </w:rPr>
        <w:t>achieving more than a formal ideal of equality</w:t>
      </w:r>
      <w:r w:rsidR="005B050C">
        <w:rPr>
          <w:rFonts w:ascii="Times New Roman" w:hAnsi="Times New Roman" w:cs="Times New Roman"/>
        </w:rPr>
        <w:t xml:space="preserve">. I have argued that because s 193 is justifying direct discrimination, rather than </w:t>
      </w:r>
      <w:r w:rsidR="00FB6D2A">
        <w:rPr>
          <w:rFonts w:ascii="Times New Roman" w:hAnsi="Times New Roman" w:cs="Times New Roman"/>
        </w:rPr>
        <w:t>in</w:t>
      </w:r>
      <w:r w:rsidR="005B050C">
        <w:rPr>
          <w:rFonts w:ascii="Times New Roman" w:hAnsi="Times New Roman" w:cs="Times New Roman"/>
        </w:rPr>
        <w:t xml:space="preserve">direct discrimination, that it should be construed strictly. The experience of being directly discriminated against is invidious and the justification required to make this lawful should be correspondingly stringent. </w:t>
      </w:r>
      <w:r w:rsidR="00325517">
        <w:rPr>
          <w:rFonts w:ascii="Times New Roman" w:hAnsi="Times New Roman" w:cs="Times New Roman"/>
        </w:rPr>
        <w:t>Charities have favoured status from the state and</w:t>
      </w:r>
      <w:r w:rsidR="00AE5107">
        <w:rPr>
          <w:rFonts w:ascii="Times New Roman" w:hAnsi="Times New Roman" w:cs="Times New Roman"/>
        </w:rPr>
        <w:t>,</w:t>
      </w:r>
      <w:r w:rsidR="00325517">
        <w:rPr>
          <w:rFonts w:ascii="Times New Roman" w:hAnsi="Times New Roman" w:cs="Times New Roman"/>
        </w:rPr>
        <w:t xml:space="preserve"> therefore</w:t>
      </w:r>
      <w:r w:rsidR="00AE5107">
        <w:rPr>
          <w:rFonts w:ascii="Times New Roman" w:hAnsi="Times New Roman" w:cs="Times New Roman"/>
        </w:rPr>
        <w:t>,</w:t>
      </w:r>
      <w:r w:rsidR="00325517">
        <w:rPr>
          <w:rFonts w:ascii="Times New Roman" w:hAnsi="Times New Roman" w:cs="Times New Roman"/>
        </w:rPr>
        <w:t xml:space="preserve"> should be held to a higher standard to justify their discriminatory practices.</w:t>
      </w:r>
    </w:p>
    <w:p w14:paraId="6DC09C2E" w14:textId="77777777" w:rsidR="00AE5107" w:rsidRDefault="00AE5107" w:rsidP="00156876">
      <w:pPr>
        <w:spacing w:line="480" w:lineRule="auto"/>
        <w:rPr>
          <w:rFonts w:ascii="Times New Roman" w:hAnsi="Times New Roman" w:cs="Times New Roman"/>
        </w:rPr>
      </w:pPr>
    </w:p>
    <w:p w14:paraId="11C2F364" w14:textId="0E5317AD" w:rsidR="00325517" w:rsidRDefault="00325517" w:rsidP="00156876">
      <w:pPr>
        <w:spacing w:line="480" w:lineRule="auto"/>
        <w:rPr>
          <w:rFonts w:ascii="Times New Roman" w:hAnsi="Times New Roman" w:cs="Times New Roman"/>
        </w:rPr>
      </w:pPr>
      <w:r>
        <w:rPr>
          <w:rFonts w:ascii="Times New Roman" w:hAnsi="Times New Roman" w:cs="Times New Roman"/>
        </w:rPr>
        <w:tab/>
        <w:t xml:space="preserve">I examined three possible mechanisms by which a charity might </w:t>
      </w:r>
      <w:r w:rsidR="00FB6D2A">
        <w:rPr>
          <w:rFonts w:ascii="Times New Roman" w:hAnsi="Times New Roman" w:cs="Times New Roman"/>
        </w:rPr>
        <w:t xml:space="preserve">lawfully </w:t>
      </w:r>
      <w:r>
        <w:rPr>
          <w:rFonts w:ascii="Times New Roman" w:hAnsi="Times New Roman" w:cs="Times New Roman"/>
        </w:rPr>
        <w:t xml:space="preserve">be able to limit its services to only </w:t>
      </w:r>
      <w:r w:rsidR="007666F0">
        <w:rPr>
          <w:rFonts w:ascii="Times New Roman" w:hAnsi="Times New Roman" w:cs="Times New Roman"/>
        </w:rPr>
        <w:t>cisgender</w:t>
      </w:r>
      <w:r>
        <w:rPr>
          <w:rFonts w:ascii="Times New Roman" w:hAnsi="Times New Roman" w:cs="Times New Roman"/>
        </w:rPr>
        <w:t xml:space="preserve"> women, and concluded that the exceptions for single sex services was the only viable option. A charity would not </w:t>
      </w:r>
      <w:r w:rsidR="00AE5107">
        <w:rPr>
          <w:rFonts w:ascii="Times New Roman" w:hAnsi="Times New Roman" w:cs="Times New Roman"/>
        </w:rPr>
        <w:t xml:space="preserve">and should not </w:t>
      </w:r>
      <w:r>
        <w:rPr>
          <w:rFonts w:ascii="Times New Roman" w:hAnsi="Times New Roman" w:cs="Times New Roman"/>
        </w:rPr>
        <w:t xml:space="preserve">be able to issue a lawful blanket ban on all </w:t>
      </w:r>
      <w:r w:rsidR="007666F0">
        <w:rPr>
          <w:rFonts w:ascii="Times New Roman" w:hAnsi="Times New Roman" w:cs="Times New Roman"/>
        </w:rPr>
        <w:t>transgender</w:t>
      </w:r>
      <w:r>
        <w:rPr>
          <w:rFonts w:ascii="Times New Roman" w:hAnsi="Times New Roman" w:cs="Times New Roman"/>
        </w:rPr>
        <w:t xml:space="preserve"> women, however. Each individual would need to be assessed on a case by case basis. </w:t>
      </w:r>
      <w:r w:rsidR="005849FC">
        <w:rPr>
          <w:rFonts w:ascii="Times New Roman" w:hAnsi="Times New Roman" w:cs="Times New Roman"/>
        </w:rPr>
        <w:t xml:space="preserve">These assessments would need to be based upon evidence, </w:t>
      </w:r>
      <w:r w:rsidR="005849FC">
        <w:rPr>
          <w:rFonts w:ascii="Times New Roman" w:hAnsi="Times New Roman" w:cs="Times New Roman"/>
        </w:rPr>
        <w:lastRenderedPageBreak/>
        <w:t xml:space="preserve">rather than assumptions. </w:t>
      </w:r>
      <w:r>
        <w:rPr>
          <w:rFonts w:ascii="Times New Roman" w:hAnsi="Times New Roman" w:cs="Times New Roman"/>
        </w:rPr>
        <w:t xml:space="preserve">The reasons required to make the exclusion of a </w:t>
      </w:r>
      <w:r w:rsidR="007666F0">
        <w:rPr>
          <w:rFonts w:ascii="Times New Roman" w:hAnsi="Times New Roman" w:cs="Times New Roman"/>
        </w:rPr>
        <w:t>transgender</w:t>
      </w:r>
      <w:r>
        <w:rPr>
          <w:rFonts w:ascii="Times New Roman" w:hAnsi="Times New Roman" w:cs="Times New Roman"/>
        </w:rPr>
        <w:t xml:space="preserve"> woman with a GRC would need to be correspondingly weightier than for those without. This is true bot</w:t>
      </w:r>
      <w:r w:rsidR="00AF1AF2">
        <w:rPr>
          <w:rFonts w:ascii="Times New Roman" w:hAnsi="Times New Roman" w:cs="Times New Roman"/>
        </w:rPr>
        <w:t>h</w:t>
      </w:r>
      <w:r>
        <w:rPr>
          <w:rFonts w:ascii="Times New Roman" w:hAnsi="Times New Roman" w:cs="Times New Roman"/>
        </w:rPr>
        <w:t xml:space="preserve"> because a </w:t>
      </w:r>
      <w:r w:rsidR="007666F0">
        <w:rPr>
          <w:rFonts w:ascii="Times New Roman" w:hAnsi="Times New Roman" w:cs="Times New Roman"/>
        </w:rPr>
        <w:t>transgender</w:t>
      </w:r>
      <w:r>
        <w:rPr>
          <w:rFonts w:ascii="Times New Roman" w:hAnsi="Times New Roman" w:cs="Times New Roman"/>
        </w:rPr>
        <w:t xml:space="preserve"> woman with a GRC has legally changed her sex, but also because a GRC will be evidence of a long term commitment to living in her acquired gender. This must tip the scales of proportionality away from exclusion in these case</w:t>
      </w:r>
      <w:r w:rsidR="00AF1AF2">
        <w:rPr>
          <w:rFonts w:ascii="Times New Roman" w:hAnsi="Times New Roman" w:cs="Times New Roman"/>
        </w:rPr>
        <w:t>s, in all but a handful of circumstances</w:t>
      </w:r>
      <w:r>
        <w:rPr>
          <w:rFonts w:ascii="Times New Roman" w:hAnsi="Times New Roman" w:cs="Times New Roman"/>
        </w:rPr>
        <w:t>.</w:t>
      </w:r>
      <w:r w:rsidR="00AF1AF2">
        <w:rPr>
          <w:rStyle w:val="FootnoteReference"/>
          <w:rFonts w:ascii="Times New Roman" w:hAnsi="Times New Roman" w:cs="Times New Roman"/>
        </w:rPr>
        <w:footnoteReference w:id="120"/>
      </w:r>
      <w:r>
        <w:rPr>
          <w:rFonts w:ascii="Times New Roman" w:hAnsi="Times New Roman" w:cs="Times New Roman"/>
        </w:rPr>
        <w:t xml:space="preserve">  </w:t>
      </w:r>
    </w:p>
    <w:p w14:paraId="4787B0AB" w14:textId="77777777" w:rsidR="00AE5107" w:rsidRDefault="00AE5107" w:rsidP="00156876">
      <w:pPr>
        <w:spacing w:line="480" w:lineRule="auto"/>
        <w:rPr>
          <w:rFonts w:ascii="Times New Roman" w:hAnsi="Times New Roman" w:cs="Times New Roman"/>
        </w:rPr>
      </w:pPr>
    </w:p>
    <w:p w14:paraId="69E1370C" w14:textId="0B49659F" w:rsidR="00325517" w:rsidRDefault="00325517" w:rsidP="00156876">
      <w:pPr>
        <w:spacing w:line="480" w:lineRule="auto"/>
        <w:rPr>
          <w:rFonts w:ascii="Times New Roman" w:hAnsi="Times New Roman" w:cs="Times New Roman"/>
        </w:rPr>
      </w:pPr>
      <w:r>
        <w:rPr>
          <w:rFonts w:ascii="Times New Roman" w:hAnsi="Times New Roman" w:cs="Times New Roman"/>
        </w:rPr>
        <w:tab/>
        <w:t>Finally, I looked to the theoretical underpinnings that have been offered in support of normative ideals of equality and anti-discrimination law to see if they offered any further insight into when it should be allowable for a charity to discriminate. The theory underlying equality and anti-discrimination law is deeply contested.</w:t>
      </w:r>
      <w:r w:rsidR="00871B6B">
        <w:rPr>
          <w:rFonts w:ascii="Times New Roman" w:hAnsi="Times New Roman" w:cs="Times New Roman"/>
        </w:rPr>
        <w:t xml:space="preserve"> That said, we were able to gain some insight into when charitable discrimination should be able to be justified. In terms of discrimination that redress</w:t>
      </w:r>
      <w:r w:rsidR="00ED68A5">
        <w:rPr>
          <w:rFonts w:ascii="Times New Roman" w:hAnsi="Times New Roman" w:cs="Times New Roman"/>
        </w:rPr>
        <w:t>es</w:t>
      </w:r>
      <w:r w:rsidR="00871B6B">
        <w:rPr>
          <w:rFonts w:ascii="Times New Roman" w:hAnsi="Times New Roman" w:cs="Times New Roman"/>
        </w:rPr>
        <w:t xml:space="preserve"> disadvantage under s 193(2)(b), this should be straightforward. </w:t>
      </w:r>
      <w:r w:rsidR="00AF1AF2">
        <w:rPr>
          <w:rFonts w:ascii="Times New Roman" w:hAnsi="Times New Roman" w:cs="Times New Roman"/>
        </w:rPr>
        <w:t>As there is now a general consensus that equality law is striving for more than formal equality, t</w:t>
      </w:r>
      <w:r w:rsidR="00871B6B">
        <w:rPr>
          <w:rFonts w:ascii="Times New Roman" w:hAnsi="Times New Roman" w:cs="Times New Roman"/>
        </w:rPr>
        <w:t xml:space="preserve">ackling disadvantage is a noncontroversial goal for both discrimination law and charities. </w:t>
      </w:r>
    </w:p>
    <w:p w14:paraId="19CC3BD6" w14:textId="77777777" w:rsidR="00AE5107" w:rsidRDefault="00AE5107" w:rsidP="00156876">
      <w:pPr>
        <w:spacing w:line="480" w:lineRule="auto"/>
        <w:rPr>
          <w:rFonts w:ascii="Times New Roman" w:hAnsi="Times New Roman" w:cs="Times New Roman"/>
        </w:rPr>
      </w:pPr>
    </w:p>
    <w:p w14:paraId="4416D62B" w14:textId="60D6D8AB" w:rsidR="00EF6A02" w:rsidRPr="00004886" w:rsidRDefault="00871B6B" w:rsidP="00004886">
      <w:pPr>
        <w:spacing w:line="480" w:lineRule="auto"/>
        <w:rPr>
          <w:rFonts w:ascii="Times New Roman" w:hAnsi="Times New Roman" w:cs="Times New Roman"/>
        </w:rPr>
      </w:pPr>
      <w:r>
        <w:rPr>
          <w:rFonts w:ascii="Times New Roman" w:hAnsi="Times New Roman" w:cs="Times New Roman"/>
        </w:rPr>
        <w:tab/>
        <w:t xml:space="preserve">When deciding what could be a proportionate means of achieving a legitimate aim under s 193(2)(a), considering the theoretical bases for equality law offered the concepts that this should only be allowable when the discrimination is in favour of the vulnerable. Although symmetrical equality law offers protection to all the cognate groups of a protected characteristic, it would not be acceptable to focus on the relatively advantaged at the expense of the relatively disadvantaged. This is not what equality law is for. </w:t>
      </w:r>
      <w:r w:rsidR="00AF1AF2">
        <w:rPr>
          <w:rFonts w:ascii="Times New Roman" w:hAnsi="Times New Roman" w:cs="Times New Roman"/>
        </w:rPr>
        <w:t xml:space="preserve">Charities should be </w:t>
      </w:r>
      <w:r w:rsidR="00AF1AF2">
        <w:rPr>
          <w:rFonts w:ascii="Times New Roman" w:hAnsi="Times New Roman" w:cs="Times New Roman"/>
        </w:rPr>
        <w:lastRenderedPageBreak/>
        <w:t>making a difference by tackling the additional elements of Fredman’s model, by combatting stigma and stereotyping, enhancing voice and participation, accommodating difference and achieving social change.</w:t>
      </w:r>
      <w:r w:rsidR="00AF1AF2">
        <w:rPr>
          <w:rStyle w:val="FootnoteReference"/>
          <w:rFonts w:ascii="Times New Roman" w:hAnsi="Times New Roman" w:cs="Times New Roman"/>
        </w:rPr>
        <w:footnoteReference w:id="121"/>
      </w:r>
      <w:r w:rsidR="00AF1AF2">
        <w:rPr>
          <w:rFonts w:ascii="Times New Roman" w:hAnsi="Times New Roman" w:cs="Times New Roman"/>
        </w:rPr>
        <w:t xml:space="preserve"> </w:t>
      </w:r>
      <w:r w:rsidR="00820D89">
        <w:rPr>
          <w:rFonts w:ascii="Times New Roman" w:hAnsi="Times New Roman" w:cs="Times New Roman"/>
        </w:rPr>
        <w:t xml:space="preserve">The discrimination against transgender women discussed in this chapter meets none of these circumstances and is unacceptable. </w:t>
      </w:r>
      <w:bookmarkStart w:id="0" w:name="_GoBack"/>
      <w:bookmarkEnd w:id="0"/>
      <w:r>
        <w:rPr>
          <w:rFonts w:ascii="Times New Roman" w:hAnsi="Times New Roman" w:cs="Times New Roman"/>
        </w:rPr>
        <w:t>Charitable discrimination should be able to be justified when it is operating as a tool for social transformation.</w:t>
      </w:r>
      <w:r>
        <w:rPr>
          <w:rStyle w:val="FootnoteReference"/>
          <w:rFonts w:ascii="Times New Roman" w:hAnsi="Times New Roman" w:cs="Times New Roman"/>
        </w:rPr>
        <w:footnoteReference w:id="122"/>
      </w:r>
      <w:r>
        <w:rPr>
          <w:rFonts w:ascii="Times New Roman" w:hAnsi="Times New Roman" w:cs="Times New Roman"/>
        </w:rPr>
        <w:t xml:space="preserve"> That should be the point of charity and the point of equality law.</w:t>
      </w:r>
    </w:p>
    <w:sectPr w:rsidR="00EF6A02" w:rsidRPr="00004886" w:rsidSect="00857403">
      <w:footerReference w:type="even" r:id="rId8"/>
      <w:footerReference w:type="default" r:id="rId9"/>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CEA7F" w16cid:durableId="1FA12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2128B" w14:textId="77777777" w:rsidR="00980FDE" w:rsidRDefault="00980FDE" w:rsidP="001145A2">
      <w:r>
        <w:separator/>
      </w:r>
    </w:p>
  </w:endnote>
  <w:endnote w:type="continuationSeparator" w:id="0">
    <w:p w14:paraId="5AAEC54C" w14:textId="77777777" w:rsidR="00980FDE" w:rsidRDefault="00980FDE" w:rsidP="0011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6996841"/>
      <w:docPartObj>
        <w:docPartGallery w:val="Page Numbers (Bottom of Page)"/>
        <w:docPartUnique/>
      </w:docPartObj>
    </w:sdtPr>
    <w:sdtContent>
      <w:p w14:paraId="74C20C93" w14:textId="77777777" w:rsidR="00E14FAE" w:rsidRDefault="00E14FAE" w:rsidP="00486A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695E82" w14:textId="77777777" w:rsidR="00E14FAE" w:rsidRDefault="00E14FAE" w:rsidP="00314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83039178"/>
      <w:docPartObj>
        <w:docPartGallery w:val="Page Numbers (Bottom of Page)"/>
        <w:docPartUnique/>
      </w:docPartObj>
    </w:sdtPr>
    <w:sdtContent>
      <w:p w14:paraId="2F10EFE1" w14:textId="332D17B1" w:rsidR="00E14FAE" w:rsidRDefault="00E14FAE" w:rsidP="00486A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0D89">
          <w:rPr>
            <w:rStyle w:val="PageNumber"/>
            <w:noProof/>
          </w:rPr>
          <w:t>38</w:t>
        </w:r>
        <w:r>
          <w:rPr>
            <w:rStyle w:val="PageNumber"/>
          </w:rPr>
          <w:fldChar w:fldCharType="end"/>
        </w:r>
      </w:p>
    </w:sdtContent>
  </w:sdt>
  <w:p w14:paraId="37CF61BB" w14:textId="77777777" w:rsidR="00E14FAE" w:rsidRDefault="00E14FAE" w:rsidP="00314C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B40A" w14:textId="77777777" w:rsidR="00980FDE" w:rsidRDefault="00980FDE" w:rsidP="001145A2">
      <w:r>
        <w:separator/>
      </w:r>
    </w:p>
  </w:footnote>
  <w:footnote w:type="continuationSeparator" w:id="0">
    <w:p w14:paraId="0C558B0B" w14:textId="77777777" w:rsidR="00980FDE" w:rsidRDefault="00980FDE" w:rsidP="001145A2">
      <w:r>
        <w:continuationSeparator/>
      </w:r>
    </w:p>
  </w:footnote>
  <w:footnote w:id="1">
    <w:p w14:paraId="66EBACCE" w14:textId="58934A9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 thank Debra Morris and Anne Morris for letting me expand on our original study in this chapter. This chapter is indebted to their work on that project. I am grateful for thoughtful comments and insight on earlier drafts from Sarah Jane Cooper-Knock, Michelle Farrell, Anne Morris, John Picton and reviewers. Any errors remain my own.  </w:t>
      </w:r>
    </w:p>
  </w:footnote>
  <w:footnote w:id="2">
    <w:p w14:paraId="5B9AE80A" w14:textId="5AA0A8FA" w:rsidR="00E14FAE" w:rsidRPr="002B7B48" w:rsidRDefault="00E14FAE" w:rsidP="00E40EAA">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Debra Morris, ‘Charities and the Modern Equality Framework--Heading for a Collision?’ (2012) 65(1) </w:t>
      </w:r>
      <w:r w:rsidRPr="002B7B48">
        <w:rPr>
          <w:rFonts w:ascii="Times New Roman" w:hAnsi="Times New Roman" w:cs="Times New Roman"/>
          <w:i/>
        </w:rPr>
        <w:t>Current Legal Problems</w:t>
      </w:r>
      <w:r w:rsidRPr="002B7B48">
        <w:rPr>
          <w:rFonts w:ascii="Times New Roman" w:hAnsi="Times New Roman" w:cs="Times New Roman"/>
        </w:rPr>
        <w:t xml:space="preserve">, 295-331. </w:t>
      </w:r>
    </w:p>
  </w:footnote>
  <w:footnote w:id="3">
    <w:p w14:paraId="2BC7D4EA" w14:textId="302BB3FB"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See, e.g., ‘'Shifting sands': six legal views on the transgender debate’, </w:t>
      </w:r>
      <w:r w:rsidRPr="002B7B48">
        <w:rPr>
          <w:rFonts w:ascii="Times New Roman" w:hAnsi="Times New Roman" w:cs="Times New Roman"/>
          <w:i/>
        </w:rPr>
        <w:t>The Guardian</w:t>
      </w:r>
      <w:r w:rsidRPr="002B7B48">
        <w:rPr>
          <w:rFonts w:ascii="Times New Roman" w:hAnsi="Times New Roman" w:cs="Times New Roman"/>
        </w:rPr>
        <w:t>, 19 October 2018.</w:t>
      </w:r>
    </w:p>
  </w:footnote>
  <w:footnote w:id="4">
    <w:p w14:paraId="014B00DC" w14:textId="3316BC39"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Debra Morris, Anne Morris and Jennifer Sigafoos, </w:t>
      </w:r>
      <w:r w:rsidRPr="002B7B48">
        <w:rPr>
          <w:rFonts w:ascii="Times New Roman" w:hAnsi="Times New Roman" w:cs="Times New Roman"/>
          <w:i/>
          <w:iCs/>
        </w:rPr>
        <w:t>The Impact of the Equality Act 2010 on Charities</w:t>
      </w:r>
      <w:r w:rsidRPr="002B7B48">
        <w:rPr>
          <w:rFonts w:ascii="Times New Roman" w:hAnsi="Times New Roman" w:cs="Times New Roman"/>
        </w:rPr>
        <w:t xml:space="preserve">, Charity Law and Policy Unit, (Liverpool, University of Liverpool Charity Law and Policy Unit, 2013); Jennifer Sigafoos, ‘Using Equality Legislation as a Sword’, 16(2-3) </w:t>
      </w:r>
      <w:r w:rsidRPr="002B7B48">
        <w:rPr>
          <w:rFonts w:ascii="Times New Roman" w:hAnsi="Times New Roman" w:cs="Times New Roman"/>
          <w:i/>
        </w:rPr>
        <w:t>International Journal of Discrimination Law</w:t>
      </w:r>
      <w:r w:rsidRPr="002B7B48">
        <w:rPr>
          <w:rFonts w:ascii="Times New Roman" w:hAnsi="Times New Roman" w:cs="Times New Roman"/>
        </w:rPr>
        <w:t xml:space="preserve"> 66-82.</w:t>
      </w:r>
    </w:p>
  </w:footnote>
  <w:footnote w:id="5">
    <w:p w14:paraId="3D5A5F51" w14:textId="4194F9E4"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Debra Morris, Anne Morris and Jennifer Sigafoos ‘Adopting (in)equality in the UK: the Equality Act 2010 and its impact on charities’ 38(1) </w:t>
      </w:r>
      <w:r w:rsidRPr="002B7B48">
        <w:rPr>
          <w:rFonts w:ascii="Times New Roman" w:hAnsi="Times New Roman" w:cs="Times New Roman"/>
          <w:i/>
        </w:rPr>
        <w:t>Journal of Social Welfare and Family Law</w:t>
      </w:r>
      <w:r w:rsidRPr="002B7B48">
        <w:rPr>
          <w:rFonts w:ascii="Times New Roman" w:hAnsi="Times New Roman" w:cs="Times New Roman"/>
        </w:rPr>
        <w:t xml:space="preserve">, 14-35; Morris, Morris ad Sigafoos, </w:t>
      </w:r>
      <w:r w:rsidRPr="002B7B48">
        <w:rPr>
          <w:rFonts w:ascii="Times New Roman" w:hAnsi="Times New Roman" w:cs="Times New Roman"/>
          <w:i/>
        </w:rPr>
        <w:t>The Impact of the Equality Act 2010 on Charities</w:t>
      </w:r>
      <w:r w:rsidRPr="002B7B48">
        <w:rPr>
          <w:rFonts w:ascii="Times New Roman" w:hAnsi="Times New Roman" w:cs="Times New Roman"/>
        </w:rPr>
        <w:t>, n 4.</w:t>
      </w:r>
    </w:p>
  </w:footnote>
  <w:footnote w:id="6">
    <w:p w14:paraId="120D90BB" w14:textId="5B9F2621"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Elements of Sandra Fredman’s model of substantive equality in ‘Substantive equality revisited,’ (2016) 14(3) </w:t>
      </w:r>
      <w:r w:rsidRPr="002B7B48">
        <w:rPr>
          <w:rFonts w:ascii="Times New Roman" w:hAnsi="Times New Roman" w:cs="Times New Roman"/>
          <w:i/>
        </w:rPr>
        <w:t>I-CON</w:t>
      </w:r>
      <w:r w:rsidRPr="002B7B48">
        <w:rPr>
          <w:rFonts w:ascii="Times New Roman" w:hAnsi="Times New Roman" w:cs="Times New Roman"/>
        </w:rPr>
        <w:t xml:space="preserve"> 712, 713.</w:t>
      </w:r>
    </w:p>
  </w:footnote>
  <w:footnote w:id="7">
    <w:p w14:paraId="13E8DCB3" w14:textId="77777777" w:rsidR="00E14FAE" w:rsidRPr="002B7B48" w:rsidRDefault="00E14FAE" w:rsidP="00B62B3D">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http://hospitalofstcross.co.uk/history/</w:t>
      </w:r>
    </w:p>
  </w:footnote>
  <w:footnote w:id="8">
    <w:p w14:paraId="676784C9" w14:textId="77777777" w:rsidR="00E14FAE" w:rsidRPr="002B7B48" w:rsidRDefault="00E14FAE" w:rsidP="00B62B3D">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http://apps.charitycommission.gov.uk/Showcharity/RegisterOfCharities/CharityFramework.aspx?RegisteredCharityNumber=202751&amp;SubsidiaryNumber=0</w:t>
      </w:r>
    </w:p>
  </w:footnote>
  <w:footnote w:id="9">
    <w:p w14:paraId="6E052048" w14:textId="020F2694" w:rsidR="00E14FAE" w:rsidRPr="002B7B48" w:rsidRDefault="00E14FAE" w:rsidP="00964F3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Thomas G Watkin ‘Discrimination and Charity’ (1981) 131 </w:t>
      </w:r>
      <w:r w:rsidRPr="002B7B48">
        <w:rPr>
          <w:rFonts w:ascii="Times New Roman" w:hAnsi="Times New Roman" w:cs="Times New Roman"/>
          <w:i/>
        </w:rPr>
        <w:t>Conv</w:t>
      </w:r>
      <w:r w:rsidRPr="002B7B48">
        <w:rPr>
          <w:rFonts w:ascii="Times New Roman" w:hAnsi="Times New Roman" w:cs="Times New Roman"/>
        </w:rPr>
        <w:t xml:space="preserve"> 131.</w:t>
      </w:r>
    </w:p>
  </w:footnote>
  <w:footnote w:id="10">
    <w:p w14:paraId="7E465931" w14:textId="5A5CD71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Blathwayt v Baron Cawley [1976] AC 397, 426. This testamentary freedom to make discriminatory gifts has persisted. </w:t>
      </w:r>
    </w:p>
  </w:footnote>
  <w:footnote w:id="11">
    <w:p w14:paraId="0D1D61F4" w14:textId="107FFFD5"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Style w:val="ref-fn-p"/>
          <w:rFonts w:ascii="Times New Roman" w:hAnsi="Times New Roman" w:cs="Times New Roman"/>
        </w:rPr>
        <w:t xml:space="preserve">Matthew Harding, ‘Some Arguments Against Discriminatory Gifts and Trusts’ (2011) 31 </w:t>
      </w:r>
      <w:r w:rsidRPr="002B7B48">
        <w:rPr>
          <w:rStyle w:val="ref-fn-p"/>
          <w:rFonts w:ascii="Times New Roman" w:hAnsi="Times New Roman" w:cs="Times New Roman"/>
          <w:i/>
        </w:rPr>
        <w:t>OJLS</w:t>
      </w:r>
      <w:r w:rsidRPr="002B7B48">
        <w:rPr>
          <w:rStyle w:val="ref-fn-p"/>
          <w:rFonts w:ascii="Times New Roman" w:hAnsi="Times New Roman" w:cs="Times New Roman"/>
        </w:rPr>
        <w:t xml:space="preserve"> 303.</w:t>
      </w:r>
    </w:p>
  </w:footnote>
  <w:footnote w:id="12">
    <w:p w14:paraId="441A3A1D" w14:textId="339DDF17" w:rsidR="00E14FAE" w:rsidRPr="002B7B48" w:rsidRDefault="00E14FAE" w:rsidP="00964F3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Sex Discrimination Act 1975, Race Relations Act 1976 or the Disability Discrimination Act 1995</w:t>
      </w:r>
    </w:p>
  </w:footnote>
  <w:footnote w:id="13">
    <w:p w14:paraId="634941A7" w14:textId="77777777" w:rsidR="00E14FAE" w:rsidRPr="002B7B48" w:rsidRDefault="00E14FAE" w:rsidP="00126B59">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s193(1)</w:t>
      </w:r>
    </w:p>
  </w:footnote>
  <w:footnote w:id="14">
    <w:p w14:paraId="35388A09" w14:textId="54E1F370"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s193(2)(a)</w:t>
      </w:r>
    </w:p>
  </w:footnote>
  <w:footnote w:id="15">
    <w:p w14:paraId="6B83992D" w14:textId="7E0DFAFB" w:rsidR="00E14FAE" w:rsidRPr="002B7B48" w:rsidRDefault="00E14FAE" w:rsidP="00964F3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s193(2)(b)</w:t>
      </w:r>
    </w:p>
  </w:footnote>
  <w:footnote w:id="16">
    <w:p w14:paraId="3B3E6C61" w14:textId="4121EA82"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Schedule 23, para 3, not considered in the body of this chapter, provides an exception from sex and gender reassignment discrimination in the case of the provision of communal accommodation, so long as the restriction is ‘managed in a way which is as fair as possible to both men and women’(para 3(2). This may be the justification for the direct discrimination on grounds of sex that appears to be the case for the Hospital of St Cross and the Almshouse of Noble Poverty. This exception might also affect our hypothetical charity if it offered accommodation services.</w:t>
      </w:r>
    </w:p>
  </w:footnote>
  <w:footnote w:id="17">
    <w:p w14:paraId="329837FA" w14:textId="77777777" w:rsidR="00E14FAE" w:rsidRPr="002B7B48" w:rsidRDefault="00E14FAE" w:rsidP="00964F3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 158.</w:t>
      </w:r>
    </w:p>
  </w:footnote>
  <w:footnote w:id="18">
    <w:p w14:paraId="4026B66B" w14:textId="77777777" w:rsidR="00E14FAE" w:rsidRPr="002B7B48" w:rsidRDefault="00E14FAE" w:rsidP="002402F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Charities Act 2011, s1.</w:t>
      </w:r>
    </w:p>
  </w:footnote>
  <w:footnote w:id="19">
    <w:p w14:paraId="6D0F15E7" w14:textId="069A977F"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See Harding in this volume, on ‘constitutive accountability’.</w:t>
      </w:r>
    </w:p>
  </w:footnote>
  <w:footnote w:id="20">
    <w:p w14:paraId="2831080E" w14:textId="77777777" w:rsidR="00E14FAE" w:rsidRPr="002B7B48" w:rsidRDefault="00E14FAE" w:rsidP="002402F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Charity Commission, ‘Equality Act Guidance for Charities: Restricting who can benefit from charities’ (2011), 4.3, 5.2, 5,5.</w:t>
      </w:r>
    </w:p>
  </w:footnote>
  <w:footnote w:id="21">
    <w:p w14:paraId="4C75EAC9" w14:textId="2F338E90"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Morris, Morris and Sigafoos, </w:t>
      </w:r>
      <w:r w:rsidRPr="002B7B48">
        <w:rPr>
          <w:rFonts w:ascii="Times New Roman" w:hAnsi="Times New Roman" w:cs="Times New Roman"/>
          <w:i/>
        </w:rPr>
        <w:t xml:space="preserve">The Impact of the Equality Act on Charities, </w:t>
      </w:r>
      <w:r w:rsidRPr="002B7B48">
        <w:rPr>
          <w:rFonts w:ascii="Times New Roman" w:hAnsi="Times New Roman" w:cs="Times New Roman"/>
        </w:rPr>
        <w:t>n 4.</w:t>
      </w:r>
    </w:p>
  </w:footnote>
  <w:footnote w:id="22">
    <w:p w14:paraId="62A06FA5" w14:textId="77777777" w:rsidR="00E14FAE" w:rsidRPr="002B7B48" w:rsidRDefault="00E14FAE" w:rsidP="00F6102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Directive 2000/43/EC</w:t>
      </w:r>
    </w:p>
  </w:footnote>
  <w:footnote w:id="23">
    <w:p w14:paraId="3FE7F9E3" w14:textId="77777777" w:rsidR="00E14FAE" w:rsidRPr="002B7B48" w:rsidRDefault="00E14FAE" w:rsidP="00F6102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so-called Recast Directive, 2006/54/EC.</w:t>
      </w:r>
    </w:p>
  </w:footnote>
  <w:footnote w:id="24">
    <w:p w14:paraId="416A575A" w14:textId="77777777" w:rsidR="00E14FAE" w:rsidRPr="002B7B48" w:rsidRDefault="00E14FAE" w:rsidP="00F6102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Directive 79/7/EEC</w:t>
      </w:r>
    </w:p>
  </w:footnote>
  <w:footnote w:id="25">
    <w:p w14:paraId="27A5E207" w14:textId="77777777" w:rsidR="00E14FAE" w:rsidRPr="002B7B48" w:rsidRDefault="00E14FAE" w:rsidP="00F61026">
      <w:pPr>
        <w:pStyle w:val="FootnoteText"/>
        <w:rPr>
          <w:rFonts w:ascii="Times New Roman" w:hAnsi="Times New Roman" w:cs="Times New Roman"/>
          <w:lang w:val="fr-FR"/>
        </w:rPr>
      </w:pPr>
      <w:r w:rsidRPr="002B7B48">
        <w:rPr>
          <w:rStyle w:val="FootnoteReference"/>
          <w:rFonts w:ascii="Times New Roman" w:hAnsi="Times New Roman" w:cs="Times New Roman"/>
        </w:rPr>
        <w:footnoteRef/>
      </w:r>
      <w:r w:rsidRPr="002B7B48">
        <w:rPr>
          <w:rFonts w:ascii="Times New Roman" w:hAnsi="Times New Roman" w:cs="Times New Roman"/>
          <w:lang w:val="fr-FR"/>
        </w:rPr>
        <w:t>Directive 2004/113/EC</w:t>
      </w:r>
    </w:p>
  </w:footnote>
  <w:footnote w:id="26">
    <w:p w14:paraId="21DCE137" w14:textId="77777777" w:rsidR="00E14FAE" w:rsidRPr="002B7B48" w:rsidRDefault="00E14FAE" w:rsidP="00F61026">
      <w:pPr>
        <w:pStyle w:val="FootnoteText"/>
        <w:rPr>
          <w:rFonts w:ascii="Times New Roman" w:hAnsi="Times New Roman" w:cs="Times New Roman"/>
          <w:lang w:val="fr-FR"/>
        </w:rPr>
      </w:pPr>
      <w:r w:rsidRPr="002B7B48">
        <w:rPr>
          <w:rStyle w:val="FootnoteReference"/>
          <w:rFonts w:ascii="Times New Roman" w:hAnsi="Times New Roman" w:cs="Times New Roman"/>
        </w:rPr>
        <w:footnoteRef/>
      </w:r>
      <w:r w:rsidRPr="002B7B48">
        <w:rPr>
          <w:rFonts w:ascii="Times New Roman" w:hAnsi="Times New Roman" w:cs="Times New Roman"/>
          <w:lang w:val="fr-FR"/>
        </w:rPr>
        <w:t xml:space="preserve"> 92/85/EEC</w:t>
      </w:r>
    </w:p>
  </w:footnote>
  <w:footnote w:id="27">
    <w:p w14:paraId="31B8B713" w14:textId="77777777" w:rsidR="00E14FAE" w:rsidRPr="002B7B48" w:rsidRDefault="00E14FAE" w:rsidP="00F61026">
      <w:pPr>
        <w:pStyle w:val="FootnoteText"/>
        <w:rPr>
          <w:rFonts w:ascii="Times New Roman" w:hAnsi="Times New Roman" w:cs="Times New Roman"/>
          <w:lang w:val="fr-FR"/>
        </w:rPr>
      </w:pPr>
      <w:r w:rsidRPr="002B7B48">
        <w:rPr>
          <w:rStyle w:val="FootnoteReference"/>
          <w:rFonts w:ascii="Times New Roman" w:hAnsi="Times New Roman" w:cs="Times New Roman"/>
        </w:rPr>
        <w:footnoteRef/>
      </w:r>
      <w:r w:rsidRPr="002B7B48">
        <w:rPr>
          <w:rFonts w:ascii="Times New Roman" w:hAnsi="Times New Roman" w:cs="Times New Roman"/>
          <w:lang w:val="fr-FR"/>
        </w:rPr>
        <w:t>2010/18/EU</w:t>
      </w:r>
    </w:p>
  </w:footnote>
  <w:footnote w:id="28">
    <w:p w14:paraId="2D6E7FB2" w14:textId="2B1647F9" w:rsidR="00E14FAE" w:rsidRPr="002B7B48" w:rsidRDefault="00E14FAE" w:rsidP="005C48B9">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P v S and Cornwall County Council</w:t>
      </w:r>
      <w:r w:rsidRPr="002B7B48">
        <w:rPr>
          <w:rFonts w:ascii="Times New Roman" w:hAnsi="Times New Roman" w:cs="Times New Roman"/>
        </w:rPr>
        <w:t xml:space="preserve"> Case C-13/94 [1996] ECR I-2143; </w:t>
      </w:r>
      <w:r w:rsidRPr="002B7B48">
        <w:rPr>
          <w:rFonts w:ascii="Times New Roman" w:hAnsi="Times New Roman" w:cs="Times New Roman"/>
          <w:i/>
        </w:rPr>
        <w:t>Richards v Secretary of State for Work and Pensions</w:t>
      </w:r>
      <w:r w:rsidRPr="002B7B48">
        <w:rPr>
          <w:rFonts w:ascii="Times New Roman" w:hAnsi="Times New Roman" w:cs="Times New Roman"/>
        </w:rPr>
        <w:t xml:space="preserve"> Case C-423/04 [2006] ECR I-3585; </w:t>
      </w:r>
      <w:r w:rsidRPr="002B7B48">
        <w:rPr>
          <w:rFonts w:ascii="Times New Roman" w:hAnsi="Times New Roman" w:cs="Times New Roman"/>
          <w:i/>
        </w:rPr>
        <w:t>MB v Secretary of State for Work and Pensions</w:t>
      </w:r>
      <w:r w:rsidRPr="002B7B48">
        <w:rPr>
          <w:rFonts w:ascii="Times New Roman" w:hAnsi="Times New Roman" w:cs="Times New Roman"/>
        </w:rPr>
        <w:t xml:space="preserve"> Case C-451/16 [2018] </w:t>
      </w:r>
    </w:p>
  </w:footnote>
  <w:footnote w:id="29">
    <w:p w14:paraId="1654214E" w14:textId="77777777" w:rsidR="00E14FAE" w:rsidRPr="002B7B48" w:rsidRDefault="00E14FAE" w:rsidP="00F61026">
      <w:pPr>
        <w:pStyle w:val="FootnoteText"/>
        <w:rPr>
          <w:rFonts w:ascii="Times New Roman" w:hAnsi="Times New Roman" w:cs="Times New Roman"/>
          <w:lang w:val="fr-FR"/>
        </w:rPr>
      </w:pPr>
      <w:r w:rsidRPr="002B7B48">
        <w:rPr>
          <w:rStyle w:val="FootnoteReference"/>
          <w:rFonts w:ascii="Times New Roman" w:hAnsi="Times New Roman" w:cs="Times New Roman"/>
        </w:rPr>
        <w:footnoteRef/>
      </w:r>
      <w:r w:rsidRPr="002B7B48">
        <w:rPr>
          <w:rFonts w:ascii="Times New Roman" w:hAnsi="Times New Roman" w:cs="Times New Roman"/>
          <w:lang w:val="fr-FR"/>
        </w:rPr>
        <w:t xml:space="preserve"> 2000/78/EC</w:t>
      </w:r>
    </w:p>
  </w:footnote>
  <w:footnote w:id="30">
    <w:p w14:paraId="0CAAC277" w14:textId="38E40B15"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 review of the charity register by the author suggests that it is also quite common for women’s domestic violence charities to have a secondary charitable objective of education. This particular conflict might also arise in other situation, such as religious charities in religions that require segregation of sexes.</w:t>
      </w:r>
    </w:p>
  </w:footnote>
  <w:footnote w:id="31">
    <w:p w14:paraId="4E9E0954" w14:textId="2D0C532F"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At least one charity exists that meets this description: </w:t>
      </w:r>
      <w:hyperlink r:id="rId1" w:history="1">
        <w:r w:rsidRPr="002B7B48">
          <w:rPr>
            <w:rStyle w:val="Hyperlink"/>
            <w:rFonts w:ascii="Times New Roman" w:hAnsi="Times New Roman" w:cs="Times New Roman"/>
          </w:rPr>
          <w:t>http://cisters.org.uk/</w:t>
        </w:r>
      </w:hyperlink>
      <w:r w:rsidRPr="002B7B48">
        <w:rPr>
          <w:rFonts w:ascii="Times New Roman" w:hAnsi="Times New Roman" w:cs="Times New Roman"/>
        </w:rPr>
        <w:t xml:space="preserve">. I am not familiar with its organisational structure or its position under the Equality Act.  </w:t>
      </w:r>
    </w:p>
  </w:footnote>
  <w:footnote w:id="32">
    <w:p w14:paraId="4F6CD14E" w14:textId="77777777" w:rsidR="00E14FAE" w:rsidRPr="002B7B48" w:rsidRDefault="00E14FAE" w:rsidP="00923234">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2010, statutory code and non-statutory guidance use the terms ‘gender reassignment’ and ‘transsexual’. I will use these terms when referring to the legislation and code/guidance but will use the preferred terms of ‘trans’ and ‘transgender’ elsewhere.  </w:t>
      </w:r>
    </w:p>
  </w:footnote>
  <w:footnote w:id="33">
    <w:p w14:paraId="6FAA04C7" w14:textId="583AF9AE"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As the Explanatory Notes to the Equality Act make clear at para 43: ‘A person who was born physically female decides to spend the rest of her life as a man. He starts and continues to live as a man. He decides not to seek medical advice as he successfully ‘passes’ as a man without the need for any medical intervention. He would have the protected characteristic of gender reassignment for the purposes of the Act.’</w:t>
      </w:r>
    </w:p>
  </w:footnote>
  <w:footnote w:id="34">
    <w:p w14:paraId="78224E68" w14:textId="65619B3C"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Alex N Sharpe, ‘A Critique of the Gender Recognition Act 2004’ (2007) 4 </w:t>
      </w:r>
      <w:r w:rsidRPr="002B7B48">
        <w:rPr>
          <w:rFonts w:ascii="Times New Roman" w:hAnsi="Times New Roman" w:cs="Times New Roman"/>
          <w:i/>
        </w:rPr>
        <w:t>Bioethical Inquiry</w:t>
      </w:r>
      <w:r w:rsidRPr="002B7B48">
        <w:rPr>
          <w:rFonts w:ascii="Times New Roman" w:hAnsi="Times New Roman" w:cs="Times New Roman"/>
        </w:rPr>
        <w:t xml:space="preserve"> 33; Ralph Sandland, ‘Feminism and the Gender Recognition Act’ (2005) 13 </w:t>
      </w:r>
      <w:r w:rsidRPr="002B7B48">
        <w:rPr>
          <w:rFonts w:ascii="Times New Roman" w:hAnsi="Times New Roman" w:cs="Times New Roman"/>
          <w:i/>
        </w:rPr>
        <w:t>Feminist Legal Studies</w:t>
      </w:r>
      <w:r w:rsidRPr="002B7B48">
        <w:rPr>
          <w:rFonts w:ascii="Times New Roman" w:hAnsi="Times New Roman" w:cs="Times New Roman"/>
        </w:rPr>
        <w:t xml:space="preserve"> 43–66.</w:t>
      </w:r>
    </w:p>
  </w:footnote>
  <w:footnote w:id="35">
    <w:p w14:paraId="0A151094" w14:textId="36FBB408" w:rsidR="00E14FAE" w:rsidRPr="002B7B48" w:rsidRDefault="00E14FAE" w:rsidP="00823B93">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Gender Recognition Act 2004 s 2.</w:t>
      </w:r>
    </w:p>
  </w:footnote>
  <w:footnote w:id="36">
    <w:p w14:paraId="71A2F4ED" w14:textId="77777777" w:rsidR="00E14FAE" w:rsidRPr="002B7B48" w:rsidRDefault="00E14FAE" w:rsidP="005E701C">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Gender Recognition Act 2004 s 3.</w:t>
      </w:r>
    </w:p>
  </w:footnote>
  <w:footnote w:id="37">
    <w:p w14:paraId="316F05EB" w14:textId="2C5F3858"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49362F">
        <w:rPr>
          <w:rFonts w:ascii="Times New Roman" w:hAnsi="Times New Roman" w:cs="Times New Roman"/>
        </w:rPr>
        <w:t xml:space="preserve"> Sharpe, </w:t>
      </w:r>
      <w:r w:rsidR="0049362F" w:rsidRPr="002B7B48">
        <w:rPr>
          <w:rFonts w:ascii="Times New Roman" w:hAnsi="Times New Roman" w:cs="Times New Roman"/>
        </w:rPr>
        <w:t>‘A Critique of the Gender Recognition Act 2004’</w:t>
      </w:r>
      <w:r w:rsidR="0049362F">
        <w:rPr>
          <w:rFonts w:ascii="Times New Roman" w:hAnsi="Times New Roman" w:cs="Times New Roman"/>
        </w:rPr>
        <w:t>,</w:t>
      </w:r>
      <w:r w:rsidR="0049362F" w:rsidRPr="002B7B48">
        <w:rPr>
          <w:rFonts w:ascii="Times New Roman" w:hAnsi="Times New Roman" w:cs="Times New Roman"/>
        </w:rPr>
        <w:t xml:space="preserve"> </w:t>
      </w:r>
      <w:r w:rsidR="0049362F">
        <w:rPr>
          <w:rFonts w:ascii="Times New Roman" w:hAnsi="Times New Roman" w:cs="Times New Roman"/>
        </w:rPr>
        <w:t>n 34</w:t>
      </w:r>
      <w:r w:rsidRPr="002B7B48">
        <w:rPr>
          <w:rFonts w:ascii="Times New Roman" w:hAnsi="Times New Roman" w:cs="Times New Roman"/>
        </w:rPr>
        <w:t>, 37.</w:t>
      </w:r>
    </w:p>
  </w:footnote>
  <w:footnote w:id="38">
    <w:p w14:paraId="66F4528E" w14:textId="076CB2DF"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49362F">
        <w:rPr>
          <w:rFonts w:ascii="Times New Roman" w:hAnsi="Times New Roman" w:cs="Times New Roman"/>
        </w:rPr>
        <w:t xml:space="preserve"> Sharpe, </w:t>
      </w:r>
      <w:r w:rsidR="0049362F" w:rsidRPr="002B7B48">
        <w:rPr>
          <w:rFonts w:ascii="Times New Roman" w:hAnsi="Times New Roman" w:cs="Times New Roman"/>
        </w:rPr>
        <w:t>‘A Critique of the Gender Recognition Act 2004’</w:t>
      </w:r>
      <w:r w:rsidR="0049362F">
        <w:rPr>
          <w:rFonts w:ascii="Times New Roman" w:hAnsi="Times New Roman" w:cs="Times New Roman"/>
        </w:rPr>
        <w:t>,</w:t>
      </w:r>
      <w:r w:rsidR="0049362F" w:rsidRPr="002B7B48">
        <w:rPr>
          <w:rFonts w:ascii="Times New Roman" w:hAnsi="Times New Roman" w:cs="Times New Roman"/>
        </w:rPr>
        <w:t xml:space="preserve"> </w:t>
      </w:r>
      <w:r w:rsidR="0049362F">
        <w:rPr>
          <w:rFonts w:ascii="Times New Roman" w:hAnsi="Times New Roman" w:cs="Times New Roman"/>
        </w:rPr>
        <w:t>n 34</w:t>
      </w:r>
      <w:r w:rsidRPr="002B7B48">
        <w:rPr>
          <w:rFonts w:ascii="Times New Roman" w:hAnsi="Times New Roman" w:cs="Times New Roman"/>
        </w:rPr>
        <w:t>, 39.</w:t>
      </w:r>
    </w:p>
  </w:footnote>
  <w:footnote w:id="39">
    <w:p w14:paraId="33E13AEC" w14:textId="794FB87C"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European Court of Human Rights has recognised that it is allowable to make recognition of a change of gender conditional on annulling marriages. </w:t>
      </w:r>
      <w:r w:rsidRPr="002B7B48">
        <w:rPr>
          <w:rFonts w:ascii="Times New Roman" w:hAnsi="Times New Roman" w:cs="Times New Roman"/>
          <w:i/>
        </w:rPr>
        <w:t>Hämäläinen v. Finland</w:t>
      </w:r>
      <w:r w:rsidRPr="002B7B48">
        <w:rPr>
          <w:rFonts w:ascii="Times New Roman" w:hAnsi="Times New Roman" w:cs="Times New Roman"/>
        </w:rPr>
        <w:t xml:space="preserve"> (GC) App. No. 37359/09, July 16, 2014.</w:t>
      </w:r>
    </w:p>
  </w:footnote>
  <w:footnote w:id="40">
    <w:p w14:paraId="6DC5DAFE" w14:textId="3273100F"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MB v Secretary of State for Work and Pensions</w:t>
      </w:r>
      <w:r w:rsidRPr="002B7B48">
        <w:rPr>
          <w:rFonts w:ascii="Times New Roman" w:hAnsi="Times New Roman" w:cs="Times New Roman"/>
        </w:rPr>
        <w:t xml:space="preserve"> Case C-451/16 [2018] para 35.</w:t>
      </w:r>
    </w:p>
  </w:footnote>
  <w:footnote w:id="41">
    <w:p w14:paraId="1A6F6168" w14:textId="4379118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 para 27.</w:t>
      </w:r>
    </w:p>
  </w:footnote>
  <w:footnote w:id="42">
    <w:p w14:paraId="54628538" w14:textId="46C6A816"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Equality Act also prohibits discrimination based upon someone sharing the protected characteristic of gender reassignment even if this is only based upon a perception (whether correct or not) that a person shares that protected characteristic.</w:t>
      </w:r>
    </w:p>
  </w:footnote>
  <w:footnote w:id="43">
    <w:p w14:paraId="66140568" w14:textId="44F4CF56" w:rsidR="00E14FAE" w:rsidRPr="002B7B48" w:rsidRDefault="00E14FAE" w:rsidP="00585C7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Government Equalities Office and Penny Mourdaunt, MP, </w:t>
      </w:r>
      <w:r w:rsidRPr="002B7B48">
        <w:rPr>
          <w:rFonts w:ascii="Times New Roman" w:hAnsi="Times New Roman" w:cs="Times New Roman"/>
          <w:i/>
        </w:rPr>
        <w:t xml:space="preserve">Reform of the Gender Recognition Act 2004 </w:t>
      </w:r>
      <w:r w:rsidRPr="002B7B48">
        <w:rPr>
          <w:rFonts w:ascii="Times New Roman" w:hAnsi="Times New Roman" w:cs="Times New Roman"/>
        </w:rPr>
        <w:t>(London, Government Equalities Office, 3 July 2018).</w:t>
      </w:r>
    </w:p>
  </w:footnote>
  <w:footnote w:id="44">
    <w:p w14:paraId="3B8CB01F"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Explanatory Notes, para 611.</w:t>
      </w:r>
    </w:p>
  </w:footnote>
  <w:footnote w:id="45">
    <w:p w14:paraId="1F4D6177" w14:textId="623ADD98"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Charity Commission</w:t>
      </w:r>
      <w:r w:rsidR="00B40A69" w:rsidRPr="002B7B48">
        <w:rPr>
          <w:rFonts w:ascii="Times New Roman" w:hAnsi="Times New Roman" w:cs="Times New Roman"/>
        </w:rPr>
        <w:t xml:space="preserve"> for England and Wales</w:t>
      </w:r>
      <w:r w:rsidRPr="002B7B48">
        <w:rPr>
          <w:rFonts w:ascii="Times New Roman" w:hAnsi="Times New Roman" w:cs="Times New Roman"/>
        </w:rPr>
        <w:t xml:space="preserve">, </w:t>
      </w:r>
      <w:r w:rsidRPr="002B7B48">
        <w:rPr>
          <w:rFonts w:ascii="Times New Roman" w:hAnsi="Times New Roman" w:cs="Times New Roman"/>
          <w:i/>
        </w:rPr>
        <w:t>Equality Act Guidance for Charities: Restricting who can benefit from charities</w:t>
      </w:r>
      <w:r w:rsidRPr="002B7B48">
        <w:rPr>
          <w:rFonts w:ascii="Times New Roman" w:hAnsi="Times New Roman" w:cs="Times New Roman"/>
        </w:rPr>
        <w:t xml:space="preserve"> (London, Charity Commission, 2011) 7.</w:t>
      </w:r>
    </w:p>
  </w:footnote>
  <w:footnote w:id="46">
    <w:p w14:paraId="76A0E1A7" w14:textId="2F07BC95" w:rsidR="00E14FAE" w:rsidRPr="002B7B48" w:rsidRDefault="00E14FAE" w:rsidP="002A7A64">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w:t>
      </w:r>
    </w:p>
  </w:footnote>
  <w:footnote w:id="47">
    <w:p w14:paraId="14FDB231" w14:textId="5D50793C"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and Human Rights Commission, </w:t>
      </w:r>
      <w:r w:rsidRPr="002B7B48">
        <w:rPr>
          <w:rFonts w:ascii="Times New Roman" w:hAnsi="Times New Roman" w:cs="Times New Roman"/>
          <w:i/>
        </w:rPr>
        <w:t>Equality Act 2010  Code of Practice – Services, Public Functions and Associations</w:t>
      </w:r>
      <w:r w:rsidRPr="002B7B48">
        <w:rPr>
          <w:rFonts w:ascii="Times New Roman" w:hAnsi="Times New Roman" w:cs="Times New Roman"/>
        </w:rPr>
        <w:t xml:space="preserve"> (London, EHRC, 2011) para 13.37.</w:t>
      </w:r>
    </w:p>
  </w:footnote>
  <w:footnote w:id="48">
    <w:p w14:paraId="63A9B247" w14:textId="4A7A4F4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w:t>
      </w:r>
    </w:p>
  </w:footnote>
  <w:footnote w:id="49">
    <w:p w14:paraId="08BF8263" w14:textId="68D9D87F"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E.g. some of the positions in ‘'Shifting sands': six legal views on the transgender debate’ (London, </w:t>
      </w:r>
      <w:r w:rsidRPr="002B7B48">
        <w:rPr>
          <w:rFonts w:ascii="Times New Roman" w:hAnsi="Times New Roman" w:cs="Times New Roman"/>
          <w:i/>
        </w:rPr>
        <w:t>The Guardian</w:t>
      </w:r>
      <w:r w:rsidRPr="002B7B48">
        <w:rPr>
          <w:rFonts w:ascii="Times New Roman" w:hAnsi="Times New Roman" w:cs="Times New Roman"/>
        </w:rPr>
        <w:t>, 19 October 2018).</w:t>
      </w:r>
    </w:p>
  </w:footnote>
  <w:footnote w:id="50">
    <w:p w14:paraId="681A7D04" w14:textId="77040324"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Chaka Bachmann and Becca Gooch, </w:t>
      </w:r>
      <w:r w:rsidRPr="002B7B48">
        <w:rPr>
          <w:rFonts w:ascii="Times New Roman" w:hAnsi="Times New Roman" w:cs="Times New Roman"/>
          <w:i/>
        </w:rPr>
        <w:t>LBGT in Britain: Trans Report</w:t>
      </w:r>
      <w:r w:rsidRPr="002B7B48">
        <w:rPr>
          <w:rFonts w:ascii="Times New Roman" w:hAnsi="Times New Roman" w:cs="Times New Roman"/>
        </w:rPr>
        <w:t xml:space="preserve"> (</w:t>
      </w:r>
      <w:r w:rsidR="003F1DB8" w:rsidRPr="002B7B48">
        <w:rPr>
          <w:rFonts w:ascii="Times New Roman" w:hAnsi="Times New Roman" w:cs="Times New Roman"/>
        </w:rPr>
        <w:t xml:space="preserve">London, </w:t>
      </w:r>
      <w:r w:rsidRPr="002B7B48">
        <w:rPr>
          <w:rFonts w:ascii="Times New Roman" w:hAnsi="Times New Roman" w:cs="Times New Roman"/>
        </w:rPr>
        <w:t>Stonewall</w:t>
      </w:r>
      <w:r w:rsidR="003F1DB8" w:rsidRPr="002B7B48">
        <w:rPr>
          <w:rFonts w:ascii="Times New Roman" w:hAnsi="Times New Roman" w:cs="Times New Roman"/>
        </w:rPr>
        <w:t>,</w:t>
      </w:r>
      <w:r w:rsidRPr="002B7B48">
        <w:rPr>
          <w:rFonts w:ascii="Times New Roman" w:hAnsi="Times New Roman" w:cs="Times New Roman"/>
        </w:rPr>
        <w:t xml:space="preserve"> 2018) 28% of trans respondent had experienced domestic violence in the past year. 41% of trans people and 31% of non-binary people had experienced a hate crime or incident because of their gender in the past year. </w:t>
      </w:r>
    </w:p>
  </w:footnote>
  <w:footnote w:id="51">
    <w:p w14:paraId="00293BA4" w14:textId="25B202C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003F1DB8" w:rsidRPr="002B7B48">
        <w:rPr>
          <w:rFonts w:ascii="Times New Roman" w:hAnsi="Times New Roman" w:cs="Times New Roman"/>
        </w:rPr>
        <w:t xml:space="preserve">EHRC, </w:t>
      </w:r>
      <w:r w:rsidR="003F1DB8" w:rsidRPr="002B7B48">
        <w:rPr>
          <w:rFonts w:ascii="Times New Roman" w:hAnsi="Times New Roman" w:cs="Times New Roman"/>
          <w:i/>
        </w:rPr>
        <w:t>Equality Act 2010 Code of Practice – Services, Public Functions and Associations</w:t>
      </w:r>
      <w:r w:rsidR="003F1DB8" w:rsidRPr="002B7B48">
        <w:rPr>
          <w:rFonts w:ascii="Times New Roman" w:hAnsi="Times New Roman" w:cs="Times New Roman"/>
        </w:rPr>
        <w:t>, n 4</w:t>
      </w:r>
      <w:r w:rsidR="0049362F">
        <w:rPr>
          <w:rFonts w:ascii="Times New Roman" w:hAnsi="Times New Roman" w:cs="Times New Roman"/>
        </w:rPr>
        <w:t>7</w:t>
      </w:r>
      <w:r w:rsidR="003F1DB8" w:rsidRPr="002B7B48">
        <w:rPr>
          <w:rFonts w:ascii="Times New Roman" w:hAnsi="Times New Roman" w:cs="Times New Roman"/>
        </w:rPr>
        <w:t>,</w:t>
      </w:r>
      <w:r w:rsidRPr="002B7B48">
        <w:rPr>
          <w:rFonts w:ascii="Times New Roman" w:hAnsi="Times New Roman" w:cs="Times New Roman"/>
        </w:rPr>
        <w:t xml:space="preserve"> para 13.36.</w:t>
      </w:r>
    </w:p>
  </w:footnote>
  <w:footnote w:id="52">
    <w:p w14:paraId="48E1C0FE"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[2008] IRLR 846 (EAT).</w:t>
      </w:r>
    </w:p>
  </w:footnote>
  <w:footnote w:id="53">
    <w:p w14:paraId="17B5B5E1"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iCs/>
        </w:rPr>
        <w:t>Seldon v Clarkson Wright and Jakes (a Partnership)</w:t>
      </w:r>
      <w:r w:rsidRPr="002B7B48">
        <w:rPr>
          <w:rFonts w:ascii="Times New Roman" w:hAnsi="Times New Roman" w:cs="Times New Roman"/>
        </w:rPr>
        <w:t xml:space="preserve"> [2010] UKSC 16, [2012] 3 All ER 1301.</w:t>
      </w:r>
    </w:p>
  </w:footnote>
  <w:footnote w:id="54">
    <w:p w14:paraId="310F464A"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iCs/>
        </w:rPr>
        <w:t xml:space="preserve">Catholic Care (Diocese of Leeds) v The Charity Commission for England and Wales </w:t>
      </w:r>
      <w:r w:rsidRPr="002B7B48">
        <w:rPr>
          <w:rFonts w:ascii="Times New Roman" w:hAnsi="Times New Roman" w:cs="Times New Roman"/>
        </w:rPr>
        <w:t>[2010] EWHC 520 (Ch), [2010] 4 All ER 1041 [51].</w:t>
      </w:r>
    </w:p>
  </w:footnote>
  <w:footnote w:id="55">
    <w:p w14:paraId="32085EA6"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See e.g. </w:t>
      </w:r>
      <w:r w:rsidRPr="002B7B48">
        <w:rPr>
          <w:rFonts w:ascii="Times New Roman" w:hAnsi="Times New Roman" w:cs="Times New Roman"/>
          <w:i/>
          <w:iCs/>
        </w:rPr>
        <w:t>Homer v Chief Constable of West Yorkshire Police</w:t>
      </w:r>
      <w:r w:rsidRPr="002B7B48">
        <w:rPr>
          <w:rFonts w:ascii="Times New Roman" w:hAnsi="Times New Roman" w:cs="Times New Roman"/>
        </w:rPr>
        <w:t xml:space="preserve"> [2012] UKSC 15, [2012] ICR 704, [2012] All ER 1287 [23] (Lady Hale).</w:t>
      </w:r>
    </w:p>
  </w:footnote>
  <w:footnote w:id="56">
    <w:p w14:paraId="0623D103"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See e.g. </w:t>
      </w:r>
      <w:r w:rsidRPr="002B7B48">
        <w:rPr>
          <w:rFonts w:ascii="Times New Roman" w:hAnsi="Times New Roman" w:cs="Times New Roman"/>
          <w:i/>
          <w:iCs/>
        </w:rPr>
        <w:t>Hackenjos v Secretary of State for Social Security</w:t>
      </w:r>
      <w:r w:rsidRPr="002B7B48">
        <w:rPr>
          <w:rFonts w:ascii="Times New Roman" w:hAnsi="Times New Roman" w:cs="Times New Roman"/>
        </w:rPr>
        <w:t xml:space="preserve"> [2004] EWCA Civ 1749, [2005] EuLR 385; </w:t>
      </w:r>
      <w:r w:rsidRPr="002B7B48">
        <w:rPr>
          <w:rFonts w:ascii="Times New Roman" w:hAnsi="Times New Roman" w:cs="Times New Roman"/>
          <w:i/>
          <w:iCs/>
        </w:rPr>
        <w:t>Humphreys v HM Revenue and Customs</w:t>
      </w:r>
      <w:r w:rsidRPr="002B7B48">
        <w:rPr>
          <w:rFonts w:ascii="Times New Roman" w:hAnsi="Times New Roman" w:cs="Times New Roman"/>
        </w:rPr>
        <w:t xml:space="preserve"> [2010] EWCA Civ 56, [2010] 1 FCR 630.</w:t>
      </w:r>
    </w:p>
  </w:footnote>
  <w:footnote w:id="57">
    <w:p w14:paraId="2716173D"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[2010] ECHR 280 (92)</w:t>
      </w:r>
    </w:p>
  </w:footnote>
  <w:footnote w:id="58">
    <w:p w14:paraId="5C453B5D" w14:textId="4A8F4B91"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Charity Commission for England and Wales, Catholic Care (Diocese of Leeds), decision made on 21 July 2010, Application for consent to a change of objects under s 64 of the Charities Act 1993.</w:t>
      </w:r>
    </w:p>
  </w:footnote>
  <w:footnote w:id="59">
    <w:p w14:paraId="67033F5E"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iCs/>
        </w:rPr>
        <w:t>Catholic Care (Diocese of Leeds) v Charity Commission</w:t>
      </w:r>
      <w:r w:rsidRPr="002B7B48">
        <w:rPr>
          <w:rFonts w:ascii="Times New Roman" w:hAnsi="Times New Roman" w:cs="Times New Roman"/>
        </w:rPr>
        <w:t xml:space="preserve"> [2012] UKUT 395 (TCC) [13].</w:t>
      </w:r>
    </w:p>
  </w:footnote>
  <w:footnote w:id="60">
    <w:p w14:paraId="02A2D829" w14:textId="77777777" w:rsidR="00E14FAE" w:rsidRPr="002B7B48" w:rsidRDefault="00E14FAE">
      <w:pPr>
        <w:pStyle w:val="FootnoteText"/>
        <w:rPr>
          <w:rFonts w:ascii="Times New Roman" w:hAnsi="Times New Roman" w:cs="Times New Roman"/>
          <w:lang w:val="nb-NO"/>
        </w:rPr>
      </w:pPr>
      <w:r w:rsidRPr="002B7B48">
        <w:rPr>
          <w:rStyle w:val="FootnoteReference"/>
          <w:rFonts w:ascii="Times New Roman" w:hAnsi="Times New Roman" w:cs="Times New Roman"/>
        </w:rPr>
        <w:footnoteRef/>
      </w:r>
      <w:r w:rsidRPr="002B7B48">
        <w:rPr>
          <w:rFonts w:ascii="Times New Roman" w:hAnsi="Times New Roman" w:cs="Times New Roman"/>
          <w:lang w:val="nb-NO"/>
        </w:rPr>
        <w:t xml:space="preserve"> Ibid [28].</w:t>
      </w:r>
    </w:p>
  </w:footnote>
  <w:footnote w:id="61">
    <w:p w14:paraId="19EBBBCA" w14:textId="0B9786D6"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 [44].</w:t>
      </w:r>
    </w:p>
  </w:footnote>
  <w:footnote w:id="62">
    <w:p w14:paraId="3C4B5CA9" w14:textId="77777777" w:rsidR="00E14FAE" w:rsidRPr="002B7B48" w:rsidRDefault="00E14FAE">
      <w:pPr>
        <w:pStyle w:val="FootnoteText"/>
        <w:rPr>
          <w:rFonts w:ascii="Times New Roman" w:hAnsi="Times New Roman" w:cs="Times New Roman"/>
          <w:lang w:val="nb-NO"/>
        </w:rPr>
      </w:pPr>
      <w:r w:rsidRPr="002B7B48">
        <w:rPr>
          <w:rStyle w:val="FootnoteReference"/>
          <w:rFonts w:ascii="Times New Roman" w:hAnsi="Times New Roman" w:cs="Times New Roman"/>
        </w:rPr>
        <w:footnoteRef/>
      </w:r>
      <w:r w:rsidRPr="002B7B48">
        <w:rPr>
          <w:rFonts w:ascii="Times New Roman" w:hAnsi="Times New Roman" w:cs="Times New Roman"/>
          <w:lang w:val="nb-NO"/>
        </w:rPr>
        <w:t xml:space="preserve"> [2012] EWCA Civ 83, [2012] 2 All ER 1017.</w:t>
      </w:r>
    </w:p>
  </w:footnote>
  <w:footnote w:id="63">
    <w:p w14:paraId="322E88FA" w14:textId="641BAE8E"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iCs/>
        </w:rPr>
        <w:t>Catholic Care (Diocese of Leeds) v Charity Commission</w:t>
      </w:r>
      <w:r w:rsidRPr="002B7B48">
        <w:rPr>
          <w:rFonts w:ascii="Times New Roman" w:hAnsi="Times New Roman" w:cs="Times New Roman"/>
        </w:rPr>
        <w:t xml:space="preserve"> [2012] UKUT 395 (TCC) [66].</w:t>
      </w:r>
    </w:p>
  </w:footnote>
  <w:footnote w:id="64">
    <w:p w14:paraId="3E49B789"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 [44].</w:t>
      </w:r>
    </w:p>
  </w:footnote>
  <w:footnote w:id="65">
    <w:p w14:paraId="2D12DF02"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iCs/>
        </w:rPr>
        <w:t>Amnesty International v Ahmed</w:t>
      </w:r>
      <w:r w:rsidRPr="002B7B48">
        <w:rPr>
          <w:rFonts w:ascii="Times New Roman" w:hAnsi="Times New Roman" w:cs="Times New Roman"/>
        </w:rPr>
        <w:t xml:space="preserve"> [2009] IRLR 884 (EAT).</w:t>
      </w:r>
    </w:p>
  </w:footnote>
  <w:footnote w:id="66">
    <w:p w14:paraId="58A718F0" w14:textId="7CEFF5A4"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3F1DB8" w:rsidRPr="002B7B48">
        <w:rPr>
          <w:rFonts w:ascii="Times New Roman" w:hAnsi="Times New Roman" w:cs="Times New Roman"/>
        </w:rPr>
        <w:t xml:space="preserve"> </w:t>
      </w:r>
      <w:r w:rsidR="00B40A69" w:rsidRPr="002B7B48">
        <w:rPr>
          <w:rFonts w:ascii="Times New Roman" w:hAnsi="Times New Roman" w:cs="Times New Roman"/>
        </w:rPr>
        <w:t xml:space="preserve">Charity Commission, </w:t>
      </w:r>
      <w:r w:rsidRPr="002B7B48">
        <w:rPr>
          <w:rFonts w:ascii="Times New Roman" w:hAnsi="Times New Roman" w:cs="Times New Roman"/>
          <w:i/>
        </w:rPr>
        <w:t>Equality Act guidance for charities</w:t>
      </w:r>
      <w:r w:rsidR="0049362F">
        <w:rPr>
          <w:rFonts w:ascii="Times New Roman" w:hAnsi="Times New Roman" w:cs="Times New Roman"/>
        </w:rPr>
        <w:t>, n 45</w:t>
      </w:r>
      <w:r w:rsidR="00B40A69" w:rsidRPr="002B7B48">
        <w:rPr>
          <w:rFonts w:ascii="Times New Roman" w:hAnsi="Times New Roman" w:cs="Times New Roman"/>
        </w:rPr>
        <w:t>,</w:t>
      </w:r>
      <w:r w:rsidRPr="002B7B48">
        <w:rPr>
          <w:rFonts w:ascii="Times New Roman" w:hAnsi="Times New Roman" w:cs="Times New Roman"/>
        </w:rPr>
        <w:t xml:space="preserve"> para C4.</w:t>
      </w:r>
    </w:p>
  </w:footnote>
  <w:footnote w:id="67">
    <w:p w14:paraId="56AAD97D" w14:textId="22B760E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3F1DB8" w:rsidRPr="002B7B48">
        <w:rPr>
          <w:rFonts w:ascii="Times New Roman" w:hAnsi="Times New Roman" w:cs="Times New Roman"/>
        </w:rPr>
        <w:t xml:space="preserve"> EHRC, </w:t>
      </w:r>
      <w:r w:rsidRPr="002B7B48">
        <w:rPr>
          <w:rFonts w:ascii="Times New Roman" w:hAnsi="Times New Roman" w:cs="Times New Roman"/>
          <w:i/>
        </w:rPr>
        <w:t>Equality Act 2010 Code of Practice – Services, Public Functions and Associations</w:t>
      </w:r>
      <w:r w:rsidR="003F1DB8" w:rsidRPr="002B7B48">
        <w:rPr>
          <w:rFonts w:ascii="Times New Roman" w:hAnsi="Times New Roman" w:cs="Times New Roman"/>
        </w:rPr>
        <w:t>, n 4</w:t>
      </w:r>
      <w:r w:rsidR="0049362F">
        <w:rPr>
          <w:rFonts w:ascii="Times New Roman" w:hAnsi="Times New Roman" w:cs="Times New Roman"/>
        </w:rPr>
        <w:t>7</w:t>
      </w:r>
      <w:r w:rsidR="003F1DB8" w:rsidRPr="002B7B48">
        <w:rPr>
          <w:rFonts w:ascii="Times New Roman" w:hAnsi="Times New Roman" w:cs="Times New Roman"/>
        </w:rPr>
        <w:t>,</w:t>
      </w:r>
      <w:r w:rsidRPr="002B7B48">
        <w:rPr>
          <w:rFonts w:ascii="Times New Roman" w:hAnsi="Times New Roman" w:cs="Times New Roman"/>
        </w:rPr>
        <w:t xml:space="preserve"> para 13.36.</w:t>
      </w:r>
    </w:p>
  </w:footnote>
  <w:footnote w:id="68">
    <w:p w14:paraId="48F31CDD" w14:textId="4A978E62"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Go</w:t>
      </w:r>
      <w:r w:rsidR="0049362F">
        <w:rPr>
          <w:rFonts w:ascii="Times New Roman" w:hAnsi="Times New Roman" w:cs="Times New Roman"/>
        </w:rPr>
        <w:t>vernment Equalities Office, n 43</w:t>
      </w:r>
      <w:r w:rsidRPr="002B7B48">
        <w:rPr>
          <w:rFonts w:ascii="Times New Roman" w:hAnsi="Times New Roman" w:cs="Times New Roman"/>
        </w:rPr>
        <w:t>, 45.</w:t>
      </w:r>
    </w:p>
  </w:footnote>
  <w:footnote w:id="69">
    <w:p w14:paraId="02BCE234" w14:textId="0E056FEE"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E.g. Maureen O’Hara</w:t>
      </w:r>
      <w:r w:rsidR="003F1DB8" w:rsidRPr="002B7B48">
        <w:rPr>
          <w:rFonts w:ascii="Times New Roman" w:hAnsi="Times New Roman" w:cs="Times New Roman"/>
        </w:rPr>
        <w:t>,</w:t>
      </w:r>
      <w:r w:rsidRPr="002B7B48">
        <w:rPr>
          <w:rFonts w:ascii="Times New Roman" w:hAnsi="Times New Roman" w:cs="Times New Roman"/>
        </w:rPr>
        <w:t xml:space="preserve"> ‘Wishful thinking is not a good foundation for law’ in ‘'Shifting sands': six legal views on the transgender debate’, </w:t>
      </w:r>
      <w:r w:rsidR="003F1DB8" w:rsidRPr="002B7B48">
        <w:rPr>
          <w:rFonts w:ascii="Times New Roman" w:hAnsi="Times New Roman" w:cs="Times New Roman"/>
        </w:rPr>
        <w:t xml:space="preserve">(London, </w:t>
      </w:r>
      <w:r w:rsidRPr="002B7B48">
        <w:rPr>
          <w:rFonts w:ascii="Times New Roman" w:hAnsi="Times New Roman" w:cs="Times New Roman"/>
          <w:i/>
        </w:rPr>
        <w:t>The Guardian</w:t>
      </w:r>
      <w:r w:rsidRPr="002B7B48">
        <w:rPr>
          <w:rFonts w:ascii="Times New Roman" w:hAnsi="Times New Roman" w:cs="Times New Roman"/>
        </w:rPr>
        <w:t>, 19 October 2018</w:t>
      </w:r>
      <w:r w:rsidR="003F1DB8" w:rsidRPr="002B7B48">
        <w:rPr>
          <w:rFonts w:ascii="Times New Roman" w:hAnsi="Times New Roman" w:cs="Times New Roman"/>
        </w:rPr>
        <w:t>)</w:t>
      </w:r>
      <w:r w:rsidRPr="002B7B48">
        <w:rPr>
          <w:rFonts w:ascii="Times New Roman" w:hAnsi="Times New Roman" w:cs="Times New Roman"/>
        </w:rPr>
        <w:t>.</w:t>
      </w:r>
    </w:p>
  </w:footnote>
  <w:footnote w:id="70">
    <w:p w14:paraId="67961C33" w14:textId="4475FFEB"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It would also be a violation of the Charity Commission’s own Public Sector Equality Duty to register a discriminatory charity that cannot fall within s 193.</w:t>
      </w:r>
    </w:p>
  </w:footnote>
  <w:footnote w:id="71">
    <w:p w14:paraId="1154D880"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Sex Discrimination Act 1975, s 43.</w:t>
      </w:r>
    </w:p>
  </w:footnote>
  <w:footnote w:id="72">
    <w:p w14:paraId="7F026A4E"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Sch3 part 7, para 27 (2).</w:t>
      </w:r>
    </w:p>
  </w:footnote>
  <w:footnote w:id="73">
    <w:p w14:paraId="1AB5414D"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Sch3 part 7, para 27 (3)(b). </w:t>
      </w:r>
    </w:p>
  </w:footnote>
  <w:footnote w:id="74">
    <w:p w14:paraId="3696F054"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Sch3 part 7, para 27 (6)(a) and (b).</w:t>
      </w:r>
    </w:p>
  </w:footnote>
  <w:footnote w:id="75">
    <w:p w14:paraId="578E99AF" w14:textId="7777777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Sch3 part 7, para 27 (1)(b).</w:t>
      </w:r>
    </w:p>
  </w:footnote>
  <w:footnote w:id="76">
    <w:p w14:paraId="02908367" w14:textId="15629968"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Sch3, Part 7, para 28.</w:t>
      </w:r>
    </w:p>
  </w:footnote>
  <w:footnote w:id="77">
    <w:p w14:paraId="2678E4DC" w14:textId="47D5A528" w:rsidR="00E14FAE" w:rsidRPr="002B7B48" w:rsidRDefault="00E14FAE" w:rsidP="00585991">
      <w:pPr>
        <w:pStyle w:val="FootnoteText"/>
        <w:rPr>
          <w:rFonts w:ascii="Times New Roman" w:hAnsi="Times New Roman" w:cs="Times New Roman"/>
        </w:rPr>
      </w:pPr>
      <w:r w:rsidRPr="002B7B48">
        <w:rPr>
          <w:rStyle w:val="FootnoteReference"/>
          <w:rFonts w:ascii="Times New Roman" w:hAnsi="Times New Roman" w:cs="Times New Roman"/>
        </w:rPr>
        <w:footnoteRef/>
      </w:r>
      <w:r w:rsidR="0010772C" w:rsidRPr="002B7B48">
        <w:rPr>
          <w:rFonts w:ascii="Times New Roman" w:hAnsi="Times New Roman" w:cs="Times New Roman"/>
        </w:rPr>
        <w:t xml:space="preserve"> EHRC, </w:t>
      </w:r>
      <w:r w:rsidRPr="002B7B48">
        <w:rPr>
          <w:rFonts w:ascii="Times New Roman" w:hAnsi="Times New Roman" w:cs="Times New Roman"/>
          <w:i/>
        </w:rPr>
        <w:t>What equal</w:t>
      </w:r>
      <w:r w:rsidR="0010772C" w:rsidRPr="002B7B48">
        <w:rPr>
          <w:rFonts w:ascii="Times New Roman" w:hAnsi="Times New Roman" w:cs="Times New Roman"/>
          <w:i/>
        </w:rPr>
        <w:t>ity law means for your business</w:t>
      </w:r>
      <w:r w:rsidRPr="002B7B48">
        <w:rPr>
          <w:rFonts w:ascii="Times New Roman" w:hAnsi="Times New Roman" w:cs="Times New Roman"/>
        </w:rPr>
        <w:t xml:space="preserve"> </w:t>
      </w:r>
      <w:r w:rsidR="0010772C" w:rsidRPr="002B7B48">
        <w:rPr>
          <w:rFonts w:ascii="Times New Roman" w:hAnsi="Times New Roman" w:cs="Times New Roman"/>
        </w:rPr>
        <w:t>(London, EHRC, October 2018)</w:t>
      </w:r>
      <w:r w:rsidRPr="002B7B48">
        <w:rPr>
          <w:rFonts w:ascii="Times New Roman" w:hAnsi="Times New Roman" w:cs="Times New Roman"/>
        </w:rPr>
        <w:t xml:space="preserve"> 17. Amended in October 2018. The earlier guidance stated the case more categorically, until pressure from a feminist campaign.</w:t>
      </w:r>
    </w:p>
  </w:footnote>
  <w:footnote w:id="78">
    <w:p w14:paraId="2E72FF22" w14:textId="064DCF46"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Claire McCann, ‘Legal Opinion in the matter of The Women &amp; Equalities Committee’s Inquiry into Transgender Discrimination and the Equality Act 2010’, 10 November 2015.</w:t>
      </w:r>
    </w:p>
  </w:footnote>
  <w:footnote w:id="79">
    <w:p w14:paraId="33F35FAF" w14:textId="360BC8DE"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Explanatory Notes, para 740.</w:t>
      </w:r>
    </w:p>
  </w:footnote>
  <w:footnote w:id="80">
    <w:p w14:paraId="000A809F" w14:textId="5A3C5CDD"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49362F">
        <w:rPr>
          <w:rFonts w:ascii="Times New Roman" w:hAnsi="Times New Roman" w:cs="Times New Roman"/>
        </w:rPr>
        <w:t xml:space="preserve"> McCann, ‘Legal Opinion’, n 78</w:t>
      </w:r>
      <w:r w:rsidRPr="002B7B48">
        <w:rPr>
          <w:rFonts w:ascii="Times New Roman" w:hAnsi="Times New Roman" w:cs="Times New Roman"/>
        </w:rPr>
        <w:t>.</w:t>
      </w:r>
    </w:p>
  </w:footnote>
  <w:footnote w:id="81">
    <w:p w14:paraId="72755CA7" w14:textId="2B6ADBE9"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10772C" w:rsidRPr="002B7B48">
        <w:rPr>
          <w:rFonts w:ascii="Times New Roman" w:hAnsi="Times New Roman" w:cs="Times New Roman"/>
        </w:rPr>
        <w:t xml:space="preserve"> McCa</w:t>
      </w:r>
      <w:r w:rsidR="0049362F">
        <w:rPr>
          <w:rFonts w:ascii="Times New Roman" w:hAnsi="Times New Roman" w:cs="Times New Roman"/>
        </w:rPr>
        <w:t>nn, ‘Legal Opinion’, n 78</w:t>
      </w:r>
    </w:p>
  </w:footnote>
  <w:footnote w:id="82">
    <w:p w14:paraId="6C5F87E4" w14:textId="59ECFA4A" w:rsidR="00E14FAE" w:rsidRPr="002B7B48" w:rsidRDefault="00E14FAE" w:rsidP="00311563">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In its response to a petition about proposed changes to the GRA, ‘Consult with women on proposals to enshrine “gender identity” in law’</w:t>
      </w:r>
      <w:r w:rsidR="0010772C" w:rsidRPr="002B7B48">
        <w:rPr>
          <w:rFonts w:ascii="Times New Roman" w:hAnsi="Times New Roman" w:cs="Times New Roman"/>
        </w:rPr>
        <w:t xml:space="preserve"> (https://petition.parliament.uk/petitions/214118)</w:t>
      </w:r>
      <w:r w:rsidRPr="002B7B48">
        <w:rPr>
          <w:rFonts w:ascii="Times New Roman" w:hAnsi="Times New Roman" w:cs="Times New Roman"/>
        </w:rPr>
        <w:t>, the Government Equalities Office affirmed that the risk assessment would have to be made for each individual: ‘Providers of women-only services can continue to provide services in a different way, or even not provide services to trans individuals, provided it is objectively justified on a case-by-case basis.’ This affirms the argument that a blanket ban on transgender individuals using a single sex service would be unacceptable under the Equality Act.</w:t>
      </w:r>
    </w:p>
  </w:footnote>
  <w:footnote w:id="83">
    <w:p w14:paraId="728D5D35" w14:textId="7E2D9440"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10772C" w:rsidRPr="002B7B48">
        <w:rPr>
          <w:rFonts w:ascii="Times New Roman" w:hAnsi="Times New Roman" w:cs="Times New Roman"/>
        </w:rPr>
        <w:t xml:space="preserve"> McCann, </w:t>
      </w:r>
      <w:r w:rsidR="0049362F">
        <w:rPr>
          <w:rFonts w:ascii="Times New Roman" w:hAnsi="Times New Roman" w:cs="Times New Roman"/>
        </w:rPr>
        <w:t xml:space="preserve">‘Legal Opinion’, </w:t>
      </w:r>
      <w:r w:rsidR="0010772C" w:rsidRPr="002B7B48">
        <w:rPr>
          <w:rFonts w:ascii="Times New Roman" w:hAnsi="Times New Roman" w:cs="Times New Roman"/>
        </w:rPr>
        <w:t xml:space="preserve">n </w:t>
      </w:r>
      <w:r w:rsidR="0049362F">
        <w:rPr>
          <w:rFonts w:ascii="Times New Roman" w:hAnsi="Times New Roman" w:cs="Times New Roman"/>
        </w:rPr>
        <w:t>78</w:t>
      </w:r>
      <w:r w:rsidRPr="002B7B48">
        <w:rPr>
          <w:rFonts w:ascii="Times New Roman" w:hAnsi="Times New Roman" w:cs="Times New Roman"/>
        </w:rPr>
        <w:t>.</w:t>
      </w:r>
    </w:p>
  </w:footnote>
  <w:footnote w:id="84">
    <w:p w14:paraId="355320B7" w14:textId="52A463C1" w:rsidR="00E14FAE" w:rsidRPr="002B7B48" w:rsidRDefault="00E14FAE" w:rsidP="00C96119">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Go</w:t>
      </w:r>
      <w:r w:rsidR="0049362F">
        <w:rPr>
          <w:rFonts w:ascii="Times New Roman" w:hAnsi="Times New Roman" w:cs="Times New Roman"/>
        </w:rPr>
        <w:t>vernment Equalities Office, n 43</w:t>
      </w:r>
      <w:r w:rsidRPr="002B7B48">
        <w:rPr>
          <w:rFonts w:ascii="Times New Roman" w:hAnsi="Times New Roman" w:cs="Times New Roman"/>
        </w:rPr>
        <w:t>, 45.</w:t>
      </w:r>
    </w:p>
  </w:footnote>
  <w:footnote w:id="85">
    <w:p w14:paraId="57DF7A06" w14:textId="4C15DB46"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See, e.g. some of the positions in ‘'Shifting sands': six legal views on the transgender debate’, </w:t>
      </w:r>
      <w:r w:rsidR="0010772C" w:rsidRPr="002B7B48">
        <w:rPr>
          <w:rFonts w:ascii="Times New Roman" w:hAnsi="Times New Roman" w:cs="Times New Roman"/>
        </w:rPr>
        <w:t xml:space="preserve">(London, </w:t>
      </w:r>
      <w:r w:rsidRPr="002B7B48">
        <w:rPr>
          <w:rFonts w:ascii="Times New Roman" w:hAnsi="Times New Roman" w:cs="Times New Roman"/>
          <w:i/>
        </w:rPr>
        <w:t>The Guardian</w:t>
      </w:r>
      <w:r w:rsidRPr="002B7B48">
        <w:rPr>
          <w:rFonts w:ascii="Times New Roman" w:hAnsi="Times New Roman" w:cs="Times New Roman"/>
        </w:rPr>
        <w:t>, 19 October 2018</w:t>
      </w:r>
      <w:r w:rsidR="0010772C" w:rsidRPr="002B7B48">
        <w:rPr>
          <w:rFonts w:ascii="Times New Roman" w:hAnsi="Times New Roman" w:cs="Times New Roman"/>
        </w:rPr>
        <w:t>)</w:t>
      </w:r>
      <w:r w:rsidRPr="002B7B48">
        <w:rPr>
          <w:rFonts w:ascii="Times New Roman" w:hAnsi="Times New Roman" w:cs="Times New Roman"/>
        </w:rPr>
        <w:t>.</w:t>
      </w:r>
    </w:p>
  </w:footnote>
  <w:footnote w:id="86">
    <w:p w14:paraId="14FAF679" w14:textId="791134F1"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MB v Secretary of State for Work and Pensions</w:t>
      </w:r>
      <w:r w:rsidRPr="002B7B48">
        <w:rPr>
          <w:rFonts w:ascii="Times New Roman" w:hAnsi="Times New Roman" w:cs="Times New Roman"/>
        </w:rPr>
        <w:t xml:space="preserve"> Case C-451/16 [2018] para 35.</w:t>
      </w:r>
    </w:p>
  </w:footnote>
  <w:footnote w:id="87">
    <w:p w14:paraId="3AA85CFA" w14:textId="205E264B"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Maureen O’Hara ‘Wishful thinking is not a good foundation for law’ in ‘'Shifting sands': six legal views on the transgender debate’, </w:t>
      </w:r>
      <w:r w:rsidRPr="002B7B48">
        <w:rPr>
          <w:rFonts w:ascii="Times New Roman" w:hAnsi="Times New Roman" w:cs="Times New Roman"/>
          <w:i/>
        </w:rPr>
        <w:t>The Guardian</w:t>
      </w:r>
      <w:r w:rsidRPr="002B7B48">
        <w:rPr>
          <w:rFonts w:ascii="Times New Roman" w:hAnsi="Times New Roman" w:cs="Times New Roman"/>
        </w:rPr>
        <w:t>, 19 October 2018 is an excellent example of this argument.</w:t>
      </w:r>
    </w:p>
  </w:footnote>
  <w:footnote w:id="88">
    <w:p w14:paraId="2B1E23D7" w14:textId="4E0C775B"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Stonewall and NfP Synergy, </w:t>
      </w:r>
      <w:r w:rsidRPr="002B7B48">
        <w:rPr>
          <w:rFonts w:ascii="Times New Roman" w:hAnsi="Times New Roman" w:cs="Times New Roman"/>
          <w:i/>
        </w:rPr>
        <w:t>Supporting trans women in domestic and sexual violence services</w:t>
      </w:r>
      <w:r w:rsidRPr="002B7B48">
        <w:rPr>
          <w:rFonts w:ascii="Times New Roman" w:hAnsi="Times New Roman" w:cs="Times New Roman"/>
        </w:rPr>
        <w:t xml:space="preserve"> (</w:t>
      </w:r>
      <w:r w:rsidR="0049362F">
        <w:rPr>
          <w:rFonts w:ascii="Times New Roman" w:hAnsi="Times New Roman" w:cs="Times New Roman"/>
        </w:rPr>
        <w:t xml:space="preserve">London, </w:t>
      </w:r>
      <w:r w:rsidRPr="002B7B48">
        <w:rPr>
          <w:rFonts w:ascii="Times New Roman" w:hAnsi="Times New Roman" w:cs="Times New Roman"/>
        </w:rPr>
        <w:t>Stonewall</w:t>
      </w:r>
      <w:r w:rsidR="0049362F">
        <w:rPr>
          <w:rFonts w:ascii="Times New Roman" w:hAnsi="Times New Roman" w:cs="Times New Roman"/>
        </w:rPr>
        <w:t>,</w:t>
      </w:r>
      <w:r w:rsidRPr="002B7B48">
        <w:rPr>
          <w:rFonts w:ascii="Times New Roman" w:hAnsi="Times New Roman" w:cs="Times New Roman"/>
        </w:rPr>
        <w:t xml:space="preserve"> 2018).</w:t>
      </w:r>
    </w:p>
  </w:footnote>
  <w:footnote w:id="89">
    <w:p w14:paraId="6D941FCF" w14:textId="4BF8F566"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Equality Act 2010, s 158.</w:t>
      </w:r>
    </w:p>
  </w:footnote>
  <w:footnote w:id="90">
    <w:p w14:paraId="2855236B" w14:textId="7897BE62"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Ibid.</w:t>
      </w:r>
    </w:p>
  </w:footnote>
  <w:footnote w:id="91">
    <w:p w14:paraId="7EFAF55A" w14:textId="29BAC409" w:rsidR="00E14FAE" w:rsidRPr="002B7B48" w:rsidRDefault="00E14FAE" w:rsidP="001150B3">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Aileen McColgan, </w:t>
      </w:r>
      <w:r w:rsidRPr="002B7B48">
        <w:rPr>
          <w:rFonts w:ascii="Times New Roman" w:hAnsi="Times New Roman" w:cs="Times New Roman"/>
          <w:i/>
        </w:rPr>
        <w:t>Discrimination, Equality and the Law</w:t>
      </w:r>
      <w:r w:rsidRPr="002B7B48">
        <w:rPr>
          <w:rFonts w:ascii="Times New Roman" w:hAnsi="Times New Roman" w:cs="Times New Roman"/>
        </w:rPr>
        <w:t xml:space="preserve"> (</w:t>
      </w:r>
      <w:r w:rsidR="0046688B" w:rsidRPr="002B7B48">
        <w:rPr>
          <w:rFonts w:ascii="Times New Roman" w:hAnsi="Times New Roman" w:cs="Times New Roman"/>
        </w:rPr>
        <w:t xml:space="preserve">Oxford, </w:t>
      </w:r>
      <w:r w:rsidRPr="002B7B48">
        <w:rPr>
          <w:rFonts w:ascii="Times New Roman" w:hAnsi="Times New Roman" w:cs="Times New Roman"/>
        </w:rPr>
        <w:t>Hart</w:t>
      </w:r>
      <w:r w:rsidR="0046688B" w:rsidRPr="002B7B48">
        <w:rPr>
          <w:rFonts w:ascii="Times New Roman" w:hAnsi="Times New Roman" w:cs="Times New Roman"/>
        </w:rPr>
        <w:t>,</w:t>
      </w:r>
      <w:r w:rsidRPr="002B7B48">
        <w:rPr>
          <w:rFonts w:ascii="Times New Roman" w:hAnsi="Times New Roman" w:cs="Times New Roman"/>
        </w:rPr>
        <w:t xml:space="preserve"> 2014), 71.</w:t>
      </w:r>
    </w:p>
  </w:footnote>
  <w:footnote w:id="92">
    <w:p w14:paraId="3E0ACDBC" w14:textId="77777777" w:rsidR="00E14FAE" w:rsidRPr="002B7B48" w:rsidRDefault="00E14FAE" w:rsidP="006D41A2">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Joint Committee on the Draft Charities Bill, </w:t>
      </w:r>
      <w:r w:rsidRPr="002B7B48">
        <w:rPr>
          <w:rFonts w:ascii="Times New Roman" w:hAnsi="Times New Roman" w:cs="Times New Roman"/>
          <w:i/>
        </w:rPr>
        <w:t>The Draft Charities Bill</w:t>
      </w:r>
      <w:r w:rsidRPr="002B7B48">
        <w:rPr>
          <w:rFonts w:ascii="Times New Roman" w:hAnsi="Times New Roman" w:cs="Times New Roman"/>
        </w:rPr>
        <w:t xml:space="preserve"> (2003-04 HL 167-III, HC 660-III) vol 3: Written evidence, memorandum from Peter Tatchell (DCH 92) Ev 377.</w:t>
      </w:r>
    </w:p>
  </w:footnote>
  <w:footnote w:id="93">
    <w:p w14:paraId="3F837A0B" w14:textId="5CE68F1F" w:rsidR="00E14FAE" w:rsidRPr="002B7B48" w:rsidRDefault="00E14FAE" w:rsidP="006D41A2">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Charity Commission, </w:t>
      </w:r>
      <w:r w:rsidRPr="002B7B48">
        <w:rPr>
          <w:rFonts w:ascii="Times New Roman" w:hAnsi="Times New Roman" w:cs="Times New Roman"/>
          <w:i/>
        </w:rPr>
        <w:t>Charities and Public Benefit. The Charity Commission’s guidance on public benefit</w:t>
      </w:r>
      <w:r w:rsidRPr="002B7B48">
        <w:rPr>
          <w:rFonts w:ascii="Times New Roman" w:hAnsi="Times New Roman" w:cs="Times New Roman"/>
        </w:rPr>
        <w:t xml:space="preserve"> (</w:t>
      </w:r>
      <w:r w:rsidR="0046688B" w:rsidRPr="002B7B48">
        <w:rPr>
          <w:rFonts w:ascii="Times New Roman" w:hAnsi="Times New Roman" w:cs="Times New Roman"/>
        </w:rPr>
        <w:t xml:space="preserve">London, Charity Commission, </w:t>
      </w:r>
      <w:r w:rsidRPr="002B7B48">
        <w:rPr>
          <w:rFonts w:ascii="Times New Roman" w:hAnsi="Times New Roman" w:cs="Times New Roman"/>
        </w:rPr>
        <w:t>2011) para F6.</w:t>
      </w:r>
    </w:p>
  </w:footnote>
  <w:footnote w:id="94">
    <w:p w14:paraId="31EDBC2F" w14:textId="2132775D" w:rsidR="00E14FAE" w:rsidRPr="002B7B48" w:rsidRDefault="00E14FAE" w:rsidP="006D41A2">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Charity Commission, </w:t>
      </w:r>
      <w:r w:rsidRPr="002B7B48">
        <w:rPr>
          <w:rFonts w:ascii="Times New Roman" w:hAnsi="Times New Roman" w:cs="Times New Roman"/>
          <w:i/>
        </w:rPr>
        <w:t xml:space="preserve">Equality Act guidance for charities: Restricting who can benefit from </w:t>
      </w:r>
      <w:r w:rsidR="002A3488" w:rsidRPr="002B7B48">
        <w:rPr>
          <w:rFonts w:ascii="Times New Roman" w:hAnsi="Times New Roman" w:cs="Times New Roman"/>
          <w:i/>
        </w:rPr>
        <w:t>charities</w:t>
      </w:r>
      <w:r w:rsidR="0046688B" w:rsidRPr="002B7B48">
        <w:rPr>
          <w:rFonts w:ascii="Times New Roman" w:hAnsi="Times New Roman" w:cs="Times New Roman"/>
        </w:rPr>
        <w:t>,</w:t>
      </w:r>
      <w:r w:rsidRPr="002B7B48">
        <w:rPr>
          <w:rFonts w:ascii="Times New Roman" w:hAnsi="Times New Roman" w:cs="Times New Roman"/>
        </w:rPr>
        <w:t xml:space="preserve"> </w:t>
      </w:r>
      <w:r w:rsidR="0046688B" w:rsidRPr="002B7B48">
        <w:rPr>
          <w:rFonts w:ascii="Times New Roman" w:hAnsi="Times New Roman" w:cs="Times New Roman"/>
        </w:rPr>
        <w:t>n</w:t>
      </w:r>
      <w:r w:rsidR="0049362F">
        <w:rPr>
          <w:rFonts w:ascii="Times New Roman" w:hAnsi="Times New Roman" w:cs="Times New Roman"/>
        </w:rPr>
        <w:t xml:space="preserve"> 45</w:t>
      </w:r>
      <w:r w:rsidR="0046688B" w:rsidRPr="002B7B48">
        <w:rPr>
          <w:rFonts w:ascii="Times New Roman" w:hAnsi="Times New Roman" w:cs="Times New Roman"/>
        </w:rPr>
        <w:t>,</w:t>
      </w:r>
      <w:r w:rsidRPr="002B7B48">
        <w:rPr>
          <w:rFonts w:ascii="Times New Roman" w:hAnsi="Times New Roman" w:cs="Times New Roman"/>
        </w:rPr>
        <w:t xml:space="preserve"> para B2.</w:t>
      </w:r>
    </w:p>
  </w:footnote>
  <w:footnote w:id="95">
    <w:p w14:paraId="085915CB" w14:textId="77777777" w:rsidR="00E14FAE" w:rsidRPr="002B7B48" w:rsidRDefault="00E14FAE" w:rsidP="006D41A2">
      <w:pPr>
        <w:pStyle w:val="FootnoteText"/>
        <w:rPr>
          <w:rFonts w:ascii="Times New Roman" w:hAnsi="Times New Roman" w:cs="Times New Roman"/>
          <w:i/>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 xml:space="preserve">Father Hudson’s Society and another v Charity Commission (Equality and Human Rights Commission intervening) </w:t>
      </w:r>
      <w:r w:rsidRPr="002B7B48">
        <w:rPr>
          <w:rFonts w:ascii="Times New Roman" w:hAnsi="Times New Roman" w:cs="Times New Roman"/>
        </w:rPr>
        <w:t>(2009) PTSR 1125.</w:t>
      </w:r>
    </w:p>
  </w:footnote>
  <w:footnote w:id="96">
    <w:p w14:paraId="72C8182E" w14:textId="60F4F955"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002A3488" w:rsidRPr="002B7B48">
        <w:rPr>
          <w:rFonts w:ascii="Times New Roman" w:hAnsi="Times New Roman" w:cs="Times New Roman"/>
        </w:rPr>
        <w:t xml:space="preserve"> </w:t>
      </w:r>
      <w:r w:rsidRPr="002B7B48">
        <w:rPr>
          <w:rFonts w:ascii="Times New Roman" w:hAnsi="Times New Roman" w:cs="Times New Roman"/>
        </w:rPr>
        <w:t>Fredman, ‘Substantive equality revisited’</w:t>
      </w:r>
      <w:r w:rsidR="002A3488" w:rsidRPr="002B7B48">
        <w:rPr>
          <w:rFonts w:ascii="Times New Roman" w:hAnsi="Times New Roman" w:cs="Times New Roman"/>
        </w:rPr>
        <w:t>, n</w:t>
      </w:r>
      <w:r w:rsidR="0049362F">
        <w:rPr>
          <w:rFonts w:ascii="Times New Roman" w:hAnsi="Times New Roman" w:cs="Times New Roman"/>
        </w:rPr>
        <w:t xml:space="preserve"> 6</w:t>
      </w:r>
      <w:r w:rsidR="002A3488" w:rsidRPr="002B7B48">
        <w:rPr>
          <w:rFonts w:ascii="Times New Roman" w:hAnsi="Times New Roman" w:cs="Times New Roman"/>
        </w:rPr>
        <w:t>.</w:t>
      </w:r>
      <w:r w:rsidRPr="002B7B48">
        <w:rPr>
          <w:rFonts w:ascii="Times New Roman" w:hAnsi="Times New Roman" w:cs="Times New Roman"/>
        </w:rPr>
        <w:t xml:space="preserve"> </w:t>
      </w:r>
    </w:p>
  </w:footnote>
  <w:footnote w:id="97">
    <w:p w14:paraId="6E1A9899" w14:textId="09D905E6"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Catherine Barnard and Bo</w:t>
      </w:r>
      <w:r w:rsidR="0046688B" w:rsidRPr="002B7B48">
        <w:rPr>
          <w:rFonts w:ascii="Times New Roman" w:hAnsi="Times New Roman" w:cs="Times New Roman"/>
        </w:rPr>
        <w:t>b Hepple, ‘Substantive Equality</w:t>
      </w:r>
      <w:r w:rsidRPr="002B7B48">
        <w:rPr>
          <w:rFonts w:ascii="Times New Roman" w:hAnsi="Times New Roman" w:cs="Times New Roman"/>
        </w:rPr>
        <w:t xml:space="preserve">’ (2000) 59(3) </w:t>
      </w:r>
      <w:r w:rsidRPr="002B7B48">
        <w:rPr>
          <w:rFonts w:ascii="Times New Roman" w:hAnsi="Times New Roman" w:cs="Times New Roman"/>
          <w:i/>
        </w:rPr>
        <w:t>Cambridge Law Journal</w:t>
      </w:r>
      <w:r w:rsidRPr="002B7B48">
        <w:rPr>
          <w:rFonts w:ascii="Times New Roman" w:hAnsi="Times New Roman" w:cs="Times New Roman"/>
        </w:rPr>
        <w:t xml:space="preserve"> 562, 563.</w:t>
      </w:r>
    </w:p>
  </w:footnote>
  <w:footnote w:id="98">
    <w:p w14:paraId="48317A13" w14:textId="64AC5E01"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See Peter Weste</w:t>
      </w:r>
      <w:r w:rsidR="0046688B" w:rsidRPr="002B7B48">
        <w:rPr>
          <w:rFonts w:ascii="Times New Roman" w:hAnsi="Times New Roman" w:cs="Times New Roman"/>
        </w:rPr>
        <w:t>n, ‘The Empty Idea of Equality’</w:t>
      </w:r>
      <w:r w:rsidRPr="002B7B48">
        <w:rPr>
          <w:rFonts w:ascii="Times New Roman" w:hAnsi="Times New Roman" w:cs="Times New Roman"/>
        </w:rPr>
        <w:t xml:space="preserve"> (1982)</w:t>
      </w:r>
      <w:r w:rsidR="0046688B" w:rsidRPr="002B7B48">
        <w:rPr>
          <w:rFonts w:ascii="Times New Roman" w:hAnsi="Times New Roman" w:cs="Times New Roman"/>
        </w:rPr>
        <w:t xml:space="preserve"> 95(3) </w:t>
      </w:r>
      <w:r w:rsidR="0046688B" w:rsidRPr="002B7B48">
        <w:rPr>
          <w:rFonts w:ascii="Times New Roman" w:hAnsi="Times New Roman" w:cs="Times New Roman"/>
          <w:i/>
        </w:rPr>
        <w:t>Harvard Law Review</w:t>
      </w:r>
      <w:r w:rsidRPr="002B7B48">
        <w:rPr>
          <w:rFonts w:ascii="Times New Roman" w:hAnsi="Times New Roman" w:cs="Times New Roman"/>
        </w:rPr>
        <w:t xml:space="preserve"> 537.</w:t>
      </w:r>
    </w:p>
  </w:footnote>
  <w:footnote w:id="99">
    <w:p w14:paraId="66C09EF4" w14:textId="272C8875"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Christopher McCrudden, ‘Equality and Non-discrimination’, in David Feldman (ed) </w:t>
      </w:r>
      <w:r w:rsidRPr="002B7B48">
        <w:rPr>
          <w:rFonts w:ascii="Times New Roman" w:hAnsi="Times New Roman" w:cs="Times New Roman"/>
          <w:i/>
        </w:rPr>
        <w:t>English Public Law</w:t>
      </w:r>
      <w:r w:rsidRPr="002B7B48">
        <w:rPr>
          <w:rFonts w:ascii="Times New Roman" w:hAnsi="Times New Roman" w:cs="Times New Roman"/>
        </w:rPr>
        <w:t xml:space="preserve"> (</w:t>
      </w:r>
      <w:r w:rsidR="002A3488" w:rsidRPr="002B7B48">
        <w:rPr>
          <w:rFonts w:ascii="Times New Roman" w:hAnsi="Times New Roman" w:cs="Times New Roman"/>
        </w:rPr>
        <w:t>Oxford, OUP,</w:t>
      </w:r>
      <w:r w:rsidRPr="002B7B48">
        <w:rPr>
          <w:rFonts w:ascii="Times New Roman" w:hAnsi="Times New Roman" w:cs="Times New Roman"/>
        </w:rPr>
        <w:t xml:space="preserve"> 2004).</w:t>
      </w:r>
    </w:p>
  </w:footnote>
  <w:footnote w:id="100">
    <w:p w14:paraId="069ED594"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Christopher McCrudden, ‘Thinking about the discrimination directive’ (2005) 1 </w:t>
      </w:r>
      <w:r w:rsidRPr="002B7B48">
        <w:rPr>
          <w:rFonts w:ascii="Times New Roman" w:hAnsi="Times New Roman" w:cs="Times New Roman"/>
          <w:i/>
        </w:rPr>
        <w:t>European Anti-Discrimination Law Review</w:t>
      </w:r>
      <w:r w:rsidRPr="002B7B48">
        <w:rPr>
          <w:rFonts w:ascii="Times New Roman" w:hAnsi="Times New Roman" w:cs="Times New Roman"/>
        </w:rPr>
        <w:t xml:space="preserve"> 17. </w:t>
      </w:r>
    </w:p>
  </w:footnote>
  <w:footnote w:id="101">
    <w:p w14:paraId="16744790"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Sandra Fredman, ‘Providing Equality: Substantive equality and the positive duty to provide’ (2005) 21 </w:t>
      </w:r>
      <w:r w:rsidRPr="002B7B48">
        <w:rPr>
          <w:rFonts w:ascii="Times New Roman" w:hAnsi="Times New Roman" w:cs="Times New Roman"/>
          <w:i/>
        </w:rPr>
        <w:t xml:space="preserve">South African Journal of Human Rights </w:t>
      </w:r>
      <w:r w:rsidRPr="002B7B48">
        <w:rPr>
          <w:rFonts w:ascii="Times New Roman" w:hAnsi="Times New Roman" w:cs="Times New Roman"/>
        </w:rPr>
        <w:t xml:space="preserve">163, 170. </w:t>
      </w:r>
    </w:p>
  </w:footnote>
  <w:footnote w:id="102">
    <w:p w14:paraId="583A57D9" w14:textId="522D7EF7"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Iris Marion Young, ‘Equality of Whom? Social Groups and Judgments of Injustice’ (2001) </w:t>
      </w:r>
      <w:r w:rsidRPr="002B7B48">
        <w:rPr>
          <w:rFonts w:ascii="Times New Roman" w:hAnsi="Times New Roman" w:cs="Times New Roman"/>
          <w:i/>
        </w:rPr>
        <w:t>The Journal of Political Philosophy</w:t>
      </w:r>
      <w:r w:rsidRPr="002B7B48">
        <w:rPr>
          <w:rFonts w:ascii="Times New Roman" w:hAnsi="Times New Roman" w:cs="Times New Roman"/>
        </w:rPr>
        <w:t xml:space="preserve"> 1, Drawing on Michael Walzer’s theory of complex equality.</w:t>
      </w:r>
    </w:p>
  </w:footnote>
  <w:footnote w:id="103">
    <w:p w14:paraId="05EA2D04" w14:textId="745D40D5"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Lucy Vickers, ‘Promoting equality or fostering resentment? The public sector equality duty and religion and belief,’ (2011)</w:t>
      </w:r>
      <w:r w:rsidR="002A3488" w:rsidRPr="002B7B48">
        <w:rPr>
          <w:rFonts w:ascii="Times New Roman" w:hAnsi="Times New Roman" w:cs="Times New Roman"/>
        </w:rPr>
        <w:t xml:space="preserve"> 31(1)</w:t>
      </w:r>
      <w:r w:rsidRPr="002B7B48">
        <w:rPr>
          <w:rFonts w:ascii="Times New Roman" w:hAnsi="Times New Roman" w:cs="Times New Roman"/>
        </w:rPr>
        <w:t xml:space="preserve"> </w:t>
      </w:r>
      <w:r w:rsidRPr="002B7B48">
        <w:rPr>
          <w:rFonts w:ascii="Times New Roman" w:hAnsi="Times New Roman" w:cs="Times New Roman"/>
          <w:i/>
        </w:rPr>
        <w:t>Legal Studies</w:t>
      </w:r>
      <w:r w:rsidRPr="002B7B48">
        <w:rPr>
          <w:rFonts w:ascii="Times New Roman" w:hAnsi="Times New Roman" w:cs="Times New Roman"/>
        </w:rPr>
        <w:t xml:space="preserve"> 135. I have reordered these for purposes of this discussion.</w:t>
      </w:r>
    </w:p>
  </w:footnote>
  <w:footnote w:id="104">
    <w:p w14:paraId="03CDB3CB"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‘All human beings are born free and equal in dignity and rights.’ Universal Declaration of Human Rights, Article 1.</w:t>
      </w:r>
    </w:p>
  </w:footnote>
  <w:footnote w:id="105">
    <w:p w14:paraId="05773536" w14:textId="0E52B694"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For a sceptical take: Nancy Fraser, ‘From redistribution to recognition? Dilemmas of justice in a “post-socialist” age</w:t>
      </w:r>
      <w:r w:rsidR="002A3488" w:rsidRPr="002B7B48">
        <w:rPr>
          <w:rFonts w:ascii="Times New Roman" w:hAnsi="Times New Roman" w:cs="Times New Roman"/>
        </w:rPr>
        <w:t>’</w:t>
      </w:r>
      <w:r w:rsidRPr="002B7B48">
        <w:rPr>
          <w:rFonts w:ascii="Times New Roman" w:hAnsi="Times New Roman" w:cs="Times New Roman"/>
        </w:rPr>
        <w:t xml:space="preserve"> (1995) 212(1) </w:t>
      </w:r>
      <w:r w:rsidRPr="002B7B48">
        <w:rPr>
          <w:rFonts w:ascii="Times New Roman" w:hAnsi="Times New Roman" w:cs="Times New Roman"/>
          <w:i/>
        </w:rPr>
        <w:t>New Left Review</w:t>
      </w:r>
      <w:r w:rsidRPr="002B7B48">
        <w:rPr>
          <w:rFonts w:ascii="Times New Roman" w:hAnsi="Times New Roman" w:cs="Times New Roman"/>
        </w:rPr>
        <w:t xml:space="preserve"> 68.</w:t>
      </w:r>
    </w:p>
  </w:footnote>
  <w:footnote w:id="106">
    <w:p w14:paraId="49411083"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David Feldman, ‘Human Dignity as a Legal Value: Part 1’ (1999) </w:t>
      </w:r>
      <w:r w:rsidRPr="002B7B48">
        <w:rPr>
          <w:rFonts w:ascii="Times New Roman" w:hAnsi="Times New Roman" w:cs="Times New Roman"/>
          <w:i/>
        </w:rPr>
        <w:t>Public Law</w:t>
      </w:r>
      <w:r w:rsidRPr="002B7B48">
        <w:rPr>
          <w:rFonts w:ascii="Times New Roman" w:hAnsi="Times New Roman" w:cs="Times New Roman"/>
        </w:rPr>
        <w:t xml:space="preserve"> 682, 682.</w:t>
      </w:r>
    </w:p>
  </w:footnote>
  <w:footnote w:id="107">
    <w:p w14:paraId="60235EC2"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Law v Canada</w:t>
      </w:r>
      <w:r w:rsidRPr="002B7B48">
        <w:rPr>
          <w:rFonts w:ascii="Times New Roman" w:hAnsi="Times New Roman" w:cs="Times New Roman"/>
        </w:rPr>
        <w:t xml:space="preserve"> (1991) 1SCR 497, para 51.</w:t>
      </w:r>
    </w:p>
  </w:footnote>
  <w:footnote w:id="108">
    <w:p w14:paraId="47F72B44"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‘Every individual is equal before and under the law and has the right to the equal protection and equal benefit of the law without discrimination  and, in particular, without discrimination based on race, national or ethnic origin, colour, religion, sex, age or mental or physical disability.’ Canada’s Charter of Fundamental Rights, section 15(1). </w:t>
      </w:r>
    </w:p>
  </w:footnote>
  <w:footnote w:id="109">
    <w:p w14:paraId="7043B408"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(2002) 4 SCR 429.</w:t>
      </w:r>
    </w:p>
  </w:footnote>
  <w:footnote w:id="110">
    <w:p w14:paraId="4DFB8C95" w14:textId="050000B5" w:rsidR="002E56C1" w:rsidRPr="002B7B48" w:rsidRDefault="002E56C1">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The majority required that the plaintiff demonstrate that the disparate </w:t>
      </w:r>
      <w:r w:rsidR="002B7B48" w:rsidRPr="002B7B48">
        <w:rPr>
          <w:rFonts w:ascii="Times New Roman" w:hAnsi="Times New Roman" w:cs="Times New Roman"/>
        </w:rPr>
        <w:t>treatment</w:t>
      </w:r>
      <w:r w:rsidRPr="002B7B48">
        <w:rPr>
          <w:rFonts w:ascii="Times New Roman" w:hAnsi="Times New Roman" w:cs="Times New Roman"/>
        </w:rPr>
        <w:t xml:space="preserve"> based upon a pr</w:t>
      </w:r>
      <w:r w:rsidR="002B7B48" w:rsidRPr="002B7B48">
        <w:rPr>
          <w:rFonts w:ascii="Times New Roman" w:hAnsi="Times New Roman" w:cs="Times New Roman"/>
        </w:rPr>
        <w:t>otected ground (</w:t>
      </w:r>
      <w:r w:rsidRPr="002B7B48">
        <w:rPr>
          <w:rFonts w:ascii="Times New Roman" w:hAnsi="Times New Roman" w:cs="Times New Roman"/>
        </w:rPr>
        <w:t>a</w:t>
      </w:r>
      <w:r w:rsidR="002B7B48" w:rsidRPr="002B7B48">
        <w:rPr>
          <w:rFonts w:ascii="Times New Roman" w:hAnsi="Times New Roman" w:cs="Times New Roman"/>
        </w:rPr>
        <w:t>ge)</w:t>
      </w:r>
      <w:r w:rsidRPr="002B7B48">
        <w:rPr>
          <w:rFonts w:ascii="Times New Roman" w:hAnsi="Times New Roman" w:cs="Times New Roman"/>
        </w:rPr>
        <w:t xml:space="preserve"> was irrelevant to the legislative purpose, which was declared to be promoting autonomy for younger adults. Th</w:t>
      </w:r>
      <w:r w:rsidR="00D203AE">
        <w:rPr>
          <w:rFonts w:ascii="Times New Roman" w:hAnsi="Times New Roman" w:cs="Times New Roman"/>
        </w:rPr>
        <w:t>is deference to the legislative purpose effectively meant that th</w:t>
      </w:r>
      <w:r w:rsidRPr="002B7B48">
        <w:rPr>
          <w:rFonts w:ascii="Times New Roman" w:hAnsi="Times New Roman" w:cs="Times New Roman"/>
        </w:rPr>
        <w:t xml:space="preserve">e plaintiff would have to show both the discriminatory impact and also that this was intended to violate the dignity of younger people.  </w:t>
      </w:r>
    </w:p>
  </w:footnote>
  <w:footnote w:id="111">
    <w:p w14:paraId="705E790F" w14:textId="0209656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Emily Grabham, ‘Law </w:t>
      </w:r>
      <w:r w:rsidRPr="002B7B48">
        <w:rPr>
          <w:rFonts w:ascii="Times New Roman" w:hAnsi="Times New Roman" w:cs="Times New Roman"/>
          <w:i/>
        </w:rPr>
        <w:t>v Canada</w:t>
      </w:r>
      <w:r w:rsidRPr="002B7B48">
        <w:rPr>
          <w:rFonts w:ascii="Times New Roman" w:hAnsi="Times New Roman" w:cs="Times New Roman"/>
        </w:rPr>
        <w:t xml:space="preserve">: New Directions for Equality under the Canadian Charter?’ (2002) </w:t>
      </w:r>
      <w:r w:rsidRPr="002B7B48">
        <w:rPr>
          <w:rFonts w:ascii="Times New Roman" w:hAnsi="Times New Roman" w:cs="Times New Roman"/>
          <w:i/>
        </w:rPr>
        <w:t>Oxford Journal of Legal Studies</w:t>
      </w:r>
      <w:r w:rsidRPr="002B7B48">
        <w:rPr>
          <w:rFonts w:ascii="Times New Roman" w:hAnsi="Times New Roman" w:cs="Times New Roman"/>
        </w:rPr>
        <w:t xml:space="preserve"> 6</w:t>
      </w:r>
      <w:r w:rsidR="002B7B48">
        <w:rPr>
          <w:rFonts w:ascii="Times New Roman" w:hAnsi="Times New Roman" w:cs="Times New Roman"/>
        </w:rPr>
        <w:t xml:space="preserve">41, 654, cited in McColgan, </w:t>
      </w:r>
      <w:r w:rsidR="00FC3B44" w:rsidRPr="002B7B48">
        <w:rPr>
          <w:rFonts w:ascii="Times New Roman" w:hAnsi="Times New Roman" w:cs="Times New Roman"/>
          <w:i/>
        </w:rPr>
        <w:t>Discrimination, Equality and the Law</w:t>
      </w:r>
      <w:r w:rsidR="00FC3B44">
        <w:rPr>
          <w:rFonts w:ascii="Times New Roman" w:hAnsi="Times New Roman" w:cs="Times New Roman"/>
          <w:i/>
        </w:rPr>
        <w:t>,</w:t>
      </w:r>
      <w:r w:rsidR="00FC3B44" w:rsidRPr="002B7B48">
        <w:rPr>
          <w:rFonts w:ascii="Times New Roman" w:hAnsi="Times New Roman" w:cs="Times New Roman"/>
        </w:rPr>
        <w:t xml:space="preserve"> </w:t>
      </w:r>
      <w:r w:rsidR="002B7B48">
        <w:rPr>
          <w:rFonts w:ascii="Times New Roman" w:hAnsi="Times New Roman" w:cs="Times New Roman"/>
        </w:rPr>
        <w:t xml:space="preserve">n </w:t>
      </w:r>
      <w:r w:rsidR="0049362F">
        <w:rPr>
          <w:rFonts w:ascii="Times New Roman" w:hAnsi="Times New Roman" w:cs="Times New Roman"/>
        </w:rPr>
        <w:t>91</w:t>
      </w:r>
    </w:p>
  </w:footnote>
  <w:footnote w:id="112">
    <w:p w14:paraId="735732DA" w14:textId="77777777"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(2008) 2 SCR 483, paras 20-21.</w:t>
      </w:r>
    </w:p>
  </w:footnote>
  <w:footnote w:id="113">
    <w:p w14:paraId="7346BF84" w14:textId="4578F2FF"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002B7B48">
        <w:rPr>
          <w:rFonts w:ascii="Times New Roman" w:hAnsi="Times New Roman" w:cs="Times New Roman"/>
        </w:rPr>
        <w:t xml:space="preserve"> Vickers, </w:t>
      </w:r>
      <w:r w:rsidR="00FC3B44" w:rsidRPr="002B7B48">
        <w:rPr>
          <w:rFonts w:ascii="Times New Roman" w:hAnsi="Times New Roman" w:cs="Times New Roman"/>
        </w:rPr>
        <w:t>‘Promoting equality or fostering resentment?</w:t>
      </w:r>
      <w:r w:rsidR="00FC3B44">
        <w:rPr>
          <w:rFonts w:ascii="Times New Roman" w:hAnsi="Times New Roman" w:cs="Times New Roman"/>
        </w:rPr>
        <w:t xml:space="preserve"> …’, n</w:t>
      </w:r>
      <w:r w:rsidR="00FC3B44" w:rsidRPr="002B7B48">
        <w:rPr>
          <w:rFonts w:ascii="Times New Roman" w:hAnsi="Times New Roman" w:cs="Times New Roman"/>
        </w:rPr>
        <w:t xml:space="preserve"> </w:t>
      </w:r>
      <w:r w:rsidR="0049362F">
        <w:rPr>
          <w:rFonts w:ascii="Times New Roman" w:hAnsi="Times New Roman" w:cs="Times New Roman"/>
        </w:rPr>
        <w:t>103</w:t>
      </w:r>
      <w:r w:rsidRPr="002B7B48">
        <w:rPr>
          <w:rFonts w:ascii="Times New Roman" w:hAnsi="Times New Roman" w:cs="Times New Roman"/>
        </w:rPr>
        <w:t>, 150.</w:t>
      </w:r>
    </w:p>
  </w:footnote>
  <w:footnote w:id="114">
    <w:p w14:paraId="39161DA5" w14:textId="3CEE115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2B7B48">
        <w:rPr>
          <w:rFonts w:ascii="Times New Roman" w:hAnsi="Times New Roman" w:cs="Times New Roman"/>
        </w:rPr>
        <w:t xml:space="preserve"> McColgan, </w:t>
      </w:r>
      <w:r w:rsidR="00FC3B44" w:rsidRPr="002B7B48">
        <w:rPr>
          <w:rFonts w:ascii="Times New Roman" w:hAnsi="Times New Roman" w:cs="Times New Roman"/>
          <w:i/>
        </w:rPr>
        <w:t>Discrimination, Equality and the Law</w:t>
      </w:r>
      <w:r w:rsidR="00FC3B44">
        <w:rPr>
          <w:rFonts w:ascii="Times New Roman" w:hAnsi="Times New Roman" w:cs="Times New Roman"/>
          <w:i/>
        </w:rPr>
        <w:t>,</w:t>
      </w:r>
      <w:r w:rsidR="00FC3B44" w:rsidRPr="002B7B48">
        <w:rPr>
          <w:rFonts w:ascii="Times New Roman" w:hAnsi="Times New Roman" w:cs="Times New Roman"/>
        </w:rPr>
        <w:t xml:space="preserve"> </w:t>
      </w:r>
      <w:r w:rsidR="0049362F">
        <w:rPr>
          <w:rFonts w:ascii="Times New Roman" w:hAnsi="Times New Roman" w:cs="Times New Roman"/>
        </w:rPr>
        <w:t>n 91</w:t>
      </w:r>
      <w:r w:rsidRPr="002B7B48">
        <w:rPr>
          <w:rFonts w:ascii="Times New Roman" w:hAnsi="Times New Roman" w:cs="Times New Roman"/>
        </w:rPr>
        <w:t>, 230.</w:t>
      </w:r>
    </w:p>
  </w:footnote>
  <w:footnote w:id="115">
    <w:p w14:paraId="724C7163" w14:textId="21213CE2"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w:t>
      </w:r>
      <w:r w:rsidRPr="002B7B48">
        <w:rPr>
          <w:rFonts w:ascii="Times New Roman" w:hAnsi="Times New Roman" w:cs="Times New Roman"/>
          <w:i/>
        </w:rPr>
        <w:t>Commissioners for Special Purposes of Income Tax v Pemsel</w:t>
      </w:r>
      <w:r w:rsidRPr="002B7B48">
        <w:rPr>
          <w:rFonts w:ascii="Times New Roman" w:hAnsi="Times New Roman" w:cs="Times New Roman"/>
        </w:rPr>
        <w:t xml:space="preserve"> [1891] AC 531.</w:t>
      </w:r>
    </w:p>
  </w:footnote>
  <w:footnote w:id="116">
    <w:p w14:paraId="4E169011" w14:textId="07D49E6B" w:rsidR="00E14FAE" w:rsidRPr="002B7B48" w:rsidRDefault="00E14FAE" w:rsidP="00BC79C7">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Kevin McLemore, ‘Experiences with Misgendering: Identity Misclassification of Transgender Spectrum Individuals’ (2014) </w:t>
      </w:r>
      <w:r w:rsidRPr="002B7B48">
        <w:rPr>
          <w:rFonts w:ascii="Times New Roman" w:hAnsi="Times New Roman" w:cs="Times New Roman"/>
          <w:i/>
        </w:rPr>
        <w:t>Self and identity</w:t>
      </w:r>
      <w:r w:rsidR="00D203AE">
        <w:rPr>
          <w:rFonts w:ascii="Times New Roman" w:hAnsi="Times New Roman" w:cs="Times New Roman"/>
        </w:rPr>
        <w:t xml:space="preserve"> 14(1); Stonewall, </w:t>
      </w:r>
      <w:r w:rsidRPr="00D203AE">
        <w:rPr>
          <w:rFonts w:ascii="Times New Roman" w:hAnsi="Times New Roman" w:cs="Times New Roman"/>
          <w:i/>
        </w:rPr>
        <w:t>The truth about trans: A Q&amp;A for peop</w:t>
      </w:r>
      <w:r w:rsidR="00D203AE" w:rsidRPr="00D203AE">
        <w:rPr>
          <w:rFonts w:ascii="Times New Roman" w:hAnsi="Times New Roman" w:cs="Times New Roman"/>
          <w:i/>
        </w:rPr>
        <w:t>le who are hungry for real info</w:t>
      </w:r>
      <w:r w:rsidR="00D203AE" w:rsidRPr="00D203AE">
        <w:t xml:space="preserve"> </w:t>
      </w:r>
      <w:r w:rsidR="00D203AE">
        <w:t>(</w:t>
      </w:r>
      <w:r w:rsidR="00D203AE" w:rsidRPr="00D203AE">
        <w:rPr>
          <w:rFonts w:ascii="Times New Roman" w:hAnsi="Times New Roman" w:cs="Times New Roman"/>
        </w:rPr>
        <w:t>www.stonewall.org.uk/truth-about-trans</w:t>
      </w:r>
      <w:r w:rsidR="00D203AE">
        <w:rPr>
          <w:rFonts w:ascii="Times New Roman" w:hAnsi="Times New Roman" w:cs="Times New Roman"/>
        </w:rPr>
        <w:t>)</w:t>
      </w:r>
      <w:r w:rsidRPr="002B7B48">
        <w:rPr>
          <w:rFonts w:ascii="Times New Roman" w:hAnsi="Times New Roman" w:cs="Times New Roman"/>
        </w:rPr>
        <w:t>.</w:t>
      </w:r>
    </w:p>
  </w:footnote>
  <w:footnote w:id="117">
    <w:p w14:paraId="3DB7BA1B" w14:textId="736ED364"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Vickers, </w:t>
      </w:r>
      <w:r w:rsidR="00FC3B44" w:rsidRPr="002B7B48">
        <w:rPr>
          <w:rFonts w:ascii="Times New Roman" w:hAnsi="Times New Roman" w:cs="Times New Roman"/>
        </w:rPr>
        <w:t>‘Promoting equality or fostering resentment?</w:t>
      </w:r>
      <w:r w:rsidR="00FC3B44">
        <w:rPr>
          <w:rFonts w:ascii="Times New Roman" w:hAnsi="Times New Roman" w:cs="Times New Roman"/>
        </w:rPr>
        <w:t xml:space="preserve"> …’,</w:t>
      </w:r>
      <w:r w:rsidR="00FC3B44">
        <w:rPr>
          <w:rFonts w:ascii="Times New Roman" w:hAnsi="Times New Roman" w:cs="Times New Roman"/>
        </w:rPr>
        <w:t xml:space="preserve"> </w:t>
      </w:r>
      <w:r w:rsidRPr="002B7B48">
        <w:rPr>
          <w:rFonts w:ascii="Times New Roman" w:hAnsi="Times New Roman" w:cs="Times New Roman"/>
        </w:rPr>
        <w:t xml:space="preserve">n </w:t>
      </w:r>
      <w:r w:rsidR="0049362F">
        <w:rPr>
          <w:rFonts w:ascii="Times New Roman" w:hAnsi="Times New Roman" w:cs="Times New Roman"/>
        </w:rPr>
        <w:t>103</w:t>
      </w:r>
      <w:r w:rsidRPr="002B7B48">
        <w:rPr>
          <w:rFonts w:ascii="Times New Roman" w:hAnsi="Times New Roman" w:cs="Times New Roman"/>
        </w:rPr>
        <w:t>.</w:t>
      </w:r>
    </w:p>
  </w:footnote>
  <w:footnote w:id="118">
    <w:p w14:paraId="4D94BEB7" w14:textId="72AB7775"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Colm O’Cinneide, ‘Fumbling Towards Coherence: The Slow Evolution of Equality and Anti-discrimination Law in Britain (2006) 57 </w:t>
      </w:r>
      <w:r w:rsidRPr="002B7B48">
        <w:rPr>
          <w:rFonts w:ascii="Times New Roman" w:hAnsi="Times New Roman" w:cs="Times New Roman"/>
          <w:i/>
        </w:rPr>
        <w:t>Northern Ireland Law Quarterly</w:t>
      </w:r>
      <w:r w:rsidRPr="002B7B48">
        <w:rPr>
          <w:rFonts w:ascii="Times New Roman" w:hAnsi="Times New Roman" w:cs="Times New Roman"/>
        </w:rPr>
        <w:t xml:space="preserve"> 57, 60.</w:t>
      </w:r>
    </w:p>
  </w:footnote>
  <w:footnote w:id="119">
    <w:p w14:paraId="7C2E2190" w14:textId="3E2A8863" w:rsidR="00E14FAE" w:rsidRPr="002B7B48" w:rsidRDefault="00E14FAE" w:rsidP="00004886">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Fredman, </w:t>
      </w:r>
      <w:r w:rsidR="00D203AE">
        <w:rPr>
          <w:rFonts w:ascii="Times New Roman" w:hAnsi="Times New Roman" w:cs="Times New Roman"/>
        </w:rPr>
        <w:t xml:space="preserve">‘Substantive equality revisited’, </w:t>
      </w:r>
      <w:r w:rsidRPr="002B7B48">
        <w:rPr>
          <w:rFonts w:ascii="Times New Roman" w:hAnsi="Times New Roman" w:cs="Times New Roman"/>
        </w:rPr>
        <w:t xml:space="preserve">n </w:t>
      </w:r>
      <w:r w:rsidR="0049362F">
        <w:rPr>
          <w:rFonts w:ascii="Times New Roman" w:hAnsi="Times New Roman" w:cs="Times New Roman"/>
        </w:rPr>
        <w:t>6</w:t>
      </w:r>
      <w:r w:rsidRPr="002B7B48">
        <w:rPr>
          <w:rFonts w:ascii="Times New Roman" w:hAnsi="Times New Roman" w:cs="Times New Roman"/>
        </w:rPr>
        <w:t xml:space="preserve">, 713. MacKinnon, in response, argued that the single principle Fredman was missing is that of ‘social hierarchy’. Catharine MacKinnon, ‘Substantive equality revisited: a reply to Sandra Fredman,’ (2016) </w:t>
      </w:r>
      <w:r w:rsidR="00D203AE">
        <w:rPr>
          <w:rFonts w:ascii="Times New Roman" w:hAnsi="Times New Roman" w:cs="Times New Roman"/>
        </w:rPr>
        <w:t xml:space="preserve">14(3) </w:t>
      </w:r>
      <w:r w:rsidRPr="00D203AE">
        <w:rPr>
          <w:rFonts w:ascii="Times New Roman" w:hAnsi="Times New Roman" w:cs="Times New Roman"/>
          <w:i/>
        </w:rPr>
        <w:t>I-CON</w:t>
      </w:r>
      <w:r w:rsidR="00D203AE">
        <w:rPr>
          <w:rFonts w:ascii="Times New Roman" w:hAnsi="Times New Roman" w:cs="Times New Roman"/>
        </w:rPr>
        <w:t xml:space="preserve"> </w:t>
      </w:r>
      <w:r w:rsidRPr="002B7B48">
        <w:rPr>
          <w:rFonts w:ascii="Times New Roman" w:hAnsi="Times New Roman" w:cs="Times New Roman"/>
        </w:rPr>
        <w:t>739, 740.</w:t>
      </w:r>
    </w:p>
  </w:footnote>
  <w:footnote w:id="120">
    <w:p w14:paraId="46A8A8FB" w14:textId="2C971070" w:rsidR="00E14FAE" w:rsidRPr="002B7B48" w:rsidRDefault="00E14FAE" w:rsidP="00AF1AF2">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This is likely to also be the case where a woman fits the circumstances of the plaintiff in </w:t>
      </w:r>
      <w:r w:rsidRPr="002B7B48">
        <w:rPr>
          <w:rFonts w:ascii="Times New Roman" w:hAnsi="Times New Roman" w:cs="Times New Roman"/>
          <w:i/>
        </w:rPr>
        <w:t>MB v Secretary of State for Work and Pensions</w:t>
      </w:r>
      <w:r w:rsidRPr="002B7B48">
        <w:rPr>
          <w:rFonts w:ascii="Times New Roman" w:hAnsi="Times New Roman" w:cs="Times New Roman"/>
        </w:rPr>
        <w:t xml:space="preserve">, despite the fact that the case was limited to social security determinations. </w:t>
      </w:r>
    </w:p>
  </w:footnote>
  <w:footnote w:id="121">
    <w:p w14:paraId="4AC034F4" w14:textId="0F0D4B8E"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00D203AE">
        <w:rPr>
          <w:rFonts w:ascii="Times New Roman" w:hAnsi="Times New Roman" w:cs="Times New Roman"/>
        </w:rPr>
        <w:t xml:space="preserve"> Fredman, ‘Substantive Equality Revisited’,</w:t>
      </w:r>
      <w:r w:rsidR="0049362F">
        <w:rPr>
          <w:rFonts w:ascii="Times New Roman" w:hAnsi="Times New Roman" w:cs="Times New Roman"/>
        </w:rPr>
        <w:t xml:space="preserve"> n 6</w:t>
      </w:r>
      <w:r w:rsidRPr="002B7B48">
        <w:rPr>
          <w:rFonts w:ascii="Times New Roman" w:hAnsi="Times New Roman" w:cs="Times New Roman"/>
        </w:rPr>
        <w:t>, 713</w:t>
      </w:r>
    </w:p>
  </w:footnote>
  <w:footnote w:id="122">
    <w:p w14:paraId="096FA14C" w14:textId="3A8319DA" w:rsidR="00E14FAE" w:rsidRPr="002B7B48" w:rsidRDefault="00E14FAE">
      <w:pPr>
        <w:pStyle w:val="FootnoteText"/>
        <w:rPr>
          <w:rFonts w:ascii="Times New Roman" w:hAnsi="Times New Roman" w:cs="Times New Roman"/>
        </w:rPr>
      </w:pPr>
      <w:r w:rsidRPr="002B7B48">
        <w:rPr>
          <w:rStyle w:val="FootnoteReference"/>
          <w:rFonts w:ascii="Times New Roman" w:hAnsi="Times New Roman" w:cs="Times New Roman"/>
        </w:rPr>
        <w:footnoteRef/>
      </w:r>
      <w:r w:rsidRPr="002B7B48">
        <w:rPr>
          <w:rFonts w:ascii="Times New Roman" w:hAnsi="Times New Roman" w:cs="Times New Roman"/>
        </w:rPr>
        <w:t xml:space="preserve"> O’Cinneide, </w:t>
      </w:r>
      <w:r w:rsidR="00D203AE">
        <w:rPr>
          <w:rFonts w:ascii="Times New Roman" w:hAnsi="Times New Roman" w:cs="Times New Roman"/>
        </w:rPr>
        <w:t>‘Fumbling Toward Coherence…’,</w:t>
      </w:r>
      <w:r w:rsidR="00FC3B44">
        <w:rPr>
          <w:rFonts w:ascii="Times New Roman" w:hAnsi="Times New Roman" w:cs="Times New Roman"/>
        </w:rPr>
        <w:t xml:space="preserve"> </w:t>
      </w:r>
      <w:r w:rsidR="0049362F">
        <w:rPr>
          <w:rFonts w:ascii="Times New Roman" w:hAnsi="Times New Roman" w:cs="Times New Roman"/>
        </w:rPr>
        <w:t>n 104</w:t>
      </w:r>
      <w:r w:rsidRPr="002B7B4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002D"/>
    <w:multiLevelType w:val="hybridMultilevel"/>
    <w:tmpl w:val="E0CC7654"/>
    <w:lvl w:ilvl="0" w:tplc="A80664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C13D0"/>
    <w:multiLevelType w:val="hybridMultilevel"/>
    <w:tmpl w:val="96EA2452"/>
    <w:lvl w:ilvl="0" w:tplc="A95464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E0"/>
    <w:rsid w:val="00004886"/>
    <w:rsid w:val="00007EA9"/>
    <w:rsid w:val="00015E42"/>
    <w:rsid w:val="00026A07"/>
    <w:rsid w:val="00040C1D"/>
    <w:rsid w:val="000517E3"/>
    <w:rsid w:val="00052847"/>
    <w:rsid w:val="00057D51"/>
    <w:rsid w:val="00060857"/>
    <w:rsid w:val="00064C4A"/>
    <w:rsid w:val="000702DC"/>
    <w:rsid w:val="000706FD"/>
    <w:rsid w:val="000E1EA0"/>
    <w:rsid w:val="000E7B2C"/>
    <w:rsid w:val="000F7F40"/>
    <w:rsid w:val="0010772C"/>
    <w:rsid w:val="001145A2"/>
    <w:rsid w:val="001150B3"/>
    <w:rsid w:val="00126B59"/>
    <w:rsid w:val="001321E3"/>
    <w:rsid w:val="00156876"/>
    <w:rsid w:val="00162B68"/>
    <w:rsid w:val="001669CA"/>
    <w:rsid w:val="00170650"/>
    <w:rsid w:val="00183A5E"/>
    <w:rsid w:val="00193A76"/>
    <w:rsid w:val="00195A43"/>
    <w:rsid w:val="001A2C84"/>
    <w:rsid w:val="001C48FB"/>
    <w:rsid w:val="001D5711"/>
    <w:rsid w:val="00203B4B"/>
    <w:rsid w:val="00225B8C"/>
    <w:rsid w:val="00225BD6"/>
    <w:rsid w:val="00227F2D"/>
    <w:rsid w:val="00231DA6"/>
    <w:rsid w:val="002320AB"/>
    <w:rsid w:val="002402F6"/>
    <w:rsid w:val="00241095"/>
    <w:rsid w:val="0024167B"/>
    <w:rsid w:val="002479F5"/>
    <w:rsid w:val="00251F43"/>
    <w:rsid w:val="00270335"/>
    <w:rsid w:val="00274BA8"/>
    <w:rsid w:val="002909F9"/>
    <w:rsid w:val="00290DC0"/>
    <w:rsid w:val="002A3488"/>
    <w:rsid w:val="002A7A64"/>
    <w:rsid w:val="002B7B48"/>
    <w:rsid w:val="002C5A2C"/>
    <w:rsid w:val="002C5CBA"/>
    <w:rsid w:val="002C6050"/>
    <w:rsid w:val="002E56C1"/>
    <w:rsid w:val="002F04E9"/>
    <w:rsid w:val="00303807"/>
    <w:rsid w:val="00311563"/>
    <w:rsid w:val="00314C1A"/>
    <w:rsid w:val="00316700"/>
    <w:rsid w:val="00325517"/>
    <w:rsid w:val="00336043"/>
    <w:rsid w:val="00337DD9"/>
    <w:rsid w:val="0036274C"/>
    <w:rsid w:val="00365E22"/>
    <w:rsid w:val="00374906"/>
    <w:rsid w:val="003752B6"/>
    <w:rsid w:val="003B2FC4"/>
    <w:rsid w:val="003F1DB8"/>
    <w:rsid w:val="00400B0C"/>
    <w:rsid w:val="004106E3"/>
    <w:rsid w:val="004148FB"/>
    <w:rsid w:val="00417515"/>
    <w:rsid w:val="00424AC0"/>
    <w:rsid w:val="0046688B"/>
    <w:rsid w:val="004729AB"/>
    <w:rsid w:val="00475489"/>
    <w:rsid w:val="004756E3"/>
    <w:rsid w:val="00482C15"/>
    <w:rsid w:val="00486A33"/>
    <w:rsid w:val="0049362F"/>
    <w:rsid w:val="00494BF6"/>
    <w:rsid w:val="004A4D64"/>
    <w:rsid w:val="004B0C5F"/>
    <w:rsid w:val="004C2535"/>
    <w:rsid w:val="004C3382"/>
    <w:rsid w:val="004C4B00"/>
    <w:rsid w:val="004C6BA4"/>
    <w:rsid w:val="004C7F77"/>
    <w:rsid w:val="004E769B"/>
    <w:rsid w:val="004F2AD2"/>
    <w:rsid w:val="005074D0"/>
    <w:rsid w:val="00512840"/>
    <w:rsid w:val="0054258F"/>
    <w:rsid w:val="00562A20"/>
    <w:rsid w:val="005704C9"/>
    <w:rsid w:val="00572259"/>
    <w:rsid w:val="005849FC"/>
    <w:rsid w:val="00585991"/>
    <w:rsid w:val="00585C76"/>
    <w:rsid w:val="00590D49"/>
    <w:rsid w:val="005B050C"/>
    <w:rsid w:val="005C48B9"/>
    <w:rsid w:val="005E701C"/>
    <w:rsid w:val="005E7310"/>
    <w:rsid w:val="0060053C"/>
    <w:rsid w:val="00602D5B"/>
    <w:rsid w:val="00605873"/>
    <w:rsid w:val="00614AAB"/>
    <w:rsid w:val="00626E1E"/>
    <w:rsid w:val="006347FC"/>
    <w:rsid w:val="00640578"/>
    <w:rsid w:val="006428B9"/>
    <w:rsid w:val="00651751"/>
    <w:rsid w:val="006632FB"/>
    <w:rsid w:val="00663556"/>
    <w:rsid w:val="00670B08"/>
    <w:rsid w:val="0067209A"/>
    <w:rsid w:val="006741F9"/>
    <w:rsid w:val="006A0739"/>
    <w:rsid w:val="006A0EBE"/>
    <w:rsid w:val="006A119E"/>
    <w:rsid w:val="006B69C9"/>
    <w:rsid w:val="006D41A2"/>
    <w:rsid w:val="006D7032"/>
    <w:rsid w:val="006E7D8D"/>
    <w:rsid w:val="006F0CB9"/>
    <w:rsid w:val="006F0D56"/>
    <w:rsid w:val="006F4543"/>
    <w:rsid w:val="007001BE"/>
    <w:rsid w:val="00716DBE"/>
    <w:rsid w:val="007211E2"/>
    <w:rsid w:val="00730B54"/>
    <w:rsid w:val="007327C5"/>
    <w:rsid w:val="007609B3"/>
    <w:rsid w:val="007666F0"/>
    <w:rsid w:val="00786B06"/>
    <w:rsid w:val="007937BB"/>
    <w:rsid w:val="007A165D"/>
    <w:rsid w:val="007C6FF8"/>
    <w:rsid w:val="007E0EE9"/>
    <w:rsid w:val="007F12C7"/>
    <w:rsid w:val="00802147"/>
    <w:rsid w:val="00820D89"/>
    <w:rsid w:val="00823B93"/>
    <w:rsid w:val="00837883"/>
    <w:rsid w:val="00845E4E"/>
    <w:rsid w:val="008460E9"/>
    <w:rsid w:val="00852EEE"/>
    <w:rsid w:val="00857403"/>
    <w:rsid w:val="0086165B"/>
    <w:rsid w:val="00866E6C"/>
    <w:rsid w:val="00871B6B"/>
    <w:rsid w:val="008904C3"/>
    <w:rsid w:val="00890759"/>
    <w:rsid w:val="00894238"/>
    <w:rsid w:val="00895E3E"/>
    <w:rsid w:val="00897183"/>
    <w:rsid w:val="008A0BEE"/>
    <w:rsid w:val="008A4888"/>
    <w:rsid w:val="008A5CE0"/>
    <w:rsid w:val="008B74C5"/>
    <w:rsid w:val="00902BA7"/>
    <w:rsid w:val="009037C2"/>
    <w:rsid w:val="00911602"/>
    <w:rsid w:val="00923234"/>
    <w:rsid w:val="00923713"/>
    <w:rsid w:val="00924627"/>
    <w:rsid w:val="00940250"/>
    <w:rsid w:val="009443CB"/>
    <w:rsid w:val="009474A3"/>
    <w:rsid w:val="00961659"/>
    <w:rsid w:val="00961664"/>
    <w:rsid w:val="00964F3E"/>
    <w:rsid w:val="00971148"/>
    <w:rsid w:val="00975F82"/>
    <w:rsid w:val="00980FDE"/>
    <w:rsid w:val="0098276B"/>
    <w:rsid w:val="009C48E7"/>
    <w:rsid w:val="009D56DD"/>
    <w:rsid w:val="009E73C3"/>
    <w:rsid w:val="009F1293"/>
    <w:rsid w:val="00A02A40"/>
    <w:rsid w:val="00A4329A"/>
    <w:rsid w:val="00A51D7D"/>
    <w:rsid w:val="00A859E9"/>
    <w:rsid w:val="00A86DDA"/>
    <w:rsid w:val="00A87248"/>
    <w:rsid w:val="00AA0DE3"/>
    <w:rsid w:val="00AD758F"/>
    <w:rsid w:val="00AE201A"/>
    <w:rsid w:val="00AE5107"/>
    <w:rsid w:val="00AF1AF2"/>
    <w:rsid w:val="00AF2CA5"/>
    <w:rsid w:val="00AF7AF5"/>
    <w:rsid w:val="00B002C5"/>
    <w:rsid w:val="00B05EC7"/>
    <w:rsid w:val="00B1745B"/>
    <w:rsid w:val="00B40A69"/>
    <w:rsid w:val="00B53A1C"/>
    <w:rsid w:val="00B5662E"/>
    <w:rsid w:val="00B62B3D"/>
    <w:rsid w:val="00B70E10"/>
    <w:rsid w:val="00B76138"/>
    <w:rsid w:val="00B77BD8"/>
    <w:rsid w:val="00BC79C7"/>
    <w:rsid w:val="00BE0060"/>
    <w:rsid w:val="00C0560D"/>
    <w:rsid w:val="00C2093E"/>
    <w:rsid w:val="00C20D0D"/>
    <w:rsid w:val="00C23460"/>
    <w:rsid w:val="00C24C40"/>
    <w:rsid w:val="00C42653"/>
    <w:rsid w:val="00C4672D"/>
    <w:rsid w:val="00C51316"/>
    <w:rsid w:val="00C53E41"/>
    <w:rsid w:val="00C6254F"/>
    <w:rsid w:val="00C7051B"/>
    <w:rsid w:val="00C76FC2"/>
    <w:rsid w:val="00C96119"/>
    <w:rsid w:val="00CB403D"/>
    <w:rsid w:val="00CB694E"/>
    <w:rsid w:val="00CD2DF1"/>
    <w:rsid w:val="00CD588C"/>
    <w:rsid w:val="00CF231F"/>
    <w:rsid w:val="00CF3CA5"/>
    <w:rsid w:val="00D203AE"/>
    <w:rsid w:val="00D20781"/>
    <w:rsid w:val="00D216A4"/>
    <w:rsid w:val="00D451FC"/>
    <w:rsid w:val="00D51963"/>
    <w:rsid w:val="00D54B5B"/>
    <w:rsid w:val="00D62D88"/>
    <w:rsid w:val="00D70C39"/>
    <w:rsid w:val="00D77E1C"/>
    <w:rsid w:val="00D97F23"/>
    <w:rsid w:val="00DA5419"/>
    <w:rsid w:val="00DB1FB3"/>
    <w:rsid w:val="00DC7638"/>
    <w:rsid w:val="00DF086F"/>
    <w:rsid w:val="00DF6826"/>
    <w:rsid w:val="00E14FAE"/>
    <w:rsid w:val="00E26B5F"/>
    <w:rsid w:val="00E26FF1"/>
    <w:rsid w:val="00E368DB"/>
    <w:rsid w:val="00E400E1"/>
    <w:rsid w:val="00E40EAA"/>
    <w:rsid w:val="00E4370F"/>
    <w:rsid w:val="00E844F4"/>
    <w:rsid w:val="00E95D3F"/>
    <w:rsid w:val="00EA4C49"/>
    <w:rsid w:val="00EB04B1"/>
    <w:rsid w:val="00EC22D4"/>
    <w:rsid w:val="00EC355D"/>
    <w:rsid w:val="00EC7F83"/>
    <w:rsid w:val="00ED68A5"/>
    <w:rsid w:val="00EE2D67"/>
    <w:rsid w:val="00EE7D88"/>
    <w:rsid w:val="00EF4686"/>
    <w:rsid w:val="00EF6A02"/>
    <w:rsid w:val="00EF700D"/>
    <w:rsid w:val="00F153F4"/>
    <w:rsid w:val="00F21C63"/>
    <w:rsid w:val="00F255B3"/>
    <w:rsid w:val="00F31AAC"/>
    <w:rsid w:val="00F40411"/>
    <w:rsid w:val="00F44EF9"/>
    <w:rsid w:val="00F4728E"/>
    <w:rsid w:val="00F527D4"/>
    <w:rsid w:val="00F61026"/>
    <w:rsid w:val="00F71274"/>
    <w:rsid w:val="00F73E7D"/>
    <w:rsid w:val="00F766FD"/>
    <w:rsid w:val="00F77EC8"/>
    <w:rsid w:val="00F80E3C"/>
    <w:rsid w:val="00F85397"/>
    <w:rsid w:val="00FA04B9"/>
    <w:rsid w:val="00FB6D2A"/>
    <w:rsid w:val="00FC3B44"/>
    <w:rsid w:val="00FF59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BDD2"/>
  <w15:docId w15:val="{BDFDEE23-90D7-4ACE-9A28-B001BA8D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1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16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67B"/>
    <w:pPr>
      <w:ind w:left="720"/>
      <w:contextualSpacing/>
    </w:pPr>
  </w:style>
  <w:style w:type="paragraph" w:styleId="FootnoteText">
    <w:name w:val="footnote text"/>
    <w:basedOn w:val="Normal"/>
    <w:link w:val="FootnoteTextChar"/>
    <w:uiPriority w:val="99"/>
    <w:unhideWhenUsed/>
    <w:rsid w:val="001145A2"/>
    <w:rPr>
      <w:sz w:val="20"/>
      <w:szCs w:val="20"/>
    </w:rPr>
  </w:style>
  <w:style w:type="character" w:customStyle="1" w:styleId="FootnoteTextChar">
    <w:name w:val="Footnote Text Char"/>
    <w:basedOn w:val="DefaultParagraphFont"/>
    <w:link w:val="FootnoteText"/>
    <w:uiPriority w:val="99"/>
    <w:rsid w:val="001145A2"/>
    <w:rPr>
      <w:sz w:val="20"/>
      <w:szCs w:val="20"/>
    </w:rPr>
  </w:style>
  <w:style w:type="character" w:styleId="FootnoteReference">
    <w:name w:val="footnote reference"/>
    <w:basedOn w:val="DefaultParagraphFont"/>
    <w:uiPriority w:val="99"/>
    <w:semiHidden/>
    <w:unhideWhenUsed/>
    <w:rsid w:val="001145A2"/>
    <w:rPr>
      <w:vertAlign w:val="superscript"/>
    </w:rPr>
  </w:style>
  <w:style w:type="paragraph" w:styleId="Footer">
    <w:name w:val="footer"/>
    <w:basedOn w:val="Normal"/>
    <w:link w:val="FooterChar"/>
    <w:uiPriority w:val="99"/>
    <w:unhideWhenUsed/>
    <w:rsid w:val="00314C1A"/>
    <w:pPr>
      <w:tabs>
        <w:tab w:val="center" w:pos="4680"/>
        <w:tab w:val="right" w:pos="9360"/>
      </w:tabs>
    </w:pPr>
  </w:style>
  <w:style w:type="character" w:customStyle="1" w:styleId="FooterChar">
    <w:name w:val="Footer Char"/>
    <w:basedOn w:val="DefaultParagraphFont"/>
    <w:link w:val="Footer"/>
    <w:uiPriority w:val="99"/>
    <w:rsid w:val="00314C1A"/>
  </w:style>
  <w:style w:type="character" w:styleId="PageNumber">
    <w:name w:val="page number"/>
    <w:basedOn w:val="DefaultParagraphFont"/>
    <w:uiPriority w:val="99"/>
    <w:semiHidden/>
    <w:unhideWhenUsed/>
    <w:rsid w:val="00314C1A"/>
  </w:style>
  <w:style w:type="character" w:customStyle="1" w:styleId="Heading1Char">
    <w:name w:val="Heading 1 Char"/>
    <w:basedOn w:val="DefaultParagraphFont"/>
    <w:link w:val="Heading1"/>
    <w:uiPriority w:val="9"/>
    <w:rsid w:val="009616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1659"/>
    <w:rPr>
      <w:rFonts w:asciiTheme="majorHAnsi" w:eastAsiaTheme="majorEastAsia" w:hAnsiTheme="majorHAnsi" w:cstheme="majorBidi"/>
      <w:color w:val="2F5496" w:themeColor="accent1" w:themeShade="BF"/>
      <w:sz w:val="26"/>
      <w:szCs w:val="26"/>
    </w:rPr>
  </w:style>
  <w:style w:type="paragraph" w:styleId="Quote">
    <w:name w:val="Quote"/>
    <w:basedOn w:val="Normal"/>
    <w:next w:val="Normal"/>
    <w:link w:val="QuoteChar"/>
    <w:uiPriority w:val="29"/>
    <w:qFormat/>
    <w:rsid w:val="005074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74D0"/>
    <w:rPr>
      <w:i/>
      <w:iCs/>
      <w:color w:val="404040" w:themeColor="text1" w:themeTint="BF"/>
    </w:rPr>
  </w:style>
  <w:style w:type="character" w:styleId="CommentReference">
    <w:name w:val="annotation reference"/>
    <w:basedOn w:val="DefaultParagraphFont"/>
    <w:uiPriority w:val="99"/>
    <w:semiHidden/>
    <w:unhideWhenUsed/>
    <w:rsid w:val="00EE2D67"/>
    <w:rPr>
      <w:sz w:val="16"/>
      <w:szCs w:val="16"/>
    </w:rPr>
  </w:style>
  <w:style w:type="paragraph" w:styleId="CommentText">
    <w:name w:val="annotation text"/>
    <w:basedOn w:val="Normal"/>
    <w:link w:val="CommentTextChar"/>
    <w:uiPriority w:val="99"/>
    <w:semiHidden/>
    <w:unhideWhenUsed/>
    <w:rsid w:val="00EE2D67"/>
    <w:rPr>
      <w:sz w:val="20"/>
      <w:szCs w:val="20"/>
    </w:rPr>
  </w:style>
  <w:style w:type="character" w:customStyle="1" w:styleId="CommentTextChar">
    <w:name w:val="Comment Text Char"/>
    <w:basedOn w:val="DefaultParagraphFont"/>
    <w:link w:val="CommentText"/>
    <w:uiPriority w:val="99"/>
    <w:semiHidden/>
    <w:rsid w:val="00EE2D67"/>
    <w:rPr>
      <w:sz w:val="20"/>
      <w:szCs w:val="20"/>
    </w:rPr>
  </w:style>
  <w:style w:type="paragraph" w:styleId="CommentSubject">
    <w:name w:val="annotation subject"/>
    <w:basedOn w:val="CommentText"/>
    <w:next w:val="CommentText"/>
    <w:link w:val="CommentSubjectChar"/>
    <w:uiPriority w:val="99"/>
    <w:semiHidden/>
    <w:unhideWhenUsed/>
    <w:rsid w:val="00EE2D67"/>
    <w:rPr>
      <w:b/>
      <w:bCs/>
    </w:rPr>
  </w:style>
  <w:style w:type="character" w:customStyle="1" w:styleId="CommentSubjectChar">
    <w:name w:val="Comment Subject Char"/>
    <w:basedOn w:val="CommentTextChar"/>
    <w:link w:val="CommentSubject"/>
    <w:uiPriority w:val="99"/>
    <w:semiHidden/>
    <w:rsid w:val="00EE2D67"/>
    <w:rPr>
      <w:b/>
      <w:bCs/>
      <w:sz w:val="20"/>
      <w:szCs w:val="20"/>
    </w:rPr>
  </w:style>
  <w:style w:type="paragraph" w:styleId="BalloonText">
    <w:name w:val="Balloon Text"/>
    <w:basedOn w:val="Normal"/>
    <w:link w:val="BalloonTextChar"/>
    <w:uiPriority w:val="99"/>
    <w:semiHidden/>
    <w:unhideWhenUsed/>
    <w:rsid w:val="00EE2D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2D67"/>
    <w:rPr>
      <w:rFonts w:ascii="Times New Roman" w:hAnsi="Times New Roman" w:cs="Times New Roman"/>
      <w:sz w:val="18"/>
      <w:szCs w:val="18"/>
    </w:rPr>
  </w:style>
  <w:style w:type="character" w:customStyle="1" w:styleId="ref-fn-p">
    <w:name w:val="ref-fn-p"/>
    <w:basedOn w:val="DefaultParagraphFont"/>
    <w:rsid w:val="00B62B3D"/>
  </w:style>
  <w:style w:type="character" w:styleId="Hyperlink">
    <w:name w:val="Hyperlink"/>
    <w:basedOn w:val="DefaultParagraphFont"/>
    <w:uiPriority w:val="99"/>
    <w:unhideWhenUsed/>
    <w:rsid w:val="00626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89169">
      <w:bodyDiv w:val="1"/>
      <w:marLeft w:val="0"/>
      <w:marRight w:val="0"/>
      <w:marTop w:val="0"/>
      <w:marBottom w:val="0"/>
      <w:divBdr>
        <w:top w:val="none" w:sz="0" w:space="0" w:color="auto"/>
        <w:left w:val="none" w:sz="0" w:space="0" w:color="auto"/>
        <w:bottom w:val="none" w:sz="0" w:space="0" w:color="auto"/>
        <w:right w:val="none" w:sz="0" w:space="0" w:color="auto"/>
      </w:divBdr>
    </w:div>
    <w:div w:id="1227573669">
      <w:bodyDiv w:val="1"/>
      <w:marLeft w:val="0"/>
      <w:marRight w:val="0"/>
      <w:marTop w:val="0"/>
      <w:marBottom w:val="0"/>
      <w:divBdr>
        <w:top w:val="none" w:sz="0" w:space="0" w:color="auto"/>
        <w:left w:val="none" w:sz="0" w:space="0" w:color="auto"/>
        <w:bottom w:val="none" w:sz="0" w:space="0" w:color="auto"/>
        <w:right w:val="none" w:sz="0" w:space="0" w:color="auto"/>
      </w:divBdr>
    </w:div>
    <w:div w:id="1330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ist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EF14-37BB-4E1B-8FC1-D0F7BE39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9522</Words>
  <Characters>54281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Sigafoos, Jennifer</cp:lastModifiedBy>
  <cp:revision>3</cp:revision>
  <cp:lastPrinted>2019-07-16T08:27:00Z</cp:lastPrinted>
  <dcterms:created xsi:type="dcterms:W3CDTF">2019-07-27T17:06:00Z</dcterms:created>
  <dcterms:modified xsi:type="dcterms:W3CDTF">2019-07-27T17:16:00Z</dcterms:modified>
</cp:coreProperties>
</file>