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1623" w14:textId="5FE57833" w:rsidR="00F965A4" w:rsidRPr="007A3248" w:rsidRDefault="00175674" w:rsidP="00B140D4">
      <w:pPr>
        <w:spacing w:after="0" w:line="276" w:lineRule="auto"/>
        <w:jc w:val="both"/>
        <w:rPr>
          <w:b/>
          <w:sz w:val="24"/>
          <w:szCs w:val="24"/>
        </w:rPr>
      </w:pPr>
      <w:bookmarkStart w:id="0" w:name="_GoBack"/>
      <w:bookmarkEnd w:id="0"/>
      <w:proofErr w:type="gramStart"/>
      <w:r w:rsidRPr="007A3248">
        <w:rPr>
          <w:b/>
          <w:sz w:val="24"/>
          <w:szCs w:val="24"/>
        </w:rPr>
        <w:t>It’s</w:t>
      </w:r>
      <w:proofErr w:type="gramEnd"/>
      <w:r w:rsidRPr="007A3248">
        <w:rPr>
          <w:b/>
          <w:sz w:val="24"/>
          <w:szCs w:val="24"/>
        </w:rPr>
        <w:t xml:space="preserve"> </w:t>
      </w:r>
      <w:r w:rsidR="0002791D">
        <w:rPr>
          <w:b/>
          <w:sz w:val="24"/>
          <w:szCs w:val="24"/>
        </w:rPr>
        <w:t>m</w:t>
      </w:r>
      <w:r w:rsidRPr="007A3248">
        <w:rPr>
          <w:b/>
          <w:sz w:val="24"/>
          <w:szCs w:val="24"/>
        </w:rPr>
        <w:t xml:space="preserve">ore </w:t>
      </w:r>
      <w:r w:rsidR="0002791D">
        <w:rPr>
          <w:b/>
          <w:sz w:val="24"/>
          <w:szCs w:val="24"/>
        </w:rPr>
        <w:t>c</w:t>
      </w:r>
      <w:r w:rsidRPr="007A3248">
        <w:rPr>
          <w:b/>
          <w:sz w:val="24"/>
          <w:szCs w:val="24"/>
        </w:rPr>
        <w:t>omplicated than that</w:t>
      </w:r>
      <w:r w:rsidR="0002791D">
        <w:rPr>
          <w:b/>
          <w:sz w:val="24"/>
          <w:szCs w:val="24"/>
        </w:rPr>
        <w:t xml:space="preserve">! </w:t>
      </w:r>
      <w:r w:rsidRPr="007A3248">
        <w:rPr>
          <w:b/>
          <w:sz w:val="24"/>
          <w:szCs w:val="24"/>
        </w:rPr>
        <w:t>:</w:t>
      </w:r>
      <w:r w:rsidR="00F965A4" w:rsidRPr="007A3248">
        <w:rPr>
          <w:b/>
          <w:sz w:val="24"/>
          <w:szCs w:val="24"/>
        </w:rPr>
        <w:t xml:space="preserve"> </w:t>
      </w:r>
      <w:proofErr w:type="gramStart"/>
      <w:r w:rsidR="00315542">
        <w:rPr>
          <w:b/>
          <w:sz w:val="24"/>
          <w:szCs w:val="24"/>
        </w:rPr>
        <w:t>u</w:t>
      </w:r>
      <w:r w:rsidR="00F965A4" w:rsidRPr="007A3248">
        <w:rPr>
          <w:b/>
          <w:sz w:val="24"/>
          <w:szCs w:val="24"/>
        </w:rPr>
        <w:t>npacking</w:t>
      </w:r>
      <w:proofErr w:type="gramEnd"/>
      <w:r w:rsidR="00F965A4" w:rsidRPr="007A3248">
        <w:rPr>
          <w:b/>
          <w:sz w:val="24"/>
          <w:szCs w:val="24"/>
        </w:rPr>
        <w:t xml:space="preserve"> </w:t>
      </w:r>
      <w:r w:rsidR="00EE6917">
        <w:rPr>
          <w:b/>
          <w:sz w:val="24"/>
          <w:szCs w:val="24"/>
        </w:rPr>
        <w:t xml:space="preserve">‘Left Behind Britain’ and </w:t>
      </w:r>
      <w:r w:rsidR="00136044">
        <w:rPr>
          <w:b/>
          <w:sz w:val="24"/>
          <w:szCs w:val="24"/>
        </w:rPr>
        <w:t xml:space="preserve">some </w:t>
      </w:r>
      <w:r w:rsidR="00EE6917">
        <w:rPr>
          <w:b/>
          <w:sz w:val="24"/>
          <w:szCs w:val="24"/>
        </w:rPr>
        <w:t xml:space="preserve">other </w:t>
      </w:r>
      <w:r w:rsidR="00136044">
        <w:rPr>
          <w:b/>
          <w:sz w:val="24"/>
          <w:szCs w:val="24"/>
        </w:rPr>
        <w:t xml:space="preserve">spatial </w:t>
      </w:r>
      <w:r w:rsidR="004379BE">
        <w:rPr>
          <w:b/>
          <w:sz w:val="24"/>
          <w:szCs w:val="24"/>
        </w:rPr>
        <w:t>trope</w:t>
      </w:r>
      <w:r w:rsidR="00136044">
        <w:rPr>
          <w:b/>
          <w:sz w:val="24"/>
          <w:szCs w:val="24"/>
        </w:rPr>
        <w:t>s</w:t>
      </w:r>
      <w:r w:rsidR="004379BE">
        <w:rPr>
          <w:b/>
          <w:sz w:val="24"/>
          <w:szCs w:val="24"/>
        </w:rPr>
        <w:t xml:space="preserve"> </w:t>
      </w:r>
      <w:r w:rsidR="00EE6917">
        <w:rPr>
          <w:b/>
          <w:sz w:val="24"/>
          <w:szCs w:val="24"/>
        </w:rPr>
        <w:t xml:space="preserve">following </w:t>
      </w:r>
      <w:r w:rsidR="00136044">
        <w:rPr>
          <w:b/>
          <w:sz w:val="24"/>
          <w:szCs w:val="24"/>
        </w:rPr>
        <w:t>the UK’</w:t>
      </w:r>
      <w:r w:rsidR="00F965A4" w:rsidRPr="007A3248">
        <w:rPr>
          <w:b/>
          <w:sz w:val="24"/>
          <w:szCs w:val="24"/>
        </w:rPr>
        <w:t>s 2016 EU referendum</w:t>
      </w:r>
    </w:p>
    <w:p w14:paraId="4CE41CFF" w14:textId="77777777" w:rsidR="0031165C" w:rsidRDefault="0031165C" w:rsidP="00B140D4">
      <w:pPr>
        <w:spacing w:after="0" w:line="276" w:lineRule="auto"/>
        <w:ind w:firstLine="567"/>
        <w:jc w:val="both"/>
        <w:rPr>
          <w:sz w:val="24"/>
          <w:szCs w:val="24"/>
        </w:rPr>
      </w:pPr>
    </w:p>
    <w:p w14:paraId="321B9853" w14:textId="77777777" w:rsidR="009B54AB" w:rsidRDefault="009B54AB" w:rsidP="00B140D4">
      <w:pPr>
        <w:spacing w:after="0" w:line="276" w:lineRule="auto"/>
        <w:ind w:firstLine="567"/>
        <w:jc w:val="both"/>
        <w:rPr>
          <w:sz w:val="24"/>
          <w:szCs w:val="24"/>
        </w:rPr>
      </w:pPr>
    </w:p>
    <w:p w14:paraId="67AF7D7E" w14:textId="77777777" w:rsidR="009B54AB" w:rsidRPr="007A3248" w:rsidRDefault="009B54AB" w:rsidP="00B140D4">
      <w:pPr>
        <w:spacing w:after="0" w:line="276" w:lineRule="auto"/>
        <w:ind w:firstLine="567"/>
        <w:jc w:val="both"/>
        <w:rPr>
          <w:sz w:val="24"/>
          <w:szCs w:val="24"/>
        </w:rPr>
      </w:pPr>
    </w:p>
    <w:p w14:paraId="79293B9B" w14:textId="5D7928E2" w:rsidR="00577E3C" w:rsidRPr="00340B9D" w:rsidRDefault="00577E3C" w:rsidP="00340B9D">
      <w:pPr>
        <w:pStyle w:val="ListParagraph"/>
        <w:numPr>
          <w:ilvl w:val="0"/>
          <w:numId w:val="2"/>
        </w:numPr>
        <w:spacing w:after="0" w:line="276" w:lineRule="auto"/>
        <w:jc w:val="both"/>
        <w:rPr>
          <w:b/>
          <w:sz w:val="24"/>
          <w:szCs w:val="24"/>
        </w:rPr>
      </w:pPr>
      <w:r w:rsidRPr="00340B9D">
        <w:rPr>
          <w:b/>
          <w:sz w:val="24"/>
          <w:szCs w:val="24"/>
        </w:rPr>
        <w:t xml:space="preserve">Introduction </w:t>
      </w:r>
    </w:p>
    <w:p w14:paraId="3DE09129" w14:textId="77777777" w:rsidR="00577E3C" w:rsidRDefault="00577E3C" w:rsidP="00B140D4">
      <w:pPr>
        <w:spacing w:after="0" w:line="276" w:lineRule="auto"/>
        <w:jc w:val="both"/>
        <w:rPr>
          <w:b/>
          <w:sz w:val="24"/>
          <w:szCs w:val="24"/>
        </w:rPr>
      </w:pPr>
    </w:p>
    <w:p w14:paraId="1B5686C9" w14:textId="0962520D" w:rsidR="005A6C7C" w:rsidRDefault="009C2EE1" w:rsidP="00925B92">
      <w:pPr>
        <w:spacing w:after="0" w:line="276" w:lineRule="auto"/>
        <w:ind w:firstLine="567"/>
        <w:jc w:val="both"/>
        <w:rPr>
          <w:rFonts w:cs="Times New Roman"/>
          <w:sz w:val="24"/>
          <w:szCs w:val="24"/>
        </w:rPr>
      </w:pPr>
      <w:r w:rsidRPr="007D7674">
        <w:rPr>
          <w:sz w:val="24"/>
          <w:szCs w:val="24"/>
        </w:rPr>
        <w:t xml:space="preserve">In a letter published in the </w:t>
      </w:r>
      <w:r w:rsidRPr="007D7674">
        <w:rPr>
          <w:i/>
          <w:sz w:val="24"/>
          <w:szCs w:val="24"/>
        </w:rPr>
        <w:t>Northern Echo</w:t>
      </w:r>
      <w:r w:rsidRPr="007D7674">
        <w:rPr>
          <w:sz w:val="24"/>
          <w:szCs w:val="24"/>
        </w:rPr>
        <w:t xml:space="preserve"> newspaper in April 2019, four UK Labour Party Members of Parliament (MPs) called for the “stereotyping and the caricaturing” of the north of England </w:t>
      </w:r>
      <w:r w:rsidR="007D7674" w:rsidRPr="007D7674">
        <w:rPr>
          <w:sz w:val="24"/>
          <w:szCs w:val="24"/>
        </w:rPr>
        <w:t xml:space="preserve">in the wake of the UK’s 2016 EU referendum </w:t>
      </w:r>
      <w:r w:rsidRPr="007D7674">
        <w:rPr>
          <w:sz w:val="24"/>
          <w:szCs w:val="24"/>
        </w:rPr>
        <w:t>as ‘</w:t>
      </w:r>
      <w:proofErr w:type="spellStart"/>
      <w:r w:rsidRPr="007D7674">
        <w:rPr>
          <w:sz w:val="24"/>
          <w:szCs w:val="24"/>
        </w:rPr>
        <w:t>Brexitland</w:t>
      </w:r>
      <w:proofErr w:type="spellEnd"/>
      <w:r w:rsidRPr="007D7674">
        <w:rPr>
          <w:sz w:val="24"/>
          <w:szCs w:val="24"/>
        </w:rPr>
        <w:t>’ to stop (</w:t>
      </w:r>
      <w:proofErr w:type="spellStart"/>
      <w:r w:rsidRPr="007D7674">
        <w:rPr>
          <w:sz w:val="24"/>
          <w:szCs w:val="24"/>
        </w:rPr>
        <w:t>Creagh</w:t>
      </w:r>
      <w:proofErr w:type="spellEnd"/>
      <w:r w:rsidRPr="007D7674">
        <w:rPr>
          <w:sz w:val="24"/>
          <w:szCs w:val="24"/>
        </w:rPr>
        <w:t xml:space="preserve">, Turley, Wilson and </w:t>
      </w:r>
      <w:proofErr w:type="spellStart"/>
      <w:r w:rsidRPr="007D7674">
        <w:rPr>
          <w:sz w:val="24"/>
          <w:szCs w:val="24"/>
        </w:rPr>
        <w:t>McKinnell</w:t>
      </w:r>
      <w:proofErr w:type="spellEnd"/>
      <w:r w:rsidRPr="007D7674">
        <w:rPr>
          <w:sz w:val="24"/>
          <w:szCs w:val="24"/>
        </w:rPr>
        <w:t xml:space="preserve">, 2019). Referring to Winston Churchill’s dictum that “There is no such thing as public opinion. There is only published opinion”, the four MPs drew attention to how “published opinion” has </w:t>
      </w:r>
      <w:r w:rsidR="004379BE" w:rsidRPr="007D7674">
        <w:rPr>
          <w:sz w:val="24"/>
          <w:szCs w:val="24"/>
        </w:rPr>
        <w:t xml:space="preserve">crudely </w:t>
      </w:r>
      <w:r w:rsidRPr="007D7674">
        <w:rPr>
          <w:sz w:val="24"/>
          <w:szCs w:val="24"/>
        </w:rPr>
        <w:t>represent</w:t>
      </w:r>
      <w:r w:rsidR="004379BE" w:rsidRPr="007D7674">
        <w:rPr>
          <w:sz w:val="24"/>
          <w:szCs w:val="24"/>
        </w:rPr>
        <w:t>ed</w:t>
      </w:r>
      <w:r w:rsidRPr="007D7674">
        <w:rPr>
          <w:sz w:val="24"/>
          <w:szCs w:val="24"/>
        </w:rPr>
        <w:t xml:space="preserve"> the north of England as the fulcrum of</w:t>
      </w:r>
      <w:r w:rsidR="00951C36" w:rsidRPr="007D7674">
        <w:rPr>
          <w:sz w:val="24"/>
          <w:szCs w:val="24"/>
        </w:rPr>
        <w:t xml:space="preserve"> support for the </w:t>
      </w:r>
      <w:r w:rsidR="002E466D">
        <w:rPr>
          <w:sz w:val="24"/>
          <w:szCs w:val="24"/>
        </w:rPr>
        <w:t>‘</w:t>
      </w:r>
      <w:proofErr w:type="spellStart"/>
      <w:r w:rsidR="00951C36" w:rsidRPr="007D7674">
        <w:rPr>
          <w:sz w:val="24"/>
          <w:szCs w:val="24"/>
        </w:rPr>
        <w:t>Brexit</w:t>
      </w:r>
      <w:proofErr w:type="spellEnd"/>
      <w:r w:rsidR="002E466D">
        <w:rPr>
          <w:sz w:val="24"/>
          <w:szCs w:val="24"/>
        </w:rPr>
        <w:t>’</w:t>
      </w:r>
      <w:r w:rsidR="00951C36" w:rsidRPr="007D7674">
        <w:rPr>
          <w:sz w:val="24"/>
          <w:szCs w:val="24"/>
        </w:rPr>
        <w:t xml:space="preserve"> project, </w:t>
      </w:r>
      <w:proofErr w:type="gramStart"/>
      <w:r w:rsidR="007D7674" w:rsidRPr="007D7674">
        <w:rPr>
          <w:sz w:val="24"/>
          <w:szCs w:val="24"/>
        </w:rPr>
        <w:t>arguing</w:t>
      </w:r>
      <w:r w:rsidR="00951C36" w:rsidRPr="007D7674">
        <w:rPr>
          <w:sz w:val="24"/>
          <w:szCs w:val="24"/>
        </w:rPr>
        <w:t xml:space="preserve"> that</w:t>
      </w:r>
      <w:proofErr w:type="gramEnd"/>
      <w:r w:rsidR="00951C36" w:rsidRPr="007D7674">
        <w:rPr>
          <w:sz w:val="24"/>
          <w:szCs w:val="24"/>
        </w:rPr>
        <w:t xml:space="preserve"> “</w:t>
      </w:r>
      <w:r w:rsidRPr="007D7674">
        <w:rPr>
          <w:sz w:val="24"/>
          <w:szCs w:val="24"/>
        </w:rPr>
        <w:t xml:space="preserve">Journalist after journalist writes it. Broadcaster after broadcaster says it </w:t>
      </w:r>
      <w:proofErr w:type="gramStart"/>
      <w:r w:rsidRPr="007D7674">
        <w:rPr>
          <w:sz w:val="24"/>
          <w:szCs w:val="24"/>
        </w:rPr>
        <w:t>out loud</w:t>
      </w:r>
      <w:proofErr w:type="gramEnd"/>
      <w:r w:rsidRPr="007D7674">
        <w:rPr>
          <w:sz w:val="24"/>
          <w:szCs w:val="24"/>
        </w:rPr>
        <w:t xml:space="preserve">. The London-based metropolitan media has declared it so. The North is </w:t>
      </w:r>
      <w:proofErr w:type="spellStart"/>
      <w:r w:rsidRPr="007D7674">
        <w:rPr>
          <w:sz w:val="24"/>
          <w:szCs w:val="24"/>
        </w:rPr>
        <w:t>Brexitland</w:t>
      </w:r>
      <w:proofErr w:type="spellEnd"/>
      <w:r w:rsidR="00951C36" w:rsidRPr="007D7674">
        <w:rPr>
          <w:sz w:val="24"/>
          <w:szCs w:val="24"/>
        </w:rPr>
        <w:t xml:space="preserve">” </w:t>
      </w:r>
      <w:r w:rsidR="00AB1F39">
        <w:rPr>
          <w:sz w:val="24"/>
          <w:szCs w:val="24"/>
        </w:rPr>
        <w:fldChar w:fldCharType="begin"/>
      </w:r>
      <w:r w:rsidR="00F35BB4">
        <w:rPr>
          <w:sz w:val="24"/>
          <w:szCs w:val="24"/>
        </w:rPr>
        <w:instrText xml:space="preserve"> ADDIN EN.CITE &lt;EndNote&gt;&lt;Cite&gt;&lt;Author&gt;Creagh&lt;/Author&gt;&lt;Year&gt;2019&lt;/Year&gt;&lt;RecNum&gt;1565&lt;/RecNum&gt;&lt;DisplayText&gt;(Creagh et al., 2019)&lt;/DisplayText&gt;&lt;record&gt;&lt;rec-number&gt;1565&lt;/rec-number&gt;&lt;foreign-keys&gt;&lt;key app="EN" db-id="sf2v0zffie0st6edessvst0jrx50tz9rrwst" timestamp="1557392125"&gt;1565&lt;/key&gt;&lt;/foreign-keys&gt;&lt;ref-type name="Newspaper Article"&gt;23&lt;/ref-type&gt;&lt;contributors&gt;&lt;authors&gt;&lt;author&gt;Creagh, M.&lt;/author&gt;&lt;author&gt;Turley, A.&lt;/author&gt;&lt;author&gt;Wilson, P.&lt;/author&gt;&lt;author&gt;McKinnell, C. &lt;/author&gt;&lt;/authors&gt;&lt;/contributors&gt;&lt;titles&gt;&lt;title&gt;&amp;apos;Stop stereotyping the north as Brexitland&amp;apos; say four Labour MPs&lt;/title&gt;&lt;secondary-title&gt;Northern Echo&lt;/secondary-title&gt;&lt;/titles&gt;&lt;dates&gt;&lt;year&gt;2019&lt;/year&gt;&lt;/dates&gt;&lt;urls&gt;&lt;related-urls&gt;&lt;url&gt;&lt;style face="underline" font="default" size="100%"&gt;https://www.thenorthernecho.co.uk/news/17580613.stop-stereotyping-the-north-as-brexitland-say-four-labour-mps/&lt;/style&gt;&lt;/url&gt;&lt;/related-urls&gt;&lt;/urls&gt;&lt;access-date&gt;9th May 2019&lt;/access-date&gt;&lt;/record&gt;&lt;/Cite&gt;&lt;/EndNote&gt;</w:instrText>
      </w:r>
      <w:r w:rsidR="00AB1F39">
        <w:rPr>
          <w:sz w:val="24"/>
          <w:szCs w:val="24"/>
        </w:rPr>
        <w:fldChar w:fldCharType="separate"/>
      </w:r>
      <w:r w:rsidR="00F35BB4">
        <w:rPr>
          <w:noProof/>
          <w:sz w:val="24"/>
          <w:szCs w:val="24"/>
        </w:rPr>
        <w:t>(Creagh et al., 2019)</w:t>
      </w:r>
      <w:r w:rsidR="00AB1F39">
        <w:rPr>
          <w:sz w:val="24"/>
          <w:szCs w:val="24"/>
        </w:rPr>
        <w:fldChar w:fldCharType="end"/>
      </w:r>
      <w:r w:rsidRPr="007D7674">
        <w:rPr>
          <w:sz w:val="24"/>
          <w:szCs w:val="24"/>
        </w:rPr>
        <w:t>.</w:t>
      </w:r>
      <w:r w:rsidR="004379BE" w:rsidRPr="007D7674">
        <w:rPr>
          <w:sz w:val="24"/>
          <w:szCs w:val="24"/>
        </w:rPr>
        <w:t xml:space="preserve">  The letter thus alludes to the problematic nature of </w:t>
      </w:r>
      <w:r w:rsidR="002E466D">
        <w:rPr>
          <w:sz w:val="24"/>
          <w:szCs w:val="24"/>
        </w:rPr>
        <w:t xml:space="preserve">the </w:t>
      </w:r>
      <w:r w:rsidR="00577E3C" w:rsidRPr="007D7674">
        <w:rPr>
          <w:rFonts w:cs="Times New Roman"/>
          <w:sz w:val="24"/>
          <w:szCs w:val="24"/>
        </w:rPr>
        <w:t>dominant view which has arisen since the UK’s 2016 referendum on membership of the European</w:t>
      </w:r>
      <w:r w:rsidR="00577E3C" w:rsidRPr="007A3248">
        <w:rPr>
          <w:rFonts w:cs="Times New Roman"/>
          <w:sz w:val="24"/>
          <w:szCs w:val="24"/>
        </w:rPr>
        <w:t xml:space="preserve"> Union (‘the referendum’)</w:t>
      </w:r>
      <w:r w:rsidR="002E466D">
        <w:rPr>
          <w:rFonts w:cs="Times New Roman"/>
          <w:sz w:val="24"/>
          <w:szCs w:val="24"/>
        </w:rPr>
        <w:t>,</w:t>
      </w:r>
      <w:r w:rsidR="00577E3C" w:rsidRPr="007A3248">
        <w:rPr>
          <w:rFonts w:cs="Times New Roman"/>
          <w:sz w:val="24"/>
          <w:szCs w:val="24"/>
        </w:rPr>
        <w:t xml:space="preserve"> </w:t>
      </w:r>
      <w:r w:rsidR="004379BE">
        <w:rPr>
          <w:rFonts w:cs="Times New Roman"/>
          <w:sz w:val="24"/>
          <w:szCs w:val="24"/>
        </w:rPr>
        <w:t xml:space="preserve">which </w:t>
      </w:r>
      <w:r w:rsidR="00577E3C" w:rsidRPr="007A3248">
        <w:rPr>
          <w:rFonts w:cs="Times New Roman"/>
          <w:sz w:val="24"/>
          <w:szCs w:val="24"/>
        </w:rPr>
        <w:t xml:space="preserve">sees the result </w:t>
      </w:r>
      <w:r w:rsidR="002E466D">
        <w:rPr>
          <w:rFonts w:cs="Times New Roman"/>
          <w:sz w:val="24"/>
          <w:szCs w:val="24"/>
        </w:rPr>
        <w:t xml:space="preserve">primarily </w:t>
      </w:r>
      <w:r w:rsidR="00577E3C" w:rsidRPr="007A3248">
        <w:rPr>
          <w:rFonts w:cs="Times New Roman"/>
          <w:sz w:val="24"/>
          <w:szCs w:val="24"/>
        </w:rPr>
        <w:t xml:space="preserve">as an outcome of the uneven geographical changes produced from the economic </w:t>
      </w:r>
      <w:r w:rsidR="002E466D">
        <w:rPr>
          <w:rFonts w:cs="Times New Roman"/>
          <w:sz w:val="24"/>
          <w:szCs w:val="24"/>
        </w:rPr>
        <w:t>re</w:t>
      </w:r>
      <w:r w:rsidR="00577E3C" w:rsidRPr="007A3248">
        <w:rPr>
          <w:rFonts w:cs="Times New Roman"/>
          <w:sz w:val="24"/>
          <w:szCs w:val="24"/>
        </w:rPr>
        <w:t xml:space="preserve">structuring of the latter </w:t>
      </w:r>
      <w:proofErr w:type="gramStart"/>
      <w:r w:rsidR="00577E3C" w:rsidRPr="007A3248">
        <w:rPr>
          <w:rFonts w:cs="Times New Roman"/>
          <w:sz w:val="24"/>
          <w:szCs w:val="24"/>
        </w:rPr>
        <w:t>decades</w:t>
      </w:r>
      <w:proofErr w:type="gramEnd"/>
      <w:r w:rsidR="00577E3C" w:rsidRPr="007A3248">
        <w:rPr>
          <w:rFonts w:cs="Times New Roman"/>
          <w:sz w:val="24"/>
          <w:szCs w:val="24"/>
        </w:rPr>
        <w:t xml:space="preserve"> of the 20th century. </w:t>
      </w:r>
      <w:r w:rsidR="00894E11" w:rsidRPr="007A3248">
        <w:rPr>
          <w:rFonts w:cs="Times New Roman"/>
          <w:sz w:val="24"/>
          <w:szCs w:val="24"/>
        </w:rPr>
        <w:t>Th</w:t>
      </w:r>
      <w:r w:rsidR="00894E11">
        <w:rPr>
          <w:rFonts w:cs="Times New Roman"/>
          <w:sz w:val="24"/>
          <w:szCs w:val="24"/>
        </w:rPr>
        <w:t>e latter</w:t>
      </w:r>
      <w:r w:rsidR="005A6C7C">
        <w:rPr>
          <w:rFonts w:cs="Times New Roman"/>
          <w:sz w:val="24"/>
          <w:szCs w:val="24"/>
        </w:rPr>
        <w:t>,</w:t>
      </w:r>
      <w:r w:rsidR="00E560F6">
        <w:rPr>
          <w:rFonts w:cs="Times New Roman"/>
          <w:sz w:val="24"/>
          <w:szCs w:val="24"/>
        </w:rPr>
        <w:t xml:space="preserve"> </w:t>
      </w:r>
      <w:r w:rsidR="00577E3C" w:rsidRPr="007A3248">
        <w:rPr>
          <w:rFonts w:cs="Times New Roman"/>
          <w:sz w:val="24"/>
          <w:szCs w:val="24"/>
        </w:rPr>
        <w:t>it is argued</w:t>
      </w:r>
      <w:r w:rsidR="005A6C7C">
        <w:rPr>
          <w:rFonts w:cs="Times New Roman"/>
          <w:sz w:val="24"/>
          <w:szCs w:val="24"/>
        </w:rPr>
        <w:t>,</w:t>
      </w:r>
      <w:r w:rsidR="00577E3C" w:rsidRPr="007A3248">
        <w:rPr>
          <w:rFonts w:cs="Times New Roman"/>
          <w:sz w:val="24"/>
          <w:szCs w:val="24"/>
        </w:rPr>
        <w:t xml:space="preserve"> ha</w:t>
      </w:r>
      <w:r w:rsidR="00E560F6">
        <w:rPr>
          <w:rFonts w:cs="Times New Roman"/>
          <w:sz w:val="24"/>
          <w:szCs w:val="24"/>
        </w:rPr>
        <w:t>s</w:t>
      </w:r>
      <w:r w:rsidR="00577E3C" w:rsidRPr="007A3248">
        <w:rPr>
          <w:rFonts w:cs="Times New Roman"/>
          <w:sz w:val="24"/>
          <w:szCs w:val="24"/>
        </w:rPr>
        <w:t xml:space="preserve"> benefitted certain regions – notably London and the South East and some larger centres elsewhere, but often bypassed many other places such as smaller industrial towns and cities and deprived coastal areas</w:t>
      </w:r>
      <w:r w:rsidR="004379BE">
        <w:rPr>
          <w:rFonts w:cs="Times New Roman"/>
          <w:sz w:val="24"/>
          <w:szCs w:val="24"/>
        </w:rPr>
        <w:t xml:space="preserve"> </w:t>
      </w:r>
      <w:r w:rsidR="0054321C">
        <w:rPr>
          <w:rFonts w:cs="Times New Roman"/>
          <w:sz w:val="24"/>
          <w:szCs w:val="24"/>
        </w:rPr>
        <w:fldChar w:fldCharType="begin"/>
      </w:r>
      <w:r w:rsidR="00F35BB4">
        <w:rPr>
          <w:rFonts w:cs="Times New Roman"/>
          <w:sz w:val="24"/>
          <w:szCs w:val="24"/>
        </w:rPr>
        <w:instrText xml:space="preserve"> ADDIN EN.CITE &lt;EndNote&gt;&lt;Cite&gt;&lt;Author&gt;Burrell&lt;/Author&gt;&lt;Year&gt;2018&lt;/Year&gt;&lt;RecNum&gt;1545&lt;/RecNum&gt;&lt;DisplayText&gt;(Burrell et al., 2018)&lt;/DisplayText&gt;&lt;record&gt;&lt;rec-number&gt;1545&lt;/rec-number&gt;&lt;foreign-keys&gt;&lt;key app="EN" db-id="sf2v0zffie0st6edessvst0jrx50tz9rrwst" timestamp="1557331335"&gt;1545&lt;/key&gt;&lt;/foreign-keys&gt;&lt;ref-type name="Journal Article"&gt;17&lt;/ref-type&gt;&lt;contributors&gt;&lt;authors&gt;&lt;author&gt;Burrell, Kathy&lt;/author&gt;&lt;author&gt;Hopkins, Peter&lt;/author&gt;&lt;author&gt;Isakjee, Arshad&lt;/author&gt;&lt;author&gt;Lorne, Colin&lt;/author&gt;&lt;author&gt;Nagel, Caroline&lt;/author&gt;&lt;author&gt;Finlay, Robin&lt;/author&gt;&lt;author&gt;Nayak, Anoop&lt;/author&gt;&lt;author&gt;Benwell, Matthew C.&lt;/author&gt;&lt;author&gt;Pande, Raksha&lt;/author&gt;&lt;author&gt;Richardson, Michael&lt;/author&gt;&lt;author&gt;Botterill, Katherine&lt;/author&gt;&lt;author&gt;Rogaly, Ben&lt;/author&gt;&lt;/authors&gt;&lt;/contributors&gt;&lt;titles&gt;&lt;title&gt;Brexit, race and migration&lt;/title&gt;&lt;secondary-title&gt;Environment and Planning C: Politics and Space&lt;/secondary-title&gt;&lt;/titles&gt;&lt;periodical&gt;&lt;full-title&gt;Environment and Planning C: Politics and Space&lt;/full-title&gt;&lt;/periodical&gt;&lt;pages&gt;3-40&lt;/pages&gt;&lt;volume&gt;37&lt;/volume&gt;&lt;number&gt;1&lt;/number&gt;&lt;dates&gt;&lt;year&gt;2018&lt;/year&gt;&lt;pub-dates&gt;&lt;date&gt;2019/02/01&lt;/date&gt;&lt;/pub-dates&gt;&lt;/dates&gt;&lt;publisher&gt;SAGE Publications Ltd STM&lt;/publisher&gt;&lt;isbn&gt;2399-6544&lt;/isbn&gt;&lt;urls&gt;&lt;related-urls&gt;&lt;url&gt;https://doi.org/10.1177/0263774X18811923&lt;/url&gt;&lt;/related-urls&gt;&lt;/urls&gt;&lt;electronic-resource-num&gt;10.1177/0263774X18811923&lt;/electronic-resource-num&gt;&lt;access-date&gt;2019/05/08&lt;/access-date&gt;&lt;/record&gt;&lt;/Cite&gt;&lt;/EndNote&gt;</w:instrText>
      </w:r>
      <w:r w:rsidR="0054321C">
        <w:rPr>
          <w:rFonts w:cs="Times New Roman"/>
          <w:sz w:val="24"/>
          <w:szCs w:val="24"/>
        </w:rPr>
        <w:fldChar w:fldCharType="separate"/>
      </w:r>
      <w:r w:rsidR="00F35BB4">
        <w:rPr>
          <w:rFonts w:cs="Times New Roman"/>
          <w:noProof/>
          <w:sz w:val="24"/>
          <w:szCs w:val="24"/>
        </w:rPr>
        <w:t>(Burrell et al., 2018)</w:t>
      </w:r>
      <w:r w:rsidR="0054321C">
        <w:rPr>
          <w:rFonts w:cs="Times New Roman"/>
          <w:sz w:val="24"/>
          <w:szCs w:val="24"/>
        </w:rPr>
        <w:fldChar w:fldCharType="end"/>
      </w:r>
      <w:r w:rsidR="00577E3C" w:rsidRPr="007A3248">
        <w:rPr>
          <w:rFonts w:cs="Times New Roman"/>
          <w:sz w:val="24"/>
          <w:szCs w:val="24"/>
        </w:rPr>
        <w:t>.  The argument is that the distribution of the vote to leave the EU reflects a revolt of such places –</w:t>
      </w:r>
      <w:r w:rsidR="00E560F6">
        <w:rPr>
          <w:rFonts w:cs="Times New Roman"/>
          <w:sz w:val="24"/>
          <w:szCs w:val="24"/>
        </w:rPr>
        <w:t xml:space="preserve"> </w:t>
      </w:r>
      <w:r w:rsidR="00577E3C" w:rsidRPr="007A3248">
        <w:rPr>
          <w:rFonts w:cs="Times New Roman"/>
          <w:sz w:val="24"/>
          <w:szCs w:val="24"/>
        </w:rPr>
        <w:t>a view often associated with the invocation of an emotive and arresting spatial imaginary of ‘Left Behind Britain’ (LBB)</w:t>
      </w:r>
      <w:r w:rsidR="00E560F6">
        <w:rPr>
          <w:rFonts w:cs="Times New Roman"/>
          <w:sz w:val="24"/>
          <w:szCs w:val="24"/>
        </w:rPr>
        <w:t xml:space="preserve"> </w:t>
      </w:r>
      <w:r w:rsidR="0054321C">
        <w:rPr>
          <w:rFonts w:cs="Times New Roman"/>
          <w:sz w:val="24"/>
          <w:szCs w:val="24"/>
        </w:rPr>
        <w:fldChar w:fldCharType="begin"/>
      </w:r>
      <w:r w:rsidR="00F35BB4">
        <w:rPr>
          <w:rFonts w:cs="Times New Roman"/>
          <w:sz w:val="24"/>
          <w:szCs w:val="24"/>
        </w:rPr>
        <w:instrText xml:space="preserve"> ADDIN EN.CITE &lt;EndNote&gt;&lt;Cite&gt;&lt;Author&gt;Sykes&lt;/Author&gt;&lt;Year&gt;2018&lt;/Year&gt;&lt;RecNum&gt;1544&lt;/RecNum&gt;&lt;DisplayText&gt;(Sykes, 2018)&lt;/DisplayText&gt;&lt;record&gt;&lt;rec-number&gt;1544&lt;/rec-number&gt;&lt;foreign-keys&gt;&lt;key app="EN" db-id="sf2v0zffie0st6edessvst0jrx50tz9rrwst" timestamp="1557331109"&gt;1544&lt;/key&gt;&lt;/foreign-keys&gt;&lt;ref-type name="Journal Article"&gt;17&lt;/ref-type&gt;&lt;contributors&gt;&lt;authors&gt;&lt;author&gt;Sykes, Olivier&lt;/author&gt;&lt;/authors&gt;&lt;/contributors&gt;&lt;titles&gt;&lt;title&gt;Post-geography worlds, new dominions, left behind regions, and ‘other’ places: unpacking some spatial imaginaries of the UK’s ‘Brexit’ debate&lt;/title&gt;&lt;secondary-title&gt;Space and Polity&lt;/secondary-title&gt;&lt;/titles&gt;&lt;periodical&gt;&lt;full-title&gt;Space and Polity&lt;/full-title&gt;&lt;/periodical&gt;&lt;pages&gt;137-161&lt;/pages&gt;&lt;volume&gt;22&lt;/volume&gt;&lt;number&gt;2&lt;/number&gt;&lt;dates&gt;&lt;year&gt;2018&lt;/year&gt;&lt;pub-dates&gt;&lt;date&gt;2018/05/04&lt;/date&gt;&lt;/pub-dates&gt;&lt;/dates&gt;&lt;publisher&gt;Routledge&lt;/publisher&gt;&lt;isbn&gt;1356-2576&lt;/isbn&gt;&lt;urls&gt;&lt;related-urls&gt;&lt;url&gt;https://doi.org/10.1080/13562576.2018.1531699&lt;/url&gt;&lt;/related-urls&gt;&lt;/urls&gt;&lt;electronic-resource-num&gt;10.1080/13562576.2018.1531699&lt;/electronic-resource-num&gt;&lt;/record&gt;&lt;/Cite&gt;&lt;/EndNote&gt;</w:instrText>
      </w:r>
      <w:r w:rsidR="0054321C">
        <w:rPr>
          <w:rFonts w:cs="Times New Roman"/>
          <w:sz w:val="24"/>
          <w:szCs w:val="24"/>
        </w:rPr>
        <w:fldChar w:fldCharType="separate"/>
      </w:r>
      <w:r w:rsidR="00F35BB4">
        <w:rPr>
          <w:rFonts w:cs="Times New Roman"/>
          <w:noProof/>
          <w:sz w:val="24"/>
          <w:szCs w:val="24"/>
        </w:rPr>
        <w:t>(Sykes, 2018)</w:t>
      </w:r>
      <w:r w:rsidR="0054321C">
        <w:rPr>
          <w:rFonts w:cs="Times New Roman"/>
          <w:sz w:val="24"/>
          <w:szCs w:val="24"/>
        </w:rPr>
        <w:fldChar w:fldCharType="end"/>
      </w:r>
      <w:r w:rsidR="00577E3C" w:rsidRPr="007A3248">
        <w:rPr>
          <w:rFonts w:cs="Times New Roman"/>
          <w:sz w:val="24"/>
          <w:szCs w:val="24"/>
        </w:rPr>
        <w:t xml:space="preserve">.  This </w:t>
      </w:r>
      <w:r w:rsidR="00E560F6">
        <w:rPr>
          <w:rFonts w:cs="Times New Roman"/>
          <w:sz w:val="24"/>
          <w:szCs w:val="24"/>
        </w:rPr>
        <w:t xml:space="preserve">spatial-narrative trope has been </w:t>
      </w:r>
      <w:r w:rsidR="00577E3C" w:rsidRPr="007A3248">
        <w:rPr>
          <w:rFonts w:cs="Times New Roman"/>
          <w:sz w:val="24"/>
          <w:szCs w:val="24"/>
        </w:rPr>
        <w:t xml:space="preserve">associated in many media analyses with the wider populist ‘moment’ being experienced in different parts of the developed western world in the </w:t>
      </w:r>
      <w:r w:rsidR="007306FE" w:rsidRPr="007A3248">
        <w:rPr>
          <w:rFonts w:cs="Times New Roman"/>
          <w:sz w:val="24"/>
          <w:szCs w:val="24"/>
        </w:rPr>
        <w:t>mid</w:t>
      </w:r>
      <w:r w:rsidR="007306FE">
        <w:rPr>
          <w:rFonts w:cs="Times New Roman"/>
          <w:sz w:val="24"/>
          <w:szCs w:val="24"/>
        </w:rPr>
        <w:t>-</w:t>
      </w:r>
      <w:r w:rsidR="00577E3C" w:rsidRPr="007A3248">
        <w:rPr>
          <w:rFonts w:cs="Times New Roman"/>
          <w:sz w:val="24"/>
          <w:szCs w:val="24"/>
        </w:rPr>
        <w:t>to</w:t>
      </w:r>
      <w:r w:rsidR="007306FE">
        <w:rPr>
          <w:rFonts w:cs="Times New Roman"/>
          <w:sz w:val="24"/>
          <w:szCs w:val="24"/>
        </w:rPr>
        <w:t>-</w:t>
      </w:r>
      <w:r w:rsidR="00577E3C" w:rsidRPr="007A3248">
        <w:rPr>
          <w:rFonts w:cs="Times New Roman"/>
          <w:sz w:val="24"/>
          <w:szCs w:val="24"/>
        </w:rPr>
        <w:t xml:space="preserve">late 2010s </w:t>
      </w:r>
      <w:r w:rsidR="0054321C">
        <w:rPr>
          <w:rFonts w:cs="Times New Roman"/>
          <w:sz w:val="24"/>
          <w:szCs w:val="24"/>
        </w:rPr>
        <w:fldChar w:fldCharType="begin"/>
      </w:r>
      <w:r w:rsidR="00F35BB4">
        <w:rPr>
          <w:rFonts w:cs="Times New Roman"/>
          <w:sz w:val="24"/>
          <w:szCs w:val="24"/>
        </w:rPr>
        <w:instrText xml:space="preserve"> ADDIN EN.CITE &lt;EndNote&gt;&lt;Cite&gt;&lt;Author&gt;Eatwell&lt;/Author&gt;&lt;Year&gt;2018&lt;/Year&gt;&lt;RecNum&gt;1546&lt;/RecNum&gt;&lt;DisplayText&gt;(Eatwell and Goodwin, 2018)&lt;/DisplayText&gt;&lt;record&gt;&lt;rec-number&gt;1546&lt;/rec-number&gt;&lt;foreign-keys&gt;&lt;key app="EN" db-id="sf2v0zffie0st6edessvst0jrx50tz9rrwst" timestamp="1557331618"&gt;1546&lt;/key&gt;&lt;/foreign-keys&gt;&lt;ref-type name="Book"&gt;6&lt;/ref-type&gt;&lt;contributors&gt;&lt;authors&gt;&lt;author&gt;Eatwell, Roger&lt;/author&gt;&lt;author&gt;Goodwin, Matthew&lt;/author&gt;&lt;/authors&gt;&lt;/contributors&gt;&lt;titles&gt;&lt;title&gt;National populism: The revolt against liberal democracy&lt;/title&gt;&lt;/titles&gt;&lt;dates&gt;&lt;year&gt;2018&lt;/year&gt;&lt;/dates&gt;&lt;publisher&gt;Penguin UK&lt;/publisher&gt;&lt;isbn&gt;0241312019&lt;/isbn&gt;&lt;urls&gt;&lt;/urls&gt;&lt;/record&gt;&lt;/Cite&gt;&lt;/EndNote&gt;</w:instrText>
      </w:r>
      <w:r w:rsidR="0054321C">
        <w:rPr>
          <w:rFonts w:cs="Times New Roman"/>
          <w:sz w:val="24"/>
          <w:szCs w:val="24"/>
        </w:rPr>
        <w:fldChar w:fldCharType="separate"/>
      </w:r>
      <w:r w:rsidR="00F35BB4">
        <w:rPr>
          <w:rFonts w:cs="Times New Roman"/>
          <w:noProof/>
          <w:sz w:val="24"/>
          <w:szCs w:val="24"/>
        </w:rPr>
        <w:t>(Eatwell and Goodwin, 2018)</w:t>
      </w:r>
      <w:r w:rsidR="0054321C">
        <w:rPr>
          <w:rFonts w:cs="Times New Roman"/>
          <w:sz w:val="24"/>
          <w:szCs w:val="24"/>
        </w:rPr>
        <w:fldChar w:fldCharType="end"/>
      </w:r>
      <w:r w:rsidR="00E560F6">
        <w:rPr>
          <w:rFonts w:cs="Times New Roman"/>
          <w:sz w:val="24"/>
          <w:szCs w:val="24"/>
        </w:rPr>
        <w:t xml:space="preserve">. </w:t>
      </w:r>
      <w:r w:rsidR="00315542">
        <w:rPr>
          <w:rFonts w:cs="Times New Roman"/>
          <w:sz w:val="24"/>
          <w:szCs w:val="24"/>
        </w:rPr>
        <w:t xml:space="preserve">It also </w:t>
      </w:r>
      <w:r w:rsidR="00E560F6">
        <w:rPr>
          <w:rFonts w:cs="Times New Roman"/>
          <w:sz w:val="24"/>
          <w:szCs w:val="24"/>
        </w:rPr>
        <w:t xml:space="preserve">seems </w:t>
      </w:r>
      <w:r w:rsidR="00315542">
        <w:rPr>
          <w:rFonts w:cs="Times New Roman"/>
          <w:sz w:val="24"/>
          <w:szCs w:val="24"/>
        </w:rPr>
        <w:t>to provide an archetypal instance of a spatial imaginary that has a</w:t>
      </w:r>
      <w:r w:rsidR="00577E3C" w:rsidRPr="007A3248">
        <w:rPr>
          <w:rFonts w:cs="Times New Roman"/>
          <w:sz w:val="24"/>
          <w:szCs w:val="24"/>
        </w:rPr>
        <w:t xml:space="preserve">chieved powerful ‘performative agency’ </w:t>
      </w:r>
      <w:r w:rsidR="006675CB">
        <w:rPr>
          <w:rFonts w:cs="Times New Roman"/>
          <w:sz w:val="24"/>
          <w:szCs w:val="24"/>
        </w:rPr>
        <w:fldChar w:fldCharType="begin"/>
      </w:r>
      <w:r w:rsidR="00F35BB4">
        <w:rPr>
          <w:rFonts w:cs="Times New Roman"/>
          <w:sz w:val="24"/>
          <w:szCs w:val="24"/>
        </w:rPr>
        <w:instrText xml:space="preserve"> ADDIN EN.CITE &lt;EndNote&gt;&lt;Cite&gt;&lt;Author&gt;Watkins&lt;/Author&gt;&lt;Year&gt;2015&lt;/Year&gt;&lt;RecNum&gt;1570&lt;/RecNum&gt;&lt;DisplayText&gt;(Watkins, 2015)&lt;/DisplayText&gt;&lt;record&gt;&lt;rec-number&gt;1570&lt;/rec-number&gt;&lt;foreign-keys&gt;&lt;key app="EN" db-id="sf2v0zffie0st6edessvst0jrx50tz9rrwst" timestamp="1557408299"&gt;1570&lt;/key&gt;&lt;/foreign-keys&gt;&lt;ref-type name="Journal Article"&gt;17&lt;/ref-type&gt;&lt;contributors&gt;&lt;authors&gt;&lt;author&gt;Watkins, J. &lt;/author&gt;&lt;/authors&gt;&lt;/contributors&gt;&lt;titles&gt;&lt;title&gt;Spatial Imaginaries Research in Geography: Synergies, Tensions, and New Directions&lt;/title&gt;&lt;secondary-title&gt;Geography Compass&lt;/secondary-title&gt;&lt;/titles&gt;&lt;periodical&gt;&lt;full-title&gt;Geography Compass&lt;/full-title&gt;&lt;/periodical&gt;&lt;pages&gt;508-522&lt;/pages&gt;&lt;volume&gt;9&lt;/volume&gt;&lt;number&gt;9&lt;/number&gt;&lt;dates&gt;&lt;year&gt;2015&lt;/year&gt;&lt;/dates&gt;&lt;urls&gt;&lt;/urls&gt;&lt;/record&gt;&lt;/Cite&gt;&lt;/EndNote&gt;</w:instrText>
      </w:r>
      <w:r w:rsidR="006675CB">
        <w:rPr>
          <w:rFonts w:cs="Times New Roman"/>
          <w:sz w:val="24"/>
          <w:szCs w:val="24"/>
        </w:rPr>
        <w:fldChar w:fldCharType="separate"/>
      </w:r>
      <w:r w:rsidR="00F35BB4">
        <w:rPr>
          <w:rFonts w:cs="Times New Roman"/>
          <w:noProof/>
          <w:sz w:val="24"/>
          <w:szCs w:val="24"/>
        </w:rPr>
        <w:t>(Watkins, 2015)</w:t>
      </w:r>
      <w:r w:rsidR="006675CB">
        <w:rPr>
          <w:rFonts w:cs="Times New Roman"/>
          <w:sz w:val="24"/>
          <w:szCs w:val="24"/>
        </w:rPr>
        <w:fldChar w:fldCharType="end"/>
      </w:r>
      <w:r w:rsidR="00315542">
        <w:rPr>
          <w:rFonts w:cs="Times New Roman"/>
          <w:sz w:val="24"/>
          <w:szCs w:val="24"/>
        </w:rPr>
        <w:t xml:space="preserve">, </w:t>
      </w:r>
      <w:r w:rsidR="00577E3C" w:rsidRPr="007A3248">
        <w:rPr>
          <w:rFonts w:cs="Times New Roman"/>
          <w:sz w:val="24"/>
          <w:szCs w:val="24"/>
        </w:rPr>
        <w:t xml:space="preserve">in shaping </w:t>
      </w:r>
      <w:r w:rsidR="004379BE">
        <w:rPr>
          <w:rFonts w:cs="Times New Roman"/>
          <w:sz w:val="24"/>
          <w:szCs w:val="24"/>
        </w:rPr>
        <w:t xml:space="preserve">and </w:t>
      </w:r>
      <w:r w:rsidR="009E6E07">
        <w:rPr>
          <w:rFonts w:cs="Times New Roman"/>
          <w:sz w:val="24"/>
          <w:szCs w:val="24"/>
        </w:rPr>
        <w:t xml:space="preserve">in many cases </w:t>
      </w:r>
      <w:r w:rsidR="004379BE">
        <w:rPr>
          <w:rFonts w:cs="Times New Roman"/>
          <w:sz w:val="24"/>
          <w:szCs w:val="24"/>
        </w:rPr>
        <w:t xml:space="preserve">jumbling </w:t>
      </w:r>
      <w:r w:rsidR="00577E3C" w:rsidRPr="007A3248">
        <w:rPr>
          <w:rFonts w:cs="Times New Roman"/>
          <w:sz w:val="24"/>
          <w:szCs w:val="24"/>
        </w:rPr>
        <w:t>thinking about, and responses to</w:t>
      </w:r>
      <w:r w:rsidR="000B4981">
        <w:rPr>
          <w:rFonts w:cs="Times New Roman"/>
          <w:sz w:val="24"/>
          <w:szCs w:val="24"/>
        </w:rPr>
        <w:t>,</w:t>
      </w:r>
      <w:r w:rsidR="00577E3C" w:rsidRPr="007A3248">
        <w:rPr>
          <w:rFonts w:cs="Times New Roman"/>
          <w:sz w:val="24"/>
          <w:szCs w:val="24"/>
        </w:rPr>
        <w:t xml:space="preserve"> the referendum result. </w:t>
      </w:r>
    </w:p>
    <w:p w14:paraId="6B2DA271" w14:textId="7C33129E" w:rsidR="00577E3C" w:rsidRPr="007A3248" w:rsidRDefault="00577E3C" w:rsidP="00673711">
      <w:pPr>
        <w:spacing w:after="0" w:line="276" w:lineRule="auto"/>
        <w:ind w:firstLine="567"/>
        <w:jc w:val="both"/>
        <w:rPr>
          <w:rFonts w:cs="Times New Roman"/>
          <w:sz w:val="24"/>
          <w:szCs w:val="24"/>
        </w:rPr>
      </w:pPr>
      <w:r w:rsidRPr="007A3248">
        <w:rPr>
          <w:rFonts w:cs="Times New Roman"/>
          <w:sz w:val="24"/>
          <w:szCs w:val="24"/>
        </w:rPr>
        <w:t xml:space="preserve">Informed by this context, </w:t>
      </w:r>
      <w:r w:rsidR="005A6C7C">
        <w:rPr>
          <w:rFonts w:cs="Times New Roman"/>
          <w:sz w:val="24"/>
          <w:szCs w:val="24"/>
        </w:rPr>
        <w:t>we</w:t>
      </w:r>
      <w:r w:rsidR="005A6C7C" w:rsidRPr="007A3248">
        <w:rPr>
          <w:rFonts w:cs="Times New Roman"/>
          <w:sz w:val="24"/>
          <w:szCs w:val="24"/>
        </w:rPr>
        <w:t xml:space="preserve"> </w:t>
      </w:r>
      <w:r w:rsidRPr="007A3248">
        <w:rPr>
          <w:rFonts w:cs="Times New Roman"/>
          <w:sz w:val="24"/>
          <w:szCs w:val="24"/>
        </w:rPr>
        <w:t xml:space="preserve">seek to unpack and </w:t>
      </w:r>
      <w:proofErr w:type="spellStart"/>
      <w:r w:rsidRPr="007A3248">
        <w:rPr>
          <w:rFonts w:cs="Times New Roman"/>
          <w:sz w:val="24"/>
          <w:szCs w:val="24"/>
        </w:rPr>
        <w:t>problematise</w:t>
      </w:r>
      <w:proofErr w:type="spellEnd"/>
      <w:r w:rsidRPr="007A3248">
        <w:rPr>
          <w:rFonts w:cs="Times New Roman"/>
          <w:sz w:val="24"/>
          <w:szCs w:val="24"/>
        </w:rPr>
        <w:t xml:space="preserve"> some of the assumptions about the geographies of the referendum result and to nuance and highlight certain contradictions in the hegemonic ‘LBB’ spatial imaginary of its causation. </w:t>
      </w:r>
      <w:r w:rsidR="004379BE">
        <w:rPr>
          <w:rFonts w:cs="Times New Roman"/>
          <w:sz w:val="24"/>
          <w:szCs w:val="24"/>
        </w:rPr>
        <w:t>We</w:t>
      </w:r>
      <w:r w:rsidRPr="007A3248">
        <w:rPr>
          <w:rFonts w:cs="Times New Roman"/>
          <w:sz w:val="24"/>
          <w:szCs w:val="24"/>
        </w:rPr>
        <w:t xml:space="preserve"> start by considering what we know about the national regional geography of the referendum result, </w:t>
      </w:r>
      <w:r w:rsidR="00673711">
        <w:rPr>
          <w:rFonts w:cs="Times New Roman"/>
          <w:sz w:val="24"/>
          <w:szCs w:val="24"/>
        </w:rPr>
        <w:t xml:space="preserve">before discussing some of the most </w:t>
      </w:r>
      <w:r w:rsidR="00AF798C">
        <w:rPr>
          <w:rFonts w:cs="Times New Roman"/>
          <w:sz w:val="24"/>
          <w:szCs w:val="24"/>
        </w:rPr>
        <w:t>commonly discussed</w:t>
      </w:r>
      <w:r w:rsidR="00673711">
        <w:rPr>
          <w:rFonts w:cs="Times New Roman"/>
          <w:sz w:val="24"/>
          <w:szCs w:val="24"/>
        </w:rPr>
        <w:t xml:space="preserve"> spatial imaginaries</w:t>
      </w:r>
      <w:r w:rsidR="00894E11">
        <w:rPr>
          <w:rFonts w:cs="Times New Roman"/>
          <w:sz w:val="24"/>
          <w:szCs w:val="24"/>
        </w:rPr>
        <w:t>,</w:t>
      </w:r>
      <w:r w:rsidR="00673711">
        <w:rPr>
          <w:rFonts w:cs="Times New Roman"/>
          <w:sz w:val="24"/>
          <w:szCs w:val="24"/>
        </w:rPr>
        <w:t xml:space="preserve"> or tropes</w:t>
      </w:r>
      <w:r w:rsidR="00894E11">
        <w:rPr>
          <w:rFonts w:cs="Times New Roman"/>
          <w:sz w:val="24"/>
          <w:szCs w:val="24"/>
        </w:rPr>
        <w:t>,</w:t>
      </w:r>
      <w:r w:rsidR="00673711">
        <w:rPr>
          <w:rFonts w:cs="Times New Roman"/>
          <w:sz w:val="24"/>
          <w:szCs w:val="24"/>
        </w:rPr>
        <w:t xml:space="preserve"> which have come to characterise the referendum vote.  Following this we use detailed voting data from </w:t>
      </w:r>
      <w:r w:rsidR="00673711" w:rsidRPr="007A3248">
        <w:rPr>
          <w:rFonts w:cs="Times New Roman"/>
          <w:sz w:val="24"/>
          <w:szCs w:val="24"/>
        </w:rPr>
        <w:t>one of England’s core city regions</w:t>
      </w:r>
      <w:r w:rsidR="00673711">
        <w:rPr>
          <w:rFonts w:cs="Times New Roman"/>
          <w:sz w:val="24"/>
          <w:szCs w:val="24"/>
        </w:rPr>
        <w:t xml:space="preserve"> to consider </w:t>
      </w:r>
      <w:r w:rsidRPr="007A3248">
        <w:rPr>
          <w:rFonts w:cs="Times New Roman"/>
          <w:sz w:val="24"/>
          <w:szCs w:val="24"/>
        </w:rPr>
        <w:t>the complex relationships between voting and socio-economic geographies</w:t>
      </w:r>
      <w:r w:rsidR="00673711">
        <w:rPr>
          <w:rFonts w:cs="Times New Roman"/>
          <w:sz w:val="24"/>
          <w:szCs w:val="24"/>
        </w:rPr>
        <w:t xml:space="preserve"> as a means to reflect on how (and where) such tropes do provide satisfactory explanations and where they do not</w:t>
      </w:r>
      <w:r w:rsidRPr="007A3248">
        <w:rPr>
          <w:rFonts w:cs="Times New Roman"/>
          <w:sz w:val="24"/>
          <w:szCs w:val="24"/>
        </w:rPr>
        <w:t xml:space="preserve">. </w:t>
      </w:r>
    </w:p>
    <w:p w14:paraId="0C042940" w14:textId="77777777" w:rsidR="00894E11" w:rsidRDefault="00894E11" w:rsidP="00B140D4">
      <w:pPr>
        <w:spacing w:after="0" w:line="276" w:lineRule="auto"/>
        <w:jc w:val="both"/>
        <w:rPr>
          <w:rFonts w:cs="Times New Roman"/>
          <w:sz w:val="24"/>
          <w:szCs w:val="24"/>
        </w:rPr>
      </w:pPr>
    </w:p>
    <w:p w14:paraId="16AF2EC1" w14:textId="77777777" w:rsidR="00894E11" w:rsidRPr="007A3248" w:rsidRDefault="00894E11" w:rsidP="00B140D4">
      <w:pPr>
        <w:spacing w:after="0" w:line="276" w:lineRule="auto"/>
        <w:jc w:val="both"/>
        <w:rPr>
          <w:rFonts w:cs="Times New Roman"/>
          <w:sz w:val="24"/>
          <w:szCs w:val="24"/>
        </w:rPr>
      </w:pPr>
    </w:p>
    <w:p w14:paraId="17A2E532" w14:textId="26D3D39D" w:rsidR="00577E3C" w:rsidRPr="007306FE" w:rsidRDefault="00FD212D" w:rsidP="007306FE">
      <w:pPr>
        <w:pStyle w:val="ListParagraph"/>
        <w:numPr>
          <w:ilvl w:val="0"/>
          <w:numId w:val="2"/>
        </w:numPr>
        <w:spacing w:after="0" w:line="276" w:lineRule="auto"/>
        <w:jc w:val="both"/>
        <w:rPr>
          <w:rFonts w:cs="Times New Roman"/>
          <w:b/>
          <w:sz w:val="24"/>
          <w:szCs w:val="24"/>
        </w:rPr>
      </w:pPr>
      <w:r w:rsidRPr="007306FE">
        <w:rPr>
          <w:rFonts w:cs="Times New Roman"/>
          <w:b/>
          <w:sz w:val="24"/>
          <w:szCs w:val="24"/>
        </w:rPr>
        <w:lastRenderedPageBreak/>
        <w:t xml:space="preserve">The ‘short handing’ of the </w:t>
      </w:r>
      <w:r w:rsidR="00577E3C" w:rsidRPr="007306FE">
        <w:rPr>
          <w:rFonts w:cs="Times New Roman"/>
          <w:b/>
          <w:sz w:val="24"/>
          <w:szCs w:val="24"/>
        </w:rPr>
        <w:t>geograph</w:t>
      </w:r>
      <w:r w:rsidR="006671E2" w:rsidRPr="007306FE">
        <w:rPr>
          <w:rFonts w:cs="Times New Roman"/>
          <w:b/>
          <w:sz w:val="24"/>
          <w:szCs w:val="24"/>
        </w:rPr>
        <w:t>ies</w:t>
      </w:r>
      <w:r w:rsidR="00577E3C" w:rsidRPr="007306FE">
        <w:rPr>
          <w:rFonts w:cs="Times New Roman"/>
          <w:b/>
          <w:sz w:val="24"/>
          <w:szCs w:val="24"/>
        </w:rPr>
        <w:t xml:space="preserve"> of the </w:t>
      </w:r>
      <w:r w:rsidR="006671E2" w:rsidRPr="007306FE">
        <w:rPr>
          <w:rFonts w:cs="Times New Roman"/>
          <w:b/>
          <w:sz w:val="24"/>
          <w:szCs w:val="24"/>
        </w:rPr>
        <w:t xml:space="preserve">EU </w:t>
      </w:r>
      <w:r w:rsidRPr="007306FE">
        <w:rPr>
          <w:rFonts w:cs="Times New Roman"/>
          <w:b/>
          <w:sz w:val="24"/>
          <w:szCs w:val="24"/>
        </w:rPr>
        <w:t>referendum</w:t>
      </w:r>
    </w:p>
    <w:p w14:paraId="6D5931DD" w14:textId="77777777" w:rsidR="00C34FED" w:rsidRDefault="00C34FED" w:rsidP="00B140D4">
      <w:pPr>
        <w:spacing w:after="0" w:line="276" w:lineRule="auto"/>
        <w:jc w:val="both"/>
        <w:rPr>
          <w:rFonts w:cs="Times New Roman"/>
          <w:sz w:val="24"/>
          <w:szCs w:val="24"/>
        </w:rPr>
      </w:pPr>
    </w:p>
    <w:p w14:paraId="68FB8B4B" w14:textId="5B9B0674" w:rsidR="00B35C53" w:rsidRDefault="00811F83" w:rsidP="004379BE">
      <w:pPr>
        <w:spacing w:after="0" w:line="276" w:lineRule="auto"/>
        <w:ind w:firstLine="567"/>
        <w:jc w:val="both"/>
        <w:rPr>
          <w:rFonts w:cs="Times New Roman"/>
          <w:sz w:val="24"/>
          <w:szCs w:val="24"/>
        </w:rPr>
      </w:pPr>
      <w:r w:rsidRPr="00811F83">
        <w:rPr>
          <w:rFonts w:cs="Times New Roman"/>
          <w:sz w:val="24"/>
          <w:szCs w:val="24"/>
        </w:rPr>
        <w:fldChar w:fldCharType="begin"/>
      </w:r>
      <w:r w:rsidR="00F35BB4">
        <w:rPr>
          <w:rFonts w:cs="Times New Roman"/>
          <w:sz w:val="24"/>
          <w:szCs w:val="24"/>
        </w:rPr>
        <w:instrText xml:space="preserve"> ADDIN EN.CITE &lt;EndNote&gt;&lt;Cite AuthorYear="1"&gt;&lt;Author&gt;Manley&lt;/Author&gt;&lt;Year&gt;2017&lt;/Year&gt;&lt;RecNum&gt;1547&lt;/RecNum&gt;&lt;Suffix&gt; p.183&lt;/Suffix&gt;&lt;DisplayText&gt;Manley et al. (2017 p.183)&lt;/DisplayText&gt;&lt;record&gt;&lt;rec-number&gt;1547&lt;/rec-number&gt;&lt;foreign-keys&gt;&lt;key app="EN" db-id="sf2v0zffie0st6edessvst0jrx50tz9rrwst" timestamp="1557331732"&gt;1547&lt;/key&gt;&lt;/foreign-keys&gt;&lt;ref-type name="Journal Article"&gt;17&lt;/ref-type&gt;&lt;contributors&gt;&lt;authors&gt;&lt;author&gt;Manley, David&lt;/author&gt;&lt;author&gt;Jones, Kelvyn&lt;/author&gt;&lt;author&gt;Johnston, Ron&lt;/author&gt;&lt;/authors&gt;&lt;/contributors&gt;&lt;titles&gt;&lt;title&gt;The geography of Brexit–What geography? Modelling and predicting the outcome across 380 local authorities&lt;/title&gt;&lt;secondary-title&gt;Local Economy&lt;/secondary-title&gt;&lt;/titles&gt;&lt;periodical&gt;&lt;full-title&gt;Local Economy&lt;/full-title&gt;&lt;/periodical&gt;&lt;pages&gt;183-203&lt;/pages&gt;&lt;volume&gt;32&lt;/volume&gt;&lt;number&gt;3&lt;/number&gt;&lt;dates&gt;&lt;year&gt;2017&lt;/year&gt;&lt;/dates&gt;&lt;isbn&gt;0269-0942&lt;/isbn&gt;&lt;urls&gt;&lt;/urls&gt;&lt;/record&gt;&lt;/Cite&gt;&lt;/EndNote&gt;</w:instrText>
      </w:r>
      <w:r w:rsidRPr="00811F83">
        <w:rPr>
          <w:rFonts w:cs="Times New Roman"/>
          <w:sz w:val="24"/>
          <w:szCs w:val="24"/>
        </w:rPr>
        <w:fldChar w:fldCharType="separate"/>
      </w:r>
      <w:r w:rsidR="00F35BB4">
        <w:rPr>
          <w:rFonts w:cs="Times New Roman"/>
          <w:noProof/>
          <w:sz w:val="24"/>
          <w:szCs w:val="24"/>
        </w:rPr>
        <w:t>Manley et al. (2017 p.183)</w:t>
      </w:r>
      <w:r w:rsidRPr="00811F83">
        <w:rPr>
          <w:rFonts w:cs="Times New Roman"/>
          <w:sz w:val="24"/>
          <w:szCs w:val="24"/>
        </w:rPr>
        <w:fldChar w:fldCharType="end"/>
      </w:r>
      <w:r w:rsidR="00FB4B7F" w:rsidRPr="00FB4B7F">
        <w:rPr>
          <w:rFonts w:cs="Times New Roman"/>
          <w:sz w:val="24"/>
          <w:szCs w:val="24"/>
        </w:rPr>
        <w:t xml:space="preserve"> observe how </w:t>
      </w:r>
      <w:r w:rsidR="005A6C7C">
        <w:rPr>
          <w:rFonts w:cs="Times New Roman"/>
          <w:sz w:val="24"/>
          <w:szCs w:val="24"/>
        </w:rPr>
        <w:t xml:space="preserve">ahead of </w:t>
      </w:r>
      <w:r w:rsidR="00FB4B7F" w:rsidRPr="00FB4B7F">
        <w:rPr>
          <w:rFonts w:cs="Times New Roman"/>
          <w:sz w:val="24"/>
          <w:szCs w:val="24"/>
        </w:rPr>
        <w:t xml:space="preserve">the 2016 referendum </w:t>
      </w:r>
      <w:r w:rsidR="005A6C7C">
        <w:rPr>
          <w:rFonts w:cs="Times New Roman"/>
          <w:sz w:val="24"/>
          <w:szCs w:val="24"/>
        </w:rPr>
        <w:t xml:space="preserve">most analysis </w:t>
      </w:r>
      <w:r w:rsidR="00FB4B7F" w:rsidRPr="00FB4B7F">
        <w:rPr>
          <w:rFonts w:cs="Times New Roman"/>
          <w:sz w:val="24"/>
          <w:szCs w:val="24"/>
        </w:rPr>
        <w:t>was ‘based on opinion polling which focused  on which groups were more likely to support each of the two options, with less attention</w:t>
      </w:r>
      <w:r w:rsidR="00384676">
        <w:rPr>
          <w:rFonts w:cs="Times New Roman"/>
          <w:sz w:val="24"/>
          <w:szCs w:val="24"/>
        </w:rPr>
        <w:t xml:space="preserve"> given</w:t>
      </w:r>
      <w:r w:rsidR="00FB4B7F" w:rsidRPr="00FB4B7F">
        <w:rPr>
          <w:rFonts w:cs="Times New Roman"/>
          <w:sz w:val="24"/>
          <w:szCs w:val="24"/>
        </w:rPr>
        <w:t xml:space="preserve"> to the geography of that support’. In contrast, since the referendum this situation </w:t>
      </w:r>
      <w:proofErr w:type="gramStart"/>
      <w:r w:rsidR="00FB4B7F" w:rsidRPr="00FB4B7F">
        <w:rPr>
          <w:rFonts w:cs="Times New Roman"/>
          <w:sz w:val="24"/>
          <w:szCs w:val="24"/>
        </w:rPr>
        <w:t xml:space="preserve">has </w:t>
      </w:r>
      <w:r w:rsidR="004379BE">
        <w:rPr>
          <w:rFonts w:cs="Times New Roman"/>
          <w:sz w:val="24"/>
          <w:szCs w:val="24"/>
        </w:rPr>
        <w:t xml:space="preserve">arguably </w:t>
      </w:r>
      <w:r w:rsidR="00FB4B7F" w:rsidRPr="00FB4B7F">
        <w:rPr>
          <w:rFonts w:cs="Times New Roman"/>
          <w:sz w:val="24"/>
          <w:szCs w:val="24"/>
        </w:rPr>
        <w:t>been reversed</w:t>
      </w:r>
      <w:proofErr w:type="gramEnd"/>
      <w:r w:rsidR="00FB4B7F" w:rsidRPr="00FB4B7F">
        <w:rPr>
          <w:rFonts w:cs="Times New Roman"/>
          <w:sz w:val="24"/>
          <w:szCs w:val="24"/>
        </w:rPr>
        <w:t xml:space="preserve"> with geographical explanations of the result becoming extremely prominent in</w:t>
      </w:r>
      <w:r w:rsidR="004379BE">
        <w:rPr>
          <w:rFonts w:cs="Times New Roman"/>
          <w:sz w:val="24"/>
          <w:szCs w:val="24"/>
        </w:rPr>
        <w:t xml:space="preserve"> the “published opinion” of</w:t>
      </w:r>
      <w:r w:rsidR="00FB4B7F" w:rsidRPr="00FB4B7F">
        <w:rPr>
          <w:rFonts w:cs="Times New Roman"/>
          <w:sz w:val="24"/>
          <w:szCs w:val="24"/>
        </w:rPr>
        <w:t xml:space="preserve"> media and academic commentaries. </w:t>
      </w:r>
      <w:r w:rsidR="00405518">
        <w:rPr>
          <w:rFonts w:cs="Times New Roman"/>
          <w:sz w:val="24"/>
          <w:szCs w:val="24"/>
        </w:rPr>
        <w:t xml:space="preserve">Many geographical representations of this are </w:t>
      </w:r>
      <w:r w:rsidR="004379BE">
        <w:rPr>
          <w:rFonts w:cs="Times New Roman"/>
          <w:sz w:val="24"/>
          <w:szCs w:val="24"/>
        </w:rPr>
        <w:t>crude</w:t>
      </w:r>
      <w:r w:rsidR="00405518">
        <w:rPr>
          <w:rFonts w:cs="Times New Roman"/>
          <w:sz w:val="24"/>
          <w:szCs w:val="24"/>
        </w:rPr>
        <w:t xml:space="preserve">, presenting simple visualisations of Leave/Remain </w:t>
      </w:r>
      <w:proofErr w:type="gramStart"/>
      <w:r w:rsidR="00405518">
        <w:rPr>
          <w:rFonts w:cs="Times New Roman"/>
          <w:sz w:val="24"/>
          <w:szCs w:val="24"/>
        </w:rPr>
        <w:t xml:space="preserve">areas which hint at a geography where ‘Remain’ votes </w:t>
      </w:r>
      <w:r w:rsidR="00B072F4">
        <w:rPr>
          <w:rFonts w:cs="Times New Roman"/>
          <w:sz w:val="24"/>
          <w:szCs w:val="24"/>
        </w:rPr>
        <w:t>are predominately</w:t>
      </w:r>
      <w:r w:rsidR="00405518">
        <w:rPr>
          <w:rFonts w:cs="Times New Roman"/>
          <w:sz w:val="24"/>
          <w:szCs w:val="24"/>
        </w:rPr>
        <w:t xml:space="preserve"> cloistered in the largest English cities, and Scotland, and ‘Leave’ </w:t>
      </w:r>
      <w:r w:rsidR="004379BE">
        <w:rPr>
          <w:rFonts w:cs="Times New Roman"/>
          <w:sz w:val="24"/>
          <w:szCs w:val="24"/>
        </w:rPr>
        <w:t>sentiment</w:t>
      </w:r>
      <w:proofErr w:type="gramEnd"/>
      <w:r w:rsidR="004379BE">
        <w:rPr>
          <w:rFonts w:cs="Times New Roman"/>
          <w:sz w:val="24"/>
          <w:szCs w:val="24"/>
        </w:rPr>
        <w:t xml:space="preserve"> </w:t>
      </w:r>
      <w:r w:rsidR="00405518">
        <w:rPr>
          <w:rFonts w:cs="Times New Roman"/>
          <w:sz w:val="24"/>
          <w:szCs w:val="24"/>
        </w:rPr>
        <w:t xml:space="preserve">permeates much of the rest of the land.  Yet, </w:t>
      </w:r>
      <w:r w:rsidR="00732CE9">
        <w:rPr>
          <w:rFonts w:cs="Times New Roman"/>
          <w:sz w:val="24"/>
          <w:szCs w:val="24"/>
        </w:rPr>
        <w:t xml:space="preserve">in line with </w:t>
      </w:r>
      <w:r>
        <w:rPr>
          <w:rFonts w:cs="Times New Roman"/>
          <w:sz w:val="24"/>
          <w:szCs w:val="24"/>
        </w:rPr>
        <w:fldChar w:fldCharType="begin"/>
      </w:r>
      <w:r w:rsidR="00F35BB4">
        <w:rPr>
          <w:rFonts w:cs="Times New Roman"/>
          <w:sz w:val="24"/>
          <w:szCs w:val="24"/>
        </w:rPr>
        <w:instrText xml:space="preserve"> ADDIN EN.CITE &lt;EndNote&gt;&lt;Cite AuthorYear="1"&gt;&lt;Author&gt;Manley&lt;/Author&gt;&lt;Year&gt;2017&lt;/Year&gt;&lt;RecNum&gt;1547&lt;/RecNum&gt;&lt;DisplayText&gt;Manley et al. (2017)&lt;/DisplayText&gt;&lt;record&gt;&lt;rec-number&gt;1547&lt;/rec-number&gt;&lt;foreign-keys&gt;&lt;key app="EN" db-id="sf2v0zffie0st6edessvst0jrx50tz9rrwst" timestamp="1557331732"&gt;1547&lt;/key&gt;&lt;/foreign-keys&gt;&lt;ref-type name="Journal Article"&gt;17&lt;/ref-type&gt;&lt;contributors&gt;&lt;authors&gt;&lt;author&gt;Manley, David&lt;/author&gt;&lt;author&gt;Jones, Kelvyn&lt;/author&gt;&lt;author&gt;Johnston, Ron&lt;/author&gt;&lt;/authors&gt;&lt;/contributors&gt;&lt;titles&gt;&lt;title&gt;The geography of Brexit–What geography? Modelling and predicting the outcome across 380 local authorities&lt;/title&gt;&lt;secondary-title&gt;Local Economy&lt;/secondary-title&gt;&lt;/titles&gt;&lt;periodical&gt;&lt;full-title&gt;Local Economy&lt;/full-title&gt;&lt;/periodical&gt;&lt;pages&gt;183-203&lt;/pages&gt;&lt;volume&gt;32&lt;/volume&gt;&lt;number&gt;3&lt;/number&gt;&lt;dates&gt;&lt;year&gt;2017&lt;/year&gt;&lt;/dates&gt;&lt;isbn&gt;0269-0942&lt;/isbn&gt;&lt;urls&gt;&lt;/urls&gt;&lt;/record&gt;&lt;/Cite&gt;&lt;/EndNote&gt;</w:instrText>
      </w:r>
      <w:r>
        <w:rPr>
          <w:rFonts w:cs="Times New Roman"/>
          <w:sz w:val="24"/>
          <w:szCs w:val="24"/>
        </w:rPr>
        <w:fldChar w:fldCharType="separate"/>
      </w:r>
      <w:r w:rsidR="00F35BB4">
        <w:rPr>
          <w:rFonts w:cs="Times New Roman"/>
          <w:noProof/>
          <w:sz w:val="24"/>
          <w:szCs w:val="24"/>
        </w:rPr>
        <w:t>Manley et al. (2017)</w:t>
      </w:r>
      <w:r>
        <w:rPr>
          <w:rFonts w:cs="Times New Roman"/>
          <w:sz w:val="24"/>
          <w:szCs w:val="24"/>
        </w:rPr>
        <w:fldChar w:fldCharType="end"/>
      </w:r>
      <w:r w:rsidR="00732CE9">
        <w:rPr>
          <w:rFonts w:cs="Times New Roman"/>
          <w:sz w:val="24"/>
          <w:szCs w:val="24"/>
        </w:rPr>
        <w:t xml:space="preserve">, </w:t>
      </w:r>
      <w:r w:rsidR="00405518">
        <w:rPr>
          <w:rFonts w:cs="Times New Roman"/>
          <w:sz w:val="24"/>
          <w:szCs w:val="24"/>
        </w:rPr>
        <w:t>we argue that a</w:t>
      </w:r>
      <w:r w:rsidR="00C20A71">
        <w:rPr>
          <w:rFonts w:cs="Times New Roman"/>
          <w:sz w:val="24"/>
          <w:szCs w:val="24"/>
        </w:rPr>
        <w:t>t the UK ‘national’ scale, t</w:t>
      </w:r>
      <w:r w:rsidR="00C20A71" w:rsidRPr="00C20A71">
        <w:rPr>
          <w:rFonts w:cs="Times New Roman"/>
          <w:sz w:val="24"/>
          <w:szCs w:val="24"/>
        </w:rPr>
        <w:t>he voting patterns</w:t>
      </w:r>
      <w:r w:rsidR="00C20A71">
        <w:rPr>
          <w:rFonts w:cs="Times New Roman"/>
          <w:sz w:val="24"/>
          <w:szCs w:val="24"/>
        </w:rPr>
        <w:t xml:space="preserve"> of June 2016 </w:t>
      </w:r>
      <w:r w:rsidR="00C20A71" w:rsidRPr="00C20A71">
        <w:rPr>
          <w:rFonts w:cs="Times New Roman"/>
          <w:sz w:val="24"/>
          <w:szCs w:val="24"/>
        </w:rPr>
        <w:t xml:space="preserve">have </w:t>
      </w:r>
      <w:r w:rsidR="00C20A71">
        <w:rPr>
          <w:rFonts w:cs="Times New Roman"/>
          <w:sz w:val="24"/>
          <w:szCs w:val="24"/>
        </w:rPr>
        <w:t xml:space="preserve">frequently </w:t>
      </w:r>
      <w:r w:rsidR="00C20A71" w:rsidRPr="00C20A71">
        <w:rPr>
          <w:rFonts w:cs="Times New Roman"/>
          <w:sz w:val="24"/>
          <w:szCs w:val="24"/>
        </w:rPr>
        <w:t xml:space="preserve">been presented and discussed </w:t>
      </w:r>
      <w:r w:rsidR="00C20A71">
        <w:rPr>
          <w:rFonts w:cs="Times New Roman"/>
          <w:sz w:val="24"/>
          <w:szCs w:val="24"/>
        </w:rPr>
        <w:t>in ways which have oversimplified the geographies of the result.</w:t>
      </w:r>
      <w:r w:rsidR="00C20A71" w:rsidRPr="00C20A71">
        <w:rPr>
          <w:rFonts w:cs="Times New Roman"/>
          <w:sz w:val="24"/>
          <w:szCs w:val="24"/>
        </w:rPr>
        <w:t xml:space="preserve"> </w:t>
      </w:r>
      <w:r w:rsidR="00405518">
        <w:rPr>
          <w:rFonts w:cs="Times New Roman"/>
          <w:sz w:val="24"/>
          <w:szCs w:val="24"/>
        </w:rPr>
        <w:t xml:space="preserve">In many cases, </w:t>
      </w:r>
      <w:proofErr w:type="gramStart"/>
      <w:r w:rsidR="00405518">
        <w:rPr>
          <w:rFonts w:cs="Times New Roman"/>
          <w:sz w:val="24"/>
          <w:szCs w:val="24"/>
        </w:rPr>
        <w:t xml:space="preserve">this oversimplification has </w:t>
      </w:r>
      <w:r w:rsidR="005338BD" w:rsidRPr="00C20A71">
        <w:rPr>
          <w:rFonts w:cs="Times New Roman"/>
          <w:sz w:val="24"/>
          <w:szCs w:val="24"/>
        </w:rPr>
        <w:t>been accompanied by imaginaries and caricatures of ‘leave’ and ‘remain’ areas and forced ecological fallacies in the presentation and interpretation of the data</w:t>
      </w:r>
      <w:proofErr w:type="gramEnd"/>
      <w:r w:rsidR="005338BD" w:rsidRPr="00C20A71">
        <w:rPr>
          <w:rFonts w:cs="Times New Roman"/>
          <w:sz w:val="24"/>
          <w:szCs w:val="24"/>
        </w:rPr>
        <w:t>.</w:t>
      </w:r>
      <w:r w:rsidR="005338BD">
        <w:rPr>
          <w:rFonts w:cs="Times New Roman"/>
          <w:sz w:val="24"/>
          <w:szCs w:val="24"/>
        </w:rPr>
        <w:t xml:space="preserve"> </w:t>
      </w:r>
      <w:r w:rsidR="00B35C53">
        <w:rPr>
          <w:rFonts w:cs="Times New Roman"/>
          <w:sz w:val="24"/>
          <w:szCs w:val="24"/>
        </w:rPr>
        <w:t>Although some mappings present data at a local authority level (the scale at which referendum results were initially reported), some</w:t>
      </w:r>
      <w:r w:rsidR="00C20A71" w:rsidRPr="00C20A71">
        <w:rPr>
          <w:rFonts w:cs="Times New Roman"/>
          <w:sz w:val="24"/>
          <w:szCs w:val="24"/>
        </w:rPr>
        <w:t xml:space="preserve"> mappings and analyses </w:t>
      </w:r>
      <w:r w:rsidR="00B35C53">
        <w:rPr>
          <w:rFonts w:cs="Times New Roman"/>
          <w:sz w:val="24"/>
          <w:szCs w:val="24"/>
        </w:rPr>
        <w:t>are even starker, with</w:t>
      </w:r>
      <w:r w:rsidR="00C20A71" w:rsidRPr="00C20A71">
        <w:rPr>
          <w:rFonts w:cs="Times New Roman"/>
          <w:sz w:val="24"/>
          <w:szCs w:val="24"/>
        </w:rPr>
        <w:t xml:space="preserve"> results</w:t>
      </w:r>
      <w:r w:rsidR="00B35C53">
        <w:rPr>
          <w:rFonts w:cs="Times New Roman"/>
          <w:sz w:val="24"/>
          <w:szCs w:val="24"/>
        </w:rPr>
        <w:t xml:space="preserve"> </w:t>
      </w:r>
      <w:r w:rsidR="00C20A71" w:rsidRPr="00C20A71">
        <w:rPr>
          <w:rFonts w:cs="Times New Roman"/>
          <w:sz w:val="24"/>
          <w:szCs w:val="24"/>
        </w:rPr>
        <w:t>simply aggregated to whole nations</w:t>
      </w:r>
      <w:r w:rsidR="004379BE">
        <w:rPr>
          <w:rFonts w:cs="Times New Roman"/>
          <w:sz w:val="24"/>
          <w:szCs w:val="24"/>
        </w:rPr>
        <w:t xml:space="preserve"> of the UK</w:t>
      </w:r>
      <w:r w:rsidR="00C20A71" w:rsidRPr="00C20A71">
        <w:rPr>
          <w:rFonts w:cs="Times New Roman"/>
          <w:sz w:val="24"/>
          <w:szCs w:val="24"/>
        </w:rPr>
        <w:t xml:space="preserve"> (England, Wales, Scotland, Northern Ireland).  </w:t>
      </w:r>
    </w:p>
    <w:p w14:paraId="0BA6259B" w14:textId="5AD7495E" w:rsidR="00F72522" w:rsidRDefault="00B35C53" w:rsidP="00F72522">
      <w:pPr>
        <w:spacing w:after="0" w:line="276" w:lineRule="auto"/>
        <w:ind w:firstLine="567"/>
        <w:jc w:val="both"/>
        <w:rPr>
          <w:rFonts w:cs="Times New Roman"/>
          <w:sz w:val="24"/>
          <w:szCs w:val="24"/>
        </w:rPr>
      </w:pPr>
      <w:r>
        <w:rPr>
          <w:rFonts w:cs="Times New Roman"/>
          <w:sz w:val="24"/>
          <w:szCs w:val="24"/>
        </w:rPr>
        <w:t xml:space="preserve">Sometimes, these visualisations have </w:t>
      </w:r>
      <w:r w:rsidR="00C20A71" w:rsidRPr="00C20A71">
        <w:rPr>
          <w:rFonts w:cs="Times New Roman"/>
          <w:sz w:val="24"/>
          <w:szCs w:val="24"/>
        </w:rPr>
        <w:t>then been interpreted using the same ‘first past the post’ logic as used in Westminster elections</w:t>
      </w:r>
      <w:r>
        <w:rPr>
          <w:rFonts w:cs="Times New Roman"/>
          <w:sz w:val="24"/>
          <w:szCs w:val="24"/>
        </w:rPr>
        <w:t>,</w:t>
      </w:r>
      <w:r w:rsidR="00C20A71" w:rsidRPr="00C20A71">
        <w:rPr>
          <w:rFonts w:cs="Times New Roman"/>
          <w:sz w:val="24"/>
          <w:szCs w:val="24"/>
        </w:rPr>
        <w:t xml:space="preserve"> with talk of how many areas voted ‘leave’ or ‘remain’. </w:t>
      </w:r>
      <w:r>
        <w:rPr>
          <w:rFonts w:cs="Times New Roman"/>
          <w:sz w:val="24"/>
          <w:szCs w:val="24"/>
        </w:rPr>
        <w:t xml:space="preserve"> Yet, g</w:t>
      </w:r>
      <w:r w:rsidR="00C20A71" w:rsidRPr="00C20A71">
        <w:rPr>
          <w:rFonts w:cs="Times New Roman"/>
          <w:sz w:val="24"/>
          <w:szCs w:val="24"/>
        </w:rPr>
        <w:t xml:space="preserve">iven </w:t>
      </w:r>
      <w:proofErr w:type="gramStart"/>
      <w:r w:rsidR="00C20A71" w:rsidRPr="00C20A71">
        <w:rPr>
          <w:rFonts w:cs="Times New Roman"/>
          <w:sz w:val="24"/>
          <w:szCs w:val="24"/>
        </w:rPr>
        <w:t>that</w:t>
      </w:r>
      <w:proofErr w:type="gramEnd"/>
      <w:r w:rsidR="00C20A71" w:rsidRPr="00C20A71">
        <w:rPr>
          <w:rFonts w:cs="Times New Roman"/>
          <w:sz w:val="24"/>
          <w:szCs w:val="24"/>
        </w:rPr>
        <w:t xml:space="preserve"> the purpose of the ballot was not to send representatives to Parliament but to answer a question at</w:t>
      </w:r>
      <w:r w:rsidR="005C33D7">
        <w:rPr>
          <w:rFonts w:cs="Times New Roman"/>
          <w:sz w:val="24"/>
          <w:szCs w:val="24"/>
        </w:rPr>
        <w:t xml:space="preserve"> the</w:t>
      </w:r>
      <w:r w:rsidR="00C20A71" w:rsidRPr="00C20A71">
        <w:rPr>
          <w:rFonts w:cs="Times New Roman"/>
          <w:sz w:val="24"/>
          <w:szCs w:val="24"/>
        </w:rPr>
        <w:t xml:space="preserve"> UK scale this is problematic – not least as it creates an impression of a </w:t>
      </w:r>
      <w:r w:rsidR="005338BD">
        <w:rPr>
          <w:rFonts w:cs="Times New Roman"/>
          <w:sz w:val="24"/>
          <w:szCs w:val="24"/>
        </w:rPr>
        <w:t>far</w:t>
      </w:r>
      <w:r w:rsidR="00C20A71" w:rsidRPr="00C20A71">
        <w:rPr>
          <w:rFonts w:cs="Times New Roman"/>
          <w:sz w:val="24"/>
          <w:szCs w:val="24"/>
        </w:rPr>
        <w:t xml:space="preserve"> more one-sided result tha</w:t>
      </w:r>
      <w:r w:rsidR="005338BD">
        <w:rPr>
          <w:rFonts w:cs="Times New Roman"/>
          <w:sz w:val="24"/>
          <w:szCs w:val="24"/>
        </w:rPr>
        <w:t>n</w:t>
      </w:r>
      <w:r w:rsidR="00C20A71" w:rsidRPr="00C20A71">
        <w:rPr>
          <w:rFonts w:cs="Times New Roman"/>
          <w:sz w:val="24"/>
          <w:szCs w:val="24"/>
        </w:rPr>
        <w:t xml:space="preserve"> actually occurred. </w:t>
      </w:r>
      <w:r w:rsidR="005338BD">
        <w:rPr>
          <w:rFonts w:cs="Times New Roman"/>
          <w:sz w:val="24"/>
          <w:szCs w:val="24"/>
        </w:rPr>
        <w:t xml:space="preserve"> </w:t>
      </w:r>
      <w:r w:rsidR="00101CDE">
        <w:rPr>
          <w:rFonts w:cs="Times New Roman"/>
          <w:sz w:val="24"/>
          <w:szCs w:val="24"/>
        </w:rPr>
        <w:t xml:space="preserve">Indeed, if we move away from the binary outcome of the vote, but rather consider the difference between the two outcomes in an </w:t>
      </w:r>
      <w:r w:rsidR="00634D54">
        <w:rPr>
          <w:rFonts w:cs="Times New Roman"/>
          <w:sz w:val="24"/>
          <w:szCs w:val="24"/>
        </w:rPr>
        <w:t>area, the</w:t>
      </w:r>
      <w:r w:rsidR="00101CDE">
        <w:rPr>
          <w:rFonts w:cs="Times New Roman"/>
          <w:sz w:val="24"/>
          <w:szCs w:val="24"/>
        </w:rPr>
        <w:t xml:space="preserve"> overall image becomes less stark. </w:t>
      </w:r>
      <w:r w:rsidR="00F72522">
        <w:rPr>
          <w:rFonts w:cs="Times New Roman"/>
          <w:sz w:val="24"/>
          <w:szCs w:val="24"/>
        </w:rPr>
        <w:t xml:space="preserve"> For example,</w:t>
      </w:r>
      <w:r w:rsidR="00101CDE">
        <w:rPr>
          <w:rFonts w:cs="Times New Roman"/>
          <w:sz w:val="24"/>
          <w:szCs w:val="24"/>
        </w:rPr>
        <w:t xml:space="preserve"> </w:t>
      </w:r>
      <w:r w:rsidR="00F72522">
        <w:rPr>
          <w:rFonts w:cs="Times New Roman"/>
          <w:sz w:val="24"/>
          <w:szCs w:val="24"/>
        </w:rPr>
        <w:t xml:space="preserve">there were 123 authorities where the difference between outcomes was less than 10% (Figure 1) - i.e. the point at which an area </w:t>
      </w:r>
      <w:proofErr w:type="gramStart"/>
      <w:r w:rsidR="00F72522">
        <w:rPr>
          <w:rFonts w:cs="Times New Roman"/>
          <w:sz w:val="24"/>
          <w:szCs w:val="24"/>
        </w:rPr>
        <w:t>might ordinarily be considered</w:t>
      </w:r>
      <w:proofErr w:type="gramEnd"/>
      <w:r w:rsidR="00F72522">
        <w:rPr>
          <w:rFonts w:cs="Times New Roman"/>
          <w:sz w:val="24"/>
          <w:szCs w:val="24"/>
        </w:rPr>
        <w:t xml:space="preserve"> a battleground or marginal.  Taking this further, </w:t>
      </w:r>
      <w:r w:rsidR="00101CDE">
        <w:rPr>
          <w:rFonts w:cs="Times New Roman"/>
          <w:sz w:val="24"/>
          <w:szCs w:val="24"/>
        </w:rPr>
        <w:t>whilst there were</w:t>
      </w:r>
      <w:r w:rsidR="00F72522">
        <w:rPr>
          <w:rFonts w:cs="Times New Roman"/>
          <w:sz w:val="24"/>
          <w:szCs w:val="24"/>
        </w:rPr>
        <w:t xml:space="preserve"> 82</w:t>
      </w:r>
      <w:r w:rsidR="00101CDE">
        <w:rPr>
          <w:rFonts w:cs="Times New Roman"/>
          <w:sz w:val="24"/>
          <w:szCs w:val="24"/>
        </w:rPr>
        <w:t xml:space="preserve"> places where the vote</w:t>
      </w:r>
      <w:r w:rsidR="005C33D7">
        <w:rPr>
          <w:rFonts w:cs="Times New Roman"/>
          <w:sz w:val="24"/>
          <w:szCs w:val="24"/>
        </w:rPr>
        <w:t xml:space="preserve"> outcome</w:t>
      </w:r>
      <w:r w:rsidR="00101CDE">
        <w:rPr>
          <w:rFonts w:cs="Times New Roman"/>
          <w:sz w:val="24"/>
          <w:szCs w:val="24"/>
        </w:rPr>
        <w:t xml:space="preserve"> (either to Leave </w:t>
      </w:r>
      <w:r w:rsidR="00101CDE" w:rsidRPr="00A33CF0">
        <w:rPr>
          <w:rFonts w:cs="Times New Roman"/>
          <w:i/>
          <w:sz w:val="24"/>
          <w:szCs w:val="24"/>
        </w:rPr>
        <w:t>or</w:t>
      </w:r>
      <w:r w:rsidR="00101CDE">
        <w:rPr>
          <w:rFonts w:cs="Times New Roman"/>
          <w:sz w:val="24"/>
          <w:szCs w:val="24"/>
        </w:rPr>
        <w:t xml:space="preserve"> Remain) </w:t>
      </w:r>
      <w:r w:rsidR="005C33D7">
        <w:rPr>
          <w:rFonts w:cs="Times New Roman"/>
          <w:sz w:val="24"/>
          <w:szCs w:val="24"/>
        </w:rPr>
        <w:t>exceeded more than 20,000 votes</w:t>
      </w:r>
      <w:r w:rsidR="00F72522">
        <w:rPr>
          <w:rFonts w:cs="Times New Roman"/>
          <w:sz w:val="24"/>
          <w:szCs w:val="24"/>
        </w:rPr>
        <w:t xml:space="preserve"> </w:t>
      </w:r>
      <w:r w:rsidR="000E40FC">
        <w:rPr>
          <w:rFonts w:cs="Times New Roman"/>
          <w:sz w:val="24"/>
          <w:szCs w:val="24"/>
        </w:rPr>
        <w:t>(</w:t>
      </w:r>
      <w:r w:rsidR="00101CDE">
        <w:rPr>
          <w:rFonts w:cs="Times New Roman"/>
          <w:sz w:val="24"/>
          <w:szCs w:val="24"/>
        </w:rPr>
        <w:t>35 remain, 47 leave</w:t>
      </w:r>
      <w:r w:rsidR="000E40FC">
        <w:rPr>
          <w:rFonts w:cs="Times New Roman"/>
          <w:sz w:val="24"/>
          <w:szCs w:val="24"/>
        </w:rPr>
        <w:t>)</w:t>
      </w:r>
      <w:r w:rsidR="00F72522">
        <w:rPr>
          <w:rFonts w:cs="Times New Roman"/>
          <w:sz w:val="24"/>
          <w:szCs w:val="24"/>
        </w:rPr>
        <w:t xml:space="preserve">, in 16 authorities the difference was less than 1,000 voters.  </w:t>
      </w:r>
    </w:p>
    <w:p w14:paraId="593EB481" w14:textId="77777777" w:rsidR="00F72522" w:rsidRDefault="00F72522" w:rsidP="00925B92">
      <w:pPr>
        <w:spacing w:after="0" w:line="276" w:lineRule="auto"/>
        <w:ind w:firstLine="567"/>
        <w:jc w:val="both"/>
        <w:rPr>
          <w:rFonts w:cs="Times New Roman"/>
          <w:sz w:val="24"/>
          <w:szCs w:val="24"/>
        </w:rPr>
      </w:pPr>
    </w:p>
    <w:p w14:paraId="0B27FAF3" w14:textId="7ECADEED" w:rsidR="004C7190" w:rsidRDefault="00AE20B1" w:rsidP="00925B92">
      <w:pPr>
        <w:spacing w:after="0" w:line="276" w:lineRule="auto"/>
        <w:ind w:firstLine="567"/>
        <w:jc w:val="both"/>
        <w:rPr>
          <w:rFonts w:cs="Times New Roman"/>
          <w:sz w:val="24"/>
          <w:szCs w:val="24"/>
        </w:rPr>
      </w:pPr>
      <w:r>
        <w:rPr>
          <w:rFonts w:cs="Times New Roman"/>
          <w:sz w:val="24"/>
          <w:szCs w:val="24"/>
        </w:rPr>
        <w:t>&lt;FIGURE ONE&gt;</w:t>
      </w:r>
    </w:p>
    <w:p w14:paraId="734024A6" w14:textId="77777777" w:rsidR="00AE20B1" w:rsidRDefault="00AE20B1" w:rsidP="00925B92">
      <w:pPr>
        <w:spacing w:after="0" w:line="276" w:lineRule="auto"/>
        <w:ind w:firstLine="567"/>
        <w:jc w:val="both"/>
        <w:rPr>
          <w:rFonts w:cs="Times New Roman"/>
          <w:sz w:val="24"/>
          <w:szCs w:val="24"/>
        </w:rPr>
      </w:pPr>
    </w:p>
    <w:p w14:paraId="36BEA181" w14:textId="4D65E2BF" w:rsidR="00AE20B1" w:rsidRPr="00CC6539" w:rsidRDefault="00AE20B1" w:rsidP="00925B92">
      <w:pPr>
        <w:spacing w:after="0" w:line="276" w:lineRule="auto"/>
        <w:ind w:firstLine="567"/>
        <w:jc w:val="both"/>
        <w:rPr>
          <w:rFonts w:cs="Times New Roman"/>
          <w:i/>
          <w:sz w:val="24"/>
          <w:szCs w:val="24"/>
        </w:rPr>
      </w:pPr>
      <w:r w:rsidRPr="00CC6539">
        <w:rPr>
          <w:rFonts w:cs="Times New Roman"/>
          <w:i/>
          <w:sz w:val="24"/>
          <w:szCs w:val="24"/>
        </w:rPr>
        <w:t xml:space="preserve">Figure One: Local Authorities considered ‘battlegrounds’ </w:t>
      </w:r>
      <w:r w:rsidRPr="00CC6539">
        <w:rPr>
          <w:rFonts w:cs="Times New Roman"/>
          <w:i/>
          <w:sz w:val="24"/>
          <w:szCs w:val="24"/>
        </w:rPr>
        <w:fldChar w:fldCharType="begin"/>
      </w:r>
      <w:r w:rsidR="00F35BB4">
        <w:rPr>
          <w:rFonts w:cs="Times New Roman"/>
          <w:i/>
          <w:sz w:val="24"/>
          <w:szCs w:val="24"/>
        </w:rPr>
        <w:instrText xml:space="preserve"> ADDIN EN.CITE &lt;EndNote&gt;&lt;Cite&gt;&lt;Author&gt;Electoral Commission&lt;/Author&gt;&lt;Year&gt;2016&lt;/Year&gt;&lt;RecNum&gt;871&lt;/RecNum&gt;&lt;Prefix&gt;Source: &lt;/Prefix&gt;&lt;DisplayText&gt;(Source: Electoral Commission, 2016)&lt;/DisplayText&gt;&lt;record&gt;&lt;rec-number&gt;871&lt;/rec-number&gt;&lt;foreign-keys&gt;&lt;key app="EN" db-id="sf2v0zffie0st6edessvst0jrx50tz9rrwst" timestamp="1498747794"&gt;871&lt;/key&gt;&lt;/foreign-keys&gt;&lt;ref-type name="Web Page"&gt;12&lt;/ref-type&gt;&lt;contributors&gt;&lt;authors&gt;&lt;author&gt;Electoral Commission,&lt;/author&gt;&lt;/authors&gt;&lt;/contributors&gt;&lt;titles&gt;&lt;title&gt;EU Referendum Results&lt;/title&gt;&lt;/titles&gt;&lt;volume&gt;2017&lt;/volume&gt;&lt;number&gt;29th June&lt;/number&gt;&lt;dates&gt;&lt;year&gt;2016&lt;/year&gt;&lt;/dates&gt;&lt;urls&gt;&lt;related-urls&gt;&lt;url&gt;https://www.electoralcommission.org.uk/find-information-by-subject/elections-and-referendums/past-elections-and-referendums/eu-referendum/electorate-and-count-information&lt;/url&gt;&lt;/related-urls&gt;&lt;/urls&gt;&lt;/record&gt;&lt;/Cite&gt;&lt;/EndNote&gt;</w:instrText>
      </w:r>
      <w:r w:rsidRPr="00CC6539">
        <w:rPr>
          <w:rFonts w:cs="Times New Roman"/>
          <w:i/>
          <w:sz w:val="24"/>
          <w:szCs w:val="24"/>
        </w:rPr>
        <w:fldChar w:fldCharType="separate"/>
      </w:r>
      <w:r w:rsidR="00F35BB4">
        <w:rPr>
          <w:rFonts w:cs="Times New Roman"/>
          <w:i/>
          <w:noProof/>
          <w:sz w:val="24"/>
          <w:szCs w:val="24"/>
        </w:rPr>
        <w:t>(Source: Electoral Commission, 2016)</w:t>
      </w:r>
      <w:r w:rsidRPr="00CC6539">
        <w:rPr>
          <w:rFonts w:cs="Times New Roman"/>
          <w:i/>
          <w:sz w:val="24"/>
          <w:szCs w:val="24"/>
        </w:rPr>
        <w:fldChar w:fldCharType="end"/>
      </w:r>
    </w:p>
    <w:p w14:paraId="6FFB8457" w14:textId="77777777" w:rsidR="00925B92" w:rsidRDefault="00925B92" w:rsidP="00B35C53">
      <w:pPr>
        <w:spacing w:after="0" w:line="276" w:lineRule="auto"/>
        <w:jc w:val="both"/>
        <w:rPr>
          <w:rFonts w:cs="Times New Roman"/>
          <w:sz w:val="24"/>
          <w:szCs w:val="24"/>
        </w:rPr>
      </w:pPr>
    </w:p>
    <w:p w14:paraId="1FA22063" w14:textId="5715E669" w:rsidR="003B3C88" w:rsidRDefault="001F6684" w:rsidP="00925B92">
      <w:pPr>
        <w:spacing w:after="0" w:line="276" w:lineRule="auto"/>
        <w:ind w:firstLine="567"/>
        <w:jc w:val="both"/>
        <w:rPr>
          <w:rFonts w:cs="Times New Roman"/>
          <w:sz w:val="24"/>
          <w:szCs w:val="24"/>
        </w:rPr>
      </w:pPr>
      <w:r>
        <w:rPr>
          <w:rFonts w:cs="Times New Roman"/>
          <w:sz w:val="24"/>
          <w:szCs w:val="24"/>
        </w:rPr>
        <w:t>A</w:t>
      </w:r>
      <w:r w:rsidR="003B3C88">
        <w:rPr>
          <w:rFonts w:cs="Times New Roman"/>
          <w:sz w:val="24"/>
          <w:szCs w:val="24"/>
        </w:rPr>
        <w:t>nalysis</w:t>
      </w:r>
      <w:r>
        <w:rPr>
          <w:rFonts w:cs="Times New Roman"/>
          <w:sz w:val="24"/>
          <w:szCs w:val="24"/>
        </w:rPr>
        <w:t xml:space="preserve"> on first past the post terms</w:t>
      </w:r>
      <w:r w:rsidR="005338BD">
        <w:rPr>
          <w:rFonts w:cs="Times New Roman"/>
          <w:sz w:val="24"/>
          <w:szCs w:val="24"/>
        </w:rPr>
        <w:t xml:space="preserve"> also </w:t>
      </w:r>
      <w:r w:rsidR="003F0635">
        <w:rPr>
          <w:rFonts w:cs="Times New Roman"/>
          <w:sz w:val="24"/>
          <w:szCs w:val="24"/>
        </w:rPr>
        <w:t xml:space="preserve">often </w:t>
      </w:r>
      <w:r w:rsidR="00B35C53">
        <w:rPr>
          <w:rFonts w:cs="Times New Roman"/>
          <w:sz w:val="24"/>
          <w:szCs w:val="24"/>
        </w:rPr>
        <w:t xml:space="preserve">stumbles against its own logic, </w:t>
      </w:r>
      <w:r w:rsidR="005338BD">
        <w:rPr>
          <w:rFonts w:cs="Times New Roman"/>
          <w:sz w:val="24"/>
          <w:szCs w:val="24"/>
        </w:rPr>
        <w:t>obfuscat</w:t>
      </w:r>
      <w:r w:rsidR="00B35C53">
        <w:rPr>
          <w:rFonts w:cs="Times New Roman"/>
          <w:sz w:val="24"/>
          <w:szCs w:val="24"/>
        </w:rPr>
        <w:t>ing</w:t>
      </w:r>
      <w:r w:rsidR="005338BD">
        <w:rPr>
          <w:rFonts w:cs="Times New Roman"/>
          <w:sz w:val="24"/>
          <w:szCs w:val="24"/>
        </w:rPr>
        <w:t xml:space="preserve"> the fact that in the </w:t>
      </w:r>
      <w:r w:rsidR="000877EA">
        <w:rPr>
          <w:rFonts w:cs="Times New Roman"/>
          <w:sz w:val="24"/>
          <w:szCs w:val="24"/>
        </w:rPr>
        <w:t xml:space="preserve">UK’s </w:t>
      </w:r>
      <w:r w:rsidR="005338BD">
        <w:rPr>
          <w:rFonts w:cs="Times New Roman"/>
          <w:sz w:val="24"/>
          <w:szCs w:val="24"/>
        </w:rPr>
        <w:t>quasi-federal union of different nations half the constituent territories voted to leave and half to remain</w:t>
      </w:r>
      <w:r w:rsidR="00B13EA7">
        <w:rPr>
          <w:rFonts w:cs="Times New Roman"/>
          <w:sz w:val="24"/>
          <w:szCs w:val="24"/>
        </w:rPr>
        <w:t>, and in the intervening period</w:t>
      </w:r>
      <w:r w:rsidR="000877EA">
        <w:rPr>
          <w:rFonts w:cs="Times New Roman"/>
          <w:sz w:val="24"/>
          <w:szCs w:val="24"/>
        </w:rPr>
        <w:t xml:space="preserve"> subtly and politically different ‘aggregations’ and </w:t>
      </w:r>
      <w:proofErr w:type="spellStart"/>
      <w:r w:rsidR="000877EA">
        <w:rPr>
          <w:rFonts w:cs="Times New Roman"/>
          <w:sz w:val="24"/>
          <w:szCs w:val="24"/>
        </w:rPr>
        <w:t>scalings</w:t>
      </w:r>
      <w:proofErr w:type="spellEnd"/>
      <w:r w:rsidR="000877EA">
        <w:rPr>
          <w:rFonts w:cs="Times New Roman"/>
          <w:sz w:val="24"/>
          <w:szCs w:val="24"/>
        </w:rPr>
        <w:t xml:space="preserve"> of the results have been used to support </w:t>
      </w:r>
      <w:r w:rsidR="000877EA">
        <w:rPr>
          <w:rFonts w:cs="Times New Roman"/>
          <w:sz w:val="24"/>
          <w:szCs w:val="24"/>
        </w:rPr>
        <w:lastRenderedPageBreak/>
        <w:t xml:space="preserve">different positions. The powerful sentiment in some of the devolved territories, for example, has been that the UK government has sought to monopolise the management (such as this has occurred) of the response to the referendum result.  </w:t>
      </w:r>
      <w:r w:rsidR="00AF5C08">
        <w:rPr>
          <w:rFonts w:cs="Times New Roman"/>
          <w:sz w:val="24"/>
          <w:szCs w:val="24"/>
        </w:rPr>
        <w:t>This</w:t>
      </w:r>
      <w:r w:rsidR="003B3C88">
        <w:rPr>
          <w:rFonts w:cs="Times New Roman"/>
          <w:sz w:val="24"/>
          <w:szCs w:val="24"/>
        </w:rPr>
        <w:t xml:space="preserve"> </w:t>
      </w:r>
      <w:r w:rsidR="000877EA">
        <w:rPr>
          <w:rFonts w:cs="Times New Roman"/>
          <w:sz w:val="24"/>
          <w:szCs w:val="24"/>
        </w:rPr>
        <w:t xml:space="preserve">sentiment of marginalisation is, </w:t>
      </w:r>
      <w:r w:rsidR="003B3C88">
        <w:rPr>
          <w:rFonts w:cs="Times New Roman"/>
          <w:sz w:val="24"/>
          <w:szCs w:val="24"/>
        </w:rPr>
        <w:t xml:space="preserve">perhaps </w:t>
      </w:r>
      <w:r w:rsidR="000877EA">
        <w:rPr>
          <w:rFonts w:cs="Times New Roman"/>
          <w:sz w:val="24"/>
          <w:szCs w:val="24"/>
        </w:rPr>
        <w:t xml:space="preserve">unsurprisingly, </w:t>
      </w:r>
      <w:r w:rsidR="00AF5C08">
        <w:rPr>
          <w:rFonts w:cs="Times New Roman"/>
          <w:sz w:val="24"/>
          <w:szCs w:val="24"/>
        </w:rPr>
        <w:t xml:space="preserve">also </w:t>
      </w:r>
      <w:r w:rsidR="000877EA">
        <w:rPr>
          <w:rFonts w:cs="Times New Roman"/>
          <w:sz w:val="24"/>
          <w:szCs w:val="24"/>
        </w:rPr>
        <w:t>acutely felt in the UK’s largest territory</w:t>
      </w:r>
      <w:r w:rsidR="00AF5C08">
        <w:rPr>
          <w:rFonts w:cs="Times New Roman"/>
          <w:sz w:val="24"/>
          <w:szCs w:val="24"/>
        </w:rPr>
        <w:t>, England,</w:t>
      </w:r>
      <w:r w:rsidR="000877EA">
        <w:rPr>
          <w:rFonts w:cs="Times New Roman"/>
          <w:sz w:val="24"/>
          <w:szCs w:val="24"/>
        </w:rPr>
        <w:t xml:space="preserve"> where, for example, city regions with populations that exceed those of a number of EU member states have barely been consulted on the form that </w:t>
      </w:r>
      <w:r w:rsidR="003B3C88">
        <w:rPr>
          <w:rFonts w:cs="Times New Roman"/>
          <w:sz w:val="24"/>
          <w:szCs w:val="24"/>
        </w:rPr>
        <w:t>the process now known as</w:t>
      </w:r>
      <w:r w:rsidR="000877EA">
        <w:rPr>
          <w:rFonts w:cs="Times New Roman"/>
          <w:sz w:val="24"/>
          <w:szCs w:val="24"/>
        </w:rPr>
        <w:t xml:space="preserve"> ‘</w:t>
      </w:r>
      <w:proofErr w:type="spellStart"/>
      <w:r w:rsidR="000877EA">
        <w:rPr>
          <w:rFonts w:cs="Times New Roman"/>
          <w:sz w:val="24"/>
          <w:szCs w:val="24"/>
        </w:rPr>
        <w:t>Brexit</w:t>
      </w:r>
      <w:proofErr w:type="spellEnd"/>
      <w:r w:rsidR="000877EA">
        <w:rPr>
          <w:rFonts w:cs="Times New Roman"/>
          <w:sz w:val="24"/>
          <w:szCs w:val="24"/>
        </w:rPr>
        <w:t>’ from the EU  may take</w:t>
      </w:r>
      <w:r w:rsidR="00914453">
        <w:rPr>
          <w:rFonts w:cs="Times New Roman"/>
          <w:sz w:val="24"/>
          <w:szCs w:val="24"/>
        </w:rPr>
        <w:t xml:space="preserve"> </w:t>
      </w:r>
      <w:r w:rsidR="00811F83">
        <w:rPr>
          <w:rFonts w:cs="Times New Roman"/>
          <w:sz w:val="24"/>
          <w:szCs w:val="24"/>
        </w:rPr>
        <w:fldChar w:fldCharType="begin"/>
      </w:r>
      <w:r w:rsidR="00F35BB4">
        <w:rPr>
          <w:rFonts w:cs="Times New Roman"/>
          <w:sz w:val="24"/>
          <w:szCs w:val="24"/>
        </w:rPr>
        <w:instrText xml:space="preserve"> ADDIN EN.CITE &lt;EndNote&gt;&lt;Cite&gt;&lt;Author&gt;Rankin&lt;/Author&gt;&lt;Year&gt;2019&lt;/Year&gt;&lt;RecNum&gt;1548&lt;/RecNum&gt;&lt;DisplayText&gt;(Rankin, 2019)&lt;/DisplayText&gt;&lt;record&gt;&lt;rec-number&gt;1548&lt;/rec-number&gt;&lt;foreign-keys&gt;&lt;key app="EN" db-id="sf2v0zffie0st6edessvst0jrx50tz9rrwst" timestamp="1557332189"&gt;1548&lt;/key&gt;&lt;/foreign-keys&gt;&lt;ref-type name="Newspaper Article"&gt;23&lt;/ref-type&gt;&lt;contributors&gt;&lt;authors&gt;&lt;author&gt;Rankin, J.&lt;/author&gt;&lt;/authors&gt;&lt;/contributors&gt;&lt;titles&gt;&lt;title&gt;‘UK cities shut out of Brexit discussions, say leaders’&lt;/title&gt;&lt;secondary-title&gt;The Guardian&lt;/secondary-title&gt;&lt;/titles&gt;&lt;dates&gt;&lt;year&gt;2019&lt;/year&gt;&lt;/dates&gt;&lt;urls&gt;&lt;related-urls&gt;&lt;url&gt;&lt;style face="underline" font="default" size="100%"&gt;www.theguardian.com/politics/2018/feb/19/uk-citiesshut-out-of-brexit-discussions-say-leaders&lt;/style&gt;&lt;/url&gt;&lt;/related-urls&gt;&lt;/urls&gt;&lt;/record&gt;&lt;/Cite&gt;&lt;/EndNote&gt;</w:instrText>
      </w:r>
      <w:r w:rsidR="00811F83">
        <w:rPr>
          <w:rFonts w:cs="Times New Roman"/>
          <w:sz w:val="24"/>
          <w:szCs w:val="24"/>
        </w:rPr>
        <w:fldChar w:fldCharType="separate"/>
      </w:r>
      <w:r w:rsidR="00F35BB4">
        <w:rPr>
          <w:rFonts w:cs="Times New Roman"/>
          <w:noProof/>
          <w:sz w:val="24"/>
          <w:szCs w:val="24"/>
        </w:rPr>
        <w:t>(Rankin, 2019)</w:t>
      </w:r>
      <w:r w:rsidR="00811F83">
        <w:rPr>
          <w:rFonts w:cs="Times New Roman"/>
          <w:sz w:val="24"/>
          <w:szCs w:val="24"/>
        </w:rPr>
        <w:fldChar w:fldCharType="end"/>
      </w:r>
      <w:r w:rsidR="000877EA">
        <w:rPr>
          <w:rFonts w:cs="Times New Roman"/>
          <w:sz w:val="24"/>
          <w:szCs w:val="24"/>
        </w:rPr>
        <w:t xml:space="preserve">. </w:t>
      </w:r>
    </w:p>
    <w:p w14:paraId="46712E6B" w14:textId="7EE86071" w:rsidR="00B328D8" w:rsidRDefault="006B6AFB" w:rsidP="00175525">
      <w:pPr>
        <w:spacing w:after="0" w:line="276" w:lineRule="auto"/>
        <w:ind w:firstLine="567"/>
        <w:jc w:val="both"/>
        <w:rPr>
          <w:rFonts w:cs="Times New Roman"/>
          <w:sz w:val="24"/>
          <w:szCs w:val="24"/>
        </w:rPr>
      </w:pPr>
      <w:r>
        <w:rPr>
          <w:rFonts w:cs="Times New Roman"/>
          <w:sz w:val="24"/>
          <w:szCs w:val="24"/>
        </w:rPr>
        <w:t>In attempting to make sense of the referendum result, the</w:t>
      </w:r>
      <w:r w:rsidR="00E270D0">
        <w:rPr>
          <w:rFonts w:cs="Times New Roman"/>
          <w:sz w:val="24"/>
          <w:szCs w:val="24"/>
        </w:rPr>
        <w:t xml:space="preserve"> broader</w:t>
      </w:r>
      <w:r>
        <w:rPr>
          <w:rFonts w:cs="Times New Roman"/>
          <w:sz w:val="24"/>
          <w:szCs w:val="24"/>
        </w:rPr>
        <w:t xml:space="preserve"> discussion has been heavily coloured by other contemporaneous issues </w:t>
      </w:r>
      <w:r w:rsidR="00732CE9">
        <w:rPr>
          <w:rFonts w:cs="Times New Roman"/>
          <w:sz w:val="24"/>
          <w:szCs w:val="24"/>
        </w:rPr>
        <w:t xml:space="preserve">and </w:t>
      </w:r>
      <w:r w:rsidR="00732CE9" w:rsidRPr="00811F83">
        <w:rPr>
          <w:rFonts w:cs="Times New Roman"/>
          <w:sz w:val="24"/>
          <w:szCs w:val="24"/>
        </w:rPr>
        <w:t xml:space="preserve">value-based explanations </w:t>
      </w:r>
      <w:r w:rsidR="00811F83" w:rsidRPr="00811F83">
        <w:rPr>
          <w:rFonts w:cs="Times New Roman"/>
          <w:sz w:val="24"/>
          <w:szCs w:val="24"/>
        </w:rPr>
        <w:fldChar w:fldCharType="begin"/>
      </w:r>
      <w:r w:rsidR="00F35BB4">
        <w:rPr>
          <w:rFonts w:cs="Times New Roman"/>
          <w:sz w:val="24"/>
          <w:szCs w:val="24"/>
        </w:rPr>
        <w:instrText xml:space="preserve"> ADDIN EN.CITE &lt;EndNote&gt;&lt;Cite&gt;&lt;Author&gt;Kaufmann&lt;/Author&gt;&lt;Year&gt;2016&lt;/Year&gt;&lt;RecNum&gt;1549&lt;/RecNum&gt;&lt;DisplayText&gt;(Kaufmann, 2016)&lt;/DisplayText&gt;&lt;record&gt;&lt;rec-number&gt;1549&lt;/rec-number&gt;&lt;foreign-keys&gt;&lt;key app="EN" db-id="sf2v0zffie0st6edessvst0jrx50tz9rrwst" timestamp="1557332226"&gt;1549&lt;/key&gt;&lt;/foreign-keys&gt;&lt;ref-type name="Journal Article"&gt;17&lt;/ref-type&gt;&lt;contributors&gt;&lt;authors&gt;&lt;author&gt;Kaufmann, Eric&lt;/author&gt;&lt;/authors&gt;&lt;/contributors&gt;&lt;titles&gt;&lt;title&gt;It’s NOT the economy, stupid: Brexit as a story of personal values&lt;/title&gt;&lt;secondary-title&gt;British Politics and Policy at LSE&lt;/secondary-title&gt;&lt;/titles&gt;&lt;periodical&gt;&lt;full-title&gt;British Politics and Policy at LSE&lt;/full-title&gt;&lt;/periodical&gt;&lt;dates&gt;&lt;year&gt;2016&lt;/year&gt;&lt;/dates&gt;&lt;urls&gt;&lt;/urls&gt;&lt;/record&gt;&lt;/Cite&gt;&lt;/EndNote&gt;</w:instrText>
      </w:r>
      <w:r w:rsidR="00811F83" w:rsidRPr="00811F83">
        <w:rPr>
          <w:rFonts w:cs="Times New Roman"/>
          <w:sz w:val="24"/>
          <w:szCs w:val="24"/>
        </w:rPr>
        <w:fldChar w:fldCharType="separate"/>
      </w:r>
      <w:r w:rsidR="00F35BB4">
        <w:rPr>
          <w:rFonts w:cs="Times New Roman"/>
          <w:noProof/>
          <w:sz w:val="24"/>
          <w:szCs w:val="24"/>
        </w:rPr>
        <w:t>(Kaufmann, 2016)</w:t>
      </w:r>
      <w:r w:rsidR="00811F83" w:rsidRPr="00811F83">
        <w:rPr>
          <w:rFonts w:cs="Times New Roman"/>
          <w:sz w:val="24"/>
          <w:szCs w:val="24"/>
        </w:rPr>
        <w:fldChar w:fldCharType="end"/>
      </w:r>
      <w:r w:rsidR="00732CE9" w:rsidRPr="00811F83">
        <w:rPr>
          <w:rFonts w:cs="Times New Roman"/>
          <w:sz w:val="24"/>
          <w:szCs w:val="24"/>
        </w:rPr>
        <w:t xml:space="preserve"> </w:t>
      </w:r>
      <w:r w:rsidR="00EA0427" w:rsidRPr="00811F83">
        <w:rPr>
          <w:rFonts w:cs="Times New Roman"/>
          <w:sz w:val="24"/>
          <w:szCs w:val="24"/>
        </w:rPr>
        <w:t xml:space="preserve">which </w:t>
      </w:r>
      <w:r w:rsidRPr="00811F83">
        <w:rPr>
          <w:rFonts w:cs="Times New Roman"/>
          <w:sz w:val="24"/>
          <w:szCs w:val="24"/>
        </w:rPr>
        <w:t xml:space="preserve">only serve to </w:t>
      </w:r>
      <w:proofErr w:type="spellStart"/>
      <w:r w:rsidRPr="00811F83">
        <w:rPr>
          <w:rFonts w:cs="Times New Roman"/>
          <w:sz w:val="24"/>
          <w:szCs w:val="24"/>
        </w:rPr>
        <w:t>comp</w:t>
      </w:r>
      <w:r>
        <w:rPr>
          <w:rFonts w:cs="Times New Roman"/>
          <w:sz w:val="24"/>
          <w:szCs w:val="24"/>
        </w:rPr>
        <w:t>lexify</w:t>
      </w:r>
      <w:proofErr w:type="spellEnd"/>
      <w:r>
        <w:rPr>
          <w:rFonts w:cs="Times New Roman"/>
          <w:sz w:val="24"/>
          <w:szCs w:val="24"/>
        </w:rPr>
        <w:t xml:space="preserve"> territorial readings of Britain’s current predicament.  </w:t>
      </w:r>
      <w:r w:rsidR="00E270D0">
        <w:rPr>
          <w:rFonts w:cs="Times New Roman"/>
          <w:sz w:val="24"/>
          <w:szCs w:val="24"/>
        </w:rPr>
        <w:t xml:space="preserve">The most pervasive of these explanations is the presence of what has often been characterised as a ‘Left </w:t>
      </w:r>
      <w:proofErr w:type="gramStart"/>
      <w:r w:rsidR="00E76FFD">
        <w:rPr>
          <w:rFonts w:cs="Times New Roman"/>
          <w:sz w:val="24"/>
          <w:szCs w:val="24"/>
        </w:rPr>
        <w:t>Behind</w:t>
      </w:r>
      <w:proofErr w:type="gramEnd"/>
      <w:r w:rsidR="00E270D0">
        <w:rPr>
          <w:rFonts w:cs="Times New Roman"/>
          <w:sz w:val="24"/>
          <w:szCs w:val="24"/>
        </w:rPr>
        <w:t xml:space="preserve"> Britain’</w:t>
      </w:r>
      <w:r w:rsidR="00E76FFD">
        <w:rPr>
          <w:rFonts w:cs="Times New Roman"/>
          <w:sz w:val="24"/>
          <w:szCs w:val="24"/>
        </w:rPr>
        <w:t xml:space="preserve"> (LBB) – a group of people who feel disconnected from the broader success of the UK.  </w:t>
      </w:r>
      <w:r w:rsidR="00E270D0">
        <w:rPr>
          <w:rFonts w:cs="Times New Roman"/>
          <w:sz w:val="24"/>
          <w:szCs w:val="24"/>
        </w:rPr>
        <w:t xml:space="preserve"> </w:t>
      </w:r>
      <w:r w:rsidR="00175525">
        <w:rPr>
          <w:rFonts w:cs="Times New Roman"/>
          <w:sz w:val="24"/>
          <w:szCs w:val="24"/>
        </w:rPr>
        <w:t>Yet t</w:t>
      </w:r>
      <w:r w:rsidR="00E76FFD">
        <w:rPr>
          <w:rFonts w:cs="Times New Roman"/>
          <w:sz w:val="24"/>
          <w:szCs w:val="24"/>
        </w:rPr>
        <w:t xml:space="preserve">his LBB </w:t>
      </w:r>
      <w:r w:rsidR="00175525">
        <w:rPr>
          <w:rFonts w:cs="Times New Roman"/>
          <w:sz w:val="24"/>
          <w:szCs w:val="24"/>
        </w:rPr>
        <w:t>can present</w:t>
      </w:r>
      <w:r w:rsidR="00E76FFD">
        <w:rPr>
          <w:rFonts w:cs="Times New Roman"/>
          <w:sz w:val="24"/>
          <w:szCs w:val="24"/>
        </w:rPr>
        <w:t xml:space="preserve"> itself in many forms.  It can be characterised by communities which have been </w:t>
      </w:r>
      <w:r w:rsidR="00175525">
        <w:rPr>
          <w:rFonts w:cs="Times New Roman"/>
          <w:sz w:val="24"/>
          <w:szCs w:val="24"/>
        </w:rPr>
        <w:t xml:space="preserve">particularly </w:t>
      </w:r>
      <w:r w:rsidR="00E76FFD">
        <w:rPr>
          <w:rFonts w:cs="Times New Roman"/>
          <w:sz w:val="24"/>
          <w:szCs w:val="24"/>
        </w:rPr>
        <w:t xml:space="preserve">affected by </w:t>
      </w:r>
      <w:r w:rsidR="00175525">
        <w:rPr>
          <w:rFonts w:cs="Times New Roman"/>
          <w:sz w:val="24"/>
          <w:szCs w:val="24"/>
        </w:rPr>
        <w:t xml:space="preserve">economic shifts caused by </w:t>
      </w:r>
      <w:r w:rsidR="00E76FFD">
        <w:rPr>
          <w:rFonts w:cs="Times New Roman"/>
          <w:sz w:val="24"/>
          <w:szCs w:val="24"/>
        </w:rPr>
        <w:t xml:space="preserve">globalisation </w:t>
      </w:r>
      <w:r w:rsidR="00E76FFD">
        <w:rPr>
          <w:rFonts w:cs="Times New Roman"/>
          <w:sz w:val="24"/>
          <w:szCs w:val="24"/>
        </w:rPr>
        <w:fldChar w:fldCharType="begin"/>
      </w:r>
      <w:r w:rsidR="00F35BB4">
        <w:rPr>
          <w:rFonts w:cs="Times New Roman"/>
          <w:sz w:val="24"/>
          <w:szCs w:val="24"/>
        </w:rPr>
        <w:instrText xml:space="preserve"> ADDIN EN.CITE &lt;EndNote&gt;&lt;Cite&gt;&lt;Author&gt;Sturzaker&lt;/Author&gt;&lt;Year&gt;Forthcoming&lt;/Year&gt;&lt;RecNum&gt;1567&lt;/RecNum&gt;&lt;DisplayText&gt;(Sturzaker and Nurse, Forthcoming)&lt;/DisplayText&gt;&lt;record&gt;&lt;rec-number&gt;1567&lt;/rec-number&gt;&lt;foreign-keys&gt;&lt;key app="EN" db-id="sf2v0zffie0st6edessvst0jrx50tz9rrwst" timestamp="1557397407"&gt;1567&lt;/key&gt;&lt;/foreign-keys&gt;&lt;ref-type name="Book"&gt;6&lt;/ref-type&gt;&lt;contributors&gt;&lt;authors&gt;&lt;author&gt;Sturzaker, J.&lt;/author&gt;&lt;author&gt;Nurse, A&lt;/author&gt;&lt;/authors&gt;&lt;/contributors&gt;&lt;titles&gt;&lt;title&gt;Rescaling Urban Governance – Planning, Localism and Institutional Change&lt;/title&gt;&lt;/titles&gt;&lt;dates&gt;&lt;year&gt;Forthcoming&lt;/year&gt;&lt;/dates&gt;&lt;pub-location&gt;Bristol&lt;/pub-location&gt;&lt;publisher&gt;Policy Press&lt;/publisher&gt;&lt;urls&gt;&lt;/urls&gt;&lt;/record&gt;&lt;/Cite&gt;&lt;/EndNote&gt;</w:instrText>
      </w:r>
      <w:r w:rsidR="00E76FFD">
        <w:rPr>
          <w:rFonts w:cs="Times New Roman"/>
          <w:sz w:val="24"/>
          <w:szCs w:val="24"/>
        </w:rPr>
        <w:fldChar w:fldCharType="separate"/>
      </w:r>
      <w:r w:rsidR="00F35BB4">
        <w:rPr>
          <w:rFonts w:cs="Times New Roman"/>
          <w:noProof/>
          <w:sz w:val="24"/>
          <w:szCs w:val="24"/>
        </w:rPr>
        <w:t>(Sturzaker and Nurse, Forthcoming)</w:t>
      </w:r>
      <w:r w:rsidR="00E76FFD">
        <w:rPr>
          <w:rFonts w:cs="Times New Roman"/>
          <w:sz w:val="24"/>
          <w:szCs w:val="24"/>
        </w:rPr>
        <w:fldChar w:fldCharType="end"/>
      </w:r>
      <w:r w:rsidR="00175525">
        <w:rPr>
          <w:rFonts w:cs="Times New Roman"/>
          <w:sz w:val="24"/>
          <w:szCs w:val="24"/>
        </w:rPr>
        <w:t xml:space="preserve">, have seen their economic performance stagnate </w:t>
      </w:r>
      <w:r w:rsidR="00175525">
        <w:rPr>
          <w:rFonts w:cs="Times New Roman"/>
          <w:sz w:val="24"/>
          <w:szCs w:val="24"/>
        </w:rPr>
        <w:fldChar w:fldCharType="begin"/>
      </w:r>
      <w:r w:rsidR="00F35BB4">
        <w:rPr>
          <w:rFonts w:cs="Times New Roman"/>
          <w:sz w:val="24"/>
          <w:szCs w:val="24"/>
        </w:rPr>
        <w:instrText xml:space="preserve"> ADDIN EN.CITE &lt;EndNote&gt;&lt;Cite&gt;&lt;Author&gt;McCann&lt;/Author&gt;&lt;Year&gt;2016&lt;/Year&gt;&lt;RecNum&gt;796&lt;/RecNum&gt;&lt;DisplayText&gt;(McCann, 2016)&lt;/DisplayText&gt;&lt;record&gt;&lt;rec-number&gt;796&lt;/rec-number&gt;&lt;foreign-keys&gt;&lt;key app="EN" db-id="sf2v0zffie0st6edessvst0jrx50tz9rrwst" timestamp="1484840498"&gt;796&lt;/key&gt;&lt;/foreign-keys&gt;&lt;ref-type name="Book"&gt;6&lt;/ref-type&gt;&lt;contributors&gt;&lt;authors&gt;&lt;author&gt;McCann, P.&lt;/author&gt;&lt;/authors&gt;&lt;/contributors&gt;&lt;titles&gt;&lt;title&gt;The UK Regional-National Economic Problem&lt;/title&gt;&lt;/titles&gt;&lt;dates&gt;&lt;year&gt;2016&lt;/year&gt;&lt;/dates&gt;&lt;pub-location&gt;London&lt;/pub-location&gt;&lt;publisher&gt;Routledge&lt;/publisher&gt;&lt;urls&gt;&lt;/urls&gt;&lt;/record&gt;&lt;/Cite&gt;&lt;/EndNote&gt;</w:instrText>
      </w:r>
      <w:r w:rsidR="00175525">
        <w:rPr>
          <w:rFonts w:cs="Times New Roman"/>
          <w:sz w:val="24"/>
          <w:szCs w:val="24"/>
        </w:rPr>
        <w:fldChar w:fldCharType="separate"/>
      </w:r>
      <w:r w:rsidR="00F35BB4">
        <w:rPr>
          <w:rFonts w:cs="Times New Roman"/>
          <w:noProof/>
          <w:sz w:val="24"/>
          <w:szCs w:val="24"/>
        </w:rPr>
        <w:t>(McCann, 2016)</w:t>
      </w:r>
      <w:r w:rsidR="00175525">
        <w:rPr>
          <w:rFonts w:cs="Times New Roman"/>
          <w:sz w:val="24"/>
          <w:szCs w:val="24"/>
        </w:rPr>
        <w:fldChar w:fldCharType="end"/>
      </w:r>
      <w:r w:rsidR="00175525">
        <w:rPr>
          <w:rFonts w:cs="Times New Roman"/>
          <w:sz w:val="24"/>
          <w:szCs w:val="24"/>
        </w:rPr>
        <w:t xml:space="preserve">, and in which many people lack the qualifications </w:t>
      </w:r>
      <w:r w:rsidR="00175525">
        <w:rPr>
          <w:rFonts w:cs="Times New Roman"/>
          <w:sz w:val="24"/>
          <w:szCs w:val="24"/>
        </w:rPr>
        <w:fldChar w:fldCharType="begin"/>
      </w:r>
      <w:r w:rsidR="00F35BB4">
        <w:rPr>
          <w:rFonts w:cs="Times New Roman"/>
          <w:sz w:val="24"/>
          <w:szCs w:val="24"/>
        </w:rPr>
        <w:instrText xml:space="preserve"> ADDIN EN.CITE &lt;EndNote&gt;&lt;Cite&gt;&lt;Author&gt;Manley&lt;/Author&gt;&lt;Year&gt;2017&lt;/Year&gt;&lt;RecNum&gt;1547&lt;/RecNum&gt;&lt;DisplayText&gt;(Manley et al., 2017)&lt;/DisplayText&gt;&lt;record&gt;&lt;rec-number&gt;1547&lt;/rec-number&gt;&lt;foreign-keys&gt;&lt;key app="EN" db-id="sf2v0zffie0st6edessvst0jrx50tz9rrwst" timestamp="1557331732"&gt;1547&lt;/key&gt;&lt;/foreign-keys&gt;&lt;ref-type name="Journal Article"&gt;17&lt;/ref-type&gt;&lt;contributors&gt;&lt;authors&gt;&lt;author&gt;Manley, David&lt;/author&gt;&lt;author&gt;Jones, Kelvyn&lt;/author&gt;&lt;author&gt;Johnston, Ron&lt;/author&gt;&lt;/authors&gt;&lt;/contributors&gt;&lt;titles&gt;&lt;title&gt;The geography of Brexit–What geography? Modelling and predicting the outcome across 380 local authorities&lt;/title&gt;&lt;secondary-title&gt;Local Economy&lt;/secondary-title&gt;&lt;/titles&gt;&lt;periodical&gt;&lt;full-title&gt;Local Economy&lt;/full-title&gt;&lt;/periodical&gt;&lt;pages&gt;183-203&lt;/pages&gt;&lt;volume&gt;32&lt;/volume&gt;&lt;number&gt;3&lt;/number&gt;&lt;dates&gt;&lt;year&gt;2017&lt;/year&gt;&lt;/dates&gt;&lt;isbn&gt;0269-0942&lt;/isbn&gt;&lt;urls&gt;&lt;/urls&gt;&lt;/record&gt;&lt;/Cite&gt;&lt;/EndNote&gt;</w:instrText>
      </w:r>
      <w:r w:rsidR="00175525">
        <w:rPr>
          <w:rFonts w:cs="Times New Roman"/>
          <w:sz w:val="24"/>
          <w:szCs w:val="24"/>
        </w:rPr>
        <w:fldChar w:fldCharType="separate"/>
      </w:r>
      <w:r w:rsidR="00F35BB4">
        <w:rPr>
          <w:rFonts w:cs="Times New Roman"/>
          <w:noProof/>
          <w:sz w:val="24"/>
          <w:szCs w:val="24"/>
        </w:rPr>
        <w:t>(Manley et al., 2017)</w:t>
      </w:r>
      <w:r w:rsidR="00175525">
        <w:rPr>
          <w:rFonts w:cs="Times New Roman"/>
          <w:sz w:val="24"/>
          <w:szCs w:val="24"/>
        </w:rPr>
        <w:fldChar w:fldCharType="end"/>
      </w:r>
      <w:r w:rsidR="00175525">
        <w:rPr>
          <w:rFonts w:cs="Times New Roman"/>
          <w:sz w:val="24"/>
          <w:szCs w:val="24"/>
        </w:rPr>
        <w:t xml:space="preserve">  to access new economic opportunities e.g. in emerging sectors.  </w:t>
      </w:r>
    </w:p>
    <w:p w14:paraId="56B671E2" w14:textId="41643E15" w:rsidR="00B328D8" w:rsidRDefault="00175525" w:rsidP="00175525">
      <w:pPr>
        <w:spacing w:after="0" w:line="276" w:lineRule="auto"/>
        <w:ind w:firstLine="567"/>
        <w:jc w:val="both"/>
        <w:rPr>
          <w:rFonts w:cs="Times New Roman"/>
          <w:sz w:val="24"/>
          <w:szCs w:val="24"/>
        </w:rPr>
      </w:pPr>
      <w:r>
        <w:rPr>
          <w:rFonts w:cs="Times New Roman"/>
          <w:sz w:val="24"/>
          <w:szCs w:val="24"/>
        </w:rPr>
        <w:t>Another common reading</w:t>
      </w:r>
      <w:r w:rsidR="00B328D8">
        <w:rPr>
          <w:rFonts w:cs="Times New Roman"/>
          <w:sz w:val="24"/>
          <w:szCs w:val="24"/>
        </w:rPr>
        <w:t xml:space="preserve"> within the same narrative</w:t>
      </w:r>
      <w:r>
        <w:rPr>
          <w:rFonts w:cs="Times New Roman"/>
          <w:sz w:val="24"/>
          <w:szCs w:val="24"/>
        </w:rPr>
        <w:t xml:space="preserve"> is that LBB and the ‘</w:t>
      </w:r>
      <w:proofErr w:type="spellStart"/>
      <w:r>
        <w:rPr>
          <w:rFonts w:cs="Times New Roman"/>
          <w:sz w:val="24"/>
          <w:szCs w:val="24"/>
        </w:rPr>
        <w:t>Brexit</w:t>
      </w:r>
      <w:proofErr w:type="spellEnd"/>
      <w:r>
        <w:rPr>
          <w:rFonts w:cs="Times New Roman"/>
          <w:sz w:val="24"/>
          <w:szCs w:val="24"/>
        </w:rPr>
        <w:t xml:space="preserve">’ vote is a function of </w:t>
      </w:r>
      <w:r w:rsidR="000877EA">
        <w:rPr>
          <w:rFonts w:cs="Times New Roman"/>
          <w:sz w:val="24"/>
          <w:szCs w:val="24"/>
        </w:rPr>
        <w:t xml:space="preserve">a decade of regressive austerity which has affected local areas </w:t>
      </w:r>
      <w:r w:rsidR="00B328D8">
        <w:rPr>
          <w:rFonts w:cs="Times New Roman"/>
          <w:sz w:val="24"/>
          <w:szCs w:val="24"/>
        </w:rPr>
        <w:t xml:space="preserve">– particularly </w:t>
      </w:r>
      <w:r w:rsidR="000877EA">
        <w:rPr>
          <w:rFonts w:cs="Times New Roman"/>
          <w:sz w:val="24"/>
          <w:szCs w:val="24"/>
        </w:rPr>
        <w:t xml:space="preserve">in the northern parts of England </w:t>
      </w:r>
      <w:r w:rsidR="0018670C">
        <w:rPr>
          <w:rFonts w:cs="Times New Roman"/>
          <w:sz w:val="24"/>
          <w:szCs w:val="24"/>
        </w:rPr>
        <w:fldChar w:fldCharType="begin"/>
      </w:r>
      <w:r w:rsidR="00F35BB4">
        <w:rPr>
          <w:rFonts w:cs="Times New Roman"/>
          <w:sz w:val="24"/>
          <w:szCs w:val="24"/>
        </w:rPr>
        <w:instrText xml:space="preserve"> ADDIN EN.CITE &lt;EndNote&gt;&lt;Cite&gt;&lt;Author&gt;Centre for Cities&lt;/Author&gt;&lt;Year&gt;2019&lt;/Year&gt;&lt;RecNum&gt;1550&lt;/RecNum&gt;&lt;DisplayText&gt;(Centre for Cities, 2019)&lt;/DisplayText&gt;&lt;record&gt;&lt;rec-number&gt;1550&lt;/rec-number&gt;&lt;foreign-keys&gt;&lt;key app="EN" db-id="sf2v0zffie0st6edessvst0jrx50tz9rrwst" timestamp="1557332290"&gt;1550&lt;/key&gt;&lt;/foreign-keys&gt;&lt;ref-type name="Report"&gt;27&lt;/ref-type&gt;&lt;contributors&gt;&lt;authors&gt;&lt;author&gt;Centre for Cities,&lt;/author&gt;&lt;/authors&gt;&lt;/contributors&gt;&lt;titles&gt;&lt;title&gt;Cities Outlook 2019&lt;/title&gt;&lt;/titles&gt;&lt;dates&gt;&lt;year&gt;2019&lt;/year&gt;&lt;/dates&gt;&lt;pub-location&gt;London&lt;/pub-location&gt;&lt;publisher&gt;Centre for Cities&lt;/publisher&gt;&lt;urls&gt;&lt;/urls&gt;&lt;/record&gt;&lt;/Cite&gt;&lt;/EndNote&gt;</w:instrText>
      </w:r>
      <w:r w:rsidR="0018670C">
        <w:rPr>
          <w:rFonts w:cs="Times New Roman"/>
          <w:sz w:val="24"/>
          <w:szCs w:val="24"/>
        </w:rPr>
        <w:fldChar w:fldCharType="separate"/>
      </w:r>
      <w:r w:rsidR="00F35BB4">
        <w:rPr>
          <w:rFonts w:cs="Times New Roman"/>
          <w:noProof/>
          <w:sz w:val="24"/>
          <w:szCs w:val="24"/>
        </w:rPr>
        <w:t>(Centre for Cities, 2019)</w:t>
      </w:r>
      <w:r w:rsidR="0018670C">
        <w:rPr>
          <w:rFonts w:cs="Times New Roman"/>
          <w:sz w:val="24"/>
          <w:szCs w:val="24"/>
        </w:rPr>
        <w:fldChar w:fldCharType="end"/>
      </w:r>
      <w:r w:rsidR="006B6AFB">
        <w:rPr>
          <w:rFonts w:cs="Times New Roman"/>
          <w:sz w:val="24"/>
          <w:szCs w:val="24"/>
        </w:rPr>
        <w:t>.  The geographical effects of this austerity are, ironically, laid bare in figures relating to the next round of EU Cohesion Policy (2021 -2027)</w:t>
      </w:r>
      <w:r w:rsidR="001254D0">
        <w:rPr>
          <w:rFonts w:cs="Times New Roman"/>
          <w:sz w:val="24"/>
          <w:szCs w:val="24"/>
        </w:rPr>
        <w:t xml:space="preserve">, in which some areas – including many which voted to leave – could see their </w:t>
      </w:r>
      <w:r w:rsidR="002F4C5C">
        <w:rPr>
          <w:rFonts w:cs="Times New Roman"/>
          <w:sz w:val="24"/>
          <w:szCs w:val="24"/>
        </w:rPr>
        <w:t xml:space="preserve">EU regional </w:t>
      </w:r>
      <w:r w:rsidR="001254D0">
        <w:rPr>
          <w:rFonts w:cs="Times New Roman"/>
          <w:sz w:val="24"/>
          <w:szCs w:val="24"/>
        </w:rPr>
        <w:t>funding allocation</w:t>
      </w:r>
      <w:r w:rsidR="006B6AFB">
        <w:rPr>
          <w:rFonts w:cs="Times New Roman"/>
          <w:sz w:val="24"/>
          <w:szCs w:val="24"/>
        </w:rPr>
        <w:t xml:space="preserve"> increase </w:t>
      </w:r>
      <w:r w:rsidR="001254D0">
        <w:rPr>
          <w:rFonts w:cs="Times New Roman"/>
          <w:sz w:val="24"/>
          <w:szCs w:val="24"/>
        </w:rPr>
        <w:t>by</w:t>
      </w:r>
      <w:r w:rsidR="006B6AFB">
        <w:rPr>
          <w:rFonts w:cs="Times New Roman"/>
          <w:sz w:val="24"/>
          <w:szCs w:val="24"/>
        </w:rPr>
        <w:t xml:space="preserve"> around 22%</w:t>
      </w:r>
      <w:r w:rsidR="004F5FA1">
        <w:rPr>
          <w:rFonts w:cs="Times New Roman"/>
          <w:sz w:val="24"/>
          <w:szCs w:val="24"/>
        </w:rPr>
        <w:t xml:space="preserve"> </w:t>
      </w:r>
      <w:r w:rsidR="004F5FA1">
        <w:rPr>
          <w:rFonts w:cs="Times New Roman"/>
          <w:sz w:val="24"/>
          <w:szCs w:val="24"/>
        </w:rPr>
        <w:fldChar w:fldCharType="begin"/>
      </w:r>
      <w:r w:rsidR="004F5FA1">
        <w:rPr>
          <w:rFonts w:cs="Times New Roman"/>
          <w:sz w:val="24"/>
          <w:szCs w:val="24"/>
        </w:rPr>
        <w:instrText xml:space="preserve"> ADDIN EN.CITE &lt;EndNote&gt;&lt;Cite&gt;&lt;Author&gt;CPMR&lt;/Author&gt;&lt;Year&gt;2019&lt;/Year&gt;&lt;RecNum&gt;1569&lt;/RecNum&gt;&lt;DisplayText&gt;(CPMR, 2019)&lt;/DisplayText&gt;&lt;record&gt;&lt;rec-number&gt;1569&lt;/rec-number&gt;&lt;foreign-keys&gt;&lt;key app="EN" db-id="sf2v0zffie0st6edessvst0jrx50tz9rrwst" timestamp="1557398955"&gt;1569&lt;/key&gt;&lt;/foreign-keys&gt;&lt;ref-type name="Report"&gt;27&lt;/ref-type&gt;&lt;contributors&gt;&lt;authors&gt;&lt;author&gt;CPMR&lt;/author&gt;&lt;/authors&gt;&lt;/contributors&gt;&lt;titles&gt;&lt;title&gt;UK entitled to €13bn regional funding if it remains in EU&lt;/title&gt;&lt;/titles&gt;&lt;dates&gt;&lt;year&gt;2019&lt;/year&gt;&lt;/dates&gt;&lt;pub-location&gt;Brussels&lt;/pub-location&gt;&lt;publisher&gt;CPMR&lt;/publisher&gt;&lt;urls&gt;&lt;/urls&gt;&lt;/record&gt;&lt;/Cite&gt;&lt;/EndNote&gt;</w:instrText>
      </w:r>
      <w:r w:rsidR="004F5FA1">
        <w:rPr>
          <w:rFonts w:cs="Times New Roman"/>
          <w:sz w:val="24"/>
          <w:szCs w:val="24"/>
        </w:rPr>
        <w:fldChar w:fldCharType="separate"/>
      </w:r>
      <w:r w:rsidR="004F5FA1">
        <w:rPr>
          <w:rFonts w:cs="Times New Roman"/>
          <w:noProof/>
          <w:sz w:val="24"/>
          <w:szCs w:val="24"/>
        </w:rPr>
        <w:t>(CPMR, 2019)</w:t>
      </w:r>
      <w:r w:rsidR="004F5FA1">
        <w:rPr>
          <w:rFonts w:cs="Times New Roman"/>
          <w:sz w:val="24"/>
          <w:szCs w:val="24"/>
        </w:rPr>
        <w:fldChar w:fldCharType="end"/>
      </w:r>
      <w:r w:rsidR="006B6AFB">
        <w:rPr>
          <w:rFonts w:cs="Times New Roman"/>
          <w:sz w:val="24"/>
          <w:szCs w:val="24"/>
        </w:rPr>
        <w:t xml:space="preserve">. </w:t>
      </w:r>
      <w:r w:rsidR="001254D0">
        <w:rPr>
          <w:rFonts w:cs="Times New Roman"/>
          <w:sz w:val="24"/>
          <w:szCs w:val="24"/>
        </w:rPr>
        <w:t xml:space="preserve"> </w:t>
      </w:r>
      <w:r w:rsidR="00B33C94">
        <w:rPr>
          <w:rFonts w:cs="Times New Roman"/>
          <w:sz w:val="24"/>
          <w:szCs w:val="24"/>
        </w:rPr>
        <w:t>T</w:t>
      </w:r>
      <w:r w:rsidR="006B6AFB">
        <w:rPr>
          <w:rFonts w:cs="Times New Roman"/>
          <w:sz w:val="24"/>
          <w:szCs w:val="24"/>
        </w:rPr>
        <w:t xml:space="preserve">his increase in </w:t>
      </w:r>
      <w:r w:rsidR="00AF5C08">
        <w:rPr>
          <w:rFonts w:cs="Times New Roman"/>
          <w:sz w:val="24"/>
          <w:szCs w:val="24"/>
        </w:rPr>
        <w:t xml:space="preserve">funding </w:t>
      </w:r>
      <w:r w:rsidR="006B6AFB">
        <w:rPr>
          <w:rFonts w:cs="Times New Roman"/>
          <w:sz w:val="24"/>
          <w:szCs w:val="24"/>
        </w:rPr>
        <w:t xml:space="preserve">eligibility </w:t>
      </w:r>
      <w:r w:rsidR="001254D0">
        <w:rPr>
          <w:rFonts w:cs="Times New Roman"/>
          <w:sz w:val="24"/>
          <w:szCs w:val="24"/>
        </w:rPr>
        <w:t xml:space="preserve">is a reflection </w:t>
      </w:r>
      <w:r w:rsidR="002F4C5C">
        <w:rPr>
          <w:rFonts w:cs="Times New Roman"/>
          <w:sz w:val="24"/>
          <w:szCs w:val="24"/>
        </w:rPr>
        <w:t>of the stark reality that</w:t>
      </w:r>
      <w:r w:rsidR="001254D0">
        <w:rPr>
          <w:rFonts w:cs="Times New Roman"/>
          <w:sz w:val="24"/>
          <w:szCs w:val="24"/>
        </w:rPr>
        <w:t xml:space="preserve"> areas of the UK are, as in the 1980s, falling behind the EU average in terms of prosperity</w:t>
      </w:r>
      <w:r w:rsidR="00894E11">
        <w:rPr>
          <w:rFonts w:cs="Times New Roman"/>
          <w:sz w:val="24"/>
          <w:szCs w:val="24"/>
        </w:rPr>
        <w:t xml:space="preserve"> </w:t>
      </w:r>
      <w:r w:rsidR="00894E11">
        <w:rPr>
          <w:rFonts w:cs="Times New Roman"/>
          <w:sz w:val="24"/>
          <w:szCs w:val="24"/>
        </w:rPr>
        <w:fldChar w:fldCharType="begin"/>
      </w:r>
      <w:r w:rsidR="00894E11">
        <w:rPr>
          <w:rFonts w:cs="Times New Roman"/>
          <w:sz w:val="24"/>
          <w:szCs w:val="24"/>
        </w:rPr>
        <w:instrText xml:space="preserve"> ADDIN EN.CITE &lt;EndNote&gt;&lt;Cite&gt;&lt;Author&gt;Centre for Labour and Social Studies&lt;/Author&gt;&lt;Year&gt;2018&lt;/Year&gt;&lt;RecNum&gt;1551&lt;/RecNum&gt;&lt;DisplayText&gt;(Centre for Labour and Social Studies, 2018)&lt;/DisplayText&gt;&lt;record&gt;&lt;rec-number&gt;1551&lt;/rec-number&gt;&lt;foreign-keys&gt;&lt;key app="EN" db-id="sf2v0zffie0st6edessvst0jrx50tz9rrwst" timestamp="1557332398"&gt;1551&lt;/key&gt;&lt;/foreign-keys&gt;&lt;ref-type name="Edited Book"&gt;28&lt;/ref-type&gt;&lt;contributors&gt;&lt;authors&gt;&lt;author&gt;Centre for Labour and Social Studies,&lt;/author&gt;&lt;/authors&gt;&lt;/contributors&gt;&lt;titles&gt;&lt;title&gt;The Great British Regression: Brexit and Inequality&lt;/title&gt;&lt;/titles&gt;&lt;dates&gt;&lt;year&gt;2018&lt;/year&gt;&lt;/dates&gt;&lt;publisher&gt;CLASS&lt;/publisher&gt;&lt;urls&gt;&lt;/urls&gt;&lt;/record&gt;&lt;/Cite&gt;&lt;/EndNote&gt;</w:instrText>
      </w:r>
      <w:r w:rsidR="00894E11">
        <w:rPr>
          <w:rFonts w:cs="Times New Roman"/>
          <w:sz w:val="24"/>
          <w:szCs w:val="24"/>
        </w:rPr>
        <w:fldChar w:fldCharType="separate"/>
      </w:r>
      <w:r w:rsidR="00894E11">
        <w:rPr>
          <w:rFonts w:cs="Times New Roman"/>
          <w:noProof/>
          <w:sz w:val="24"/>
          <w:szCs w:val="24"/>
        </w:rPr>
        <w:t>(Centre for Labour and Social Studies, 2018)</w:t>
      </w:r>
      <w:r w:rsidR="00894E11">
        <w:rPr>
          <w:rFonts w:cs="Times New Roman"/>
          <w:sz w:val="24"/>
          <w:szCs w:val="24"/>
        </w:rPr>
        <w:fldChar w:fldCharType="end"/>
      </w:r>
      <w:r w:rsidR="001254D0">
        <w:rPr>
          <w:rFonts w:cs="Times New Roman"/>
          <w:sz w:val="24"/>
          <w:szCs w:val="24"/>
        </w:rPr>
        <w:t>.</w:t>
      </w:r>
      <w:r w:rsidR="007D4E8E">
        <w:rPr>
          <w:rFonts w:cs="Times New Roman"/>
          <w:sz w:val="24"/>
          <w:szCs w:val="24"/>
        </w:rPr>
        <w:t xml:space="preserve">  This is problematic policy</w:t>
      </w:r>
      <w:r w:rsidR="00AF5C08">
        <w:rPr>
          <w:rFonts w:cs="Times New Roman"/>
          <w:sz w:val="24"/>
          <w:szCs w:val="24"/>
        </w:rPr>
        <w:t>-</w:t>
      </w:r>
      <w:r w:rsidR="007D4E8E">
        <w:rPr>
          <w:rFonts w:cs="Times New Roman"/>
          <w:sz w:val="24"/>
          <w:szCs w:val="24"/>
        </w:rPr>
        <w:t xml:space="preserve">wise, not least in the face of the nationally proposed replacement initiatives for EU Cohesion funding such as the </w:t>
      </w:r>
      <w:r w:rsidR="00894E11">
        <w:rPr>
          <w:rFonts w:cs="Times New Roman"/>
          <w:sz w:val="24"/>
          <w:szCs w:val="24"/>
        </w:rPr>
        <w:t xml:space="preserve">UK </w:t>
      </w:r>
      <w:r w:rsidR="00A01418">
        <w:rPr>
          <w:rFonts w:cs="Times New Roman"/>
          <w:sz w:val="24"/>
          <w:szCs w:val="24"/>
        </w:rPr>
        <w:t xml:space="preserve">Shared Prosperity Fund </w:t>
      </w:r>
      <w:r w:rsidR="00A01418">
        <w:rPr>
          <w:rFonts w:cs="Times New Roman"/>
          <w:sz w:val="24"/>
          <w:szCs w:val="24"/>
        </w:rPr>
        <w:fldChar w:fldCharType="begin"/>
      </w:r>
      <w:r w:rsidR="00A01418">
        <w:rPr>
          <w:rFonts w:cs="Times New Roman"/>
          <w:sz w:val="24"/>
          <w:szCs w:val="24"/>
        </w:rPr>
        <w:instrText xml:space="preserve"> ADDIN EN.CITE &lt;EndNote&gt;&lt;Cite&gt;&lt;Author&gt;Brien&lt;/Author&gt;&lt;Year&gt;2019&lt;/Year&gt;&lt;RecNum&gt;1596&lt;/RecNum&gt;&lt;DisplayText&gt;(Brien, 2019)&lt;/DisplayText&gt;&lt;record&gt;&lt;rec-number&gt;1596&lt;/rec-number&gt;&lt;foreign-keys&gt;&lt;key app="EN" db-id="sf2v0zffie0st6edessvst0jrx50tz9rrwst" timestamp="1568800429"&gt;1596&lt;/key&gt;&lt;/foreign-keys&gt;&lt;ref-type name="Report"&gt;27&lt;/ref-type&gt;&lt;contributors&gt;&lt;authors&gt;&lt;author&gt;Brien, P.&lt;/author&gt;&lt;/authors&gt;&lt;/contributors&gt;&lt;titles&gt;&lt;title&gt;The UK Shared Prosperity Fund&lt;/title&gt;&lt;/titles&gt;&lt;dates&gt;&lt;year&gt;2019&lt;/year&gt;&lt;/dates&gt;&lt;pub-location&gt;London&lt;/pub-location&gt;&lt;publisher&gt;House of Commons Library&lt;/publisher&gt;&lt;urls&gt;&lt;/urls&gt;&lt;/record&gt;&lt;/Cite&gt;&lt;/EndNote&gt;</w:instrText>
      </w:r>
      <w:r w:rsidR="00A01418">
        <w:rPr>
          <w:rFonts w:cs="Times New Roman"/>
          <w:sz w:val="24"/>
          <w:szCs w:val="24"/>
        </w:rPr>
        <w:fldChar w:fldCharType="separate"/>
      </w:r>
      <w:r w:rsidR="00A01418">
        <w:rPr>
          <w:rFonts w:cs="Times New Roman"/>
          <w:noProof/>
          <w:sz w:val="24"/>
          <w:szCs w:val="24"/>
        </w:rPr>
        <w:t>(Brien, 2019)</w:t>
      </w:r>
      <w:r w:rsidR="00A01418">
        <w:rPr>
          <w:rFonts w:cs="Times New Roman"/>
          <w:sz w:val="24"/>
          <w:szCs w:val="24"/>
        </w:rPr>
        <w:fldChar w:fldCharType="end"/>
      </w:r>
      <w:r w:rsidR="00894E11">
        <w:rPr>
          <w:rFonts w:cs="Times New Roman"/>
          <w:sz w:val="24"/>
          <w:szCs w:val="24"/>
        </w:rPr>
        <w:t>. The latter is</w:t>
      </w:r>
      <w:r w:rsidR="00D13DEC">
        <w:rPr>
          <w:rFonts w:cs="Times New Roman"/>
          <w:sz w:val="24"/>
          <w:szCs w:val="24"/>
        </w:rPr>
        <w:t xml:space="preserve"> </w:t>
      </w:r>
      <w:r w:rsidR="00A01418">
        <w:rPr>
          <w:rFonts w:cs="Times New Roman"/>
          <w:sz w:val="24"/>
          <w:szCs w:val="24"/>
        </w:rPr>
        <w:t>still in its gestational stages</w:t>
      </w:r>
      <w:r w:rsidR="00894E11" w:rsidRPr="00894E11">
        <w:rPr>
          <w:rFonts w:cs="Times New Roman"/>
          <w:sz w:val="24"/>
          <w:szCs w:val="24"/>
        </w:rPr>
        <w:t xml:space="preserve"> </w:t>
      </w:r>
      <w:r w:rsidR="00894E11">
        <w:rPr>
          <w:rFonts w:cs="Times New Roman"/>
          <w:sz w:val="24"/>
          <w:szCs w:val="24"/>
        </w:rPr>
        <w:t>with a paucity of information in the public domain about the timing of its launch and its quantum</w:t>
      </w:r>
      <w:r w:rsidR="00803059">
        <w:rPr>
          <w:rFonts w:cs="Times New Roman"/>
          <w:sz w:val="24"/>
          <w:szCs w:val="24"/>
        </w:rPr>
        <w:t xml:space="preserve">. If eventually launched it will </w:t>
      </w:r>
      <w:r w:rsidR="001A17D0">
        <w:rPr>
          <w:rFonts w:cs="Times New Roman"/>
          <w:sz w:val="24"/>
          <w:szCs w:val="24"/>
        </w:rPr>
        <w:t xml:space="preserve">face scrutiny </w:t>
      </w:r>
      <w:r w:rsidR="00803059">
        <w:rPr>
          <w:rFonts w:cs="Times New Roman"/>
          <w:sz w:val="24"/>
          <w:szCs w:val="24"/>
        </w:rPr>
        <w:t>in terms of</w:t>
      </w:r>
      <w:r w:rsidR="001A17D0">
        <w:rPr>
          <w:rFonts w:cs="Times New Roman"/>
          <w:sz w:val="24"/>
          <w:szCs w:val="24"/>
        </w:rPr>
        <w:t xml:space="preserve"> how it m</w:t>
      </w:r>
      <w:r w:rsidR="00803059">
        <w:rPr>
          <w:rFonts w:cs="Times New Roman"/>
          <w:sz w:val="24"/>
          <w:szCs w:val="24"/>
        </w:rPr>
        <w:t>easures up to the potentially foregone multi-annual support from EU structural and investment funds</w:t>
      </w:r>
      <w:r w:rsidR="001A17D0">
        <w:rPr>
          <w:rFonts w:cs="Times New Roman"/>
          <w:sz w:val="24"/>
          <w:szCs w:val="24"/>
        </w:rPr>
        <w:t xml:space="preserve">. </w:t>
      </w:r>
      <w:r w:rsidR="00803059">
        <w:rPr>
          <w:rFonts w:cs="Times New Roman"/>
          <w:sz w:val="24"/>
          <w:szCs w:val="24"/>
        </w:rPr>
        <w:t xml:space="preserve">The political salience of the LBB narrative is also reflected in </w:t>
      </w:r>
      <w:r w:rsidR="00A01418">
        <w:rPr>
          <w:rFonts w:cs="Times New Roman"/>
          <w:sz w:val="24"/>
          <w:szCs w:val="24"/>
        </w:rPr>
        <w:t xml:space="preserve">the </w:t>
      </w:r>
      <w:r w:rsidR="007D4E8E">
        <w:rPr>
          <w:rFonts w:cs="Times New Roman"/>
          <w:sz w:val="24"/>
          <w:szCs w:val="24"/>
        </w:rPr>
        <w:t>‘Stronger Towns’ fund</w:t>
      </w:r>
      <w:r w:rsidR="00AF5C08">
        <w:rPr>
          <w:rFonts w:cs="Times New Roman"/>
          <w:sz w:val="24"/>
          <w:szCs w:val="24"/>
        </w:rPr>
        <w:t>,</w:t>
      </w:r>
      <w:r w:rsidR="007D4E8E">
        <w:rPr>
          <w:rFonts w:cs="Times New Roman"/>
          <w:sz w:val="24"/>
          <w:szCs w:val="24"/>
        </w:rPr>
        <w:t xml:space="preserve"> </w:t>
      </w:r>
      <w:r w:rsidR="00A01418">
        <w:rPr>
          <w:rFonts w:cs="Times New Roman"/>
          <w:sz w:val="24"/>
          <w:szCs w:val="24"/>
        </w:rPr>
        <w:t xml:space="preserve">first </w:t>
      </w:r>
      <w:r w:rsidR="007D4E8E">
        <w:rPr>
          <w:rFonts w:cs="Times New Roman"/>
          <w:sz w:val="24"/>
          <w:szCs w:val="24"/>
        </w:rPr>
        <w:t xml:space="preserve">announced in March </w:t>
      </w:r>
      <w:r w:rsidR="00803059">
        <w:rPr>
          <w:rFonts w:cs="Times New Roman"/>
          <w:sz w:val="24"/>
          <w:szCs w:val="24"/>
        </w:rPr>
        <w:t xml:space="preserve">and </w:t>
      </w:r>
      <w:r w:rsidR="00180839">
        <w:rPr>
          <w:rFonts w:cs="Times New Roman"/>
          <w:sz w:val="24"/>
          <w:szCs w:val="24"/>
        </w:rPr>
        <w:t xml:space="preserve">later rebranded </w:t>
      </w:r>
      <w:r w:rsidR="00803059">
        <w:rPr>
          <w:rFonts w:cs="Times New Roman"/>
          <w:sz w:val="24"/>
          <w:szCs w:val="24"/>
        </w:rPr>
        <w:t xml:space="preserve">as </w:t>
      </w:r>
      <w:r w:rsidR="00180839">
        <w:rPr>
          <w:rFonts w:cs="Times New Roman"/>
          <w:sz w:val="24"/>
          <w:szCs w:val="24"/>
        </w:rPr>
        <w:t xml:space="preserve">simply </w:t>
      </w:r>
      <w:r w:rsidR="00803059">
        <w:rPr>
          <w:rFonts w:cs="Times New Roman"/>
          <w:sz w:val="24"/>
          <w:szCs w:val="24"/>
        </w:rPr>
        <w:t>the ‘Towns Fund’</w:t>
      </w:r>
      <w:r w:rsidR="00D13DEC">
        <w:rPr>
          <w:rFonts w:cs="Times New Roman"/>
          <w:sz w:val="24"/>
          <w:szCs w:val="24"/>
        </w:rPr>
        <w:t xml:space="preserve"> </w:t>
      </w:r>
      <w:r w:rsidR="000775C1">
        <w:rPr>
          <w:rFonts w:cs="Times New Roman"/>
          <w:sz w:val="24"/>
          <w:szCs w:val="24"/>
        </w:rPr>
        <w:fldChar w:fldCharType="begin"/>
      </w:r>
      <w:r w:rsidR="000775C1">
        <w:rPr>
          <w:rFonts w:cs="Times New Roman"/>
          <w:sz w:val="24"/>
          <w:szCs w:val="24"/>
        </w:rPr>
        <w:instrText xml:space="preserve"> ADDIN EN.CITE &lt;EndNote&gt;&lt;Cite&gt;&lt;Author&gt;MHCLG&lt;/Author&gt;&lt;Year&gt;2019&lt;/Year&gt;&lt;RecNum&gt;1597&lt;/RecNum&gt;&lt;DisplayText&gt;(MHCLG, 2019)&lt;/DisplayText&gt;&lt;record&gt;&lt;rec-number&gt;1597&lt;/rec-number&gt;&lt;foreign-keys&gt;&lt;key app="EN" db-id="sf2v0zffie0st6edessvst0jrx50tz9rrwst" timestamp="1568822210"&gt;1597&lt;/key&gt;&lt;/foreign-keys&gt;&lt;ref-type name="Press Release"&gt;63&lt;/ref-type&gt;&lt;contributors&gt;&lt;authors&gt;&lt;author&gt;MHCLG&lt;/author&gt;&lt;/authors&gt;&lt;/contributors&gt;&lt;titles&gt;&lt;title&gt;100 places to benefit from new Towns Fund &lt;/title&gt;&lt;/titles&gt;&lt;dates&gt;&lt;year&gt;2019&lt;/year&gt;&lt;/dates&gt;&lt;pub-location&gt;London&lt;/pub-location&gt;&lt;publisher&gt;Ministry for Housing, Communities and Local Government&lt;/publisher&gt;&lt;urls&gt;&lt;related-urls&gt;&lt;url&gt;&lt;style face="underline" font="default" size="100%"&gt;https://www.gov.uk/government/news/100-places-to-benefit-from-new-towns-fund&lt;/style&gt;&lt;/url&gt;&lt;/related-urls&gt;&lt;/urls&gt;&lt;access-date&gt;18th September 2019&lt;/access-date&gt;&lt;/record&gt;&lt;/Cite&gt;&lt;/EndNote&gt;</w:instrText>
      </w:r>
      <w:r w:rsidR="000775C1">
        <w:rPr>
          <w:rFonts w:cs="Times New Roman"/>
          <w:sz w:val="24"/>
          <w:szCs w:val="24"/>
        </w:rPr>
        <w:fldChar w:fldCharType="separate"/>
      </w:r>
      <w:r w:rsidR="000775C1">
        <w:rPr>
          <w:rFonts w:cs="Times New Roman"/>
          <w:noProof/>
          <w:sz w:val="24"/>
          <w:szCs w:val="24"/>
        </w:rPr>
        <w:t>(MHCLG, 2019)</w:t>
      </w:r>
      <w:r w:rsidR="000775C1">
        <w:rPr>
          <w:rFonts w:cs="Times New Roman"/>
          <w:sz w:val="24"/>
          <w:szCs w:val="24"/>
        </w:rPr>
        <w:fldChar w:fldCharType="end"/>
      </w:r>
      <w:r w:rsidR="000775C1">
        <w:rPr>
          <w:rFonts w:cs="Times New Roman"/>
          <w:sz w:val="24"/>
          <w:szCs w:val="24"/>
        </w:rPr>
        <w:t>, where</w:t>
      </w:r>
      <w:r w:rsidR="00803059">
        <w:rPr>
          <w:rFonts w:cs="Times New Roman"/>
          <w:sz w:val="24"/>
          <w:szCs w:val="24"/>
        </w:rPr>
        <w:t xml:space="preserve"> </w:t>
      </w:r>
      <w:r w:rsidR="000775C1">
        <w:rPr>
          <w:rFonts w:cs="Times New Roman"/>
          <w:sz w:val="24"/>
          <w:szCs w:val="24"/>
        </w:rPr>
        <w:t>i</w:t>
      </w:r>
      <w:r w:rsidR="00803059">
        <w:rPr>
          <w:rFonts w:cs="Times New Roman"/>
          <w:sz w:val="24"/>
          <w:szCs w:val="24"/>
        </w:rPr>
        <w:t xml:space="preserve">t has been </w:t>
      </w:r>
      <w:r w:rsidR="000775C1">
        <w:rPr>
          <w:rFonts w:cs="Times New Roman"/>
          <w:sz w:val="24"/>
          <w:szCs w:val="24"/>
        </w:rPr>
        <w:t>calculated</w:t>
      </w:r>
      <w:r w:rsidR="00803059">
        <w:rPr>
          <w:rFonts w:cs="Times New Roman"/>
          <w:sz w:val="24"/>
          <w:szCs w:val="24"/>
        </w:rPr>
        <w:t xml:space="preserve"> that</w:t>
      </w:r>
      <w:r w:rsidR="00A01418">
        <w:rPr>
          <w:rFonts w:cs="Times New Roman"/>
          <w:sz w:val="24"/>
          <w:szCs w:val="24"/>
        </w:rPr>
        <w:t xml:space="preserve"> 94 of </w:t>
      </w:r>
      <w:r w:rsidR="00803059">
        <w:rPr>
          <w:rFonts w:cs="Times New Roman"/>
          <w:sz w:val="24"/>
          <w:szCs w:val="24"/>
        </w:rPr>
        <w:t xml:space="preserve">the </w:t>
      </w:r>
      <w:r w:rsidR="00A01418">
        <w:rPr>
          <w:rFonts w:cs="Times New Roman"/>
          <w:sz w:val="24"/>
          <w:szCs w:val="24"/>
        </w:rPr>
        <w:t xml:space="preserve">100 towns slated to receive funds </w:t>
      </w:r>
      <w:r w:rsidR="00180839">
        <w:rPr>
          <w:rFonts w:cs="Times New Roman"/>
          <w:sz w:val="24"/>
          <w:szCs w:val="24"/>
        </w:rPr>
        <w:t xml:space="preserve">from this </w:t>
      </w:r>
      <w:r w:rsidR="00A01418">
        <w:rPr>
          <w:rFonts w:cs="Times New Roman"/>
          <w:sz w:val="24"/>
          <w:szCs w:val="24"/>
        </w:rPr>
        <w:t xml:space="preserve">voted to Leave </w:t>
      </w:r>
      <w:r w:rsidR="00A01418">
        <w:rPr>
          <w:rFonts w:cs="Times New Roman"/>
          <w:sz w:val="24"/>
          <w:szCs w:val="24"/>
        </w:rPr>
        <w:fldChar w:fldCharType="begin"/>
      </w:r>
      <w:r w:rsidR="00A01418">
        <w:rPr>
          <w:rFonts w:cs="Times New Roman"/>
          <w:sz w:val="24"/>
          <w:szCs w:val="24"/>
        </w:rPr>
        <w:instrText xml:space="preserve"> ADDIN EN.CITE &lt;EndNote&gt;&lt;Cite&gt;&lt;Author&gt;Williams&lt;/Author&gt;&lt;Year&gt;2019&lt;/Year&gt;&lt;RecNum&gt;1595&lt;/RecNum&gt;&lt;DisplayText&gt;(Williams, 2019)&lt;/DisplayText&gt;&lt;record&gt;&lt;rec-number&gt;1595&lt;/rec-number&gt;&lt;foreign-keys&gt;&lt;key app="EN" db-id="sf2v0zffie0st6edessvst0jrx50tz9rrwst" timestamp="1568800020"&gt;1595&lt;/key&gt;&lt;/foreign-keys&gt;&lt;ref-type name="Newspaper Article"&gt;23&lt;/ref-type&gt;&lt;contributors&gt;&lt;authors&gt;&lt;author&gt;Williams, J.&lt;/author&gt;&lt;/authors&gt;&lt;/contributors&gt;&lt;titles&gt;&lt;title&gt;Why Boris Johnson’s choice of ‘left-behind towns’ may have also laid bare his election masterplan&lt;/title&gt;&lt;secondary-title&gt;Manchester Evening News&lt;/secondary-title&gt;&lt;/titles&gt;&lt;dates&gt;&lt;year&gt;2019&lt;/year&gt;&lt;/dates&gt;&lt;pub-location&gt;Manchester&lt;/pub-location&gt;&lt;urls&gt;&lt;related-urls&gt;&lt;url&gt;&lt;style face="underline" font="default" size="100%"&gt;https://www.manchestereveningnews.co.uk/news/greater-manchester-news/boris-johnsons-choice-left-behind-16891216&lt;/style&gt;&lt;/url&gt;&lt;/related-urls&gt;&lt;/urls&gt;&lt;/record&gt;&lt;/Cite&gt;&lt;/EndNote&gt;</w:instrText>
      </w:r>
      <w:r w:rsidR="00A01418">
        <w:rPr>
          <w:rFonts w:cs="Times New Roman"/>
          <w:sz w:val="24"/>
          <w:szCs w:val="24"/>
        </w:rPr>
        <w:fldChar w:fldCharType="separate"/>
      </w:r>
      <w:r w:rsidR="00A01418">
        <w:rPr>
          <w:rFonts w:cs="Times New Roman"/>
          <w:noProof/>
          <w:sz w:val="24"/>
          <w:szCs w:val="24"/>
        </w:rPr>
        <w:t>(Williams, 2019)</w:t>
      </w:r>
      <w:r w:rsidR="00A01418">
        <w:rPr>
          <w:rFonts w:cs="Times New Roman"/>
          <w:sz w:val="24"/>
          <w:szCs w:val="24"/>
        </w:rPr>
        <w:fldChar w:fldCharType="end"/>
      </w:r>
      <w:r w:rsidR="007D4E8E">
        <w:rPr>
          <w:rFonts w:cs="Times New Roman"/>
          <w:sz w:val="24"/>
          <w:szCs w:val="24"/>
        </w:rPr>
        <w:t xml:space="preserve">. </w:t>
      </w:r>
    </w:p>
    <w:p w14:paraId="55D22BBD" w14:textId="041B3D6D" w:rsidR="005D43FC" w:rsidRPr="00AF5C08" w:rsidRDefault="00FD66E6" w:rsidP="00AF5C08">
      <w:pPr>
        <w:spacing w:after="0" w:line="276" w:lineRule="auto"/>
        <w:ind w:firstLine="567"/>
        <w:jc w:val="both"/>
        <w:rPr>
          <w:rFonts w:cs="Times New Roman"/>
          <w:sz w:val="24"/>
          <w:szCs w:val="24"/>
        </w:rPr>
      </w:pPr>
      <w:r>
        <w:rPr>
          <w:rFonts w:cs="Times New Roman"/>
          <w:sz w:val="24"/>
          <w:szCs w:val="24"/>
        </w:rPr>
        <w:t>T</w:t>
      </w:r>
      <w:r w:rsidR="00EF7BD0">
        <w:rPr>
          <w:rFonts w:cs="Times New Roman"/>
          <w:sz w:val="24"/>
          <w:szCs w:val="24"/>
        </w:rPr>
        <w:t xml:space="preserve">he focus on ‘Left </w:t>
      </w:r>
      <w:r w:rsidR="005B1B62">
        <w:rPr>
          <w:rFonts w:cs="Times New Roman"/>
          <w:sz w:val="24"/>
          <w:szCs w:val="24"/>
        </w:rPr>
        <w:t>B</w:t>
      </w:r>
      <w:r w:rsidR="00EF7BD0">
        <w:rPr>
          <w:rFonts w:cs="Times New Roman"/>
          <w:sz w:val="24"/>
          <w:szCs w:val="24"/>
        </w:rPr>
        <w:t>ehind Britain’ is on</w:t>
      </w:r>
      <w:r w:rsidR="009B11F6">
        <w:rPr>
          <w:rFonts w:cs="Times New Roman"/>
          <w:sz w:val="24"/>
          <w:szCs w:val="24"/>
        </w:rPr>
        <w:t>ly</w:t>
      </w:r>
      <w:r w:rsidR="00EF7BD0">
        <w:rPr>
          <w:rFonts w:cs="Times New Roman"/>
          <w:sz w:val="24"/>
          <w:szCs w:val="24"/>
        </w:rPr>
        <w:t xml:space="preserve"> one reading of the territoriality of the referendum result</w:t>
      </w:r>
      <w:r>
        <w:rPr>
          <w:rFonts w:cs="Times New Roman"/>
          <w:sz w:val="24"/>
          <w:szCs w:val="24"/>
        </w:rPr>
        <w:t xml:space="preserve">, yet as </w:t>
      </w:r>
      <w:r w:rsidR="0018670C">
        <w:rPr>
          <w:rFonts w:cs="Times New Roman"/>
          <w:sz w:val="24"/>
          <w:szCs w:val="24"/>
        </w:rPr>
        <w:fldChar w:fldCharType="begin"/>
      </w:r>
      <w:r w:rsidR="006C290C">
        <w:rPr>
          <w:rFonts w:cs="Times New Roman"/>
          <w:sz w:val="24"/>
          <w:szCs w:val="24"/>
        </w:rPr>
        <w:instrText xml:space="preserve"> ADDIN EN.CITE &lt;EndNote&gt;&lt;Cite AuthorYear="1"&gt;&lt;Author&gt;Sykes&lt;/Author&gt;&lt;Year&gt;2018&lt;/Year&gt;&lt;RecNum&gt;1544&lt;/RecNum&gt;&lt;DisplayText&gt;Sykes (2018)&lt;/DisplayText&gt;&lt;record&gt;&lt;rec-number&gt;1544&lt;/rec-number&gt;&lt;foreign-keys&gt;&lt;key app="EN" db-id="sf2v0zffie0st6edessvst0jrx50tz9rrwst" timestamp="1557331109"&gt;1544&lt;/key&gt;&lt;/foreign-keys&gt;&lt;ref-type name="Journal Article"&gt;17&lt;/ref-type&gt;&lt;contributors&gt;&lt;authors&gt;&lt;author&gt;Sykes, Olivier&lt;/author&gt;&lt;/authors&gt;&lt;/contributors&gt;&lt;titles&gt;&lt;title&gt;Post-geography worlds, new dominions, left behind regions, and ‘other’ places: unpacking some spatial imaginaries of the UK’s ‘Brexit’ debate&lt;/title&gt;&lt;secondary-title&gt;Space and Polity&lt;/secondary-title&gt;&lt;/titles&gt;&lt;periodical&gt;&lt;full-title&gt;Space and Polity&lt;/full-title&gt;&lt;/periodical&gt;&lt;pages&gt;137-161&lt;/pages&gt;&lt;volume&gt;22&lt;/volume&gt;&lt;number&gt;2&lt;/number&gt;&lt;dates&gt;&lt;year&gt;2018&lt;/year&gt;&lt;pub-dates&gt;&lt;date&gt;2018/05/04&lt;/date&gt;&lt;/pub-dates&gt;&lt;/dates&gt;&lt;publisher&gt;Routledge&lt;/publisher&gt;&lt;isbn&gt;1356-2576&lt;/isbn&gt;&lt;urls&gt;&lt;related-urls&gt;&lt;url&gt;https://doi.org/10.1080/13562576.2018.1531699&lt;/url&gt;&lt;/related-urls&gt;&lt;/urls&gt;&lt;electronic-resource-num&gt;10.1080/13562576.2018.1531699&lt;/electronic-resource-num&gt;&lt;/record&gt;&lt;/Cite&gt;&lt;/EndNote&gt;</w:instrText>
      </w:r>
      <w:r w:rsidR="0018670C">
        <w:rPr>
          <w:rFonts w:cs="Times New Roman"/>
          <w:sz w:val="24"/>
          <w:szCs w:val="24"/>
        </w:rPr>
        <w:fldChar w:fldCharType="separate"/>
      </w:r>
      <w:r w:rsidR="0018670C">
        <w:rPr>
          <w:rFonts w:cs="Times New Roman"/>
          <w:noProof/>
          <w:sz w:val="24"/>
          <w:szCs w:val="24"/>
        </w:rPr>
        <w:t>Sykes (2018)</w:t>
      </w:r>
      <w:r w:rsidR="0018670C">
        <w:rPr>
          <w:rFonts w:cs="Times New Roman"/>
          <w:sz w:val="24"/>
          <w:szCs w:val="24"/>
        </w:rPr>
        <w:fldChar w:fldCharType="end"/>
      </w:r>
      <w:r>
        <w:rPr>
          <w:rFonts w:cs="Times New Roman"/>
          <w:sz w:val="24"/>
          <w:szCs w:val="24"/>
        </w:rPr>
        <w:t xml:space="preserve"> and others </w:t>
      </w:r>
      <w:r w:rsidR="0018670C">
        <w:rPr>
          <w:rFonts w:cs="Times New Roman"/>
          <w:sz w:val="24"/>
          <w:szCs w:val="24"/>
        </w:rPr>
        <w:fldChar w:fldCharType="begin"/>
      </w:r>
      <w:r w:rsidR="00F35BB4">
        <w:rPr>
          <w:rFonts w:cs="Times New Roman"/>
          <w:sz w:val="24"/>
          <w:szCs w:val="24"/>
        </w:rPr>
        <w:instrText xml:space="preserve"> ADDIN EN.CITE &lt;EndNote&gt;&lt;Cite&gt;&lt;Author&gt;Burrell&lt;/Author&gt;&lt;Year&gt;2018&lt;/Year&gt;&lt;RecNum&gt;1545&lt;/RecNum&gt;&lt;DisplayText&gt;(Burrell et al., 2018)&lt;/DisplayText&gt;&lt;record&gt;&lt;rec-number&gt;1545&lt;/rec-number&gt;&lt;foreign-keys&gt;&lt;key app="EN" db-id="sf2v0zffie0st6edessvst0jrx50tz9rrwst" timestamp="1557331335"&gt;1545&lt;/key&gt;&lt;/foreign-keys&gt;&lt;ref-type name="Journal Article"&gt;17&lt;/ref-type&gt;&lt;contributors&gt;&lt;authors&gt;&lt;author&gt;Burrell, Kathy&lt;/author&gt;&lt;author&gt;Hopkins, Peter&lt;/author&gt;&lt;author&gt;Isakjee, Arshad&lt;/author&gt;&lt;author&gt;Lorne, Colin&lt;/author&gt;&lt;author&gt;Nagel, Caroline&lt;/author&gt;&lt;author&gt;Finlay, Robin&lt;/author&gt;&lt;author&gt;Nayak, Anoop&lt;/author&gt;&lt;author&gt;Benwell, Matthew C.&lt;/author&gt;&lt;author&gt;Pande, Raksha&lt;/author&gt;&lt;author&gt;Richardson, Michael&lt;/author&gt;&lt;author&gt;Botterill, Katherine&lt;/author&gt;&lt;author&gt;Rogaly, Ben&lt;/author&gt;&lt;/authors&gt;&lt;/contributors&gt;&lt;titles&gt;&lt;title&gt;Brexit, race and migration&lt;/title&gt;&lt;secondary-title&gt;Environment and Planning C: Politics and Space&lt;/secondary-title&gt;&lt;/titles&gt;&lt;periodical&gt;&lt;full-title&gt;Environment and Planning C: Politics and Space&lt;/full-title&gt;&lt;/periodical&gt;&lt;pages&gt;3-40&lt;/pages&gt;&lt;volume&gt;37&lt;/volume&gt;&lt;number&gt;1&lt;/number&gt;&lt;dates&gt;&lt;year&gt;2018&lt;/year&gt;&lt;pub-dates&gt;&lt;date&gt;2019/02/01&lt;/date&gt;&lt;/pub-dates&gt;&lt;/dates&gt;&lt;publisher&gt;SAGE Publications Ltd STM&lt;/publisher&gt;&lt;isbn&gt;2399-6544&lt;/isbn&gt;&lt;urls&gt;&lt;related-urls&gt;&lt;url&gt;https://doi.org/10.1177/0263774X18811923&lt;/url&gt;&lt;/related-urls&gt;&lt;/urls&gt;&lt;electronic-resource-num&gt;10.1177/0263774X18811923&lt;/electronic-resource-num&gt;&lt;access-date&gt;2019/05/08&lt;/access-date&gt;&lt;/record&gt;&lt;/Cite&gt;&lt;/EndNote&gt;</w:instrText>
      </w:r>
      <w:r w:rsidR="0018670C">
        <w:rPr>
          <w:rFonts w:cs="Times New Roman"/>
          <w:sz w:val="24"/>
          <w:szCs w:val="24"/>
        </w:rPr>
        <w:fldChar w:fldCharType="separate"/>
      </w:r>
      <w:r w:rsidR="00F35BB4">
        <w:rPr>
          <w:rFonts w:cs="Times New Roman"/>
          <w:noProof/>
          <w:sz w:val="24"/>
          <w:szCs w:val="24"/>
        </w:rPr>
        <w:t>(Burrell et al., 2018)</w:t>
      </w:r>
      <w:r w:rsidR="0018670C">
        <w:rPr>
          <w:rFonts w:cs="Times New Roman"/>
          <w:sz w:val="24"/>
          <w:szCs w:val="24"/>
        </w:rPr>
        <w:fldChar w:fldCharType="end"/>
      </w:r>
      <w:r>
        <w:rPr>
          <w:rFonts w:cs="Times New Roman"/>
          <w:sz w:val="24"/>
          <w:szCs w:val="24"/>
        </w:rPr>
        <w:t xml:space="preserve"> have argued the LBB narrative has become the dominant reading of the geography of the referendum and gone on to exert a powerful influence over perceptions. </w:t>
      </w:r>
      <w:r w:rsidR="00EB3C4D">
        <w:rPr>
          <w:rFonts w:cs="Times New Roman"/>
          <w:sz w:val="24"/>
          <w:szCs w:val="24"/>
        </w:rPr>
        <w:t xml:space="preserve">Reporters and TV </w:t>
      </w:r>
      <w:r w:rsidR="004F5FA1">
        <w:rPr>
          <w:rFonts w:cs="Times New Roman"/>
          <w:sz w:val="24"/>
          <w:szCs w:val="24"/>
        </w:rPr>
        <w:t xml:space="preserve">film </w:t>
      </w:r>
      <w:r w:rsidR="00EB3C4D">
        <w:rPr>
          <w:rFonts w:cs="Times New Roman"/>
          <w:sz w:val="24"/>
          <w:szCs w:val="24"/>
        </w:rPr>
        <w:t>crews have beat</w:t>
      </w:r>
      <w:r w:rsidR="005B1B62">
        <w:rPr>
          <w:rFonts w:cs="Times New Roman"/>
          <w:sz w:val="24"/>
          <w:szCs w:val="24"/>
        </w:rPr>
        <w:t>en</w:t>
      </w:r>
      <w:r w:rsidR="00EB3C4D">
        <w:rPr>
          <w:rFonts w:cs="Times New Roman"/>
          <w:sz w:val="24"/>
          <w:szCs w:val="24"/>
        </w:rPr>
        <w:t xml:space="preserve"> a path to </w:t>
      </w:r>
      <w:r w:rsidR="00A339C3">
        <w:rPr>
          <w:rFonts w:cs="Times New Roman"/>
          <w:sz w:val="24"/>
          <w:szCs w:val="24"/>
        </w:rPr>
        <w:t>place</w:t>
      </w:r>
      <w:r w:rsidR="00EB3C4D">
        <w:rPr>
          <w:rFonts w:cs="Times New Roman"/>
          <w:sz w:val="24"/>
          <w:szCs w:val="24"/>
        </w:rPr>
        <w:t xml:space="preserve">s like Sunderland, Stoke on Trent and Boston (Lincs.) to </w:t>
      </w:r>
      <w:r w:rsidR="00A339C3">
        <w:rPr>
          <w:rFonts w:cs="Times New Roman"/>
          <w:sz w:val="24"/>
          <w:szCs w:val="24"/>
        </w:rPr>
        <w:t>gather</w:t>
      </w:r>
      <w:r w:rsidR="00EB3C4D">
        <w:rPr>
          <w:rFonts w:cs="Times New Roman"/>
          <w:sz w:val="24"/>
          <w:szCs w:val="24"/>
        </w:rPr>
        <w:t xml:space="preserve"> almost anthropological ‘</w:t>
      </w:r>
      <w:proofErr w:type="spellStart"/>
      <w:r w:rsidR="00EB3C4D">
        <w:rPr>
          <w:rFonts w:cs="Times New Roman"/>
          <w:sz w:val="24"/>
          <w:szCs w:val="24"/>
        </w:rPr>
        <w:t>vox</w:t>
      </w:r>
      <w:proofErr w:type="spellEnd"/>
      <w:r w:rsidR="00EB3C4D">
        <w:rPr>
          <w:rFonts w:cs="Times New Roman"/>
          <w:sz w:val="24"/>
          <w:szCs w:val="24"/>
        </w:rPr>
        <w:t xml:space="preserve"> pop’ style </w:t>
      </w:r>
      <w:r w:rsidR="00EB3C4D" w:rsidRPr="00AF5C08">
        <w:rPr>
          <w:rFonts w:cs="Times New Roman"/>
          <w:sz w:val="24"/>
          <w:szCs w:val="24"/>
        </w:rPr>
        <w:t>reports which reinforce th</w:t>
      </w:r>
      <w:r w:rsidR="00A66D9C" w:rsidRPr="00AF5C08">
        <w:rPr>
          <w:rFonts w:cs="Times New Roman"/>
          <w:sz w:val="24"/>
          <w:szCs w:val="24"/>
        </w:rPr>
        <w:t>is</w:t>
      </w:r>
      <w:r w:rsidR="00EB3C4D" w:rsidRPr="00AF5C08">
        <w:rPr>
          <w:rFonts w:cs="Times New Roman"/>
          <w:sz w:val="24"/>
          <w:szCs w:val="24"/>
        </w:rPr>
        <w:t xml:space="preserve"> LBB narrative</w:t>
      </w:r>
      <w:r w:rsidR="00AF5C08">
        <w:rPr>
          <w:rFonts w:cs="Times New Roman"/>
          <w:sz w:val="24"/>
          <w:szCs w:val="24"/>
        </w:rPr>
        <w:t xml:space="preserve"> and which, in the words of the</w:t>
      </w:r>
      <w:r w:rsidR="000E258B">
        <w:rPr>
          <w:rFonts w:cs="Times New Roman"/>
          <w:sz w:val="24"/>
          <w:szCs w:val="24"/>
        </w:rPr>
        <w:t xml:space="preserve"> Labour</w:t>
      </w:r>
      <w:r w:rsidR="00AF5C08">
        <w:rPr>
          <w:rFonts w:cs="Times New Roman"/>
          <w:sz w:val="24"/>
          <w:szCs w:val="24"/>
        </w:rPr>
        <w:t xml:space="preserve"> MPs </w:t>
      </w:r>
      <w:r w:rsidR="005D43FC" w:rsidRPr="00AF5C08">
        <w:rPr>
          <w:rFonts w:cs="Times New Roman"/>
          <w:sz w:val="24"/>
          <w:szCs w:val="24"/>
        </w:rPr>
        <w:t>mentioned in the introduction</w:t>
      </w:r>
      <w:r w:rsidR="00AF5C08">
        <w:rPr>
          <w:rFonts w:cs="Times New Roman"/>
          <w:sz w:val="24"/>
          <w:szCs w:val="24"/>
        </w:rPr>
        <w:t>, depict</w:t>
      </w:r>
      <w:r w:rsidR="005D43FC" w:rsidRPr="00AF5C08">
        <w:rPr>
          <w:rFonts w:cs="Times New Roman"/>
          <w:sz w:val="24"/>
          <w:szCs w:val="24"/>
        </w:rPr>
        <w:t>:</w:t>
      </w:r>
    </w:p>
    <w:p w14:paraId="0E680C66" w14:textId="77777777" w:rsidR="005D43FC" w:rsidRDefault="005D43FC" w:rsidP="00925B92">
      <w:pPr>
        <w:spacing w:after="0" w:line="276" w:lineRule="auto"/>
        <w:ind w:firstLine="567"/>
        <w:jc w:val="both"/>
        <w:rPr>
          <w:rFonts w:cs="Times New Roman"/>
          <w:sz w:val="24"/>
          <w:szCs w:val="24"/>
        </w:rPr>
      </w:pPr>
    </w:p>
    <w:p w14:paraId="5F7B127B" w14:textId="2947574D" w:rsidR="005D43FC" w:rsidRPr="000E258B" w:rsidRDefault="00AF5C08" w:rsidP="005D43FC">
      <w:pPr>
        <w:spacing w:after="0" w:line="276" w:lineRule="auto"/>
        <w:ind w:left="567" w:firstLine="60"/>
        <w:jc w:val="both"/>
        <w:rPr>
          <w:rFonts w:cs="Times New Roman"/>
          <w:i/>
          <w:sz w:val="24"/>
          <w:szCs w:val="24"/>
        </w:rPr>
      </w:pPr>
      <w:r w:rsidRPr="000E258B">
        <w:rPr>
          <w:rFonts w:cs="Times New Roman"/>
          <w:i/>
          <w:sz w:val="24"/>
          <w:szCs w:val="24"/>
        </w:rPr>
        <w:t>'</w:t>
      </w:r>
      <w:r w:rsidR="005D43FC" w:rsidRPr="000E258B">
        <w:rPr>
          <w:rFonts w:cs="Times New Roman"/>
          <w:i/>
          <w:sz w:val="24"/>
          <w:szCs w:val="24"/>
        </w:rPr>
        <w:t>“</w:t>
      </w:r>
      <w:proofErr w:type="gramStart"/>
      <w:r w:rsidR="005D43FC" w:rsidRPr="000E258B">
        <w:rPr>
          <w:rFonts w:cs="Times New Roman"/>
          <w:i/>
          <w:sz w:val="24"/>
          <w:szCs w:val="24"/>
        </w:rPr>
        <w:t>the</w:t>
      </w:r>
      <w:proofErr w:type="gramEnd"/>
      <w:r w:rsidR="005D43FC" w:rsidRPr="000E258B">
        <w:rPr>
          <w:rFonts w:cs="Times New Roman"/>
          <w:i/>
          <w:sz w:val="24"/>
          <w:szCs w:val="24"/>
        </w:rPr>
        <w:t xml:space="preserve"> north” with films of chimney pots and run-down mills, </w:t>
      </w:r>
      <w:r w:rsidR="000E258B">
        <w:rPr>
          <w:rFonts w:cs="Times New Roman"/>
          <w:i/>
          <w:sz w:val="24"/>
          <w:szCs w:val="24"/>
        </w:rPr>
        <w:t>[and]</w:t>
      </w:r>
      <w:r w:rsidR="005D43FC" w:rsidRPr="000E258B">
        <w:rPr>
          <w:rFonts w:cs="Times New Roman"/>
          <w:i/>
          <w:sz w:val="24"/>
          <w:szCs w:val="24"/>
        </w:rPr>
        <w:t xml:space="preserve"> angry men who warn that if </w:t>
      </w:r>
      <w:proofErr w:type="spellStart"/>
      <w:r w:rsidR="005D43FC" w:rsidRPr="000E258B">
        <w:rPr>
          <w:rFonts w:cs="Times New Roman"/>
          <w:i/>
          <w:sz w:val="24"/>
          <w:szCs w:val="24"/>
        </w:rPr>
        <w:t>Brexit</w:t>
      </w:r>
      <w:proofErr w:type="spellEnd"/>
      <w:r w:rsidR="005D43FC" w:rsidRPr="000E258B">
        <w:rPr>
          <w:rFonts w:cs="Times New Roman"/>
          <w:i/>
          <w:sz w:val="24"/>
          <w:szCs w:val="24"/>
        </w:rPr>
        <w:t xml:space="preserve"> is not delivered, immediately, there will be riots on the streets</w:t>
      </w:r>
      <w:r w:rsidR="000E258B" w:rsidRPr="000E258B">
        <w:rPr>
          <w:rFonts w:cs="Times New Roman"/>
          <w:i/>
          <w:sz w:val="24"/>
          <w:szCs w:val="24"/>
        </w:rPr>
        <w:t xml:space="preserve">‘. </w:t>
      </w:r>
    </w:p>
    <w:p w14:paraId="1DD4AFFD" w14:textId="4AD5867F" w:rsidR="005D43FC" w:rsidRDefault="00AB1F39" w:rsidP="005D43FC">
      <w:pPr>
        <w:spacing w:after="0" w:line="276" w:lineRule="auto"/>
        <w:ind w:left="567" w:firstLine="60"/>
        <w:jc w:val="right"/>
        <w:rPr>
          <w:rFonts w:cs="Times New Roman"/>
          <w:sz w:val="24"/>
          <w:szCs w:val="24"/>
        </w:rPr>
      </w:pPr>
      <w:r>
        <w:fldChar w:fldCharType="begin"/>
      </w:r>
      <w:r w:rsidR="00F35BB4">
        <w:instrText xml:space="preserve"> ADDIN EN.CITE &lt;EndNote&gt;&lt;Cite&gt;&lt;Author&gt;Creagh&lt;/Author&gt;&lt;Year&gt;2019&lt;/Year&gt;&lt;RecNum&gt;1565&lt;/RecNum&gt;&lt;DisplayText&gt;(Creagh et al., 2019)&lt;/DisplayText&gt;&lt;record&gt;&lt;rec-number&gt;1565&lt;/rec-number&gt;&lt;foreign-keys&gt;&lt;key app="EN" db-id="sf2v0zffie0st6edessvst0jrx50tz9rrwst" timestamp="1557392125"&gt;1565&lt;/key&gt;&lt;/foreign-keys&gt;&lt;ref-type name="Newspaper Article"&gt;23&lt;/ref-type&gt;&lt;contributors&gt;&lt;authors&gt;&lt;author&gt;Creagh, M.&lt;/author&gt;&lt;author&gt;Turley, A.&lt;/author&gt;&lt;author&gt;Wilson, P.&lt;/author&gt;&lt;author&gt;McKinnell, C. &lt;/author&gt;&lt;/authors&gt;&lt;/contributors&gt;&lt;titles&gt;&lt;title&gt;&amp;apos;Stop stereotyping the north as Brexitland&amp;apos; say four Labour MPs&lt;/title&gt;&lt;secondary-title&gt;Northern Echo&lt;/secondary-title&gt;&lt;/titles&gt;&lt;dates&gt;&lt;year&gt;2019&lt;/year&gt;&lt;/dates&gt;&lt;urls&gt;&lt;related-urls&gt;&lt;url&gt;&lt;style face="underline" font="default" size="100%"&gt;https://www.thenorthernecho.co.uk/news/17580613.stop-stereotyping-the-north-as-brexitland-say-four-labour-mps/&lt;/style&gt;&lt;/url&gt;&lt;/related-urls&gt;&lt;/urls&gt;&lt;access-date&gt;9th May 2019&lt;/access-date&gt;&lt;/record&gt;&lt;/Cite&gt;&lt;/EndNote&gt;</w:instrText>
      </w:r>
      <w:r>
        <w:fldChar w:fldCharType="separate"/>
      </w:r>
      <w:r w:rsidR="00F35BB4">
        <w:rPr>
          <w:noProof/>
        </w:rPr>
        <w:t>(Creagh et al., 2019)</w:t>
      </w:r>
      <w:r>
        <w:fldChar w:fldCharType="end"/>
      </w:r>
    </w:p>
    <w:p w14:paraId="32613956" w14:textId="77777777" w:rsidR="005D43FC" w:rsidRDefault="005D43FC" w:rsidP="005D43FC">
      <w:pPr>
        <w:spacing w:after="0" w:line="276" w:lineRule="auto"/>
        <w:jc w:val="both"/>
        <w:rPr>
          <w:rFonts w:cs="Times New Roman"/>
          <w:sz w:val="24"/>
          <w:szCs w:val="24"/>
        </w:rPr>
      </w:pPr>
    </w:p>
    <w:p w14:paraId="3A2DF2F6" w14:textId="6D57F8C3" w:rsidR="00405014" w:rsidRPr="000E258B" w:rsidRDefault="004F5FA1" w:rsidP="00925B92">
      <w:pPr>
        <w:spacing w:after="0" w:line="276" w:lineRule="auto"/>
        <w:ind w:firstLine="567"/>
        <w:jc w:val="both"/>
        <w:rPr>
          <w:rFonts w:cs="Times New Roman"/>
          <w:sz w:val="24"/>
          <w:szCs w:val="24"/>
        </w:rPr>
      </w:pPr>
      <w:r>
        <w:rPr>
          <w:rFonts w:cs="Times New Roman"/>
          <w:sz w:val="24"/>
          <w:szCs w:val="24"/>
        </w:rPr>
        <w:t>Furthermore, and perhaps reflecting the influence of such media representations,</w:t>
      </w:r>
      <w:r w:rsidR="001C58C4">
        <w:rPr>
          <w:rFonts w:cs="Times New Roman"/>
          <w:sz w:val="24"/>
          <w:szCs w:val="24"/>
        </w:rPr>
        <w:t xml:space="preserve"> it is evident that th</w:t>
      </w:r>
      <w:r>
        <w:rPr>
          <w:rFonts w:cs="Times New Roman"/>
          <w:sz w:val="24"/>
          <w:szCs w:val="24"/>
        </w:rPr>
        <w:t>e</w:t>
      </w:r>
      <w:r w:rsidR="001C58C4">
        <w:rPr>
          <w:rFonts w:cs="Times New Roman"/>
          <w:sz w:val="24"/>
          <w:szCs w:val="24"/>
        </w:rPr>
        <w:t xml:space="preserve"> LBB narrative has gained traction across the political spectrum.  In some instances </w:t>
      </w:r>
      <w:r>
        <w:rPr>
          <w:rFonts w:cs="Times New Roman"/>
          <w:sz w:val="24"/>
          <w:szCs w:val="24"/>
        </w:rPr>
        <w:t xml:space="preserve">this reading of the territoriality of </w:t>
      </w:r>
      <w:r w:rsidR="001C58C4">
        <w:rPr>
          <w:rFonts w:cs="Times New Roman"/>
          <w:sz w:val="24"/>
          <w:szCs w:val="24"/>
        </w:rPr>
        <w:t xml:space="preserve">the </w:t>
      </w:r>
      <w:r>
        <w:rPr>
          <w:rFonts w:cs="Times New Roman"/>
          <w:sz w:val="24"/>
          <w:szCs w:val="24"/>
        </w:rPr>
        <w:t>2016 vote</w:t>
      </w:r>
      <w:r w:rsidR="001C58C4">
        <w:rPr>
          <w:rFonts w:cs="Times New Roman"/>
          <w:sz w:val="24"/>
          <w:szCs w:val="24"/>
        </w:rPr>
        <w:t xml:space="preserve"> seems a good fit to the worldview of some who see the vote for ‘</w:t>
      </w:r>
      <w:proofErr w:type="spellStart"/>
      <w:r w:rsidR="001C58C4">
        <w:rPr>
          <w:rFonts w:cs="Times New Roman"/>
          <w:sz w:val="24"/>
          <w:szCs w:val="24"/>
        </w:rPr>
        <w:t>Brexit</w:t>
      </w:r>
      <w:proofErr w:type="spellEnd"/>
      <w:r w:rsidR="001C58C4">
        <w:rPr>
          <w:rFonts w:cs="Times New Roman"/>
          <w:sz w:val="24"/>
          <w:szCs w:val="24"/>
        </w:rPr>
        <w:t xml:space="preserve">’ in certain LBB areas as the ‘return’ on investment of nearly 50 years of neoliberal experimentation in all its forms. In other </w:t>
      </w:r>
      <w:proofErr w:type="gramStart"/>
      <w:r w:rsidR="001C58C4">
        <w:rPr>
          <w:rFonts w:cs="Times New Roman"/>
          <w:sz w:val="24"/>
          <w:szCs w:val="24"/>
        </w:rPr>
        <w:t>words,</w:t>
      </w:r>
      <w:proofErr w:type="gramEnd"/>
      <w:r w:rsidR="001C58C4">
        <w:rPr>
          <w:rFonts w:cs="Times New Roman"/>
          <w:sz w:val="24"/>
          <w:szCs w:val="24"/>
        </w:rPr>
        <w:t xml:space="preserve"> and perhaps more crudely:  ‘the system had it coming’.  Yet as we will go on to argue, this too presents a class-laced </w:t>
      </w:r>
      <w:proofErr w:type="spellStart"/>
      <w:r w:rsidR="001C58C4">
        <w:rPr>
          <w:rFonts w:cs="Times New Roman"/>
          <w:sz w:val="24"/>
          <w:szCs w:val="24"/>
        </w:rPr>
        <w:t>spatio</w:t>
      </w:r>
      <w:proofErr w:type="spellEnd"/>
      <w:r w:rsidR="001C58C4">
        <w:rPr>
          <w:rFonts w:cs="Times New Roman"/>
          <w:sz w:val="24"/>
          <w:szCs w:val="24"/>
        </w:rPr>
        <w:t>-sociological oversimplification of the referendum geography.  The promulgation of the LBB narrative also serves the purposes of the promoters of the ‘</w:t>
      </w:r>
      <w:proofErr w:type="spellStart"/>
      <w:r w:rsidR="001C58C4">
        <w:rPr>
          <w:rFonts w:cs="Times New Roman"/>
          <w:sz w:val="24"/>
          <w:szCs w:val="24"/>
        </w:rPr>
        <w:t>Brexit</w:t>
      </w:r>
      <w:proofErr w:type="spellEnd"/>
      <w:r w:rsidR="001C58C4">
        <w:rPr>
          <w:rFonts w:cs="Times New Roman"/>
          <w:sz w:val="24"/>
          <w:szCs w:val="24"/>
        </w:rPr>
        <w:t xml:space="preserve">’ project. It cleverly ‘steals the clothes’ of progressives’ traditional concern with uneven development and spatial inequality and, in the 2010s, the impacts of austerity.  This is exemplified through the </w:t>
      </w:r>
      <w:r w:rsidR="00B328D8">
        <w:rPr>
          <w:rFonts w:cs="Times New Roman"/>
          <w:sz w:val="24"/>
          <w:szCs w:val="24"/>
        </w:rPr>
        <w:t>high profile promises from Prime Minister</w:t>
      </w:r>
      <w:r w:rsidR="001C58C4">
        <w:rPr>
          <w:rFonts w:cs="Times New Roman"/>
          <w:sz w:val="24"/>
          <w:szCs w:val="24"/>
        </w:rPr>
        <w:t>s May and Johnson towards these left behind places in their inaugural speeches</w:t>
      </w:r>
      <w:r>
        <w:rPr>
          <w:rFonts w:cs="Times New Roman"/>
          <w:sz w:val="24"/>
          <w:szCs w:val="24"/>
        </w:rPr>
        <w:t xml:space="preserve"> (Sykes, 2019)</w:t>
      </w:r>
      <w:r w:rsidR="001C58C4">
        <w:rPr>
          <w:rFonts w:cs="Times New Roman"/>
          <w:sz w:val="24"/>
          <w:szCs w:val="24"/>
        </w:rPr>
        <w:t xml:space="preserve">: even if </w:t>
      </w:r>
      <w:r w:rsidR="00B328D8">
        <w:rPr>
          <w:rFonts w:cs="Times New Roman"/>
          <w:sz w:val="24"/>
          <w:szCs w:val="24"/>
        </w:rPr>
        <w:t>the proto-‘</w:t>
      </w:r>
      <w:proofErr w:type="spellStart"/>
      <w:r w:rsidR="00B328D8">
        <w:rPr>
          <w:rFonts w:cs="Times New Roman"/>
          <w:sz w:val="24"/>
          <w:szCs w:val="24"/>
        </w:rPr>
        <w:t>Brexit</w:t>
      </w:r>
      <w:proofErr w:type="spellEnd"/>
      <w:r w:rsidR="00B328D8">
        <w:rPr>
          <w:rFonts w:cs="Times New Roman"/>
          <w:sz w:val="24"/>
          <w:szCs w:val="24"/>
        </w:rPr>
        <w:t>’ state</w:t>
      </w:r>
      <w:r w:rsidR="001C58C4">
        <w:rPr>
          <w:rFonts w:cs="Times New Roman"/>
          <w:sz w:val="24"/>
          <w:szCs w:val="24"/>
        </w:rPr>
        <w:t xml:space="preserve"> under May</w:t>
      </w:r>
      <w:r w:rsidR="00B328D8">
        <w:rPr>
          <w:rFonts w:cs="Times New Roman"/>
          <w:sz w:val="24"/>
          <w:szCs w:val="24"/>
        </w:rPr>
        <w:t xml:space="preserve"> seem</w:t>
      </w:r>
      <w:r w:rsidR="001C58C4">
        <w:rPr>
          <w:rFonts w:cs="Times New Roman"/>
          <w:sz w:val="24"/>
          <w:szCs w:val="24"/>
        </w:rPr>
        <w:t>ed</w:t>
      </w:r>
      <w:r w:rsidR="00B328D8">
        <w:rPr>
          <w:rFonts w:cs="Times New Roman"/>
          <w:sz w:val="24"/>
          <w:szCs w:val="24"/>
        </w:rPr>
        <w:t xml:space="preserve"> to have</w:t>
      </w:r>
      <w:r w:rsidR="001C58C4">
        <w:rPr>
          <w:rFonts w:cs="Times New Roman"/>
          <w:sz w:val="24"/>
          <w:szCs w:val="24"/>
        </w:rPr>
        <w:t xml:space="preserve"> subsequently</w:t>
      </w:r>
      <w:r w:rsidR="00B328D8">
        <w:rPr>
          <w:rFonts w:cs="Times New Roman"/>
          <w:sz w:val="24"/>
          <w:szCs w:val="24"/>
        </w:rPr>
        <w:t xml:space="preserve"> given a low priority to thinking about how to ameliorate local conditions</w:t>
      </w:r>
      <w:r w:rsidR="001C58C4">
        <w:rPr>
          <w:rFonts w:cs="Times New Roman"/>
          <w:sz w:val="24"/>
          <w:szCs w:val="24"/>
        </w:rPr>
        <w:t xml:space="preserve"> </w:t>
      </w:r>
      <w:r w:rsidR="001C58C4">
        <w:rPr>
          <w:rFonts w:cs="Times New Roman"/>
          <w:sz w:val="24"/>
          <w:szCs w:val="24"/>
        </w:rPr>
        <w:fldChar w:fldCharType="begin"/>
      </w:r>
      <w:r w:rsidR="00F35BB4">
        <w:rPr>
          <w:rFonts w:cs="Times New Roman"/>
          <w:sz w:val="24"/>
          <w:szCs w:val="24"/>
        </w:rPr>
        <w:instrText xml:space="preserve"> ADDIN EN.CITE &lt;EndNote&gt;&lt;Cite&gt;&lt;Author&gt;Sturzaker&lt;/Author&gt;&lt;Year&gt;Forthcoming&lt;/Year&gt;&lt;RecNum&gt;1567&lt;/RecNum&gt;&lt;DisplayText&gt;(Sturzaker and Nurse, Forthcoming)&lt;/DisplayText&gt;&lt;record&gt;&lt;rec-number&gt;1567&lt;/rec-number&gt;&lt;foreign-keys&gt;&lt;key app="EN" db-id="sf2v0zffie0st6edessvst0jrx50tz9rrwst" timestamp="1557397407"&gt;1567&lt;/key&gt;&lt;/foreign-keys&gt;&lt;ref-type name="Book"&gt;6&lt;/ref-type&gt;&lt;contributors&gt;&lt;authors&gt;&lt;author&gt;Sturzaker, J.&lt;/author&gt;&lt;author&gt;Nurse, A&lt;/author&gt;&lt;/authors&gt;&lt;/contributors&gt;&lt;titles&gt;&lt;title&gt;Rescaling Urban Governance – Planning, Localism and Institutional Change&lt;/title&gt;&lt;/titles&gt;&lt;dates&gt;&lt;year&gt;Forthcoming&lt;/year&gt;&lt;/dates&gt;&lt;pub-location&gt;Bristol&lt;/pub-location&gt;&lt;publisher&gt;Policy Press&lt;/publisher&gt;&lt;urls&gt;&lt;/urls&gt;&lt;/record&gt;&lt;/Cite&gt;&lt;/EndNote&gt;</w:instrText>
      </w:r>
      <w:r w:rsidR="001C58C4">
        <w:rPr>
          <w:rFonts w:cs="Times New Roman"/>
          <w:sz w:val="24"/>
          <w:szCs w:val="24"/>
        </w:rPr>
        <w:fldChar w:fldCharType="separate"/>
      </w:r>
      <w:r w:rsidR="00F35BB4">
        <w:rPr>
          <w:rFonts w:cs="Times New Roman"/>
          <w:noProof/>
          <w:sz w:val="24"/>
          <w:szCs w:val="24"/>
        </w:rPr>
        <w:t>(Sturzaker and Nurse, Forthcoming)</w:t>
      </w:r>
      <w:r w:rsidR="001C58C4">
        <w:rPr>
          <w:rFonts w:cs="Times New Roman"/>
          <w:sz w:val="24"/>
          <w:szCs w:val="24"/>
        </w:rPr>
        <w:fldChar w:fldCharType="end"/>
      </w:r>
      <w:r w:rsidR="00B328D8">
        <w:rPr>
          <w:rFonts w:cs="Times New Roman"/>
          <w:sz w:val="24"/>
          <w:szCs w:val="24"/>
        </w:rPr>
        <w:t>.</w:t>
      </w:r>
      <w:r w:rsidR="001C58C4">
        <w:rPr>
          <w:rFonts w:cs="Times New Roman"/>
          <w:sz w:val="24"/>
          <w:szCs w:val="24"/>
        </w:rPr>
        <w:t xml:space="preserve">  </w:t>
      </w:r>
      <w:r w:rsidR="00261194">
        <w:rPr>
          <w:rFonts w:cs="Times New Roman"/>
          <w:sz w:val="24"/>
          <w:szCs w:val="24"/>
        </w:rPr>
        <w:t>Th</w:t>
      </w:r>
      <w:r w:rsidR="00405014">
        <w:rPr>
          <w:rFonts w:cs="Times New Roman"/>
          <w:sz w:val="24"/>
          <w:szCs w:val="24"/>
        </w:rPr>
        <w:t>is</w:t>
      </w:r>
      <w:r w:rsidR="00261194">
        <w:rPr>
          <w:rFonts w:cs="Times New Roman"/>
          <w:sz w:val="24"/>
          <w:szCs w:val="24"/>
        </w:rPr>
        <w:t xml:space="preserve"> mobilisation of the LBB narrative has </w:t>
      </w:r>
      <w:r w:rsidR="00377D77">
        <w:rPr>
          <w:rFonts w:cs="Times New Roman"/>
          <w:sz w:val="24"/>
          <w:szCs w:val="24"/>
        </w:rPr>
        <w:t>arguably wrong-fo</w:t>
      </w:r>
      <w:r w:rsidR="00A339C3">
        <w:rPr>
          <w:rFonts w:cs="Times New Roman"/>
          <w:sz w:val="24"/>
          <w:szCs w:val="24"/>
        </w:rPr>
        <w:t>oted the</w:t>
      </w:r>
      <w:r w:rsidR="00932724">
        <w:rPr>
          <w:rFonts w:cs="Times New Roman"/>
          <w:sz w:val="24"/>
          <w:szCs w:val="24"/>
        </w:rPr>
        <w:t xml:space="preserve"> UK’s main</w:t>
      </w:r>
      <w:r w:rsidR="00A339C3">
        <w:rPr>
          <w:rFonts w:cs="Times New Roman"/>
          <w:sz w:val="24"/>
          <w:szCs w:val="24"/>
        </w:rPr>
        <w:t xml:space="preserve"> opposition. </w:t>
      </w:r>
      <w:proofErr w:type="gramStart"/>
      <w:r w:rsidR="00A339C3">
        <w:rPr>
          <w:rFonts w:cs="Times New Roman"/>
          <w:sz w:val="24"/>
          <w:szCs w:val="24"/>
        </w:rPr>
        <w:t>Particularly striking is its effect on the Labour Party</w:t>
      </w:r>
      <w:r w:rsidR="004A3CF1">
        <w:rPr>
          <w:rFonts w:cs="Times New Roman"/>
          <w:sz w:val="24"/>
          <w:szCs w:val="24"/>
        </w:rPr>
        <w:t xml:space="preserve">, where </w:t>
      </w:r>
      <w:r w:rsidR="00932724">
        <w:rPr>
          <w:rFonts w:cs="Times New Roman"/>
          <w:sz w:val="24"/>
          <w:szCs w:val="24"/>
        </w:rPr>
        <w:t>this approach</w:t>
      </w:r>
      <w:r w:rsidR="004A3CF1">
        <w:rPr>
          <w:rFonts w:cs="Times New Roman"/>
          <w:sz w:val="24"/>
          <w:szCs w:val="24"/>
        </w:rPr>
        <w:t xml:space="preserve"> continues to blunt the</w:t>
      </w:r>
      <w:r w:rsidR="00405014">
        <w:rPr>
          <w:rFonts w:cs="Times New Roman"/>
          <w:sz w:val="24"/>
          <w:szCs w:val="24"/>
        </w:rPr>
        <w:t xml:space="preserve"> capacity </w:t>
      </w:r>
      <w:r w:rsidR="00D60B91">
        <w:rPr>
          <w:rFonts w:cs="Times New Roman"/>
          <w:sz w:val="24"/>
          <w:szCs w:val="24"/>
        </w:rPr>
        <w:t xml:space="preserve">to register that </w:t>
      </w:r>
      <w:r w:rsidR="00405014">
        <w:rPr>
          <w:rFonts w:cs="Times New Roman"/>
          <w:sz w:val="24"/>
          <w:szCs w:val="24"/>
        </w:rPr>
        <w:t xml:space="preserve">a) </w:t>
      </w:r>
      <w:r w:rsidR="00D60B91">
        <w:rPr>
          <w:rFonts w:cs="Times New Roman"/>
          <w:sz w:val="24"/>
          <w:szCs w:val="24"/>
        </w:rPr>
        <w:t xml:space="preserve">most of its voters and party members </w:t>
      </w:r>
      <w:r w:rsidR="00A903F4">
        <w:rPr>
          <w:rFonts w:cs="Times New Roman"/>
          <w:sz w:val="24"/>
          <w:szCs w:val="24"/>
        </w:rPr>
        <w:t xml:space="preserve">remain </w:t>
      </w:r>
      <w:r w:rsidR="00D60B91">
        <w:rPr>
          <w:rFonts w:cs="Times New Roman"/>
          <w:sz w:val="24"/>
          <w:szCs w:val="24"/>
        </w:rPr>
        <w:t xml:space="preserve">opposed to </w:t>
      </w:r>
      <w:r w:rsidR="00405014">
        <w:rPr>
          <w:rFonts w:cs="Times New Roman"/>
          <w:sz w:val="24"/>
          <w:szCs w:val="24"/>
        </w:rPr>
        <w:t>leaving the EU</w:t>
      </w:r>
      <w:r w:rsidR="004A3CF1">
        <w:rPr>
          <w:rFonts w:cs="Times New Roman"/>
          <w:sz w:val="24"/>
          <w:szCs w:val="24"/>
        </w:rPr>
        <w:t>,</w:t>
      </w:r>
      <w:r w:rsidR="00B5255C">
        <w:rPr>
          <w:rFonts w:cs="Times New Roman"/>
          <w:sz w:val="24"/>
          <w:szCs w:val="24"/>
        </w:rPr>
        <w:t xml:space="preserve"> </w:t>
      </w:r>
      <w:r w:rsidR="00A903F4">
        <w:rPr>
          <w:rFonts w:cs="Times New Roman"/>
          <w:sz w:val="24"/>
          <w:szCs w:val="24"/>
        </w:rPr>
        <w:t xml:space="preserve">or favour a new referendum on </w:t>
      </w:r>
      <w:r w:rsidR="00A903F4" w:rsidRPr="000E258B">
        <w:rPr>
          <w:rFonts w:cs="Times New Roman"/>
          <w:sz w:val="24"/>
          <w:szCs w:val="24"/>
        </w:rPr>
        <w:t xml:space="preserve">the terms of the </w:t>
      </w:r>
      <w:r w:rsidR="004A3CF1" w:rsidRPr="000E258B">
        <w:rPr>
          <w:rFonts w:cs="Times New Roman"/>
          <w:sz w:val="24"/>
          <w:szCs w:val="24"/>
        </w:rPr>
        <w:t xml:space="preserve">EU </w:t>
      </w:r>
      <w:r w:rsidR="00A903F4" w:rsidRPr="000E258B">
        <w:rPr>
          <w:rFonts w:cs="Times New Roman"/>
          <w:sz w:val="24"/>
          <w:szCs w:val="24"/>
        </w:rPr>
        <w:t xml:space="preserve">Withdrawal Agreement </w:t>
      </w:r>
      <w:proofErr w:type="gramEnd"/>
      <w:r w:rsidR="000C4601">
        <w:rPr>
          <w:rFonts w:cs="Times New Roman"/>
          <w:sz w:val="24"/>
          <w:szCs w:val="24"/>
        </w:rPr>
        <w:fldChar w:fldCharType="begin"/>
      </w:r>
      <w:r w:rsidR="00F35BB4">
        <w:rPr>
          <w:rFonts w:cs="Times New Roman"/>
          <w:sz w:val="24"/>
          <w:szCs w:val="24"/>
        </w:rPr>
        <w:instrText xml:space="preserve"> ADDIN EN.CITE &lt;EndNote&gt;&lt;Cite&gt;&lt;Author&gt;Walker&lt;/Author&gt;&lt;Year&gt;2019&lt;/Year&gt;&lt;RecNum&gt;1559&lt;/RecNum&gt;&lt;DisplayText&gt;(Walker, 2019, Creagh et al., 2019)&lt;/DisplayText&gt;&lt;record&gt;&lt;rec-number&gt;1559&lt;/rec-number&gt;&lt;foreign-keys&gt;&lt;key app="EN" db-id="sf2v0zffie0st6edessvst0jrx50tz9rrwst" timestamp="1557334151"&gt;1559&lt;/key&gt;&lt;/foreign-keys&gt;&lt;ref-type name="Newspaper Article"&gt;23&lt;/ref-type&gt;&lt;contributors&gt;&lt;authors&gt;&lt;author&gt;Walker, P.&lt;/author&gt;&lt;/authors&gt;&lt;/contributors&gt;&lt;titles&gt;&lt;title&gt;Most Labour members believe Corbyn should back second Brexit vote &lt;/title&gt;&lt;secondary-title&gt;The Guardian&lt;/secondary-title&gt;&lt;/titles&gt;&lt;dates&gt;&lt;year&gt;2019&lt;/year&gt;&lt;/dates&gt;&lt;urls&gt;&lt;related-urls&gt;&lt;url&gt;&lt;style face="underline" font="default" size="100%"&gt;https://www.theguardian.com/politics/2019/jan/02/most-labour-members-believe-corbyn-should-back-second-brexit-vote&lt;/style&gt;&lt;style face="normal" font="default" size="100%"&gt; &lt;/style&gt;&lt;/url&gt;&lt;/related-urls&gt;&lt;/urls&gt;&lt;/record&gt;&lt;/Cite&gt;&lt;Cite&gt;&lt;Author&gt;Creagh&lt;/Author&gt;&lt;Year&gt;2019&lt;/Year&gt;&lt;RecNum&gt;1565&lt;/RecNum&gt;&lt;record&gt;&lt;rec-number&gt;1565&lt;/rec-number&gt;&lt;foreign-keys&gt;&lt;key app="EN" db-id="sf2v0zffie0st6edessvst0jrx50tz9rrwst" timestamp="1557392125"&gt;1565&lt;/key&gt;&lt;/foreign-keys&gt;&lt;ref-type name="Newspaper Article"&gt;23&lt;/ref-type&gt;&lt;contributors&gt;&lt;authors&gt;&lt;author&gt;Creagh, M.&lt;/author&gt;&lt;author&gt;Turley, A.&lt;/author&gt;&lt;author&gt;Wilson, P.&lt;/author&gt;&lt;author&gt;McKinnell, C. &lt;/author&gt;&lt;/authors&gt;&lt;/contributors&gt;&lt;titles&gt;&lt;title&gt;&amp;apos;Stop stereotyping the north as Brexitland&amp;apos; say four Labour MPs&lt;/title&gt;&lt;secondary-title&gt;Northern Echo&lt;/secondary-title&gt;&lt;/titles&gt;&lt;dates&gt;&lt;year&gt;2019&lt;/year&gt;&lt;/dates&gt;&lt;urls&gt;&lt;related-urls&gt;&lt;url&gt;&lt;style face="underline" font="default" size="100%"&gt;https://www.thenorthernecho.co.uk/news/17580613.stop-stereotyping-the-north-as-brexitland-say-four-labour-mps/&lt;/style&gt;&lt;/url&gt;&lt;/related-urls&gt;&lt;/urls&gt;&lt;access-date&gt;9th May 2019&lt;/access-date&gt;&lt;/record&gt;&lt;/Cite&gt;&lt;/EndNote&gt;</w:instrText>
      </w:r>
      <w:r w:rsidR="000C4601">
        <w:rPr>
          <w:rFonts w:cs="Times New Roman"/>
          <w:sz w:val="24"/>
          <w:szCs w:val="24"/>
        </w:rPr>
        <w:fldChar w:fldCharType="separate"/>
      </w:r>
      <w:r w:rsidR="00F35BB4">
        <w:rPr>
          <w:rFonts w:cs="Times New Roman"/>
          <w:noProof/>
          <w:sz w:val="24"/>
          <w:szCs w:val="24"/>
        </w:rPr>
        <w:t>(Walker, 2019, Creagh et al., 2019)</w:t>
      </w:r>
      <w:r w:rsidR="000C4601">
        <w:rPr>
          <w:rFonts w:cs="Times New Roman"/>
          <w:sz w:val="24"/>
          <w:szCs w:val="24"/>
        </w:rPr>
        <w:fldChar w:fldCharType="end"/>
      </w:r>
      <w:proofErr w:type="gramStart"/>
      <w:r w:rsidR="00C32823">
        <w:rPr>
          <w:rFonts w:cs="Times New Roman"/>
          <w:sz w:val="24"/>
          <w:szCs w:val="24"/>
        </w:rPr>
        <w:t>;</w:t>
      </w:r>
      <w:r w:rsidR="00405014" w:rsidRPr="000E258B">
        <w:rPr>
          <w:rFonts w:cs="Times New Roman"/>
          <w:sz w:val="24"/>
          <w:szCs w:val="24"/>
        </w:rPr>
        <w:t xml:space="preserve"> and b) </w:t>
      </w:r>
      <w:r w:rsidR="00D60B91" w:rsidRPr="000E258B">
        <w:rPr>
          <w:rFonts w:cs="Times New Roman"/>
          <w:sz w:val="24"/>
          <w:szCs w:val="24"/>
        </w:rPr>
        <w:t xml:space="preserve">that assessments of the likely impacts of leaving </w:t>
      </w:r>
      <w:r w:rsidR="000E258B">
        <w:rPr>
          <w:rFonts w:cs="Times New Roman"/>
          <w:sz w:val="24"/>
          <w:szCs w:val="24"/>
        </w:rPr>
        <w:t xml:space="preserve">the EU </w:t>
      </w:r>
      <w:r w:rsidR="00D60B91" w:rsidRPr="000E258B">
        <w:rPr>
          <w:rFonts w:cs="Times New Roman"/>
          <w:sz w:val="24"/>
          <w:szCs w:val="24"/>
        </w:rPr>
        <w:t xml:space="preserve">(including the </w:t>
      </w:r>
      <w:r w:rsidR="00AF2827">
        <w:rPr>
          <w:rFonts w:cs="Times New Roman"/>
          <w:sz w:val="24"/>
          <w:szCs w:val="24"/>
        </w:rPr>
        <w:t>G</w:t>
      </w:r>
      <w:r w:rsidR="00AF2827" w:rsidRPr="000E258B">
        <w:rPr>
          <w:rFonts w:cs="Times New Roman"/>
          <w:sz w:val="24"/>
          <w:szCs w:val="24"/>
        </w:rPr>
        <w:t>overnment’s</w:t>
      </w:r>
      <w:r w:rsidR="00AF2827">
        <w:rPr>
          <w:rFonts w:cs="Times New Roman"/>
          <w:sz w:val="24"/>
          <w:szCs w:val="24"/>
        </w:rPr>
        <w:t xml:space="preserve"> </w:t>
      </w:r>
      <w:r w:rsidR="00D60B91">
        <w:rPr>
          <w:rFonts w:cs="Times New Roman"/>
          <w:sz w:val="24"/>
          <w:szCs w:val="24"/>
        </w:rPr>
        <w:t xml:space="preserve">own studies) </w:t>
      </w:r>
      <w:r w:rsidR="00217503">
        <w:rPr>
          <w:rFonts w:cs="Times New Roman"/>
          <w:sz w:val="24"/>
          <w:szCs w:val="24"/>
        </w:rPr>
        <w:t>indicate</w:t>
      </w:r>
      <w:r w:rsidR="004A3CF1">
        <w:rPr>
          <w:rFonts w:cs="Times New Roman"/>
          <w:sz w:val="24"/>
          <w:szCs w:val="24"/>
        </w:rPr>
        <w:t xml:space="preserve"> that</w:t>
      </w:r>
      <w:r w:rsidR="00217503">
        <w:rPr>
          <w:rFonts w:cs="Times New Roman"/>
          <w:sz w:val="24"/>
          <w:szCs w:val="24"/>
        </w:rPr>
        <w:t xml:space="preserve"> the </w:t>
      </w:r>
      <w:r w:rsidR="00217503" w:rsidRPr="000E258B">
        <w:rPr>
          <w:rFonts w:cs="Times New Roman"/>
          <w:sz w:val="24"/>
          <w:szCs w:val="24"/>
        </w:rPr>
        <w:t xml:space="preserve">harshest effects will be felt in many of the traditional Labour </w:t>
      </w:r>
      <w:r w:rsidR="004A3CF1" w:rsidRPr="000E258B">
        <w:rPr>
          <w:rFonts w:cs="Times New Roman"/>
          <w:sz w:val="24"/>
          <w:szCs w:val="24"/>
        </w:rPr>
        <w:t>‘</w:t>
      </w:r>
      <w:r w:rsidR="00217503" w:rsidRPr="000E258B">
        <w:rPr>
          <w:rFonts w:cs="Times New Roman"/>
          <w:sz w:val="24"/>
          <w:szCs w:val="24"/>
        </w:rPr>
        <w:t>heartlands</w:t>
      </w:r>
      <w:r w:rsidR="004A3CF1" w:rsidRPr="000E258B">
        <w:rPr>
          <w:rFonts w:cs="Times New Roman"/>
          <w:sz w:val="24"/>
          <w:szCs w:val="24"/>
        </w:rPr>
        <w:t>’</w:t>
      </w:r>
      <w:r w:rsidR="00B5255C" w:rsidRPr="000E258B">
        <w:rPr>
          <w:rFonts w:cs="Times New Roman"/>
          <w:sz w:val="24"/>
          <w:szCs w:val="24"/>
        </w:rPr>
        <w:t xml:space="preserve"> </w:t>
      </w:r>
      <w:proofErr w:type="gramEnd"/>
      <w:r w:rsidR="000C4601">
        <w:rPr>
          <w:rFonts w:cs="Times New Roman"/>
          <w:sz w:val="24"/>
          <w:szCs w:val="24"/>
        </w:rPr>
        <w:fldChar w:fldCharType="begin"/>
      </w:r>
      <w:r w:rsidR="00F35BB4">
        <w:rPr>
          <w:rFonts w:cs="Times New Roman"/>
          <w:sz w:val="24"/>
          <w:szCs w:val="24"/>
        </w:rPr>
        <w:instrText xml:space="preserve"> ADDIN EN.CITE &lt;EndNote&gt;&lt;Cite&gt;&lt;Author&gt;News&lt;/Author&gt;&lt;Year&gt;2018&lt;/Year&gt;&lt;RecNum&gt;1553&lt;/RecNum&gt;&lt;DisplayText&gt;(BBC News, 2018, Ortega-Argilés and McCann, 2018)&lt;/DisplayText&gt;&lt;record&gt;&lt;rec-number&gt;1553&lt;/rec-number&gt;&lt;foreign-keys&gt;&lt;key app="EN" db-id="sf2v0zffie0st6edessvst0jrx50tz9rrwst" timestamp="1557333053"&gt;1553&lt;/key&gt;&lt;/foreign-keys&gt;&lt;ref-type name="Newspaper Article"&gt;23&lt;/ref-type&gt;&lt;contributors&gt;&lt;authors&gt;&lt;author&gt;BBC News,&lt;/author&gt;&lt;/authors&gt;&lt;/contributors&gt;&lt;titles&gt;&lt;title&gt;‘Brexit will make UK worse off, government forecasts warn’&lt;/title&gt;&lt;secondary-title&gt;BBC News&lt;/secondary-title&gt;&lt;/titles&gt;&lt;dates&gt;&lt;year&gt;2018&lt;/year&gt;&lt;/dates&gt;&lt;urls&gt;&lt;related-urls&gt;&lt;url&gt;&lt;style face="underline" font="default" size="100%"&gt;www.bbc.com/news/uk-politics-46366162&lt;/style&gt;&lt;/url&gt;&lt;/related-urls&gt;&lt;/urls&gt;&lt;/record&gt;&lt;/Cite&gt;&lt;Cite&gt;&lt;Author&gt;Ortega-Argilés&lt;/Author&gt;&lt;Year&gt;2018&lt;/Year&gt;&lt;RecNum&gt;1560&lt;/RecNum&gt;&lt;record&gt;&lt;rec-number&gt;1560&lt;/rec-number&gt;&lt;foreign-keys&gt;&lt;key app="EN" db-id="sf2v0zffie0st6edessvst0jrx50tz9rrwst" timestamp="1557334151"&gt;1560&lt;/key&gt;&lt;/foreign-keys&gt;&lt;ref-type name="Newspaper Article"&gt;23&lt;/ref-type&gt;&lt;contributors&gt;&lt;authors&gt;&lt;author&gt;Ortega-Argilés, R. &lt;/author&gt;&lt;author&gt;McCann, P.&lt;/author&gt;&lt;/authors&gt;&lt;/contributors&gt;&lt;titles&gt;&lt;title&gt;‘How Brexit will hit different UK regions and industries’&lt;/title&gt;&lt;secondary-title&gt;The Conversation&lt;/secondary-title&gt;&lt;/titles&gt;&lt;dates&gt;&lt;year&gt;2018&lt;/year&gt;&lt;/dates&gt;&lt;urls&gt;&lt;related-urls&gt;&lt;url&gt;&lt;style face="underline" font="default" size="100%"&gt;https://theconversation.com/how-brexit-will-hit-different-uk-regions-and-industries-91287&lt;/style&gt;&lt;/url&gt;&lt;/related-urls&gt;&lt;/urls&gt;&lt;/record&gt;&lt;/Cite&gt;&lt;/EndNote&gt;</w:instrText>
      </w:r>
      <w:r w:rsidR="000C4601">
        <w:rPr>
          <w:rFonts w:cs="Times New Roman"/>
          <w:sz w:val="24"/>
          <w:szCs w:val="24"/>
        </w:rPr>
        <w:fldChar w:fldCharType="separate"/>
      </w:r>
      <w:r w:rsidR="00F35BB4">
        <w:rPr>
          <w:rFonts w:cs="Times New Roman"/>
          <w:noProof/>
          <w:sz w:val="24"/>
          <w:szCs w:val="24"/>
        </w:rPr>
        <w:t>(BBC News, 2018, Ortega-Argilés and McCann, 2018)</w:t>
      </w:r>
      <w:r w:rsidR="000C4601">
        <w:rPr>
          <w:rFonts w:cs="Times New Roman"/>
          <w:sz w:val="24"/>
          <w:szCs w:val="24"/>
        </w:rPr>
        <w:fldChar w:fldCharType="end"/>
      </w:r>
      <w:proofErr w:type="gramStart"/>
      <w:r w:rsidR="00217503" w:rsidRPr="000E258B">
        <w:rPr>
          <w:rFonts w:cs="Times New Roman"/>
          <w:sz w:val="24"/>
          <w:szCs w:val="24"/>
        </w:rPr>
        <w:t>.</w:t>
      </w:r>
      <w:proofErr w:type="gramEnd"/>
      <w:r w:rsidR="00217503" w:rsidRPr="000E258B">
        <w:rPr>
          <w:rFonts w:cs="Times New Roman"/>
          <w:sz w:val="24"/>
          <w:szCs w:val="24"/>
        </w:rPr>
        <w:t xml:space="preserve"> </w:t>
      </w:r>
    </w:p>
    <w:p w14:paraId="3596EF3B" w14:textId="3926739A" w:rsidR="00DD257E" w:rsidRPr="007A3248" w:rsidRDefault="004A3CF1" w:rsidP="00925B92">
      <w:pPr>
        <w:spacing w:after="0" w:line="276" w:lineRule="auto"/>
        <w:ind w:firstLine="567"/>
        <w:jc w:val="both"/>
        <w:rPr>
          <w:rFonts w:cs="Times New Roman"/>
          <w:sz w:val="24"/>
          <w:szCs w:val="24"/>
        </w:rPr>
      </w:pPr>
      <w:r w:rsidRPr="000E258B">
        <w:rPr>
          <w:rFonts w:cs="Times New Roman"/>
          <w:sz w:val="24"/>
          <w:szCs w:val="24"/>
        </w:rPr>
        <w:t>Hence</w:t>
      </w:r>
      <w:r w:rsidR="00B5255C" w:rsidRPr="000E258B">
        <w:rPr>
          <w:rFonts w:cs="Times New Roman"/>
          <w:sz w:val="24"/>
          <w:szCs w:val="24"/>
        </w:rPr>
        <w:t>,</w:t>
      </w:r>
      <w:r w:rsidR="00377D77" w:rsidRPr="000E258B">
        <w:rPr>
          <w:rFonts w:cs="Times New Roman"/>
          <w:sz w:val="24"/>
          <w:szCs w:val="24"/>
        </w:rPr>
        <w:t xml:space="preserve"> the </w:t>
      </w:r>
      <w:r w:rsidR="00217503" w:rsidRPr="000E258B">
        <w:rPr>
          <w:rFonts w:cs="Times New Roman"/>
          <w:sz w:val="24"/>
          <w:szCs w:val="24"/>
        </w:rPr>
        <w:t xml:space="preserve">LBB </w:t>
      </w:r>
      <w:proofErr w:type="spellStart"/>
      <w:r w:rsidR="00217503" w:rsidRPr="000E258B">
        <w:rPr>
          <w:rFonts w:cs="Times New Roman"/>
          <w:sz w:val="24"/>
          <w:szCs w:val="24"/>
        </w:rPr>
        <w:t>spatio</w:t>
      </w:r>
      <w:proofErr w:type="spellEnd"/>
      <w:r w:rsidR="00217503" w:rsidRPr="000E258B">
        <w:rPr>
          <w:rFonts w:cs="Times New Roman"/>
          <w:sz w:val="24"/>
          <w:szCs w:val="24"/>
        </w:rPr>
        <w:t xml:space="preserve">-social </w:t>
      </w:r>
      <w:r w:rsidR="00151BBE" w:rsidRPr="000E258B">
        <w:rPr>
          <w:rFonts w:cs="Times New Roman"/>
          <w:sz w:val="24"/>
          <w:szCs w:val="24"/>
        </w:rPr>
        <w:t xml:space="preserve">imaginary, or </w:t>
      </w:r>
      <w:r w:rsidR="00217503" w:rsidRPr="000E258B">
        <w:rPr>
          <w:rFonts w:cs="Times New Roman"/>
          <w:sz w:val="24"/>
          <w:szCs w:val="24"/>
        </w:rPr>
        <w:t>trope</w:t>
      </w:r>
      <w:r w:rsidR="00151BBE" w:rsidRPr="000E258B">
        <w:rPr>
          <w:rFonts w:cs="Times New Roman"/>
          <w:sz w:val="24"/>
          <w:szCs w:val="24"/>
        </w:rPr>
        <w:t>,</w:t>
      </w:r>
      <w:r w:rsidR="00217503" w:rsidRPr="000E258B">
        <w:rPr>
          <w:rFonts w:cs="Times New Roman"/>
          <w:sz w:val="24"/>
          <w:szCs w:val="24"/>
        </w:rPr>
        <w:t xml:space="preserve"> </w:t>
      </w:r>
      <w:r w:rsidR="00377D77" w:rsidRPr="000E258B">
        <w:rPr>
          <w:rFonts w:cs="Times New Roman"/>
          <w:sz w:val="24"/>
          <w:szCs w:val="24"/>
        </w:rPr>
        <w:t xml:space="preserve">does useful work </w:t>
      </w:r>
      <w:r w:rsidR="00217503" w:rsidRPr="000E258B">
        <w:rPr>
          <w:rFonts w:cs="Times New Roman"/>
          <w:sz w:val="24"/>
          <w:szCs w:val="24"/>
        </w:rPr>
        <w:t>for the leave lobby</w:t>
      </w:r>
      <w:r>
        <w:rPr>
          <w:rFonts w:cs="Times New Roman"/>
          <w:sz w:val="24"/>
          <w:szCs w:val="24"/>
        </w:rPr>
        <w:t xml:space="preserve"> </w:t>
      </w:r>
      <w:r w:rsidR="00217503">
        <w:rPr>
          <w:rFonts w:cs="Times New Roman"/>
          <w:sz w:val="24"/>
          <w:szCs w:val="24"/>
        </w:rPr>
        <w:t>condition</w:t>
      </w:r>
      <w:r>
        <w:rPr>
          <w:rFonts w:cs="Times New Roman"/>
          <w:sz w:val="24"/>
          <w:szCs w:val="24"/>
        </w:rPr>
        <w:t>ing</w:t>
      </w:r>
      <w:r w:rsidR="00217503">
        <w:rPr>
          <w:rFonts w:cs="Times New Roman"/>
          <w:sz w:val="24"/>
          <w:szCs w:val="24"/>
        </w:rPr>
        <w:t xml:space="preserve"> public opinion to see the choice to leave as being the will of</w:t>
      </w:r>
      <w:r w:rsidR="00DD257E">
        <w:rPr>
          <w:rFonts w:cs="Times New Roman"/>
          <w:sz w:val="24"/>
          <w:szCs w:val="24"/>
        </w:rPr>
        <w:t xml:space="preserve"> this</w:t>
      </w:r>
      <w:r w:rsidR="00217503">
        <w:rPr>
          <w:rFonts w:cs="Times New Roman"/>
          <w:sz w:val="24"/>
          <w:szCs w:val="24"/>
        </w:rPr>
        <w:t xml:space="preserve"> </w:t>
      </w:r>
      <w:r w:rsidR="00B5255C">
        <w:rPr>
          <w:rFonts w:cs="Times New Roman"/>
          <w:sz w:val="24"/>
          <w:szCs w:val="24"/>
        </w:rPr>
        <w:t xml:space="preserve">‘Left </w:t>
      </w:r>
      <w:proofErr w:type="gramStart"/>
      <w:r w:rsidR="00B5255C">
        <w:rPr>
          <w:rFonts w:cs="Times New Roman"/>
          <w:sz w:val="24"/>
          <w:szCs w:val="24"/>
        </w:rPr>
        <w:t>Behind</w:t>
      </w:r>
      <w:proofErr w:type="gramEnd"/>
      <w:r w:rsidR="00B5255C">
        <w:rPr>
          <w:rFonts w:cs="Times New Roman"/>
          <w:sz w:val="24"/>
          <w:szCs w:val="24"/>
        </w:rPr>
        <w:t xml:space="preserve"> Britain’.  </w:t>
      </w:r>
      <w:r w:rsidR="00DD257E">
        <w:rPr>
          <w:rFonts w:cs="Times New Roman"/>
          <w:sz w:val="24"/>
          <w:szCs w:val="24"/>
        </w:rPr>
        <w:t xml:space="preserve">Yet, </w:t>
      </w:r>
      <w:r w:rsidR="00A903F4">
        <w:rPr>
          <w:rFonts w:cs="Times New Roman"/>
          <w:sz w:val="24"/>
          <w:szCs w:val="24"/>
        </w:rPr>
        <w:t xml:space="preserve">this overall spatial </w:t>
      </w:r>
      <w:r w:rsidR="00DD257E">
        <w:rPr>
          <w:rFonts w:cs="Times New Roman"/>
          <w:sz w:val="24"/>
          <w:szCs w:val="24"/>
        </w:rPr>
        <w:t>characterisation has already been c</w:t>
      </w:r>
      <w:r w:rsidR="00A903F4">
        <w:rPr>
          <w:rFonts w:cs="Times New Roman"/>
          <w:sz w:val="24"/>
          <w:szCs w:val="24"/>
        </w:rPr>
        <w:t xml:space="preserve">hallenged </w:t>
      </w:r>
      <w:r w:rsidR="00DF196D">
        <w:rPr>
          <w:rFonts w:cs="Times New Roman"/>
          <w:sz w:val="24"/>
          <w:szCs w:val="24"/>
        </w:rPr>
        <w:fldChar w:fldCharType="begin"/>
      </w:r>
      <w:r w:rsidR="00F35BB4">
        <w:rPr>
          <w:rFonts w:cs="Times New Roman"/>
          <w:sz w:val="24"/>
          <w:szCs w:val="24"/>
        </w:rPr>
        <w:instrText xml:space="preserve"> ADDIN EN.CITE &lt;EndNote&gt;&lt;Cite&gt;&lt;Author&gt;Dorling&lt;/Author&gt;&lt;Year&gt;2016&lt;/Year&gt;&lt;RecNum&gt;799&lt;/RecNum&gt;&lt;DisplayText&gt;(Dorling, 2016, Dorling and Tomlinson, 2019)&lt;/DisplayText&gt;&lt;record&gt;&lt;rec-number&gt;799&lt;/rec-number&gt;&lt;foreign-keys&gt;&lt;key app="EN" db-id="sf2v0zffie0st6edessvst0jrx50tz9rrwst" timestamp="1484841310"&gt;799&lt;/key&gt;&lt;/foreign-keys&gt;&lt;ref-type name="Journal Article"&gt;17&lt;/ref-type&gt;&lt;contributors&gt;&lt;authors&gt;&lt;author&gt;Dorling, D&lt;/author&gt;&lt;/authors&gt;&lt;/contributors&gt;&lt;titles&gt;&lt;title&gt;Brexit: The Decision of a Divided County&lt;/title&gt;&lt;secondary-title&gt;BMJ&lt;/secondary-title&gt;&lt;/titles&gt;&lt;periodical&gt;&lt;full-title&gt;BMJ&lt;/full-title&gt;&lt;/periodical&gt;&lt;volume&gt;354&lt;/volume&gt;&lt;dates&gt;&lt;year&gt;2016&lt;/year&gt;&lt;/dates&gt;&lt;urls&gt;&lt;/urls&gt;&lt;/record&gt;&lt;/Cite&gt;&lt;Cite&gt;&lt;Author&gt;Dorling&lt;/Author&gt;&lt;Year&gt;2019&lt;/Year&gt;&lt;RecNum&gt;1594&lt;/RecNum&gt;&lt;record&gt;&lt;rec-number&gt;1594&lt;/rec-number&gt;&lt;foreign-keys&gt;&lt;key app="EN" db-id="sf2v0zffie0st6edessvst0jrx50tz9rrwst" timestamp="1564740531"&gt;1594&lt;/key&gt;&lt;/foreign-keys&gt;&lt;ref-type name="Book"&gt;6&lt;/ref-type&gt;&lt;contributors&gt;&lt;authors&gt;&lt;author&gt;Dorling, Danny&lt;/author&gt;&lt;author&gt;Tomlinson, Sally&lt;/author&gt;&lt;/authors&gt;&lt;/contributors&gt;&lt;titles&gt;&lt;title&gt;Rule Britannia: BREXIT and the End of empire&lt;/title&gt;&lt;/titles&gt;&lt;dates&gt;&lt;year&gt;2019&lt;/year&gt;&lt;/dates&gt;&lt;publisher&gt;Biteback Publishing&lt;/publisher&gt;&lt;isbn&gt;1785904566&lt;/isbn&gt;&lt;urls&gt;&lt;/urls&gt;&lt;/record&gt;&lt;/Cite&gt;&lt;/EndNote&gt;</w:instrText>
      </w:r>
      <w:r w:rsidR="00DF196D">
        <w:rPr>
          <w:rFonts w:cs="Times New Roman"/>
          <w:sz w:val="24"/>
          <w:szCs w:val="24"/>
        </w:rPr>
        <w:fldChar w:fldCharType="separate"/>
      </w:r>
      <w:r w:rsidR="00F35BB4">
        <w:rPr>
          <w:rFonts w:cs="Times New Roman"/>
          <w:noProof/>
          <w:sz w:val="24"/>
          <w:szCs w:val="24"/>
        </w:rPr>
        <w:t>(Dorling, 2016, Dorling and Tomlinson, 2019)</w:t>
      </w:r>
      <w:r w:rsidR="00DF196D">
        <w:rPr>
          <w:rFonts w:cs="Times New Roman"/>
          <w:sz w:val="24"/>
          <w:szCs w:val="24"/>
        </w:rPr>
        <w:fldChar w:fldCharType="end"/>
      </w:r>
      <w:r w:rsidR="00DF196D">
        <w:rPr>
          <w:rFonts w:cs="Times New Roman"/>
          <w:sz w:val="24"/>
          <w:szCs w:val="24"/>
        </w:rPr>
        <w:t xml:space="preserve"> </w:t>
      </w:r>
      <w:r w:rsidR="00A903F4">
        <w:rPr>
          <w:rFonts w:cs="Times New Roman"/>
          <w:sz w:val="24"/>
          <w:szCs w:val="24"/>
        </w:rPr>
        <w:t>wi</w:t>
      </w:r>
      <w:r w:rsidR="00DD257E">
        <w:rPr>
          <w:rFonts w:cs="Times New Roman"/>
          <w:sz w:val="24"/>
          <w:szCs w:val="24"/>
        </w:rPr>
        <w:t xml:space="preserve">th </w:t>
      </w:r>
      <w:r w:rsidR="00AB1F39">
        <w:rPr>
          <w:rFonts w:cs="Times New Roman"/>
          <w:sz w:val="24"/>
          <w:szCs w:val="24"/>
        </w:rPr>
        <w:fldChar w:fldCharType="begin"/>
      </w:r>
      <w:r w:rsidR="00AB1F39">
        <w:rPr>
          <w:rFonts w:cs="Times New Roman"/>
          <w:sz w:val="24"/>
          <w:szCs w:val="24"/>
        </w:rPr>
        <w:instrText xml:space="preserve"> ADDIN EN.CITE &lt;EndNote&gt;&lt;Cite AuthorYear="1"&gt;&lt;Author&gt;Dorling&lt;/Author&gt;&lt;Year&gt;2016&lt;/Year&gt;&lt;RecNum&gt;799&lt;/RecNum&gt;&lt;DisplayText&gt;Dorling (2016)&lt;/DisplayText&gt;&lt;record&gt;&lt;rec-number&gt;799&lt;/rec-number&gt;&lt;foreign-keys&gt;&lt;key app="EN" db-id="sf2v0zffie0st6edessvst0jrx50tz9rrwst" timestamp="1484841310"&gt;799&lt;/key&gt;&lt;/foreign-keys&gt;&lt;ref-type name="Journal Article"&gt;17&lt;/ref-type&gt;&lt;contributors&gt;&lt;authors&gt;&lt;author&gt;Dorling, D&lt;/author&gt;&lt;/authors&gt;&lt;/contributors&gt;&lt;titles&gt;&lt;title&gt;Brexit: The Decision of a Divided County&lt;/title&gt;&lt;secondary-title&gt;BMJ&lt;/secondary-title&gt;&lt;/titles&gt;&lt;periodical&gt;&lt;full-title&gt;BMJ&lt;/full-title&gt;&lt;/periodical&gt;&lt;volume&gt;354&lt;/volume&gt;&lt;dates&gt;&lt;year&gt;2016&lt;/year&gt;&lt;/dates&gt;&lt;urls&gt;&lt;/urls&gt;&lt;/record&gt;&lt;/Cite&gt;&lt;/EndNote&gt;</w:instrText>
      </w:r>
      <w:r w:rsidR="00AB1F39">
        <w:rPr>
          <w:rFonts w:cs="Times New Roman"/>
          <w:sz w:val="24"/>
          <w:szCs w:val="24"/>
        </w:rPr>
        <w:fldChar w:fldCharType="separate"/>
      </w:r>
      <w:r w:rsidR="00AB1F39">
        <w:rPr>
          <w:rFonts w:cs="Times New Roman"/>
          <w:noProof/>
          <w:sz w:val="24"/>
          <w:szCs w:val="24"/>
        </w:rPr>
        <w:t>Dorling (2016)</w:t>
      </w:r>
      <w:r w:rsidR="00AB1F39">
        <w:rPr>
          <w:rFonts w:cs="Times New Roman"/>
          <w:sz w:val="24"/>
          <w:szCs w:val="24"/>
        </w:rPr>
        <w:fldChar w:fldCharType="end"/>
      </w:r>
      <w:r w:rsidR="00DD257E">
        <w:rPr>
          <w:rFonts w:cs="Times New Roman"/>
          <w:sz w:val="24"/>
          <w:szCs w:val="24"/>
        </w:rPr>
        <w:t xml:space="preserve"> </w:t>
      </w:r>
      <w:r w:rsidR="00A903F4">
        <w:rPr>
          <w:rFonts w:cs="Times New Roman"/>
          <w:sz w:val="24"/>
          <w:szCs w:val="24"/>
        </w:rPr>
        <w:t xml:space="preserve">pointing out </w:t>
      </w:r>
      <w:r w:rsidR="00DD257E">
        <w:rPr>
          <w:rFonts w:cs="Times New Roman"/>
          <w:sz w:val="24"/>
          <w:szCs w:val="24"/>
        </w:rPr>
        <w:t>that although</w:t>
      </w:r>
      <w:r w:rsidR="00DD257E" w:rsidRPr="007A3248">
        <w:rPr>
          <w:rFonts w:cs="Times New Roman"/>
          <w:sz w:val="24"/>
          <w:szCs w:val="24"/>
        </w:rPr>
        <w:t xml:space="preserve"> some such regions did vote to leave the EU, this was</w:t>
      </w:r>
      <w:r w:rsidR="00A903F4">
        <w:rPr>
          <w:rFonts w:cs="Times New Roman"/>
          <w:sz w:val="24"/>
          <w:szCs w:val="24"/>
        </w:rPr>
        <w:t xml:space="preserve"> against a wider backdrop where</w:t>
      </w:r>
      <w:r w:rsidR="00DD257E" w:rsidRPr="007A3248">
        <w:rPr>
          <w:rFonts w:cs="Times New Roman"/>
          <w:sz w:val="24"/>
          <w:szCs w:val="24"/>
        </w:rPr>
        <w:t>:</w:t>
      </w:r>
    </w:p>
    <w:p w14:paraId="7A647D14" w14:textId="77777777" w:rsidR="00DD257E" w:rsidRPr="007A3248" w:rsidRDefault="00DD257E" w:rsidP="00DD257E">
      <w:pPr>
        <w:spacing w:after="0" w:line="276" w:lineRule="auto"/>
        <w:jc w:val="both"/>
        <w:rPr>
          <w:rFonts w:cs="Times New Roman"/>
          <w:sz w:val="24"/>
          <w:szCs w:val="24"/>
        </w:rPr>
      </w:pPr>
    </w:p>
    <w:p w14:paraId="7C1F4F83" w14:textId="77777777" w:rsidR="00DD257E" w:rsidRPr="007A3248" w:rsidRDefault="00DD257E" w:rsidP="00DD257E">
      <w:pPr>
        <w:spacing w:after="0" w:line="276" w:lineRule="auto"/>
        <w:ind w:left="720" w:right="1088"/>
        <w:jc w:val="both"/>
        <w:rPr>
          <w:rFonts w:cs="Times New Roman"/>
          <w:i/>
          <w:sz w:val="24"/>
          <w:szCs w:val="24"/>
        </w:rPr>
      </w:pPr>
      <w:r w:rsidRPr="007A3248">
        <w:rPr>
          <w:rFonts w:cs="Times New Roman"/>
          <w:i/>
          <w:sz w:val="24"/>
          <w:szCs w:val="24"/>
        </w:rPr>
        <w:t>Contrary to popular belief, 52% of people who voted Leave in the EU referendum lived in the southern half of England, and 59% were in the middle classes, while the proportion of Leave voters in the lowest two social classes was just 24%.</w:t>
      </w:r>
    </w:p>
    <w:p w14:paraId="583A607B" w14:textId="77777777" w:rsidR="00DD257E" w:rsidRPr="007A3248" w:rsidRDefault="00DD257E" w:rsidP="00DD257E">
      <w:pPr>
        <w:spacing w:after="0" w:line="276" w:lineRule="auto"/>
        <w:ind w:left="720" w:right="1088"/>
        <w:jc w:val="both"/>
        <w:rPr>
          <w:rFonts w:cs="Times New Roman"/>
          <w:i/>
          <w:sz w:val="24"/>
          <w:szCs w:val="24"/>
        </w:rPr>
      </w:pPr>
    </w:p>
    <w:p w14:paraId="1999FFD0" w14:textId="40BBDCB1" w:rsidR="00D33D2D" w:rsidRDefault="00D33D2D" w:rsidP="00D33D2D">
      <w:pPr>
        <w:spacing w:after="0" w:line="276" w:lineRule="auto"/>
        <w:ind w:firstLine="567"/>
        <w:jc w:val="both"/>
        <w:rPr>
          <w:rFonts w:cs="Times New Roman"/>
          <w:sz w:val="24"/>
          <w:szCs w:val="24"/>
        </w:rPr>
      </w:pPr>
      <w:r>
        <w:rPr>
          <w:rFonts w:cs="Times New Roman"/>
          <w:sz w:val="24"/>
          <w:szCs w:val="24"/>
        </w:rPr>
        <w:t xml:space="preserve">Developing this, </w:t>
      </w:r>
      <w:r>
        <w:rPr>
          <w:rFonts w:cs="Times New Roman"/>
          <w:sz w:val="24"/>
          <w:szCs w:val="24"/>
        </w:rPr>
        <w:fldChar w:fldCharType="begin"/>
      </w:r>
      <w:r>
        <w:rPr>
          <w:rFonts w:cs="Times New Roman"/>
          <w:sz w:val="24"/>
          <w:szCs w:val="24"/>
        </w:rPr>
        <w:instrText xml:space="preserve"> ADDIN EN.CITE &lt;EndNote&gt;&lt;Cite AuthorYear="1"&gt;&lt;Author&gt;Goodwin&lt;/Author&gt;&lt;Year&gt;2017&lt;/Year&gt;&lt;RecNum&gt;1566&lt;/RecNum&gt;&lt;DisplayText&gt;Goodwin (2017)&lt;/DisplayText&gt;&lt;record&gt;&lt;rec-number&gt;1566&lt;/rec-number&gt;&lt;foreign-keys&gt;&lt;key app="EN" db-id="sf2v0zffie0st6edessvst0jrx50tz9rrwst" timestamp="1557392508"&gt;1566&lt;/key&gt;&lt;/foreign-keys&gt;&lt;ref-type name="Conference Paper"&gt;47&lt;/ref-type&gt;&lt;contributors&gt;&lt;authors&gt;&lt;author&gt;Goodwin, M.&lt;/author&gt;&lt;/authors&gt;&lt;/contributors&gt;&lt;titles&gt;&lt;title&gt;Brexit: Causes and consequences&lt;/title&gt;&lt;secondary-title&gt;Royal Geographical Society, Monday Night Lectures&lt;/secondary-title&gt;&lt;/titles&gt;&lt;dates&gt;&lt;year&gt;2017&lt;/year&gt;&lt;/dates&gt;&lt;pub-location&gt;London&lt;/pub-location&gt;&lt;urls&gt;&lt;related-urls&gt;&lt;url&gt;&lt;style face="normal" font="default" size="100%"&gt; &lt;/style&gt;&lt;style face="underline" font="default" size="100%"&gt;http://www.matthewjgoodwin.org/uploads/6/4/0/2/64026337/leave_vote_lecture.pdf&lt;/style&gt;&lt;/url&gt;&lt;/related-urls&gt;&lt;/urls&gt;&lt;access-date&gt;9th May 2019&lt;/access-date&gt;&lt;/record&gt;&lt;/Cite&gt;&lt;/EndNote&gt;</w:instrText>
      </w:r>
      <w:r>
        <w:rPr>
          <w:rFonts w:cs="Times New Roman"/>
          <w:sz w:val="24"/>
          <w:szCs w:val="24"/>
        </w:rPr>
        <w:fldChar w:fldCharType="separate"/>
      </w:r>
      <w:r>
        <w:rPr>
          <w:rFonts w:cs="Times New Roman"/>
          <w:noProof/>
          <w:sz w:val="24"/>
          <w:szCs w:val="24"/>
        </w:rPr>
        <w:t>Goodwin (2017)</w:t>
      </w:r>
      <w:r>
        <w:rPr>
          <w:rFonts w:cs="Times New Roman"/>
          <w:sz w:val="24"/>
          <w:szCs w:val="24"/>
        </w:rPr>
        <w:fldChar w:fldCharType="end"/>
      </w:r>
      <w:r>
        <w:rPr>
          <w:rFonts w:cs="Times New Roman"/>
          <w:sz w:val="24"/>
          <w:szCs w:val="24"/>
        </w:rPr>
        <w:t xml:space="preserve"> emphasises that whilst people who might be characterised as part of LBB did form a key part of the Leave vote’s makeup, they were not the primary driver – rather </w:t>
      </w:r>
      <w:r w:rsidRPr="00A33CF0">
        <w:rPr>
          <w:rFonts w:cs="Times New Roman"/>
          <w:sz w:val="24"/>
          <w:szCs w:val="24"/>
        </w:rPr>
        <w:t xml:space="preserve">the most significant bloc within </w:t>
      </w:r>
      <w:r>
        <w:rPr>
          <w:rFonts w:cs="Times New Roman"/>
          <w:sz w:val="24"/>
          <w:szCs w:val="24"/>
        </w:rPr>
        <w:t xml:space="preserve">this were those </w:t>
      </w:r>
      <w:r w:rsidRPr="00A33CF0">
        <w:rPr>
          <w:rFonts w:cs="Times New Roman"/>
          <w:sz w:val="24"/>
          <w:szCs w:val="24"/>
        </w:rPr>
        <w:t xml:space="preserve">that the National </w:t>
      </w:r>
      <w:r>
        <w:rPr>
          <w:rFonts w:cs="Times New Roman"/>
          <w:sz w:val="24"/>
          <w:szCs w:val="24"/>
        </w:rPr>
        <w:fldChar w:fldCharType="begin"/>
      </w:r>
      <w:r>
        <w:rPr>
          <w:rFonts w:cs="Times New Roman"/>
          <w:sz w:val="24"/>
          <w:szCs w:val="24"/>
        </w:rPr>
        <w:instrText xml:space="preserve"> ADDIN EN.CITE &lt;EndNote&gt;&lt;Cite AuthorYear="1"&gt;&lt;Author&gt;Centre for Social Research&lt;/Author&gt;&lt;Year&gt;2016&lt;/Year&gt;&lt;RecNum&gt;1568&lt;/RecNum&gt;&lt;DisplayText&gt;Centre for Social Research (2016)&lt;/DisplayText&gt;&lt;record&gt;&lt;rec-number&gt;1568&lt;/rec-number&gt;&lt;foreign-keys&gt;&lt;key app="EN" db-id="sf2v0zffie0st6edessvst0jrx50tz9rrwst" timestamp="1557398238"&gt;1568&lt;/key&gt;&lt;/foreign-keys&gt;&lt;ref-type name="Web Page"&gt;12&lt;/ref-type&gt;&lt;contributors&gt;&lt;authors&gt;&lt;author&gt;Centre for Social Research,&lt;/author&gt;&lt;/authors&gt;&lt;/contributors&gt;&lt;titles&gt;&lt;title&gt;Understanding the Leave Vote&lt;/title&gt;&lt;/titles&gt;&lt;volume&gt;2019&lt;/volume&gt;&lt;number&gt;9th May&lt;/number&gt;&lt;dates&gt;&lt;year&gt;2016&lt;/year&gt;&lt;/dates&gt;&lt;urls&gt;&lt;related-urls&gt;&lt;url&gt;&lt;style face="underline" font="default" size="100%"&gt;http://natcen.ac.uk/our-research/research/understanding-the-leave-vote/&lt;/style&gt;&lt;/url&gt;&lt;/related-urls&gt;&lt;/urls&gt;&lt;/record&gt;&lt;/Cite&gt;&lt;/EndNote&gt;</w:instrText>
      </w:r>
      <w:r>
        <w:rPr>
          <w:rFonts w:cs="Times New Roman"/>
          <w:sz w:val="24"/>
          <w:szCs w:val="24"/>
        </w:rPr>
        <w:fldChar w:fldCharType="separate"/>
      </w:r>
      <w:r>
        <w:rPr>
          <w:rFonts w:cs="Times New Roman"/>
          <w:noProof/>
          <w:sz w:val="24"/>
          <w:szCs w:val="24"/>
        </w:rPr>
        <w:t>Centre for Social Research (2016)</w:t>
      </w:r>
      <w:r>
        <w:rPr>
          <w:rFonts w:cs="Times New Roman"/>
          <w:sz w:val="24"/>
          <w:szCs w:val="24"/>
        </w:rPr>
        <w:fldChar w:fldCharType="end"/>
      </w:r>
      <w:r w:rsidRPr="00A33CF0">
        <w:rPr>
          <w:rFonts w:cs="Times New Roman"/>
          <w:sz w:val="24"/>
          <w:szCs w:val="24"/>
        </w:rPr>
        <w:t xml:space="preserve"> has termed Affluent </w:t>
      </w:r>
      <w:proofErr w:type="spellStart"/>
      <w:r w:rsidRPr="00A33CF0">
        <w:rPr>
          <w:rFonts w:cs="Times New Roman"/>
          <w:sz w:val="24"/>
          <w:szCs w:val="24"/>
        </w:rPr>
        <w:t>Eurosceptics</w:t>
      </w:r>
      <w:proofErr w:type="spellEnd"/>
      <w:r>
        <w:rPr>
          <w:rFonts w:cs="Times New Roman"/>
          <w:sz w:val="24"/>
          <w:szCs w:val="24"/>
        </w:rPr>
        <w:t xml:space="preserve">.  In this light, </w:t>
      </w:r>
      <w:r w:rsidR="00DF196D">
        <w:rPr>
          <w:rFonts w:cs="Times New Roman"/>
          <w:sz w:val="24"/>
          <w:szCs w:val="24"/>
        </w:rPr>
        <w:fldChar w:fldCharType="begin"/>
      </w:r>
      <w:r w:rsidR="00F35BB4">
        <w:rPr>
          <w:rFonts w:cs="Times New Roman"/>
          <w:sz w:val="24"/>
          <w:szCs w:val="24"/>
        </w:rPr>
        <w:instrText xml:space="preserve"> ADDIN EN.CITE &lt;EndNote&gt;&lt;Cite&gt;&lt;Author&gt;Dorling&lt;/Author&gt;&lt;Year&gt;2019&lt;/Year&gt;&lt;RecNum&gt;1594&lt;/RecNum&gt;&lt;DisplayText&gt;(Dorling and Tomlinson, 2019)&lt;/DisplayText&gt;&lt;record&gt;&lt;rec-number&gt;1594&lt;/rec-number&gt;&lt;foreign-keys&gt;&lt;key app="EN" db-id="sf2v0zffie0st6edessvst0jrx50tz9rrwst" timestamp="1564740531"&gt;1594&lt;/key&gt;&lt;/foreign-keys&gt;&lt;ref-type name="Book"&gt;6&lt;/ref-type&gt;&lt;contributors&gt;&lt;authors&gt;&lt;author&gt;Dorling, Danny&lt;/author&gt;&lt;author&gt;Tomlinson, Sally&lt;/author&gt;&lt;/authors&gt;&lt;/contributors&gt;&lt;titles&gt;&lt;title&gt;Rule Britannia: BREXIT and the End of empire&lt;/title&gt;&lt;/titles&gt;&lt;dates&gt;&lt;year&gt;2019&lt;/year&gt;&lt;/dates&gt;&lt;publisher&gt;Biteback Publishing&lt;/publisher&gt;&lt;isbn&gt;1785904566&lt;/isbn&gt;&lt;urls&gt;&lt;/urls&gt;&lt;/record&gt;&lt;/Cite&gt;&lt;/EndNote&gt;</w:instrText>
      </w:r>
      <w:r w:rsidR="00DF196D">
        <w:rPr>
          <w:rFonts w:cs="Times New Roman"/>
          <w:sz w:val="24"/>
          <w:szCs w:val="24"/>
        </w:rPr>
        <w:fldChar w:fldCharType="separate"/>
      </w:r>
      <w:r w:rsidR="00F35BB4">
        <w:rPr>
          <w:rFonts w:cs="Times New Roman"/>
          <w:noProof/>
          <w:sz w:val="24"/>
          <w:szCs w:val="24"/>
        </w:rPr>
        <w:t xml:space="preserve">(Dorling and </w:t>
      </w:r>
      <w:r w:rsidR="00F35BB4">
        <w:rPr>
          <w:rFonts w:cs="Times New Roman"/>
          <w:noProof/>
          <w:sz w:val="24"/>
          <w:szCs w:val="24"/>
        </w:rPr>
        <w:lastRenderedPageBreak/>
        <w:t>Tomlinson, 2019)</w:t>
      </w:r>
      <w:r w:rsidR="00DF196D">
        <w:rPr>
          <w:rFonts w:cs="Times New Roman"/>
          <w:sz w:val="24"/>
          <w:szCs w:val="24"/>
        </w:rPr>
        <w:fldChar w:fldCharType="end"/>
      </w:r>
      <w:r>
        <w:rPr>
          <w:rFonts w:cs="Times New Roman"/>
          <w:sz w:val="24"/>
          <w:szCs w:val="24"/>
        </w:rPr>
        <w:t xml:space="preserve"> argue that the views of this group are deeply entwined with (a largely unsatisfactory </w:t>
      </w:r>
      <w:r w:rsidR="0045546E">
        <w:rPr>
          <w:rFonts w:cs="Times New Roman"/>
          <w:sz w:val="24"/>
          <w:szCs w:val="24"/>
        </w:rPr>
        <w:t xml:space="preserve">view </w:t>
      </w:r>
      <w:r>
        <w:rPr>
          <w:rFonts w:cs="Times New Roman"/>
          <w:sz w:val="24"/>
          <w:szCs w:val="24"/>
        </w:rPr>
        <w:t xml:space="preserve">of) Britain’s changing role in the world, and that </w:t>
      </w:r>
      <w:r w:rsidR="00DF196D">
        <w:rPr>
          <w:rFonts w:cs="Times New Roman"/>
          <w:sz w:val="24"/>
          <w:szCs w:val="24"/>
        </w:rPr>
        <w:t>the Leave vote can be characterised as ‘the last vestiges of empire working their way out of the British psyche’</w:t>
      </w:r>
      <w:r>
        <w:rPr>
          <w:rFonts w:cs="Times New Roman"/>
          <w:sz w:val="24"/>
          <w:szCs w:val="24"/>
        </w:rPr>
        <w:t xml:space="preserve"> </w:t>
      </w:r>
      <w:r>
        <w:rPr>
          <w:rFonts w:cs="Times New Roman"/>
          <w:sz w:val="24"/>
          <w:szCs w:val="24"/>
        </w:rPr>
        <w:fldChar w:fldCharType="begin"/>
      </w:r>
      <w:r w:rsidR="00F35BB4">
        <w:rPr>
          <w:rFonts w:cs="Times New Roman"/>
          <w:sz w:val="24"/>
          <w:szCs w:val="24"/>
        </w:rPr>
        <w:instrText xml:space="preserve"> ADDIN EN.CITE &lt;EndNote&gt;&lt;Cite&gt;&lt;Author&gt;Dorling&lt;/Author&gt;&lt;Year&gt;2019&lt;/Year&gt;&lt;RecNum&gt;1594&lt;/RecNum&gt;&lt;Suffix&gt;`, p2.&lt;/Suffix&gt;&lt;DisplayText&gt;(Dorling and Tomlinson, 2019, p2.)&lt;/DisplayText&gt;&lt;record&gt;&lt;rec-number&gt;1594&lt;/rec-number&gt;&lt;foreign-keys&gt;&lt;key app="EN" db-id="sf2v0zffie0st6edessvst0jrx50tz9rrwst" timestamp="1564740531"&gt;1594&lt;/key&gt;&lt;/foreign-keys&gt;&lt;ref-type name="Book"&gt;6&lt;/ref-type&gt;&lt;contributors&gt;&lt;authors&gt;&lt;author&gt;Dorling, Danny&lt;/author&gt;&lt;author&gt;Tomlinson, Sally&lt;/author&gt;&lt;/authors&gt;&lt;/contributors&gt;&lt;titles&gt;&lt;title&gt;Rule Britannia: BREXIT and the End of empire&lt;/title&gt;&lt;/titles&gt;&lt;dates&gt;&lt;year&gt;2019&lt;/year&gt;&lt;/dates&gt;&lt;publisher&gt;Biteback Publishing&lt;/publisher&gt;&lt;isbn&gt;1785904566&lt;/isbn&gt;&lt;urls&gt;&lt;/urls&gt;&lt;/record&gt;&lt;/Cite&gt;&lt;/EndNote&gt;</w:instrText>
      </w:r>
      <w:r>
        <w:rPr>
          <w:rFonts w:cs="Times New Roman"/>
          <w:sz w:val="24"/>
          <w:szCs w:val="24"/>
        </w:rPr>
        <w:fldChar w:fldCharType="separate"/>
      </w:r>
      <w:r w:rsidR="00F35BB4">
        <w:rPr>
          <w:rFonts w:cs="Times New Roman"/>
          <w:noProof/>
          <w:sz w:val="24"/>
          <w:szCs w:val="24"/>
        </w:rPr>
        <w:t>(Dorling and Tomlinson, 2019, p2.)</w:t>
      </w:r>
      <w:r>
        <w:rPr>
          <w:rFonts w:cs="Times New Roman"/>
          <w:sz w:val="24"/>
          <w:szCs w:val="24"/>
        </w:rPr>
        <w:fldChar w:fldCharType="end"/>
      </w:r>
      <w:r>
        <w:rPr>
          <w:rFonts w:cs="Times New Roman"/>
          <w:sz w:val="24"/>
          <w:szCs w:val="24"/>
        </w:rPr>
        <w:t>.</w:t>
      </w:r>
      <w:r w:rsidR="00974089">
        <w:rPr>
          <w:rFonts w:cs="Times New Roman"/>
          <w:sz w:val="24"/>
          <w:szCs w:val="24"/>
        </w:rPr>
        <w:t xml:space="preserve">  </w:t>
      </w:r>
    </w:p>
    <w:p w14:paraId="37718445" w14:textId="1B6BEE23" w:rsidR="0032369B" w:rsidRDefault="0045546E" w:rsidP="0045546E">
      <w:pPr>
        <w:spacing w:after="0" w:line="276" w:lineRule="auto"/>
        <w:ind w:firstLine="567"/>
        <w:jc w:val="both"/>
        <w:rPr>
          <w:rFonts w:cs="Times New Roman"/>
          <w:sz w:val="24"/>
          <w:szCs w:val="24"/>
        </w:rPr>
      </w:pPr>
      <w:r>
        <w:rPr>
          <w:rFonts w:cs="Times New Roman"/>
          <w:sz w:val="24"/>
          <w:szCs w:val="24"/>
        </w:rPr>
        <w:t xml:space="preserve">It is these </w:t>
      </w:r>
      <w:proofErr w:type="gramStart"/>
      <w:r>
        <w:rPr>
          <w:rFonts w:cs="Times New Roman"/>
          <w:sz w:val="24"/>
          <w:szCs w:val="24"/>
        </w:rPr>
        <w:t>views which</w:t>
      </w:r>
      <w:proofErr w:type="gramEnd"/>
      <w:r>
        <w:rPr>
          <w:rFonts w:cs="Times New Roman"/>
          <w:sz w:val="24"/>
          <w:szCs w:val="24"/>
        </w:rPr>
        <w:t xml:space="preserve"> feed into another </w:t>
      </w:r>
      <w:r w:rsidR="00C23EEC">
        <w:rPr>
          <w:rFonts w:cs="Times New Roman"/>
          <w:sz w:val="24"/>
          <w:szCs w:val="24"/>
        </w:rPr>
        <w:t>commonly-held analys</w:t>
      </w:r>
      <w:r>
        <w:rPr>
          <w:rFonts w:cs="Times New Roman"/>
          <w:sz w:val="24"/>
          <w:szCs w:val="24"/>
        </w:rPr>
        <w:t xml:space="preserve">is </w:t>
      </w:r>
      <w:r w:rsidR="00C23EEC">
        <w:rPr>
          <w:rFonts w:cs="Times New Roman"/>
          <w:sz w:val="24"/>
          <w:szCs w:val="24"/>
        </w:rPr>
        <w:t>which gained particular traction</w:t>
      </w:r>
      <w:r>
        <w:rPr>
          <w:rFonts w:cs="Times New Roman"/>
          <w:sz w:val="24"/>
          <w:szCs w:val="24"/>
        </w:rPr>
        <w:t>:</w:t>
      </w:r>
      <w:r w:rsidR="00C23EEC">
        <w:rPr>
          <w:rFonts w:cs="Times New Roman"/>
          <w:sz w:val="24"/>
          <w:szCs w:val="24"/>
        </w:rPr>
        <w:t xml:space="preserve"> a young versus old dynamic.</w:t>
      </w:r>
      <w:r w:rsidR="006667E0">
        <w:rPr>
          <w:rFonts w:cs="Times New Roman"/>
          <w:sz w:val="24"/>
          <w:szCs w:val="24"/>
        </w:rPr>
        <w:t xml:space="preserve"> </w:t>
      </w:r>
      <w:r>
        <w:rPr>
          <w:rFonts w:cs="Times New Roman"/>
          <w:sz w:val="24"/>
          <w:szCs w:val="24"/>
        </w:rPr>
        <w:t xml:space="preserve"> Again, there is some underlying evidence to support this view, not least </w:t>
      </w:r>
      <w:r w:rsidR="006667E0">
        <w:rPr>
          <w:rFonts w:cs="Times New Roman"/>
          <w:sz w:val="24"/>
          <w:szCs w:val="24"/>
        </w:rPr>
        <w:t xml:space="preserve">a spate of opinion/exit polls taken in the period near the referendum </w:t>
      </w:r>
      <w:r w:rsidR="000C4601">
        <w:rPr>
          <w:rFonts w:cs="Times New Roman"/>
          <w:sz w:val="24"/>
          <w:szCs w:val="24"/>
        </w:rPr>
        <w:fldChar w:fldCharType="begin"/>
      </w:r>
      <w:r w:rsidR="00F35BB4">
        <w:rPr>
          <w:rFonts w:cs="Times New Roman"/>
          <w:sz w:val="24"/>
          <w:szCs w:val="24"/>
        </w:rPr>
        <w:instrText xml:space="preserve"> ADDIN EN.CITE &lt;EndNote&gt;&lt;Cite&gt;&lt;Author&gt;Curtice&lt;/Author&gt;&lt;Year&gt;2018&lt;/Year&gt;&lt;RecNum&gt;1555&lt;/RecNum&gt;&lt;DisplayText&gt;(Curtice, 2018)&lt;/DisplayText&gt;&lt;record&gt;&lt;rec-number&gt;1555&lt;/rec-number&gt;&lt;foreign-keys&gt;&lt;key app="EN" db-id="sf2v0zffie0st6edessvst0jrx50tz9rrwst" timestamp="1557333407"&gt;1555&lt;/key&gt;&lt;/foreign-keys&gt;&lt;ref-type name="Newspaper Article"&gt;23&lt;/ref-type&gt;&lt;contributors&gt;&lt;authors&gt;&lt;author&gt;Curtice, John&lt;/author&gt;&lt;/authors&gt;&lt;/contributors&gt;&lt;titles&gt;&lt;title&gt;How young and old would vote on Brexit now&lt;/title&gt;&lt;secondary-title&gt;BBC News&lt;/secondary-title&gt;&lt;/titles&gt;&lt;dates&gt;&lt;year&gt;2018&lt;/year&gt;&lt;/dates&gt;&lt;urls&gt;&lt;related-urls&gt;&lt;url&gt;&lt;style face="underline" font="default" size="100%"&gt;https://www.bbc.co.uk/news/uk-politics-45098550&lt;/style&gt;&lt;/url&gt;&lt;/related-urls&gt;&lt;/urls&gt;&lt;/record&gt;&lt;/Cite&gt;&lt;/EndNote&gt;</w:instrText>
      </w:r>
      <w:r w:rsidR="000C4601">
        <w:rPr>
          <w:rFonts w:cs="Times New Roman"/>
          <w:sz w:val="24"/>
          <w:szCs w:val="24"/>
        </w:rPr>
        <w:fldChar w:fldCharType="separate"/>
      </w:r>
      <w:r w:rsidR="00F35BB4">
        <w:rPr>
          <w:rFonts w:cs="Times New Roman"/>
          <w:noProof/>
          <w:sz w:val="24"/>
          <w:szCs w:val="24"/>
        </w:rPr>
        <w:t>(Curtice, 2018)</w:t>
      </w:r>
      <w:r w:rsidR="000C4601">
        <w:rPr>
          <w:rFonts w:cs="Times New Roman"/>
          <w:sz w:val="24"/>
          <w:szCs w:val="24"/>
        </w:rPr>
        <w:fldChar w:fldCharType="end"/>
      </w:r>
      <w:r w:rsidR="009E617E">
        <w:rPr>
          <w:rFonts w:cs="Times New Roman"/>
          <w:sz w:val="24"/>
          <w:szCs w:val="24"/>
        </w:rPr>
        <w:t>, alongside</w:t>
      </w:r>
      <w:r>
        <w:rPr>
          <w:rFonts w:cs="Times New Roman"/>
          <w:sz w:val="24"/>
          <w:szCs w:val="24"/>
        </w:rPr>
        <w:t xml:space="preserve"> post-result analysis </w:t>
      </w:r>
      <w:r>
        <w:rPr>
          <w:rFonts w:cs="Times New Roman"/>
          <w:sz w:val="24"/>
          <w:szCs w:val="24"/>
        </w:rPr>
        <w:fldChar w:fldCharType="begin"/>
      </w:r>
      <w:r w:rsidR="00F35BB4">
        <w:rPr>
          <w:rFonts w:cs="Times New Roman"/>
          <w:sz w:val="24"/>
          <w:szCs w:val="24"/>
        </w:rPr>
        <w:instrText xml:space="preserve"> ADDIN EN.CITE &lt;EndNote&gt;&lt;Cite&gt;&lt;Author&gt;Manley&lt;/Author&gt;&lt;Year&gt;2017&lt;/Year&gt;&lt;RecNum&gt;1547&lt;/RecNum&gt;&lt;DisplayText&gt;(Manley et al., 2017)&lt;/DisplayText&gt;&lt;record&gt;&lt;rec-number&gt;1547&lt;/rec-number&gt;&lt;foreign-keys&gt;&lt;key app="EN" db-id="sf2v0zffie0st6edessvst0jrx50tz9rrwst" timestamp="1557331732"&gt;1547&lt;/key&gt;&lt;/foreign-keys&gt;&lt;ref-type name="Journal Article"&gt;17&lt;/ref-type&gt;&lt;contributors&gt;&lt;authors&gt;&lt;author&gt;Manley, David&lt;/author&gt;&lt;author&gt;Jones, Kelvyn&lt;/author&gt;&lt;author&gt;Johnston, Ron&lt;/author&gt;&lt;/authors&gt;&lt;/contributors&gt;&lt;titles&gt;&lt;title&gt;The geography of Brexit–What geography? Modelling and predicting the outcome across 380 local authorities&lt;/title&gt;&lt;secondary-title&gt;Local Economy&lt;/secondary-title&gt;&lt;/titles&gt;&lt;periodical&gt;&lt;full-title&gt;Local Economy&lt;/full-title&gt;&lt;/periodical&gt;&lt;pages&gt;183-203&lt;/pages&gt;&lt;volume&gt;32&lt;/volume&gt;&lt;number&gt;3&lt;/number&gt;&lt;dates&gt;&lt;year&gt;2017&lt;/year&gt;&lt;/dates&gt;&lt;isbn&gt;0269-0942&lt;/isbn&gt;&lt;urls&gt;&lt;/urls&gt;&lt;/record&gt;&lt;/Cite&gt;&lt;/EndNote&gt;</w:instrText>
      </w:r>
      <w:r>
        <w:rPr>
          <w:rFonts w:cs="Times New Roman"/>
          <w:sz w:val="24"/>
          <w:szCs w:val="24"/>
        </w:rPr>
        <w:fldChar w:fldCharType="separate"/>
      </w:r>
      <w:r w:rsidR="00F35BB4">
        <w:rPr>
          <w:rFonts w:cs="Times New Roman"/>
          <w:noProof/>
          <w:sz w:val="24"/>
          <w:szCs w:val="24"/>
        </w:rPr>
        <w:t>(Manley et al., 2017)</w:t>
      </w:r>
      <w:r>
        <w:rPr>
          <w:rFonts w:cs="Times New Roman"/>
          <w:sz w:val="24"/>
          <w:szCs w:val="24"/>
        </w:rPr>
        <w:fldChar w:fldCharType="end"/>
      </w:r>
      <w:r w:rsidR="006667E0">
        <w:rPr>
          <w:rFonts w:cs="Times New Roman"/>
          <w:sz w:val="24"/>
          <w:szCs w:val="24"/>
        </w:rPr>
        <w:t xml:space="preserve"> </w:t>
      </w:r>
      <w:r>
        <w:rPr>
          <w:rFonts w:cs="Times New Roman"/>
          <w:sz w:val="24"/>
          <w:szCs w:val="24"/>
        </w:rPr>
        <w:t>which suggests</w:t>
      </w:r>
      <w:r w:rsidR="006667E0">
        <w:rPr>
          <w:rFonts w:cs="Times New Roman"/>
          <w:sz w:val="24"/>
          <w:szCs w:val="24"/>
        </w:rPr>
        <w:t xml:space="preserve"> that younger voters (those under 45) were more likely to vote Remain, whereas older voters (those over 45) were more likely to vote Leave. </w:t>
      </w:r>
    </w:p>
    <w:p w14:paraId="38BAB68F" w14:textId="5B07B783" w:rsidR="009204DF" w:rsidRDefault="006667E0" w:rsidP="009204DF">
      <w:pPr>
        <w:spacing w:after="0" w:line="276" w:lineRule="auto"/>
        <w:ind w:firstLine="567"/>
        <w:jc w:val="both"/>
        <w:rPr>
          <w:rFonts w:cs="Times New Roman"/>
          <w:sz w:val="24"/>
          <w:szCs w:val="24"/>
        </w:rPr>
      </w:pPr>
      <w:r>
        <w:rPr>
          <w:rFonts w:cs="Times New Roman"/>
          <w:sz w:val="24"/>
          <w:szCs w:val="24"/>
        </w:rPr>
        <w:t xml:space="preserve">This </w:t>
      </w:r>
      <w:r w:rsidR="00AC5565">
        <w:rPr>
          <w:rFonts w:cs="Times New Roman"/>
          <w:sz w:val="24"/>
          <w:szCs w:val="24"/>
        </w:rPr>
        <w:t xml:space="preserve">has led to the emergence of a further key </w:t>
      </w:r>
      <w:r w:rsidR="00920A7C">
        <w:rPr>
          <w:rFonts w:cs="Times New Roman"/>
          <w:sz w:val="24"/>
          <w:szCs w:val="24"/>
        </w:rPr>
        <w:t>trope</w:t>
      </w:r>
      <w:r>
        <w:rPr>
          <w:rFonts w:cs="Times New Roman"/>
          <w:sz w:val="24"/>
          <w:szCs w:val="24"/>
        </w:rPr>
        <w:t xml:space="preserve"> around the nature of the vote</w:t>
      </w:r>
      <w:r w:rsidR="0032369B">
        <w:rPr>
          <w:rFonts w:cs="Times New Roman"/>
          <w:sz w:val="24"/>
          <w:szCs w:val="24"/>
        </w:rPr>
        <w:t xml:space="preserve">: </w:t>
      </w:r>
      <w:r w:rsidR="00920A7C">
        <w:rPr>
          <w:rFonts w:cs="Times New Roman"/>
          <w:sz w:val="24"/>
          <w:szCs w:val="24"/>
        </w:rPr>
        <w:t xml:space="preserve">that older generations </w:t>
      </w:r>
      <w:proofErr w:type="gramStart"/>
      <w:r w:rsidR="00920A7C">
        <w:rPr>
          <w:rFonts w:cs="Times New Roman"/>
          <w:sz w:val="24"/>
          <w:szCs w:val="24"/>
        </w:rPr>
        <w:t>were, effectively selfishly, voting</w:t>
      </w:r>
      <w:proofErr w:type="gramEnd"/>
      <w:r w:rsidR="00920A7C">
        <w:rPr>
          <w:rFonts w:cs="Times New Roman"/>
          <w:sz w:val="24"/>
          <w:szCs w:val="24"/>
        </w:rPr>
        <w:t xml:space="preserve"> to leave the EU against the expressed wishes </w:t>
      </w:r>
      <w:r w:rsidR="008A0212">
        <w:rPr>
          <w:rFonts w:cs="Times New Roman"/>
          <w:sz w:val="24"/>
          <w:szCs w:val="24"/>
        </w:rPr>
        <w:t xml:space="preserve">and interests </w:t>
      </w:r>
      <w:r w:rsidR="00920A7C">
        <w:rPr>
          <w:rFonts w:cs="Times New Roman"/>
          <w:sz w:val="24"/>
          <w:szCs w:val="24"/>
        </w:rPr>
        <w:t>of their children and grandchildren.</w:t>
      </w:r>
      <w:r w:rsidR="00315E85">
        <w:rPr>
          <w:rFonts w:cs="Times New Roman"/>
          <w:sz w:val="24"/>
          <w:szCs w:val="24"/>
        </w:rPr>
        <w:t xml:space="preserve"> </w:t>
      </w:r>
      <w:r w:rsidR="00920A7C">
        <w:rPr>
          <w:rFonts w:cs="Times New Roman"/>
          <w:sz w:val="24"/>
          <w:szCs w:val="24"/>
        </w:rPr>
        <w:t xml:space="preserve">This fed on broader tensions around inter-generational fairness which had been brewing for some time – and particularly began accelerating in the wake of the 2008 Financial Crisis </w:t>
      </w:r>
      <w:r w:rsidR="000C4601">
        <w:rPr>
          <w:rFonts w:cs="Times New Roman"/>
          <w:sz w:val="24"/>
          <w:szCs w:val="24"/>
        </w:rPr>
        <w:fldChar w:fldCharType="begin"/>
      </w:r>
      <w:r w:rsidR="00F35BB4">
        <w:rPr>
          <w:rFonts w:cs="Times New Roman"/>
          <w:sz w:val="24"/>
          <w:szCs w:val="24"/>
        </w:rPr>
        <w:instrText xml:space="preserve"> ADDIN EN.CITE &lt;EndNote&gt;&lt;Cite&gt;&lt;Author&gt;Bristow&lt;/Author&gt;&lt;Year&gt;2017&lt;/Year&gt;&lt;RecNum&gt;1556&lt;/RecNum&gt;&lt;DisplayText&gt;(Bristow, 2017)&lt;/DisplayText&gt;&lt;record&gt;&lt;rec-number&gt;1556&lt;/rec-number&gt;&lt;foreign-keys&gt;&lt;key app="EN" db-id="sf2v0zffie0st6edessvst0jrx50tz9rrwst" timestamp="1557333479"&gt;1556&lt;/key&gt;&lt;/foreign-keys&gt;&lt;ref-type name="Blog"&gt;56&lt;/ref-type&gt;&lt;contributors&gt;&lt;authors&gt;&lt;author&gt;Bristow, J.&lt;/author&gt;&lt;/authors&gt;&lt;/contributors&gt;&lt;titles&gt;&lt;title&gt;How did baby boomers get the blame for Brexit?&lt;/title&gt;&lt;/titles&gt;&lt;dates&gt;&lt;year&gt;2017&lt;/year&gt;&lt;/dates&gt;&lt;pub-location&gt;blogs.lse.ac.uk&lt;/pub-location&gt;&lt;urls&gt;&lt;related-urls&gt;&lt;url&gt;&lt;style face="underline" font="default" size="100%"&gt;http://blogs.lse.ac.uk/brexit/2017/02/20/how-did-baby-boomers-get-the-blame-for-brexit/&lt;/style&gt;&lt;/url&gt;&lt;/related-urls&gt;&lt;/urls&gt;&lt;/record&gt;&lt;/Cite&gt;&lt;/EndNote&gt;</w:instrText>
      </w:r>
      <w:r w:rsidR="000C4601">
        <w:rPr>
          <w:rFonts w:cs="Times New Roman"/>
          <w:sz w:val="24"/>
          <w:szCs w:val="24"/>
        </w:rPr>
        <w:fldChar w:fldCharType="separate"/>
      </w:r>
      <w:r w:rsidR="00F35BB4">
        <w:rPr>
          <w:rFonts w:cs="Times New Roman"/>
          <w:noProof/>
          <w:sz w:val="24"/>
          <w:szCs w:val="24"/>
        </w:rPr>
        <w:t>(Bristow, 2017)</w:t>
      </w:r>
      <w:r w:rsidR="000C4601">
        <w:rPr>
          <w:rFonts w:cs="Times New Roman"/>
          <w:sz w:val="24"/>
          <w:szCs w:val="24"/>
        </w:rPr>
        <w:fldChar w:fldCharType="end"/>
      </w:r>
      <w:r w:rsidR="00920A7C">
        <w:rPr>
          <w:rFonts w:cs="Times New Roman"/>
          <w:sz w:val="24"/>
          <w:szCs w:val="24"/>
        </w:rPr>
        <w:t xml:space="preserve">.  </w:t>
      </w:r>
      <w:proofErr w:type="gramStart"/>
      <w:r w:rsidR="00920A7C">
        <w:rPr>
          <w:rFonts w:cs="Times New Roman"/>
          <w:sz w:val="24"/>
          <w:szCs w:val="24"/>
        </w:rPr>
        <w:t xml:space="preserve">In this trope, having benefited from a society </w:t>
      </w:r>
      <w:r w:rsidR="008A0212">
        <w:rPr>
          <w:rFonts w:cs="Times New Roman"/>
          <w:sz w:val="24"/>
          <w:szCs w:val="24"/>
        </w:rPr>
        <w:t xml:space="preserve">in which </w:t>
      </w:r>
      <w:r w:rsidR="00920A7C">
        <w:rPr>
          <w:rFonts w:cs="Times New Roman"/>
          <w:sz w:val="24"/>
          <w:szCs w:val="24"/>
        </w:rPr>
        <w:t xml:space="preserve">affordable housing, </w:t>
      </w:r>
      <w:r w:rsidR="008A0212">
        <w:rPr>
          <w:rFonts w:cs="Times New Roman"/>
          <w:sz w:val="24"/>
          <w:szCs w:val="24"/>
        </w:rPr>
        <w:t>free higher education, a ‘job for life’ followed by</w:t>
      </w:r>
      <w:r w:rsidR="00920A7C">
        <w:rPr>
          <w:rFonts w:cs="Times New Roman"/>
          <w:sz w:val="24"/>
          <w:szCs w:val="24"/>
        </w:rPr>
        <w:t xml:space="preserve"> </w:t>
      </w:r>
      <w:r w:rsidR="008A0212">
        <w:rPr>
          <w:rFonts w:cs="Times New Roman"/>
          <w:sz w:val="24"/>
          <w:szCs w:val="24"/>
        </w:rPr>
        <w:t xml:space="preserve">generous </w:t>
      </w:r>
      <w:r w:rsidR="00920A7C">
        <w:rPr>
          <w:rFonts w:cs="Times New Roman"/>
          <w:sz w:val="24"/>
          <w:szCs w:val="24"/>
        </w:rPr>
        <w:t xml:space="preserve">pension </w:t>
      </w:r>
      <w:r w:rsidR="009E617E">
        <w:rPr>
          <w:rFonts w:cs="Times New Roman"/>
          <w:sz w:val="24"/>
          <w:szCs w:val="24"/>
        </w:rPr>
        <w:t xml:space="preserve">that is </w:t>
      </w:r>
      <w:r w:rsidR="008A0212">
        <w:rPr>
          <w:rFonts w:cs="Times New Roman"/>
          <w:sz w:val="24"/>
          <w:szCs w:val="24"/>
        </w:rPr>
        <w:t>access</w:t>
      </w:r>
      <w:r w:rsidR="009E617E">
        <w:rPr>
          <w:rFonts w:cs="Times New Roman"/>
          <w:sz w:val="24"/>
          <w:szCs w:val="24"/>
        </w:rPr>
        <w:t>ible</w:t>
      </w:r>
      <w:r w:rsidR="008A0212">
        <w:rPr>
          <w:rFonts w:cs="Times New Roman"/>
          <w:sz w:val="24"/>
          <w:szCs w:val="24"/>
        </w:rPr>
        <w:t xml:space="preserve"> at a mode</w:t>
      </w:r>
      <w:r w:rsidR="009E617E">
        <w:rPr>
          <w:rFonts w:cs="Times New Roman"/>
          <w:sz w:val="24"/>
          <w:szCs w:val="24"/>
        </w:rPr>
        <w:t>st</w:t>
      </w:r>
      <w:r w:rsidR="008A0212">
        <w:rPr>
          <w:rFonts w:cs="Times New Roman"/>
          <w:sz w:val="24"/>
          <w:szCs w:val="24"/>
        </w:rPr>
        <w:t xml:space="preserve"> (or early) </w:t>
      </w:r>
      <w:r w:rsidR="00920A7C">
        <w:rPr>
          <w:rFonts w:cs="Times New Roman"/>
          <w:sz w:val="24"/>
          <w:szCs w:val="24"/>
        </w:rPr>
        <w:t>retire</w:t>
      </w:r>
      <w:r w:rsidR="008A0212">
        <w:rPr>
          <w:rFonts w:cs="Times New Roman"/>
          <w:sz w:val="24"/>
          <w:szCs w:val="24"/>
        </w:rPr>
        <w:t>ment</w:t>
      </w:r>
      <w:r w:rsidR="00920A7C">
        <w:rPr>
          <w:rFonts w:cs="Times New Roman"/>
          <w:sz w:val="24"/>
          <w:szCs w:val="24"/>
        </w:rPr>
        <w:t xml:space="preserve"> age</w:t>
      </w:r>
      <w:r w:rsidR="008A0212">
        <w:rPr>
          <w:rFonts w:cs="Times New Roman"/>
          <w:sz w:val="24"/>
          <w:szCs w:val="24"/>
        </w:rPr>
        <w:t>,</w:t>
      </w:r>
      <w:r w:rsidR="00920A7C">
        <w:rPr>
          <w:rFonts w:cs="Times New Roman"/>
          <w:sz w:val="24"/>
          <w:szCs w:val="24"/>
        </w:rPr>
        <w:t xml:space="preserve"> were all readily available, the so-called </w:t>
      </w:r>
      <w:r w:rsidR="0032369B">
        <w:rPr>
          <w:rFonts w:cs="Times New Roman"/>
          <w:sz w:val="24"/>
          <w:szCs w:val="24"/>
        </w:rPr>
        <w:t>‘</w:t>
      </w:r>
      <w:r w:rsidR="00920A7C">
        <w:rPr>
          <w:rFonts w:cs="Times New Roman"/>
          <w:sz w:val="24"/>
          <w:szCs w:val="24"/>
        </w:rPr>
        <w:t>Baby-Boomers</w:t>
      </w:r>
      <w:r w:rsidR="0032369B">
        <w:rPr>
          <w:rFonts w:cs="Times New Roman"/>
          <w:sz w:val="24"/>
          <w:szCs w:val="24"/>
        </w:rPr>
        <w:t>’</w:t>
      </w:r>
      <w:r w:rsidR="00920A7C">
        <w:rPr>
          <w:rFonts w:cs="Times New Roman"/>
          <w:sz w:val="24"/>
          <w:szCs w:val="24"/>
        </w:rPr>
        <w:t xml:space="preserve"> were voting</w:t>
      </w:r>
      <w:r w:rsidR="00B40C24">
        <w:rPr>
          <w:rFonts w:cs="Times New Roman"/>
          <w:sz w:val="24"/>
          <w:szCs w:val="24"/>
        </w:rPr>
        <w:t xml:space="preserve"> against the interests of a younger generation w</w:t>
      </w:r>
      <w:r w:rsidR="00920A7C">
        <w:rPr>
          <w:rFonts w:cs="Times New Roman"/>
          <w:sz w:val="24"/>
          <w:szCs w:val="24"/>
        </w:rPr>
        <w:t xml:space="preserve">ho had no-little </w:t>
      </w:r>
      <w:r w:rsidR="00B40C24">
        <w:rPr>
          <w:rFonts w:cs="Times New Roman"/>
          <w:sz w:val="24"/>
          <w:szCs w:val="24"/>
        </w:rPr>
        <w:t>prospect</w:t>
      </w:r>
      <w:r w:rsidR="00920A7C">
        <w:rPr>
          <w:rFonts w:cs="Times New Roman"/>
          <w:sz w:val="24"/>
          <w:szCs w:val="24"/>
        </w:rPr>
        <w:t xml:space="preserve"> of these things</w:t>
      </w:r>
      <w:r w:rsidR="00B40C24">
        <w:rPr>
          <w:rFonts w:cs="Times New Roman"/>
          <w:sz w:val="24"/>
          <w:szCs w:val="24"/>
        </w:rPr>
        <w:t xml:space="preserve"> and, in doing so, were actively ignoring warnings of economic harm which may </w:t>
      </w:r>
      <w:r w:rsidR="0032369B">
        <w:rPr>
          <w:rFonts w:cs="Times New Roman"/>
          <w:sz w:val="24"/>
          <w:szCs w:val="24"/>
        </w:rPr>
        <w:t>damage</w:t>
      </w:r>
      <w:r w:rsidR="00B40C24">
        <w:rPr>
          <w:rFonts w:cs="Times New Roman"/>
          <w:sz w:val="24"/>
          <w:szCs w:val="24"/>
        </w:rPr>
        <w:t xml:space="preserve"> those prospects even further</w:t>
      </w:r>
      <w:r w:rsidR="000C4601">
        <w:rPr>
          <w:rFonts w:cs="Times New Roman"/>
          <w:sz w:val="24"/>
          <w:szCs w:val="24"/>
        </w:rPr>
        <w:t xml:space="preserve"> </w:t>
      </w:r>
      <w:proofErr w:type="gramEnd"/>
      <w:r w:rsidR="000C4601">
        <w:rPr>
          <w:rFonts w:cs="Times New Roman"/>
          <w:sz w:val="24"/>
          <w:szCs w:val="24"/>
        </w:rPr>
        <w:fldChar w:fldCharType="begin"/>
      </w:r>
      <w:r w:rsidR="00F35BB4">
        <w:rPr>
          <w:rFonts w:cs="Times New Roman"/>
          <w:sz w:val="24"/>
          <w:szCs w:val="24"/>
        </w:rPr>
        <w:instrText xml:space="preserve"> ADDIN EN.CITE &lt;EndNote&gt;&lt;Cite&gt;&lt;Author&gt;Elledge&lt;/Author&gt;&lt;Year&gt;2017&lt;/Year&gt;&lt;RecNum&gt;1557&lt;/RecNum&gt;&lt;DisplayText&gt;(Elledge, 2017)&lt;/DisplayText&gt;&lt;record&gt;&lt;rec-number&gt;1557&lt;/rec-number&gt;&lt;foreign-keys&gt;&lt;key app="EN" db-id="sf2v0zffie0st6edessvst0jrx50tz9rrwst" timestamp="1557333820"&gt;1557&lt;/key&gt;&lt;/foreign-keys&gt;&lt;ref-type name="Newspaper Article"&gt;23&lt;/ref-type&gt;&lt;contributors&gt;&lt;authors&gt;&lt;author&gt;Elledge, J.&lt;/author&gt;&lt;/authors&gt;&lt;/contributors&gt;&lt;titles&gt;&lt;title&gt;This YouGov research on Brexit proves baby boomers hate their own children&lt;/title&gt;&lt;secondary-title&gt;New Statesman&lt;/secondary-title&gt;&lt;/titles&gt;&lt;dates&gt;&lt;year&gt;2017&lt;/year&gt;&lt;/dates&gt;&lt;urls&gt;&lt;related-urls&gt;&lt;url&gt;&lt;style face="underline" font="default" size="100%"&gt;https://www.newstatesman.com/2017/08/yougov-research-brexit-proves-baby-boomers-hate-their-own-children&lt;/style&gt;&lt;/url&gt;&lt;/related-urls&gt;&lt;/urls&gt;&lt;/record&gt;&lt;/Cite&gt;&lt;/EndNote&gt;</w:instrText>
      </w:r>
      <w:r w:rsidR="000C4601">
        <w:rPr>
          <w:rFonts w:cs="Times New Roman"/>
          <w:sz w:val="24"/>
          <w:szCs w:val="24"/>
        </w:rPr>
        <w:fldChar w:fldCharType="separate"/>
      </w:r>
      <w:r w:rsidR="00F35BB4">
        <w:rPr>
          <w:rFonts w:cs="Times New Roman"/>
          <w:noProof/>
          <w:sz w:val="24"/>
          <w:szCs w:val="24"/>
        </w:rPr>
        <w:t>(Elledge, 2017)</w:t>
      </w:r>
      <w:r w:rsidR="000C4601">
        <w:rPr>
          <w:rFonts w:cs="Times New Roman"/>
          <w:sz w:val="24"/>
          <w:szCs w:val="24"/>
        </w:rPr>
        <w:fldChar w:fldCharType="end"/>
      </w:r>
      <w:proofErr w:type="gramStart"/>
      <w:r w:rsidR="00B40C24">
        <w:rPr>
          <w:rFonts w:cs="Times New Roman"/>
          <w:sz w:val="24"/>
          <w:szCs w:val="24"/>
        </w:rPr>
        <w:t>.</w:t>
      </w:r>
      <w:proofErr w:type="gramEnd"/>
      <w:r w:rsidR="009204DF" w:rsidRPr="009204DF">
        <w:rPr>
          <w:rFonts w:cs="Times New Roman"/>
          <w:sz w:val="24"/>
          <w:szCs w:val="24"/>
        </w:rPr>
        <w:t xml:space="preserve"> </w:t>
      </w:r>
      <w:proofErr w:type="gramStart"/>
      <w:r w:rsidR="009204DF">
        <w:rPr>
          <w:rFonts w:cs="Times New Roman"/>
          <w:sz w:val="24"/>
          <w:szCs w:val="24"/>
        </w:rPr>
        <w:t>Ultimately</w:t>
      </w:r>
      <w:proofErr w:type="gramEnd"/>
      <w:r w:rsidR="009204DF">
        <w:rPr>
          <w:rFonts w:cs="Times New Roman"/>
          <w:sz w:val="24"/>
          <w:szCs w:val="24"/>
        </w:rPr>
        <w:t xml:space="preserve"> though, this demographic trope </w:t>
      </w:r>
      <w:r w:rsidR="008A0212">
        <w:rPr>
          <w:rFonts w:cs="Times New Roman"/>
          <w:sz w:val="24"/>
          <w:szCs w:val="24"/>
        </w:rPr>
        <w:t xml:space="preserve">also </w:t>
      </w:r>
      <w:r w:rsidR="009204DF">
        <w:rPr>
          <w:rFonts w:cs="Times New Roman"/>
          <w:sz w:val="24"/>
          <w:szCs w:val="24"/>
        </w:rPr>
        <w:t>represents an oversimplification</w:t>
      </w:r>
      <w:r w:rsidR="0032369B">
        <w:rPr>
          <w:rFonts w:cs="Times New Roman"/>
          <w:sz w:val="24"/>
          <w:szCs w:val="24"/>
        </w:rPr>
        <w:t xml:space="preserve"> of</w:t>
      </w:r>
      <w:r w:rsidR="009204DF">
        <w:rPr>
          <w:rFonts w:cs="Times New Roman"/>
          <w:sz w:val="24"/>
          <w:szCs w:val="24"/>
        </w:rPr>
        <w:t xml:space="preserve"> an issue that will be explored further below.   </w:t>
      </w:r>
    </w:p>
    <w:p w14:paraId="3E8A6927" w14:textId="62EF3804" w:rsidR="007C521C" w:rsidRDefault="009204DF" w:rsidP="00971076">
      <w:pPr>
        <w:spacing w:after="0" w:line="276" w:lineRule="auto"/>
        <w:ind w:firstLine="567"/>
        <w:jc w:val="both"/>
        <w:rPr>
          <w:rFonts w:cs="Times New Roman"/>
          <w:sz w:val="24"/>
          <w:szCs w:val="24"/>
        </w:rPr>
      </w:pPr>
      <w:r>
        <w:rPr>
          <w:rFonts w:cs="Times New Roman"/>
          <w:sz w:val="24"/>
          <w:szCs w:val="24"/>
        </w:rPr>
        <w:t xml:space="preserve">Another theme of discussion surrounding the EU referendum was the voting patterns amongst ethnic </w:t>
      </w:r>
      <w:r w:rsidRPr="000D51E5">
        <w:rPr>
          <w:rFonts w:cs="Times New Roman"/>
          <w:sz w:val="24"/>
          <w:szCs w:val="24"/>
        </w:rPr>
        <w:t xml:space="preserve">minority voters. The latter had been somewhat crudely wooed by the ‘leave’ campaign with promises such as more work permits for those from non-EU </w:t>
      </w:r>
      <w:r w:rsidR="00D125D8">
        <w:rPr>
          <w:rFonts w:cs="Times New Roman"/>
          <w:sz w:val="24"/>
          <w:szCs w:val="24"/>
        </w:rPr>
        <w:t xml:space="preserve">countries </w:t>
      </w:r>
      <w:r w:rsidRPr="000D51E5">
        <w:rPr>
          <w:rFonts w:cs="Times New Roman"/>
          <w:sz w:val="24"/>
          <w:szCs w:val="24"/>
        </w:rPr>
        <w:t xml:space="preserve">- ignoring the fact that international immigration policy is a national and not EU-level competence </w:t>
      </w:r>
      <w:r w:rsidR="006C290C">
        <w:rPr>
          <w:rFonts w:cs="Times New Roman"/>
          <w:sz w:val="24"/>
          <w:szCs w:val="24"/>
        </w:rPr>
        <w:fldChar w:fldCharType="begin"/>
      </w:r>
      <w:r w:rsidR="00F35BB4">
        <w:rPr>
          <w:rFonts w:cs="Times New Roman"/>
          <w:sz w:val="24"/>
          <w:szCs w:val="24"/>
        </w:rPr>
        <w:instrText xml:space="preserve"> ADDIN EN.CITE &lt;EndNote&gt;&lt;Cite&gt;&lt;Author&gt;Z.&lt;/Author&gt;&lt;Year&gt;2018&lt;/Year&gt;&lt;RecNum&gt;1561&lt;/RecNum&gt;&lt;DisplayText&gt;(Haque, 2018)&lt;/DisplayText&gt;&lt;record&gt;&lt;rec-number&gt;1561&lt;/rec-number&gt;&lt;foreign-keys&gt;&lt;key app="EN" db-id="sf2v0zffie0st6edessvst0jrx50tz9rrwst" timestamp="1557334151"&gt;1561&lt;/key&gt;&lt;/foreign-keys&gt;&lt;ref-type name="Newspaper Article"&gt;23&lt;/ref-type&gt;&lt;contributors&gt;&lt;authors&gt;&lt;author&gt;Haque, Z.&lt;/author&gt;&lt;/authors&gt;&lt;/contributors&gt;&lt;titles&gt;&lt;title&gt;Britain’s eight million ethnic minorities are still being ignored over Brexit&lt;/title&gt;&lt;secondary-title&gt;New Statesman&lt;/secondary-title&gt;&lt;/titles&gt;&lt;dates&gt;&lt;year&gt;2018&lt;/year&gt;&lt;/dates&gt;&lt;urls&gt;&lt;related-urls&gt;&lt;url&gt;&lt;style face="underline" font="default" size="100%"&gt;https://www.newstatesman.com/politics/brexit/2018/09/britain-s-eight-million-ethnic-minorities-are-still-being-ignored-over&lt;/style&gt;&lt;/url&gt;&lt;/related-urls&gt;&lt;/urls&gt;&lt;/record&gt;&lt;/Cite&gt;&lt;/EndNote&gt;</w:instrText>
      </w:r>
      <w:r w:rsidR="006C290C">
        <w:rPr>
          <w:rFonts w:cs="Times New Roman"/>
          <w:sz w:val="24"/>
          <w:szCs w:val="24"/>
        </w:rPr>
        <w:fldChar w:fldCharType="separate"/>
      </w:r>
      <w:r w:rsidR="00F35BB4">
        <w:rPr>
          <w:rFonts w:cs="Times New Roman"/>
          <w:noProof/>
          <w:sz w:val="24"/>
          <w:szCs w:val="24"/>
        </w:rPr>
        <w:t>(Haque, 2018)</w:t>
      </w:r>
      <w:r w:rsidR="006C290C">
        <w:rPr>
          <w:rFonts w:cs="Times New Roman"/>
          <w:sz w:val="24"/>
          <w:szCs w:val="24"/>
        </w:rPr>
        <w:fldChar w:fldCharType="end"/>
      </w:r>
      <w:r w:rsidRPr="000D51E5">
        <w:rPr>
          <w:rFonts w:cs="Times New Roman"/>
          <w:sz w:val="24"/>
          <w:szCs w:val="24"/>
        </w:rPr>
        <w:t>.</w:t>
      </w:r>
      <w:r w:rsidR="007C521C" w:rsidRPr="000D51E5">
        <w:rPr>
          <w:rFonts w:cs="Times New Roman"/>
          <w:sz w:val="24"/>
          <w:szCs w:val="24"/>
        </w:rPr>
        <w:t xml:space="preserve">  </w:t>
      </w:r>
      <w:r w:rsidR="008A0212">
        <w:rPr>
          <w:rFonts w:cs="Times New Roman"/>
          <w:sz w:val="24"/>
          <w:szCs w:val="24"/>
        </w:rPr>
        <w:t xml:space="preserve">This was a revisiting of the electoral strategy of division, seeking to play different groups - notably different immigrant communities, off against one another, cultivating a sense of </w:t>
      </w:r>
      <w:r w:rsidR="00A26947">
        <w:rPr>
          <w:rFonts w:cs="Times New Roman"/>
          <w:sz w:val="24"/>
          <w:szCs w:val="24"/>
        </w:rPr>
        <w:t xml:space="preserve">inter-group </w:t>
      </w:r>
      <w:r w:rsidR="008A0212">
        <w:rPr>
          <w:rFonts w:cs="Times New Roman"/>
          <w:sz w:val="24"/>
          <w:szCs w:val="24"/>
        </w:rPr>
        <w:t>grievance</w:t>
      </w:r>
      <w:r w:rsidR="00A26947">
        <w:rPr>
          <w:rFonts w:cs="Times New Roman"/>
          <w:sz w:val="24"/>
          <w:szCs w:val="24"/>
        </w:rPr>
        <w:t xml:space="preserve">, invoking notions of ‘last one in, first one out’, and offering </w:t>
      </w:r>
      <w:proofErr w:type="spellStart"/>
      <w:r w:rsidR="00A26947">
        <w:rPr>
          <w:rFonts w:cs="Times New Roman"/>
          <w:sz w:val="24"/>
          <w:szCs w:val="24"/>
        </w:rPr>
        <w:t>clientelistic</w:t>
      </w:r>
      <w:proofErr w:type="spellEnd"/>
      <w:r w:rsidR="00A26947">
        <w:rPr>
          <w:rFonts w:cs="Times New Roman"/>
          <w:sz w:val="24"/>
          <w:szCs w:val="24"/>
        </w:rPr>
        <w:t xml:space="preserve"> promises of future benefits in return for electoral support. </w:t>
      </w:r>
      <w:proofErr w:type="gramStart"/>
      <w:r w:rsidR="00A12CFE" w:rsidRPr="000D51E5">
        <w:rPr>
          <w:rFonts w:cs="Times New Roman"/>
          <w:sz w:val="24"/>
          <w:szCs w:val="24"/>
        </w:rPr>
        <w:t xml:space="preserve">Yet </w:t>
      </w:r>
      <w:r w:rsidR="00A26947">
        <w:rPr>
          <w:rFonts w:cs="Times New Roman"/>
          <w:sz w:val="24"/>
          <w:szCs w:val="24"/>
        </w:rPr>
        <w:t>in the event</w:t>
      </w:r>
      <w:r w:rsidR="00D125D8">
        <w:rPr>
          <w:rFonts w:cs="Times New Roman"/>
          <w:sz w:val="24"/>
          <w:szCs w:val="24"/>
        </w:rPr>
        <w:t xml:space="preserve"> the nostalgia for empire identified by </w:t>
      </w:r>
      <w:proofErr w:type="gramEnd"/>
      <w:r w:rsidR="00D125D8">
        <w:rPr>
          <w:rFonts w:cs="Times New Roman"/>
          <w:sz w:val="24"/>
          <w:szCs w:val="24"/>
        </w:rPr>
        <w:fldChar w:fldCharType="begin"/>
      </w:r>
      <w:r w:rsidR="00D125D8">
        <w:rPr>
          <w:rFonts w:cs="Times New Roman"/>
          <w:sz w:val="24"/>
          <w:szCs w:val="24"/>
        </w:rPr>
        <w:instrText xml:space="preserve"> ADDIN EN.CITE &lt;EndNote&gt;&lt;Cite AuthorYear="1"&gt;&lt;Author&gt;Dorling&lt;/Author&gt;&lt;Year&gt;2019&lt;/Year&gt;&lt;RecNum&gt;1594&lt;/RecNum&gt;&lt;DisplayText&gt;Dorling and Tomlinson (2019)&lt;/DisplayText&gt;&lt;record&gt;&lt;rec-number&gt;1594&lt;/rec-number&gt;&lt;foreign-keys&gt;&lt;key app="EN" db-id="sf2v0zffie0st6edessvst0jrx50tz9rrwst" timestamp="1564740531"&gt;1594&lt;/key&gt;&lt;/foreign-keys&gt;&lt;ref-type name="Book"&gt;6&lt;/ref-type&gt;&lt;contributors&gt;&lt;authors&gt;&lt;author&gt;Dorling, Danny&lt;/author&gt;&lt;author&gt;Tomlinson, Sally&lt;/author&gt;&lt;/authors&gt;&lt;/contributors&gt;&lt;titles&gt;&lt;title&gt;Rule Britannia: BREXIT and the End of empire&lt;/title&gt;&lt;/titles&gt;&lt;dates&gt;&lt;year&gt;2019&lt;/year&gt;&lt;/dates&gt;&lt;publisher&gt;Biteback Publishing&lt;/publisher&gt;&lt;isbn&gt;1785904566&lt;/isbn&gt;&lt;urls&gt;&lt;/urls&gt;&lt;/record&gt;&lt;/Cite&gt;&lt;/EndNote&gt;</w:instrText>
      </w:r>
      <w:r w:rsidR="00D125D8">
        <w:rPr>
          <w:rFonts w:cs="Times New Roman"/>
          <w:sz w:val="24"/>
          <w:szCs w:val="24"/>
        </w:rPr>
        <w:fldChar w:fldCharType="separate"/>
      </w:r>
      <w:r w:rsidR="00D125D8">
        <w:rPr>
          <w:rFonts w:cs="Times New Roman"/>
          <w:noProof/>
          <w:sz w:val="24"/>
          <w:szCs w:val="24"/>
        </w:rPr>
        <w:t>Dorling and Tomlinson (2019)</w:t>
      </w:r>
      <w:r w:rsidR="00D125D8">
        <w:rPr>
          <w:rFonts w:cs="Times New Roman"/>
          <w:sz w:val="24"/>
          <w:szCs w:val="24"/>
        </w:rPr>
        <w:fldChar w:fldCharType="end"/>
      </w:r>
      <w:proofErr w:type="gramStart"/>
      <w:r w:rsidR="00D125D8">
        <w:rPr>
          <w:rFonts w:cs="Times New Roman"/>
          <w:sz w:val="24"/>
          <w:szCs w:val="24"/>
        </w:rPr>
        <w:t xml:space="preserve"> which worked so well in other quarters seemed to have a dragging affect with </w:t>
      </w:r>
      <w:r w:rsidR="00D53FD1">
        <w:rPr>
          <w:rFonts w:cs="Times New Roman"/>
          <w:sz w:val="24"/>
          <w:szCs w:val="24"/>
        </w:rPr>
        <w:t>ethnic minority voters</w:t>
      </w:r>
      <w:r w:rsidR="00C32823">
        <w:rPr>
          <w:rFonts w:cs="Times New Roman"/>
          <w:sz w:val="24"/>
          <w:szCs w:val="24"/>
        </w:rPr>
        <w:t>,</w:t>
      </w:r>
      <w:r w:rsidR="00D53FD1">
        <w:rPr>
          <w:rFonts w:cs="Times New Roman"/>
          <w:sz w:val="24"/>
          <w:szCs w:val="24"/>
        </w:rPr>
        <w:t xml:space="preserve"> with </w:t>
      </w:r>
      <w:proofErr w:type="gramEnd"/>
      <w:r w:rsidR="00D125D8">
        <w:rPr>
          <w:rFonts w:cs="Times New Roman"/>
          <w:sz w:val="24"/>
          <w:szCs w:val="24"/>
        </w:rPr>
        <w:fldChar w:fldCharType="begin"/>
      </w:r>
      <w:r w:rsidR="00D125D8">
        <w:rPr>
          <w:rFonts w:cs="Times New Roman"/>
          <w:sz w:val="24"/>
          <w:szCs w:val="24"/>
        </w:rPr>
        <w:instrText xml:space="preserve"> ADDIN EN.CITE &lt;EndNote&gt;&lt;Cite AuthorYear="1"&gt;&lt;Author&gt;Begum&lt;/Author&gt;&lt;Year&gt;2018&lt;/Year&gt;&lt;RecNum&gt;1562&lt;/RecNum&gt;&lt;DisplayText&gt;Begum (2018)&lt;/DisplayText&gt;&lt;record&gt;&lt;rec-number&gt;1562&lt;/rec-number&gt;&lt;foreign-keys&gt;&lt;key app="EN" db-id="sf2v0zffie0st6edessvst0jrx50tz9rrwst" timestamp="1557334227"&gt;1562&lt;/key&gt;&lt;/foreign-keys&gt;&lt;ref-type name="Blog"&gt;56&lt;/ref-type&gt;&lt;contributors&gt;&lt;authors&gt;&lt;author&gt;Begum, N.&lt;/author&gt;&lt;/authors&gt;&lt;/contributors&gt;&lt;titles&gt;&lt;title&gt;Minority ethnic attitudes and the 2016 EU referendum&lt;/title&gt;&lt;secondary-title&gt;The UK In a Changing Europe&lt;/secondary-title&gt;&lt;/titles&gt;&lt;dates&gt;&lt;year&gt;2018&lt;/year&gt;&lt;/dates&gt;&lt;publisher&gt;King&amp;apos;s College London&lt;/publisher&gt;&lt;urls&gt;&lt;related-urls&gt;&lt;url&gt;&lt;style face="underline" font="default" size="100%"&gt;https://ukandeu.ac.uk/minority-ethnic-attitudes-and-the-2016-eu-referendum/&lt;/style&gt;&lt;/url&gt;&lt;/related-urls&gt;&lt;/urls&gt;&lt;/record&gt;&lt;/Cite&gt;&lt;/EndNote&gt;</w:instrText>
      </w:r>
      <w:r w:rsidR="00D125D8">
        <w:rPr>
          <w:rFonts w:cs="Times New Roman"/>
          <w:sz w:val="24"/>
          <w:szCs w:val="24"/>
        </w:rPr>
        <w:fldChar w:fldCharType="separate"/>
      </w:r>
      <w:r w:rsidR="00D125D8">
        <w:rPr>
          <w:rFonts w:cs="Times New Roman"/>
          <w:noProof/>
          <w:sz w:val="24"/>
          <w:szCs w:val="24"/>
        </w:rPr>
        <w:t>Begum (2018)</w:t>
      </w:r>
      <w:r w:rsidR="00D125D8">
        <w:rPr>
          <w:rFonts w:cs="Times New Roman"/>
          <w:sz w:val="24"/>
          <w:szCs w:val="24"/>
        </w:rPr>
        <w:fldChar w:fldCharType="end"/>
      </w:r>
      <w:proofErr w:type="gramStart"/>
      <w:r w:rsidR="00D125D8">
        <w:rPr>
          <w:rFonts w:cs="Times New Roman"/>
          <w:sz w:val="24"/>
          <w:szCs w:val="24"/>
        </w:rPr>
        <w:t xml:space="preserve"> arguing that</w:t>
      </w:r>
      <w:r w:rsidR="00A12CFE" w:rsidRPr="000D51E5">
        <w:rPr>
          <w:rFonts w:cs="Times New Roman"/>
          <w:sz w:val="24"/>
          <w:szCs w:val="24"/>
        </w:rPr>
        <w:t xml:space="preserve"> </w:t>
      </w:r>
      <w:r w:rsidR="007C521C" w:rsidRPr="000D51E5">
        <w:rPr>
          <w:rFonts w:cs="Times New Roman"/>
          <w:sz w:val="24"/>
          <w:szCs w:val="24"/>
        </w:rPr>
        <w:t>“</w:t>
      </w:r>
      <w:r w:rsidR="007C521C" w:rsidRPr="000D51E5">
        <w:rPr>
          <w:sz w:val="24"/>
          <w:szCs w:val="24"/>
        </w:rPr>
        <w:t>the xenophobic and anti-immigrant tone of the Leave campaigns” and “Slogans such as ‘take back control’ and ‘make Britain great again’ were less appealing to ethnic minority Remain voters, who associated them with nostalgia for empire and a longing for a ‘pre-immigration white era’ on the part of the Leave campaign”.</w:t>
      </w:r>
      <w:proofErr w:type="gramEnd"/>
      <w:r w:rsidR="002C6FF0" w:rsidRPr="000D51E5">
        <w:rPr>
          <w:sz w:val="24"/>
          <w:szCs w:val="24"/>
        </w:rPr>
        <w:t xml:space="preserve"> In the end</w:t>
      </w:r>
      <w:r w:rsidR="00D125D8">
        <w:rPr>
          <w:sz w:val="24"/>
          <w:szCs w:val="24"/>
        </w:rPr>
        <w:t xml:space="preserve"> analysis suggested that</w:t>
      </w:r>
      <w:r w:rsidR="002C6FF0" w:rsidRPr="000D51E5">
        <w:rPr>
          <w:sz w:val="24"/>
          <w:szCs w:val="24"/>
        </w:rPr>
        <w:t xml:space="preserve"> </w:t>
      </w:r>
      <w:r w:rsidR="007C521C" w:rsidRPr="000D51E5">
        <w:rPr>
          <w:rFonts w:cs="Times New Roman"/>
          <w:sz w:val="24"/>
          <w:szCs w:val="24"/>
        </w:rPr>
        <w:t xml:space="preserve">“ethnic minorities voted overwhelmingly to Remain in the EU” even if this wider pattern “obscures significant differences between and within minority groups” </w:t>
      </w:r>
      <w:r w:rsidR="006C290C">
        <w:rPr>
          <w:rFonts w:cs="Times New Roman"/>
          <w:sz w:val="24"/>
          <w:szCs w:val="24"/>
        </w:rPr>
        <w:fldChar w:fldCharType="begin"/>
      </w:r>
      <w:r w:rsidR="00F35BB4">
        <w:rPr>
          <w:rFonts w:cs="Times New Roman"/>
          <w:sz w:val="24"/>
          <w:szCs w:val="24"/>
        </w:rPr>
        <w:instrText xml:space="preserve"> ADDIN EN.CITE &lt;EndNote&gt;&lt;Cite&gt;&lt;Author&gt;Begum&lt;/Author&gt;&lt;Year&gt;2018&lt;/Year&gt;&lt;RecNum&gt;1562&lt;/RecNum&gt;&lt;DisplayText&gt;(Begum, 2018)&lt;/DisplayText&gt;&lt;record&gt;&lt;rec-number&gt;1562&lt;/rec-number&gt;&lt;foreign-keys&gt;&lt;key app="EN" db-id="sf2v0zffie0st6edessvst0jrx50tz9rrwst" timestamp="1557334227"&gt;1562&lt;/key&gt;&lt;/foreign-keys&gt;&lt;ref-type name="Blog"&gt;56&lt;/ref-type&gt;&lt;contributors&gt;&lt;authors&gt;&lt;author&gt;Begum, N.&lt;/author&gt;&lt;/authors&gt;&lt;/contributors&gt;&lt;titles&gt;&lt;title&gt;Minority ethnic attitudes and the 2016 EU referendum&lt;/title&gt;&lt;secondary-title&gt;The UK In a Changing Europe&lt;/secondary-title&gt;&lt;/titles&gt;&lt;dates&gt;&lt;year&gt;2018&lt;/year&gt;&lt;/dates&gt;&lt;publisher&gt;King&amp;apos;s College London&lt;/publisher&gt;&lt;urls&gt;&lt;related-urls&gt;&lt;url&gt;&lt;style face="underline" font="default" size="100%"&gt;https://ukandeu.ac.uk/minority-ethnic-attitudes-and-the-2016-eu-referendum/&lt;/style&gt;&lt;/url&gt;&lt;/related-urls&gt;&lt;/urls&gt;&lt;/record&gt;&lt;/Cite&gt;&lt;/EndNote&gt;</w:instrText>
      </w:r>
      <w:r w:rsidR="006C290C">
        <w:rPr>
          <w:rFonts w:cs="Times New Roman"/>
          <w:sz w:val="24"/>
          <w:szCs w:val="24"/>
        </w:rPr>
        <w:fldChar w:fldCharType="separate"/>
      </w:r>
      <w:r w:rsidR="00F35BB4">
        <w:rPr>
          <w:rFonts w:cs="Times New Roman"/>
          <w:noProof/>
          <w:sz w:val="24"/>
          <w:szCs w:val="24"/>
        </w:rPr>
        <w:t>(Begum, 2018)</w:t>
      </w:r>
      <w:r w:rsidR="006C290C">
        <w:rPr>
          <w:rFonts w:cs="Times New Roman"/>
          <w:sz w:val="24"/>
          <w:szCs w:val="24"/>
        </w:rPr>
        <w:fldChar w:fldCharType="end"/>
      </w:r>
      <w:r w:rsidR="006C290C">
        <w:rPr>
          <w:rFonts w:cs="Times New Roman"/>
          <w:sz w:val="24"/>
          <w:szCs w:val="24"/>
        </w:rPr>
        <w:t>.</w:t>
      </w:r>
      <w:r w:rsidR="00A12CFE" w:rsidRPr="000D51E5">
        <w:rPr>
          <w:rFonts w:cs="Times New Roman"/>
          <w:sz w:val="24"/>
          <w:szCs w:val="24"/>
        </w:rPr>
        <w:t xml:space="preserve"> </w:t>
      </w:r>
    </w:p>
    <w:p w14:paraId="4D41B599" w14:textId="169B7648" w:rsidR="00FB2314" w:rsidRPr="00971076" w:rsidRDefault="00D125D8" w:rsidP="00925B92">
      <w:pPr>
        <w:spacing w:after="0" w:line="276" w:lineRule="auto"/>
        <w:ind w:firstLine="567"/>
        <w:jc w:val="both"/>
        <w:rPr>
          <w:rFonts w:cs="Times New Roman"/>
          <w:sz w:val="24"/>
          <w:szCs w:val="24"/>
        </w:rPr>
      </w:pPr>
      <w:r>
        <w:rPr>
          <w:rFonts w:cs="Times New Roman"/>
          <w:sz w:val="24"/>
          <w:szCs w:val="24"/>
        </w:rPr>
        <w:t xml:space="preserve">As we can see, in the aftermath of the referendum, there emerged a number of persuasive, and often pervasive, analyses to try </w:t>
      </w:r>
      <w:proofErr w:type="gramStart"/>
      <w:r>
        <w:rPr>
          <w:rFonts w:cs="Times New Roman"/>
          <w:sz w:val="24"/>
          <w:szCs w:val="24"/>
        </w:rPr>
        <w:t>and</w:t>
      </w:r>
      <w:proofErr w:type="gramEnd"/>
      <w:r>
        <w:rPr>
          <w:rFonts w:cs="Times New Roman"/>
          <w:sz w:val="24"/>
          <w:szCs w:val="24"/>
        </w:rPr>
        <w:t xml:space="preserve"> </w:t>
      </w:r>
      <w:r w:rsidR="00C32823">
        <w:rPr>
          <w:rFonts w:cs="Times New Roman"/>
          <w:sz w:val="24"/>
          <w:szCs w:val="24"/>
        </w:rPr>
        <w:t>make sense of</w:t>
      </w:r>
      <w:r>
        <w:rPr>
          <w:rFonts w:cs="Times New Roman"/>
          <w:sz w:val="24"/>
          <w:szCs w:val="24"/>
        </w:rPr>
        <w:t xml:space="preserve"> the vote.  </w:t>
      </w:r>
      <w:r w:rsidR="00A12CFE" w:rsidRPr="00971076">
        <w:rPr>
          <w:rFonts w:cs="Times New Roman"/>
          <w:sz w:val="24"/>
          <w:szCs w:val="24"/>
        </w:rPr>
        <w:t>I</w:t>
      </w:r>
      <w:r w:rsidR="002D3331" w:rsidRPr="00971076">
        <w:rPr>
          <w:rFonts w:cs="Times New Roman"/>
          <w:sz w:val="24"/>
          <w:szCs w:val="24"/>
        </w:rPr>
        <w:t>nformed by th</w:t>
      </w:r>
      <w:r>
        <w:rPr>
          <w:rFonts w:cs="Times New Roman"/>
          <w:sz w:val="24"/>
          <w:szCs w:val="24"/>
        </w:rPr>
        <w:t>is</w:t>
      </w:r>
      <w:r w:rsidR="00A12CFE" w:rsidRPr="00971076">
        <w:rPr>
          <w:rFonts w:cs="Times New Roman"/>
          <w:sz w:val="24"/>
          <w:szCs w:val="24"/>
        </w:rPr>
        <w:t xml:space="preserve"> </w:t>
      </w:r>
      <w:r w:rsidR="002D3331" w:rsidRPr="00971076">
        <w:rPr>
          <w:rFonts w:cs="Times New Roman"/>
          <w:sz w:val="24"/>
          <w:szCs w:val="24"/>
        </w:rPr>
        <w:lastRenderedPageBreak/>
        <w:t>context</w:t>
      </w:r>
      <w:r>
        <w:rPr>
          <w:rFonts w:cs="Times New Roman"/>
          <w:sz w:val="24"/>
          <w:szCs w:val="24"/>
        </w:rPr>
        <w:t>,</w:t>
      </w:r>
      <w:r w:rsidR="00FE08BD">
        <w:rPr>
          <w:rFonts w:cs="Times New Roman"/>
          <w:sz w:val="24"/>
          <w:szCs w:val="24"/>
        </w:rPr>
        <w:t xml:space="preserve"> </w:t>
      </w:r>
      <w:r w:rsidR="002D3331" w:rsidRPr="00971076">
        <w:rPr>
          <w:rFonts w:cs="Times New Roman"/>
          <w:sz w:val="24"/>
          <w:szCs w:val="24"/>
        </w:rPr>
        <w:t xml:space="preserve">the rest of this discussion attempts to </w:t>
      </w:r>
      <w:r w:rsidR="00A1296B" w:rsidRPr="00971076">
        <w:rPr>
          <w:rFonts w:cs="Times New Roman"/>
          <w:sz w:val="24"/>
          <w:szCs w:val="24"/>
        </w:rPr>
        <w:t xml:space="preserve">unpack </w:t>
      </w:r>
      <w:r w:rsidR="00577E3C" w:rsidRPr="00971076">
        <w:rPr>
          <w:rFonts w:cs="Times New Roman"/>
          <w:sz w:val="24"/>
          <w:szCs w:val="24"/>
        </w:rPr>
        <w:t>some of the issues raised by</w:t>
      </w:r>
      <w:r>
        <w:rPr>
          <w:rFonts w:cs="Times New Roman"/>
          <w:sz w:val="24"/>
          <w:szCs w:val="24"/>
        </w:rPr>
        <w:t xml:space="preserve"> these</w:t>
      </w:r>
      <w:r w:rsidR="00577E3C" w:rsidRPr="00971076">
        <w:rPr>
          <w:rFonts w:cs="Times New Roman"/>
          <w:sz w:val="24"/>
          <w:szCs w:val="24"/>
        </w:rPr>
        <w:t xml:space="preserve"> </w:t>
      </w:r>
      <w:r w:rsidR="00A26947">
        <w:rPr>
          <w:rFonts w:cs="Times New Roman"/>
          <w:sz w:val="24"/>
          <w:szCs w:val="24"/>
        </w:rPr>
        <w:t xml:space="preserve">representations of the </w:t>
      </w:r>
      <w:r w:rsidR="00577E3C" w:rsidRPr="00971076">
        <w:rPr>
          <w:rFonts w:cs="Times New Roman"/>
          <w:sz w:val="24"/>
          <w:szCs w:val="24"/>
        </w:rPr>
        <w:t xml:space="preserve">results of the EU referendum. </w:t>
      </w:r>
      <w:r w:rsidR="00FB2314" w:rsidRPr="00971076">
        <w:rPr>
          <w:rFonts w:cs="Times New Roman"/>
          <w:sz w:val="24"/>
          <w:szCs w:val="24"/>
        </w:rPr>
        <w:t xml:space="preserve"> </w:t>
      </w:r>
      <w:proofErr w:type="gramStart"/>
      <w:r w:rsidR="00FB2314" w:rsidRPr="00971076">
        <w:rPr>
          <w:rFonts w:cs="Times New Roman"/>
          <w:sz w:val="24"/>
          <w:szCs w:val="24"/>
        </w:rPr>
        <w:t xml:space="preserve">Prefaced by a brief national-level analysis of the voting data which examines the </w:t>
      </w:r>
      <w:r w:rsidR="00EA1170" w:rsidRPr="00971076">
        <w:rPr>
          <w:rFonts w:cs="Times New Roman"/>
          <w:sz w:val="24"/>
          <w:szCs w:val="24"/>
        </w:rPr>
        <w:t xml:space="preserve">broader </w:t>
      </w:r>
      <w:r w:rsidR="00FB2314" w:rsidRPr="00971076">
        <w:rPr>
          <w:rFonts w:cs="Times New Roman"/>
          <w:sz w:val="24"/>
          <w:szCs w:val="24"/>
        </w:rPr>
        <w:t xml:space="preserve">geographical presentation of voting </w:t>
      </w:r>
      <w:r w:rsidR="0074650E">
        <w:rPr>
          <w:rFonts w:cs="Times New Roman"/>
          <w:sz w:val="24"/>
          <w:szCs w:val="24"/>
        </w:rPr>
        <w:t>patterns</w:t>
      </w:r>
      <w:r w:rsidR="00FB2314" w:rsidRPr="00971076">
        <w:rPr>
          <w:rFonts w:cs="Times New Roman"/>
          <w:sz w:val="24"/>
          <w:szCs w:val="24"/>
        </w:rPr>
        <w:t xml:space="preserve">, </w:t>
      </w:r>
      <w:r w:rsidR="00315E85" w:rsidRPr="00971076">
        <w:rPr>
          <w:rFonts w:cs="Times New Roman"/>
          <w:sz w:val="24"/>
          <w:szCs w:val="24"/>
        </w:rPr>
        <w:t>t</w:t>
      </w:r>
      <w:r w:rsidR="00FB2314" w:rsidRPr="00971076">
        <w:rPr>
          <w:rFonts w:cs="Times New Roman"/>
          <w:sz w:val="24"/>
          <w:szCs w:val="24"/>
        </w:rPr>
        <w:t>he main thrust of our analysis</w:t>
      </w:r>
      <w:r w:rsidR="00577E3C" w:rsidRPr="00971076">
        <w:rPr>
          <w:rFonts w:cs="Times New Roman"/>
          <w:sz w:val="24"/>
          <w:szCs w:val="24"/>
        </w:rPr>
        <w:t xml:space="preserve"> is informed by ward level data from two local authority districts that voted to remain within a wider city region (Liverpool City Region) which voted remain overall, but where half the local authority districts voted to remain and </w:t>
      </w:r>
      <w:r w:rsidR="00A1296B" w:rsidRPr="00971076">
        <w:rPr>
          <w:rFonts w:cs="Times New Roman"/>
          <w:sz w:val="24"/>
          <w:szCs w:val="24"/>
        </w:rPr>
        <w:t xml:space="preserve">half </w:t>
      </w:r>
      <w:r w:rsidR="00577E3C" w:rsidRPr="00971076">
        <w:rPr>
          <w:rFonts w:cs="Times New Roman"/>
          <w:sz w:val="24"/>
          <w:szCs w:val="24"/>
        </w:rPr>
        <w:t>to leave.</w:t>
      </w:r>
      <w:proofErr w:type="gramEnd"/>
      <w:r w:rsidR="00577E3C" w:rsidRPr="00971076">
        <w:rPr>
          <w:rFonts w:cs="Times New Roman"/>
          <w:sz w:val="24"/>
          <w:szCs w:val="24"/>
        </w:rPr>
        <w:t xml:space="preserve">  It presents data from wards that have similar socio-economic conditions </w:t>
      </w:r>
      <w:r w:rsidR="00FB2314" w:rsidRPr="00971076">
        <w:rPr>
          <w:rFonts w:cs="Times New Roman"/>
          <w:sz w:val="24"/>
          <w:szCs w:val="24"/>
        </w:rPr>
        <w:t xml:space="preserve">(e.g. </w:t>
      </w:r>
      <w:r w:rsidR="00315E85" w:rsidRPr="00971076">
        <w:rPr>
          <w:rFonts w:cs="Times New Roman"/>
          <w:sz w:val="24"/>
          <w:szCs w:val="24"/>
        </w:rPr>
        <w:t xml:space="preserve">with similar ranks </w:t>
      </w:r>
      <w:r w:rsidR="00577E3C" w:rsidRPr="00971076">
        <w:rPr>
          <w:rFonts w:cs="Times New Roman"/>
          <w:sz w:val="24"/>
          <w:szCs w:val="24"/>
        </w:rPr>
        <w:t>in the Ind</w:t>
      </w:r>
      <w:r w:rsidR="00315E85" w:rsidRPr="00971076">
        <w:rPr>
          <w:rFonts w:cs="Times New Roman"/>
          <w:sz w:val="24"/>
          <w:szCs w:val="24"/>
        </w:rPr>
        <w:t>ex of Multiple Deprivation (IMD</w:t>
      </w:r>
      <w:r w:rsidR="00FB2314" w:rsidRPr="00971076">
        <w:rPr>
          <w:rFonts w:cs="Times New Roman"/>
          <w:sz w:val="24"/>
          <w:szCs w:val="24"/>
        </w:rPr>
        <w:t>)</w:t>
      </w:r>
      <w:r w:rsidR="0074650E">
        <w:rPr>
          <w:rFonts w:cs="Times New Roman"/>
          <w:sz w:val="24"/>
          <w:szCs w:val="24"/>
        </w:rPr>
        <w:t>)</w:t>
      </w:r>
      <w:r w:rsidR="00315E85" w:rsidRPr="00971076">
        <w:rPr>
          <w:rFonts w:cs="Times New Roman"/>
          <w:sz w:val="24"/>
          <w:szCs w:val="24"/>
        </w:rPr>
        <w:t>,</w:t>
      </w:r>
      <w:r w:rsidR="00577E3C" w:rsidRPr="00971076">
        <w:rPr>
          <w:rFonts w:cs="Times New Roman"/>
          <w:sz w:val="24"/>
          <w:szCs w:val="24"/>
        </w:rPr>
        <w:t xml:space="preserve"> but which voted differently in the referendum.  </w:t>
      </w:r>
    </w:p>
    <w:p w14:paraId="52E2119E" w14:textId="77777777" w:rsidR="00577E3C" w:rsidRPr="007A3248" w:rsidRDefault="00577E3C" w:rsidP="00A1296B">
      <w:pPr>
        <w:spacing w:after="0" w:line="276" w:lineRule="auto"/>
        <w:jc w:val="both"/>
        <w:rPr>
          <w:sz w:val="24"/>
          <w:szCs w:val="24"/>
        </w:rPr>
      </w:pPr>
    </w:p>
    <w:p w14:paraId="09EB893D" w14:textId="17CCABE6" w:rsidR="00F965A4" w:rsidRPr="00340B9D" w:rsidRDefault="00F965A4" w:rsidP="00340B9D">
      <w:pPr>
        <w:pStyle w:val="ListParagraph"/>
        <w:numPr>
          <w:ilvl w:val="0"/>
          <w:numId w:val="2"/>
        </w:numPr>
        <w:spacing w:after="0" w:line="276" w:lineRule="auto"/>
        <w:jc w:val="both"/>
        <w:rPr>
          <w:b/>
          <w:sz w:val="24"/>
          <w:szCs w:val="24"/>
        </w:rPr>
      </w:pPr>
      <w:r w:rsidRPr="00340B9D">
        <w:rPr>
          <w:b/>
          <w:sz w:val="24"/>
          <w:szCs w:val="24"/>
        </w:rPr>
        <w:t>Case stud</w:t>
      </w:r>
      <w:r w:rsidR="00AC5565">
        <w:rPr>
          <w:b/>
          <w:sz w:val="24"/>
          <w:szCs w:val="24"/>
        </w:rPr>
        <w:t>y</w:t>
      </w:r>
      <w:r w:rsidR="00DA188E" w:rsidRPr="00340B9D">
        <w:rPr>
          <w:b/>
          <w:sz w:val="24"/>
          <w:szCs w:val="24"/>
        </w:rPr>
        <w:t xml:space="preserve"> and</w:t>
      </w:r>
      <w:r w:rsidR="00DA188E" w:rsidRPr="00340B9D">
        <w:rPr>
          <w:sz w:val="24"/>
          <w:szCs w:val="24"/>
        </w:rPr>
        <w:t xml:space="preserve"> </w:t>
      </w:r>
      <w:r w:rsidRPr="00340B9D">
        <w:rPr>
          <w:b/>
          <w:sz w:val="24"/>
          <w:szCs w:val="24"/>
        </w:rPr>
        <w:t>Method</w:t>
      </w:r>
    </w:p>
    <w:p w14:paraId="448FD03D" w14:textId="675A8B69" w:rsidR="00FE08BD" w:rsidRDefault="00110CA2" w:rsidP="00B140D4">
      <w:pPr>
        <w:spacing w:after="0" w:line="276" w:lineRule="auto"/>
        <w:ind w:firstLine="567"/>
        <w:jc w:val="both"/>
        <w:rPr>
          <w:sz w:val="24"/>
          <w:szCs w:val="24"/>
        </w:rPr>
      </w:pPr>
      <w:r>
        <w:rPr>
          <w:sz w:val="24"/>
          <w:szCs w:val="24"/>
        </w:rPr>
        <w:t>Our understanding of the various geographies of the referendum</w:t>
      </w:r>
      <w:r w:rsidR="00EF7BD0">
        <w:rPr>
          <w:sz w:val="24"/>
          <w:szCs w:val="24"/>
        </w:rPr>
        <w:t xml:space="preserve"> </w:t>
      </w:r>
      <w:proofErr w:type="gramStart"/>
      <w:r w:rsidR="00EF7BD0" w:rsidRPr="00EF7BD0">
        <w:rPr>
          <w:sz w:val="24"/>
          <w:szCs w:val="24"/>
        </w:rPr>
        <w:t>has been compounded</w:t>
      </w:r>
      <w:proofErr w:type="gramEnd"/>
      <w:r w:rsidR="00EF7BD0" w:rsidRPr="00EF7BD0">
        <w:rPr>
          <w:sz w:val="24"/>
          <w:szCs w:val="24"/>
        </w:rPr>
        <w:t xml:space="preserve"> by the fact that </w:t>
      </w:r>
      <w:r>
        <w:rPr>
          <w:sz w:val="24"/>
          <w:szCs w:val="24"/>
        </w:rPr>
        <w:t xml:space="preserve">in most cases </w:t>
      </w:r>
      <w:r w:rsidR="00EF7BD0" w:rsidRPr="00EF7BD0">
        <w:rPr>
          <w:sz w:val="24"/>
          <w:szCs w:val="24"/>
        </w:rPr>
        <w:t xml:space="preserve">data on voting patterns has </w:t>
      </w:r>
      <w:r>
        <w:rPr>
          <w:sz w:val="24"/>
          <w:szCs w:val="24"/>
        </w:rPr>
        <w:t>largely only been available at</w:t>
      </w:r>
      <w:r w:rsidR="00EF7BD0" w:rsidRPr="00EF7BD0">
        <w:rPr>
          <w:sz w:val="24"/>
          <w:szCs w:val="24"/>
        </w:rPr>
        <w:t xml:space="preserve"> the local authority </w:t>
      </w:r>
      <w:r>
        <w:rPr>
          <w:sz w:val="24"/>
          <w:szCs w:val="24"/>
        </w:rPr>
        <w:t xml:space="preserve">level and, </w:t>
      </w:r>
      <w:r w:rsidR="00B57009">
        <w:rPr>
          <w:sz w:val="24"/>
          <w:szCs w:val="24"/>
        </w:rPr>
        <w:t>beneath this,</w:t>
      </w:r>
      <w:r w:rsidR="00EF7BD0">
        <w:rPr>
          <w:sz w:val="24"/>
          <w:szCs w:val="24"/>
        </w:rPr>
        <w:t xml:space="preserve"> </w:t>
      </w:r>
      <w:r w:rsidR="00950167" w:rsidRPr="007A3248">
        <w:rPr>
          <w:sz w:val="24"/>
          <w:szCs w:val="24"/>
        </w:rPr>
        <w:t>there is a stark lack of granularity</w:t>
      </w:r>
      <w:r w:rsidR="00B57009">
        <w:rPr>
          <w:sz w:val="24"/>
          <w:szCs w:val="24"/>
        </w:rPr>
        <w:t xml:space="preserve">.  </w:t>
      </w:r>
      <w:r w:rsidRPr="007A3248">
        <w:rPr>
          <w:sz w:val="24"/>
          <w:szCs w:val="24"/>
        </w:rPr>
        <w:t>This</w:t>
      </w:r>
      <w:r w:rsidR="00B57009">
        <w:rPr>
          <w:sz w:val="24"/>
          <w:szCs w:val="24"/>
        </w:rPr>
        <w:t xml:space="preserve"> lack of data</w:t>
      </w:r>
      <w:r w:rsidRPr="007A3248">
        <w:rPr>
          <w:sz w:val="24"/>
          <w:szCs w:val="24"/>
        </w:rPr>
        <w:t xml:space="preserve">, </w:t>
      </w:r>
      <w:r>
        <w:rPr>
          <w:sz w:val="24"/>
          <w:szCs w:val="24"/>
        </w:rPr>
        <w:t xml:space="preserve">we </w:t>
      </w:r>
      <w:proofErr w:type="gramStart"/>
      <w:r w:rsidRPr="007A3248">
        <w:rPr>
          <w:sz w:val="24"/>
          <w:szCs w:val="24"/>
        </w:rPr>
        <w:t>were told</w:t>
      </w:r>
      <w:proofErr w:type="gramEnd"/>
      <w:r w:rsidRPr="007A3248">
        <w:rPr>
          <w:sz w:val="24"/>
          <w:szCs w:val="24"/>
        </w:rPr>
        <w:t xml:space="preserve"> by one local councillor,</w:t>
      </w:r>
      <w:r>
        <w:rPr>
          <w:sz w:val="24"/>
          <w:szCs w:val="24"/>
        </w:rPr>
        <w:t xml:space="preserve"> </w:t>
      </w:r>
      <w:r w:rsidRPr="007A3248">
        <w:rPr>
          <w:sz w:val="24"/>
          <w:szCs w:val="24"/>
        </w:rPr>
        <w:t>reflected an instruction from central government to report the results as quickly as possible, with little focus on the detail</w:t>
      </w:r>
      <w:r w:rsidR="005D6B6E">
        <w:rPr>
          <w:sz w:val="24"/>
          <w:szCs w:val="24"/>
        </w:rPr>
        <w:t xml:space="preserve"> – the result being that</w:t>
      </w:r>
      <w:r w:rsidR="0089479A" w:rsidRPr="007A3248">
        <w:rPr>
          <w:sz w:val="24"/>
          <w:szCs w:val="24"/>
        </w:rPr>
        <w:t xml:space="preserve"> </w:t>
      </w:r>
      <w:r w:rsidR="005D6B6E">
        <w:rPr>
          <w:sz w:val="24"/>
          <w:szCs w:val="24"/>
        </w:rPr>
        <w:t>o</w:t>
      </w:r>
      <w:r w:rsidR="005D6B6E" w:rsidRPr="007A3248">
        <w:rPr>
          <w:sz w:val="24"/>
          <w:szCs w:val="24"/>
        </w:rPr>
        <w:t xml:space="preserve">n </w:t>
      </w:r>
      <w:r w:rsidR="0089479A" w:rsidRPr="007A3248">
        <w:rPr>
          <w:sz w:val="24"/>
          <w:szCs w:val="24"/>
        </w:rPr>
        <w:t xml:space="preserve">election night the results were collated and reported at a local authority level.  At the slightly more granular scale, </w:t>
      </w:r>
      <w:r w:rsidR="007A3505">
        <w:rPr>
          <w:sz w:val="24"/>
          <w:szCs w:val="24"/>
        </w:rPr>
        <w:t xml:space="preserve">voting </w:t>
      </w:r>
      <w:r w:rsidR="00A12CFE">
        <w:rPr>
          <w:sz w:val="24"/>
          <w:szCs w:val="24"/>
        </w:rPr>
        <w:t>data</w:t>
      </w:r>
      <w:r w:rsidR="0089479A" w:rsidRPr="007A3248">
        <w:rPr>
          <w:sz w:val="24"/>
          <w:szCs w:val="24"/>
        </w:rPr>
        <w:t xml:space="preserve"> for parliamentary constituencies </w:t>
      </w:r>
      <w:r w:rsidR="007A3505">
        <w:rPr>
          <w:sz w:val="24"/>
          <w:szCs w:val="24"/>
        </w:rPr>
        <w:t>does exist</w:t>
      </w:r>
      <w:r w:rsidR="0089479A" w:rsidRPr="007A3248">
        <w:rPr>
          <w:sz w:val="24"/>
          <w:szCs w:val="24"/>
        </w:rPr>
        <w:t xml:space="preserve"> – something </w:t>
      </w:r>
      <w:r w:rsidR="00B140D4" w:rsidRPr="007A3248">
        <w:rPr>
          <w:sz w:val="24"/>
          <w:szCs w:val="24"/>
        </w:rPr>
        <w:t xml:space="preserve">used by </w:t>
      </w:r>
      <w:r w:rsidR="007A3505">
        <w:rPr>
          <w:sz w:val="24"/>
          <w:szCs w:val="24"/>
        </w:rPr>
        <w:t>various</w:t>
      </w:r>
      <w:r w:rsidR="00B140D4" w:rsidRPr="007A3248">
        <w:rPr>
          <w:sz w:val="24"/>
          <w:szCs w:val="24"/>
        </w:rPr>
        <w:t xml:space="preserve"> pressure groups in their attempts to</w:t>
      </w:r>
      <w:r w:rsidR="0089479A" w:rsidRPr="007A3248">
        <w:rPr>
          <w:sz w:val="24"/>
          <w:szCs w:val="24"/>
        </w:rPr>
        <w:t xml:space="preserve"> motivate particular MPs </w:t>
      </w:r>
      <w:proofErr w:type="gramStart"/>
      <w:r w:rsidR="0089479A" w:rsidRPr="007A3248">
        <w:rPr>
          <w:sz w:val="24"/>
          <w:szCs w:val="24"/>
        </w:rPr>
        <w:t>with regards to</w:t>
      </w:r>
      <w:proofErr w:type="gramEnd"/>
      <w:r w:rsidR="0089479A" w:rsidRPr="007A3248">
        <w:rPr>
          <w:sz w:val="24"/>
          <w:szCs w:val="24"/>
        </w:rPr>
        <w:t xml:space="preserve"> voting</w:t>
      </w:r>
      <w:r w:rsidR="00A12CFE">
        <w:rPr>
          <w:sz w:val="24"/>
          <w:szCs w:val="24"/>
        </w:rPr>
        <w:t xml:space="preserve"> on aspects of the subsequent ‘</w:t>
      </w:r>
      <w:proofErr w:type="spellStart"/>
      <w:r w:rsidR="00A12CFE">
        <w:rPr>
          <w:sz w:val="24"/>
          <w:szCs w:val="24"/>
        </w:rPr>
        <w:t>Brexit</w:t>
      </w:r>
      <w:proofErr w:type="spellEnd"/>
      <w:r w:rsidR="00A12CFE">
        <w:rPr>
          <w:sz w:val="24"/>
          <w:szCs w:val="24"/>
        </w:rPr>
        <w:t>’ process</w:t>
      </w:r>
      <w:r w:rsidR="0089479A" w:rsidRPr="007A3248">
        <w:rPr>
          <w:sz w:val="24"/>
          <w:szCs w:val="24"/>
        </w:rPr>
        <w:t xml:space="preserve">.  </w:t>
      </w:r>
      <w:r w:rsidR="007A3505">
        <w:rPr>
          <w:sz w:val="24"/>
          <w:szCs w:val="24"/>
        </w:rPr>
        <w:t xml:space="preserve">However, this data can be </w:t>
      </w:r>
      <w:r w:rsidR="00B140D4" w:rsidRPr="007A3248">
        <w:rPr>
          <w:sz w:val="24"/>
          <w:szCs w:val="24"/>
        </w:rPr>
        <w:t xml:space="preserve">premised on estimates – not </w:t>
      </w:r>
      <w:proofErr w:type="gramStart"/>
      <w:r w:rsidR="00B140D4" w:rsidRPr="007A3248">
        <w:rPr>
          <w:sz w:val="24"/>
          <w:szCs w:val="24"/>
        </w:rPr>
        <w:t>least</w:t>
      </w:r>
      <w:proofErr w:type="gramEnd"/>
      <w:r w:rsidR="00B140D4" w:rsidRPr="007A3248">
        <w:rPr>
          <w:sz w:val="24"/>
          <w:szCs w:val="24"/>
        </w:rPr>
        <w:t xml:space="preserve"> where larger local authorities such as cities often comprise multiple </w:t>
      </w:r>
      <w:r w:rsidR="007A3505">
        <w:rPr>
          <w:sz w:val="24"/>
          <w:szCs w:val="24"/>
        </w:rPr>
        <w:t>constituencies</w:t>
      </w:r>
      <w:r w:rsidR="00C06B2B">
        <w:rPr>
          <w:sz w:val="24"/>
          <w:szCs w:val="24"/>
        </w:rPr>
        <w:t>.</w:t>
      </w:r>
      <w:r w:rsidR="00FE08BD">
        <w:rPr>
          <w:sz w:val="24"/>
          <w:szCs w:val="24"/>
        </w:rPr>
        <w:t xml:space="preserve">  </w:t>
      </w:r>
      <w:r w:rsidR="00B140D4" w:rsidRPr="007A3248">
        <w:rPr>
          <w:sz w:val="24"/>
          <w:szCs w:val="24"/>
        </w:rPr>
        <w:t xml:space="preserve">For the most part this </w:t>
      </w:r>
      <w:r w:rsidR="005A69E8">
        <w:rPr>
          <w:sz w:val="24"/>
          <w:szCs w:val="24"/>
        </w:rPr>
        <w:t>represents</w:t>
      </w:r>
      <w:r w:rsidR="00B140D4" w:rsidRPr="007A3248">
        <w:rPr>
          <w:sz w:val="24"/>
          <w:szCs w:val="24"/>
        </w:rPr>
        <w:t xml:space="preserve"> the limits to the granularity of publically available voting </w:t>
      </w:r>
      <w:r w:rsidR="007A3248">
        <w:rPr>
          <w:sz w:val="24"/>
          <w:szCs w:val="24"/>
        </w:rPr>
        <w:t xml:space="preserve">data </w:t>
      </w:r>
      <w:r w:rsidR="00C06B2B">
        <w:rPr>
          <w:sz w:val="24"/>
          <w:szCs w:val="24"/>
        </w:rPr>
        <w:t xml:space="preserve">and, </w:t>
      </w:r>
      <w:r w:rsidR="007A3248">
        <w:rPr>
          <w:sz w:val="24"/>
          <w:szCs w:val="24"/>
        </w:rPr>
        <w:t xml:space="preserve">in contrast to other </w:t>
      </w:r>
      <w:proofErr w:type="gramStart"/>
      <w:r w:rsidR="007A3248">
        <w:rPr>
          <w:sz w:val="24"/>
          <w:szCs w:val="24"/>
        </w:rPr>
        <w:t>elections,</w:t>
      </w:r>
      <w:proofErr w:type="gramEnd"/>
      <w:r w:rsidR="007A3248">
        <w:rPr>
          <w:sz w:val="24"/>
          <w:szCs w:val="24"/>
        </w:rPr>
        <w:t xml:space="preserve"> </w:t>
      </w:r>
      <w:r w:rsidR="00C06B2B">
        <w:rPr>
          <w:sz w:val="24"/>
          <w:szCs w:val="24"/>
        </w:rPr>
        <w:t xml:space="preserve">there is scarce detail at the ward level – in </w:t>
      </w:r>
      <w:r w:rsidR="00FE08BD">
        <w:rPr>
          <w:sz w:val="24"/>
          <w:szCs w:val="24"/>
        </w:rPr>
        <w:t>most cases</w:t>
      </w:r>
      <w:r w:rsidR="00C06B2B">
        <w:rPr>
          <w:sz w:val="24"/>
          <w:szCs w:val="24"/>
        </w:rPr>
        <w:t xml:space="preserve"> because </w:t>
      </w:r>
      <w:r w:rsidR="007A3248">
        <w:rPr>
          <w:sz w:val="24"/>
          <w:szCs w:val="24"/>
        </w:rPr>
        <w:t>it simply did not exist.</w:t>
      </w:r>
      <w:r w:rsidR="005A69E8">
        <w:rPr>
          <w:sz w:val="24"/>
          <w:szCs w:val="24"/>
        </w:rPr>
        <w:t xml:space="preserve"> Thus, for the most part, </w:t>
      </w:r>
      <w:r w:rsidR="00C06B2B">
        <w:rPr>
          <w:sz w:val="24"/>
          <w:szCs w:val="24"/>
        </w:rPr>
        <w:t xml:space="preserve">and as we have discussed above, </w:t>
      </w:r>
      <w:r w:rsidR="005A69E8">
        <w:rPr>
          <w:sz w:val="24"/>
          <w:szCs w:val="24"/>
        </w:rPr>
        <w:t xml:space="preserve">the various tropes which have gained traction as people attempt to rationalise and understand the drivers of the referendum result </w:t>
      </w:r>
      <w:r w:rsidR="00C06B2B">
        <w:rPr>
          <w:sz w:val="24"/>
          <w:szCs w:val="24"/>
        </w:rPr>
        <w:t>are based on a mixture of high-level voting data,</w:t>
      </w:r>
      <w:r w:rsidR="005A69E8">
        <w:rPr>
          <w:sz w:val="24"/>
          <w:szCs w:val="24"/>
        </w:rPr>
        <w:t xml:space="preserve"> opinion polling and piecemeal accounts.</w:t>
      </w:r>
      <w:r w:rsidR="0056665F">
        <w:rPr>
          <w:sz w:val="24"/>
          <w:szCs w:val="24"/>
        </w:rPr>
        <w:t xml:space="preserve">  </w:t>
      </w:r>
    </w:p>
    <w:p w14:paraId="2C8387C0" w14:textId="77777777" w:rsidR="002941D4" w:rsidRDefault="0056665F" w:rsidP="00B140D4">
      <w:pPr>
        <w:spacing w:after="0" w:line="276" w:lineRule="auto"/>
        <w:ind w:firstLine="567"/>
        <w:jc w:val="both"/>
        <w:rPr>
          <w:sz w:val="24"/>
          <w:szCs w:val="24"/>
        </w:rPr>
      </w:pPr>
      <w:r>
        <w:rPr>
          <w:sz w:val="24"/>
          <w:szCs w:val="24"/>
        </w:rPr>
        <w:t>Amidst this overall sparseness, h</w:t>
      </w:r>
      <w:r w:rsidR="007A3248">
        <w:rPr>
          <w:sz w:val="24"/>
          <w:szCs w:val="24"/>
        </w:rPr>
        <w:t xml:space="preserve">owever, a small </w:t>
      </w:r>
      <w:r>
        <w:rPr>
          <w:sz w:val="24"/>
          <w:szCs w:val="24"/>
        </w:rPr>
        <w:t>number</w:t>
      </w:r>
      <w:r w:rsidR="007A3248">
        <w:rPr>
          <w:sz w:val="24"/>
          <w:szCs w:val="24"/>
        </w:rPr>
        <w:t xml:space="preserve"> of local authorities </w:t>
      </w:r>
      <w:r w:rsidR="007A3248" w:rsidRPr="00A33CF0">
        <w:rPr>
          <w:i/>
          <w:sz w:val="24"/>
          <w:szCs w:val="24"/>
        </w:rPr>
        <w:t>did</w:t>
      </w:r>
      <w:r w:rsidR="007A3248">
        <w:rPr>
          <w:sz w:val="24"/>
          <w:szCs w:val="24"/>
        </w:rPr>
        <w:t xml:space="preserve"> collate data at the ward level and, more importantly, made it available.  Some did this immediately after the </w:t>
      </w:r>
      <w:r>
        <w:rPr>
          <w:sz w:val="24"/>
          <w:szCs w:val="24"/>
        </w:rPr>
        <w:t>referendum;</w:t>
      </w:r>
      <w:r w:rsidR="007A3248">
        <w:rPr>
          <w:sz w:val="24"/>
          <w:szCs w:val="24"/>
        </w:rPr>
        <w:t xml:space="preserve"> others released it after </w:t>
      </w:r>
      <w:r w:rsidR="00A1296B">
        <w:rPr>
          <w:sz w:val="24"/>
          <w:szCs w:val="24"/>
        </w:rPr>
        <w:t>some time</w:t>
      </w:r>
      <w:r w:rsidR="007A3248">
        <w:rPr>
          <w:sz w:val="24"/>
          <w:szCs w:val="24"/>
        </w:rPr>
        <w:t>.</w:t>
      </w:r>
      <w:r w:rsidR="005A69E8">
        <w:rPr>
          <w:sz w:val="24"/>
          <w:szCs w:val="24"/>
        </w:rPr>
        <w:t xml:space="preserve">  </w:t>
      </w:r>
      <w:r w:rsidR="00187D84">
        <w:rPr>
          <w:sz w:val="24"/>
          <w:szCs w:val="24"/>
        </w:rPr>
        <w:t xml:space="preserve">This paper </w:t>
      </w:r>
      <w:r>
        <w:rPr>
          <w:sz w:val="24"/>
          <w:szCs w:val="24"/>
        </w:rPr>
        <w:t>centres</w:t>
      </w:r>
      <w:r w:rsidR="00187D84">
        <w:rPr>
          <w:sz w:val="24"/>
          <w:szCs w:val="24"/>
        </w:rPr>
        <w:t xml:space="preserve"> on two </w:t>
      </w:r>
      <w:r w:rsidR="00A12CFE">
        <w:rPr>
          <w:sz w:val="24"/>
          <w:szCs w:val="24"/>
        </w:rPr>
        <w:t xml:space="preserve">local authority districts </w:t>
      </w:r>
      <w:r w:rsidR="00187D84">
        <w:rPr>
          <w:sz w:val="24"/>
          <w:szCs w:val="24"/>
        </w:rPr>
        <w:t>where this occurred:  Liverpool, and the Wirral.</w:t>
      </w:r>
      <w:r>
        <w:rPr>
          <w:sz w:val="24"/>
          <w:szCs w:val="24"/>
        </w:rPr>
        <w:t xml:space="preserve">  </w:t>
      </w:r>
      <w:r w:rsidR="00187D84">
        <w:rPr>
          <w:sz w:val="24"/>
          <w:szCs w:val="24"/>
        </w:rPr>
        <w:t>That thes</w:t>
      </w:r>
      <w:r w:rsidR="00A12CFE">
        <w:rPr>
          <w:sz w:val="24"/>
          <w:szCs w:val="24"/>
        </w:rPr>
        <w:t xml:space="preserve">e two authorities are amongst </w:t>
      </w:r>
      <w:r w:rsidR="00187D84">
        <w:rPr>
          <w:sz w:val="24"/>
          <w:szCs w:val="24"/>
        </w:rPr>
        <w:t xml:space="preserve">the few </w:t>
      </w:r>
      <w:r>
        <w:rPr>
          <w:sz w:val="24"/>
          <w:szCs w:val="24"/>
        </w:rPr>
        <w:t xml:space="preserve">areas </w:t>
      </w:r>
      <w:r w:rsidR="00187D84">
        <w:rPr>
          <w:sz w:val="24"/>
          <w:szCs w:val="24"/>
        </w:rPr>
        <w:t>where ward-level</w:t>
      </w:r>
      <w:r w:rsidR="00A12CFE">
        <w:rPr>
          <w:sz w:val="24"/>
          <w:szCs w:val="24"/>
        </w:rPr>
        <w:t xml:space="preserve"> data on the referendum exists provides an initial rational</w:t>
      </w:r>
      <w:r w:rsidR="003D2EE1">
        <w:rPr>
          <w:sz w:val="24"/>
          <w:szCs w:val="24"/>
        </w:rPr>
        <w:t>e</w:t>
      </w:r>
      <w:r w:rsidR="00A12CFE">
        <w:rPr>
          <w:sz w:val="24"/>
          <w:szCs w:val="24"/>
        </w:rPr>
        <w:t xml:space="preserve"> for their selection</w:t>
      </w:r>
      <w:r w:rsidR="00187D84">
        <w:rPr>
          <w:sz w:val="24"/>
          <w:szCs w:val="24"/>
        </w:rPr>
        <w:t xml:space="preserve">, </w:t>
      </w:r>
      <w:r w:rsidR="00A12CFE">
        <w:rPr>
          <w:sz w:val="24"/>
          <w:szCs w:val="24"/>
        </w:rPr>
        <w:t xml:space="preserve">but </w:t>
      </w:r>
      <w:r w:rsidR="00187D84">
        <w:rPr>
          <w:sz w:val="24"/>
          <w:szCs w:val="24"/>
        </w:rPr>
        <w:t xml:space="preserve">they are useful in other ways.  </w:t>
      </w:r>
    </w:p>
    <w:p w14:paraId="074020B5" w14:textId="65155928" w:rsidR="00A1296B" w:rsidRDefault="00187D84" w:rsidP="00B140D4">
      <w:pPr>
        <w:spacing w:after="0" w:line="276" w:lineRule="auto"/>
        <w:ind w:firstLine="567"/>
        <w:jc w:val="both"/>
        <w:rPr>
          <w:sz w:val="24"/>
          <w:szCs w:val="24"/>
        </w:rPr>
      </w:pPr>
      <w:r>
        <w:rPr>
          <w:sz w:val="24"/>
          <w:szCs w:val="24"/>
        </w:rPr>
        <w:t xml:space="preserve">Firstly, they are contiguous parts of the same city-region: Liverpool City Region (LCR).  </w:t>
      </w:r>
      <w:r w:rsidR="00D16A49">
        <w:rPr>
          <w:sz w:val="24"/>
          <w:szCs w:val="24"/>
        </w:rPr>
        <w:t xml:space="preserve">In this, they share similar characteristics, both in terms of post-industrial economic landscape </w:t>
      </w:r>
      <w:r w:rsidR="00A031CD">
        <w:rPr>
          <w:sz w:val="24"/>
          <w:szCs w:val="24"/>
        </w:rPr>
        <w:t xml:space="preserve">- </w:t>
      </w:r>
      <w:r w:rsidR="00D16A49">
        <w:rPr>
          <w:sz w:val="24"/>
          <w:szCs w:val="24"/>
        </w:rPr>
        <w:t xml:space="preserve">both have been profoundly affected by the decline in dock/port-related activity </w:t>
      </w:r>
      <w:r w:rsidR="00D16A49">
        <w:rPr>
          <w:sz w:val="24"/>
          <w:szCs w:val="24"/>
        </w:rPr>
        <w:fldChar w:fldCharType="begin"/>
      </w:r>
      <w:r w:rsidR="00F35BB4">
        <w:rPr>
          <w:sz w:val="24"/>
          <w:szCs w:val="24"/>
        </w:rPr>
        <w:instrText xml:space="preserve"> ADDIN EN.CITE &lt;EndNote&gt;&lt;Cite&gt;&lt;Author&gt;Sykes&lt;/Author&gt;&lt;Year&gt;2013&lt;/Year&gt;&lt;RecNum&gt;228&lt;/RecNum&gt;&lt;DisplayText&gt;(Sykes et al., 2013, Wilks-Heeg, 2003)&lt;/DisplayText&gt;&lt;record&gt;&lt;rec-number&gt;228&lt;/rec-number&gt;&lt;foreign-keys&gt;&lt;key app="EN" db-id="sf2v0zffie0st6edessvst0jrx50tz9rrwst" timestamp="1375861522"&gt;228&lt;/key&gt;&lt;/foreign-keys&gt;&lt;ref-type name="Journal Article"&gt;17&lt;/ref-type&gt;&lt;contributors&gt;&lt;authors&gt;&lt;author&gt;Sykes, O.&lt;/author&gt;&lt;author&gt;Brown, J.&lt;/author&gt;&lt;author&gt;Cocks, Matthew&lt;/author&gt;&lt;author&gt;Shaw, David&lt;/author&gt;&lt;author&gt;Couch, C.&lt;/author&gt;&lt;/authors&gt;&lt;/contributors&gt;&lt;titles&gt;&lt;title&gt;A City Profile of Liverpool&lt;/title&gt;&lt;secondary-title&gt;Cities&lt;/secondary-title&gt;&lt;/titles&gt;&lt;periodical&gt;&lt;full-title&gt;Cities&lt;/full-title&gt;&lt;/periodical&gt;&lt;volume&gt;(Published Online)&lt;/volume&gt;&lt;dates&gt;&lt;year&gt;2013&lt;/year&gt;&lt;/dates&gt;&lt;urls&gt;&lt;/urls&gt;&lt;/record&gt;&lt;/Cite&gt;&lt;Cite&gt;&lt;Author&gt;Wilks-Heeg&lt;/Author&gt;&lt;Year&gt;2003&lt;/Year&gt;&lt;RecNum&gt;773&lt;/RecNum&gt;&lt;record&gt;&lt;rec-number&gt;773&lt;/rec-number&gt;&lt;foreign-keys&gt;&lt;key app="EN" db-id="sf2v0zffie0st6edessvst0jrx50tz9rrwst" timestamp="1483551355"&gt;773&lt;/key&gt;&lt;/foreign-keys&gt;&lt;ref-type name="Book Section"&gt;5&lt;/ref-type&gt;&lt;contributors&gt;&lt;authors&gt;&lt;author&gt;Wilks-Heeg, S.&lt;/author&gt;&lt;/authors&gt;&lt;secondary-authors&gt;&lt;author&gt;Munck, R.&lt;/author&gt;&lt;/secondary-authors&gt;&lt;/contributors&gt;&lt;titles&gt;&lt;title&gt;From World City to Pariah City? Liverpool and the Global Economy 1850-2000&lt;/title&gt;&lt;secondary-title&gt;Reinventing the City? Liverpool in Comparative Perspective&lt;/secondary-title&gt;&lt;/titles&gt;&lt;dates&gt;&lt;year&gt;2003&lt;/year&gt;&lt;/dates&gt;&lt;pub-location&gt;Liverpool&lt;/pub-location&gt;&lt;publisher&gt;Liverpool University Press&lt;/publisher&gt;&lt;urls&gt;&lt;/urls&gt;&lt;/record&gt;&lt;/Cite&gt;&lt;/EndNote&gt;</w:instrText>
      </w:r>
      <w:r w:rsidR="00D16A49">
        <w:rPr>
          <w:sz w:val="24"/>
          <w:szCs w:val="24"/>
        </w:rPr>
        <w:fldChar w:fldCharType="separate"/>
      </w:r>
      <w:r w:rsidR="00F35BB4">
        <w:rPr>
          <w:noProof/>
          <w:sz w:val="24"/>
          <w:szCs w:val="24"/>
        </w:rPr>
        <w:t>(Sykes et al., 2013, Wilks-Heeg, 2003)</w:t>
      </w:r>
      <w:r w:rsidR="00D16A49">
        <w:rPr>
          <w:sz w:val="24"/>
          <w:szCs w:val="24"/>
        </w:rPr>
        <w:fldChar w:fldCharType="end"/>
      </w:r>
      <w:r w:rsidR="00A031CD">
        <w:rPr>
          <w:sz w:val="24"/>
          <w:szCs w:val="24"/>
        </w:rPr>
        <w:t xml:space="preserve"> –</w:t>
      </w:r>
      <w:r w:rsidR="00A12CFE">
        <w:rPr>
          <w:sz w:val="24"/>
          <w:szCs w:val="24"/>
        </w:rPr>
        <w:t xml:space="preserve"> </w:t>
      </w:r>
      <w:r w:rsidR="00A031CD">
        <w:rPr>
          <w:sz w:val="24"/>
          <w:szCs w:val="24"/>
        </w:rPr>
        <w:t xml:space="preserve">strategic </w:t>
      </w:r>
      <w:r w:rsidR="00D16A49">
        <w:rPr>
          <w:sz w:val="24"/>
          <w:szCs w:val="24"/>
        </w:rPr>
        <w:t xml:space="preserve"> governance </w:t>
      </w:r>
      <w:r w:rsidR="00515182">
        <w:rPr>
          <w:sz w:val="24"/>
          <w:szCs w:val="24"/>
        </w:rPr>
        <w:fldChar w:fldCharType="begin"/>
      </w:r>
      <w:r w:rsidR="00F35BB4">
        <w:rPr>
          <w:sz w:val="24"/>
          <w:szCs w:val="24"/>
        </w:rPr>
        <w:instrText xml:space="preserve"> ADDIN EN.CITE &lt;EndNote&gt;&lt;Cite&gt;&lt;Author&gt;Sturzaker&lt;/Author&gt;&lt;Year&gt;Forthcoming&lt;/Year&gt;&lt;RecNum&gt;1567&lt;/RecNum&gt;&lt;DisplayText&gt;(Sturzaker and Nurse, Forthcoming)&lt;/DisplayText&gt;&lt;record&gt;&lt;rec-number&gt;1567&lt;/rec-number&gt;&lt;foreign-keys&gt;&lt;key app="EN" db-id="sf2v0zffie0st6edessvst0jrx50tz9rrwst" timestamp="1557397407"&gt;1567&lt;/key&gt;&lt;/foreign-keys&gt;&lt;ref-type name="Book"&gt;6&lt;/ref-type&gt;&lt;contributors&gt;&lt;authors&gt;&lt;author&gt;Sturzaker, J.&lt;/author&gt;&lt;author&gt;Nurse, A&lt;/author&gt;&lt;/authors&gt;&lt;/contributors&gt;&lt;titles&gt;&lt;title&gt;Rescaling Urban Governance – Planning, Localism and Institutional Change&lt;/title&gt;&lt;/titles&gt;&lt;dates&gt;&lt;year&gt;Forthcoming&lt;/year&gt;&lt;/dates&gt;&lt;pub-location&gt;Bristol&lt;/pub-location&gt;&lt;publisher&gt;Policy Press&lt;/publisher&gt;&lt;urls&gt;&lt;/urls&gt;&lt;/record&gt;&lt;/Cite&gt;&lt;/EndNote&gt;</w:instrText>
      </w:r>
      <w:r w:rsidR="00515182">
        <w:rPr>
          <w:sz w:val="24"/>
          <w:szCs w:val="24"/>
        </w:rPr>
        <w:fldChar w:fldCharType="separate"/>
      </w:r>
      <w:r w:rsidR="00F35BB4">
        <w:rPr>
          <w:noProof/>
          <w:sz w:val="24"/>
          <w:szCs w:val="24"/>
        </w:rPr>
        <w:t>(Sturzaker and Nurse, Forthcoming)</w:t>
      </w:r>
      <w:r w:rsidR="00515182">
        <w:rPr>
          <w:sz w:val="24"/>
          <w:szCs w:val="24"/>
        </w:rPr>
        <w:fldChar w:fldCharType="end"/>
      </w:r>
      <w:r w:rsidR="00125C5A">
        <w:rPr>
          <w:sz w:val="24"/>
          <w:szCs w:val="24"/>
        </w:rPr>
        <w:t xml:space="preserve">, and socio-economic profile. </w:t>
      </w:r>
      <w:r w:rsidR="002941D4">
        <w:rPr>
          <w:sz w:val="24"/>
          <w:szCs w:val="24"/>
        </w:rPr>
        <w:t xml:space="preserve"> Consequently, they should be emblematic of at least one characterisation of ‘Left </w:t>
      </w:r>
      <w:proofErr w:type="gramStart"/>
      <w:r w:rsidR="002941D4">
        <w:rPr>
          <w:sz w:val="24"/>
          <w:szCs w:val="24"/>
        </w:rPr>
        <w:t>Behind</w:t>
      </w:r>
      <w:proofErr w:type="gramEnd"/>
      <w:r w:rsidR="002941D4">
        <w:rPr>
          <w:sz w:val="24"/>
          <w:szCs w:val="24"/>
        </w:rPr>
        <w:t xml:space="preserve"> Britain’.</w:t>
      </w:r>
      <w:r w:rsidR="00A12CFE">
        <w:rPr>
          <w:sz w:val="24"/>
          <w:szCs w:val="24"/>
        </w:rPr>
        <w:t xml:space="preserve"> </w:t>
      </w:r>
      <w:r w:rsidR="002941D4">
        <w:rPr>
          <w:sz w:val="24"/>
          <w:szCs w:val="24"/>
        </w:rPr>
        <w:t xml:space="preserve">Secondly, the wider political context of the two authority areas is important: that they both returned Labour MPs to all their constituencies at the last general election (though two of these have subsequently ceased to represent the </w:t>
      </w:r>
      <w:r w:rsidR="002941D4">
        <w:rPr>
          <w:sz w:val="24"/>
          <w:szCs w:val="24"/>
        </w:rPr>
        <w:lastRenderedPageBreak/>
        <w:t>party), makes them valid locations in which to examine some of the tropes which been used to explain the referendum result.  Thirdly</w:t>
      </w:r>
      <w:r>
        <w:rPr>
          <w:sz w:val="24"/>
          <w:szCs w:val="24"/>
        </w:rPr>
        <w:t xml:space="preserve">, both authorities voted </w:t>
      </w:r>
      <w:r w:rsidR="00A12CFE">
        <w:rPr>
          <w:sz w:val="24"/>
          <w:szCs w:val="24"/>
        </w:rPr>
        <w:t xml:space="preserve">remain in the referendum and are </w:t>
      </w:r>
      <w:r>
        <w:rPr>
          <w:sz w:val="24"/>
          <w:szCs w:val="24"/>
        </w:rPr>
        <w:t xml:space="preserve">within a city region that (if votes </w:t>
      </w:r>
      <w:proofErr w:type="gramStart"/>
      <w:r w:rsidR="00A12CFE">
        <w:rPr>
          <w:sz w:val="24"/>
          <w:szCs w:val="24"/>
        </w:rPr>
        <w:t>are aggregated</w:t>
      </w:r>
      <w:proofErr w:type="gramEnd"/>
      <w:r w:rsidR="00A12CFE">
        <w:rPr>
          <w:sz w:val="24"/>
          <w:szCs w:val="24"/>
        </w:rPr>
        <w:t xml:space="preserve"> at this level) </w:t>
      </w:r>
      <w:r>
        <w:rPr>
          <w:sz w:val="24"/>
          <w:szCs w:val="24"/>
        </w:rPr>
        <w:t xml:space="preserve">voted to </w:t>
      </w:r>
      <w:r w:rsidR="00667726">
        <w:rPr>
          <w:sz w:val="24"/>
          <w:szCs w:val="24"/>
        </w:rPr>
        <w:t>remain</w:t>
      </w:r>
      <w:r w:rsidR="00A12CFE">
        <w:rPr>
          <w:sz w:val="24"/>
          <w:szCs w:val="24"/>
        </w:rPr>
        <w:t>, but where half the districts voted to leave (Table 1)</w:t>
      </w:r>
      <w:r>
        <w:rPr>
          <w:sz w:val="24"/>
          <w:szCs w:val="24"/>
        </w:rPr>
        <w:t xml:space="preserve">.  </w:t>
      </w:r>
    </w:p>
    <w:p w14:paraId="488111A9" w14:textId="77777777" w:rsidR="00A1296B" w:rsidRDefault="00A1296B" w:rsidP="00B140D4">
      <w:pPr>
        <w:spacing w:after="0" w:line="276" w:lineRule="auto"/>
        <w:ind w:firstLine="567"/>
        <w:jc w:val="both"/>
        <w:rPr>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174"/>
        <w:gridCol w:w="2164"/>
        <w:gridCol w:w="2156"/>
        <w:gridCol w:w="1287"/>
        <w:gridCol w:w="1235"/>
      </w:tblGrid>
      <w:tr w:rsidR="00C32712" w14:paraId="13D0FDC0" w14:textId="2C4A1F5D" w:rsidTr="00A33CF0">
        <w:tc>
          <w:tcPr>
            <w:tcW w:w="2174" w:type="dxa"/>
            <w:tcBorders>
              <w:top w:val="single" w:sz="4" w:space="0" w:color="auto"/>
              <w:bottom w:val="single" w:sz="4" w:space="0" w:color="auto"/>
              <w:right w:val="single" w:sz="4" w:space="0" w:color="auto"/>
            </w:tcBorders>
          </w:tcPr>
          <w:p w14:paraId="7D1DDAB8" w14:textId="50AD6D1E" w:rsidR="00C32712" w:rsidRPr="00A33CF0" w:rsidRDefault="00C32712" w:rsidP="00B140D4">
            <w:pPr>
              <w:spacing w:line="276" w:lineRule="auto"/>
              <w:jc w:val="both"/>
              <w:rPr>
                <w:b/>
                <w:sz w:val="24"/>
                <w:szCs w:val="24"/>
              </w:rPr>
            </w:pPr>
            <w:r w:rsidRPr="00A33CF0">
              <w:rPr>
                <w:b/>
                <w:sz w:val="24"/>
                <w:szCs w:val="24"/>
              </w:rPr>
              <w:t xml:space="preserve">Local Authority </w:t>
            </w:r>
          </w:p>
        </w:tc>
        <w:tc>
          <w:tcPr>
            <w:tcW w:w="2164" w:type="dxa"/>
            <w:tcBorders>
              <w:top w:val="single" w:sz="4" w:space="0" w:color="auto"/>
              <w:left w:val="single" w:sz="4" w:space="0" w:color="auto"/>
              <w:bottom w:val="single" w:sz="4" w:space="0" w:color="auto"/>
            </w:tcBorders>
          </w:tcPr>
          <w:p w14:paraId="7D5CB8E7" w14:textId="441B7BD6" w:rsidR="00C32712" w:rsidRPr="00A33CF0" w:rsidRDefault="00C32712" w:rsidP="00B140D4">
            <w:pPr>
              <w:spacing w:line="276" w:lineRule="auto"/>
              <w:jc w:val="both"/>
              <w:rPr>
                <w:b/>
                <w:sz w:val="24"/>
                <w:szCs w:val="24"/>
              </w:rPr>
            </w:pPr>
            <w:r w:rsidRPr="00A33CF0">
              <w:rPr>
                <w:b/>
                <w:sz w:val="24"/>
                <w:szCs w:val="24"/>
              </w:rPr>
              <w:t>Voted Remain</w:t>
            </w:r>
          </w:p>
        </w:tc>
        <w:tc>
          <w:tcPr>
            <w:tcW w:w="2156" w:type="dxa"/>
            <w:tcBorders>
              <w:top w:val="single" w:sz="4" w:space="0" w:color="auto"/>
              <w:bottom w:val="single" w:sz="4" w:space="0" w:color="auto"/>
            </w:tcBorders>
          </w:tcPr>
          <w:p w14:paraId="692E840E" w14:textId="6D6A95DC" w:rsidR="00C32712" w:rsidRPr="00A33CF0" w:rsidRDefault="00C32712" w:rsidP="00B140D4">
            <w:pPr>
              <w:spacing w:line="276" w:lineRule="auto"/>
              <w:jc w:val="both"/>
              <w:rPr>
                <w:b/>
                <w:sz w:val="24"/>
                <w:szCs w:val="24"/>
              </w:rPr>
            </w:pPr>
            <w:r w:rsidRPr="00A33CF0">
              <w:rPr>
                <w:b/>
                <w:sz w:val="24"/>
                <w:szCs w:val="24"/>
              </w:rPr>
              <w:t>Voted Leave</w:t>
            </w:r>
          </w:p>
        </w:tc>
        <w:tc>
          <w:tcPr>
            <w:tcW w:w="1287" w:type="dxa"/>
            <w:tcBorders>
              <w:top w:val="single" w:sz="4" w:space="0" w:color="auto"/>
              <w:bottom w:val="single" w:sz="4" w:space="0" w:color="auto"/>
            </w:tcBorders>
          </w:tcPr>
          <w:p w14:paraId="388CFCF4" w14:textId="2D03FFF3" w:rsidR="00C32712" w:rsidRPr="00A33CF0" w:rsidRDefault="00C32712" w:rsidP="00B140D4">
            <w:pPr>
              <w:spacing w:line="276" w:lineRule="auto"/>
              <w:jc w:val="both"/>
              <w:rPr>
                <w:b/>
                <w:sz w:val="24"/>
                <w:szCs w:val="24"/>
              </w:rPr>
            </w:pPr>
            <w:r w:rsidRPr="00A33CF0">
              <w:rPr>
                <w:b/>
                <w:sz w:val="24"/>
                <w:szCs w:val="24"/>
              </w:rPr>
              <w:t>% Remain</w:t>
            </w:r>
          </w:p>
        </w:tc>
        <w:tc>
          <w:tcPr>
            <w:tcW w:w="1235" w:type="dxa"/>
            <w:tcBorders>
              <w:top w:val="single" w:sz="4" w:space="0" w:color="auto"/>
              <w:bottom w:val="single" w:sz="4" w:space="0" w:color="auto"/>
            </w:tcBorders>
          </w:tcPr>
          <w:p w14:paraId="32A1F360" w14:textId="0F4B04AB" w:rsidR="00C32712" w:rsidRPr="00A33CF0" w:rsidRDefault="00C32712" w:rsidP="00B140D4">
            <w:pPr>
              <w:spacing w:line="276" w:lineRule="auto"/>
              <w:jc w:val="both"/>
              <w:rPr>
                <w:b/>
                <w:sz w:val="24"/>
                <w:szCs w:val="24"/>
              </w:rPr>
            </w:pPr>
            <w:r w:rsidRPr="00A33CF0">
              <w:rPr>
                <w:b/>
                <w:sz w:val="24"/>
                <w:szCs w:val="24"/>
              </w:rPr>
              <w:t>% Leave</w:t>
            </w:r>
          </w:p>
        </w:tc>
      </w:tr>
      <w:tr w:rsidR="0056665F" w14:paraId="5C2BD2CD" w14:textId="0A027362" w:rsidTr="00A33CF0">
        <w:tc>
          <w:tcPr>
            <w:tcW w:w="2174" w:type="dxa"/>
            <w:tcBorders>
              <w:top w:val="single" w:sz="4" w:space="0" w:color="auto"/>
              <w:right w:val="single" w:sz="4" w:space="0" w:color="auto"/>
            </w:tcBorders>
            <w:shd w:val="clear" w:color="auto" w:fill="F2F2F2" w:themeFill="background1" w:themeFillShade="F2"/>
          </w:tcPr>
          <w:p w14:paraId="53A371CF" w14:textId="781D2F05" w:rsidR="0056665F" w:rsidRDefault="0056665F" w:rsidP="00B140D4">
            <w:pPr>
              <w:spacing w:line="276" w:lineRule="auto"/>
              <w:jc w:val="both"/>
              <w:rPr>
                <w:sz w:val="24"/>
                <w:szCs w:val="24"/>
              </w:rPr>
            </w:pPr>
            <w:r>
              <w:rPr>
                <w:sz w:val="24"/>
                <w:szCs w:val="24"/>
              </w:rPr>
              <w:t xml:space="preserve">Halton </w:t>
            </w:r>
          </w:p>
        </w:tc>
        <w:tc>
          <w:tcPr>
            <w:tcW w:w="2164" w:type="dxa"/>
            <w:tcBorders>
              <w:top w:val="single" w:sz="4" w:space="0" w:color="auto"/>
              <w:left w:val="single" w:sz="4" w:space="0" w:color="auto"/>
            </w:tcBorders>
            <w:shd w:val="clear" w:color="auto" w:fill="F2F2F2" w:themeFill="background1" w:themeFillShade="F2"/>
          </w:tcPr>
          <w:p w14:paraId="405201D8" w14:textId="12A1CF20" w:rsidR="0056665F" w:rsidRDefault="0056665F" w:rsidP="00B140D4">
            <w:pPr>
              <w:spacing w:line="276" w:lineRule="auto"/>
              <w:jc w:val="both"/>
              <w:rPr>
                <w:sz w:val="24"/>
                <w:szCs w:val="24"/>
              </w:rPr>
            </w:pPr>
            <w:r w:rsidRPr="00C32712">
              <w:rPr>
                <w:sz w:val="24"/>
                <w:szCs w:val="24"/>
              </w:rPr>
              <w:t xml:space="preserve">27,678 </w:t>
            </w:r>
          </w:p>
        </w:tc>
        <w:tc>
          <w:tcPr>
            <w:tcW w:w="2156" w:type="dxa"/>
            <w:tcBorders>
              <w:top w:val="single" w:sz="4" w:space="0" w:color="auto"/>
            </w:tcBorders>
            <w:shd w:val="clear" w:color="auto" w:fill="F2F2F2" w:themeFill="background1" w:themeFillShade="F2"/>
          </w:tcPr>
          <w:p w14:paraId="251D87AC" w14:textId="6493BF49" w:rsidR="0056665F" w:rsidRDefault="0056665F" w:rsidP="00B140D4">
            <w:pPr>
              <w:spacing w:line="276" w:lineRule="auto"/>
              <w:jc w:val="both"/>
              <w:rPr>
                <w:sz w:val="24"/>
                <w:szCs w:val="24"/>
              </w:rPr>
            </w:pPr>
            <w:r w:rsidRPr="00C32712">
              <w:rPr>
                <w:sz w:val="24"/>
                <w:szCs w:val="24"/>
              </w:rPr>
              <w:t>37,327</w:t>
            </w:r>
          </w:p>
        </w:tc>
        <w:tc>
          <w:tcPr>
            <w:tcW w:w="1287" w:type="dxa"/>
            <w:tcBorders>
              <w:top w:val="single" w:sz="4" w:space="0" w:color="auto"/>
            </w:tcBorders>
            <w:shd w:val="clear" w:color="auto" w:fill="F2F2F2" w:themeFill="background1" w:themeFillShade="F2"/>
          </w:tcPr>
          <w:p w14:paraId="78EAA0E8" w14:textId="131E4A5C" w:rsidR="0056665F" w:rsidRDefault="0056665F" w:rsidP="00B140D4">
            <w:pPr>
              <w:spacing w:line="276" w:lineRule="auto"/>
              <w:jc w:val="both"/>
              <w:rPr>
                <w:sz w:val="24"/>
                <w:szCs w:val="24"/>
              </w:rPr>
            </w:pPr>
            <w:r w:rsidRPr="00C32712">
              <w:rPr>
                <w:sz w:val="24"/>
                <w:szCs w:val="24"/>
              </w:rPr>
              <w:t>42.6</w:t>
            </w:r>
          </w:p>
        </w:tc>
        <w:tc>
          <w:tcPr>
            <w:tcW w:w="1235" w:type="dxa"/>
            <w:tcBorders>
              <w:top w:val="single" w:sz="4" w:space="0" w:color="auto"/>
            </w:tcBorders>
            <w:shd w:val="clear" w:color="auto" w:fill="F2F2F2" w:themeFill="background1" w:themeFillShade="F2"/>
          </w:tcPr>
          <w:p w14:paraId="1B113159" w14:textId="0C17620C" w:rsidR="0056665F" w:rsidRDefault="0056665F" w:rsidP="00C32712">
            <w:pPr>
              <w:spacing w:line="276" w:lineRule="auto"/>
              <w:jc w:val="both"/>
              <w:rPr>
                <w:sz w:val="24"/>
                <w:szCs w:val="24"/>
              </w:rPr>
            </w:pPr>
            <w:r w:rsidRPr="00C32712">
              <w:rPr>
                <w:sz w:val="24"/>
                <w:szCs w:val="24"/>
              </w:rPr>
              <w:t>57.4</w:t>
            </w:r>
          </w:p>
        </w:tc>
      </w:tr>
      <w:tr w:rsidR="0056665F" w14:paraId="2BF37249" w14:textId="77777777" w:rsidTr="00A33CF0">
        <w:tc>
          <w:tcPr>
            <w:tcW w:w="2174" w:type="dxa"/>
            <w:tcBorders>
              <w:right w:val="single" w:sz="4" w:space="0" w:color="auto"/>
            </w:tcBorders>
            <w:shd w:val="clear" w:color="auto" w:fill="D9D9D9" w:themeFill="background1" w:themeFillShade="D9"/>
          </w:tcPr>
          <w:p w14:paraId="30108121" w14:textId="01E78C46" w:rsidR="0056665F" w:rsidRDefault="0056665F" w:rsidP="00B140D4">
            <w:pPr>
              <w:spacing w:line="276" w:lineRule="auto"/>
              <w:jc w:val="both"/>
              <w:rPr>
                <w:sz w:val="24"/>
                <w:szCs w:val="24"/>
              </w:rPr>
            </w:pPr>
            <w:r>
              <w:rPr>
                <w:sz w:val="24"/>
                <w:szCs w:val="24"/>
              </w:rPr>
              <w:t>Knowsley</w:t>
            </w:r>
          </w:p>
        </w:tc>
        <w:tc>
          <w:tcPr>
            <w:tcW w:w="2164" w:type="dxa"/>
            <w:tcBorders>
              <w:left w:val="single" w:sz="4" w:space="0" w:color="auto"/>
            </w:tcBorders>
            <w:shd w:val="clear" w:color="auto" w:fill="D9D9D9" w:themeFill="background1" w:themeFillShade="D9"/>
          </w:tcPr>
          <w:p w14:paraId="04368B16" w14:textId="2AFD1D04" w:rsidR="0056665F" w:rsidRPr="00C32712" w:rsidRDefault="0056665F" w:rsidP="00B140D4">
            <w:pPr>
              <w:spacing w:line="276" w:lineRule="auto"/>
              <w:jc w:val="both"/>
              <w:rPr>
                <w:sz w:val="24"/>
                <w:szCs w:val="24"/>
              </w:rPr>
            </w:pPr>
            <w:r w:rsidRPr="00C32712">
              <w:rPr>
                <w:sz w:val="24"/>
                <w:szCs w:val="24"/>
              </w:rPr>
              <w:t>34,345</w:t>
            </w:r>
          </w:p>
        </w:tc>
        <w:tc>
          <w:tcPr>
            <w:tcW w:w="2156" w:type="dxa"/>
            <w:shd w:val="clear" w:color="auto" w:fill="D9D9D9" w:themeFill="background1" w:themeFillShade="D9"/>
          </w:tcPr>
          <w:p w14:paraId="3B827208" w14:textId="4B4EF626" w:rsidR="0056665F" w:rsidRPr="00C32712" w:rsidRDefault="0056665F" w:rsidP="00B140D4">
            <w:pPr>
              <w:spacing w:line="276" w:lineRule="auto"/>
              <w:jc w:val="both"/>
              <w:rPr>
                <w:sz w:val="24"/>
                <w:szCs w:val="24"/>
              </w:rPr>
            </w:pPr>
            <w:r w:rsidRPr="00C32712">
              <w:rPr>
                <w:sz w:val="24"/>
                <w:szCs w:val="24"/>
              </w:rPr>
              <w:t>36,558</w:t>
            </w:r>
          </w:p>
        </w:tc>
        <w:tc>
          <w:tcPr>
            <w:tcW w:w="1287" w:type="dxa"/>
            <w:shd w:val="clear" w:color="auto" w:fill="D9D9D9" w:themeFill="background1" w:themeFillShade="D9"/>
          </w:tcPr>
          <w:p w14:paraId="165D68BD" w14:textId="2F45FC87" w:rsidR="0056665F" w:rsidRPr="00C32712" w:rsidRDefault="0056665F" w:rsidP="00B140D4">
            <w:pPr>
              <w:spacing w:line="276" w:lineRule="auto"/>
              <w:jc w:val="both"/>
              <w:rPr>
                <w:sz w:val="24"/>
                <w:szCs w:val="24"/>
              </w:rPr>
            </w:pPr>
            <w:r w:rsidRPr="00C32712">
              <w:rPr>
                <w:sz w:val="24"/>
                <w:szCs w:val="24"/>
              </w:rPr>
              <w:t>48.4</w:t>
            </w:r>
          </w:p>
        </w:tc>
        <w:tc>
          <w:tcPr>
            <w:tcW w:w="1235" w:type="dxa"/>
            <w:shd w:val="clear" w:color="auto" w:fill="D9D9D9" w:themeFill="background1" w:themeFillShade="D9"/>
          </w:tcPr>
          <w:p w14:paraId="1887C73F" w14:textId="2AF59006" w:rsidR="0056665F" w:rsidRPr="00C32712" w:rsidRDefault="0056665F" w:rsidP="00C32712">
            <w:pPr>
              <w:spacing w:line="276" w:lineRule="auto"/>
              <w:jc w:val="both"/>
              <w:rPr>
                <w:sz w:val="24"/>
                <w:szCs w:val="24"/>
              </w:rPr>
            </w:pPr>
            <w:r>
              <w:rPr>
                <w:sz w:val="24"/>
                <w:szCs w:val="24"/>
              </w:rPr>
              <w:t>51.6</w:t>
            </w:r>
          </w:p>
        </w:tc>
      </w:tr>
      <w:tr w:rsidR="0056665F" w14:paraId="29441521" w14:textId="24C911D0" w:rsidTr="00A33CF0">
        <w:tc>
          <w:tcPr>
            <w:tcW w:w="2174" w:type="dxa"/>
            <w:tcBorders>
              <w:right w:val="single" w:sz="4" w:space="0" w:color="auto"/>
            </w:tcBorders>
            <w:shd w:val="clear" w:color="auto" w:fill="F2F2F2" w:themeFill="background1" w:themeFillShade="F2"/>
          </w:tcPr>
          <w:p w14:paraId="2B7236D0" w14:textId="2538B714" w:rsidR="0056665F" w:rsidRDefault="0056665F" w:rsidP="00C32712">
            <w:pPr>
              <w:spacing w:line="276" w:lineRule="auto"/>
              <w:jc w:val="both"/>
              <w:rPr>
                <w:sz w:val="24"/>
                <w:szCs w:val="24"/>
              </w:rPr>
            </w:pPr>
            <w:r>
              <w:rPr>
                <w:sz w:val="24"/>
                <w:szCs w:val="24"/>
              </w:rPr>
              <w:t xml:space="preserve">Liverpool </w:t>
            </w:r>
          </w:p>
        </w:tc>
        <w:tc>
          <w:tcPr>
            <w:tcW w:w="2164" w:type="dxa"/>
            <w:tcBorders>
              <w:left w:val="single" w:sz="4" w:space="0" w:color="auto"/>
            </w:tcBorders>
            <w:shd w:val="clear" w:color="auto" w:fill="F2F2F2" w:themeFill="background1" w:themeFillShade="F2"/>
          </w:tcPr>
          <w:p w14:paraId="57AD8607" w14:textId="0BCF27DB" w:rsidR="0056665F" w:rsidRDefault="0056665F" w:rsidP="00C32712">
            <w:pPr>
              <w:spacing w:line="276" w:lineRule="auto"/>
              <w:jc w:val="both"/>
              <w:rPr>
                <w:sz w:val="24"/>
                <w:szCs w:val="24"/>
              </w:rPr>
            </w:pPr>
            <w:r w:rsidRPr="00A1296B">
              <w:rPr>
                <w:sz w:val="24"/>
                <w:szCs w:val="24"/>
              </w:rPr>
              <w:t>118,453</w:t>
            </w:r>
          </w:p>
        </w:tc>
        <w:tc>
          <w:tcPr>
            <w:tcW w:w="2156" w:type="dxa"/>
            <w:shd w:val="clear" w:color="auto" w:fill="F2F2F2" w:themeFill="background1" w:themeFillShade="F2"/>
          </w:tcPr>
          <w:p w14:paraId="36FBAAC9" w14:textId="6ADF4AA9" w:rsidR="0056665F" w:rsidRDefault="0056665F" w:rsidP="00C32712">
            <w:pPr>
              <w:spacing w:line="276" w:lineRule="auto"/>
              <w:jc w:val="both"/>
              <w:rPr>
                <w:sz w:val="24"/>
                <w:szCs w:val="24"/>
              </w:rPr>
            </w:pPr>
            <w:r w:rsidRPr="00A1296B">
              <w:rPr>
                <w:sz w:val="24"/>
                <w:szCs w:val="24"/>
              </w:rPr>
              <w:t>85,101</w:t>
            </w:r>
          </w:p>
        </w:tc>
        <w:tc>
          <w:tcPr>
            <w:tcW w:w="1287" w:type="dxa"/>
            <w:shd w:val="clear" w:color="auto" w:fill="F2F2F2" w:themeFill="background1" w:themeFillShade="F2"/>
          </w:tcPr>
          <w:p w14:paraId="6FD3BE9A" w14:textId="134026D7" w:rsidR="0056665F" w:rsidRDefault="0056665F" w:rsidP="00C32712">
            <w:pPr>
              <w:spacing w:line="276" w:lineRule="auto"/>
              <w:jc w:val="both"/>
              <w:rPr>
                <w:sz w:val="24"/>
                <w:szCs w:val="24"/>
              </w:rPr>
            </w:pPr>
            <w:r>
              <w:rPr>
                <w:sz w:val="24"/>
                <w:szCs w:val="24"/>
              </w:rPr>
              <w:t>58.2</w:t>
            </w:r>
          </w:p>
        </w:tc>
        <w:tc>
          <w:tcPr>
            <w:tcW w:w="1235" w:type="dxa"/>
            <w:shd w:val="clear" w:color="auto" w:fill="F2F2F2" w:themeFill="background1" w:themeFillShade="F2"/>
          </w:tcPr>
          <w:p w14:paraId="50BD0F8F" w14:textId="78CDDA48" w:rsidR="0056665F" w:rsidRDefault="0056665F" w:rsidP="00C32712">
            <w:pPr>
              <w:spacing w:line="276" w:lineRule="auto"/>
              <w:jc w:val="both"/>
              <w:rPr>
                <w:sz w:val="24"/>
                <w:szCs w:val="24"/>
              </w:rPr>
            </w:pPr>
            <w:r w:rsidRPr="00C32712">
              <w:rPr>
                <w:sz w:val="24"/>
                <w:szCs w:val="24"/>
              </w:rPr>
              <w:t>41.8</w:t>
            </w:r>
          </w:p>
        </w:tc>
      </w:tr>
      <w:tr w:rsidR="0056665F" w14:paraId="0DAC8F75" w14:textId="000AC73B" w:rsidTr="00A33CF0">
        <w:tc>
          <w:tcPr>
            <w:tcW w:w="2174" w:type="dxa"/>
            <w:tcBorders>
              <w:right w:val="single" w:sz="4" w:space="0" w:color="auto"/>
            </w:tcBorders>
            <w:shd w:val="clear" w:color="auto" w:fill="D9D9D9" w:themeFill="background1" w:themeFillShade="D9"/>
          </w:tcPr>
          <w:p w14:paraId="33EB5E24" w14:textId="781929CB" w:rsidR="0056665F" w:rsidRDefault="0056665F" w:rsidP="00C32712">
            <w:pPr>
              <w:spacing w:line="276" w:lineRule="auto"/>
              <w:jc w:val="both"/>
              <w:rPr>
                <w:sz w:val="24"/>
                <w:szCs w:val="24"/>
              </w:rPr>
            </w:pPr>
            <w:r>
              <w:rPr>
                <w:sz w:val="24"/>
                <w:szCs w:val="24"/>
              </w:rPr>
              <w:t>Sefton</w:t>
            </w:r>
          </w:p>
        </w:tc>
        <w:tc>
          <w:tcPr>
            <w:tcW w:w="2164" w:type="dxa"/>
            <w:tcBorders>
              <w:left w:val="single" w:sz="4" w:space="0" w:color="auto"/>
            </w:tcBorders>
            <w:shd w:val="clear" w:color="auto" w:fill="D9D9D9" w:themeFill="background1" w:themeFillShade="D9"/>
          </w:tcPr>
          <w:p w14:paraId="67876C09" w14:textId="78653CDD" w:rsidR="0056665F" w:rsidRDefault="0056665F" w:rsidP="00C32712">
            <w:pPr>
              <w:spacing w:line="276" w:lineRule="auto"/>
              <w:jc w:val="both"/>
              <w:rPr>
                <w:sz w:val="24"/>
                <w:szCs w:val="24"/>
              </w:rPr>
            </w:pPr>
            <w:r w:rsidRPr="00C32712">
              <w:rPr>
                <w:sz w:val="24"/>
                <w:szCs w:val="24"/>
              </w:rPr>
              <w:t>76,702</w:t>
            </w:r>
          </w:p>
        </w:tc>
        <w:tc>
          <w:tcPr>
            <w:tcW w:w="2156" w:type="dxa"/>
            <w:shd w:val="clear" w:color="auto" w:fill="D9D9D9" w:themeFill="background1" w:themeFillShade="D9"/>
          </w:tcPr>
          <w:p w14:paraId="514870C2" w14:textId="5EDCEEAF" w:rsidR="0056665F" w:rsidRDefault="0056665F" w:rsidP="00C32712">
            <w:pPr>
              <w:spacing w:line="276" w:lineRule="auto"/>
              <w:jc w:val="both"/>
              <w:rPr>
                <w:sz w:val="24"/>
                <w:szCs w:val="24"/>
              </w:rPr>
            </w:pPr>
            <w:r w:rsidRPr="00C32712">
              <w:rPr>
                <w:sz w:val="24"/>
                <w:szCs w:val="24"/>
              </w:rPr>
              <w:t>71,176</w:t>
            </w:r>
          </w:p>
        </w:tc>
        <w:tc>
          <w:tcPr>
            <w:tcW w:w="1287" w:type="dxa"/>
            <w:shd w:val="clear" w:color="auto" w:fill="D9D9D9" w:themeFill="background1" w:themeFillShade="D9"/>
          </w:tcPr>
          <w:p w14:paraId="631A93FF" w14:textId="5CBD87EA" w:rsidR="0056665F" w:rsidRDefault="0056665F" w:rsidP="00C32712">
            <w:pPr>
              <w:spacing w:line="276" w:lineRule="auto"/>
              <w:jc w:val="both"/>
              <w:rPr>
                <w:sz w:val="24"/>
                <w:szCs w:val="24"/>
              </w:rPr>
            </w:pPr>
            <w:r w:rsidRPr="00C32712">
              <w:rPr>
                <w:sz w:val="24"/>
                <w:szCs w:val="24"/>
              </w:rPr>
              <w:t>51.9</w:t>
            </w:r>
          </w:p>
        </w:tc>
        <w:tc>
          <w:tcPr>
            <w:tcW w:w="1235" w:type="dxa"/>
            <w:shd w:val="clear" w:color="auto" w:fill="D9D9D9" w:themeFill="background1" w:themeFillShade="D9"/>
          </w:tcPr>
          <w:p w14:paraId="3889D396" w14:textId="6E13FBC4" w:rsidR="0056665F" w:rsidRDefault="0056665F" w:rsidP="00C32712">
            <w:pPr>
              <w:spacing w:line="276" w:lineRule="auto"/>
              <w:jc w:val="both"/>
              <w:rPr>
                <w:sz w:val="24"/>
                <w:szCs w:val="24"/>
              </w:rPr>
            </w:pPr>
            <w:r w:rsidRPr="00C32712">
              <w:rPr>
                <w:sz w:val="24"/>
                <w:szCs w:val="24"/>
              </w:rPr>
              <w:t>48.1</w:t>
            </w:r>
          </w:p>
        </w:tc>
      </w:tr>
      <w:tr w:rsidR="0056665F" w14:paraId="5C83CB02" w14:textId="1A870154" w:rsidTr="00A33CF0">
        <w:tc>
          <w:tcPr>
            <w:tcW w:w="2174" w:type="dxa"/>
            <w:tcBorders>
              <w:bottom w:val="nil"/>
              <w:right w:val="single" w:sz="4" w:space="0" w:color="auto"/>
            </w:tcBorders>
            <w:shd w:val="clear" w:color="auto" w:fill="F2F2F2" w:themeFill="background1" w:themeFillShade="F2"/>
          </w:tcPr>
          <w:p w14:paraId="30082B9C" w14:textId="14567FC8" w:rsidR="0056665F" w:rsidRDefault="0056665F" w:rsidP="00C32712">
            <w:pPr>
              <w:spacing w:line="276" w:lineRule="auto"/>
              <w:jc w:val="both"/>
              <w:rPr>
                <w:sz w:val="24"/>
                <w:szCs w:val="24"/>
              </w:rPr>
            </w:pPr>
            <w:r>
              <w:rPr>
                <w:sz w:val="24"/>
                <w:szCs w:val="24"/>
              </w:rPr>
              <w:t>St Helens</w:t>
            </w:r>
          </w:p>
        </w:tc>
        <w:tc>
          <w:tcPr>
            <w:tcW w:w="2164" w:type="dxa"/>
            <w:tcBorders>
              <w:left w:val="single" w:sz="4" w:space="0" w:color="auto"/>
              <w:bottom w:val="nil"/>
            </w:tcBorders>
            <w:shd w:val="clear" w:color="auto" w:fill="F2F2F2" w:themeFill="background1" w:themeFillShade="F2"/>
          </w:tcPr>
          <w:p w14:paraId="447DCAAD" w14:textId="37A523AA" w:rsidR="0056665F" w:rsidRDefault="00713FA7" w:rsidP="00C32712">
            <w:pPr>
              <w:spacing w:line="276" w:lineRule="auto"/>
              <w:jc w:val="both"/>
              <w:rPr>
                <w:sz w:val="24"/>
                <w:szCs w:val="24"/>
              </w:rPr>
            </w:pPr>
            <w:r>
              <w:rPr>
                <w:sz w:val="24"/>
                <w:szCs w:val="24"/>
              </w:rPr>
              <w:t>39,322</w:t>
            </w:r>
          </w:p>
        </w:tc>
        <w:tc>
          <w:tcPr>
            <w:tcW w:w="2156" w:type="dxa"/>
            <w:tcBorders>
              <w:bottom w:val="nil"/>
            </w:tcBorders>
            <w:shd w:val="clear" w:color="auto" w:fill="F2F2F2" w:themeFill="background1" w:themeFillShade="F2"/>
          </w:tcPr>
          <w:p w14:paraId="28D521DF" w14:textId="55561250" w:rsidR="0056665F" w:rsidRDefault="00713FA7" w:rsidP="00C32712">
            <w:pPr>
              <w:spacing w:line="276" w:lineRule="auto"/>
              <w:jc w:val="both"/>
              <w:rPr>
                <w:sz w:val="24"/>
                <w:szCs w:val="24"/>
              </w:rPr>
            </w:pPr>
            <w:r>
              <w:rPr>
                <w:sz w:val="24"/>
                <w:szCs w:val="24"/>
              </w:rPr>
              <w:t>54,357</w:t>
            </w:r>
          </w:p>
        </w:tc>
        <w:tc>
          <w:tcPr>
            <w:tcW w:w="1287" w:type="dxa"/>
            <w:tcBorders>
              <w:bottom w:val="nil"/>
            </w:tcBorders>
            <w:shd w:val="clear" w:color="auto" w:fill="F2F2F2" w:themeFill="background1" w:themeFillShade="F2"/>
          </w:tcPr>
          <w:p w14:paraId="13812562" w14:textId="32FE78AF" w:rsidR="0056665F" w:rsidRDefault="00713FA7" w:rsidP="006B11B2">
            <w:pPr>
              <w:spacing w:line="276" w:lineRule="auto"/>
              <w:jc w:val="both"/>
              <w:rPr>
                <w:sz w:val="24"/>
                <w:szCs w:val="24"/>
              </w:rPr>
            </w:pPr>
            <w:r>
              <w:rPr>
                <w:sz w:val="24"/>
                <w:szCs w:val="24"/>
              </w:rPr>
              <w:t>41.</w:t>
            </w:r>
            <w:r w:rsidR="006B11B2">
              <w:rPr>
                <w:sz w:val="24"/>
                <w:szCs w:val="24"/>
              </w:rPr>
              <w:t>0</w:t>
            </w:r>
          </w:p>
        </w:tc>
        <w:tc>
          <w:tcPr>
            <w:tcW w:w="1235" w:type="dxa"/>
            <w:tcBorders>
              <w:bottom w:val="nil"/>
            </w:tcBorders>
            <w:shd w:val="clear" w:color="auto" w:fill="F2F2F2" w:themeFill="background1" w:themeFillShade="F2"/>
          </w:tcPr>
          <w:p w14:paraId="484AC0D7" w14:textId="1E2D37B7" w:rsidR="0056665F" w:rsidRDefault="00713FA7" w:rsidP="006B11B2">
            <w:pPr>
              <w:spacing w:line="276" w:lineRule="auto"/>
              <w:jc w:val="both"/>
              <w:rPr>
                <w:sz w:val="24"/>
                <w:szCs w:val="24"/>
              </w:rPr>
            </w:pPr>
            <w:r>
              <w:rPr>
                <w:sz w:val="24"/>
                <w:szCs w:val="24"/>
              </w:rPr>
              <w:t>5</w:t>
            </w:r>
            <w:r w:rsidR="006B11B2">
              <w:rPr>
                <w:sz w:val="24"/>
                <w:szCs w:val="24"/>
              </w:rPr>
              <w:t>9</w:t>
            </w:r>
            <w:r>
              <w:rPr>
                <w:sz w:val="24"/>
                <w:szCs w:val="24"/>
              </w:rPr>
              <w:t>.0</w:t>
            </w:r>
          </w:p>
        </w:tc>
      </w:tr>
      <w:tr w:rsidR="0056665F" w14:paraId="0918E924" w14:textId="77777777" w:rsidTr="00A33CF0">
        <w:tc>
          <w:tcPr>
            <w:tcW w:w="2174" w:type="dxa"/>
            <w:tcBorders>
              <w:top w:val="nil"/>
              <w:bottom w:val="single" w:sz="4" w:space="0" w:color="auto"/>
              <w:right w:val="single" w:sz="4" w:space="0" w:color="auto"/>
            </w:tcBorders>
            <w:shd w:val="clear" w:color="auto" w:fill="D9D9D9" w:themeFill="background1" w:themeFillShade="D9"/>
          </w:tcPr>
          <w:p w14:paraId="09411820" w14:textId="7662A59C" w:rsidR="0056665F" w:rsidRDefault="0056665F" w:rsidP="00C32712">
            <w:pPr>
              <w:spacing w:line="276" w:lineRule="auto"/>
              <w:jc w:val="both"/>
              <w:rPr>
                <w:sz w:val="24"/>
                <w:szCs w:val="24"/>
              </w:rPr>
            </w:pPr>
            <w:r>
              <w:rPr>
                <w:sz w:val="24"/>
                <w:szCs w:val="24"/>
              </w:rPr>
              <w:t>Wirral</w:t>
            </w:r>
          </w:p>
        </w:tc>
        <w:tc>
          <w:tcPr>
            <w:tcW w:w="2164" w:type="dxa"/>
            <w:tcBorders>
              <w:top w:val="nil"/>
              <w:left w:val="single" w:sz="4" w:space="0" w:color="auto"/>
              <w:bottom w:val="single" w:sz="4" w:space="0" w:color="auto"/>
            </w:tcBorders>
            <w:shd w:val="clear" w:color="auto" w:fill="D9D9D9" w:themeFill="background1" w:themeFillShade="D9"/>
          </w:tcPr>
          <w:p w14:paraId="21472D96" w14:textId="4178369A" w:rsidR="0056665F" w:rsidRPr="00C32712" w:rsidRDefault="0056665F" w:rsidP="00C32712">
            <w:pPr>
              <w:spacing w:line="276" w:lineRule="auto"/>
              <w:jc w:val="both"/>
              <w:rPr>
                <w:sz w:val="24"/>
                <w:szCs w:val="24"/>
              </w:rPr>
            </w:pPr>
            <w:r w:rsidRPr="00A1296B">
              <w:rPr>
                <w:sz w:val="24"/>
                <w:szCs w:val="24"/>
              </w:rPr>
              <w:t xml:space="preserve">88,931 </w:t>
            </w:r>
            <w:r>
              <w:rPr>
                <w:sz w:val="24"/>
                <w:szCs w:val="24"/>
              </w:rPr>
              <w:t xml:space="preserve"> </w:t>
            </w:r>
          </w:p>
        </w:tc>
        <w:tc>
          <w:tcPr>
            <w:tcW w:w="2156" w:type="dxa"/>
            <w:tcBorders>
              <w:top w:val="nil"/>
              <w:bottom w:val="single" w:sz="4" w:space="0" w:color="auto"/>
            </w:tcBorders>
            <w:shd w:val="clear" w:color="auto" w:fill="D9D9D9" w:themeFill="background1" w:themeFillShade="D9"/>
          </w:tcPr>
          <w:p w14:paraId="42ACA28B" w14:textId="3BD37F32" w:rsidR="0056665F" w:rsidRPr="00C32712" w:rsidRDefault="0056665F" w:rsidP="00C32712">
            <w:pPr>
              <w:spacing w:line="276" w:lineRule="auto"/>
              <w:jc w:val="both"/>
              <w:rPr>
                <w:sz w:val="24"/>
                <w:szCs w:val="24"/>
              </w:rPr>
            </w:pPr>
            <w:r w:rsidRPr="00A1296B">
              <w:rPr>
                <w:sz w:val="24"/>
                <w:szCs w:val="24"/>
              </w:rPr>
              <w:t xml:space="preserve">83,069 </w:t>
            </w:r>
            <w:r>
              <w:rPr>
                <w:sz w:val="24"/>
                <w:szCs w:val="24"/>
              </w:rPr>
              <w:t xml:space="preserve"> </w:t>
            </w:r>
          </w:p>
        </w:tc>
        <w:tc>
          <w:tcPr>
            <w:tcW w:w="1287" w:type="dxa"/>
            <w:tcBorders>
              <w:top w:val="nil"/>
              <w:bottom w:val="single" w:sz="4" w:space="0" w:color="auto"/>
            </w:tcBorders>
            <w:shd w:val="clear" w:color="auto" w:fill="D9D9D9" w:themeFill="background1" w:themeFillShade="D9"/>
          </w:tcPr>
          <w:p w14:paraId="73E47A2C" w14:textId="3BC3856B" w:rsidR="0056665F" w:rsidRPr="00C32712" w:rsidRDefault="0056665F" w:rsidP="00C32712">
            <w:pPr>
              <w:spacing w:line="276" w:lineRule="auto"/>
              <w:jc w:val="both"/>
              <w:rPr>
                <w:sz w:val="24"/>
                <w:szCs w:val="24"/>
              </w:rPr>
            </w:pPr>
            <w:r>
              <w:rPr>
                <w:sz w:val="24"/>
                <w:szCs w:val="24"/>
              </w:rPr>
              <w:t>51.7</w:t>
            </w:r>
          </w:p>
        </w:tc>
        <w:tc>
          <w:tcPr>
            <w:tcW w:w="1235" w:type="dxa"/>
            <w:tcBorders>
              <w:top w:val="nil"/>
              <w:bottom w:val="single" w:sz="4" w:space="0" w:color="auto"/>
            </w:tcBorders>
            <w:shd w:val="clear" w:color="auto" w:fill="D9D9D9" w:themeFill="background1" w:themeFillShade="D9"/>
          </w:tcPr>
          <w:p w14:paraId="1F2FD55C" w14:textId="56E2350F" w:rsidR="0056665F" w:rsidRPr="00C32712" w:rsidRDefault="0056665F" w:rsidP="00C32712">
            <w:pPr>
              <w:spacing w:line="276" w:lineRule="auto"/>
              <w:jc w:val="both"/>
              <w:rPr>
                <w:sz w:val="24"/>
                <w:szCs w:val="24"/>
              </w:rPr>
            </w:pPr>
            <w:r w:rsidRPr="00C32712">
              <w:rPr>
                <w:sz w:val="24"/>
                <w:szCs w:val="24"/>
              </w:rPr>
              <w:t>48.3</w:t>
            </w:r>
            <w:r>
              <w:rPr>
                <w:sz w:val="24"/>
                <w:szCs w:val="24"/>
              </w:rPr>
              <w:t xml:space="preserve"> </w:t>
            </w:r>
          </w:p>
        </w:tc>
      </w:tr>
      <w:tr w:rsidR="0056665F" w14:paraId="54685BD7" w14:textId="76D4E353" w:rsidTr="00A33CF0">
        <w:tc>
          <w:tcPr>
            <w:tcW w:w="2174" w:type="dxa"/>
            <w:tcBorders>
              <w:top w:val="single" w:sz="4" w:space="0" w:color="auto"/>
              <w:bottom w:val="single" w:sz="4" w:space="0" w:color="auto"/>
              <w:right w:val="single" w:sz="4" w:space="0" w:color="auto"/>
            </w:tcBorders>
          </w:tcPr>
          <w:p w14:paraId="47100496" w14:textId="503AC5B6" w:rsidR="0056665F" w:rsidRPr="00A33CF0" w:rsidRDefault="0056665F" w:rsidP="00954F98">
            <w:pPr>
              <w:spacing w:line="276" w:lineRule="auto"/>
              <w:jc w:val="right"/>
              <w:rPr>
                <w:i/>
                <w:sz w:val="24"/>
                <w:szCs w:val="24"/>
              </w:rPr>
            </w:pPr>
            <w:r w:rsidRPr="00A33CF0">
              <w:rPr>
                <w:i/>
                <w:sz w:val="24"/>
                <w:szCs w:val="24"/>
              </w:rPr>
              <w:t xml:space="preserve">Total </w:t>
            </w:r>
          </w:p>
        </w:tc>
        <w:tc>
          <w:tcPr>
            <w:tcW w:w="2164" w:type="dxa"/>
            <w:tcBorders>
              <w:top w:val="single" w:sz="4" w:space="0" w:color="auto"/>
              <w:left w:val="single" w:sz="4" w:space="0" w:color="auto"/>
            </w:tcBorders>
          </w:tcPr>
          <w:p w14:paraId="4C8CC7CE" w14:textId="74E170A7" w:rsidR="0056665F" w:rsidRPr="00C32712" w:rsidRDefault="00713FA7" w:rsidP="00C32712">
            <w:pPr>
              <w:spacing w:line="276" w:lineRule="auto"/>
              <w:jc w:val="both"/>
              <w:rPr>
                <w:rFonts w:eastAsiaTheme="minorEastAsia"/>
                <w:sz w:val="24"/>
                <w:szCs w:val="24"/>
              </w:rPr>
            </w:pPr>
            <w:r>
              <w:rPr>
                <w:rFonts w:eastAsiaTheme="minorEastAsia"/>
                <w:sz w:val="24"/>
                <w:szCs w:val="24"/>
              </w:rPr>
              <w:t>385,431</w:t>
            </w:r>
          </w:p>
        </w:tc>
        <w:tc>
          <w:tcPr>
            <w:tcW w:w="2156" w:type="dxa"/>
            <w:tcBorders>
              <w:top w:val="single" w:sz="4" w:space="0" w:color="auto"/>
            </w:tcBorders>
          </w:tcPr>
          <w:p w14:paraId="4FDA1775" w14:textId="50F8D3C8" w:rsidR="0056665F" w:rsidRDefault="00713FA7" w:rsidP="00C32712">
            <w:pPr>
              <w:spacing w:line="276" w:lineRule="auto"/>
              <w:jc w:val="both"/>
              <w:rPr>
                <w:sz w:val="24"/>
                <w:szCs w:val="24"/>
              </w:rPr>
            </w:pPr>
            <w:r>
              <w:rPr>
                <w:sz w:val="24"/>
                <w:szCs w:val="24"/>
              </w:rPr>
              <w:t>367,588</w:t>
            </w:r>
          </w:p>
        </w:tc>
        <w:tc>
          <w:tcPr>
            <w:tcW w:w="1287" w:type="dxa"/>
            <w:tcBorders>
              <w:top w:val="single" w:sz="4" w:space="0" w:color="auto"/>
            </w:tcBorders>
          </w:tcPr>
          <w:p w14:paraId="7CC2B360" w14:textId="64F2C83E" w:rsidR="0056665F" w:rsidRDefault="00713FA7" w:rsidP="00C32712">
            <w:pPr>
              <w:spacing w:line="276" w:lineRule="auto"/>
              <w:jc w:val="both"/>
              <w:rPr>
                <w:sz w:val="24"/>
                <w:szCs w:val="24"/>
              </w:rPr>
            </w:pPr>
            <w:r>
              <w:rPr>
                <w:sz w:val="24"/>
                <w:szCs w:val="24"/>
              </w:rPr>
              <w:t>51.2</w:t>
            </w:r>
          </w:p>
        </w:tc>
        <w:tc>
          <w:tcPr>
            <w:tcW w:w="1235" w:type="dxa"/>
            <w:tcBorders>
              <w:top w:val="single" w:sz="4" w:space="0" w:color="auto"/>
            </w:tcBorders>
          </w:tcPr>
          <w:p w14:paraId="6021E495" w14:textId="3776D5BF" w:rsidR="0056665F" w:rsidRDefault="00713FA7" w:rsidP="00C32712">
            <w:pPr>
              <w:spacing w:line="276" w:lineRule="auto"/>
              <w:jc w:val="both"/>
              <w:rPr>
                <w:sz w:val="24"/>
                <w:szCs w:val="24"/>
              </w:rPr>
            </w:pPr>
            <w:r>
              <w:rPr>
                <w:sz w:val="24"/>
                <w:szCs w:val="24"/>
              </w:rPr>
              <w:t>48.8</w:t>
            </w:r>
          </w:p>
        </w:tc>
      </w:tr>
    </w:tbl>
    <w:p w14:paraId="33D1E6B9" w14:textId="5BCCFD01" w:rsidR="00A1296B" w:rsidRPr="00AE20B1" w:rsidRDefault="00713FA7" w:rsidP="00B140D4">
      <w:pPr>
        <w:spacing w:after="0" w:line="276" w:lineRule="auto"/>
        <w:ind w:firstLine="567"/>
        <w:jc w:val="both"/>
        <w:rPr>
          <w:i/>
          <w:sz w:val="24"/>
          <w:szCs w:val="24"/>
        </w:rPr>
      </w:pPr>
      <w:r w:rsidRPr="00AE20B1">
        <w:rPr>
          <w:i/>
          <w:sz w:val="24"/>
          <w:szCs w:val="24"/>
        </w:rPr>
        <w:t xml:space="preserve">Table 1: Voting Data for the Liverpool City Region </w:t>
      </w:r>
      <w:r w:rsidR="00971076" w:rsidRPr="00AE20B1">
        <w:rPr>
          <w:i/>
          <w:sz w:val="24"/>
          <w:szCs w:val="24"/>
        </w:rPr>
        <w:fldChar w:fldCharType="begin"/>
      </w:r>
      <w:r w:rsidR="00F35BB4">
        <w:rPr>
          <w:i/>
          <w:sz w:val="24"/>
          <w:szCs w:val="24"/>
        </w:rPr>
        <w:instrText xml:space="preserve"> ADDIN EN.CITE &lt;EndNote&gt;&lt;Cite&gt;&lt;Author&gt;Electoral Commission&lt;/Author&gt;&lt;Year&gt;2016&lt;/Year&gt;&lt;RecNum&gt;871&lt;/RecNum&gt;&lt;Prefix&gt;Source &lt;/Prefix&gt;&lt;DisplayText&gt;(Source Electoral Commission, 2016)&lt;/DisplayText&gt;&lt;record&gt;&lt;rec-number&gt;871&lt;/rec-number&gt;&lt;foreign-keys&gt;&lt;key app="EN" db-id="sf2v0zffie0st6edessvst0jrx50tz9rrwst" timestamp="1498747794"&gt;871&lt;/key&gt;&lt;/foreign-keys&gt;&lt;ref-type name="Web Page"&gt;12&lt;/ref-type&gt;&lt;contributors&gt;&lt;authors&gt;&lt;author&gt;Electoral Commission,&lt;/author&gt;&lt;/authors&gt;&lt;/contributors&gt;&lt;titles&gt;&lt;title&gt;EU Referendum Results&lt;/title&gt;&lt;/titles&gt;&lt;volume&gt;2017&lt;/volume&gt;&lt;number&gt;29th June&lt;/number&gt;&lt;dates&gt;&lt;year&gt;2016&lt;/year&gt;&lt;/dates&gt;&lt;urls&gt;&lt;related-urls&gt;&lt;url&gt;https://www.electoralcommission.org.uk/find-information-by-subject/elections-and-referendums/past-elections-and-referendums/eu-referendum/electorate-and-count-information&lt;/url&gt;&lt;/related-urls&gt;&lt;/urls&gt;&lt;/record&gt;&lt;/Cite&gt;&lt;/EndNote&gt;</w:instrText>
      </w:r>
      <w:r w:rsidR="00971076" w:rsidRPr="00AE20B1">
        <w:rPr>
          <w:i/>
          <w:sz w:val="24"/>
          <w:szCs w:val="24"/>
        </w:rPr>
        <w:fldChar w:fldCharType="separate"/>
      </w:r>
      <w:r w:rsidR="00F35BB4">
        <w:rPr>
          <w:i/>
          <w:noProof/>
          <w:sz w:val="24"/>
          <w:szCs w:val="24"/>
        </w:rPr>
        <w:t>(Source Electoral Commission, 2016)</w:t>
      </w:r>
      <w:r w:rsidR="00971076" w:rsidRPr="00AE20B1">
        <w:rPr>
          <w:i/>
          <w:sz w:val="24"/>
          <w:szCs w:val="24"/>
        </w:rPr>
        <w:fldChar w:fldCharType="end"/>
      </w:r>
    </w:p>
    <w:p w14:paraId="168D2971" w14:textId="77777777" w:rsidR="00A1296B" w:rsidRDefault="00A1296B" w:rsidP="00B140D4">
      <w:pPr>
        <w:spacing w:after="0" w:line="276" w:lineRule="auto"/>
        <w:ind w:firstLine="567"/>
        <w:jc w:val="both"/>
        <w:rPr>
          <w:sz w:val="24"/>
          <w:szCs w:val="24"/>
        </w:rPr>
      </w:pPr>
    </w:p>
    <w:p w14:paraId="4DC5685D" w14:textId="77777777" w:rsidR="00D802C0" w:rsidRDefault="0023174D" w:rsidP="0023174D">
      <w:pPr>
        <w:spacing w:after="0" w:line="276" w:lineRule="auto"/>
        <w:ind w:firstLine="567"/>
        <w:jc w:val="both"/>
        <w:rPr>
          <w:sz w:val="24"/>
          <w:szCs w:val="24"/>
        </w:rPr>
      </w:pPr>
      <w:r>
        <w:rPr>
          <w:sz w:val="24"/>
          <w:szCs w:val="24"/>
        </w:rPr>
        <w:t>The data present</w:t>
      </w:r>
      <w:r w:rsidR="00682283">
        <w:rPr>
          <w:sz w:val="24"/>
          <w:szCs w:val="24"/>
        </w:rPr>
        <w:t xml:space="preserve">ed within these areas offers a </w:t>
      </w:r>
      <w:r>
        <w:rPr>
          <w:sz w:val="24"/>
          <w:szCs w:val="24"/>
        </w:rPr>
        <w:t>useful opportunit</w:t>
      </w:r>
      <w:r w:rsidR="00682283">
        <w:rPr>
          <w:sz w:val="24"/>
          <w:szCs w:val="24"/>
        </w:rPr>
        <w:t>y</w:t>
      </w:r>
      <w:r>
        <w:rPr>
          <w:sz w:val="24"/>
          <w:szCs w:val="24"/>
        </w:rPr>
        <w:t xml:space="preserve"> to </w:t>
      </w:r>
      <w:r w:rsidR="008611AB">
        <w:rPr>
          <w:sz w:val="24"/>
          <w:szCs w:val="24"/>
        </w:rPr>
        <w:t>explore the extent to which those tropes do hold up at the micro-level</w:t>
      </w:r>
      <w:r>
        <w:rPr>
          <w:sz w:val="24"/>
          <w:szCs w:val="24"/>
        </w:rPr>
        <w:t>.  In doing so, our aim is to give further consideration to those</w:t>
      </w:r>
      <w:r w:rsidR="00682283">
        <w:rPr>
          <w:sz w:val="24"/>
          <w:szCs w:val="24"/>
        </w:rPr>
        <w:t xml:space="preserve"> </w:t>
      </w:r>
      <w:proofErr w:type="gramStart"/>
      <w:r w:rsidR="00682283">
        <w:rPr>
          <w:sz w:val="24"/>
          <w:szCs w:val="24"/>
        </w:rPr>
        <w:t>explanations</w:t>
      </w:r>
      <w:r>
        <w:rPr>
          <w:sz w:val="24"/>
          <w:szCs w:val="24"/>
        </w:rPr>
        <w:t xml:space="preserve"> which might have traction</w:t>
      </w:r>
      <w:proofErr w:type="gramEnd"/>
      <w:r>
        <w:rPr>
          <w:sz w:val="24"/>
          <w:szCs w:val="24"/>
        </w:rPr>
        <w:t xml:space="preserve"> and those which might not.  This is important – not least for policy makers trying to provide meaningful responses at the local and national scale.  </w:t>
      </w:r>
    </w:p>
    <w:p w14:paraId="4673B53B" w14:textId="1E432442" w:rsidR="008611AB" w:rsidRDefault="00D802C0" w:rsidP="0023174D">
      <w:pPr>
        <w:spacing w:after="0" w:line="276" w:lineRule="auto"/>
        <w:ind w:firstLine="567"/>
        <w:jc w:val="both"/>
        <w:rPr>
          <w:sz w:val="24"/>
          <w:szCs w:val="24"/>
        </w:rPr>
      </w:pPr>
      <w:r>
        <w:rPr>
          <w:sz w:val="24"/>
          <w:szCs w:val="24"/>
        </w:rPr>
        <w:t xml:space="preserve">To achieve </w:t>
      </w:r>
      <w:r w:rsidR="00140BA2">
        <w:rPr>
          <w:sz w:val="24"/>
          <w:szCs w:val="24"/>
        </w:rPr>
        <w:t>this,</w:t>
      </w:r>
      <w:r>
        <w:rPr>
          <w:sz w:val="24"/>
          <w:szCs w:val="24"/>
        </w:rPr>
        <w:t xml:space="preserve"> </w:t>
      </w:r>
      <w:r w:rsidR="008611AB">
        <w:rPr>
          <w:sz w:val="24"/>
          <w:szCs w:val="24"/>
        </w:rPr>
        <w:t xml:space="preserve">we consider a mixture of </w:t>
      </w:r>
      <w:r w:rsidR="00C20EBD">
        <w:rPr>
          <w:sz w:val="24"/>
          <w:szCs w:val="24"/>
        </w:rPr>
        <w:t xml:space="preserve">relevant </w:t>
      </w:r>
      <w:r w:rsidR="008611AB">
        <w:rPr>
          <w:sz w:val="24"/>
          <w:szCs w:val="24"/>
        </w:rPr>
        <w:t xml:space="preserve">contemporaneous data, and assess this against the granular spatial voting patterns.  </w:t>
      </w:r>
      <w:r w:rsidR="006D4125">
        <w:rPr>
          <w:sz w:val="24"/>
          <w:szCs w:val="24"/>
        </w:rPr>
        <w:t>Where possible</w:t>
      </w:r>
      <w:r w:rsidR="006216A0">
        <w:rPr>
          <w:sz w:val="24"/>
          <w:szCs w:val="24"/>
        </w:rPr>
        <w:t>, and to provide the greatest level of context,</w:t>
      </w:r>
      <w:r w:rsidR="006D4125">
        <w:rPr>
          <w:sz w:val="24"/>
          <w:szCs w:val="24"/>
        </w:rPr>
        <w:t xml:space="preserve"> we consider this data </w:t>
      </w:r>
      <w:r w:rsidR="008611AB">
        <w:rPr>
          <w:sz w:val="24"/>
          <w:szCs w:val="24"/>
        </w:rPr>
        <w:t xml:space="preserve">at the Lower Super Output Area (LSOA) level – effectively neighbourhoods of approximately 1500 people.  </w:t>
      </w:r>
      <w:r w:rsidR="00B046A3">
        <w:rPr>
          <w:sz w:val="24"/>
          <w:szCs w:val="24"/>
        </w:rPr>
        <w:t>In</w:t>
      </w:r>
      <w:r w:rsidR="00740845">
        <w:rPr>
          <w:sz w:val="24"/>
          <w:szCs w:val="24"/>
        </w:rPr>
        <w:t xml:space="preserve"> selecting our data, and</w:t>
      </w:r>
      <w:r w:rsidR="00B046A3">
        <w:rPr>
          <w:sz w:val="24"/>
          <w:szCs w:val="24"/>
        </w:rPr>
        <w:t xml:space="preserve"> line with</w:t>
      </w:r>
      <w:r w:rsidR="008611AB">
        <w:rPr>
          <w:sz w:val="24"/>
          <w:szCs w:val="24"/>
        </w:rPr>
        <w:t xml:space="preserve"> the discussion above, we explore </w:t>
      </w:r>
      <w:r w:rsidR="00B046A3">
        <w:rPr>
          <w:sz w:val="24"/>
          <w:szCs w:val="24"/>
        </w:rPr>
        <w:t xml:space="preserve">the </w:t>
      </w:r>
      <w:r w:rsidR="008611AB">
        <w:rPr>
          <w:sz w:val="24"/>
          <w:szCs w:val="24"/>
        </w:rPr>
        <w:t xml:space="preserve">extent to which ‘leave’ and ‘remain’ sentiment aligns </w:t>
      </w:r>
      <w:r w:rsidR="008611AB" w:rsidRPr="00030F28">
        <w:rPr>
          <w:sz w:val="24"/>
          <w:szCs w:val="24"/>
        </w:rPr>
        <w:t>with three themes</w:t>
      </w:r>
      <w:r w:rsidR="002941D4">
        <w:rPr>
          <w:sz w:val="24"/>
          <w:szCs w:val="24"/>
        </w:rPr>
        <w:t xml:space="preserve"> – each reflecting the dominant tropes surrounding the referendum result</w:t>
      </w:r>
      <w:r>
        <w:rPr>
          <w:sz w:val="24"/>
          <w:szCs w:val="24"/>
        </w:rPr>
        <w:t xml:space="preserve"> discussed previously.  They are</w:t>
      </w:r>
      <w:r w:rsidR="008611AB">
        <w:rPr>
          <w:sz w:val="24"/>
          <w:szCs w:val="24"/>
        </w:rPr>
        <w:t>:</w:t>
      </w:r>
    </w:p>
    <w:p w14:paraId="5FFC677B" w14:textId="77777777" w:rsidR="008611AB" w:rsidRDefault="008611AB" w:rsidP="008611AB">
      <w:pPr>
        <w:spacing w:after="0" w:line="276" w:lineRule="auto"/>
        <w:ind w:firstLine="567"/>
        <w:jc w:val="both"/>
        <w:rPr>
          <w:sz w:val="24"/>
          <w:szCs w:val="24"/>
        </w:rPr>
      </w:pPr>
    </w:p>
    <w:p w14:paraId="711ACBB9" w14:textId="77D4402F" w:rsidR="008611AB" w:rsidRPr="0047646C" w:rsidRDefault="008611AB" w:rsidP="00B046A3">
      <w:pPr>
        <w:pStyle w:val="ListParagraph"/>
        <w:numPr>
          <w:ilvl w:val="0"/>
          <w:numId w:val="1"/>
        </w:numPr>
        <w:spacing w:after="0" w:line="276" w:lineRule="auto"/>
        <w:jc w:val="both"/>
        <w:rPr>
          <w:sz w:val="24"/>
          <w:szCs w:val="24"/>
        </w:rPr>
      </w:pPr>
      <w:r w:rsidRPr="0047646C">
        <w:rPr>
          <w:sz w:val="24"/>
          <w:szCs w:val="24"/>
        </w:rPr>
        <w:t xml:space="preserve">‘Left </w:t>
      </w:r>
      <w:proofErr w:type="gramStart"/>
      <w:r w:rsidRPr="0047646C">
        <w:rPr>
          <w:sz w:val="24"/>
          <w:szCs w:val="24"/>
        </w:rPr>
        <w:t>Behind</w:t>
      </w:r>
      <w:proofErr w:type="gramEnd"/>
      <w:r w:rsidRPr="0047646C">
        <w:rPr>
          <w:sz w:val="24"/>
          <w:szCs w:val="24"/>
        </w:rPr>
        <w:t xml:space="preserve"> Britain’ – To consider the commonly-asserted view that the Leave vote was driven by those who feel disconnected from the broader socio-economic prosperity of the UK, </w:t>
      </w:r>
      <w:r w:rsidR="00B046A3">
        <w:rPr>
          <w:sz w:val="24"/>
          <w:szCs w:val="24"/>
        </w:rPr>
        <w:t xml:space="preserve">we use the </w:t>
      </w:r>
      <w:r w:rsidRPr="0047646C">
        <w:rPr>
          <w:sz w:val="24"/>
          <w:szCs w:val="24"/>
        </w:rPr>
        <w:t xml:space="preserve">Index of Multiple Deprivation (IMD) - effectively a measure of social and economic </w:t>
      </w:r>
      <w:r w:rsidR="00AE20B1">
        <w:rPr>
          <w:sz w:val="24"/>
          <w:szCs w:val="24"/>
        </w:rPr>
        <w:t>deprivation</w:t>
      </w:r>
      <w:r w:rsidRPr="0047646C">
        <w:rPr>
          <w:sz w:val="24"/>
          <w:szCs w:val="24"/>
        </w:rPr>
        <w:t xml:space="preserve"> </w:t>
      </w:r>
      <w:r w:rsidR="00B046A3">
        <w:rPr>
          <w:sz w:val="24"/>
          <w:szCs w:val="24"/>
        </w:rPr>
        <w:t>which</w:t>
      </w:r>
      <w:r w:rsidR="00B046A3" w:rsidRPr="0047646C">
        <w:rPr>
          <w:sz w:val="24"/>
          <w:szCs w:val="24"/>
        </w:rPr>
        <w:t xml:space="preserve"> </w:t>
      </w:r>
      <w:r w:rsidRPr="0047646C">
        <w:rPr>
          <w:sz w:val="24"/>
          <w:szCs w:val="24"/>
        </w:rPr>
        <w:t xml:space="preserve">ranks more than 32,000 </w:t>
      </w:r>
      <w:r>
        <w:rPr>
          <w:sz w:val="24"/>
          <w:szCs w:val="24"/>
        </w:rPr>
        <w:t>LSOAs</w:t>
      </w:r>
      <w:r w:rsidRPr="0047646C">
        <w:rPr>
          <w:sz w:val="24"/>
          <w:szCs w:val="24"/>
        </w:rPr>
        <w:t xml:space="preserve"> in </w:t>
      </w:r>
      <w:r w:rsidR="00B046A3">
        <w:rPr>
          <w:sz w:val="24"/>
          <w:szCs w:val="24"/>
        </w:rPr>
        <w:t>England</w:t>
      </w:r>
      <w:r w:rsidRPr="0047646C">
        <w:rPr>
          <w:sz w:val="24"/>
          <w:szCs w:val="24"/>
        </w:rPr>
        <w:t>.  Conducted on a semi-regular basis, the most recent IMD data was released in 2015 (CLG, 2015), less than a year before the referendum</w:t>
      </w:r>
      <w:r w:rsidR="00B046A3">
        <w:rPr>
          <w:sz w:val="24"/>
          <w:szCs w:val="24"/>
        </w:rPr>
        <w:t xml:space="preserve">, providing an </w:t>
      </w:r>
      <w:r w:rsidRPr="0047646C">
        <w:rPr>
          <w:sz w:val="24"/>
          <w:szCs w:val="24"/>
        </w:rPr>
        <w:t>accurate picture of where those disconnect</w:t>
      </w:r>
      <w:r w:rsidR="00B046A3">
        <w:rPr>
          <w:sz w:val="24"/>
          <w:szCs w:val="24"/>
        </w:rPr>
        <w:t>ed</w:t>
      </w:r>
      <w:r w:rsidR="00752860">
        <w:rPr>
          <w:sz w:val="24"/>
          <w:szCs w:val="24"/>
        </w:rPr>
        <w:t xml:space="preserve"> areas would have been placed at the time of the referendum</w:t>
      </w:r>
      <w:r w:rsidRPr="0047646C">
        <w:rPr>
          <w:sz w:val="24"/>
          <w:szCs w:val="24"/>
        </w:rPr>
        <w:t xml:space="preserve">. In this paper, we consider IMD ranking by ‘decile’ – i.e. if a neighbourhood is in the bottom 10% of </w:t>
      </w:r>
      <w:r w:rsidR="00B046A3">
        <w:rPr>
          <w:sz w:val="24"/>
          <w:szCs w:val="24"/>
        </w:rPr>
        <w:t>the national</w:t>
      </w:r>
      <w:r w:rsidR="00B046A3" w:rsidRPr="0047646C">
        <w:rPr>
          <w:sz w:val="24"/>
          <w:szCs w:val="24"/>
        </w:rPr>
        <w:t xml:space="preserve"> </w:t>
      </w:r>
      <w:r w:rsidRPr="0047646C">
        <w:rPr>
          <w:sz w:val="24"/>
          <w:szCs w:val="24"/>
        </w:rPr>
        <w:t>ranking, and so on.</w:t>
      </w:r>
    </w:p>
    <w:p w14:paraId="2C066395" w14:textId="667DE307" w:rsidR="008611AB" w:rsidRPr="00101CDE" w:rsidRDefault="008611AB" w:rsidP="00740845">
      <w:pPr>
        <w:pStyle w:val="ListParagraph"/>
        <w:numPr>
          <w:ilvl w:val="0"/>
          <w:numId w:val="1"/>
        </w:numPr>
        <w:spacing w:after="0" w:line="276" w:lineRule="auto"/>
        <w:jc w:val="both"/>
        <w:rPr>
          <w:sz w:val="24"/>
          <w:szCs w:val="24"/>
        </w:rPr>
      </w:pPr>
      <w:r w:rsidRPr="00101CDE">
        <w:rPr>
          <w:sz w:val="24"/>
          <w:szCs w:val="24"/>
        </w:rPr>
        <w:t xml:space="preserve">Age </w:t>
      </w:r>
      <w:r w:rsidRPr="004C7190">
        <w:rPr>
          <w:sz w:val="24"/>
          <w:szCs w:val="24"/>
        </w:rPr>
        <w:t>–</w:t>
      </w:r>
      <w:r w:rsidRPr="00740845">
        <w:rPr>
          <w:sz w:val="24"/>
          <w:szCs w:val="24"/>
        </w:rPr>
        <w:t xml:space="preserve"> </w:t>
      </w:r>
      <w:r w:rsidR="00740845" w:rsidRPr="00740845">
        <w:rPr>
          <w:sz w:val="24"/>
          <w:szCs w:val="24"/>
        </w:rPr>
        <w:t xml:space="preserve">To </w:t>
      </w:r>
      <w:r w:rsidRPr="00740845">
        <w:rPr>
          <w:sz w:val="24"/>
          <w:szCs w:val="24"/>
        </w:rPr>
        <w:t xml:space="preserve">explore the </w:t>
      </w:r>
      <w:r w:rsidR="00740845" w:rsidRPr="00740845">
        <w:rPr>
          <w:sz w:val="24"/>
          <w:szCs w:val="24"/>
        </w:rPr>
        <w:t>notion that</w:t>
      </w:r>
      <w:r w:rsidRPr="00740845">
        <w:rPr>
          <w:sz w:val="24"/>
          <w:szCs w:val="24"/>
        </w:rPr>
        <w:t xml:space="preserve"> the Remain and Leave votes were primarily driven by </w:t>
      </w:r>
      <w:r w:rsidR="00365DDA">
        <w:rPr>
          <w:sz w:val="24"/>
          <w:szCs w:val="24"/>
        </w:rPr>
        <w:t xml:space="preserve">contrasting tendencies amongst </w:t>
      </w:r>
      <w:r w:rsidRPr="00740845">
        <w:rPr>
          <w:sz w:val="24"/>
          <w:szCs w:val="24"/>
        </w:rPr>
        <w:t>younger and older voting blocs respectively</w:t>
      </w:r>
      <w:r w:rsidR="00740845" w:rsidRPr="00740845">
        <w:rPr>
          <w:sz w:val="24"/>
          <w:szCs w:val="24"/>
        </w:rPr>
        <w:t xml:space="preserve">, </w:t>
      </w:r>
      <w:r w:rsidRPr="00740845">
        <w:rPr>
          <w:sz w:val="24"/>
          <w:szCs w:val="24"/>
        </w:rPr>
        <w:t xml:space="preserve"> we use age as recorded in the 2011 Census</w:t>
      </w:r>
      <w:r w:rsidR="00740845" w:rsidRPr="00740845">
        <w:rPr>
          <w:sz w:val="24"/>
          <w:szCs w:val="24"/>
        </w:rPr>
        <w:t xml:space="preserve"> - specifically</w:t>
      </w:r>
      <w:r w:rsidRPr="00740845">
        <w:rPr>
          <w:sz w:val="24"/>
          <w:szCs w:val="24"/>
        </w:rPr>
        <w:t xml:space="preserve"> chart</w:t>
      </w:r>
      <w:r w:rsidR="00740845" w:rsidRPr="00740845">
        <w:rPr>
          <w:sz w:val="24"/>
          <w:szCs w:val="24"/>
        </w:rPr>
        <w:t>ing</w:t>
      </w:r>
      <w:r w:rsidRPr="00740845">
        <w:rPr>
          <w:sz w:val="24"/>
          <w:szCs w:val="24"/>
        </w:rPr>
        <w:t xml:space="preserve"> the p</w:t>
      </w:r>
      <w:r w:rsidR="00740845" w:rsidRPr="00740845">
        <w:rPr>
          <w:sz w:val="24"/>
          <w:szCs w:val="24"/>
        </w:rPr>
        <w:t>roportion</w:t>
      </w:r>
      <w:r w:rsidRPr="00740845">
        <w:rPr>
          <w:sz w:val="24"/>
          <w:szCs w:val="24"/>
        </w:rPr>
        <w:t xml:space="preserve"> of population aged over 45</w:t>
      </w:r>
      <w:r w:rsidR="00740845" w:rsidRPr="00740845">
        <w:rPr>
          <w:sz w:val="24"/>
          <w:szCs w:val="24"/>
        </w:rPr>
        <w:t xml:space="preserve"> which is viewed as the ‘tipping point’ between Remain and </w:t>
      </w:r>
      <w:r w:rsidR="00740845" w:rsidRPr="00740845">
        <w:rPr>
          <w:sz w:val="24"/>
          <w:szCs w:val="24"/>
        </w:rPr>
        <w:lastRenderedPageBreak/>
        <w:t>Leave voters</w:t>
      </w:r>
      <w:r w:rsidRPr="00740845">
        <w:rPr>
          <w:sz w:val="24"/>
          <w:szCs w:val="24"/>
        </w:rPr>
        <w:t xml:space="preserve">.  Although we acknowledge that populations </w:t>
      </w:r>
      <w:r w:rsidR="00740845">
        <w:rPr>
          <w:sz w:val="24"/>
          <w:szCs w:val="24"/>
        </w:rPr>
        <w:t>do</w:t>
      </w:r>
      <w:r w:rsidR="00740845" w:rsidRPr="00101CDE">
        <w:rPr>
          <w:sz w:val="24"/>
          <w:szCs w:val="24"/>
        </w:rPr>
        <w:t xml:space="preserve"> </w:t>
      </w:r>
      <w:r w:rsidRPr="004C7190">
        <w:rPr>
          <w:sz w:val="24"/>
          <w:szCs w:val="24"/>
        </w:rPr>
        <w:t xml:space="preserve">change over time, we suggest </w:t>
      </w:r>
      <w:r w:rsidR="00740845">
        <w:rPr>
          <w:sz w:val="24"/>
          <w:szCs w:val="24"/>
        </w:rPr>
        <w:t>that this data would remain indicative</w:t>
      </w:r>
      <w:r w:rsidRPr="00740845">
        <w:rPr>
          <w:sz w:val="24"/>
          <w:szCs w:val="24"/>
        </w:rPr>
        <w:t>.</w:t>
      </w:r>
    </w:p>
    <w:p w14:paraId="0C2709D9" w14:textId="7F6A6B8A" w:rsidR="008611AB" w:rsidRPr="003F5253" w:rsidRDefault="008611AB" w:rsidP="008611AB">
      <w:pPr>
        <w:pStyle w:val="ListParagraph"/>
        <w:numPr>
          <w:ilvl w:val="0"/>
          <w:numId w:val="1"/>
        </w:numPr>
        <w:spacing w:after="0" w:line="276" w:lineRule="auto"/>
        <w:jc w:val="both"/>
        <w:rPr>
          <w:sz w:val="24"/>
          <w:szCs w:val="24"/>
        </w:rPr>
      </w:pPr>
      <w:r w:rsidRPr="003F5253">
        <w:rPr>
          <w:sz w:val="24"/>
          <w:szCs w:val="24"/>
        </w:rPr>
        <w:t xml:space="preserve">Ethnicity – We deploy ethnicity data from the 2011 Census to explore </w:t>
      </w:r>
      <w:r w:rsidR="00153E43" w:rsidRPr="003F5253">
        <w:rPr>
          <w:sz w:val="24"/>
          <w:szCs w:val="24"/>
        </w:rPr>
        <w:t>how areas with different concentrations of ethnic minority voters voted in the EU referendum. W</w:t>
      </w:r>
      <w:r w:rsidRPr="003F5253">
        <w:rPr>
          <w:sz w:val="24"/>
          <w:szCs w:val="24"/>
        </w:rPr>
        <w:t xml:space="preserve">e map ethnicity as the percentage of people identifying as ‘White’ in any given LSOA.  We accept that this might not capture the nuances of certain minority communities but suggest that, given such tropes often deal in </w:t>
      </w:r>
      <w:proofErr w:type="gramStart"/>
      <w:r w:rsidRPr="003F5253">
        <w:rPr>
          <w:sz w:val="24"/>
          <w:szCs w:val="24"/>
        </w:rPr>
        <w:t>broad brush</w:t>
      </w:r>
      <w:proofErr w:type="gramEnd"/>
      <w:r w:rsidRPr="003F5253">
        <w:rPr>
          <w:sz w:val="24"/>
          <w:szCs w:val="24"/>
        </w:rPr>
        <w:t xml:space="preserve"> strokes, we can explore their validity on their own terms.</w:t>
      </w:r>
    </w:p>
    <w:p w14:paraId="7EFEC858" w14:textId="77777777" w:rsidR="00133DD0" w:rsidRDefault="00133DD0" w:rsidP="00A33CF0">
      <w:pPr>
        <w:spacing w:after="0" w:line="276" w:lineRule="auto"/>
        <w:ind w:firstLine="567"/>
        <w:jc w:val="both"/>
        <w:rPr>
          <w:sz w:val="24"/>
          <w:szCs w:val="24"/>
        </w:rPr>
      </w:pPr>
    </w:p>
    <w:p w14:paraId="0D5E3585" w14:textId="576A6854" w:rsidR="00FB2314" w:rsidRPr="006251C6" w:rsidRDefault="00A031CD" w:rsidP="006251C6">
      <w:pPr>
        <w:spacing w:after="0" w:line="276" w:lineRule="auto"/>
        <w:ind w:firstLine="567"/>
        <w:jc w:val="both"/>
        <w:rPr>
          <w:rFonts w:cs="Times New Roman"/>
          <w:sz w:val="24"/>
          <w:szCs w:val="24"/>
        </w:rPr>
      </w:pPr>
      <w:r>
        <w:rPr>
          <w:sz w:val="24"/>
          <w:szCs w:val="24"/>
        </w:rPr>
        <w:t>As we will see</w:t>
      </w:r>
      <w:r w:rsidRPr="00515182">
        <w:rPr>
          <w:sz w:val="24"/>
          <w:szCs w:val="24"/>
        </w:rPr>
        <w:t xml:space="preserve">, </w:t>
      </w:r>
      <w:r w:rsidRPr="00515182">
        <w:rPr>
          <w:rFonts w:cs="Times New Roman"/>
          <w:sz w:val="24"/>
          <w:szCs w:val="24"/>
        </w:rPr>
        <w:t>the</w:t>
      </w:r>
      <w:r w:rsidR="00FB2314" w:rsidRPr="00515182">
        <w:rPr>
          <w:rFonts w:cs="Times New Roman"/>
          <w:sz w:val="24"/>
          <w:szCs w:val="24"/>
        </w:rPr>
        <w:t xml:space="preserve"> data reinforces the arguments of those who have claimed that the phenomenon of </w:t>
      </w:r>
      <w:proofErr w:type="spellStart"/>
      <w:r w:rsidR="00FB2314" w:rsidRPr="00515182">
        <w:rPr>
          <w:rFonts w:cs="Times New Roman"/>
          <w:sz w:val="24"/>
          <w:szCs w:val="24"/>
        </w:rPr>
        <w:t>Brexit</w:t>
      </w:r>
      <w:proofErr w:type="spellEnd"/>
      <w:r w:rsidR="00FB2314" w:rsidRPr="00515182">
        <w:rPr>
          <w:rFonts w:cs="Times New Roman"/>
          <w:sz w:val="24"/>
          <w:szCs w:val="24"/>
        </w:rPr>
        <w:t xml:space="preserve"> is powerfully cultural and contextual and that socio-economic analyses of its causes do not fully explain why some area</w:t>
      </w:r>
      <w:r w:rsidR="0060052E" w:rsidRPr="00515182">
        <w:rPr>
          <w:rFonts w:cs="Times New Roman"/>
          <w:sz w:val="24"/>
          <w:szCs w:val="24"/>
        </w:rPr>
        <w:t>s</w:t>
      </w:r>
      <w:r w:rsidR="00FB2314" w:rsidRPr="00515182">
        <w:rPr>
          <w:rFonts w:cs="Times New Roman"/>
          <w:sz w:val="24"/>
          <w:szCs w:val="24"/>
        </w:rPr>
        <w:t xml:space="preserve"> and populations voted to leave the EU </w:t>
      </w:r>
      <w:r w:rsidR="0060052E" w:rsidRPr="00515182">
        <w:rPr>
          <w:rFonts w:cs="Times New Roman"/>
          <w:sz w:val="24"/>
          <w:szCs w:val="24"/>
        </w:rPr>
        <w:t>whilst</w:t>
      </w:r>
      <w:r w:rsidR="00FB2314" w:rsidRPr="00515182">
        <w:rPr>
          <w:rFonts w:cs="Times New Roman"/>
          <w:sz w:val="24"/>
          <w:szCs w:val="24"/>
        </w:rPr>
        <w:t xml:space="preserve"> others with comparable profiles voted to remain.  With poorer regions predicted to be the biggest economic losers of ‘</w:t>
      </w:r>
      <w:proofErr w:type="spellStart"/>
      <w:r w:rsidR="00FB2314" w:rsidRPr="00515182">
        <w:rPr>
          <w:rFonts w:cs="Times New Roman"/>
          <w:sz w:val="24"/>
          <w:szCs w:val="24"/>
        </w:rPr>
        <w:t>Brexit</w:t>
      </w:r>
      <w:proofErr w:type="spellEnd"/>
      <w:r w:rsidR="00FB2314" w:rsidRPr="00515182">
        <w:rPr>
          <w:rFonts w:cs="Times New Roman"/>
          <w:sz w:val="24"/>
          <w:szCs w:val="24"/>
        </w:rPr>
        <w:t xml:space="preserve">’ </w:t>
      </w:r>
      <w:r w:rsidR="00E05A5D" w:rsidRPr="00515182">
        <w:rPr>
          <w:rFonts w:cs="Times New Roman"/>
          <w:sz w:val="24"/>
          <w:szCs w:val="24"/>
        </w:rPr>
        <w:fldChar w:fldCharType="begin"/>
      </w:r>
      <w:r w:rsidR="00F35BB4">
        <w:rPr>
          <w:rFonts w:cs="Times New Roman"/>
          <w:sz w:val="24"/>
          <w:szCs w:val="24"/>
        </w:rPr>
        <w:instrText xml:space="preserve"> ADDIN EN.CITE &lt;EndNote&gt;&lt;Cite&gt;&lt;Author&gt;McCann&lt;/Author&gt;&lt;Year&gt;2016&lt;/Year&gt;&lt;RecNum&gt;796&lt;/RecNum&gt;&lt;DisplayText&gt;(McCann, 2016, McCann, 2018)&lt;/DisplayText&gt;&lt;record&gt;&lt;rec-number&gt;796&lt;/rec-number&gt;&lt;foreign-keys&gt;&lt;key app="EN" db-id="sf2v0zffie0st6edessvst0jrx50tz9rrwst" timestamp="1484840498"&gt;796&lt;/key&gt;&lt;/foreign-keys&gt;&lt;ref-type name="Book"&gt;6&lt;/ref-type&gt;&lt;contributors&gt;&lt;authors&gt;&lt;author&gt;McCann, P.&lt;/author&gt;&lt;/authors&gt;&lt;/contributors&gt;&lt;titles&gt;&lt;title&gt;The UK Regional-National Economic Problem&lt;/title&gt;&lt;/titles&gt;&lt;dates&gt;&lt;year&gt;2016&lt;/year&gt;&lt;/dates&gt;&lt;pub-location&gt;London&lt;/pub-location&gt;&lt;publisher&gt;Routledge&lt;/publisher&gt;&lt;urls&gt;&lt;/urls&gt;&lt;/record&gt;&lt;/Cite&gt;&lt;Cite&gt;&lt;Author&gt;McCann&lt;/Author&gt;&lt;Year&gt;2018&lt;/Year&gt;&lt;RecNum&gt;1564&lt;/RecNum&gt;&lt;record&gt;&lt;rec-number&gt;1564&lt;/rec-number&gt;&lt;foreign-keys&gt;&lt;key app="EN" db-id="sf2v0zffie0st6edessvst0jrx50tz9rrwst" timestamp="1557334657"&gt;1564&lt;/key&gt;&lt;/foreign-keys&gt;&lt;ref-type name="Unpublished Work"&gt;34&lt;/ref-type&gt;&lt;contributors&gt;&lt;authors&gt;&lt;author&gt;McCann, P.&lt;/author&gt;&lt;/authors&gt;&lt;/contributors&gt;&lt;titles&gt;&lt;title&gt;Provocations regarding the UK Regional and Urban Development Challenges in a Post-Brexit Environment&lt;/title&gt;&lt;/titles&gt;&lt;dates&gt;&lt;year&gt;2018&lt;/year&gt;&lt;/dates&gt;&lt;urls&gt;&lt;related-urls&gt;&lt;url&gt;&lt;style face="underline" font="default" size="100%"&gt;http://commonfuturesnetwork.org/?mdocs-file=561&lt;/style&gt;&lt;/url&gt;&lt;/related-urls&gt;&lt;/urls&gt;&lt;/record&gt;&lt;/Cite&gt;&lt;/EndNote&gt;</w:instrText>
      </w:r>
      <w:r w:rsidR="00E05A5D" w:rsidRPr="00515182">
        <w:rPr>
          <w:rFonts w:cs="Times New Roman"/>
          <w:sz w:val="24"/>
          <w:szCs w:val="24"/>
        </w:rPr>
        <w:fldChar w:fldCharType="separate"/>
      </w:r>
      <w:r w:rsidR="00F35BB4">
        <w:rPr>
          <w:rFonts w:cs="Times New Roman"/>
          <w:noProof/>
          <w:sz w:val="24"/>
          <w:szCs w:val="24"/>
        </w:rPr>
        <w:t>(McCann, 2016, McCann, 2018)</w:t>
      </w:r>
      <w:r w:rsidR="00E05A5D" w:rsidRPr="00515182">
        <w:rPr>
          <w:rFonts w:cs="Times New Roman"/>
          <w:sz w:val="24"/>
          <w:szCs w:val="24"/>
        </w:rPr>
        <w:fldChar w:fldCharType="end"/>
      </w:r>
      <w:r w:rsidR="00FB2314" w:rsidRPr="00515182">
        <w:rPr>
          <w:rFonts w:cs="Times New Roman"/>
          <w:sz w:val="24"/>
          <w:szCs w:val="24"/>
        </w:rPr>
        <w:t xml:space="preserve"> </w:t>
      </w:r>
      <w:r w:rsidR="0060052E" w:rsidRPr="00515182">
        <w:rPr>
          <w:rFonts w:cs="Times New Roman"/>
          <w:sz w:val="24"/>
          <w:szCs w:val="24"/>
        </w:rPr>
        <w:t xml:space="preserve">our </w:t>
      </w:r>
      <w:r w:rsidR="00FB2314" w:rsidRPr="00515182">
        <w:rPr>
          <w:rFonts w:cs="Times New Roman"/>
          <w:sz w:val="24"/>
          <w:szCs w:val="24"/>
        </w:rPr>
        <w:t>understanding of such issues is of material consequence</w:t>
      </w:r>
      <w:r w:rsidR="0060052E" w:rsidRPr="00515182">
        <w:rPr>
          <w:rFonts w:cs="Times New Roman"/>
          <w:sz w:val="24"/>
          <w:szCs w:val="24"/>
        </w:rPr>
        <w:t xml:space="preserve"> and,</w:t>
      </w:r>
      <w:r w:rsidR="00FB2314" w:rsidRPr="00515182">
        <w:rPr>
          <w:rFonts w:cs="Times New Roman"/>
          <w:sz w:val="24"/>
          <w:szCs w:val="24"/>
        </w:rPr>
        <w:t xml:space="preserve"> </w:t>
      </w:r>
      <w:r w:rsidR="0060052E" w:rsidRPr="00515182">
        <w:rPr>
          <w:rFonts w:cs="Times New Roman"/>
          <w:sz w:val="24"/>
          <w:szCs w:val="24"/>
        </w:rPr>
        <w:t xml:space="preserve">regardless of the </w:t>
      </w:r>
      <w:r w:rsidR="009F341D" w:rsidRPr="00515182">
        <w:rPr>
          <w:rFonts w:cs="Times New Roman"/>
          <w:sz w:val="24"/>
          <w:szCs w:val="24"/>
        </w:rPr>
        <w:t xml:space="preserve">ultimate </w:t>
      </w:r>
      <w:r w:rsidR="0060052E" w:rsidRPr="00515182">
        <w:rPr>
          <w:rFonts w:cs="Times New Roman"/>
          <w:sz w:val="24"/>
          <w:szCs w:val="24"/>
        </w:rPr>
        <w:t xml:space="preserve">outcome, </w:t>
      </w:r>
      <w:r w:rsidR="008C4641" w:rsidRPr="00515182">
        <w:rPr>
          <w:rFonts w:cs="Times New Roman"/>
          <w:sz w:val="24"/>
          <w:szCs w:val="24"/>
        </w:rPr>
        <w:t xml:space="preserve">may give clues </w:t>
      </w:r>
      <w:r w:rsidR="0060052E" w:rsidRPr="00515182">
        <w:rPr>
          <w:rFonts w:cs="Times New Roman"/>
          <w:sz w:val="24"/>
          <w:szCs w:val="24"/>
        </w:rPr>
        <w:t>in formulating responses in its aft</w:t>
      </w:r>
      <w:r w:rsidR="0060052E" w:rsidRPr="00101CDE">
        <w:rPr>
          <w:rFonts w:cs="Times New Roman"/>
          <w:sz w:val="24"/>
          <w:szCs w:val="24"/>
        </w:rPr>
        <w:t>ermath.</w:t>
      </w:r>
    </w:p>
    <w:p w14:paraId="6AF1541B" w14:textId="77777777" w:rsidR="0083243C" w:rsidRDefault="0083243C" w:rsidP="0083243C">
      <w:pPr>
        <w:spacing w:after="0" w:line="276" w:lineRule="auto"/>
        <w:ind w:firstLine="567"/>
        <w:jc w:val="both"/>
        <w:rPr>
          <w:sz w:val="24"/>
          <w:szCs w:val="24"/>
        </w:rPr>
      </w:pPr>
    </w:p>
    <w:p w14:paraId="74210D18" w14:textId="7FBC8751" w:rsidR="0083243C" w:rsidRPr="00340B9D" w:rsidRDefault="0083243C" w:rsidP="00340B9D">
      <w:pPr>
        <w:pStyle w:val="ListParagraph"/>
        <w:numPr>
          <w:ilvl w:val="0"/>
          <w:numId w:val="2"/>
        </w:numPr>
        <w:spacing w:after="0" w:line="276" w:lineRule="auto"/>
        <w:jc w:val="both"/>
        <w:rPr>
          <w:b/>
          <w:sz w:val="24"/>
          <w:szCs w:val="24"/>
        </w:rPr>
      </w:pPr>
      <w:r w:rsidRPr="00340B9D">
        <w:rPr>
          <w:b/>
          <w:sz w:val="24"/>
          <w:szCs w:val="24"/>
        </w:rPr>
        <w:t>Maps and Analysis</w:t>
      </w:r>
    </w:p>
    <w:p w14:paraId="7B171FDE" w14:textId="3E688376" w:rsidR="0083243C" w:rsidRDefault="0083243C" w:rsidP="00FD24DC">
      <w:pPr>
        <w:spacing w:after="0" w:line="276" w:lineRule="auto"/>
        <w:ind w:firstLine="567"/>
        <w:jc w:val="both"/>
        <w:rPr>
          <w:sz w:val="24"/>
          <w:szCs w:val="24"/>
        </w:rPr>
      </w:pPr>
      <w:r>
        <w:rPr>
          <w:sz w:val="24"/>
          <w:szCs w:val="24"/>
        </w:rPr>
        <w:t xml:space="preserve">As we can see in </w:t>
      </w:r>
      <w:r w:rsidRPr="00AE20B1">
        <w:rPr>
          <w:sz w:val="24"/>
          <w:szCs w:val="24"/>
        </w:rPr>
        <w:t xml:space="preserve">figure </w:t>
      </w:r>
      <w:r w:rsidR="00AE20B1" w:rsidRPr="00AE20B1">
        <w:rPr>
          <w:sz w:val="24"/>
          <w:szCs w:val="24"/>
        </w:rPr>
        <w:t>2</w:t>
      </w:r>
      <w:r w:rsidRPr="00AE20B1">
        <w:rPr>
          <w:sz w:val="24"/>
          <w:szCs w:val="24"/>
        </w:rPr>
        <w:t xml:space="preserve"> (below),</w:t>
      </w:r>
      <w:r w:rsidR="00515182">
        <w:rPr>
          <w:sz w:val="24"/>
          <w:szCs w:val="24"/>
        </w:rPr>
        <w:t xml:space="preserve"> </w:t>
      </w:r>
      <w:r w:rsidR="004A1344">
        <w:rPr>
          <w:sz w:val="24"/>
          <w:szCs w:val="24"/>
        </w:rPr>
        <w:t>which maps the referendum result for Liverpool and the Wirral,</w:t>
      </w:r>
      <w:r>
        <w:rPr>
          <w:sz w:val="24"/>
          <w:szCs w:val="24"/>
        </w:rPr>
        <w:t xml:space="preserve"> the presence of ward-level data allows us to move </w:t>
      </w:r>
      <w:r w:rsidR="004A1344">
        <w:rPr>
          <w:sz w:val="24"/>
          <w:szCs w:val="24"/>
        </w:rPr>
        <w:t xml:space="preserve">from </w:t>
      </w:r>
      <w:r>
        <w:rPr>
          <w:sz w:val="24"/>
          <w:szCs w:val="24"/>
        </w:rPr>
        <w:t xml:space="preserve">a blanket result towards a more </w:t>
      </w:r>
      <w:proofErr w:type="gramStart"/>
      <w:r>
        <w:rPr>
          <w:sz w:val="24"/>
          <w:szCs w:val="24"/>
        </w:rPr>
        <w:t>spatially-distributed</w:t>
      </w:r>
      <w:proofErr w:type="gramEnd"/>
      <w:r>
        <w:rPr>
          <w:sz w:val="24"/>
          <w:szCs w:val="24"/>
        </w:rPr>
        <w:t xml:space="preserve"> visualisation of </w:t>
      </w:r>
      <w:r w:rsidR="004A1344">
        <w:rPr>
          <w:sz w:val="24"/>
          <w:szCs w:val="24"/>
        </w:rPr>
        <w:t xml:space="preserve">voting patterns. </w:t>
      </w:r>
      <w:r>
        <w:rPr>
          <w:sz w:val="24"/>
          <w:szCs w:val="24"/>
        </w:rPr>
        <w:t xml:space="preserve">Immediately, </w:t>
      </w:r>
      <w:r w:rsidR="004A1344">
        <w:rPr>
          <w:sz w:val="24"/>
          <w:szCs w:val="24"/>
        </w:rPr>
        <w:t>it is clear that in</w:t>
      </w:r>
      <w:r>
        <w:rPr>
          <w:sz w:val="24"/>
          <w:szCs w:val="24"/>
        </w:rPr>
        <w:t xml:space="preserve"> in both authorities there are clear spatial variations in how people voted.</w:t>
      </w:r>
      <w:r w:rsidR="00913F40">
        <w:rPr>
          <w:sz w:val="24"/>
          <w:szCs w:val="24"/>
        </w:rPr>
        <w:t xml:space="preserve">  In </w:t>
      </w:r>
      <w:proofErr w:type="gramStart"/>
      <w:r w:rsidR="00913F40">
        <w:rPr>
          <w:sz w:val="24"/>
          <w:szCs w:val="24"/>
        </w:rPr>
        <w:t>Liverpool</w:t>
      </w:r>
      <w:proofErr w:type="gramEnd"/>
      <w:r w:rsidR="00913F40">
        <w:rPr>
          <w:sz w:val="24"/>
          <w:szCs w:val="24"/>
        </w:rPr>
        <w:t xml:space="preserve"> the Remain vote is concentrated in the city’s core, its immediate surrounds and towards the south.  In the Wirral there is a clear East-West divide.</w:t>
      </w:r>
      <w:r w:rsidR="004A1344">
        <w:rPr>
          <w:sz w:val="24"/>
          <w:szCs w:val="24"/>
        </w:rPr>
        <w:t xml:space="preserve">  </w:t>
      </w:r>
      <w:r w:rsidR="00A04EB2">
        <w:rPr>
          <w:sz w:val="24"/>
          <w:szCs w:val="24"/>
        </w:rPr>
        <w:t>Already, this suggests that we can dispe</w:t>
      </w:r>
      <w:r w:rsidR="008C4641">
        <w:rPr>
          <w:sz w:val="24"/>
          <w:szCs w:val="24"/>
        </w:rPr>
        <w:t xml:space="preserve">nse </w:t>
      </w:r>
      <w:r w:rsidR="004A1344">
        <w:rPr>
          <w:sz w:val="24"/>
          <w:szCs w:val="24"/>
        </w:rPr>
        <w:t xml:space="preserve">with </w:t>
      </w:r>
      <w:r w:rsidR="00A04EB2">
        <w:rPr>
          <w:sz w:val="24"/>
          <w:szCs w:val="24"/>
        </w:rPr>
        <w:t>one trope</w:t>
      </w:r>
      <w:r w:rsidR="004A1344">
        <w:rPr>
          <w:sz w:val="24"/>
          <w:szCs w:val="24"/>
        </w:rPr>
        <w:t>,</w:t>
      </w:r>
      <w:r w:rsidR="00A04EB2">
        <w:rPr>
          <w:sz w:val="24"/>
          <w:szCs w:val="24"/>
        </w:rPr>
        <w:t xml:space="preserve"> in that the top-level result from a local authority does not mean that </w:t>
      </w:r>
      <w:r w:rsidR="00FD24DC">
        <w:rPr>
          <w:sz w:val="24"/>
          <w:szCs w:val="24"/>
        </w:rPr>
        <w:t xml:space="preserve">the </w:t>
      </w:r>
      <w:r w:rsidR="00A04EB2">
        <w:rPr>
          <w:sz w:val="24"/>
          <w:szCs w:val="24"/>
        </w:rPr>
        <w:t>electorate voted as a bloc in an un</w:t>
      </w:r>
      <w:r w:rsidR="004A1344">
        <w:rPr>
          <w:sz w:val="24"/>
          <w:szCs w:val="24"/>
        </w:rPr>
        <w:t>-</w:t>
      </w:r>
      <w:r w:rsidR="00A04EB2">
        <w:rPr>
          <w:sz w:val="24"/>
          <w:szCs w:val="24"/>
        </w:rPr>
        <w:t>nuanced way</w:t>
      </w:r>
      <w:r w:rsidR="00FD24DC">
        <w:rPr>
          <w:sz w:val="24"/>
          <w:szCs w:val="24"/>
        </w:rPr>
        <w:t xml:space="preserve">, but rather </w:t>
      </w:r>
      <w:r w:rsidR="008C4641">
        <w:rPr>
          <w:sz w:val="24"/>
          <w:szCs w:val="24"/>
        </w:rPr>
        <w:t xml:space="preserve">that </w:t>
      </w:r>
      <w:r w:rsidR="00FD24DC">
        <w:rPr>
          <w:sz w:val="24"/>
          <w:szCs w:val="24"/>
        </w:rPr>
        <w:t>there are</w:t>
      </w:r>
      <w:r w:rsidR="00147682">
        <w:rPr>
          <w:sz w:val="24"/>
          <w:szCs w:val="24"/>
        </w:rPr>
        <w:t>,</w:t>
      </w:r>
      <w:r w:rsidR="00FD24DC">
        <w:rPr>
          <w:sz w:val="24"/>
          <w:szCs w:val="24"/>
        </w:rPr>
        <w:t xml:space="preserve"> </w:t>
      </w:r>
      <w:r w:rsidR="008C4641">
        <w:rPr>
          <w:sz w:val="24"/>
          <w:szCs w:val="24"/>
        </w:rPr>
        <w:t>as might expected</w:t>
      </w:r>
      <w:r w:rsidR="00147682">
        <w:rPr>
          <w:sz w:val="24"/>
          <w:szCs w:val="24"/>
        </w:rPr>
        <w:t>,</w:t>
      </w:r>
      <w:r w:rsidR="008C4641">
        <w:rPr>
          <w:sz w:val="24"/>
          <w:szCs w:val="24"/>
        </w:rPr>
        <w:t xml:space="preserve"> </w:t>
      </w:r>
      <w:r w:rsidR="00913F40">
        <w:rPr>
          <w:sz w:val="24"/>
          <w:szCs w:val="24"/>
        </w:rPr>
        <w:t xml:space="preserve">significant pockets of </w:t>
      </w:r>
      <w:r w:rsidR="00FD24DC">
        <w:rPr>
          <w:sz w:val="24"/>
          <w:szCs w:val="24"/>
        </w:rPr>
        <w:t>‘opposing’</w:t>
      </w:r>
      <w:r w:rsidR="00913F40">
        <w:rPr>
          <w:sz w:val="24"/>
          <w:szCs w:val="24"/>
        </w:rPr>
        <w:t xml:space="preserve"> sentiment</w:t>
      </w:r>
      <w:r w:rsidR="00FD24DC">
        <w:rPr>
          <w:sz w:val="24"/>
          <w:szCs w:val="24"/>
        </w:rPr>
        <w:t xml:space="preserve"> in the face of the returned </w:t>
      </w:r>
      <w:r w:rsidR="008C4641">
        <w:rPr>
          <w:sz w:val="24"/>
          <w:szCs w:val="24"/>
        </w:rPr>
        <w:t xml:space="preserve">overall </w:t>
      </w:r>
      <w:r w:rsidR="00FD24DC">
        <w:rPr>
          <w:sz w:val="24"/>
          <w:szCs w:val="24"/>
        </w:rPr>
        <w:t>result</w:t>
      </w:r>
      <w:r w:rsidR="008C4641">
        <w:rPr>
          <w:sz w:val="24"/>
          <w:szCs w:val="24"/>
        </w:rPr>
        <w:t xml:space="preserve"> for a local authority area</w:t>
      </w:r>
      <w:r w:rsidR="00913F40">
        <w:rPr>
          <w:sz w:val="24"/>
          <w:szCs w:val="24"/>
        </w:rPr>
        <w:t xml:space="preserve"> </w:t>
      </w:r>
      <w:r w:rsidR="008C4641">
        <w:rPr>
          <w:sz w:val="24"/>
          <w:szCs w:val="24"/>
        </w:rPr>
        <w:t xml:space="preserve"> </w:t>
      </w:r>
    </w:p>
    <w:p w14:paraId="136063B9" w14:textId="77777777" w:rsidR="00DC3C25" w:rsidRDefault="00DC3C25" w:rsidP="00B140D4">
      <w:pPr>
        <w:spacing w:after="0" w:line="276" w:lineRule="auto"/>
        <w:ind w:firstLine="567"/>
        <w:jc w:val="both"/>
        <w:rPr>
          <w:sz w:val="24"/>
          <w:szCs w:val="24"/>
        </w:rPr>
      </w:pPr>
    </w:p>
    <w:p w14:paraId="5C58507D" w14:textId="7D5EA5CB" w:rsidR="00AE20B1" w:rsidRDefault="00AE20B1" w:rsidP="00B140D4">
      <w:pPr>
        <w:spacing w:after="0" w:line="276" w:lineRule="auto"/>
        <w:ind w:firstLine="567"/>
        <w:jc w:val="both"/>
        <w:rPr>
          <w:i/>
          <w:sz w:val="24"/>
          <w:szCs w:val="24"/>
        </w:rPr>
      </w:pPr>
      <w:r>
        <w:rPr>
          <w:i/>
          <w:sz w:val="24"/>
          <w:szCs w:val="24"/>
        </w:rPr>
        <w:t xml:space="preserve">&lt;FIGURE </w:t>
      </w:r>
      <w:proofErr w:type="gramStart"/>
      <w:r>
        <w:rPr>
          <w:i/>
          <w:sz w:val="24"/>
          <w:szCs w:val="24"/>
        </w:rPr>
        <w:t>TWO</w:t>
      </w:r>
      <w:proofErr w:type="gramEnd"/>
      <w:r>
        <w:rPr>
          <w:i/>
          <w:sz w:val="24"/>
          <w:szCs w:val="24"/>
        </w:rPr>
        <w:t>&gt;</w:t>
      </w:r>
    </w:p>
    <w:p w14:paraId="4314B955" w14:textId="77777777" w:rsidR="00AE20B1" w:rsidRDefault="00AE20B1" w:rsidP="00B140D4">
      <w:pPr>
        <w:spacing w:after="0" w:line="276" w:lineRule="auto"/>
        <w:ind w:firstLine="567"/>
        <w:jc w:val="both"/>
        <w:rPr>
          <w:i/>
          <w:sz w:val="24"/>
          <w:szCs w:val="24"/>
        </w:rPr>
      </w:pPr>
    </w:p>
    <w:p w14:paraId="358083CD" w14:textId="300B5760" w:rsidR="00DC3C25" w:rsidRPr="00A04EB2" w:rsidRDefault="0083243C" w:rsidP="00B140D4">
      <w:pPr>
        <w:spacing w:after="0" w:line="276" w:lineRule="auto"/>
        <w:ind w:firstLine="567"/>
        <w:jc w:val="both"/>
        <w:rPr>
          <w:i/>
          <w:sz w:val="24"/>
          <w:szCs w:val="24"/>
        </w:rPr>
      </w:pPr>
      <w:r w:rsidRPr="00A04EB2">
        <w:rPr>
          <w:i/>
          <w:sz w:val="24"/>
          <w:szCs w:val="24"/>
        </w:rPr>
        <w:t xml:space="preserve">Figure </w:t>
      </w:r>
      <w:r w:rsidR="00AE20B1">
        <w:rPr>
          <w:i/>
          <w:sz w:val="24"/>
          <w:szCs w:val="24"/>
        </w:rPr>
        <w:t>2</w:t>
      </w:r>
      <w:r w:rsidRPr="00A04EB2">
        <w:rPr>
          <w:i/>
          <w:sz w:val="24"/>
          <w:szCs w:val="24"/>
        </w:rPr>
        <w:t xml:space="preserve">: EU Referendum Voting - Wirral and Liverpool </w:t>
      </w:r>
      <w:r w:rsidR="00AE20B1">
        <w:rPr>
          <w:i/>
          <w:sz w:val="24"/>
          <w:szCs w:val="24"/>
        </w:rPr>
        <w:t xml:space="preserve">(Source: Wirral Borough Council (2016), </w:t>
      </w:r>
      <w:r w:rsidR="00884674">
        <w:rPr>
          <w:i/>
          <w:sz w:val="24"/>
          <w:szCs w:val="24"/>
        </w:rPr>
        <w:t>Labour Councillor</w:t>
      </w:r>
      <w:r w:rsidR="00AE20B1">
        <w:rPr>
          <w:i/>
          <w:sz w:val="24"/>
          <w:szCs w:val="24"/>
        </w:rPr>
        <w:t>, (2018))</w:t>
      </w:r>
    </w:p>
    <w:p w14:paraId="1E4D0DBE" w14:textId="77777777" w:rsidR="00DC3C25" w:rsidRDefault="00DC3C25" w:rsidP="00B140D4">
      <w:pPr>
        <w:spacing w:after="0" w:line="276" w:lineRule="auto"/>
        <w:ind w:firstLine="567"/>
        <w:jc w:val="both"/>
        <w:rPr>
          <w:sz w:val="24"/>
          <w:szCs w:val="24"/>
        </w:rPr>
      </w:pPr>
    </w:p>
    <w:p w14:paraId="4D995FBE" w14:textId="74E8463B" w:rsidR="00FD24DC" w:rsidRDefault="00FD24DC" w:rsidP="00FD24DC">
      <w:pPr>
        <w:spacing w:after="0" w:line="276" w:lineRule="auto"/>
        <w:ind w:firstLine="567"/>
        <w:jc w:val="both"/>
        <w:rPr>
          <w:sz w:val="24"/>
          <w:szCs w:val="24"/>
        </w:rPr>
      </w:pPr>
      <w:r>
        <w:rPr>
          <w:sz w:val="24"/>
          <w:szCs w:val="24"/>
        </w:rPr>
        <w:t>Acknowledging that there are likely to be pockets of support for both outcomes within any area is important</w:t>
      </w:r>
      <w:r w:rsidR="008A1D4A">
        <w:rPr>
          <w:sz w:val="24"/>
          <w:szCs w:val="24"/>
        </w:rPr>
        <w:t xml:space="preserve"> – and in this way directly mirrors the problems with current national-level analysis of the Referendum result</w:t>
      </w:r>
      <w:r>
        <w:rPr>
          <w:sz w:val="24"/>
          <w:szCs w:val="24"/>
        </w:rPr>
        <w:t>.  Whilst broader democratic principles dictate there must be a ‘winner’, a broad brush representation of the results</w:t>
      </w:r>
      <w:r w:rsidR="00622760">
        <w:rPr>
          <w:sz w:val="24"/>
          <w:szCs w:val="24"/>
        </w:rPr>
        <w:t xml:space="preserve"> can be dangerous, not least within a representative democracy, where glossing over the nuances of a result might pave the way for more zealous voices (of many persuasions) to overlook the views of their constituents.  </w:t>
      </w:r>
      <w:r w:rsidR="00147682">
        <w:rPr>
          <w:sz w:val="24"/>
          <w:szCs w:val="24"/>
        </w:rPr>
        <w:t>S</w:t>
      </w:r>
      <w:r w:rsidR="00622760">
        <w:rPr>
          <w:sz w:val="24"/>
          <w:szCs w:val="24"/>
        </w:rPr>
        <w:t xml:space="preserve">ide-lining significant proportions of the electorate in a major national decision </w:t>
      </w:r>
      <w:r w:rsidR="00147682">
        <w:rPr>
          <w:sz w:val="24"/>
          <w:szCs w:val="24"/>
        </w:rPr>
        <w:lastRenderedPageBreak/>
        <w:t>is a strategy that risks undermining the overall political legitimacy of governing decisions and undermining the search for consensus on divisive issues.</w:t>
      </w:r>
    </w:p>
    <w:p w14:paraId="7F023B2D" w14:textId="77777777" w:rsidR="00F965A4" w:rsidRPr="00340B9D" w:rsidRDefault="00F965A4" w:rsidP="00B140D4">
      <w:pPr>
        <w:spacing w:after="0" w:line="276" w:lineRule="auto"/>
        <w:ind w:firstLine="567"/>
        <w:jc w:val="both"/>
        <w:rPr>
          <w:i/>
          <w:sz w:val="24"/>
          <w:szCs w:val="24"/>
        </w:rPr>
      </w:pPr>
    </w:p>
    <w:p w14:paraId="13A532B9" w14:textId="34849FBD" w:rsidR="00C27480" w:rsidRPr="00340B9D" w:rsidRDefault="00340B9D" w:rsidP="00340B9D">
      <w:pPr>
        <w:pStyle w:val="ListParagraph"/>
        <w:numPr>
          <w:ilvl w:val="1"/>
          <w:numId w:val="2"/>
        </w:numPr>
        <w:spacing w:after="0" w:line="276" w:lineRule="auto"/>
        <w:jc w:val="both"/>
        <w:rPr>
          <w:i/>
          <w:sz w:val="24"/>
          <w:szCs w:val="24"/>
        </w:rPr>
      </w:pPr>
      <w:r w:rsidRPr="00340B9D">
        <w:rPr>
          <w:i/>
          <w:sz w:val="24"/>
          <w:szCs w:val="24"/>
        </w:rPr>
        <w:t xml:space="preserve">– </w:t>
      </w:r>
      <w:r w:rsidR="00653F20">
        <w:rPr>
          <w:i/>
          <w:sz w:val="24"/>
          <w:szCs w:val="24"/>
        </w:rPr>
        <w:t>’Left Behind Britain’</w:t>
      </w:r>
    </w:p>
    <w:p w14:paraId="0A804D0C" w14:textId="36A9EE2D" w:rsidR="00515903" w:rsidRDefault="00653F20">
      <w:pPr>
        <w:pStyle w:val="ListParagraph"/>
        <w:ind w:left="0" w:firstLine="567"/>
        <w:jc w:val="both"/>
        <w:rPr>
          <w:sz w:val="24"/>
          <w:szCs w:val="24"/>
        </w:rPr>
      </w:pPr>
      <w:r>
        <w:rPr>
          <w:sz w:val="24"/>
          <w:szCs w:val="24"/>
        </w:rPr>
        <w:t xml:space="preserve">When considering deprivation in both Liverpool and the </w:t>
      </w:r>
      <w:r w:rsidRPr="00AE20B1">
        <w:rPr>
          <w:sz w:val="24"/>
          <w:szCs w:val="24"/>
        </w:rPr>
        <w:t xml:space="preserve">Wirral (Figure </w:t>
      </w:r>
      <w:r w:rsidR="00AE20B1" w:rsidRPr="00AE20B1">
        <w:rPr>
          <w:sz w:val="24"/>
          <w:szCs w:val="24"/>
        </w:rPr>
        <w:t>3</w:t>
      </w:r>
      <w:r w:rsidRPr="00AE20B1">
        <w:rPr>
          <w:sz w:val="24"/>
          <w:szCs w:val="24"/>
        </w:rPr>
        <w:t>),</w:t>
      </w:r>
      <w:r>
        <w:rPr>
          <w:sz w:val="24"/>
          <w:szCs w:val="24"/>
        </w:rPr>
        <w:t xml:space="preserve"> the evidence to support idea that the Leave vote was driven by a ‘left behind Britain is mixed.</w:t>
      </w:r>
      <w:r w:rsidR="00E82EAA">
        <w:rPr>
          <w:sz w:val="24"/>
          <w:szCs w:val="24"/>
        </w:rPr>
        <w:t xml:space="preserve">  </w:t>
      </w:r>
      <w:r w:rsidR="00515903">
        <w:rPr>
          <w:sz w:val="24"/>
          <w:szCs w:val="24"/>
        </w:rPr>
        <w:t>In the Wirral, where deprivation is concentrated in the urban centre of Birkenhead, the Leave vote does</w:t>
      </w:r>
      <w:r w:rsidR="004D66EA">
        <w:rPr>
          <w:sz w:val="24"/>
          <w:szCs w:val="24"/>
        </w:rPr>
        <w:t xml:space="preserve"> broadly </w:t>
      </w:r>
      <w:r w:rsidR="00515903">
        <w:rPr>
          <w:sz w:val="24"/>
          <w:szCs w:val="24"/>
        </w:rPr>
        <w:t xml:space="preserve">align with </w:t>
      </w:r>
      <w:r w:rsidR="00F33155">
        <w:rPr>
          <w:sz w:val="24"/>
          <w:szCs w:val="24"/>
        </w:rPr>
        <w:t xml:space="preserve">this </w:t>
      </w:r>
      <w:r w:rsidR="00147682">
        <w:rPr>
          <w:sz w:val="24"/>
          <w:szCs w:val="24"/>
        </w:rPr>
        <w:t>spatial concentration</w:t>
      </w:r>
      <w:r w:rsidR="00515903">
        <w:rPr>
          <w:sz w:val="24"/>
          <w:szCs w:val="24"/>
        </w:rPr>
        <w:t>, whilst the Remain vote is at its strongest in the least-deprived western wards.</w:t>
      </w:r>
      <w:r w:rsidR="00E82EAA">
        <w:rPr>
          <w:sz w:val="24"/>
          <w:szCs w:val="24"/>
        </w:rPr>
        <w:t xml:space="preserve">  Here, there is </w:t>
      </w:r>
      <w:proofErr w:type="gramStart"/>
      <w:r w:rsidR="00E82EAA">
        <w:rPr>
          <w:sz w:val="24"/>
          <w:szCs w:val="24"/>
        </w:rPr>
        <w:t>evidence which</w:t>
      </w:r>
      <w:proofErr w:type="gramEnd"/>
      <w:r w:rsidR="00E82EAA">
        <w:rPr>
          <w:sz w:val="24"/>
          <w:szCs w:val="24"/>
        </w:rPr>
        <w:t xml:space="preserve"> </w:t>
      </w:r>
      <w:r w:rsidR="004D66EA">
        <w:rPr>
          <w:sz w:val="24"/>
          <w:szCs w:val="24"/>
        </w:rPr>
        <w:t>lends</w:t>
      </w:r>
      <w:r w:rsidR="00515903">
        <w:rPr>
          <w:sz w:val="24"/>
          <w:szCs w:val="24"/>
        </w:rPr>
        <w:t xml:space="preserve"> credence to the Left Behind Britain </w:t>
      </w:r>
      <w:r w:rsidR="00C44652">
        <w:rPr>
          <w:sz w:val="24"/>
          <w:szCs w:val="24"/>
        </w:rPr>
        <w:t>as the driver of ‘</w:t>
      </w:r>
      <w:proofErr w:type="spellStart"/>
      <w:r w:rsidR="00C44652">
        <w:rPr>
          <w:sz w:val="24"/>
          <w:szCs w:val="24"/>
        </w:rPr>
        <w:t>Brexit</w:t>
      </w:r>
      <w:proofErr w:type="spellEnd"/>
      <w:r w:rsidR="00C44652">
        <w:rPr>
          <w:sz w:val="24"/>
          <w:szCs w:val="24"/>
        </w:rPr>
        <w:t xml:space="preserve">’ </w:t>
      </w:r>
      <w:r w:rsidR="00515903">
        <w:rPr>
          <w:sz w:val="24"/>
          <w:szCs w:val="24"/>
        </w:rPr>
        <w:t>trope.</w:t>
      </w:r>
    </w:p>
    <w:p w14:paraId="68CB9904" w14:textId="77777777" w:rsidR="00515903" w:rsidRDefault="00515903" w:rsidP="00A33CF0">
      <w:pPr>
        <w:pStyle w:val="ListParagraph"/>
        <w:ind w:left="0" w:firstLine="567"/>
        <w:jc w:val="both"/>
        <w:rPr>
          <w:sz w:val="24"/>
          <w:szCs w:val="24"/>
        </w:rPr>
      </w:pPr>
    </w:p>
    <w:p w14:paraId="14F96282" w14:textId="0E2A7941" w:rsidR="00340B9D" w:rsidRPr="00340B9D" w:rsidRDefault="00AE20B1" w:rsidP="00340B9D">
      <w:pPr>
        <w:pStyle w:val="ListParagraph"/>
        <w:spacing w:after="0" w:line="276" w:lineRule="auto"/>
        <w:ind w:left="927"/>
        <w:jc w:val="both"/>
        <w:rPr>
          <w:sz w:val="24"/>
          <w:szCs w:val="24"/>
        </w:rPr>
      </w:pPr>
      <w:r>
        <w:rPr>
          <w:sz w:val="24"/>
          <w:szCs w:val="24"/>
        </w:rPr>
        <w:t xml:space="preserve">&lt;FIGURE </w:t>
      </w:r>
      <w:proofErr w:type="gramStart"/>
      <w:r>
        <w:rPr>
          <w:sz w:val="24"/>
          <w:szCs w:val="24"/>
        </w:rPr>
        <w:t>THREE</w:t>
      </w:r>
      <w:proofErr w:type="gramEnd"/>
      <w:r>
        <w:rPr>
          <w:sz w:val="24"/>
          <w:szCs w:val="24"/>
        </w:rPr>
        <w:t>&gt;</w:t>
      </w:r>
    </w:p>
    <w:p w14:paraId="4397A2F9" w14:textId="245C2551" w:rsidR="00F965A4" w:rsidRPr="007A3248" w:rsidRDefault="00F965A4" w:rsidP="00B140D4">
      <w:pPr>
        <w:spacing w:after="0" w:line="276" w:lineRule="auto"/>
        <w:jc w:val="both"/>
        <w:rPr>
          <w:sz w:val="24"/>
          <w:szCs w:val="24"/>
        </w:rPr>
      </w:pPr>
    </w:p>
    <w:p w14:paraId="22B7798B" w14:textId="5D0F9D79" w:rsidR="009060BF" w:rsidRDefault="00E82EAA" w:rsidP="00A33CF0">
      <w:pPr>
        <w:pStyle w:val="ListParagraph"/>
        <w:spacing w:after="0" w:line="276" w:lineRule="auto"/>
        <w:ind w:left="927" w:hanging="927"/>
        <w:jc w:val="both"/>
        <w:rPr>
          <w:i/>
          <w:sz w:val="24"/>
          <w:szCs w:val="24"/>
        </w:rPr>
      </w:pPr>
      <w:r>
        <w:rPr>
          <w:i/>
          <w:sz w:val="24"/>
          <w:szCs w:val="24"/>
        </w:rPr>
        <w:t xml:space="preserve">Figure </w:t>
      </w:r>
      <w:r w:rsidR="00AE20B1">
        <w:rPr>
          <w:i/>
          <w:sz w:val="24"/>
          <w:szCs w:val="24"/>
        </w:rPr>
        <w:t>3</w:t>
      </w:r>
      <w:r>
        <w:rPr>
          <w:i/>
          <w:sz w:val="24"/>
          <w:szCs w:val="24"/>
        </w:rPr>
        <w:t xml:space="preserve"> – Index of Multiple Deprivation (2015) by Decile</w:t>
      </w:r>
      <w:r w:rsidR="00AE20B1">
        <w:rPr>
          <w:i/>
          <w:sz w:val="24"/>
          <w:szCs w:val="24"/>
        </w:rPr>
        <w:t xml:space="preserve"> </w:t>
      </w:r>
      <w:r w:rsidR="00AE20B1">
        <w:rPr>
          <w:i/>
          <w:sz w:val="24"/>
          <w:szCs w:val="24"/>
        </w:rPr>
        <w:fldChar w:fldCharType="begin"/>
      </w:r>
      <w:r w:rsidR="00F35BB4">
        <w:rPr>
          <w:i/>
          <w:sz w:val="24"/>
          <w:szCs w:val="24"/>
        </w:rPr>
        <w:instrText xml:space="preserve"> ADDIN EN.CITE &lt;EndNote&gt;&lt;Cite&gt;&lt;Author&gt;DCLG&lt;/Author&gt;&lt;Year&gt;2015&lt;/Year&gt;&lt;RecNum&gt;734&lt;/RecNum&gt;&lt;Prefix&gt;Source: &lt;/Prefix&gt;&lt;DisplayText&gt;(Source: DCLG, 2015)&lt;/DisplayText&gt;&lt;record&gt;&lt;rec-number&gt;734&lt;/rec-number&gt;&lt;foreign-keys&gt;&lt;key app="EN" db-id="sf2v0zffie0st6edessvst0jrx50tz9rrwst" timestamp="1470232167"&gt;734&lt;/key&gt;&lt;/foreign-keys&gt;&lt;ref-type name="Government Document"&gt;46&lt;/ref-type&gt;&lt;contributors&gt;&lt;authors&gt;&lt;author&gt;DCLG&lt;/author&gt;&lt;/authors&gt;&lt;/contributors&gt;&lt;titles&gt;&lt;title&gt;Index of Multiple Deprivation 2015&lt;/title&gt;&lt;/titles&gt;&lt;dates&gt;&lt;year&gt;2015&lt;/year&gt;&lt;/dates&gt;&lt;pub-location&gt;London&lt;/pub-location&gt;&lt;publisher&gt;DCLG&lt;/publisher&gt;&lt;urls&gt;&lt;/urls&gt;&lt;/record&gt;&lt;/Cite&gt;&lt;/EndNote&gt;</w:instrText>
      </w:r>
      <w:r w:rsidR="00AE20B1">
        <w:rPr>
          <w:i/>
          <w:sz w:val="24"/>
          <w:szCs w:val="24"/>
        </w:rPr>
        <w:fldChar w:fldCharType="separate"/>
      </w:r>
      <w:r w:rsidR="00F35BB4">
        <w:rPr>
          <w:i/>
          <w:noProof/>
          <w:sz w:val="24"/>
          <w:szCs w:val="24"/>
        </w:rPr>
        <w:t>(Source: DCLG, 2015)</w:t>
      </w:r>
      <w:r w:rsidR="00AE20B1">
        <w:rPr>
          <w:i/>
          <w:sz w:val="24"/>
          <w:szCs w:val="24"/>
        </w:rPr>
        <w:fldChar w:fldCharType="end"/>
      </w:r>
      <w:r>
        <w:rPr>
          <w:i/>
          <w:sz w:val="24"/>
          <w:szCs w:val="24"/>
        </w:rPr>
        <w:t xml:space="preserve"> </w:t>
      </w:r>
    </w:p>
    <w:p w14:paraId="30230160" w14:textId="77777777" w:rsidR="00F33155" w:rsidRDefault="00F33155" w:rsidP="00F33155">
      <w:pPr>
        <w:pStyle w:val="ListParagraph"/>
        <w:ind w:left="0" w:firstLine="567"/>
        <w:jc w:val="both"/>
        <w:rPr>
          <w:sz w:val="24"/>
          <w:szCs w:val="24"/>
        </w:rPr>
      </w:pPr>
    </w:p>
    <w:p w14:paraId="0BD1C638" w14:textId="490A72AD" w:rsidR="00E82EAA" w:rsidRPr="00A33CF0" w:rsidRDefault="00F33155" w:rsidP="00641F4C">
      <w:pPr>
        <w:pStyle w:val="ListParagraph"/>
        <w:ind w:left="0" w:firstLine="567"/>
        <w:jc w:val="both"/>
        <w:rPr>
          <w:sz w:val="24"/>
          <w:szCs w:val="24"/>
        </w:rPr>
      </w:pPr>
      <w:r>
        <w:rPr>
          <w:sz w:val="24"/>
          <w:szCs w:val="24"/>
        </w:rPr>
        <w:t xml:space="preserve">Liverpool, however, presents a very different picture.  </w:t>
      </w:r>
      <w:proofErr w:type="gramStart"/>
      <w:r>
        <w:rPr>
          <w:sz w:val="24"/>
          <w:szCs w:val="24"/>
        </w:rPr>
        <w:t>With roughly half of the city located in the bottom decile (I.e. the 10% most deprived areas in the country), and as the site of some of the single most deprived neighbourhoods</w:t>
      </w:r>
      <w:r w:rsidR="0037248C">
        <w:rPr>
          <w:sz w:val="24"/>
          <w:szCs w:val="24"/>
        </w:rPr>
        <w:t xml:space="preserve"> </w:t>
      </w:r>
      <w:r>
        <w:rPr>
          <w:sz w:val="24"/>
          <w:szCs w:val="24"/>
        </w:rPr>
        <w:t>nationally, there is no doubt that those areas embody the</w:t>
      </w:r>
      <w:r w:rsidR="0037248C">
        <w:rPr>
          <w:sz w:val="24"/>
          <w:szCs w:val="24"/>
        </w:rPr>
        <w:t xml:space="preserve"> idea of ‘</w:t>
      </w:r>
      <w:r>
        <w:rPr>
          <w:sz w:val="24"/>
          <w:szCs w:val="24"/>
        </w:rPr>
        <w:t>Left Behind Britain</w:t>
      </w:r>
      <w:r w:rsidR="0037248C">
        <w:rPr>
          <w:sz w:val="24"/>
          <w:szCs w:val="24"/>
        </w:rPr>
        <w:t>’</w:t>
      </w:r>
      <w:r>
        <w:rPr>
          <w:sz w:val="24"/>
          <w:szCs w:val="24"/>
        </w:rPr>
        <w:t xml:space="preserve"> – bearing the hallmark scars of post-industrial realignment </w:t>
      </w:r>
      <w:proofErr w:type="gramEnd"/>
      <w:r>
        <w:rPr>
          <w:sz w:val="24"/>
          <w:szCs w:val="24"/>
        </w:rPr>
        <w:fldChar w:fldCharType="begin"/>
      </w:r>
      <w:r w:rsidR="00F35BB4">
        <w:rPr>
          <w:sz w:val="24"/>
          <w:szCs w:val="24"/>
        </w:rPr>
        <w:instrText xml:space="preserve"> ADDIN EN.CITE &lt;EndNote&gt;&lt;Cite&gt;&lt;Author&gt;Sykes&lt;/Author&gt;&lt;Year&gt;2013&lt;/Year&gt;&lt;RecNum&gt;228&lt;/RecNum&gt;&lt;DisplayText&gt;(Sykes et al., 2013)&lt;/DisplayText&gt;&lt;record&gt;&lt;rec-number&gt;228&lt;/rec-number&gt;&lt;foreign-keys&gt;&lt;key app="EN" db-id="sf2v0zffie0st6edessvst0jrx50tz9rrwst" timestamp="1375861522"&gt;228&lt;/key&gt;&lt;/foreign-keys&gt;&lt;ref-type name="Journal Article"&gt;17&lt;/ref-type&gt;&lt;contributors&gt;&lt;authors&gt;&lt;author&gt;Sykes, O.&lt;/author&gt;&lt;author&gt;Brown, J.&lt;/author&gt;&lt;author&gt;Cocks, Matthew&lt;/author&gt;&lt;author&gt;Shaw, David&lt;/author&gt;&lt;author&gt;Couch, C.&lt;/author&gt;&lt;/authors&gt;&lt;/contributors&gt;&lt;titles&gt;&lt;title&gt;A City Profile of Liverpool&lt;/title&gt;&lt;secondary-title&gt;Cities&lt;/secondary-title&gt;&lt;/titles&gt;&lt;periodical&gt;&lt;full-title&gt;Cities&lt;/full-title&gt;&lt;/periodical&gt;&lt;volume&gt;(Published Online)&lt;/volume&gt;&lt;dates&gt;&lt;year&gt;2013&lt;/year&gt;&lt;/dates&gt;&lt;urls&gt;&lt;/urls&gt;&lt;/record&gt;&lt;/Cite&gt;&lt;/EndNote&gt;</w:instrText>
      </w:r>
      <w:r>
        <w:rPr>
          <w:sz w:val="24"/>
          <w:szCs w:val="24"/>
        </w:rPr>
        <w:fldChar w:fldCharType="separate"/>
      </w:r>
      <w:r w:rsidR="00F35BB4">
        <w:rPr>
          <w:noProof/>
          <w:sz w:val="24"/>
          <w:szCs w:val="24"/>
        </w:rPr>
        <w:t>(Sykes et al., 2013)</w:t>
      </w:r>
      <w:r>
        <w:rPr>
          <w:sz w:val="24"/>
          <w:szCs w:val="24"/>
        </w:rPr>
        <w:fldChar w:fldCharType="end"/>
      </w:r>
      <w:proofErr w:type="gramStart"/>
      <w:r>
        <w:rPr>
          <w:sz w:val="24"/>
          <w:szCs w:val="24"/>
        </w:rPr>
        <w:t xml:space="preserve"> and, most recently, the austerity which has decimated public spending </w:t>
      </w:r>
      <w:proofErr w:type="gramEnd"/>
      <w:r w:rsidR="0037248C">
        <w:rPr>
          <w:sz w:val="24"/>
          <w:szCs w:val="24"/>
        </w:rPr>
        <w:fldChar w:fldCharType="begin">
          <w:fldData xml:space="preserve">PEVuZE5vdGU+PENpdGU+PEF1dGhvcj5DZW50cmUgZm9yIENpdGllczwvQXV0aG9yPjxZZWFyPjIw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</w:fldData>
        </w:fldChar>
      </w:r>
      <w:r w:rsidR="00F35BB4">
        <w:rPr>
          <w:sz w:val="24"/>
          <w:szCs w:val="24"/>
        </w:rPr>
        <w:instrText xml:space="preserve"> ADDIN EN.CITE </w:instrText>
      </w:r>
      <w:r w:rsidR="00F35BB4">
        <w:rPr>
          <w:sz w:val="24"/>
          <w:szCs w:val="24"/>
        </w:rPr>
        <w:fldChar w:fldCharType="begin">
          <w:fldData xml:space="preserve">PEVuZE5vdGU+PENpdGU+PEF1dGhvcj5DZW50cmUgZm9yIENpdGllczwvQXV0aG9yPjxZZWFyPjIw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</w:fldData>
        </w:fldChar>
      </w:r>
      <w:r w:rsidR="00F35BB4">
        <w:rPr>
          <w:sz w:val="24"/>
          <w:szCs w:val="24"/>
        </w:rPr>
        <w:instrText xml:space="preserve"> ADDIN EN.CITE.DATA </w:instrText>
      </w:r>
      <w:r w:rsidR="00F35BB4">
        <w:rPr>
          <w:sz w:val="24"/>
          <w:szCs w:val="24"/>
        </w:rPr>
      </w:r>
      <w:r w:rsidR="00F35BB4">
        <w:rPr>
          <w:sz w:val="24"/>
          <w:szCs w:val="24"/>
        </w:rPr>
        <w:fldChar w:fldCharType="end"/>
      </w:r>
      <w:r w:rsidR="0037248C">
        <w:rPr>
          <w:sz w:val="24"/>
          <w:szCs w:val="24"/>
        </w:rPr>
      </w:r>
      <w:r w:rsidR="0037248C">
        <w:rPr>
          <w:sz w:val="24"/>
          <w:szCs w:val="24"/>
        </w:rPr>
        <w:fldChar w:fldCharType="separate"/>
      </w:r>
      <w:r w:rsidR="00F35BB4">
        <w:rPr>
          <w:noProof/>
          <w:sz w:val="24"/>
          <w:szCs w:val="24"/>
        </w:rPr>
        <w:t>(Centre for Cities, 2019, Lowndes and Gardner, 2016)</w:t>
      </w:r>
      <w:r w:rsidR="0037248C">
        <w:rPr>
          <w:sz w:val="24"/>
          <w:szCs w:val="24"/>
        </w:rPr>
        <w:fldChar w:fldCharType="end"/>
      </w:r>
      <w:proofErr w:type="gramStart"/>
      <w:r>
        <w:rPr>
          <w:sz w:val="24"/>
          <w:szCs w:val="24"/>
        </w:rPr>
        <w:t>.</w:t>
      </w:r>
      <w:proofErr w:type="gramEnd"/>
      <w:r>
        <w:rPr>
          <w:sz w:val="24"/>
          <w:szCs w:val="24"/>
        </w:rPr>
        <w:t xml:space="preserve">  Yet, in large part, and contrary to the </w:t>
      </w:r>
      <w:r w:rsidR="00D53FD1">
        <w:rPr>
          <w:sz w:val="24"/>
          <w:szCs w:val="24"/>
        </w:rPr>
        <w:t xml:space="preserve">what might be expected from </w:t>
      </w:r>
      <w:r>
        <w:rPr>
          <w:sz w:val="24"/>
          <w:szCs w:val="24"/>
        </w:rPr>
        <w:t xml:space="preserve"> the Left Behind Britain Trope, the</w:t>
      </w:r>
      <w:r w:rsidR="0037248C">
        <w:rPr>
          <w:sz w:val="24"/>
          <w:szCs w:val="24"/>
        </w:rPr>
        <w:t xml:space="preserve"> significant majority of tho</w:t>
      </w:r>
      <w:r>
        <w:rPr>
          <w:sz w:val="24"/>
          <w:szCs w:val="24"/>
        </w:rPr>
        <w:t>se areas voted to Remain and,</w:t>
      </w:r>
      <w:r w:rsidR="00641F4C">
        <w:rPr>
          <w:sz w:val="24"/>
          <w:szCs w:val="24"/>
        </w:rPr>
        <w:t xml:space="preserve"> going further,</w:t>
      </w:r>
      <w:r>
        <w:rPr>
          <w:sz w:val="24"/>
          <w:szCs w:val="24"/>
        </w:rPr>
        <w:t xml:space="preserve"> some places such as Toxteth (a deprived ward to the South of the city centre), </w:t>
      </w:r>
      <w:r w:rsidR="00D53FD1">
        <w:rPr>
          <w:sz w:val="24"/>
          <w:szCs w:val="24"/>
        </w:rPr>
        <w:t xml:space="preserve">had the proportionally highest </w:t>
      </w:r>
      <w:r>
        <w:rPr>
          <w:sz w:val="24"/>
          <w:szCs w:val="24"/>
        </w:rPr>
        <w:t xml:space="preserve"> Remain</w:t>
      </w:r>
      <w:r w:rsidR="00D53FD1">
        <w:rPr>
          <w:sz w:val="24"/>
          <w:szCs w:val="24"/>
        </w:rPr>
        <w:t xml:space="preserve"> vote </w:t>
      </w:r>
      <w:r>
        <w:rPr>
          <w:sz w:val="24"/>
          <w:szCs w:val="24"/>
        </w:rPr>
        <w:t>.</w:t>
      </w:r>
      <w:r w:rsidR="00641F4C">
        <w:rPr>
          <w:sz w:val="24"/>
          <w:szCs w:val="24"/>
        </w:rPr>
        <w:t xml:space="preserve">  Similarly, the four </w:t>
      </w:r>
      <w:proofErr w:type="gramStart"/>
      <w:r w:rsidR="00641F4C">
        <w:rPr>
          <w:sz w:val="24"/>
          <w:szCs w:val="24"/>
        </w:rPr>
        <w:t>wards which voted to Leave</w:t>
      </w:r>
      <w:proofErr w:type="gramEnd"/>
      <w:r w:rsidR="00641F4C">
        <w:rPr>
          <w:sz w:val="24"/>
          <w:szCs w:val="24"/>
        </w:rPr>
        <w:t xml:space="preserve"> present a mixed image – not least in the North East of the city where </w:t>
      </w:r>
      <w:r w:rsidR="00D22C4C">
        <w:rPr>
          <w:sz w:val="24"/>
          <w:szCs w:val="24"/>
        </w:rPr>
        <w:t xml:space="preserve">the Leave vote is underpinned by </w:t>
      </w:r>
      <w:r w:rsidR="00641F4C">
        <w:rPr>
          <w:sz w:val="24"/>
          <w:szCs w:val="24"/>
        </w:rPr>
        <w:t xml:space="preserve">some of least deprived LSOAs </w:t>
      </w:r>
    </w:p>
    <w:p w14:paraId="63DA2283" w14:textId="5FDCC47F" w:rsidR="004D66EA" w:rsidRDefault="00641F4C" w:rsidP="00A33CF0">
      <w:pPr>
        <w:pStyle w:val="ListParagraph"/>
        <w:spacing w:after="0" w:line="276" w:lineRule="auto"/>
        <w:ind w:left="0" w:firstLine="567"/>
        <w:jc w:val="both"/>
        <w:rPr>
          <w:sz w:val="24"/>
          <w:szCs w:val="24"/>
        </w:rPr>
      </w:pPr>
      <w:r>
        <w:rPr>
          <w:sz w:val="24"/>
          <w:szCs w:val="24"/>
        </w:rPr>
        <w:t>It is important to acknowledge that t</w:t>
      </w:r>
      <w:r w:rsidR="004D66EA" w:rsidRPr="00A33CF0">
        <w:rPr>
          <w:sz w:val="24"/>
          <w:szCs w:val="24"/>
        </w:rPr>
        <w:t xml:space="preserve">here </w:t>
      </w:r>
      <w:r w:rsidR="004D66EA">
        <w:rPr>
          <w:sz w:val="24"/>
          <w:szCs w:val="24"/>
        </w:rPr>
        <w:t>are</w:t>
      </w:r>
      <w:r w:rsidR="00C44652">
        <w:rPr>
          <w:sz w:val="24"/>
          <w:szCs w:val="24"/>
        </w:rPr>
        <w:t xml:space="preserve"> some</w:t>
      </w:r>
      <w:r w:rsidR="004D66EA">
        <w:rPr>
          <w:sz w:val="24"/>
          <w:szCs w:val="24"/>
        </w:rPr>
        <w:t xml:space="preserve"> areas of Liverpool which do align with the Left </w:t>
      </w:r>
      <w:proofErr w:type="gramStart"/>
      <w:r w:rsidR="004D66EA">
        <w:rPr>
          <w:sz w:val="24"/>
          <w:szCs w:val="24"/>
        </w:rPr>
        <w:t>Behind</w:t>
      </w:r>
      <w:proofErr w:type="gramEnd"/>
      <w:r w:rsidR="004D66EA">
        <w:rPr>
          <w:sz w:val="24"/>
          <w:szCs w:val="24"/>
        </w:rPr>
        <w:t xml:space="preserve"> Britain trope</w:t>
      </w:r>
      <w:r w:rsidR="001C16E7">
        <w:rPr>
          <w:sz w:val="24"/>
          <w:szCs w:val="24"/>
        </w:rPr>
        <w:t xml:space="preserve"> (i.e. greater or lesser deprivation aligns with a proclivity to vote leave or remain</w:t>
      </w:r>
      <w:r>
        <w:rPr>
          <w:sz w:val="24"/>
          <w:szCs w:val="24"/>
        </w:rPr>
        <w:t>, respectively</w:t>
      </w:r>
      <w:r w:rsidR="001C16E7">
        <w:rPr>
          <w:sz w:val="24"/>
          <w:szCs w:val="24"/>
        </w:rPr>
        <w:t>)</w:t>
      </w:r>
      <w:r w:rsidR="004D66EA">
        <w:rPr>
          <w:sz w:val="24"/>
          <w:szCs w:val="24"/>
        </w:rPr>
        <w:t xml:space="preserve">, but the overall image of the city is not one where voters neatly align with </w:t>
      </w:r>
      <w:r w:rsidR="00536535">
        <w:rPr>
          <w:sz w:val="24"/>
          <w:szCs w:val="24"/>
        </w:rPr>
        <w:t>this</w:t>
      </w:r>
      <w:r w:rsidR="004D66EA">
        <w:rPr>
          <w:sz w:val="24"/>
          <w:szCs w:val="24"/>
        </w:rPr>
        <w:t xml:space="preserve"> pattern.  In effect</w:t>
      </w:r>
      <w:r w:rsidR="004D6FAA">
        <w:rPr>
          <w:sz w:val="24"/>
          <w:szCs w:val="24"/>
        </w:rPr>
        <w:t>:</w:t>
      </w:r>
      <w:r w:rsidR="004D66EA">
        <w:rPr>
          <w:sz w:val="24"/>
          <w:szCs w:val="24"/>
        </w:rPr>
        <w:t xml:space="preserve"> Left </w:t>
      </w:r>
      <w:proofErr w:type="gramStart"/>
      <w:r w:rsidR="004D66EA">
        <w:rPr>
          <w:sz w:val="24"/>
          <w:szCs w:val="24"/>
        </w:rPr>
        <w:t>Behind</w:t>
      </w:r>
      <w:proofErr w:type="gramEnd"/>
      <w:r w:rsidR="004D66EA">
        <w:rPr>
          <w:sz w:val="24"/>
          <w:szCs w:val="24"/>
        </w:rPr>
        <w:t xml:space="preserve"> Britain does not describe the city’s voting choices in a convincing way</w:t>
      </w:r>
      <w:r w:rsidR="00491DBD">
        <w:rPr>
          <w:sz w:val="24"/>
          <w:szCs w:val="24"/>
        </w:rPr>
        <w:t>.  It encapsulates some areas, but not others – even though they share markedly similar socio-economic profiles.</w:t>
      </w:r>
    </w:p>
    <w:p w14:paraId="27A8DB2C" w14:textId="1FBDBCEB" w:rsidR="004D6FAA" w:rsidRDefault="004D6FAA" w:rsidP="00A33CF0">
      <w:pPr>
        <w:pStyle w:val="ListParagraph"/>
        <w:spacing w:after="0" w:line="276" w:lineRule="auto"/>
        <w:ind w:left="0" w:firstLine="567"/>
        <w:jc w:val="both"/>
        <w:rPr>
          <w:sz w:val="24"/>
          <w:szCs w:val="24"/>
        </w:rPr>
      </w:pPr>
      <w:r>
        <w:rPr>
          <w:sz w:val="24"/>
          <w:szCs w:val="24"/>
        </w:rPr>
        <w:t xml:space="preserve">It is </w:t>
      </w:r>
      <w:proofErr w:type="gramStart"/>
      <w:r>
        <w:rPr>
          <w:sz w:val="24"/>
          <w:szCs w:val="24"/>
        </w:rPr>
        <w:t>not unreasonable</w:t>
      </w:r>
      <w:proofErr w:type="gramEnd"/>
      <w:r>
        <w:rPr>
          <w:sz w:val="24"/>
          <w:szCs w:val="24"/>
        </w:rPr>
        <w:t xml:space="preserve"> to ask why this might be.  In the lead-up and aftermath of the </w:t>
      </w:r>
      <w:proofErr w:type="gramStart"/>
      <w:r>
        <w:rPr>
          <w:sz w:val="24"/>
          <w:szCs w:val="24"/>
        </w:rPr>
        <w:t>Referendum</w:t>
      </w:r>
      <w:proofErr w:type="gramEnd"/>
      <w:r>
        <w:rPr>
          <w:sz w:val="24"/>
          <w:szCs w:val="24"/>
        </w:rPr>
        <w:t xml:space="preserve"> much was made of ‘Metropolitan Elites’ – used to pejoratively describe city-dwelling white-collar workers considered to be out-of-touch with the national mood (i.e. anti-EU sentiment).  But it would be patently wrong, to suggest that </w:t>
      </w:r>
      <w:r w:rsidR="001C16E7">
        <w:rPr>
          <w:sz w:val="24"/>
          <w:szCs w:val="24"/>
        </w:rPr>
        <w:t xml:space="preserve">merely </w:t>
      </w:r>
      <w:r>
        <w:rPr>
          <w:sz w:val="24"/>
          <w:szCs w:val="24"/>
        </w:rPr>
        <w:t xml:space="preserve">living in a city makes you ‘elite’ – something supported by </w:t>
      </w:r>
      <w:r w:rsidR="00536535">
        <w:rPr>
          <w:sz w:val="24"/>
          <w:szCs w:val="24"/>
        </w:rPr>
        <w:t xml:space="preserve">the UK’s </w:t>
      </w:r>
      <w:r>
        <w:rPr>
          <w:sz w:val="24"/>
          <w:szCs w:val="24"/>
        </w:rPr>
        <w:t xml:space="preserve">urban history from the Industrial Revolution onwards </w:t>
      </w:r>
      <w:r w:rsidR="00515182">
        <w:rPr>
          <w:sz w:val="24"/>
          <w:szCs w:val="24"/>
        </w:rPr>
        <w:fldChar w:fldCharType="begin"/>
      </w:r>
      <w:r w:rsidR="00F35BB4">
        <w:rPr>
          <w:sz w:val="24"/>
          <w:szCs w:val="24"/>
        </w:rPr>
        <w:instrText xml:space="preserve"> ADDIN EN.CITE &lt;EndNote&gt;&lt;Cite&gt;&lt;Author&gt;Couch&lt;/Author&gt;&lt;Year&gt;2016&lt;/Year&gt;&lt;RecNum&gt;1075&lt;/RecNum&gt;&lt;DisplayText&gt;(Couch, 2016)&lt;/DisplayText&gt;&lt;record&gt;&lt;rec-number&gt;1075&lt;/rec-number&gt;&lt;foreign-keys&gt;&lt;key app="EN" db-id="sf2v0zffie0st6edessvst0jrx50tz9rrwst" timestamp="1541083793"&gt;1075&lt;/key&gt;&lt;/foreign-keys&gt;&lt;ref-type name="Book"&gt;6&lt;/ref-type&gt;&lt;contributors&gt;&lt;authors&gt;&lt;author&gt;Couch, C.&lt;/author&gt;&lt;/authors&gt;&lt;/contributors&gt;&lt;titles&gt;&lt;title&gt;Urban Planning: An Introduction&lt;/title&gt;&lt;/titles&gt;&lt;dates&gt;&lt;year&gt;2016&lt;/year&gt;&lt;/dates&gt;&lt;pub-location&gt;Basingstoke&lt;/pub-location&gt;&lt;publisher&gt;Palgrave&lt;/publisher&gt;&lt;urls&gt;&lt;/urls&gt;&lt;/record&gt;&lt;/Cite&gt;&lt;/EndNote&gt;</w:instrText>
      </w:r>
      <w:r w:rsidR="00515182">
        <w:rPr>
          <w:sz w:val="24"/>
          <w:szCs w:val="24"/>
        </w:rPr>
        <w:fldChar w:fldCharType="separate"/>
      </w:r>
      <w:r w:rsidR="00F35BB4">
        <w:rPr>
          <w:noProof/>
          <w:sz w:val="24"/>
          <w:szCs w:val="24"/>
        </w:rPr>
        <w:t>(Couch, 2016)</w:t>
      </w:r>
      <w:r w:rsidR="00515182">
        <w:rPr>
          <w:sz w:val="24"/>
          <w:szCs w:val="24"/>
        </w:rPr>
        <w:fldChar w:fldCharType="end"/>
      </w:r>
      <w:r w:rsidR="00FB54B2">
        <w:rPr>
          <w:sz w:val="24"/>
          <w:szCs w:val="24"/>
        </w:rPr>
        <w:t xml:space="preserve"> and clearly observable </w:t>
      </w:r>
      <w:r w:rsidR="00FB54B2" w:rsidRPr="00AE20B1">
        <w:rPr>
          <w:sz w:val="24"/>
          <w:szCs w:val="24"/>
        </w:rPr>
        <w:t xml:space="preserve">in figure </w:t>
      </w:r>
      <w:r w:rsidR="00AE20B1" w:rsidRPr="00AE20B1">
        <w:rPr>
          <w:sz w:val="24"/>
          <w:szCs w:val="24"/>
        </w:rPr>
        <w:t>3</w:t>
      </w:r>
      <w:r w:rsidR="00FB54B2" w:rsidRPr="00AE20B1">
        <w:rPr>
          <w:sz w:val="24"/>
          <w:szCs w:val="24"/>
        </w:rPr>
        <w:t>.</w:t>
      </w:r>
      <w:r w:rsidR="00FB54B2">
        <w:rPr>
          <w:sz w:val="24"/>
          <w:szCs w:val="24"/>
        </w:rPr>
        <w:t xml:space="preserve">  </w:t>
      </w:r>
      <w:proofErr w:type="gramStart"/>
      <w:r w:rsidR="00FB54B2">
        <w:rPr>
          <w:sz w:val="24"/>
          <w:szCs w:val="24"/>
        </w:rPr>
        <w:t>But</w:t>
      </w:r>
      <w:proofErr w:type="gramEnd"/>
      <w:r w:rsidR="00536535">
        <w:rPr>
          <w:sz w:val="24"/>
          <w:szCs w:val="24"/>
        </w:rPr>
        <w:t xml:space="preserve"> going further, in the case of Liverpool it is also evident</w:t>
      </w:r>
      <w:r w:rsidR="00FB54B2">
        <w:rPr>
          <w:sz w:val="24"/>
          <w:szCs w:val="24"/>
        </w:rPr>
        <w:t xml:space="preserve"> the ‘metropolitan non-elites’ (to use the same phraseology) vote</w:t>
      </w:r>
      <w:r w:rsidR="00536535">
        <w:rPr>
          <w:sz w:val="24"/>
          <w:szCs w:val="24"/>
        </w:rPr>
        <w:t>d</w:t>
      </w:r>
      <w:r w:rsidR="00FB54B2">
        <w:rPr>
          <w:sz w:val="24"/>
          <w:szCs w:val="24"/>
        </w:rPr>
        <w:t xml:space="preserve"> in a broadly similar manner – and thus this provides a similarly unsatisfying explanation.</w:t>
      </w:r>
    </w:p>
    <w:p w14:paraId="1E2DC14D" w14:textId="149606CB" w:rsidR="00536535" w:rsidRDefault="00536535" w:rsidP="00A33CF0">
      <w:pPr>
        <w:pStyle w:val="ListParagraph"/>
        <w:spacing w:after="0" w:line="276" w:lineRule="auto"/>
        <w:ind w:left="0" w:firstLine="567"/>
        <w:jc w:val="both"/>
        <w:rPr>
          <w:sz w:val="24"/>
          <w:szCs w:val="24"/>
        </w:rPr>
      </w:pPr>
      <w:r>
        <w:rPr>
          <w:sz w:val="24"/>
          <w:szCs w:val="24"/>
        </w:rPr>
        <w:t xml:space="preserve">Ultimately, the ward-level data for Wirral and Liverpool gives a mixed verdict on the LBB narrative.  There are examples where it holds up, particularly in the Wirral, but others where </w:t>
      </w:r>
      <w:r>
        <w:rPr>
          <w:sz w:val="24"/>
          <w:szCs w:val="24"/>
        </w:rPr>
        <w:lastRenderedPageBreak/>
        <w:t xml:space="preserve">it falls down to the point where the reality runs entirely contrary to expectations.  Parts of this area are the very embodiment of a ‘Left </w:t>
      </w:r>
      <w:proofErr w:type="gramStart"/>
      <w:r>
        <w:rPr>
          <w:sz w:val="24"/>
          <w:szCs w:val="24"/>
        </w:rPr>
        <w:t>Behind</w:t>
      </w:r>
      <w:proofErr w:type="gramEnd"/>
      <w:r>
        <w:rPr>
          <w:sz w:val="24"/>
          <w:szCs w:val="24"/>
        </w:rPr>
        <w:t xml:space="preserve"> Britain’ but they </w:t>
      </w:r>
      <w:r w:rsidR="00D24323">
        <w:rPr>
          <w:sz w:val="24"/>
          <w:szCs w:val="24"/>
        </w:rPr>
        <w:t xml:space="preserve">do not act in the way </w:t>
      </w:r>
      <w:r w:rsidR="00D53FD1">
        <w:rPr>
          <w:sz w:val="24"/>
          <w:szCs w:val="24"/>
        </w:rPr>
        <w:t>that dominant representations of the territoriality of the vote would suggest</w:t>
      </w:r>
      <w:r w:rsidR="00D24323">
        <w:rPr>
          <w:sz w:val="24"/>
          <w:szCs w:val="24"/>
        </w:rPr>
        <w:t>.</w:t>
      </w:r>
    </w:p>
    <w:p w14:paraId="426AD4D4" w14:textId="77777777" w:rsidR="004D66EA" w:rsidRPr="00340B9D" w:rsidRDefault="004D66EA" w:rsidP="009060BF">
      <w:pPr>
        <w:pStyle w:val="ListParagraph"/>
        <w:spacing w:after="0" w:line="276" w:lineRule="auto"/>
        <w:ind w:left="927"/>
        <w:jc w:val="both"/>
        <w:rPr>
          <w:i/>
          <w:sz w:val="24"/>
          <w:szCs w:val="24"/>
        </w:rPr>
      </w:pPr>
    </w:p>
    <w:p w14:paraId="73BE81C4" w14:textId="77777777" w:rsidR="009060BF" w:rsidRPr="00340B9D" w:rsidRDefault="009060BF" w:rsidP="009060BF">
      <w:pPr>
        <w:pStyle w:val="ListParagraph"/>
        <w:numPr>
          <w:ilvl w:val="1"/>
          <w:numId w:val="2"/>
        </w:numPr>
        <w:spacing w:after="0" w:line="276" w:lineRule="auto"/>
        <w:jc w:val="both"/>
        <w:rPr>
          <w:i/>
          <w:sz w:val="24"/>
          <w:szCs w:val="24"/>
        </w:rPr>
      </w:pPr>
      <w:r w:rsidRPr="00340B9D">
        <w:rPr>
          <w:i/>
          <w:sz w:val="24"/>
          <w:szCs w:val="24"/>
        </w:rPr>
        <w:t xml:space="preserve">– Age </w:t>
      </w:r>
    </w:p>
    <w:p w14:paraId="5CD77FAE" w14:textId="36250AE7" w:rsidR="008511D1" w:rsidRDefault="00EE55E9" w:rsidP="008511D1">
      <w:pPr>
        <w:spacing w:after="0" w:line="276" w:lineRule="auto"/>
        <w:ind w:firstLine="567"/>
        <w:jc w:val="both"/>
        <w:rPr>
          <w:sz w:val="24"/>
          <w:szCs w:val="24"/>
        </w:rPr>
      </w:pPr>
      <w:r w:rsidRPr="00AE20B1">
        <w:rPr>
          <w:sz w:val="24"/>
          <w:szCs w:val="24"/>
        </w:rPr>
        <w:t xml:space="preserve">To assess how age aligns with voting patterns, </w:t>
      </w:r>
      <w:r w:rsidR="005F4243" w:rsidRPr="00AE20B1">
        <w:rPr>
          <w:sz w:val="24"/>
          <w:szCs w:val="24"/>
        </w:rPr>
        <w:t xml:space="preserve">Figure </w:t>
      </w:r>
      <w:r w:rsidR="00AE20B1" w:rsidRPr="00AE20B1">
        <w:rPr>
          <w:sz w:val="24"/>
          <w:szCs w:val="24"/>
        </w:rPr>
        <w:t>4</w:t>
      </w:r>
      <w:r w:rsidR="005F4243">
        <w:rPr>
          <w:sz w:val="24"/>
          <w:szCs w:val="24"/>
        </w:rPr>
        <w:t xml:space="preserve"> (below) illustrates the percentage of population in each LSOA categorised as 45 or above in the 2011 Census. </w:t>
      </w:r>
      <w:r w:rsidR="008511D1">
        <w:rPr>
          <w:sz w:val="24"/>
          <w:szCs w:val="24"/>
        </w:rPr>
        <w:t xml:space="preserve"> Within this </w:t>
      </w:r>
      <w:proofErr w:type="gramStart"/>
      <w:r w:rsidR="008511D1">
        <w:rPr>
          <w:sz w:val="24"/>
          <w:szCs w:val="24"/>
        </w:rPr>
        <w:t>data</w:t>
      </w:r>
      <w:proofErr w:type="gramEnd"/>
      <w:r w:rsidR="008511D1">
        <w:rPr>
          <w:sz w:val="24"/>
          <w:szCs w:val="24"/>
        </w:rPr>
        <w:t xml:space="preserve"> there are two broad patterns that we can observe with regards to the age distribution in Liverpool and the Wirral.  </w:t>
      </w:r>
    </w:p>
    <w:p w14:paraId="303E3081" w14:textId="77777777" w:rsidR="008511D1" w:rsidRDefault="008511D1" w:rsidP="00B140D4">
      <w:pPr>
        <w:spacing w:after="0" w:line="276" w:lineRule="auto"/>
        <w:ind w:firstLine="567"/>
        <w:jc w:val="both"/>
        <w:rPr>
          <w:sz w:val="24"/>
          <w:szCs w:val="24"/>
        </w:rPr>
      </w:pPr>
    </w:p>
    <w:p w14:paraId="49561C54" w14:textId="4C009F63" w:rsidR="006251C6" w:rsidRDefault="00AE20B1" w:rsidP="006251C6">
      <w:pPr>
        <w:spacing w:after="0" w:line="276" w:lineRule="auto"/>
        <w:ind w:firstLine="567"/>
        <w:jc w:val="both"/>
        <w:rPr>
          <w:sz w:val="24"/>
          <w:szCs w:val="24"/>
        </w:rPr>
      </w:pPr>
      <w:r>
        <w:rPr>
          <w:sz w:val="24"/>
          <w:szCs w:val="24"/>
        </w:rPr>
        <w:t xml:space="preserve">&lt;FIGURE </w:t>
      </w:r>
      <w:proofErr w:type="gramStart"/>
      <w:r>
        <w:rPr>
          <w:sz w:val="24"/>
          <w:szCs w:val="24"/>
        </w:rPr>
        <w:t>FOUR</w:t>
      </w:r>
      <w:proofErr w:type="gramEnd"/>
      <w:r>
        <w:rPr>
          <w:sz w:val="24"/>
          <w:szCs w:val="24"/>
        </w:rPr>
        <w:t>&gt;</w:t>
      </w:r>
    </w:p>
    <w:p w14:paraId="3B44731B" w14:textId="77777777" w:rsidR="00AE20B1" w:rsidRDefault="00AE20B1" w:rsidP="006251C6">
      <w:pPr>
        <w:spacing w:after="0" w:line="276" w:lineRule="auto"/>
        <w:ind w:firstLine="567"/>
        <w:jc w:val="both"/>
        <w:rPr>
          <w:sz w:val="24"/>
          <w:szCs w:val="24"/>
        </w:rPr>
      </w:pPr>
    </w:p>
    <w:p w14:paraId="078997A3" w14:textId="3E25629A" w:rsidR="006251C6" w:rsidRPr="00AE20B1" w:rsidRDefault="006251C6" w:rsidP="006251C6">
      <w:pPr>
        <w:spacing w:after="0" w:line="276" w:lineRule="auto"/>
        <w:ind w:firstLine="567"/>
        <w:jc w:val="both"/>
        <w:rPr>
          <w:i/>
          <w:sz w:val="24"/>
          <w:szCs w:val="24"/>
        </w:rPr>
      </w:pPr>
      <w:r w:rsidRPr="00AE20B1">
        <w:rPr>
          <w:i/>
          <w:sz w:val="24"/>
          <w:szCs w:val="24"/>
        </w:rPr>
        <w:t xml:space="preserve">Figure </w:t>
      </w:r>
      <w:r w:rsidR="00AE20B1" w:rsidRPr="00AE20B1">
        <w:rPr>
          <w:i/>
          <w:sz w:val="24"/>
          <w:szCs w:val="24"/>
        </w:rPr>
        <w:t>4</w:t>
      </w:r>
      <w:r w:rsidRPr="00AE20B1">
        <w:rPr>
          <w:i/>
          <w:sz w:val="24"/>
          <w:szCs w:val="24"/>
        </w:rPr>
        <w:t xml:space="preserve"> – Percentage of population </w:t>
      </w:r>
      <w:r w:rsidR="00AE20B1" w:rsidRPr="00AE20B1">
        <w:rPr>
          <w:i/>
          <w:sz w:val="24"/>
          <w:szCs w:val="24"/>
        </w:rPr>
        <w:t xml:space="preserve">aged </w:t>
      </w:r>
      <w:r w:rsidRPr="00AE20B1">
        <w:rPr>
          <w:i/>
          <w:sz w:val="24"/>
          <w:szCs w:val="24"/>
        </w:rPr>
        <w:t>&gt;45 at the 2011 Census</w:t>
      </w:r>
    </w:p>
    <w:p w14:paraId="52E8D592" w14:textId="77777777" w:rsidR="006251C6" w:rsidRDefault="006251C6" w:rsidP="00B140D4">
      <w:pPr>
        <w:spacing w:after="0" w:line="276" w:lineRule="auto"/>
        <w:ind w:firstLine="567"/>
        <w:jc w:val="both"/>
        <w:rPr>
          <w:sz w:val="24"/>
          <w:szCs w:val="24"/>
        </w:rPr>
      </w:pPr>
    </w:p>
    <w:p w14:paraId="76A3477A" w14:textId="30DE3F13" w:rsidR="008511D1" w:rsidRDefault="008511D1" w:rsidP="008511D1">
      <w:pPr>
        <w:spacing w:after="0" w:line="276" w:lineRule="auto"/>
        <w:ind w:firstLine="567"/>
        <w:jc w:val="both"/>
        <w:rPr>
          <w:sz w:val="24"/>
          <w:szCs w:val="24"/>
        </w:rPr>
      </w:pPr>
      <w:r>
        <w:rPr>
          <w:sz w:val="24"/>
          <w:szCs w:val="24"/>
        </w:rPr>
        <w:t xml:space="preserve">The first is that there is a significant cluster of younger people (I.e. LSOAs where more than 80% of the population is aged under 45) which protrudes </w:t>
      </w:r>
      <w:proofErr w:type="gramStart"/>
      <w:r>
        <w:rPr>
          <w:sz w:val="24"/>
          <w:szCs w:val="24"/>
        </w:rPr>
        <w:t>south-eastwards</w:t>
      </w:r>
      <w:proofErr w:type="gramEnd"/>
      <w:r>
        <w:rPr>
          <w:sz w:val="24"/>
          <w:szCs w:val="24"/>
        </w:rPr>
        <w:t xml:space="preserve"> from Liverpool city centre.  This can be attributed to two elements young professionals living in the city centre, and Liverpool’s 50,000 strong student community who can also be found in the city centre and the </w:t>
      </w:r>
      <w:proofErr w:type="spellStart"/>
      <w:r>
        <w:rPr>
          <w:sz w:val="24"/>
          <w:szCs w:val="24"/>
        </w:rPr>
        <w:t>Smithdown</w:t>
      </w:r>
      <w:proofErr w:type="spellEnd"/>
      <w:r>
        <w:rPr>
          <w:sz w:val="24"/>
          <w:szCs w:val="24"/>
        </w:rPr>
        <w:t xml:space="preserve"> Road </w:t>
      </w:r>
      <w:r w:rsidR="003D23AF">
        <w:rPr>
          <w:sz w:val="24"/>
          <w:szCs w:val="24"/>
        </w:rPr>
        <w:t>corridor</w:t>
      </w:r>
      <w:r>
        <w:rPr>
          <w:sz w:val="24"/>
          <w:szCs w:val="24"/>
        </w:rPr>
        <w:t xml:space="preserve"> to the South East  </w:t>
      </w:r>
      <w:r>
        <w:rPr>
          <w:sz w:val="24"/>
          <w:szCs w:val="24"/>
        </w:rPr>
        <w:fldChar w:fldCharType="begin"/>
      </w:r>
      <w:r w:rsidR="00F35BB4">
        <w:rPr>
          <w:sz w:val="24"/>
          <w:szCs w:val="24"/>
        </w:rPr>
        <w:instrText xml:space="preserve"> ADDIN EN.CITE &lt;EndNote&gt;&lt;Cite&gt;&lt;Author&gt;Mulhearn&lt;/Author&gt;&lt;Year&gt;2018&lt;/Year&gt;&lt;RecNum&gt;1525&lt;/RecNum&gt;&lt;DisplayText&gt;(Mulhearn and Franco, 2018)&lt;/DisplayText&gt;&lt;record&gt;&lt;rec-number&gt;1525&lt;/rec-number&gt;&lt;foreign-keys&gt;&lt;key app="EN" db-id="sf2v0zffie0st6edessvst0jrx50tz9rrwst" timestamp="1549461676"&gt;1525&lt;/key&gt;&lt;/foreign-keys&gt;&lt;ref-type name="Journal Article"&gt;17&lt;/ref-type&gt;&lt;contributors&gt;&lt;authors&gt;&lt;author&gt;Mulhearn, Chris&lt;/author&gt;&lt;author&gt;Franco, Michael&lt;/author&gt;&lt;/authors&gt;&lt;/contributors&gt;&lt;titles&gt;&lt;title&gt;If you build it will they come? The boom in purpose-built student accommodation in central Liverpool: Destudentification, studentification and the future of the city&lt;/title&gt;&lt;secondary-title&gt;Local Economy&lt;/secondary-title&gt;&lt;/titles&gt;&lt;periodical&gt;&lt;full-title&gt;Local Economy&lt;/full-title&gt;&lt;/periodical&gt;&lt;pages&gt;477-495&lt;/pages&gt;&lt;volume&gt;33&lt;/volume&gt;&lt;number&gt;5&lt;/number&gt;&lt;keywords&gt;&lt;keyword&gt;destudentification,development,Liverpool,studentification,sustainability&lt;/keyword&gt;&lt;/keywords&gt;&lt;dates&gt;&lt;year&gt;2018&lt;/year&gt;&lt;/dates&gt;&lt;urls&gt;&lt;related-urls&gt;&lt;url&gt;https://journals.sagepub.com/doi/abs/10.1177/0269094218792740&lt;/url&gt;&lt;/related-urls&gt;&lt;/urls&gt;&lt;electronic-resource-num&gt;10.1177/0269094218792740&lt;/electronic-resource-num&gt;&lt;/record&gt;&lt;/Cite&gt;&lt;/EndNote&gt;</w:instrText>
      </w:r>
      <w:r>
        <w:rPr>
          <w:sz w:val="24"/>
          <w:szCs w:val="24"/>
        </w:rPr>
        <w:fldChar w:fldCharType="separate"/>
      </w:r>
      <w:r w:rsidR="00F35BB4">
        <w:rPr>
          <w:noProof/>
          <w:sz w:val="24"/>
          <w:szCs w:val="24"/>
        </w:rPr>
        <w:t>(Mulhearn and Franco, 2018)</w:t>
      </w:r>
      <w:r>
        <w:rPr>
          <w:sz w:val="24"/>
          <w:szCs w:val="24"/>
        </w:rPr>
        <w:fldChar w:fldCharType="end"/>
      </w:r>
      <w:r>
        <w:rPr>
          <w:sz w:val="24"/>
          <w:szCs w:val="24"/>
        </w:rPr>
        <w:t xml:space="preserve">. Reflecting the transient but churning nature of the student community, whilst those students present in 2011 are highly likely to have moved on after completing their studies, we would suggest that such clustering remains accurate.  The second is that </w:t>
      </w:r>
      <w:proofErr w:type="gramStart"/>
      <w:r>
        <w:rPr>
          <w:sz w:val="24"/>
          <w:szCs w:val="24"/>
        </w:rPr>
        <w:t>the Western part of the Wirral</w:t>
      </w:r>
      <w:r w:rsidR="00796D8F">
        <w:rPr>
          <w:sz w:val="24"/>
          <w:szCs w:val="24"/>
        </w:rPr>
        <w:t>, along with a pocket in the north east coast of the peninsula,</w:t>
      </w:r>
      <w:r>
        <w:rPr>
          <w:sz w:val="24"/>
          <w:szCs w:val="24"/>
        </w:rPr>
        <w:t xml:space="preserve"> is dominated by those who are over 50</w:t>
      </w:r>
      <w:proofErr w:type="gramEnd"/>
      <w:r w:rsidR="00796D8F">
        <w:rPr>
          <w:sz w:val="24"/>
          <w:szCs w:val="24"/>
        </w:rPr>
        <w:t>.</w:t>
      </w:r>
      <w:r>
        <w:rPr>
          <w:sz w:val="24"/>
          <w:szCs w:val="24"/>
        </w:rPr>
        <w:t xml:space="preserve"> </w:t>
      </w:r>
    </w:p>
    <w:p w14:paraId="2FBAE5E5" w14:textId="36624B54" w:rsidR="00796D8F" w:rsidRDefault="00EB3786" w:rsidP="00796D8F">
      <w:pPr>
        <w:spacing w:after="0" w:line="276" w:lineRule="auto"/>
        <w:ind w:firstLine="567"/>
        <w:jc w:val="both"/>
        <w:rPr>
          <w:sz w:val="24"/>
          <w:szCs w:val="24"/>
        </w:rPr>
      </w:pPr>
      <w:r>
        <w:rPr>
          <w:sz w:val="24"/>
          <w:szCs w:val="24"/>
        </w:rPr>
        <w:t xml:space="preserve">As with Left Behind Britain, </w:t>
      </w:r>
      <w:r w:rsidR="00796D8F">
        <w:rPr>
          <w:sz w:val="24"/>
          <w:szCs w:val="24"/>
        </w:rPr>
        <w:t xml:space="preserve">a straight analysis of Old V Young </w:t>
      </w:r>
      <w:r>
        <w:rPr>
          <w:sz w:val="24"/>
          <w:szCs w:val="24"/>
        </w:rPr>
        <w:t xml:space="preserve">provides a similarly unsatisfactory fit in describing the voting patterns of Liverpool and the Wirral – </w:t>
      </w:r>
      <w:r w:rsidR="00796D8F">
        <w:rPr>
          <w:sz w:val="24"/>
          <w:szCs w:val="24"/>
        </w:rPr>
        <w:t xml:space="preserve"> in some cases</w:t>
      </w:r>
      <w:r>
        <w:rPr>
          <w:sz w:val="24"/>
          <w:szCs w:val="24"/>
        </w:rPr>
        <w:t xml:space="preserve"> even less so.  </w:t>
      </w:r>
      <w:r w:rsidR="00796D8F">
        <w:rPr>
          <w:sz w:val="24"/>
          <w:szCs w:val="24"/>
        </w:rPr>
        <w:t xml:space="preserve">As above, there are instances where this interpretation is </w:t>
      </w:r>
      <w:r>
        <w:rPr>
          <w:sz w:val="24"/>
          <w:szCs w:val="24"/>
        </w:rPr>
        <w:t>a good fit</w:t>
      </w:r>
      <w:r w:rsidR="00796D8F">
        <w:rPr>
          <w:sz w:val="24"/>
          <w:szCs w:val="24"/>
        </w:rPr>
        <w:t>, not least</w:t>
      </w:r>
      <w:r>
        <w:rPr>
          <w:sz w:val="24"/>
          <w:szCs w:val="24"/>
        </w:rPr>
        <w:t xml:space="preserve"> when describing the younger population in Liverpool</w:t>
      </w:r>
      <w:r w:rsidR="00796D8F">
        <w:rPr>
          <w:sz w:val="24"/>
          <w:szCs w:val="24"/>
        </w:rPr>
        <w:t xml:space="preserve"> – where those in the city centre and student areas did vote to Remain.  However, those student areas only partially overlap with the most heavily remain-voting areas to the South of the city centre.</w:t>
      </w:r>
      <w:r>
        <w:rPr>
          <w:sz w:val="24"/>
          <w:szCs w:val="24"/>
        </w:rPr>
        <w:t xml:space="preserve"> </w:t>
      </w:r>
    </w:p>
    <w:p w14:paraId="1801F005" w14:textId="5EB2E682" w:rsidR="008144AC" w:rsidRDefault="008144AC" w:rsidP="00B140D4">
      <w:pPr>
        <w:spacing w:after="0" w:line="276" w:lineRule="auto"/>
        <w:ind w:firstLine="567"/>
        <w:jc w:val="both"/>
        <w:rPr>
          <w:sz w:val="24"/>
          <w:szCs w:val="24"/>
        </w:rPr>
      </w:pPr>
      <w:r>
        <w:rPr>
          <w:sz w:val="24"/>
          <w:szCs w:val="24"/>
        </w:rPr>
        <w:t>When considering older voters</w:t>
      </w:r>
      <w:r w:rsidR="00796D8F">
        <w:rPr>
          <w:sz w:val="24"/>
          <w:szCs w:val="24"/>
        </w:rPr>
        <w:t>, h</w:t>
      </w:r>
      <w:r w:rsidR="00EB3786">
        <w:rPr>
          <w:sz w:val="24"/>
          <w:szCs w:val="24"/>
        </w:rPr>
        <w:t xml:space="preserve">owever </w:t>
      </w:r>
      <w:r w:rsidR="00796D8F">
        <w:rPr>
          <w:sz w:val="24"/>
          <w:szCs w:val="24"/>
        </w:rPr>
        <w:t xml:space="preserve">there is </w:t>
      </w:r>
      <w:r>
        <w:rPr>
          <w:sz w:val="24"/>
          <w:szCs w:val="24"/>
        </w:rPr>
        <w:t xml:space="preserve">far </w:t>
      </w:r>
      <w:r w:rsidR="00796D8F">
        <w:rPr>
          <w:sz w:val="24"/>
          <w:szCs w:val="24"/>
        </w:rPr>
        <w:t>less of a clear fit</w:t>
      </w:r>
      <w:r>
        <w:rPr>
          <w:sz w:val="24"/>
          <w:szCs w:val="24"/>
        </w:rPr>
        <w:t xml:space="preserve"> with this narrative</w:t>
      </w:r>
      <w:r w:rsidR="00796D8F">
        <w:rPr>
          <w:sz w:val="24"/>
          <w:szCs w:val="24"/>
        </w:rPr>
        <w:t>.  For example, i</w:t>
      </w:r>
      <w:r w:rsidR="00EB3786">
        <w:rPr>
          <w:sz w:val="24"/>
          <w:szCs w:val="24"/>
        </w:rPr>
        <w:t xml:space="preserve">n Liverpool, the areas </w:t>
      </w:r>
      <w:r w:rsidR="003D23AF">
        <w:rPr>
          <w:sz w:val="24"/>
          <w:szCs w:val="24"/>
        </w:rPr>
        <w:t>with</w:t>
      </w:r>
      <w:r w:rsidR="00EB3786">
        <w:rPr>
          <w:sz w:val="24"/>
          <w:szCs w:val="24"/>
        </w:rPr>
        <w:t xml:space="preserve"> older</w:t>
      </w:r>
      <w:r w:rsidR="003D23AF">
        <w:rPr>
          <w:sz w:val="24"/>
          <w:szCs w:val="24"/>
        </w:rPr>
        <w:t xml:space="preserve"> populations</w:t>
      </w:r>
      <w:r w:rsidR="00EB3786">
        <w:rPr>
          <w:sz w:val="24"/>
          <w:szCs w:val="24"/>
        </w:rPr>
        <w:t xml:space="preserve"> (</w:t>
      </w:r>
      <w:proofErr w:type="spellStart"/>
      <w:r w:rsidR="00EB3786">
        <w:rPr>
          <w:sz w:val="24"/>
          <w:szCs w:val="24"/>
        </w:rPr>
        <w:t>Woolton</w:t>
      </w:r>
      <w:proofErr w:type="spellEnd"/>
      <w:r w:rsidR="00EB3786">
        <w:rPr>
          <w:sz w:val="24"/>
          <w:szCs w:val="24"/>
        </w:rPr>
        <w:t xml:space="preserve"> and </w:t>
      </w:r>
      <w:proofErr w:type="spellStart"/>
      <w:r w:rsidR="00EB3786">
        <w:rPr>
          <w:sz w:val="24"/>
          <w:szCs w:val="24"/>
        </w:rPr>
        <w:t>Calderstones</w:t>
      </w:r>
      <w:proofErr w:type="spellEnd"/>
      <w:r w:rsidR="00EB3786">
        <w:rPr>
          <w:sz w:val="24"/>
          <w:szCs w:val="24"/>
        </w:rPr>
        <w:t>) voted Remain</w:t>
      </w:r>
      <w:r>
        <w:rPr>
          <w:sz w:val="24"/>
          <w:szCs w:val="24"/>
        </w:rPr>
        <w:t>, whilst in the North of the city there is no clear pattern</w:t>
      </w:r>
      <w:r w:rsidR="00EB3786">
        <w:rPr>
          <w:sz w:val="24"/>
          <w:szCs w:val="24"/>
        </w:rPr>
        <w:t xml:space="preserve">. </w:t>
      </w:r>
      <w:r w:rsidR="00F97572">
        <w:rPr>
          <w:sz w:val="24"/>
          <w:szCs w:val="24"/>
        </w:rPr>
        <w:t>Similarly,</w:t>
      </w:r>
      <w:r>
        <w:rPr>
          <w:sz w:val="24"/>
          <w:szCs w:val="24"/>
        </w:rPr>
        <w:t xml:space="preserve"> in the Wirral it is those areas of older population (i.e. west and North West Wirral) which voted heavily to Remain vote and those areas of younger overall </w:t>
      </w:r>
      <w:r w:rsidR="00F35018">
        <w:rPr>
          <w:sz w:val="24"/>
          <w:szCs w:val="24"/>
        </w:rPr>
        <w:t>population that</w:t>
      </w:r>
      <w:r>
        <w:rPr>
          <w:sz w:val="24"/>
          <w:szCs w:val="24"/>
        </w:rPr>
        <w:t xml:space="preserve"> correspond to the Leave vote.  </w:t>
      </w:r>
    </w:p>
    <w:p w14:paraId="753FF989" w14:textId="3AD9D5F8" w:rsidR="00796D8F" w:rsidRDefault="008144AC" w:rsidP="00F97572">
      <w:pPr>
        <w:spacing w:after="0" w:line="276" w:lineRule="auto"/>
        <w:ind w:firstLine="567"/>
        <w:jc w:val="both"/>
        <w:rPr>
          <w:sz w:val="24"/>
          <w:szCs w:val="24"/>
        </w:rPr>
      </w:pPr>
      <w:r>
        <w:rPr>
          <w:sz w:val="24"/>
          <w:szCs w:val="24"/>
        </w:rPr>
        <w:t xml:space="preserve">Taking this further, when this data is taken in line with the previous discussion on deprivation and LBB, our findings recall those of </w:t>
      </w:r>
      <w:r w:rsidR="00796D8F">
        <w:rPr>
          <w:sz w:val="24"/>
          <w:szCs w:val="24"/>
        </w:rPr>
        <w:fldChar w:fldCharType="begin"/>
      </w:r>
      <w:r w:rsidR="00F35BB4">
        <w:rPr>
          <w:sz w:val="24"/>
          <w:szCs w:val="24"/>
        </w:rPr>
        <w:instrText xml:space="preserve"> ADDIN EN.CITE &lt;EndNote&gt;&lt;Cite AuthorYear="1"&gt;&lt;Author&gt;Manley&lt;/Author&gt;&lt;Year&gt;2017&lt;/Year&gt;&lt;RecNum&gt;1547&lt;/RecNum&gt;&lt;DisplayText&gt;Manley et al. (2017)&lt;/DisplayText&gt;&lt;record&gt;&lt;rec-number&gt;1547&lt;/rec-number&gt;&lt;foreign-keys&gt;&lt;key app="EN" db-id="sf2v0zffie0st6edessvst0jrx50tz9rrwst" timestamp="1557331732"&gt;1547&lt;/key&gt;&lt;/foreign-keys&gt;&lt;ref-type name="Journal Article"&gt;17&lt;/ref-type&gt;&lt;contributors&gt;&lt;authors&gt;&lt;author&gt;Manley, David&lt;/author&gt;&lt;author&gt;Jones, Kelvyn&lt;/author&gt;&lt;author&gt;Johnston, Ron&lt;/author&gt;&lt;/authors&gt;&lt;/contributors&gt;&lt;titles&gt;&lt;title&gt;The geography of Brexit–What geography? Modelling and predicting the outcome across 380 local authorities&lt;/title&gt;&lt;secondary-title&gt;Local Economy&lt;/secondary-title&gt;&lt;/titles&gt;&lt;periodical&gt;&lt;full-title&gt;Local Economy&lt;/full-title&gt;&lt;/periodical&gt;&lt;pages&gt;183-203&lt;/pages&gt;&lt;volume&gt;32&lt;/volume&gt;&lt;number&gt;3&lt;/number&gt;&lt;dates&gt;&lt;year&gt;2017&lt;/year&gt;&lt;/dates&gt;&lt;isbn&gt;0269-0942&lt;/isbn&gt;&lt;urls&gt;&lt;/urls&gt;&lt;/record&gt;&lt;/Cite&gt;&lt;/EndNote&gt;</w:instrText>
      </w:r>
      <w:r w:rsidR="00796D8F">
        <w:rPr>
          <w:sz w:val="24"/>
          <w:szCs w:val="24"/>
        </w:rPr>
        <w:fldChar w:fldCharType="separate"/>
      </w:r>
      <w:r w:rsidR="00F35BB4">
        <w:rPr>
          <w:noProof/>
          <w:sz w:val="24"/>
          <w:szCs w:val="24"/>
        </w:rPr>
        <w:t>Manley et al. (2017)</w:t>
      </w:r>
      <w:r w:rsidR="00796D8F">
        <w:rPr>
          <w:sz w:val="24"/>
          <w:szCs w:val="24"/>
        </w:rPr>
        <w:fldChar w:fldCharType="end"/>
      </w:r>
      <w:r>
        <w:rPr>
          <w:sz w:val="24"/>
          <w:szCs w:val="24"/>
        </w:rPr>
        <w:t xml:space="preserve"> in that, at the very least, older voters from less-deprived areas appear to show a greater proclivity to vote remain.  This suggests that the idea of older versus younger voters can be a crude dichotomy to adopt at a more refined spatial scale, although there remain further questions as to what separates the </w:t>
      </w:r>
      <w:r>
        <w:rPr>
          <w:sz w:val="24"/>
          <w:szCs w:val="24"/>
        </w:rPr>
        <w:lastRenderedPageBreak/>
        <w:t>older, wealthier voters of Liverpool and the Wirral with the</w:t>
      </w:r>
      <w:r w:rsidR="009238A5">
        <w:rPr>
          <w:sz w:val="24"/>
          <w:szCs w:val="24"/>
        </w:rPr>
        <w:t xml:space="preserve">ir Eurosceptic equivalents in </w:t>
      </w:r>
      <w:r>
        <w:rPr>
          <w:sz w:val="24"/>
          <w:szCs w:val="24"/>
        </w:rPr>
        <w:t xml:space="preserve"> Southern England identified by </w:t>
      </w:r>
      <w:r>
        <w:rPr>
          <w:sz w:val="24"/>
          <w:szCs w:val="24"/>
        </w:rPr>
        <w:fldChar w:fldCharType="begin"/>
      </w:r>
      <w:r>
        <w:rPr>
          <w:sz w:val="24"/>
          <w:szCs w:val="24"/>
        </w:rPr>
        <w:instrText xml:space="preserve"> ADDIN EN.CITE &lt;EndNote&gt;&lt;Cite AuthorYear="1"&gt;&lt;Author&gt;Dorling&lt;/Author&gt;&lt;Year&gt;2016&lt;/Year&gt;&lt;RecNum&gt;799&lt;/RecNum&gt;&lt;DisplayText&gt;Dorling (2016)&lt;/DisplayText&gt;&lt;record&gt;&lt;rec-number&gt;799&lt;/rec-number&gt;&lt;foreign-keys&gt;&lt;key app="EN" db-id="sf2v0zffie0st6edessvst0jrx50tz9rrwst" timestamp="1484841310"&gt;799&lt;/key&gt;&lt;/foreign-keys&gt;&lt;ref-type name="Journal Article"&gt;17&lt;/ref-type&gt;&lt;contributors&gt;&lt;authors&gt;&lt;author&gt;Dorling, D&lt;/author&gt;&lt;/authors&gt;&lt;/contributors&gt;&lt;titles&gt;&lt;title&gt;Brexit: The Decision of a Divided County&lt;/title&gt;&lt;secondary-title&gt;BMJ&lt;/secondary-title&gt;&lt;/titles&gt;&lt;periodical&gt;&lt;full-title&gt;BMJ&lt;/full-title&gt;&lt;/periodical&gt;&lt;volume&gt;354&lt;/volume&gt;&lt;dates&gt;&lt;year&gt;2016&lt;/year&gt;&lt;/dates&gt;&lt;urls&gt;&lt;/urls&gt;&lt;/record&gt;&lt;/Cite&gt;&lt;/EndNote&gt;</w:instrText>
      </w:r>
      <w:r>
        <w:rPr>
          <w:sz w:val="24"/>
          <w:szCs w:val="24"/>
        </w:rPr>
        <w:fldChar w:fldCharType="separate"/>
      </w:r>
      <w:r>
        <w:rPr>
          <w:noProof/>
          <w:sz w:val="24"/>
          <w:szCs w:val="24"/>
        </w:rPr>
        <w:t>Dorling (2016)</w:t>
      </w:r>
      <w:r>
        <w:rPr>
          <w:sz w:val="24"/>
          <w:szCs w:val="24"/>
        </w:rPr>
        <w:fldChar w:fldCharType="end"/>
      </w:r>
      <w:r>
        <w:rPr>
          <w:sz w:val="24"/>
          <w:szCs w:val="24"/>
        </w:rPr>
        <w:t xml:space="preserve"> and </w:t>
      </w:r>
      <w:r>
        <w:rPr>
          <w:sz w:val="24"/>
          <w:szCs w:val="24"/>
        </w:rPr>
        <w:fldChar w:fldCharType="begin"/>
      </w:r>
      <w:r w:rsidR="00F35BB4">
        <w:rPr>
          <w:sz w:val="24"/>
          <w:szCs w:val="24"/>
        </w:rPr>
        <w:instrText xml:space="preserve"> ADDIN EN.CITE &lt;EndNote&gt;&lt;Cite&gt;&lt;Author&gt;Dorling&lt;/Author&gt;&lt;Year&gt;2019&lt;/Year&gt;&lt;RecNum&gt;1594&lt;/RecNum&gt;&lt;DisplayText&gt;(Dorling and Tomlinson, 2019)&lt;/DisplayText&gt;&lt;record&gt;&lt;rec-number&gt;1594&lt;/rec-number&gt;&lt;foreign-keys&gt;&lt;key app="EN" db-id="sf2v0zffie0st6edessvst0jrx50tz9rrwst" timestamp="1564740531"&gt;1594&lt;/key&gt;&lt;/foreign-keys&gt;&lt;ref-type name="Book"&gt;6&lt;/ref-type&gt;&lt;contributors&gt;&lt;authors&gt;&lt;author&gt;Dorling, Danny&lt;/author&gt;&lt;author&gt;Tomlinson, Sally&lt;/author&gt;&lt;/authors&gt;&lt;/contributors&gt;&lt;titles&gt;&lt;title&gt;Rule Britannia: BREXIT and the End of empire&lt;/title&gt;&lt;/titles&gt;&lt;dates&gt;&lt;year&gt;2019&lt;/year&gt;&lt;/dates&gt;&lt;publisher&gt;Biteback Publishing&lt;/publisher&gt;&lt;isbn&gt;1785904566&lt;/isbn&gt;&lt;urls&gt;&lt;/urls&gt;&lt;/record&gt;&lt;/Cite&gt;&lt;/EndNote&gt;</w:instrText>
      </w:r>
      <w:r>
        <w:rPr>
          <w:sz w:val="24"/>
          <w:szCs w:val="24"/>
        </w:rPr>
        <w:fldChar w:fldCharType="separate"/>
      </w:r>
      <w:r w:rsidR="00F35BB4">
        <w:rPr>
          <w:noProof/>
          <w:sz w:val="24"/>
          <w:szCs w:val="24"/>
        </w:rPr>
        <w:t>(Dorling and Tomlinson, 2019)</w:t>
      </w:r>
      <w:r>
        <w:rPr>
          <w:sz w:val="24"/>
          <w:szCs w:val="24"/>
        </w:rPr>
        <w:fldChar w:fldCharType="end"/>
      </w:r>
      <w:r>
        <w:rPr>
          <w:sz w:val="24"/>
          <w:szCs w:val="24"/>
        </w:rPr>
        <w:t>.</w:t>
      </w:r>
    </w:p>
    <w:p w14:paraId="22EF86D5" w14:textId="77777777" w:rsidR="00340B9D" w:rsidRDefault="00340B9D" w:rsidP="004560C2">
      <w:pPr>
        <w:spacing w:after="0" w:line="276" w:lineRule="auto"/>
        <w:jc w:val="both"/>
        <w:rPr>
          <w:sz w:val="24"/>
          <w:szCs w:val="24"/>
        </w:rPr>
      </w:pPr>
    </w:p>
    <w:p w14:paraId="5A145A91" w14:textId="2E623045" w:rsidR="00340B9D" w:rsidRPr="00340B9D" w:rsidRDefault="00340B9D" w:rsidP="009060BF">
      <w:pPr>
        <w:pStyle w:val="ListParagraph"/>
        <w:numPr>
          <w:ilvl w:val="1"/>
          <w:numId w:val="2"/>
        </w:numPr>
        <w:spacing w:after="0" w:line="276" w:lineRule="auto"/>
        <w:jc w:val="both"/>
        <w:rPr>
          <w:i/>
          <w:sz w:val="24"/>
          <w:szCs w:val="24"/>
        </w:rPr>
      </w:pPr>
      <w:r w:rsidRPr="00340B9D">
        <w:rPr>
          <w:i/>
          <w:sz w:val="24"/>
          <w:szCs w:val="24"/>
        </w:rPr>
        <w:t>– Ethnicity</w:t>
      </w:r>
    </w:p>
    <w:p w14:paraId="4348FF73" w14:textId="77777777" w:rsidR="00340B9D" w:rsidRDefault="00340B9D" w:rsidP="00340B9D">
      <w:pPr>
        <w:pStyle w:val="ListParagraph"/>
        <w:spacing w:after="0" w:line="276" w:lineRule="auto"/>
        <w:ind w:left="927"/>
        <w:jc w:val="both"/>
        <w:rPr>
          <w:sz w:val="24"/>
          <w:szCs w:val="24"/>
        </w:rPr>
      </w:pPr>
    </w:p>
    <w:p w14:paraId="14015101" w14:textId="0A567C3E" w:rsidR="009060BF" w:rsidRDefault="004D2CC0" w:rsidP="009060BF">
      <w:pPr>
        <w:pStyle w:val="ListParagraph"/>
        <w:spacing w:after="0" w:line="276" w:lineRule="auto"/>
        <w:ind w:left="0" w:firstLine="567"/>
        <w:jc w:val="both"/>
        <w:rPr>
          <w:sz w:val="24"/>
          <w:szCs w:val="24"/>
        </w:rPr>
      </w:pPr>
      <w:r w:rsidRPr="00AE20B1">
        <w:rPr>
          <w:sz w:val="24"/>
          <w:szCs w:val="24"/>
        </w:rPr>
        <w:t xml:space="preserve">Figure </w:t>
      </w:r>
      <w:proofErr w:type="gramStart"/>
      <w:r w:rsidR="00AE20B1" w:rsidRPr="00AE20B1">
        <w:rPr>
          <w:sz w:val="24"/>
          <w:szCs w:val="24"/>
        </w:rPr>
        <w:t>5</w:t>
      </w:r>
      <w:proofErr w:type="gramEnd"/>
      <w:r w:rsidRPr="00AE20B1">
        <w:rPr>
          <w:sz w:val="24"/>
          <w:szCs w:val="24"/>
        </w:rPr>
        <w:t xml:space="preserve"> (below) shows</w:t>
      </w:r>
      <w:r>
        <w:rPr>
          <w:sz w:val="24"/>
          <w:szCs w:val="24"/>
        </w:rPr>
        <w:t xml:space="preserve"> ethnicity according to the 2011 census, charting the percentage of population identifying as ‘White’.  As we can see, although Liverpool and the Wirral are majority white areas, there are some exceptions to this.  In particular, and r</w:t>
      </w:r>
      <w:r w:rsidR="009060BF">
        <w:rPr>
          <w:sz w:val="24"/>
          <w:szCs w:val="24"/>
        </w:rPr>
        <w:t xml:space="preserve">eflecting its history as a major port in the British Empire </w:t>
      </w:r>
      <w:r w:rsidR="009060BF">
        <w:rPr>
          <w:sz w:val="24"/>
          <w:szCs w:val="24"/>
        </w:rPr>
        <w:fldChar w:fldCharType="begin"/>
      </w:r>
      <w:r w:rsidR="00F35BB4">
        <w:rPr>
          <w:sz w:val="24"/>
          <w:szCs w:val="24"/>
        </w:rPr>
        <w:instrText xml:space="preserve"> ADDIN EN.CITE &lt;EndNote&gt;&lt;Cite&gt;&lt;Author&gt;Sykes&lt;/Author&gt;&lt;Year&gt;2013&lt;/Year&gt;&lt;RecNum&gt;228&lt;/RecNum&gt;&lt;DisplayText&gt;(Sykes et al., 2013, Wilks-Heeg, 2003)&lt;/DisplayText&gt;&lt;record&gt;&lt;rec-number&gt;228&lt;/rec-number&gt;&lt;foreign-keys&gt;&lt;key app="EN" db-id="sf2v0zffie0st6edessvst0jrx50tz9rrwst" timestamp="1375861522"&gt;228&lt;/key&gt;&lt;/foreign-keys&gt;&lt;ref-type name="Journal Article"&gt;17&lt;/ref-type&gt;&lt;contributors&gt;&lt;authors&gt;&lt;author&gt;Sykes, O.&lt;/author&gt;&lt;author&gt;Brown, J.&lt;/author&gt;&lt;author&gt;Cocks, Matthew&lt;/author&gt;&lt;author&gt;Shaw, David&lt;/author&gt;&lt;author&gt;Couch, C.&lt;/author&gt;&lt;/authors&gt;&lt;/contributors&gt;&lt;titles&gt;&lt;title&gt;A City Profile of Liverpool&lt;/title&gt;&lt;secondary-title&gt;Cities&lt;/secondary-title&gt;&lt;/titles&gt;&lt;periodical&gt;&lt;full-title&gt;Cities&lt;/full-title&gt;&lt;/periodical&gt;&lt;volume&gt;(Published Online)&lt;/volume&gt;&lt;dates&gt;&lt;year&gt;2013&lt;/year&gt;&lt;/dates&gt;&lt;urls&gt;&lt;/urls&gt;&lt;/record&gt;&lt;/Cite&gt;&lt;Cite&gt;&lt;Author&gt;Wilks-Heeg&lt;/Author&gt;&lt;Year&gt;2003&lt;/Year&gt;&lt;RecNum&gt;773&lt;/RecNum&gt;&lt;record&gt;&lt;rec-number&gt;773&lt;/rec-number&gt;&lt;foreign-keys&gt;&lt;key app="EN" db-id="sf2v0zffie0st6edessvst0jrx50tz9rrwst" timestamp="1483551355"&gt;773&lt;/key&gt;&lt;/foreign-keys&gt;&lt;ref-type name="Book Section"&gt;5&lt;/ref-type&gt;&lt;contributors&gt;&lt;authors&gt;&lt;author&gt;Wilks-Heeg, S.&lt;/author&gt;&lt;/authors&gt;&lt;secondary-authors&gt;&lt;author&gt;Munck, R.&lt;/author&gt;&lt;/secondary-authors&gt;&lt;/contributors&gt;&lt;titles&gt;&lt;title&gt;From World City to Pariah City? Liverpool and the Global Economy 1850-2000&lt;/title&gt;&lt;secondary-title&gt;Reinventing the City? Liverpool in Comparative Perspective&lt;/secondary-title&gt;&lt;/titles&gt;&lt;dates&gt;&lt;year&gt;2003&lt;/year&gt;&lt;/dates&gt;&lt;pub-location&gt;Liverpool&lt;/pub-location&gt;&lt;publisher&gt;Liverpool University Press&lt;/publisher&gt;&lt;urls&gt;&lt;/urls&gt;&lt;/record&gt;&lt;/Cite&gt;&lt;/EndNote&gt;</w:instrText>
      </w:r>
      <w:r w:rsidR="009060BF">
        <w:rPr>
          <w:sz w:val="24"/>
          <w:szCs w:val="24"/>
        </w:rPr>
        <w:fldChar w:fldCharType="separate"/>
      </w:r>
      <w:r w:rsidR="00F35BB4">
        <w:rPr>
          <w:noProof/>
          <w:sz w:val="24"/>
          <w:szCs w:val="24"/>
        </w:rPr>
        <w:t>(Sykes et al., 2013, Wilks-Heeg, 2003)</w:t>
      </w:r>
      <w:r w:rsidR="009060BF">
        <w:rPr>
          <w:sz w:val="24"/>
          <w:szCs w:val="24"/>
        </w:rPr>
        <w:fldChar w:fldCharType="end"/>
      </w:r>
      <w:r w:rsidR="009060BF">
        <w:rPr>
          <w:sz w:val="24"/>
          <w:szCs w:val="24"/>
        </w:rPr>
        <w:t xml:space="preserve">, Liverpool is home to two large </w:t>
      </w:r>
      <w:r w:rsidR="006675CB">
        <w:rPr>
          <w:sz w:val="24"/>
          <w:szCs w:val="24"/>
        </w:rPr>
        <w:t xml:space="preserve">non-white </w:t>
      </w:r>
      <w:r w:rsidR="009060BF">
        <w:rPr>
          <w:sz w:val="24"/>
          <w:szCs w:val="24"/>
        </w:rPr>
        <w:t xml:space="preserve">communities.  </w:t>
      </w:r>
      <w:r w:rsidR="00523800">
        <w:rPr>
          <w:sz w:val="24"/>
          <w:szCs w:val="24"/>
        </w:rPr>
        <w:t xml:space="preserve">The </w:t>
      </w:r>
      <w:r w:rsidR="009B1DAC">
        <w:rPr>
          <w:sz w:val="24"/>
          <w:szCs w:val="24"/>
        </w:rPr>
        <w:t>first</w:t>
      </w:r>
      <w:r w:rsidR="00523800">
        <w:rPr>
          <w:sz w:val="24"/>
          <w:szCs w:val="24"/>
        </w:rPr>
        <w:t xml:space="preserve"> is Liverpool’s Chinese community</w:t>
      </w:r>
      <w:r w:rsidR="00F97572">
        <w:rPr>
          <w:sz w:val="24"/>
          <w:szCs w:val="24"/>
        </w:rPr>
        <w:t>,</w:t>
      </w:r>
      <w:r w:rsidR="00523800">
        <w:rPr>
          <w:sz w:val="24"/>
          <w:szCs w:val="24"/>
        </w:rPr>
        <w:t xml:space="preserve"> which </w:t>
      </w:r>
      <w:r w:rsidR="00137311">
        <w:rPr>
          <w:sz w:val="24"/>
          <w:szCs w:val="24"/>
        </w:rPr>
        <w:t xml:space="preserve">originally concentrated in the city’s Chinatown area </w:t>
      </w:r>
      <w:r w:rsidR="00F97572">
        <w:rPr>
          <w:sz w:val="24"/>
          <w:szCs w:val="24"/>
        </w:rPr>
        <w:t>that</w:t>
      </w:r>
      <w:r w:rsidR="00137311">
        <w:rPr>
          <w:sz w:val="24"/>
          <w:szCs w:val="24"/>
        </w:rPr>
        <w:t xml:space="preserve"> </w:t>
      </w:r>
      <w:r w:rsidR="00523800">
        <w:rPr>
          <w:sz w:val="24"/>
          <w:szCs w:val="24"/>
        </w:rPr>
        <w:t xml:space="preserve">abuts the city centre area, </w:t>
      </w:r>
      <w:r w:rsidR="00AF798C">
        <w:rPr>
          <w:sz w:val="24"/>
          <w:szCs w:val="24"/>
        </w:rPr>
        <w:t>and contains</w:t>
      </w:r>
      <w:r w:rsidR="00523800">
        <w:rPr>
          <w:sz w:val="24"/>
          <w:szCs w:val="24"/>
        </w:rPr>
        <w:t xml:space="preserve"> the largest Chinese arch outside of China</w:t>
      </w:r>
      <w:r w:rsidR="009B1DAC">
        <w:rPr>
          <w:sz w:val="24"/>
          <w:szCs w:val="24"/>
        </w:rPr>
        <w:t xml:space="preserve">. </w:t>
      </w:r>
      <w:r w:rsidR="009060BF">
        <w:rPr>
          <w:sz w:val="24"/>
          <w:szCs w:val="24"/>
        </w:rPr>
        <w:t xml:space="preserve">The </w:t>
      </w:r>
      <w:r w:rsidR="00523800">
        <w:rPr>
          <w:sz w:val="24"/>
          <w:szCs w:val="24"/>
        </w:rPr>
        <w:t xml:space="preserve">second is Liverpool’s </w:t>
      </w:r>
      <w:r>
        <w:rPr>
          <w:sz w:val="24"/>
          <w:szCs w:val="24"/>
        </w:rPr>
        <w:t>black</w:t>
      </w:r>
      <w:r w:rsidR="009060BF">
        <w:rPr>
          <w:sz w:val="24"/>
          <w:szCs w:val="24"/>
        </w:rPr>
        <w:t xml:space="preserve"> community</w:t>
      </w:r>
      <w:r>
        <w:rPr>
          <w:sz w:val="24"/>
          <w:szCs w:val="24"/>
        </w:rPr>
        <w:t xml:space="preserve"> located primarily in the ‘L8’</w:t>
      </w:r>
      <w:r w:rsidR="00523800">
        <w:rPr>
          <w:sz w:val="24"/>
          <w:szCs w:val="24"/>
        </w:rPr>
        <w:t xml:space="preserve"> / Toxteth area</w:t>
      </w:r>
      <w:r>
        <w:rPr>
          <w:sz w:val="24"/>
          <w:szCs w:val="24"/>
        </w:rPr>
        <w:t xml:space="preserve"> </w:t>
      </w:r>
      <w:r w:rsidR="006675CB">
        <w:rPr>
          <w:sz w:val="24"/>
          <w:szCs w:val="24"/>
        </w:rPr>
        <w:t xml:space="preserve">to </w:t>
      </w:r>
      <w:r>
        <w:rPr>
          <w:sz w:val="24"/>
          <w:szCs w:val="24"/>
        </w:rPr>
        <w:t xml:space="preserve">the immediate south of the city centre – </w:t>
      </w:r>
      <w:r w:rsidR="00523800">
        <w:rPr>
          <w:sz w:val="24"/>
          <w:szCs w:val="24"/>
        </w:rPr>
        <w:t xml:space="preserve">largely </w:t>
      </w:r>
      <w:r w:rsidR="00F27AA6">
        <w:rPr>
          <w:sz w:val="24"/>
          <w:szCs w:val="24"/>
        </w:rPr>
        <w:t>composed of</w:t>
      </w:r>
      <w:r>
        <w:rPr>
          <w:sz w:val="24"/>
          <w:szCs w:val="24"/>
        </w:rPr>
        <w:t xml:space="preserve"> residents with a Caribbean and Somali </w:t>
      </w:r>
      <w:r w:rsidR="00147682">
        <w:rPr>
          <w:sz w:val="24"/>
          <w:szCs w:val="24"/>
        </w:rPr>
        <w:t>heritage</w:t>
      </w:r>
      <w:r w:rsidR="00523800">
        <w:rPr>
          <w:sz w:val="24"/>
          <w:szCs w:val="24"/>
        </w:rPr>
        <w:t xml:space="preserve">.  </w:t>
      </w:r>
    </w:p>
    <w:p w14:paraId="025826A2" w14:textId="77777777" w:rsidR="006245E7" w:rsidRDefault="006245E7" w:rsidP="009060BF">
      <w:pPr>
        <w:pStyle w:val="ListParagraph"/>
        <w:spacing w:after="0" w:line="276" w:lineRule="auto"/>
        <w:ind w:left="0" w:firstLine="567"/>
        <w:jc w:val="both"/>
        <w:rPr>
          <w:sz w:val="24"/>
          <w:szCs w:val="24"/>
        </w:rPr>
      </w:pPr>
    </w:p>
    <w:p w14:paraId="2CEEB42E" w14:textId="720640F4" w:rsidR="00DA188E" w:rsidRDefault="00AE20B1" w:rsidP="00B140D4">
      <w:pPr>
        <w:spacing w:after="0" w:line="276" w:lineRule="auto"/>
        <w:ind w:firstLine="567"/>
        <w:jc w:val="both"/>
        <w:rPr>
          <w:noProof/>
          <w:sz w:val="24"/>
          <w:szCs w:val="24"/>
          <w:lang w:eastAsia="en-GB"/>
        </w:rPr>
      </w:pPr>
      <w:r>
        <w:rPr>
          <w:noProof/>
          <w:sz w:val="24"/>
          <w:szCs w:val="24"/>
          <w:lang w:eastAsia="en-GB"/>
        </w:rPr>
        <w:t>&lt;FIGURE 5&gt;</w:t>
      </w:r>
    </w:p>
    <w:p w14:paraId="58272D6B" w14:textId="77777777" w:rsidR="00AE20B1" w:rsidRDefault="00AE20B1" w:rsidP="00B140D4">
      <w:pPr>
        <w:spacing w:after="0" w:line="276" w:lineRule="auto"/>
        <w:ind w:firstLine="567"/>
        <w:jc w:val="both"/>
        <w:rPr>
          <w:noProof/>
          <w:sz w:val="24"/>
          <w:szCs w:val="24"/>
          <w:lang w:eastAsia="en-GB"/>
        </w:rPr>
      </w:pPr>
    </w:p>
    <w:p w14:paraId="7A1B5AE7" w14:textId="2DBF5192" w:rsidR="00AE20B1" w:rsidRPr="00AE20B1" w:rsidRDefault="00AE20B1" w:rsidP="00B140D4">
      <w:pPr>
        <w:spacing w:after="0" w:line="276" w:lineRule="auto"/>
        <w:ind w:firstLine="567"/>
        <w:jc w:val="both"/>
        <w:rPr>
          <w:i/>
          <w:sz w:val="24"/>
          <w:szCs w:val="24"/>
        </w:rPr>
      </w:pPr>
      <w:r w:rsidRPr="00AE20B1">
        <w:rPr>
          <w:i/>
          <w:noProof/>
          <w:sz w:val="24"/>
          <w:szCs w:val="24"/>
          <w:lang w:eastAsia="en-GB"/>
        </w:rPr>
        <w:t>Figure 5 – Percentage of population identifying as ‘White’</w:t>
      </w:r>
      <w:r>
        <w:rPr>
          <w:i/>
          <w:noProof/>
          <w:sz w:val="24"/>
          <w:szCs w:val="24"/>
          <w:lang w:eastAsia="en-GB"/>
        </w:rPr>
        <w:t xml:space="preserve"> </w:t>
      </w:r>
      <w:r>
        <w:rPr>
          <w:i/>
          <w:noProof/>
          <w:sz w:val="24"/>
          <w:szCs w:val="24"/>
          <w:lang w:eastAsia="en-GB"/>
        </w:rPr>
        <w:fldChar w:fldCharType="begin"/>
      </w:r>
      <w:r w:rsidR="00F35BB4">
        <w:rPr>
          <w:i/>
          <w:noProof/>
          <w:sz w:val="24"/>
          <w:szCs w:val="24"/>
          <w:lang w:eastAsia="en-GB"/>
        </w:rPr>
        <w:instrText xml:space="preserve"> ADDIN EN.CITE &lt;EndNote&gt;&lt;Cite&gt;&lt;Author&gt;NOMIS&lt;/Author&gt;&lt;Year&gt;2011&lt;/Year&gt;&lt;RecNum&gt;1571&lt;/RecNum&gt;&lt;DisplayText&gt;(NOMIS, 2011)&lt;/DisplayText&gt;&lt;record&gt;&lt;rec-number&gt;1571&lt;/rec-number&gt;&lt;foreign-keys&gt;&lt;key app="EN" db-id="sf2v0zffie0st6edessvst0jrx50tz9rrwst" timestamp="1557477116"&gt;1571&lt;/key&gt;&lt;/foreign-keys&gt;&lt;ref-type name="Dataset"&gt;59&lt;/ref-type&gt;&lt;contributors&gt;&lt;authors&gt;&lt;author&gt;NOMIS&lt;/author&gt;&lt;/authors&gt;&lt;/contributors&gt;&lt;titles&gt;&lt;title&gt;UK Census 2011 - KS201UK - Ethnic Group&lt;/title&gt;&lt;/titles&gt;&lt;dates&gt;&lt;year&gt;2011&lt;/year&gt;&lt;/dates&gt;&lt;pub-location&gt;NOMIS&lt;/pub-location&gt;&lt;urls&gt;&lt;/urls&gt;&lt;/record&gt;&lt;/Cite&gt;&lt;/EndNote&gt;</w:instrText>
      </w:r>
      <w:r>
        <w:rPr>
          <w:i/>
          <w:noProof/>
          <w:sz w:val="24"/>
          <w:szCs w:val="24"/>
          <w:lang w:eastAsia="en-GB"/>
        </w:rPr>
        <w:fldChar w:fldCharType="separate"/>
      </w:r>
      <w:r w:rsidR="00F35BB4">
        <w:rPr>
          <w:i/>
          <w:noProof/>
          <w:sz w:val="24"/>
          <w:szCs w:val="24"/>
          <w:lang w:eastAsia="en-GB"/>
        </w:rPr>
        <w:t>(NOMIS, 2011)</w:t>
      </w:r>
      <w:r>
        <w:rPr>
          <w:i/>
          <w:noProof/>
          <w:sz w:val="24"/>
          <w:szCs w:val="24"/>
          <w:lang w:eastAsia="en-GB"/>
        </w:rPr>
        <w:fldChar w:fldCharType="end"/>
      </w:r>
    </w:p>
    <w:p w14:paraId="373269C7" w14:textId="77777777" w:rsidR="006245E7" w:rsidRDefault="006245E7" w:rsidP="00B140D4">
      <w:pPr>
        <w:spacing w:after="0" w:line="276" w:lineRule="auto"/>
        <w:ind w:firstLine="567"/>
        <w:jc w:val="both"/>
        <w:rPr>
          <w:sz w:val="24"/>
          <w:szCs w:val="24"/>
        </w:rPr>
      </w:pPr>
    </w:p>
    <w:p w14:paraId="2410B9C2" w14:textId="51F2653B" w:rsidR="006245E7" w:rsidRDefault="006245E7" w:rsidP="00B140D4">
      <w:pPr>
        <w:spacing w:after="0" w:line="276" w:lineRule="auto"/>
        <w:ind w:firstLine="567"/>
        <w:jc w:val="both"/>
        <w:rPr>
          <w:sz w:val="24"/>
          <w:szCs w:val="24"/>
        </w:rPr>
      </w:pPr>
      <w:r>
        <w:rPr>
          <w:sz w:val="24"/>
          <w:szCs w:val="24"/>
        </w:rPr>
        <w:t xml:space="preserve">In comparing </w:t>
      </w:r>
      <w:r w:rsidRPr="00B62669">
        <w:rPr>
          <w:sz w:val="24"/>
          <w:szCs w:val="24"/>
        </w:rPr>
        <w:t xml:space="preserve">Figure </w:t>
      </w:r>
      <w:r w:rsidR="00B62669" w:rsidRPr="00B62669">
        <w:rPr>
          <w:sz w:val="24"/>
          <w:szCs w:val="24"/>
        </w:rPr>
        <w:t>2</w:t>
      </w:r>
      <w:r w:rsidRPr="00B62669">
        <w:rPr>
          <w:sz w:val="24"/>
          <w:szCs w:val="24"/>
        </w:rPr>
        <w:t xml:space="preserve"> and </w:t>
      </w:r>
      <w:r w:rsidR="00B62669" w:rsidRPr="00B62669">
        <w:rPr>
          <w:sz w:val="24"/>
          <w:szCs w:val="24"/>
        </w:rPr>
        <w:t>5</w:t>
      </w:r>
      <w:r w:rsidRPr="00B62669">
        <w:rPr>
          <w:sz w:val="24"/>
          <w:szCs w:val="24"/>
        </w:rPr>
        <w:t xml:space="preserve"> it is clear that </w:t>
      </w:r>
      <w:r w:rsidR="00F27AA6" w:rsidRPr="00B62669">
        <w:rPr>
          <w:sz w:val="24"/>
          <w:szCs w:val="24"/>
        </w:rPr>
        <w:t xml:space="preserve">areas with different proportions of population identifying as </w:t>
      </w:r>
      <w:r w:rsidRPr="00B62669">
        <w:rPr>
          <w:sz w:val="24"/>
          <w:szCs w:val="24"/>
        </w:rPr>
        <w:t>white</w:t>
      </w:r>
      <w:r w:rsidR="00F27AA6" w:rsidRPr="00B62669">
        <w:rPr>
          <w:sz w:val="24"/>
          <w:szCs w:val="24"/>
        </w:rPr>
        <w:t xml:space="preserve"> </w:t>
      </w:r>
      <w:r w:rsidRPr="00B62669">
        <w:rPr>
          <w:sz w:val="24"/>
          <w:szCs w:val="24"/>
        </w:rPr>
        <w:t xml:space="preserve">voted to Remain.  </w:t>
      </w:r>
      <w:r w:rsidR="004560C2">
        <w:rPr>
          <w:sz w:val="24"/>
          <w:szCs w:val="24"/>
        </w:rPr>
        <w:t>Beyond this</w:t>
      </w:r>
      <w:r w:rsidR="00631785">
        <w:rPr>
          <w:sz w:val="24"/>
          <w:szCs w:val="24"/>
        </w:rPr>
        <w:t xml:space="preserve">, </w:t>
      </w:r>
      <w:r w:rsidR="00F27AA6">
        <w:rPr>
          <w:sz w:val="24"/>
          <w:szCs w:val="24"/>
        </w:rPr>
        <w:t>ethnic composition of areas seems weakly related to how an</w:t>
      </w:r>
      <w:r w:rsidR="004560C2">
        <w:rPr>
          <w:sz w:val="24"/>
          <w:szCs w:val="24"/>
        </w:rPr>
        <w:t>y other</w:t>
      </w:r>
      <w:r w:rsidR="00F27AA6">
        <w:rPr>
          <w:sz w:val="24"/>
          <w:szCs w:val="24"/>
        </w:rPr>
        <w:t xml:space="preserve"> area voted -</w:t>
      </w:r>
      <w:r>
        <w:rPr>
          <w:sz w:val="24"/>
          <w:szCs w:val="24"/>
        </w:rPr>
        <w:t xml:space="preserve"> with some places with the highest proportion of population identifying as white voting to </w:t>
      </w:r>
      <w:proofErr w:type="gramStart"/>
      <w:r>
        <w:rPr>
          <w:sz w:val="24"/>
          <w:szCs w:val="24"/>
        </w:rPr>
        <w:t>Leave</w:t>
      </w:r>
      <w:proofErr w:type="gramEnd"/>
      <w:r>
        <w:rPr>
          <w:sz w:val="24"/>
          <w:szCs w:val="24"/>
        </w:rPr>
        <w:t xml:space="preserve">, and others to Remain. </w:t>
      </w:r>
      <w:r w:rsidR="00423DE2">
        <w:rPr>
          <w:sz w:val="24"/>
          <w:szCs w:val="24"/>
        </w:rPr>
        <w:t xml:space="preserve"> </w:t>
      </w:r>
      <w:r w:rsidR="007B0CA4">
        <w:rPr>
          <w:sz w:val="24"/>
          <w:szCs w:val="24"/>
        </w:rPr>
        <w:t xml:space="preserve">The Princes Park ward south west of the centre of Liverpool with a 51.2% BAME population </w:t>
      </w:r>
      <w:r w:rsidR="00B62669">
        <w:rPr>
          <w:sz w:val="24"/>
          <w:szCs w:val="24"/>
        </w:rPr>
        <w:fldChar w:fldCharType="begin"/>
      </w:r>
      <w:r w:rsidR="00F35BB4">
        <w:rPr>
          <w:sz w:val="24"/>
          <w:szCs w:val="24"/>
        </w:rPr>
        <w:instrText xml:space="preserve"> ADDIN EN.CITE &lt;EndNote&gt;&lt;Cite&gt;&lt;Author&gt;Liverpool City Council&lt;/Author&gt;&lt;Year&gt;2018&lt;/Year&gt;&lt;RecNum&gt;1572&lt;/RecNum&gt;&lt;DisplayText&gt;(Liverpool City Council, 2018)&lt;/DisplayText&gt;&lt;record&gt;&lt;rec-number&gt;1572&lt;/rec-number&gt;&lt;foreign-keys&gt;&lt;key app="EN" db-id="sf2v0zffie0st6edessvst0jrx50tz9rrwst" timestamp="1557477216"&gt;1572&lt;/key&gt;&lt;/foreign-keys&gt;&lt;ref-type name="Government Document"&gt;46&lt;/ref-type&gt;&lt;contributors&gt;&lt;authors&gt;&lt;author&gt;Liverpool City Council,&lt;/author&gt;&lt;/authors&gt;&lt;/contributors&gt;&lt;titles&gt;&lt;title&gt;Ward Profile: Princes Park&lt;/title&gt;&lt;/titles&gt;&lt;dates&gt;&lt;year&gt;2018&lt;/year&gt;&lt;/dates&gt;&lt;urls&gt;&lt;related-urls&gt;&lt;url&gt;&lt;style face="underline" font="default" size="100%"&gt;https://liverpool.gov.uk/media/9961/princes-park.pdf&lt;/style&gt;&lt;/url&gt;&lt;/related-urls&gt;&lt;/urls&gt;&lt;/record&gt;&lt;/Cite&gt;&lt;/EndNote&gt;</w:instrText>
      </w:r>
      <w:r w:rsidR="00B62669">
        <w:rPr>
          <w:sz w:val="24"/>
          <w:szCs w:val="24"/>
        </w:rPr>
        <w:fldChar w:fldCharType="separate"/>
      </w:r>
      <w:r w:rsidR="00F35BB4">
        <w:rPr>
          <w:noProof/>
          <w:sz w:val="24"/>
          <w:szCs w:val="24"/>
        </w:rPr>
        <w:t>(Liverpool City Council, 2018)</w:t>
      </w:r>
      <w:r w:rsidR="00B62669">
        <w:rPr>
          <w:sz w:val="24"/>
          <w:szCs w:val="24"/>
        </w:rPr>
        <w:fldChar w:fldCharType="end"/>
      </w:r>
      <w:r w:rsidR="00631785">
        <w:rPr>
          <w:sz w:val="24"/>
          <w:szCs w:val="24"/>
        </w:rPr>
        <w:t xml:space="preserve"> voted 73% to Remain, however, </w:t>
      </w:r>
      <w:r w:rsidR="007B0CA4">
        <w:rPr>
          <w:sz w:val="24"/>
          <w:szCs w:val="24"/>
        </w:rPr>
        <w:t xml:space="preserve">tending to confirm the national tendency for ethnic minority voters to </w:t>
      </w:r>
      <w:r w:rsidR="00631785">
        <w:rPr>
          <w:sz w:val="24"/>
          <w:szCs w:val="24"/>
        </w:rPr>
        <w:t xml:space="preserve">strongly </w:t>
      </w:r>
      <w:r w:rsidR="007B0CA4">
        <w:rPr>
          <w:sz w:val="24"/>
          <w:szCs w:val="24"/>
        </w:rPr>
        <w:t>support remain</w:t>
      </w:r>
      <w:r w:rsidR="00490E68">
        <w:rPr>
          <w:sz w:val="24"/>
          <w:szCs w:val="24"/>
        </w:rPr>
        <w:t>ing</w:t>
      </w:r>
      <w:r w:rsidR="007B0CA4">
        <w:rPr>
          <w:sz w:val="24"/>
          <w:szCs w:val="24"/>
        </w:rPr>
        <w:t xml:space="preserve"> in the EU.  </w:t>
      </w:r>
    </w:p>
    <w:p w14:paraId="30B2FF60" w14:textId="74DB018F" w:rsidR="006245E7" w:rsidRDefault="006245E7" w:rsidP="007B0CA4">
      <w:pPr>
        <w:spacing w:after="0" w:line="276" w:lineRule="auto"/>
        <w:jc w:val="both"/>
        <w:rPr>
          <w:sz w:val="24"/>
          <w:szCs w:val="24"/>
        </w:rPr>
      </w:pPr>
    </w:p>
    <w:p w14:paraId="10D7BA39" w14:textId="7127F38F" w:rsidR="000E36C3" w:rsidRPr="000E36C3" w:rsidRDefault="000E36C3" w:rsidP="000E36C3">
      <w:pPr>
        <w:pStyle w:val="ListParagraph"/>
        <w:numPr>
          <w:ilvl w:val="1"/>
          <w:numId w:val="4"/>
        </w:numPr>
        <w:spacing w:after="0" w:line="276" w:lineRule="auto"/>
        <w:jc w:val="both"/>
        <w:rPr>
          <w:b/>
          <w:sz w:val="24"/>
          <w:szCs w:val="24"/>
        </w:rPr>
      </w:pPr>
      <w:r w:rsidRPr="000E36C3">
        <w:rPr>
          <w:b/>
          <w:sz w:val="24"/>
          <w:szCs w:val="24"/>
        </w:rPr>
        <w:t>Analysis</w:t>
      </w:r>
    </w:p>
    <w:p w14:paraId="1A6194D2" w14:textId="6D276A98" w:rsidR="003B6A54" w:rsidRDefault="00560FF9" w:rsidP="00863B4E">
      <w:pPr>
        <w:spacing w:after="0" w:line="276" w:lineRule="auto"/>
        <w:ind w:firstLine="567"/>
        <w:jc w:val="both"/>
        <w:rPr>
          <w:sz w:val="24"/>
          <w:szCs w:val="24"/>
        </w:rPr>
      </w:pPr>
      <w:r>
        <w:rPr>
          <w:sz w:val="24"/>
          <w:szCs w:val="24"/>
        </w:rPr>
        <w:t xml:space="preserve">Overall, </w:t>
      </w:r>
      <w:r w:rsidR="00137311">
        <w:rPr>
          <w:sz w:val="24"/>
          <w:szCs w:val="24"/>
        </w:rPr>
        <w:t xml:space="preserve">the </w:t>
      </w:r>
      <w:r>
        <w:rPr>
          <w:sz w:val="24"/>
          <w:szCs w:val="24"/>
        </w:rPr>
        <w:t xml:space="preserve">more local-level analysis </w:t>
      </w:r>
      <w:r w:rsidR="00137311">
        <w:rPr>
          <w:sz w:val="24"/>
          <w:szCs w:val="24"/>
        </w:rPr>
        <w:t xml:space="preserve">undertaken here </w:t>
      </w:r>
      <w:r>
        <w:rPr>
          <w:sz w:val="24"/>
          <w:szCs w:val="24"/>
        </w:rPr>
        <w:t xml:space="preserve">of </w:t>
      </w:r>
      <w:r w:rsidR="00137311">
        <w:rPr>
          <w:sz w:val="24"/>
          <w:szCs w:val="24"/>
        </w:rPr>
        <w:t xml:space="preserve">some of the socio-spatial </w:t>
      </w:r>
      <w:r>
        <w:rPr>
          <w:sz w:val="24"/>
          <w:szCs w:val="24"/>
        </w:rPr>
        <w:t>tropes that emerged in the wake of the 2016 referendum present a mixed image</w:t>
      </w:r>
      <w:r w:rsidR="00137311">
        <w:rPr>
          <w:sz w:val="24"/>
          <w:szCs w:val="24"/>
        </w:rPr>
        <w:t>. We</w:t>
      </w:r>
      <w:r>
        <w:rPr>
          <w:sz w:val="24"/>
          <w:szCs w:val="24"/>
        </w:rPr>
        <w:t xml:space="preserve"> found that in several cases, and despite the areas under consideration being contiguous and sharing remarkably similar socio-economic characteristics,</w:t>
      </w:r>
      <w:r w:rsidR="00863B4E">
        <w:rPr>
          <w:sz w:val="24"/>
          <w:szCs w:val="24"/>
        </w:rPr>
        <w:t xml:space="preserve"> the two areas analysed during the course of this paper show different patterns in relation to the referendum vote.</w:t>
      </w:r>
      <w:r>
        <w:rPr>
          <w:sz w:val="24"/>
          <w:szCs w:val="24"/>
        </w:rPr>
        <w:t xml:space="preserve"> For example, the Wirral lends credence to the Left </w:t>
      </w:r>
      <w:proofErr w:type="gramStart"/>
      <w:r>
        <w:rPr>
          <w:sz w:val="24"/>
          <w:szCs w:val="24"/>
        </w:rPr>
        <w:t>Behind</w:t>
      </w:r>
      <w:proofErr w:type="gramEnd"/>
      <w:r>
        <w:rPr>
          <w:sz w:val="24"/>
          <w:szCs w:val="24"/>
        </w:rPr>
        <w:t xml:space="preserve"> Britain narrative, whilst evidence from Liverpool fundamentally undermines this idea.</w:t>
      </w:r>
      <w:r w:rsidR="003B6A54">
        <w:rPr>
          <w:sz w:val="24"/>
          <w:szCs w:val="24"/>
        </w:rPr>
        <w:t xml:space="preserve">  Within this </w:t>
      </w:r>
      <w:r w:rsidR="000215A6">
        <w:rPr>
          <w:sz w:val="24"/>
          <w:szCs w:val="24"/>
        </w:rPr>
        <w:t>analysis,</w:t>
      </w:r>
      <w:r w:rsidR="003B6A54">
        <w:rPr>
          <w:sz w:val="24"/>
          <w:szCs w:val="24"/>
        </w:rPr>
        <w:t xml:space="preserve"> w</w:t>
      </w:r>
      <w:r w:rsidR="000215A6">
        <w:rPr>
          <w:sz w:val="24"/>
          <w:szCs w:val="24"/>
        </w:rPr>
        <w:t>e do not deny</w:t>
      </w:r>
      <w:r w:rsidR="005D4C1F">
        <w:rPr>
          <w:sz w:val="24"/>
          <w:szCs w:val="24"/>
        </w:rPr>
        <w:t xml:space="preserve"> that</w:t>
      </w:r>
      <w:r w:rsidR="003B6A54">
        <w:rPr>
          <w:sz w:val="24"/>
          <w:szCs w:val="24"/>
        </w:rPr>
        <w:t xml:space="preserve"> </w:t>
      </w:r>
      <w:r w:rsidR="005D4C1F">
        <w:rPr>
          <w:sz w:val="24"/>
          <w:szCs w:val="24"/>
        </w:rPr>
        <w:t xml:space="preserve">the notion of a </w:t>
      </w:r>
      <w:r w:rsidR="003B6A54">
        <w:rPr>
          <w:sz w:val="24"/>
          <w:szCs w:val="24"/>
        </w:rPr>
        <w:t xml:space="preserve">‘Left </w:t>
      </w:r>
      <w:proofErr w:type="gramStart"/>
      <w:r w:rsidR="003B6A54">
        <w:rPr>
          <w:sz w:val="24"/>
          <w:szCs w:val="24"/>
        </w:rPr>
        <w:t>Behind</w:t>
      </w:r>
      <w:proofErr w:type="gramEnd"/>
      <w:r w:rsidR="003B6A54">
        <w:rPr>
          <w:sz w:val="24"/>
          <w:szCs w:val="24"/>
        </w:rPr>
        <w:t xml:space="preserve"> Britain’, </w:t>
      </w:r>
      <w:r w:rsidR="005D4C1F">
        <w:rPr>
          <w:sz w:val="24"/>
          <w:szCs w:val="24"/>
        </w:rPr>
        <w:t xml:space="preserve">has some salience as a means of characterising the conditions and characteristics of </w:t>
      </w:r>
      <w:r w:rsidR="00D27E7E">
        <w:rPr>
          <w:sz w:val="24"/>
          <w:szCs w:val="24"/>
        </w:rPr>
        <w:t>some areas</w:t>
      </w:r>
      <w:r w:rsidR="005D4C1F">
        <w:rPr>
          <w:sz w:val="24"/>
          <w:szCs w:val="24"/>
        </w:rPr>
        <w:t xml:space="preserve">. </w:t>
      </w:r>
      <w:r w:rsidR="003B6A54">
        <w:rPr>
          <w:sz w:val="24"/>
          <w:szCs w:val="24"/>
        </w:rPr>
        <w:t xml:space="preserve"> However, we would challenge </w:t>
      </w:r>
      <w:r w:rsidR="005D4C1F">
        <w:rPr>
          <w:sz w:val="24"/>
          <w:szCs w:val="24"/>
        </w:rPr>
        <w:t xml:space="preserve">arguments that </w:t>
      </w:r>
      <w:r w:rsidR="00863B4E">
        <w:rPr>
          <w:sz w:val="24"/>
          <w:szCs w:val="24"/>
        </w:rPr>
        <w:t>suggest</w:t>
      </w:r>
      <w:r w:rsidR="003B6A54">
        <w:rPr>
          <w:sz w:val="24"/>
          <w:szCs w:val="24"/>
        </w:rPr>
        <w:t xml:space="preserve"> </w:t>
      </w:r>
      <w:r w:rsidR="00137311">
        <w:rPr>
          <w:sz w:val="24"/>
          <w:szCs w:val="24"/>
        </w:rPr>
        <w:t xml:space="preserve">such </w:t>
      </w:r>
      <w:r w:rsidR="005D4C1F">
        <w:rPr>
          <w:sz w:val="24"/>
          <w:szCs w:val="24"/>
        </w:rPr>
        <w:t>areas</w:t>
      </w:r>
      <w:r w:rsidR="00137311">
        <w:rPr>
          <w:sz w:val="24"/>
          <w:szCs w:val="24"/>
        </w:rPr>
        <w:t xml:space="preserve"> </w:t>
      </w:r>
      <w:r w:rsidR="005D4C1F">
        <w:rPr>
          <w:sz w:val="24"/>
          <w:szCs w:val="24"/>
        </w:rPr>
        <w:t xml:space="preserve">and their populations constitute a monolithic mass that </w:t>
      </w:r>
      <w:r w:rsidR="003B6A54">
        <w:rPr>
          <w:sz w:val="24"/>
          <w:szCs w:val="24"/>
        </w:rPr>
        <w:t>speaks with one voice.</w:t>
      </w:r>
    </w:p>
    <w:p w14:paraId="6FAB3817" w14:textId="188D783D" w:rsidR="000E36C3" w:rsidRDefault="00560FF9" w:rsidP="000E36C3">
      <w:pPr>
        <w:spacing w:after="0" w:line="276" w:lineRule="auto"/>
        <w:ind w:firstLine="567"/>
        <w:jc w:val="both"/>
        <w:rPr>
          <w:sz w:val="24"/>
          <w:szCs w:val="24"/>
        </w:rPr>
      </w:pPr>
      <w:r>
        <w:rPr>
          <w:sz w:val="24"/>
          <w:szCs w:val="24"/>
        </w:rPr>
        <w:t xml:space="preserve">Elsewhere, the evidence from our local analysis aligns with existing research in challenging </w:t>
      </w:r>
      <w:proofErr w:type="gramStart"/>
      <w:r>
        <w:rPr>
          <w:sz w:val="24"/>
          <w:szCs w:val="24"/>
        </w:rPr>
        <w:t>commonly-held</w:t>
      </w:r>
      <w:proofErr w:type="gramEnd"/>
      <w:r>
        <w:rPr>
          <w:sz w:val="24"/>
          <w:szCs w:val="24"/>
        </w:rPr>
        <w:t xml:space="preserve"> conceptions.  This is most evident when considering the</w:t>
      </w:r>
      <w:r w:rsidR="00D27E7E">
        <w:rPr>
          <w:sz w:val="24"/>
          <w:szCs w:val="24"/>
        </w:rPr>
        <w:t xml:space="preserve"> </w:t>
      </w:r>
      <w:r>
        <w:rPr>
          <w:sz w:val="24"/>
          <w:szCs w:val="24"/>
        </w:rPr>
        <w:t>age of voters.  Here, we find grounds to support the earlier work of</w:t>
      </w:r>
      <w:r w:rsidR="000E36C3">
        <w:rPr>
          <w:sz w:val="24"/>
          <w:szCs w:val="24"/>
        </w:rPr>
        <w:t xml:space="preserve"> </w:t>
      </w:r>
      <w:r w:rsidR="000E36C3">
        <w:rPr>
          <w:sz w:val="24"/>
          <w:szCs w:val="24"/>
        </w:rPr>
        <w:fldChar w:fldCharType="begin"/>
      </w:r>
      <w:r w:rsidR="00F35BB4">
        <w:rPr>
          <w:sz w:val="24"/>
          <w:szCs w:val="24"/>
        </w:rPr>
        <w:instrText xml:space="preserve"> ADDIN EN.CITE &lt;EndNote&gt;&lt;Cite AuthorYear="1"&gt;&lt;Author&gt;Manley&lt;/Author&gt;&lt;Year&gt;2017&lt;/Year&gt;&lt;RecNum&gt;1547&lt;/RecNum&gt;&lt;DisplayText&gt;Manley et al. (2017)&lt;/DisplayText&gt;&lt;record&gt;&lt;rec-number&gt;1547&lt;/rec-number&gt;&lt;foreign-keys&gt;&lt;key app="EN" db-id="sf2v0zffie0st6edessvst0jrx50tz9rrwst" timestamp="1557331732"&gt;1547&lt;/key&gt;&lt;/foreign-keys&gt;&lt;ref-type name="Journal Article"&gt;17&lt;/ref-type&gt;&lt;contributors&gt;&lt;authors&gt;&lt;author&gt;Manley, David&lt;/author&gt;&lt;author&gt;Jones, Kelvyn&lt;/author&gt;&lt;author&gt;Johnston, Ron&lt;/author&gt;&lt;/authors&gt;&lt;/contributors&gt;&lt;titles&gt;&lt;title&gt;The geography of Brexit–What geography? Modelling and predicting the outcome across 380 local authorities&lt;/title&gt;&lt;secondary-title&gt;Local Economy&lt;/secondary-title&gt;&lt;/titles&gt;&lt;periodical&gt;&lt;full-title&gt;Local Economy&lt;/full-title&gt;&lt;/periodical&gt;&lt;pages&gt;183-203&lt;/pages&gt;&lt;volume&gt;32&lt;/volume&gt;&lt;number&gt;3&lt;/number&gt;&lt;dates&gt;&lt;year&gt;2017&lt;/year&gt;&lt;/dates&gt;&lt;isbn&gt;0269-0942&lt;/isbn&gt;&lt;urls&gt;&lt;/urls&gt;&lt;/record&gt;&lt;/Cite&gt;&lt;/EndNote&gt;</w:instrText>
      </w:r>
      <w:r w:rsidR="000E36C3">
        <w:rPr>
          <w:sz w:val="24"/>
          <w:szCs w:val="24"/>
        </w:rPr>
        <w:fldChar w:fldCharType="separate"/>
      </w:r>
      <w:r w:rsidR="00F35BB4">
        <w:rPr>
          <w:noProof/>
          <w:sz w:val="24"/>
          <w:szCs w:val="24"/>
        </w:rPr>
        <w:t>Manley et al. (2017)</w:t>
      </w:r>
      <w:r w:rsidR="000E36C3">
        <w:rPr>
          <w:sz w:val="24"/>
          <w:szCs w:val="24"/>
        </w:rPr>
        <w:fldChar w:fldCharType="end"/>
      </w:r>
      <w:r>
        <w:rPr>
          <w:sz w:val="24"/>
          <w:szCs w:val="24"/>
        </w:rPr>
        <w:t xml:space="preserve"> in that whil</w:t>
      </w:r>
      <w:r w:rsidR="000775C1">
        <w:rPr>
          <w:sz w:val="24"/>
          <w:szCs w:val="24"/>
        </w:rPr>
        <w:t>e</w:t>
      </w:r>
      <w:r>
        <w:rPr>
          <w:sz w:val="24"/>
          <w:szCs w:val="24"/>
        </w:rPr>
        <w:t xml:space="preserve"> </w:t>
      </w:r>
      <w:r>
        <w:rPr>
          <w:sz w:val="24"/>
          <w:szCs w:val="24"/>
        </w:rPr>
        <w:lastRenderedPageBreak/>
        <w:t xml:space="preserve">age itself is not a strong </w:t>
      </w:r>
      <w:r w:rsidR="00863B4E">
        <w:rPr>
          <w:sz w:val="24"/>
          <w:szCs w:val="24"/>
        </w:rPr>
        <w:t>predictor in</w:t>
      </w:r>
      <w:r>
        <w:rPr>
          <w:sz w:val="24"/>
          <w:szCs w:val="24"/>
        </w:rPr>
        <w:t xml:space="preserve"> isolation, there are clear patterns which suggest that </w:t>
      </w:r>
      <w:r w:rsidR="006253C0">
        <w:rPr>
          <w:sz w:val="24"/>
          <w:szCs w:val="24"/>
        </w:rPr>
        <w:t xml:space="preserve">some </w:t>
      </w:r>
      <w:r w:rsidR="006B75A3">
        <w:rPr>
          <w:sz w:val="24"/>
          <w:szCs w:val="24"/>
        </w:rPr>
        <w:t>strong ‘Remain’ clusters appear to be a function of age and low levels of deprivation.</w:t>
      </w:r>
    </w:p>
    <w:p w14:paraId="763972BB" w14:textId="1BF26ABB" w:rsidR="00CF12FB" w:rsidRDefault="00BA66D7" w:rsidP="00863B4E">
      <w:pPr>
        <w:spacing w:after="0" w:line="276" w:lineRule="auto"/>
        <w:ind w:firstLine="567"/>
        <w:jc w:val="both"/>
        <w:rPr>
          <w:sz w:val="24"/>
          <w:szCs w:val="24"/>
        </w:rPr>
      </w:pPr>
      <w:r>
        <w:rPr>
          <w:sz w:val="24"/>
          <w:szCs w:val="24"/>
        </w:rPr>
        <w:t>Ultimately, that</w:t>
      </w:r>
      <w:r w:rsidR="006B75A3">
        <w:rPr>
          <w:sz w:val="24"/>
          <w:szCs w:val="24"/>
        </w:rPr>
        <w:t xml:space="preserve"> the two areas do not settle onto a neat template feeds into the broader point of the paper: </w:t>
      </w:r>
      <w:proofErr w:type="gramStart"/>
      <w:r w:rsidR="006B75A3">
        <w:rPr>
          <w:sz w:val="24"/>
          <w:szCs w:val="24"/>
        </w:rPr>
        <w:t>namely</w:t>
      </w:r>
      <w:proofErr w:type="gramEnd"/>
      <w:r w:rsidR="006B75A3">
        <w:rPr>
          <w:sz w:val="24"/>
          <w:szCs w:val="24"/>
        </w:rPr>
        <w:t xml:space="preserve"> that often national level explanations can be too broad.  </w:t>
      </w:r>
      <w:proofErr w:type="gramStart"/>
      <w:r w:rsidR="006B75A3">
        <w:rPr>
          <w:sz w:val="24"/>
          <w:szCs w:val="24"/>
        </w:rPr>
        <w:t>Instead</w:t>
      </w:r>
      <w:proofErr w:type="gramEnd"/>
      <w:r w:rsidR="006B75A3">
        <w:rPr>
          <w:sz w:val="24"/>
          <w:szCs w:val="24"/>
        </w:rPr>
        <w:t xml:space="preserve"> it is clear that place matters.  Context matters.  For example, </w:t>
      </w:r>
      <w:r w:rsidR="00F35BB4">
        <w:rPr>
          <w:sz w:val="24"/>
          <w:szCs w:val="24"/>
        </w:rPr>
        <w:t xml:space="preserve">Liverpool’s economic and political history </w:t>
      </w:r>
      <w:r w:rsidR="00F35BB4">
        <w:rPr>
          <w:sz w:val="24"/>
          <w:szCs w:val="24"/>
        </w:rPr>
        <w:fldChar w:fldCharType="begin"/>
      </w:r>
      <w:r w:rsidR="00F35BB4">
        <w:rPr>
          <w:sz w:val="24"/>
          <w:szCs w:val="24"/>
        </w:rPr>
        <w:instrText xml:space="preserve"> ADDIN EN.CITE &lt;EndNote&gt;&lt;Cite&gt;&lt;Author&gt;Frost&lt;/Author&gt;&lt;Year&gt;2013&lt;/Year&gt;&lt;RecNum&gt;260&lt;/RecNum&gt;&lt;DisplayText&gt;(Frost and North, 2013, Parkinson, 1985, 2019)&lt;/DisplayText&gt;&lt;record&gt;&lt;rec-number&gt;260&lt;/rec-number&gt;&lt;foreign-keys&gt;&lt;key app="EN" db-id="sf2v0zffie0st6edessvst0jrx50tz9rrwst" timestamp="1387380536"&gt;260&lt;/key&gt;&lt;/foreign-keys&gt;&lt;ref-type name="Book"&gt;6&lt;/ref-type&gt;&lt;contributors&gt;&lt;authors&gt;&lt;author&gt;Frost, D.&lt;/author&gt;&lt;author&gt;North, P.&lt;/author&gt;&lt;/authors&gt;&lt;/contributors&gt;&lt;titles&gt;&lt;title&gt;Militant Liverpool a City on the Edge&lt;/title&gt;&lt;/titles&gt;&lt;dates&gt;&lt;year&gt;2013&lt;/year&gt;&lt;/dates&gt;&lt;pub-location&gt;Liverpool&lt;/pub-location&gt;&lt;publisher&gt;Liverpool University Press&lt;/publisher&gt;&lt;urls&gt;&lt;/urls&gt;&lt;/record&gt;&lt;/Cite&gt;&lt;Cite&gt;&lt;Author&gt;Parkinson&lt;/Author&gt;&lt;Year&gt;1985&lt;/Year&gt;&lt;RecNum&gt;175&lt;/RecNum&gt;&lt;record&gt;&lt;rec-number&gt;175&lt;/rec-number&gt;&lt;foreign-keys&gt;&lt;key app="EN" db-id="sf2v0zffie0st6edessvst0jrx50tz9rrwst" timestamp="1368707134"&gt;175&lt;/key&gt;&lt;/foreign-keys&gt;&lt;ref-type name="Book"&gt;6&lt;/ref-type&gt;&lt;contributors&gt;&lt;authors&gt;&lt;author&gt;Parkinson, M. &lt;/author&gt;&lt;/authors&gt;&lt;/contributors&gt;&lt;titles&gt;&lt;title&gt;Liverpool on the Brink&lt;/title&gt;&lt;/titles&gt;&lt;dates&gt;&lt;year&gt;1985&lt;/year&gt;&lt;/dates&gt;&lt;publisher&gt;Hermitage&lt;/publisher&gt;&lt;urls&gt;&lt;/urls&gt;&lt;/record&gt;&lt;/Cite&gt;&lt;Cite ExcludeAuth="1"&gt;&lt;Author&gt;Parkinson&lt;/Author&gt;&lt;Year&gt;2019&lt;/Year&gt;&lt;RecNum&gt;1532&lt;/RecNum&gt;&lt;record&gt;&lt;rec-number&gt;1532&lt;/rec-number&gt;&lt;foreign-keys&gt;&lt;key app="EN" db-id="sf2v0zffie0st6edessvst0jrx50tz9rrwst" timestamp="1556113262"&gt;1532&lt;/key&gt;&lt;/foreign-keys&gt;&lt;ref-type name="Book"&gt;6&lt;/ref-type&gt;&lt;contributors&gt;&lt;authors&gt;&lt;author&gt;Parkinson, M&lt;/author&gt;&lt;/authors&gt;&lt;/contributors&gt;&lt;titles&gt;&lt;title&gt;Liverpool Beyond the Brink&lt;/title&gt;&lt;/titles&gt;&lt;dates&gt;&lt;year&gt;2019&lt;/year&gt;&lt;/dates&gt;&lt;pub-location&gt;Liverpool&lt;/pub-location&gt;&lt;publisher&gt;Liverpool University Press&lt;/publisher&gt;&lt;urls&gt;&lt;/urls&gt;&lt;/record&gt;&lt;/Cite&gt;&lt;/EndNote&gt;</w:instrText>
      </w:r>
      <w:r w:rsidR="00F35BB4">
        <w:rPr>
          <w:sz w:val="24"/>
          <w:szCs w:val="24"/>
        </w:rPr>
        <w:fldChar w:fldCharType="separate"/>
      </w:r>
      <w:r w:rsidR="00F35BB4">
        <w:rPr>
          <w:noProof/>
          <w:sz w:val="24"/>
          <w:szCs w:val="24"/>
        </w:rPr>
        <w:t>(Frost and North, 2013, Parkinson, 1985, 2019)</w:t>
      </w:r>
      <w:r w:rsidR="00F35BB4">
        <w:rPr>
          <w:sz w:val="24"/>
          <w:szCs w:val="24"/>
        </w:rPr>
        <w:fldChar w:fldCharType="end"/>
      </w:r>
      <w:r w:rsidR="00F35BB4">
        <w:rPr>
          <w:sz w:val="24"/>
          <w:szCs w:val="24"/>
        </w:rPr>
        <w:t xml:space="preserve"> suggests that the city represented a ‘Left Behind Britain’ long before the term gained </w:t>
      </w:r>
      <w:r w:rsidR="00A25701">
        <w:rPr>
          <w:sz w:val="24"/>
          <w:szCs w:val="24"/>
        </w:rPr>
        <w:t xml:space="preserve">its current </w:t>
      </w:r>
      <w:r w:rsidR="00F35BB4">
        <w:rPr>
          <w:sz w:val="24"/>
          <w:szCs w:val="24"/>
        </w:rPr>
        <w:t xml:space="preserve">popularity .  </w:t>
      </w:r>
      <w:r w:rsidR="00CF12FB">
        <w:rPr>
          <w:sz w:val="24"/>
          <w:szCs w:val="24"/>
        </w:rPr>
        <w:t>Liverpool</w:t>
      </w:r>
      <w:r w:rsidR="00D27E7E">
        <w:rPr>
          <w:sz w:val="24"/>
          <w:szCs w:val="24"/>
        </w:rPr>
        <w:t xml:space="preserve"> is also </w:t>
      </w:r>
      <w:r w:rsidR="00035A9C">
        <w:rPr>
          <w:sz w:val="24"/>
          <w:szCs w:val="24"/>
        </w:rPr>
        <w:t>a</w:t>
      </w:r>
      <w:r w:rsidR="00D27E7E">
        <w:rPr>
          <w:sz w:val="24"/>
          <w:szCs w:val="24"/>
        </w:rPr>
        <w:t xml:space="preserve"> </w:t>
      </w:r>
      <w:r w:rsidR="00CF12FB">
        <w:rPr>
          <w:sz w:val="24"/>
          <w:szCs w:val="24"/>
        </w:rPr>
        <w:t xml:space="preserve"> Labour </w:t>
      </w:r>
      <w:r w:rsidR="00035A9C">
        <w:rPr>
          <w:sz w:val="24"/>
          <w:szCs w:val="24"/>
        </w:rPr>
        <w:t>‘h</w:t>
      </w:r>
      <w:r w:rsidR="00CF12FB">
        <w:rPr>
          <w:sz w:val="24"/>
          <w:szCs w:val="24"/>
        </w:rPr>
        <w:t>eartland</w:t>
      </w:r>
      <w:r w:rsidR="00035A9C">
        <w:rPr>
          <w:sz w:val="24"/>
          <w:szCs w:val="24"/>
        </w:rPr>
        <w:t>’</w:t>
      </w:r>
      <w:r w:rsidR="00D27E7E">
        <w:rPr>
          <w:sz w:val="24"/>
          <w:szCs w:val="24"/>
        </w:rPr>
        <w:t xml:space="preserve">, even </w:t>
      </w:r>
      <w:r w:rsidR="00035A9C">
        <w:rPr>
          <w:sz w:val="24"/>
          <w:szCs w:val="24"/>
        </w:rPr>
        <w:t xml:space="preserve">if </w:t>
      </w:r>
      <w:r w:rsidR="00D27E7E">
        <w:rPr>
          <w:sz w:val="24"/>
          <w:szCs w:val="24"/>
        </w:rPr>
        <w:t xml:space="preserve">it became a stronghold </w:t>
      </w:r>
      <w:r w:rsidR="00035A9C">
        <w:rPr>
          <w:sz w:val="24"/>
          <w:szCs w:val="24"/>
        </w:rPr>
        <w:t xml:space="preserve">for the party </w:t>
      </w:r>
      <w:r w:rsidR="00D27E7E">
        <w:rPr>
          <w:sz w:val="24"/>
          <w:szCs w:val="24"/>
        </w:rPr>
        <w:t>more recently than is perhaps commonly realised - essentially from the 1970s onwards</w:t>
      </w:r>
      <w:r w:rsidR="00035A9C">
        <w:rPr>
          <w:sz w:val="24"/>
          <w:szCs w:val="24"/>
        </w:rPr>
        <w:t>, though</w:t>
      </w:r>
      <w:r w:rsidR="00D27E7E">
        <w:rPr>
          <w:sz w:val="24"/>
          <w:szCs w:val="24"/>
        </w:rPr>
        <w:t xml:space="preserve"> with a </w:t>
      </w:r>
      <w:r w:rsidR="00035A9C">
        <w:rPr>
          <w:sz w:val="24"/>
          <w:szCs w:val="24"/>
        </w:rPr>
        <w:t xml:space="preserve">significant </w:t>
      </w:r>
      <w:r w:rsidR="00D27E7E">
        <w:rPr>
          <w:sz w:val="24"/>
          <w:szCs w:val="24"/>
        </w:rPr>
        <w:t xml:space="preserve">Liberal </w:t>
      </w:r>
      <w:r w:rsidR="00035A9C">
        <w:rPr>
          <w:sz w:val="24"/>
          <w:szCs w:val="24"/>
        </w:rPr>
        <w:t>Democrat</w:t>
      </w:r>
      <w:r w:rsidR="00D27E7E">
        <w:rPr>
          <w:sz w:val="24"/>
          <w:szCs w:val="24"/>
        </w:rPr>
        <w:t xml:space="preserve"> interregnum from the late 1990s into the 2000s (Parkinson, 2019)</w:t>
      </w:r>
      <w:r w:rsidR="00863B4E">
        <w:rPr>
          <w:sz w:val="24"/>
          <w:szCs w:val="24"/>
        </w:rPr>
        <w:t xml:space="preserve">.  </w:t>
      </w:r>
      <w:r w:rsidR="00D27E7E">
        <w:rPr>
          <w:sz w:val="24"/>
          <w:szCs w:val="24"/>
        </w:rPr>
        <w:t xml:space="preserve"> The city </w:t>
      </w:r>
      <w:r w:rsidR="006242D1">
        <w:rPr>
          <w:sz w:val="24"/>
          <w:szCs w:val="24"/>
        </w:rPr>
        <w:t xml:space="preserve">now ranks amongst the safest </w:t>
      </w:r>
      <w:r w:rsidR="00D27E7E">
        <w:rPr>
          <w:sz w:val="24"/>
          <w:szCs w:val="24"/>
        </w:rPr>
        <w:t xml:space="preserve">Labour </w:t>
      </w:r>
      <w:r w:rsidR="006242D1">
        <w:rPr>
          <w:sz w:val="24"/>
          <w:szCs w:val="24"/>
        </w:rPr>
        <w:t>areas in the country</w:t>
      </w:r>
      <w:r w:rsidR="00035A9C">
        <w:rPr>
          <w:sz w:val="24"/>
          <w:szCs w:val="24"/>
        </w:rPr>
        <w:t xml:space="preserve"> and </w:t>
      </w:r>
      <w:r w:rsidR="00863B4E">
        <w:rPr>
          <w:sz w:val="24"/>
          <w:szCs w:val="24"/>
        </w:rPr>
        <w:t xml:space="preserve">displays the characteristics of both </w:t>
      </w:r>
      <w:r w:rsidR="00A25701">
        <w:rPr>
          <w:sz w:val="24"/>
          <w:szCs w:val="24"/>
        </w:rPr>
        <w:t xml:space="preserve">the </w:t>
      </w:r>
      <w:r w:rsidR="00863B4E">
        <w:rPr>
          <w:sz w:val="24"/>
          <w:szCs w:val="24"/>
        </w:rPr>
        <w:t xml:space="preserve">post-industrial, and </w:t>
      </w:r>
      <w:r w:rsidR="00035A9C">
        <w:rPr>
          <w:sz w:val="24"/>
          <w:szCs w:val="24"/>
        </w:rPr>
        <w:t>the diverse and socially liberal metropolitan ‘</w:t>
      </w:r>
      <w:r w:rsidR="006242D1">
        <w:rPr>
          <w:sz w:val="24"/>
          <w:szCs w:val="24"/>
        </w:rPr>
        <w:t>Labour heartland</w:t>
      </w:r>
      <w:r w:rsidR="00863B4E">
        <w:rPr>
          <w:sz w:val="24"/>
          <w:szCs w:val="24"/>
        </w:rPr>
        <w:t>s</w:t>
      </w:r>
      <w:r w:rsidR="00035A9C">
        <w:rPr>
          <w:sz w:val="24"/>
          <w:szCs w:val="24"/>
        </w:rPr>
        <w:t xml:space="preserve">’. </w:t>
      </w:r>
      <w:r w:rsidR="00A25701">
        <w:rPr>
          <w:sz w:val="24"/>
          <w:szCs w:val="24"/>
        </w:rPr>
        <w:t xml:space="preserve"> It is also a place hit by swingeing cuts of 63% to its local government budget since 2010 </w:t>
      </w:r>
      <w:r w:rsidR="00F35018">
        <w:rPr>
          <w:sz w:val="24"/>
          <w:szCs w:val="24"/>
        </w:rPr>
        <w:fldChar w:fldCharType="begin"/>
      </w:r>
      <w:r w:rsidR="00F35018">
        <w:rPr>
          <w:sz w:val="24"/>
          <w:szCs w:val="24"/>
        </w:rPr>
        <w:instrText xml:space="preserve"> ADDIN EN.CITE &lt;EndNote&gt;&lt;Cite&gt;&lt;Author&gt;Thorp&lt;/Author&gt;&lt;Year&gt;2019&lt;/Year&gt;&lt;RecNum&gt;1598&lt;/RecNum&gt;&lt;DisplayText&gt;(Thorp, 2019)&lt;/DisplayText&gt;&lt;record&gt;&lt;rec-number&gt;1598&lt;/rec-number&gt;&lt;foreign-keys&gt;&lt;key app="EN" db-id="sf2v0zffie0st6edessvst0jrx50tz9rrwst" timestamp="1568822958"&gt;1598&lt;/key&gt;&lt;/foreign-keys&gt;&lt;ref-type name="Newspaper Article"&gt;23&lt;/ref-type&gt;&lt;contributors&gt;&lt;authors&gt;&lt;author&gt;Thorp, L.&lt;/author&gt;&lt;/authors&gt;&lt;/contributors&gt;&lt;titles&gt;&lt;title&gt;Liverpool is facing &amp;apos;worst crisis since World War Two&amp;apos; with huge budget gap and nowhere left to turn&lt;/title&gt;&lt;secondary-title&gt;Liverpool Echo&lt;/secondary-title&gt;&lt;/titles&gt;&lt;dates&gt;&lt;year&gt;2019&lt;/year&gt;&lt;/dates&gt;&lt;pub-location&gt;Liverpool&lt;/pub-location&gt;&lt;urls&gt;&lt;related-urls&gt;&lt;url&gt;&lt;style face="underline" font="default" size="100%"&gt;https://www.liverpoolecho.co.uk/news/liverpool-news/liverpool-facing-worst-crisis-world-16932434&lt;/style&gt;&lt;/url&gt;&lt;/related-urls&gt;&lt;/urls&gt;&lt;access-date&gt;18th September 2019&lt;/access-date&gt;&lt;/record&gt;&lt;/Cite&gt;&lt;/EndNote&gt;</w:instrText>
      </w:r>
      <w:r w:rsidR="00F35018">
        <w:rPr>
          <w:sz w:val="24"/>
          <w:szCs w:val="24"/>
        </w:rPr>
        <w:fldChar w:fldCharType="separate"/>
      </w:r>
      <w:r w:rsidR="00F35018">
        <w:rPr>
          <w:noProof/>
          <w:sz w:val="24"/>
          <w:szCs w:val="24"/>
        </w:rPr>
        <w:t>(Thorp, 2019)</w:t>
      </w:r>
      <w:r w:rsidR="00F35018">
        <w:rPr>
          <w:sz w:val="24"/>
          <w:szCs w:val="24"/>
        </w:rPr>
        <w:fldChar w:fldCharType="end"/>
      </w:r>
      <w:r w:rsidR="00A25701">
        <w:rPr>
          <w:sz w:val="24"/>
          <w:szCs w:val="24"/>
        </w:rPr>
        <w:t xml:space="preserve">.  </w:t>
      </w:r>
      <w:r w:rsidR="00F35018">
        <w:rPr>
          <w:sz w:val="24"/>
          <w:szCs w:val="24"/>
        </w:rPr>
        <w:t xml:space="preserve">Conversely, </w:t>
      </w:r>
      <w:r w:rsidR="00035A9C">
        <w:rPr>
          <w:sz w:val="24"/>
          <w:szCs w:val="24"/>
        </w:rPr>
        <w:t>T</w:t>
      </w:r>
      <w:r>
        <w:rPr>
          <w:sz w:val="24"/>
          <w:szCs w:val="24"/>
        </w:rPr>
        <w:t xml:space="preserve">he Wirral </w:t>
      </w:r>
      <w:r w:rsidR="00A25701">
        <w:rPr>
          <w:sz w:val="24"/>
          <w:szCs w:val="24"/>
        </w:rPr>
        <w:t xml:space="preserve">was </w:t>
      </w:r>
      <w:r>
        <w:rPr>
          <w:sz w:val="24"/>
          <w:szCs w:val="24"/>
        </w:rPr>
        <w:t xml:space="preserve">no less affected by the decline in industrial activity along the Mersey </w:t>
      </w:r>
      <w:r>
        <w:rPr>
          <w:sz w:val="24"/>
          <w:szCs w:val="24"/>
        </w:rPr>
        <w:fldChar w:fldCharType="begin"/>
      </w:r>
      <w:r>
        <w:rPr>
          <w:sz w:val="24"/>
          <w:szCs w:val="24"/>
        </w:rPr>
        <w:instrText xml:space="preserve"> ADDIN EN.CITE &lt;EndNote&gt;&lt;Cite&gt;&lt;Author&gt;Sykes&lt;/Author&gt;&lt;Year&gt;2013&lt;/Year&gt;&lt;RecNum&gt;228&lt;/RecNum&gt;&lt;DisplayText&gt;(Sykes et al., 2013)&lt;/DisplayText&gt;&lt;record&gt;&lt;rec-number&gt;228&lt;/rec-number&gt;&lt;foreign-keys&gt;&lt;key app="EN" db-id="sf2v0zffie0st6edessvst0jrx50tz9rrwst" timestamp="1375861522"&gt;228&lt;/key&gt;&lt;/foreign-keys&gt;&lt;ref-type name="Journal Article"&gt;17&lt;/ref-type&gt;&lt;contributors&gt;&lt;authors&gt;&lt;author&gt;Sykes, O.&lt;/author&gt;&lt;author&gt;Brown, J.&lt;/author&gt;&lt;author&gt;Cocks, Matthew&lt;/author&gt;&lt;author&gt;Shaw, David&lt;/author&gt;&lt;author&gt;Couch, C.&lt;/author&gt;&lt;/authors&gt;&lt;/contributors&gt;&lt;titles&gt;&lt;title&gt;A City Profile of Liverpool&lt;/title&gt;&lt;secondary-title&gt;Cities&lt;/secondary-title&gt;&lt;/titles&gt;&lt;periodical&gt;&lt;full-title&gt;Cities&lt;/full-title&gt;&lt;/periodical&gt;&lt;volume&gt;(Published Online)&lt;/volume&gt;&lt;dates&gt;&lt;year&gt;2013&lt;/year&gt;&lt;/dates&gt;&lt;urls&gt;&lt;/urls&gt;&lt;/record&gt;&lt;/Cite&gt;&lt;/EndNote&gt;</w:instrText>
      </w:r>
      <w:r>
        <w:rPr>
          <w:sz w:val="24"/>
          <w:szCs w:val="24"/>
        </w:rPr>
        <w:fldChar w:fldCharType="separate"/>
      </w:r>
      <w:r>
        <w:rPr>
          <w:noProof/>
          <w:sz w:val="24"/>
          <w:szCs w:val="24"/>
        </w:rPr>
        <w:t>(Sykes et al., 2013)</w:t>
      </w:r>
      <w:r>
        <w:rPr>
          <w:sz w:val="24"/>
          <w:szCs w:val="24"/>
        </w:rPr>
        <w:fldChar w:fldCharType="end"/>
      </w:r>
      <w:r w:rsidR="00A25701">
        <w:rPr>
          <w:sz w:val="24"/>
          <w:szCs w:val="24"/>
        </w:rPr>
        <w:t xml:space="preserve"> in the latter decades of the 20</w:t>
      </w:r>
      <w:r w:rsidR="00A25701" w:rsidRPr="00F35018">
        <w:rPr>
          <w:sz w:val="24"/>
          <w:szCs w:val="24"/>
          <w:vertAlign w:val="superscript"/>
        </w:rPr>
        <w:t>th</w:t>
      </w:r>
      <w:r w:rsidR="00A25701">
        <w:rPr>
          <w:sz w:val="24"/>
          <w:szCs w:val="24"/>
        </w:rPr>
        <w:t xml:space="preserve">. </w:t>
      </w:r>
      <w:r w:rsidR="00F35018">
        <w:rPr>
          <w:sz w:val="24"/>
          <w:szCs w:val="24"/>
        </w:rPr>
        <w:t>Century</w:t>
      </w:r>
      <w:r>
        <w:rPr>
          <w:sz w:val="24"/>
          <w:szCs w:val="24"/>
        </w:rPr>
        <w:t xml:space="preserve">, </w:t>
      </w:r>
      <w:r w:rsidR="00A25701">
        <w:rPr>
          <w:sz w:val="24"/>
          <w:szCs w:val="24"/>
        </w:rPr>
        <w:t xml:space="preserve">but </w:t>
      </w:r>
      <w:r>
        <w:rPr>
          <w:sz w:val="24"/>
          <w:szCs w:val="24"/>
        </w:rPr>
        <w:t>is</w:t>
      </w:r>
      <w:r w:rsidR="00CA3A8D">
        <w:rPr>
          <w:sz w:val="24"/>
          <w:szCs w:val="24"/>
        </w:rPr>
        <w:t xml:space="preserve"> </w:t>
      </w:r>
      <w:r w:rsidR="00035A9C">
        <w:rPr>
          <w:sz w:val="24"/>
          <w:szCs w:val="24"/>
        </w:rPr>
        <w:t>less firmly</w:t>
      </w:r>
      <w:r>
        <w:rPr>
          <w:sz w:val="24"/>
          <w:szCs w:val="24"/>
        </w:rPr>
        <w:t xml:space="preserve"> a Labour heartland</w:t>
      </w:r>
      <w:r w:rsidR="00CA3A8D">
        <w:rPr>
          <w:sz w:val="24"/>
          <w:szCs w:val="24"/>
        </w:rPr>
        <w:t xml:space="preserve"> (with Labour holding 32 of 66 council seats after the May 2019 local elections)</w:t>
      </w:r>
      <w:r>
        <w:rPr>
          <w:sz w:val="24"/>
          <w:szCs w:val="24"/>
        </w:rPr>
        <w:t xml:space="preserve">, </w:t>
      </w:r>
      <w:r w:rsidR="00A25701">
        <w:rPr>
          <w:sz w:val="24"/>
          <w:szCs w:val="24"/>
        </w:rPr>
        <w:t xml:space="preserve">and </w:t>
      </w:r>
      <w:r>
        <w:rPr>
          <w:sz w:val="24"/>
          <w:szCs w:val="24"/>
        </w:rPr>
        <w:t xml:space="preserve">does conform </w:t>
      </w:r>
      <w:r w:rsidR="00CA3A8D">
        <w:rPr>
          <w:sz w:val="24"/>
          <w:szCs w:val="24"/>
        </w:rPr>
        <w:t xml:space="preserve">broadly </w:t>
      </w:r>
      <w:r>
        <w:rPr>
          <w:sz w:val="24"/>
          <w:szCs w:val="24"/>
        </w:rPr>
        <w:t xml:space="preserve">to </w:t>
      </w:r>
      <w:r w:rsidR="00035A9C">
        <w:rPr>
          <w:sz w:val="24"/>
          <w:szCs w:val="24"/>
        </w:rPr>
        <w:t xml:space="preserve">the </w:t>
      </w:r>
      <w:r>
        <w:rPr>
          <w:sz w:val="24"/>
          <w:szCs w:val="24"/>
        </w:rPr>
        <w:t>expectations</w:t>
      </w:r>
      <w:r w:rsidR="00CA3A8D">
        <w:rPr>
          <w:sz w:val="24"/>
          <w:szCs w:val="24"/>
        </w:rPr>
        <w:t xml:space="preserve"> </w:t>
      </w:r>
      <w:r w:rsidR="000215A6">
        <w:rPr>
          <w:sz w:val="24"/>
          <w:szCs w:val="24"/>
        </w:rPr>
        <w:t xml:space="preserve">of </w:t>
      </w:r>
      <w:r w:rsidR="00CA3A8D">
        <w:rPr>
          <w:sz w:val="24"/>
          <w:szCs w:val="24"/>
        </w:rPr>
        <w:t>the LBB stereotype</w:t>
      </w:r>
      <w:r>
        <w:rPr>
          <w:sz w:val="24"/>
          <w:szCs w:val="24"/>
        </w:rPr>
        <w:t>.</w:t>
      </w:r>
    </w:p>
    <w:p w14:paraId="65CCB476" w14:textId="06FD19E7" w:rsidR="008C46A0" w:rsidRDefault="00CF12FB" w:rsidP="00CF12FB">
      <w:pPr>
        <w:spacing w:after="0" w:line="276" w:lineRule="auto"/>
        <w:ind w:firstLine="567"/>
        <w:jc w:val="both"/>
        <w:rPr>
          <w:sz w:val="24"/>
          <w:szCs w:val="24"/>
        </w:rPr>
      </w:pPr>
      <w:r>
        <w:rPr>
          <w:sz w:val="24"/>
          <w:szCs w:val="24"/>
        </w:rPr>
        <w:t>What the lower-level analysis of the referendum does, therefore, is suggest that t</w:t>
      </w:r>
      <w:r w:rsidR="00B052F2">
        <w:rPr>
          <w:sz w:val="24"/>
          <w:szCs w:val="24"/>
        </w:rPr>
        <w:t>here are limits</w:t>
      </w:r>
      <w:r>
        <w:rPr>
          <w:sz w:val="24"/>
          <w:szCs w:val="24"/>
        </w:rPr>
        <w:t xml:space="preserve"> </w:t>
      </w:r>
      <w:r w:rsidR="00B052F2">
        <w:rPr>
          <w:sz w:val="24"/>
          <w:szCs w:val="24"/>
        </w:rPr>
        <w:t>to any one-size-fits-all explanations</w:t>
      </w:r>
      <w:r>
        <w:rPr>
          <w:sz w:val="24"/>
          <w:szCs w:val="24"/>
        </w:rPr>
        <w:t xml:space="preserve"> and, more crucially, </w:t>
      </w:r>
      <w:r w:rsidR="00CA3A8D">
        <w:rPr>
          <w:sz w:val="24"/>
          <w:szCs w:val="24"/>
        </w:rPr>
        <w:t xml:space="preserve">it </w:t>
      </w:r>
      <w:r>
        <w:rPr>
          <w:sz w:val="24"/>
          <w:szCs w:val="24"/>
        </w:rPr>
        <w:t xml:space="preserve">makes us aware that we </w:t>
      </w:r>
      <w:r w:rsidR="00B052F2">
        <w:rPr>
          <w:sz w:val="24"/>
          <w:szCs w:val="24"/>
        </w:rPr>
        <w:t xml:space="preserve">should be </w:t>
      </w:r>
      <w:r w:rsidR="00CA3A8D">
        <w:rPr>
          <w:sz w:val="24"/>
          <w:szCs w:val="24"/>
        </w:rPr>
        <w:t xml:space="preserve">cognisant and </w:t>
      </w:r>
      <w:r w:rsidR="00B052F2">
        <w:rPr>
          <w:sz w:val="24"/>
          <w:szCs w:val="24"/>
        </w:rPr>
        <w:t>critical about where those limits lie.</w:t>
      </w:r>
      <w:r w:rsidR="00BA66D7">
        <w:rPr>
          <w:sz w:val="24"/>
          <w:szCs w:val="24"/>
        </w:rPr>
        <w:t xml:space="preserve">  This</w:t>
      </w:r>
      <w:r w:rsidR="000D1287">
        <w:rPr>
          <w:sz w:val="24"/>
          <w:szCs w:val="24"/>
        </w:rPr>
        <w:t xml:space="preserve"> is </w:t>
      </w:r>
      <w:r w:rsidR="00BA66D7">
        <w:rPr>
          <w:sz w:val="24"/>
          <w:szCs w:val="24"/>
        </w:rPr>
        <w:t xml:space="preserve">important, particularly in responses to events such as the </w:t>
      </w:r>
      <w:r w:rsidR="00CA3A8D">
        <w:rPr>
          <w:sz w:val="24"/>
          <w:szCs w:val="24"/>
        </w:rPr>
        <w:t xml:space="preserve">2016 EU </w:t>
      </w:r>
      <w:r w:rsidR="00BA66D7">
        <w:rPr>
          <w:sz w:val="24"/>
          <w:szCs w:val="24"/>
        </w:rPr>
        <w:t>referendum</w:t>
      </w:r>
      <w:r w:rsidR="000D1287">
        <w:rPr>
          <w:sz w:val="24"/>
          <w:szCs w:val="24"/>
        </w:rPr>
        <w:t>,</w:t>
      </w:r>
      <w:r w:rsidR="00BA66D7">
        <w:rPr>
          <w:sz w:val="24"/>
          <w:szCs w:val="24"/>
        </w:rPr>
        <w:t xml:space="preserve"> </w:t>
      </w:r>
      <w:r w:rsidR="000D1287">
        <w:rPr>
          <w:sz w:val="24"/>
          <w:szCs w:val="24"/>
        </w:rPr>
        <w:t xml:space="preserve">in </w:t>
      </w:r>
      <w:r w:rsidR="00BA66D7">
        <w:rPr>
          <w:sz w:val="24"/>
          <w:szCs w:val="24"/>
        </w:rPr>
        <w:t xml:space="preserve">which </w:t>
      </w:r>
      <w:r w:rsidR="000D1287">
        <w:rPr>
          <w:sz w:val="24"/>
          <w:szCs w:val="24"/>
        </w:rPr>
        <w:t xml:space="preserve">such explanations </w:t>
      </w:r>
      <w:proofErr w:type="gramStart"/>
      <w:r w:rsidR="00CA3A8D">
        <w:rPr>
          <w:sz w:val="24"/>
          <w:szCs w:val="24"/>
        </w:rPr>
        <w:t>are used</w:t>
      </w:r>
      <w:proofErr w:type="gramEnd"/>
      <w:r w:rsidR="00CA3A8D">
        <w:rPr>
          <w:sz w:val="24"/>
          <w:szCs w:val="24"/>
        </w:rPr>
        <w:t xml:space="preserve"> to call forth and justify various public policy demands</w:t>
      </w:r>
      <w:r w:rsidR="00BA66D7">
        <w:rPr>
          <w:sz w:val="24"/>
          <w:szCs w:val="24"/>
        </w:rPr>
        <w:t>.</w:t>
      </w:r>
      <w:r w:rsidR="003B6A54">
        <w:rPr>
          <w:sz w:val="24"/>
          <w:szCs w:val="24"/>
        </w:rPr>
        <w:t xml:space="preserve">  </w:t>
      </w:r>
    </w:p>
    <w:p w14:paraId="7CEC0958" w14:textId="77777777" w:rsidR="000E36C3" w:rsidRPr="007A3248" w:rsidRDefault="000E36C3" w:rsidP="000E36C3">
      <w:pPr>
        <w:spacing w:after="0" w:line="276" w:lineRule="auto"/>
        <w:ind w:firstLine="567"/>
        <w:jc w:val="both"/>
        <w:rPr>
          <w:sz w:val="24"/>
          <w:szCs w:val="24"/>
        </w:rPr>
      </w:pPr>
    </w:p>
    <w:p w14:paraId="18FC4646" w14:textId="3F29028E" w:rsidR="00F965A4" w:rsidRPr="00340B9D" w:rsidRDefault="00F965A4" w:rsidP="009060BF">
      <w:pPr>
        <w:pStyle w:val="ListParagraph"/>
        <w:numPr>
          <w:ilvl w:val="0"/>
          <w:numId w:val="2"/>
        </w:numPr>
        <w:spacing w:after="0" w:line="276" w:lineRule="auto"/>
        <w:jc w:val="both"/>
        <w:rPr>
          <w:b/>
          <w:sz w:val="24"/>
          <w:szCs w:val="24"/>
        </w:rPr>
      </w:pPr>
      <w:r w:rsidRPr="00340B9D">
        <w:rPr>
          <w:b/>
          <w:sz w:val="24"/>
          <w:szCs w:val="24"/>
        </w:rPr>
        <w:t>Conclusion</w:t>
      </w:r>
    </w:p>
    <w:p w14:paraId="799BE29C" w14:textId="77777777" w:rsidR="00315542" w:rsidRDefault="00315542" w:rsidP="00B140D4">
      <w:pPr>
        <w:spacing w:after="0" w:line="276" w:lineRule="auto"/>
        <w:ind w:firstLine="567"/>
        <w:jc w:val="both"/>
        <w:rPr>
          <w:sz w:val="24"/>
          <w:szCs w:val="24"/>
        </w:rPr>
      </w:pPr>
    </w:p>
    <w:p w14:paraId="2EC9C259" w14:textId="5272DFAD" w:rsidR="00701DB0" w:rsidRDefault="007B0CA4" w:rsidP="00701DB0">
      <w:pPr>
        <w:spacing w:after="0" w:line="276" w:lineRule="auto"/>
        <w:ind w:firstLine="567"/>
        <w:jc w:val="both"/>
        <w:rPr>
          <w:sz w:val="24"/>
          <w:szCs w:val="24"/>
        </w:rPr>
      </w:pPr>
      <w:r>
        <w:rPr>
          <w:sz w:val="24"/>
          <w:szCs w:val="24"/>
        </w:rPr>
        <w:t xml:space="preserve">This </w:t>
      </w:r>
      <w:r w:rsidR="00701DB0">
        <w:rPr>
          <w:sz w:val="24"/>
          <w:szCs w:val="24"/>
        </w:rPr>
        <w:t xml:space="preserve">discussion </w:t>
      </w:r>
      <w:r>
        <w:rPr>
          <w:sz w:val="24"/>
          <w:szCs w:val="24"/>
        </w:rPr>
        <w:t xml:space="preserve">has sought to consider some of the socio-spatial tropes and </w:t>
      </w:r>
      <w:r w:rsidR="006253C0">
        <w:rPr>
          <w:sz w:val="24"/>
          <w:szCs w:val="24"/>
        </w:rPr>
        <w:t>caricatures</w:t>
      </w:r>
      <w:r>
        <w:rPr>
          <w:sz w:val="24"/>
          <w:szCs w:val="24"/>
        </w:rPr>
        <w:t xml:space="preserve"> that have come to characterise the aftermath of the UK’s 2016 EU referendum</w:t>
      </w:r>
      <w:r w:rsidR="00701DB0">
        <w:rPr>
          <w:sz w:val="24"/>
          <w:szCs w:val="24"/>
        </w:rPr>
        <w:t>,</w:t>
      </w:r>
      <w:r w:rsidR="00FC5FB5">
        <w:rPr>
          <w:sz w:val="24"/>
          <w:szCs w:val="24"/>
        </w:rPr>
        <w:t xml:space="preserve"> and argued that some of these rest on insufficiently granular data and evaluations of the result</w:t>
      </w:r>
      <w:r>
        <w:rPr>
          <w:sz w:val="24"/>
          <w:szCs w:val="24"/>
        </w:rPr>
        <w:t>.</w:t>
      </w:r>
      <w:r w:rsidR="00FC5FB5">
        <w:rPr>
          <w:sz w:val="24"/>
          <w:szCs w:val="24"/>
        </w:rPr>
        <w:t xml:space="preserve"> At their crudest, depictions which aggregate the result to the four nation territories of the UK, or attribute local authority or constituency areas to ‘leave’ or ‘remain’ in blanket fashion based on simple majoritarian logics, shorthand the finer geographies at play, blunting our understandings</w:t>
      </w:r>
      <w:r w:rsidR="006253C0">
        <w:rPr>
          <w:sz w:val="24"/>
          <w:szCs w:val="24"/>
        </w:rPr>
        <w:t xml:space="preserve"> and thus our ability to respond </w:t>
      </w:r>
      <w:r w:rsidR="00CF12FB">
        <w:rPr>
          <w:sz w:val="24"/>
          <w:szCs w:val="24"/>
        </w:rPr>
        <w:t>appropriately</w:t>
      </w:r>
      <w:r w:rsidR="00FC5FB5">
        <w:rPr>
          <w:sz w:val="24"/>
          <w:szCs w:val="24"/>
        </w:rPr>
        <w:t>.</w:t>
      </w:r>
      <w:r>
        <w:rPr>
          <w:sz w:val="24"/>
          <w:szCs w:val="24"/>
        </w:rPr>
        <w:t xml:space="preserve"> </w:t>
      </w:r>
    </w:p>
    <w:p w14:paraId="71C8F435" w14:textId="2D4763D3" w:rsidR="00701DB0" w:rsidRDefault="00FC5FB5" w:rsidP="004B2CE0">
      <w:pPr>
        <w:spacing w:after="0" w:line="276" w:lineRule="auto"/>
        <w:ind w:firstLine="567"/>
        <w:jc w:val="both"/>
        <w:rPr>
          <w:sz w:val="24"/>
          <w:szCs w:val="24"/>
        </w:rPr>
      </w:pPr>
      <w:r>
        <w:rPr>
          <w:sz w:val="24"/>
          <w:szCs w:val="24"/>
        </w:rPr>
        <w:t xml:space="preserve"> </w:t>
      </w:r>
      <w:r w:rsidR="007B0CA4">
        <w:rPr>
          <w:sz w:val="24"/>
          <w:szCs w:val="24"/>
        </w:rPr>
        <w:t xml:space="preserve">It is clear </w:t>
      </w:r>
      <w:r w:rsidR="00BE091B">
        <w:rPr>
          <w:sz w:val="24"/>
          <w:szCs w:val="24"/>
        </w:rPr>
        <w:t xml:space="preserve">too </w:t>
      </w:r>
      <w:r w:rsidR="007B0CA4">
        <w:rPr>
          <w:sz w:val="24"/>
          <w:szCs w:val="24"/>
        </w:rPr>
        <w:t xml:space="preserve">that some readings of the spatiality of the vote have acquired greater dominance </w:t>
      </w:r>
      <w:proofErr w:type="gramStart"/>
      <w:r w:rsidR="007B0CA4">
        <w:rPr>
          <w:sz w:val="24"/>
          <w:szCs w:val="24"/>
        </w:rPr>
        <w:t>than others</w:t>
      </w:r>
      <w:proofErr w:type="gramEnd"/>
      <w:r w:rsidR="007B0CA4">
        <w:rPr>
          <w:sz w:val="24"/>
          <w:szCs w:val="24"/>
        </w:rPr>
        <w:t xml:space="preserve"> in unders</w:t>
      </w:r>
      <w:r w:rsidR="00CE44C9">
        <w:rPr>
          <w:sz w:val="24"/>
          <w:szCs w:val="24"/>
        </w:rPr>
        <w:t xml:space="preserve">tandings and responses in the aftermath of the referendum and in “published opinion”. </w:t>
      </w:r>
      <w:proofErr w:type="gramStart"/>
      <w:r w:rsidR="00CE44C9">
        <w:rPr>
          <w:sz w:val="24"/>
          <w:szCs w:val="24"/>
        </w:rPr>
        <w:t>The most pervasive has been the social-spatial narrative of the revolt of a deprived northern and peripheral ‘Left Behind Britain’ or ‘</w:t>
      </w:r>
      <w:proofErr w:type="spellStart"/>
      <w:r w:rsidR="00CE44C9">
        <w:rPr>
          <w:sz w:val="24"/>
          <w:szCs w:val="24"/>
        </w:rPr>
        <w:t>Brexitland</w:t>
      </w:r>
      <w:proofErr w:type="spellEnd"/>
      <w:r w:rsidR="00CE44C9">
        <w:rPr>
          <w:sz w:val="24"/>
          <w:szCs w:val="24"/>
        </w:rPr>
        <w:t>’, which despite sitting uneasily against the early evidence that in absolute terms the key territories of the leave result where to be found in areas of affluent Euroscepticism primarily in southern England, has exerted a powerful influence on perceptions.</w:t>
      </w:r>
      <w:proofErr w:type="gramEnd"/>
      <w:r w:rsidR="00CE44C9">
        <w:rPr>
          <w:sz w:val="24"/>
          <w:szCs w:val="24"/>
        </w:rPr>
        <w:t xml:space="preserve"> The aggregate data illustrating that older voters had a greater propensity to vote leave has also animated debates with the </w:t>
      </w:r>
      <w:r w:rsidR="00CE44C9">
        <w:rPr>
          <w:sz w:val="24"/>
          <w:szCs w:val="24"/>
        </w:rPr>
        <w:lastRenderedPageBreak/>
        <w:t xml:space="preserve">referendum result </w:t>
      </w:r>
      <w:proofErr w:type="gramStart"/>
      <w:r w:rsidR="00CE44C9">
        <w:rPr>
          <w:sz w:val="24"/>
          <w:szCs w:val="24"/>
        </w:rPr>
        <w:t>being interpreted</w:t>
      </w:r>
      <w:proofErr w:type="gramEnd"/>
      <w:r w:rsidR="00CE44C9">
        <w:rPr>
          <w:sz w:val="24"/>
          <w:szCs w:val="24"/>
        </w:rPr>
        <w:t xml:space="preserve"> in terms of intergenerational equity and tensions.  The interests and votes of BAME voters have largely been </w:t>
      </w:r>
      <w:r w:rsidR="00631785">
        <w:rPr>
          <w:sz w:val="24"/>
          <w:szCs w:val="24"/>
        </w:rPr>
        <w:t xml:space="preserve">ignored </w:t>
      </w:r>
      <w:r w:rsidR="00CE44C9">
        <w:rPr>
          <w:sz w:val="24"/>
          <w:szCs w:val="24"/>
        </w:rPr>
        <w:t>in the wider post-referendum</w:t>
      </w:r>
      <w:r w:rsidR="00631785">
        <w:rPr>
          <w:sz w:val="24"/>
          <w:szCs w:val="24"/>
        </w:rPr>
        <w:t xml:space="preserve"> debates, and even </w:t>
      </w:r>
      <w:r w:rsidR="00CE44C9">
        <w:rPr>
          <w:sz w:val="24"/>
          <w:szCs w:val="24"/>
        </w:rPr>
        <w:t xml:space="preserve">the spike in hate </w:t>
      </w:r>
      <w:proofErr w:type="gramStart"/>
      <w:r w:rsidR="00CE44C9">
        <w:rPr>
          <w:sz w:val="24"/>
          <w:szCs w:val="24"/>
        </w:rPr>
        <w:t>crimes which followed</w:t>
      </w:r>
      <w:proofErr w:type="gramEnd"/>
      <w:r w:rsidR="00631785">
        <w:rPr>
          <w:sz w:val="24"/>
          <w:szCs w:val="24"/>
        </w:rPr>
        <w:t xml:space="preserve"> has been largely viewed as a collateral issue, with little introspection</w:t>
      </w:r>
      <w:r w:rsidR="004B2CE0">
        <w:rPr>
          <w:sz w:val="24"/>
          <w:szCs w:val="24"/>
        </w:rPr>
        <w:t xml:space="preserve"> </w:t>
      </w:r>
      <w:r w:rsidR="00631785">
        <w:rPr>
          <w:sz w:val="24"/>
          <w:szCs w:val="24"/>
        </w:rPr>
        <w:t>noticeable amongst those who employed anti-immigrant rhetoric and imagery in the 2016 campaign</w:t>
      </w:r>
      <w:r w:rsidR="005A723C">
        <w:rPr>
          <w:sz w:val="24"/>
          <w:szCs w:val="24"/>
        </w:rPr>
        <w:t>.</w:t>
      </w:r>
    </w:p>
    <w:p w14:paraId="7139F63E" w14:textId="46ACC103" w:rsidR="00701DB0" w:rsidRDefault="00FC5FB5" w:rsidP="00701DB0">
      <w:pPr>
        <w:spacing w:after="0" w:line="276" w:lineRule="auto"/>
        <w:ind w:firstLine="567"/>
        <w:jc w:val="both"/>
        <w:rPr>
          <w:sz w:val="24"/>
          <w:szCs w:val="24"/>
        </w:rPr>
      </w:pPr>
      <w:r>
        <w:rPr>
          <w:sz w:val="24"/>
          <w:szCs w:val="24"/>
        </w:rPr>
        <w:t>The present paper has sought to explore some of these themes in the context of two local authority areas in a northern English city region</w:t>
      </w:r>
      <w:r w:rsidR="00BE091B">
        <w:rPr>
          <w:sz w:val="24"/>
          <w:szCs w:val="24"/>
        </w:rPr>
        <w:t xml:space="preserve"> for which voting data from the EU referendum is available at ward level. It has set this alongside data relating to deprivation, age profile</w:t>
      </w:r>
      <w:r w:rsidR="00631785">
        <w:rPr>
          <w:sz w:val="24"/>
          <w:szCs w:val="24"/>
        </w:rPr>
        <w:t>,</w:t>
      </w:r>
      <w:r w:rsidR="00BE091B">
        <w:rPr>
          <w:sz w:val="24"/>
          <w:szCs w:val="24"/>
        </w:rPr>
        <w:t xml:space="preserve"> and ethnicity to offer some reflections on where </w:t>
      </w:r>
      <w:r w:rsidR="00EE6917">
        <w:rPr>
          <w:sz w:val="24"/>
          <w:szCs w:val="24"/>
        </w:rPr>
        <w:t xml:space="preserve">given </w:t>
      </w:r>
      <w:r w:rsidR="00BE091B">
        <w:rPr>
          <w:sz w:val="24"/>
          <w:szCs w:val="24"/>
        </w:rPr>
        <w:t>macro spatial-social tropes which ha</w:t>
      </w:r>
      <w:r w:rsidR="00631785">
        <w:rPr>
          <w:sz w:val="24"/>
          <w:szCs w:val="24"/>
        </w:rPr>
        <w:t>ve</w:t>
      </w:r>
      <w:r w:rsidR="00BE091B">
        <w:rPr>
          <w:sz w:val="24"/>
          <w:szCs w:val="24"/>
        </w:rPr>
        <w:t xml:space="preserve"> risen to prominence since 2016 hold true and where they appear to </w:t>
      </w:r>
      <w:proofErr w:type="gramStart"/>
      <w:r w:rsidR="00BE091B">
        <w:rPr>
          <w:sz w:val="24"/>
          <w:szCs w:val="24"/>
        </w:rPr>
        <w:t>be challenged</w:t>
      </w:r>
      <w:proofErr w:type="gramEnd"/>
      <w:r w:rsidR="00BE091B">
        <w:rPr>
          <w:sz w:val="24"/>
          <w:szCs w:val="24"/>
        </w:rPr>
        <w:t xml:space="preserve"> by the descriptive statistical data.  </w:t>
      </w:r>
      <w:r w:rsidR="00136044">
        <w:rPr>
          <w:sz w:val="24"/>
          <w:szCs w:val="24"/>
        </w:rPr>
        <w:t xml:space="preserve">The analysis cannot claim to be comprehensive and a fuller picture would require further work to </w:t>
      </w:r>
      <w:r w:rsidR="00EE6917">
        <w:rPr>
          <w:sz w:val="24"/>
          <w:szCs w:val="24"/>
        </w:rPr>
        <w:t>ascertain contextual and causal factors and links to attitudes in differen</w:t>
      </w:r>
      <w:r w:rsidR="00631785">
        <w:rPr>
          <w:sz w:val="24"/>
          <w:szCs w:val="24"/>
        </w:rPr>
        <w:t xml:space="preserve">t areas.  </w:t>
      </w:r>
      <w:proofErr w:type="gramStart"/>
      <w:r w:rsidR="00631785">
        <w:rPr>
          <w:sz w:val="24"/>
          <w:szCs w:val="24"/>
        </w:rPr>
        <w:t>But</w:t>
      </w:r>
      <w:proofErr w:type="gramEnd"/>
      <w:r w:rsidR="00631785">
        <w:rPr>
          <w:sz w:val="24"/>
          <w:szCs w:val="24"/>
        </w:rPr>
        <w:t xml:space="preserve"> the data reviewed</w:t>
      </w:r>
      <w:r w:rsidR="00EE6917">
        <w:rPr>
          <w:sz w:val="24"/>
          <w:szCs w:val="24"/>
        </w:rPr>
        <w:t xml:space="preserve"> does show where some of the wider assumptions and socio-spatial narratives which have been used to frame the ‘</w:t>
      </w:r>
      <w:proofErr w:type="spellStart"/>
      <w:r w:rsidR="00EE6917">
        <w:rPr>
          <w:sz w:val="24"/>
          <w:szCs w:val="24"/>
        </w:rPr>
        <w:t>Brexit</w:t>
      </w:r>
      <w:proofErr w:type="spellEnd"/>
      <w:r w:rsidR="00EE6917">
        <w:rPr>
          <w:sz w:val="24"/>
          <w:szCs w:val="24"/>
        </w:rPr>
        <w:t>’ debate since 2016 appear to be confirmed</w:t>
      </w:r>
      <w:r w:rsidR="00631785">
        <w:rPr>
          <w:sz w:val="24"/>
          <w:szCs w:val="24"/>
        </w:rPr>
        <w:t>,</w:t>
      </w:r>
      <w:r w:rsidR="00EE6917">
        <w:rPr>
          <w:sz w:val="24"/>
          <w:szCs w:val="24"/>
        </w:rPr>
        <w:t xml:space="preserve"> or begin to breakdown</w:t>
      </w:r>
      <w:r w:rsidR="002B5734">
        <w:rPr>
          <w:sz w:val="24"/>
          <w:szCs w:val="24"/>
        </w:rPr>
        <w:t>,</w:t>
      </w:r>
      <w:r w:rsidR="00EE6917">
        <w:rPr>
          <w:sz w:val="24"/>
          <w:szCs w:val="24"/>
        </w:rPr>
        <w:t xml:space="preserve"> when finer geographies are considered.  </w:t>
      </w:r>
    </w:p>
    <w:p w14:paraId="7B60C4B2" w14:textId="4B35B534" w:rsidR="00701DB0" w:rsidRDefault="00EE6917" w:rsidP="00701DB0">
      <w:pPr>
        <w:spacing w:after="0" w:line="276" w:lineRule="auto"/>
        <w:ind w:firstLine="567"/>
        <w:jc w:val="both"/>
        <w:rPr>
          <w:sz w:val="24"/>
          <w:szCs w:val="24"/>
        </w:rPr>
      </w:pPr>
      <w:proofErr w:type="gramStart"/>
      <w:r>
        <w:rPr>
          <w:sz w:val="24"/>
          <w:szCs w:val="24"/>
        </w:rPr>
        <w:t>Thus within the two local authority areas one can find both relatively affluent and more deprived areas that voted strongly to remain, but with a contrast between Liverpool where relative disadvantage seems less linked to a ‘remain’ or ‘leave’ result and the Wirral where (in-keeping with the LBB trope) more affluent areas tended to vote remain and less advantage</w:t>
      </w:r>
      <w:r w:rsidR="0056751C">
        <w:rPr>
          <w:sz w:val="24"/>
          <w:szCs w:val="24"/>
        </w:rPr>
        <w:t>d</w:t>
      </w:r>
      <w:r>
        <w:rPr>
          <w:sz w:val="24"/>
          <w:szCs w:val="24"/>
        </w:rPr>
        <w:t xml:space="preserve"> areas tended to vote leave</w:t>
      </w:r>
      <w:r w:rsidR="0056751C">
        <w:rPr>
          <w:sz w:val="24"/>
          <w:szCs w:val="24"/>
        </w:rPr>
        <w:t>.</w:t>
      </w:r>
      <w:proofErr w:type="gramEnd"/>
      <w:r w:rsidR="0056751C">
        <w:rPr>
          <w:sz w:val="24"/>
          <w:szCs w:val="24"/>
        </w:rPr>
        <w:t xml:space="preserve"> </w:t>
      </w:r>
      <w:r w:rsidR="00884674">
        <w:rPr>
          <w:sz w:val="24"/>
          <w:szCs w:val="24"/>
        </w:rPr>
        <w:t xml:space="preserve">In the words of one local </w:t>
      </w:r>
      <w:proofErr w:type="gramStart"/>
      <w:r w:rsidR="00884674">
        <w:rPr>
          <w:sz w:val="24"/>
          <w:szCs w:val="24"/>
        </w:rPr>
        <w:t>councillor</w:t>
      </w:r>
      <w:proofErr w:type="gramEnd"/>
      <w:r w:rsidR="00884674">
        <w:rPr>
          <w:sz w:val="24"/>
          <w:szCs w:val="24"/>
        </w:rPr>
        <w:t xml:space="preserve"> we spoke to ‘The left behind Britain white working class arguments don’t play in Liverpool”. </w:t>
      </w:r>
      <w:r w:rsidR="0056751C">
        <w:rPr>
          <w:sz w:val="24"/>
          <w:szCs w:val="24"/>
        </w:rPr>
        <w:t>Similarly,</w:t>
      </w:r>
      <w:r w:rsidR="005A279F">
        <w:rPr>
          <w:sz w:val="24"/>
          <w:szCs w:val="24"/>
        </w:rPr>
        <w:t xml:space="preserve"> and in line with </w:t>
      </w:r>
      <w:r w:rsidR="005A279F">
        <w:rPr>
          <w:sz w:val="24"/>
          <w:szCs w:val="24"/>
        </w:rPr>
        <w:fldChar w:fldCharType="begin"/>
      </w:r>
      <w:r w:rsidR="005A279F">
        <w:rPr>
          <w:sz w:val="24"/>
          <w:szCs w:val="24"/>
        </w:rPr>
        <w:instrText xml:space="preserve"> ADDIN EN.CITE &lt;EndNote&gt;&lt;Cite AuthorYear="1"&gt;&lt;Author&gt;Manley&lt;/Author&gt;&lt;Year&gt;2017&lt;/Year&gt;&lt;RecNum&gt;1547&lt;/RecNum&gt;&lt;DisplayText&gt;Manley et al. (2017)&lt;/DisplayText&gt;&lt;record&gt;&lt;rec-number&gt;1547&lt;/rec-number&gt;&lt;foreign-keys&gt;&lt;key app="EN" db-id="sf2v0zffie0st6edessvst0jrx50tz9rrwst" timestamp="1557331732"&gt;1547&lt;/key&gt;&lt;/foreign-keys&gt;&lt;ref-type name="Journal Article"&gt;17&lt;/ref-type&gt;&lt;contributors&gt;&lt;authors&gt;&lt;author&gt;Manley, David&lt;/author&gt;&lt;author&gt;Jones, Kelvyn&lt;/author&gt;&lt;author&gt;Johnston, Ron&lt;/author&gt;&lt;/authors&gt;&lt;/contributors&gt;&lt;titles&gt;&lt;title&gt;The geography of Brexit–What geography? Modelling and predicting the outcome across 380 local authorities&lt;/title&gt;&lt;secondary-title&gt;Local Economy&lt;/secondary-title&gt;&lt;/titles&gt;&lt;periodical&gt;&lt;full-title&gt;Local Economy&lt;/full-title&gt;&lt;/periodical&gt;&lt;pages&gt;183-203&lt;/pages&gt;&lt;volume&gt;32&lt;/volume&gt;&lt;number&gt;3&lt;/number&gt;&lt;dates&gt;&lt;year&gt;2017&lt;/year&gt;&lt;/dates&gt;&lt;isbn&gt;0269-0942&lt;/isbn&gt;&lt;urls&gt;&lt;/urls&gt;&lt;/record&gt;&lt;/Cite&gt;&lt;/EndNote&gt;</w:instrText>
      </w:r>
      <w:r w:rsidR="005A279F">
        <w:rPr>
          <w:sz w:val="24"/>
          <w:szCs w:val="24"/>
        </w:rPr>
        <w:fldChar w:fldCharType="separate"/>
      </w:r>
      <w:r w:rsidR="005A279F">
        <w:rPr>
          <w:noProof/>
          <w:sz w:val="24"/>
          <w:szCs w:val="24"/>
        </w:rPr>
        <w:t>Manley et al. (2017)</w:t>
      </w:r>
      <w:r w:rsidR="005A279F">
        <w:rPr>
          <w:sz w:val="24"/>
          <w:szCs w:val="24"/>
        </w:rPr>
        <w:fldChar w:fldCharType="end"/>
      </w:r>
      <w:r w:rsidR="005A279F">
        <w:rPr>
          <w:sz w:val="24"/>
          <w:szCs w:val="24"/>
        </w:rPr>
        <w:t>,</w:t>
      </w:r>
      <w:r w:rsidR="0056751C">
        <w:rPr>
          <w:sz w:val="24"/>
          <w:szCs w:val="24"/>
        </w:rPr>
        <w:t xml:space="preserve"> t</w:t>
      </w:r>
      <w:r>
        <w:rPr>
          <w:sz w:val="24"/>
          <w:szCs w:val="24"/>
        </w:rPr>
        <w:t xml:space="preserve">he ‘ageist’ interpretation of the referendum result is rather challenged by the fact that some areas with relatively older population in both areas had strong remain results. </w:t>
      </w:r>
      <w:r w:rsidR="0056751C">
        <w:rPr>
          <w:sz w:val="24"/>
          <w:szCs w:val="24"/>
        </w:rPr>
        <w:t>Meanwhile a</w:t>
      </w:r>
      <w:r w:rsidR="003C0025">
        <w:rPr>
          <w:sz w:val="24"/>
          <w:szCs w:val="24"/>
        </w:rPr>
        <w:t xml:space="preserve"> younger overall population profile was associated with a strong remain result in central and east-of-centre areas of Liverpool with their large populations of younger adults, but not in areas of the Wirral with a younger age profile which tended to vote leave. In terms of BAME voting patterns the results tended to confirm the wider national picture </w:t>
      </w:r>
      <w:r w:rsidR="0056751C">
        <w:rPr>
          <w:sz w:val="24"/>
          <w:szCs w:val="24"/>
        </w:rPr>
        <w:t xml:space="preserve">in </w:t>
      </w:r>
      <w:r w:rsidR="003C0025">
        <w:rPr>
          <w:sz w:val="24"/>
          <w:szCs w:val="24"/>
        </w:rPr>
        <w:t xml:space="preserve">that areas with concentrations of such voters voted heavily to remain - despite the leave campaign’s attempts to offer inducements to some groups and ‘divide and rule’ between more established and more recent immigrant communities. </w:t>
      </w:r>
      <w:r w:rsidR="0056751C">
        <w:rPr>
          <w:sz w:val="24"/>
          <w:szCs w:val="24"/>
        </w:rPr>
        <w:t xml:space="preserve"> </w:t>
      </w:r>
    </w:p>
    <w:p w14:paraId="018D3EB7" w14:textId="36D765CC" w:rsidR="0056751C" w:rsidRDefault="0056751C" w:rsidP="00701DB0">
      <w:pPr>
        <w:spacing w:after="0" w:line="276" w:lineRule="auto"/>
        <w:ind w:firstLine="567"/>
        <w:jc w:val="both"/>
        <w:rPr>
          <w:sz w:val="24"/>
          <w:szCs w:val="24"/>
        </w:rPr>
      </w:pPr>
      <w:r>
        <w:rPr>
          <w:sz w:val="24"/>
          <w:szCs w:val="24"/>
        </w:rPr>
        <w:t xml:space="preserve">Overall, the findings hint at the inadequacy of crude material socioeconomic analyses of why individuals voted the way they did – e.g. why did areas with similarly high levels of deprivation in Liverpool and Wirral vote so </w:t>
      </w:r>
      <w:proofErr w:type="gramStart"/>
      <w:r>
        <w:rPr>
          <w:sz w:val="24"/>
          <w:szCs w:val="24"/>
        </w:rPr>
        <w:t>differently?</w:t>
      </w:r>
      <w:proofErr w:type="gramEnd"/>
      <w:r>
        <w:rPr>
          <w:sz w:val="24"/>
          <w:szCs w:val="24"/>
        </w:rPr>
        <w:t xml:space="preserve"> </w:t>
      </w:r>
      <w:proofErr w:type="gramStart"/>
      <w:r>
        <w:rPr>
          <w:sz w:val="24"/>
          <w:szCs w:val="24"/>
        </w:rPr>
        <w:t>Or</w:t>
      </w:r>
      <w:proofErr w:type="gramEnd"/>
      <w:r>
        <w:rPr>
          <w:sz w:val="24"/>
          <w:szCs w:val="24"/>
        </w:rPr>
        <w:t xml:space="preserve"> </w:t>
      </w:r>
      <w:r w:rsidR="009A7859">
        <w:rPr>
          <w:sz w:val="24"/>
          <w:szCs w:val="24"/>
        </w:rPr>
        <w:t xml:space="preserve">at a higher </w:t>
      </w:r>
      <w:r w:rsidR="002B5734">
        <w:rPr>
          <w:sz w:val="24"/>
          <w:szCs w:val="24"/>
        </w:rPr>
        <w:t xml:space="preserve">city regional </w:t>
      </w:r>
      <w:r w:rsidR="009A7859">
        <w:rPr>
          <w:sz w:val="24"/>
          <w:szCs w:val="24"/>
        </w:rPr>
        <w:t xml:space="preserve">level </w:t>
      </w:r>
      <w:r>
        <w:rPr>
          <w:sz w:val="24"/>
          <w:szCs w:val="24"/>
        </w:rPr>
        <w:t xml:space="preserve">why did local authority areas with similar IMD profiles vote so differently? Why did relatively deprived areas with a population </w:t>
      </w:r>
      <w:r w:rsidR="009A7859">
        <w:rPr>
          <w:sz w:val="24"/>
          <w:szCs w:val="24"/>
        </w:rPr>
        <w:t xml:space="preserve">predominantly identifying as white </w:t>
      </w:r>
      <w:r>
        <w:rPr>
          <w:sz w:val="24"/>
          <w:szCs w:val="24"/>
        </w:rPr>
        <w:t xml:space="preserve">vote remain in Liverpool, but leave in Wirral? </w:t>
      </w:r>
      <w:r w:rsidR="009A7859">
        <w:rPr>
          <w:sz w:val="24"/>
          <w:szCs w:val="24"/>
        </w:rPr>
        <w:t>Q</w:t>
      </w:r>
      <w:r>
        <w:rPr>
          <w:sz w:val="24"/>
          <w:szCs w:val="24"/>
        </w:rPr>
        <w:t xml:space="preserve">uestions </w:t>
      </w:r>
      <w:r w:rsidR="009A7859">
        <w:rPr>
          <w:sz w:val="24"/>
          <w:szCs w:val="24"/>
        </w:rPr>
        <w:t xml:space="preserve">such as </w:t>
      </w:r>
      <w:proofErr w:type="gramStart"/>
      <w:r w:rsidR="004B2CE0">
        <w:rPr>
          <w:sz w:val="24"/>
          <w:szCs w:val="24"/>
        </w:rPr>
        <w:t>these direct</w:t>
      </w:r>
      <w:r>
        <w:rPr>
          <w:sz w:val="24"/>
          <w:szCs w:val="24"/>
        </w:rPr>
        <w:t xml:space="preserve"> attention</w:t>
      </w:r>
      <w:proofErr w:type="gramEnd"/>
      <w:r>
        <w:rPr>
          <w:sz w:val="24"/>
          <w:szCs w:val="24"/>
        </w:rPr>
        <w:t xml:space="preserve"> to the need for greater contextual understandings and appreciation of cultural and place-based factors.</w:t>
      </w:r>
      <w:r w:rsidRPr="0056751C">
        <w:rPr>
          <w:sz w:val="24"/>
          <w:szCs w:val="24"/>
        </w:rPr>
        <w:t xml:space="preserve"> </w:t>
      </w:r>
      <w:r>
        <w:rPr>
          <w:sz w:val="24"/>
          <w:szCs w:val="24"/>
        </w:rPr>
        <w:t>Such understandings will become important if the (present) proto-‘</w:t>
      </w:r>
      <w:proofErr w:type="spellStart"/>
      <w:r>
        <w:rPr>
          <w:sz w:val="24"/>
          <w:szCs w:val="24"/>
        </w:rPr>
        <w:t>Brexit</w:t>
      </w:r>
      <w:proofErr w:type="spellEnd"/>
      <w:r>
        <w:rPr>
          <w:sz w:val="24"/>
          <w:szCs w:val="24"/>
        </w:rPr>
        <w:t>’ state, or any future post-</w:t>
      </w:r>
      <w:proofErr w:type="spellStart"/>
      <w:r>
        <w:rPr>
          <w:sz w:val="24"/>
          <w:szCs w:val="24"/>
        </w:rPr>
        <w:t>Brexit</w:t>
      </w:r>
      <w:proofErr w:type="spellEnd"/>
      <w:r>
        <w:rPr>
          <w:sz w:val="24"/>
          <w:szCs w:val="24"/>
        </w:rPr>
        <w:t xml:space="preserve"> (leave or remain) state ever decides to pick up the mantle of developing a </w:t>
      </w:r>
      <w:r w:rsidR="0002791D">
        <w:rPr>
          <w:sz w:val="24"/>
          <w:szCs w:val="24"/>
        </w:rPr>
        <w:t xml:space="preserve">credible </w:t>
      </w:r>
      <w:r>
        <w:rPr>
          <w:sz w:val="24"/>
          <w:szCs w:val="24"/>
        </w:rPr>
        <w:t xml:space="preserve">place-based policy to address the impacts of </w:t>
      </w:r>
      <w:r w:rsidR="002B5734">
        <w:rPr>
          <w:sz w:val="24"/>
          <w:szCs w:val="24"/>
        </w:rPr>
        <w:t xml:space="preserve">the </w:t>
      </w:r>
      <w:r>
        <w:rPr>
          <w:sz w:val="24"/>
          <w:szCs w:val="24"/>
        </w:rPr>
        <w:t xml:space="preserve">socio-economic change of the austerity </w:t>
      </w:r>
      <w:r>
        <w:rPr>
          <w:sz w:val="24"/>
          <w:szCs w:val="24"/>
        </w:rPr>
        <w:lastRenderedPageBreak/>
        <w:t xml:space="preserve">decade of the 2010s.  Finally, this </w:t>
      </w:r>
      <w:r w:rsidR="005A279F">
        <w:rPr>
          <w:sz w:val="24"/>
          <w:szCs w:val="24"/>
        </w:rPr>
        <w:t>paper</w:t>
      </w:r>
      <w:r>
        <w:rPr>
          <w:sz w:val="24"/>
          <w:szCs w:val="24"/>
        </w:rPr>
        <w:t xml:space="preserve"> was written at a moment when there is </w:t>
      </w:r>
      <w:r w:rsidR="0002791D">
        <w:rPr>
          <w:sz w:val="24"/>
          <w:szCs w:val="24"/>
        </w:rPr>
        <w:t xml:space="preserve">an </w:t>
      </w:r>
      <w:r>
        <w:rPr>
          <w:sz w:val="24"/>
          <w:szCs w:val="24"/>
        </w:rPr>
        <w:t xml:space="preserve">increasing </w:t>
      </w:r>
      <w:r w:rsidR="0002791D">
        <w:rPr>
          <w:sz w:val="24"/>
          <w:szCs w:val="24"/>
        </w:rPr>
        <w:t xml:space="preserve">(belated?) </w:t>
      </w:r>
      <w:r>
        <w:rPr>
          <w:sz w:val="24"/>
          <w:szCs w:val="24"/>
        </w:rPr>
        <w:t xml:space="preserve">awareness that some of the dominant narratives </w:t>
      </w:r>
      <w:r w:rsidR="0002791D">
        <w:rPr>
          <w:sz w:val="24"/>
          <w:szCs w:val="24"/>
        </w:rPr>
        <w:t xml:space="preserve">and “published opinion” </w:t>
      </w:r>
      <w:r>
        <w:rPr>
          <w:sz w:val="24"/>
          <w:szCs w:val="24"/>
        </w:rPr>
        <w:t>which ha</w:t>
      </w:r>
      <w:r w:rsidR="0002791D">
        <w:rPr>
          <w:sz w:val="24"/>
          <w:szCs w:val="24"/>
        </w:rPr>
        <w:t xml:space="preserve">s </w:t>
      </w:r>
      <w:r>
        <w:rPr>
          <w:sz w:val="24"/>
          <w:szCs w:val="24"/>
        </w:rPr>
        <w:t xml:space="preserve">accumulated around the EU referendum </w:t>
      </w:r>
      <w:r w:rsidR="0002791D">
        <w:rPr>
          <w:sz w:val="24"/>
          <w:szCs w:val="24"/>
        </w:rPr>
        <w:t>is</w:t>
      </w:r>
      <w:r>
        <w:rPr>
          <w:sz w:val="24"/>
          <w:szCs w:val="24"/>
        </w:rPr>
        <w:t xml:space="preserve"> in many cases too crude</w:t>
      </w:r>
      <w:r w:rsidR="0002791D">
        <w:rPr>
          <w:sz w:val="24"/>
          <w:szCs w:val="24"/>
        </w:rPr>
        <w:t xml:space="preserve"> and oversimplified</w:t>
      </w:r>
      <w:r>
        <w:rPr>
          <w:sz w:val="24"/>
          <w:szCs w:val="24"/>
        </w:rPr>
        <w:t>, and from the perspective of certain political agendas potentially counterproductive</w:t>
      </w:r>
      <w:r w:rsidR="0002791D">
        <w:rPr>
          <w:sz w:val="24"/>
          <w:szCs w:val="24"/>
        </w:rPr>
        <w:t xml:space="preserve"> </w:t>
      </w:r>
      <w:r w:rsidR="00AF2827">
        <w:rPr>
          <w:sz w:val="24"/>
          <w:szCs w:val="24"/>
        </w:rPr>
        <w:fldChar w:fldCharType="begin"/>
      </w:r>
      <w:r w:rsidR="00F35BB4">
        <w:rPr>
          <w:sz w:val="24"/>
          <w:szCs w:val="24"/>
        </w:rPr>
        <w:instrText xml:space="preserve"> ADDIN EN.CITE &lt;EndNote&gt;&lt;Cite&gt;&lt;Author&gt;Creagh&lt;/Author&gt;&lt;Year&gt;2019&lt;/Year&gt;&lt;RecNum&gt;1565&lt;/RecNum&gt;&lt;DisplayText&gt;(Creagh et al., 2019)&lt;/DisplayText&gt;&lt;record&gt;&lt;rec-number&gt;1565&lt;/rec-number&gt;&lt;foreign-keys&gt;&lt;key app="EN" db-id="sf2v0zffie0st6edessvst0jrx50tz9rrwst" timestamp="1557392125"&gt;1565&lt;/key&gt;&lt;/foreign-keys&gt;&lt;ref-type name="Newspaper Article"&gt;23&lt;/ref-type&gt;&lt;contributors&gt;&lt;authors&gt;&lt;author&gt;Creagh, M.&lt;/author&gt;&lt;author&gt;Turley, A.&lt;/author&gt;&lt;author&gt;Wilson, P.&lt;/author&gt;&lt;author&gt;McKinnell, C. &lt;/author&gt;&lt;/authors&gt;&lt;/contributors&gt;&lt;titles&gt;&lt;title&gt;&amp;apos;Stop stereotyping the north as Brexitland&amp;apos; say four Labour MPs&lt;/title&gt;&lt;secondary-title&gt;Northern Echo&lt;/secondary-title&gt;&lt;/titles&gt;&lt;dates&gt;&lt;year&gt;2019&lt;/year&gt;&lt;/dates&gt;&lt;urls&gt;&lt;related-urls&gt;&lt;url&gt;&lt;style face="underline" font="default" size="100%"&gt;https://www.thenorthernecho.co.uk/news/17580613.stop-stereotyping-the-north-as-brexitland-say-four-labour-mps/&lt;/style&gt;&lt;/url&gt;&lt;/related-urls&gt;&lt;/urls&gt;&lt;access-date&gt;9th May 2019&lt;/access-date&gt;&lt;/record&gt;&lt;/Cite&gt;&lt;/EndNote&gt;</w:instrText>
      </w:r>
      <w:r w:rsidR="00AF2827">
        <w:rPr>
          <w:sz w:val="24"/>
          <w:szCs w:val="24"/>
        </w:rPr>
        <w:fldChar w:fldCharType="separate"/>
      </w:r>
      <w:r w:rsidR="00F35BB4">
        <w:rPr>
          <w:noProof/>
          <w:sz w:val="24"/>
          <w:szCs w:val="24"/>
        </w:rPr>
        <w:t>(Creagh et al., 2019)</w:t>
      </w:r>
      <w:r w:rsidR="00AF2827">
        <w:rPr>
          <w:sz w:val="24"/>
          <w:szCs w:val="24"/>
        </w:rPr>
        <w:fldChar w:fldCharType="end"/>
      </w:r>
      <w:r>
        <w:rPr>
          <w:sz w:val="24"/>
          <w:szCs w:val="24"/>
        </w:rPr>
        <w:t xml:space="preserve">. </w:t>
      </w:r>
      <w:r w:rsidR="0013050B">
        <w:rPr>
          <w:sz w:val="24"/>
          <w:szCs w:val="24"/>
        </w:rPr>
        <w:t xml:space="preserve"> This is perhaps exemplified by the heckling of </w:t>
      </w:r>
      <w:r w:rsidR="00180839">
        <w:rPr>
          <w:sz w:val="24"/>
          <w:szCs w:val="24"/>
        </w:rPr>
        <w:t xml:space="preserve">Prime Minister </w:t>
      </w:r>
      <w:r w:rsidR="0013050B">
        <w:rPr>
          <w:sz w:val="24"/>
          <w:szCs w:val="24"/>
        </w:rPr>
        <w:t>Boris Johnson</w:t>
      </w:r>
      <w:r w:rsidR="00F35018">
        <w:rPr>
          <w:sz w:val="24"/>
          <w:szCs w:val="24"/>
        </w:rPr>
        <w:t xml:space="preserve"> in mid-September 2019</w:t>
      </w:r>
      <w:r w:rsidR="0013050B">
        <w:rPr>
          <w:sz w:val="24"/>
          <w:szCs w:val="24"/>
        </w:rPr>
        <w:t xml:space="preserve"> in walkabouts and staged events across Northern England –the heart of this supposed ‘</w:t>
      </w:r>
      <w:proofErr w:type="spellStart"/>
      <w:r w:rsidR="0013050B">
        <w:rPr>
          <w:sz w:val="24"/>
          <w:szCs w:val="24"/>
        </w:rPr>
        <w:t>Brexitland</w:t>
      </w:r>
      <w:proofErr w:type="spellEnd"/>
      <w:r w:rsidR="0013050B">
        <w:rPr>
          <w:sz w:val="24"/>
          <w:szCs w:val="24"/>
        </w:rPr>
        <w:t xml:space="preserve">’ </w:t>
      </w:r>
      <w:r w:rsidR="00F35018">
        <w:rPr>
          <w:sz w:val="24"/>
          <w:szCs w:val="24"/>
        </w:rPr>
        <w:fldChar w:fldCharType="begin"/>
      </w:r>
      <w:r w:rsidR="00F35018">
        <w:rPr>
          <w:sz w:val="24"/>
          <w:szCs w:val="24"/>
        </w:rPr>
        <w:instrText xml:space="preserve"> ADDIN EN.CITE &lt;EndNote&gt;&lt;Cite&gt;&lt;Author&gt;Woodcock&lt;/Author&gt;&lt;Year&gt;2019&lt;/Year&gt;&lt;RecNum&gt;1599&lt;/RecNum&gt;&lt;DisplayText&gt;(Woodcock, 2019)&lt;/DisplayText&gt;&lt;record&gt;&lt;rec-number&gt;1599&lt;/rec-number&gt;&lt;foreign-keys&gt;&lt;key app="EN" db-id="sf2v0zffie0st6edessvst0jrx50tz9rrwst" timestamp="1568823164"&gt;1599&lt;/key&gt;&lt;/foreign-keys&gt;&lt;ref-type name="Newspaper Article"&gt;23&lt;/ref-type&gt;&lt;contributors&gt;&lt;authors&gt;&lt;author&gt;Woodcock, A.&lt;/author&gt;&lt;/authors&gt;&lt;/contributors&gt;&lt;titles&gt;&lt;title&gt;&amp;apos;Get back to Parliament&amp;apos;: Boris Johnson heckled during speech shortly after being accosted in street over Brexit&lt;/title&gt;&lt;secondary-title&gt;The Independent&lt;/secondary-title&gt;&lt;/titles&gt;&lt;dates&gt;&lt;year&gt;2019&lt;/year&gt;&lt;/dates&gt;&lt;urls&gt;&lt;related-urls&gt;&lt;url&gt;&lt;style face="underline" font="default" size="100%"&gt;https://www.independent.co.uk/news/uk/politics/boris-johnson-news-speech-rotherham-man-suspend-parliament-brexit-latest-video-a9104096.html&lt;/style&gt;&lt;/url&gt;&lt;/related-urls&gt;&lt;/urls&gt;&lt;access-date&gt;18th September 2019&lt;/access-date&gt;&lt;/record&gt;&lt;/Cite&gt;&lt;/EndNote&gt;</w:instrText>
      </w:r>
      <w:r w:rsidR="00F35018">
        <w:rPr>
          <w:sz w:val="24"/>
          <w:szCs w:val="24"/>
        </w:rPr>
        <w:fldChar w:fldCharType="separate"/>
      </w:r>
      <w:r w:rsidR="00F35018">
        <w:rPr>
          <w:noProof/>
          <w:sz w:val="24"/>
          <w:szCs w:val="24"/>
        </w:rPr>
        <w:t>(Woodcock, 2019)</w:t>
      </w:r>
      <w:r w:rsidR="00F35018">
        <w:rPr>
          <w:sz w:val="24"/>
          <w:szCs w:val="24"/>
        </w:rPr>
        <w:fldChar w:fldCharType="end"/>
      </w:r>
      <w:r w:rsidR="0013050B">
        <w:rPr>
          <w:sz w:val="24"/>
          <w:szCs w:val="24"/>
        </w:rPr>
        <w:t xml:space="preserve">.  </w:t>
      </w:r>
      <w:r w:rsidR="009A7859">
        <w:rPr>
          <w:sz w:val="24"/>
          <w:szCs w:val="24"/>
        </w:rPr>
        <w:t xml:space="preserve"> Similarly, it is noteworthy that the </w:t>
      </w:r>
      <w:r w:rsidR="00180839">
        <w:rPr>
          <w:sz w:val="24"/>
          <w:szCs w:val="24"/>
        </w:rPr>
        <w:t xml:space="preserve">earlier </w:t>
      </w:r>
      <w:r w:rsidR="009A7859">
        <w:rPr>
          <w:sz w:val="24"/>
          <w:szCs w:val="24"/>
        </w:rPr>
        <w:t>results of the local elections in England in May 2019 posted losses of council seats for the Labour Party, and gains for the unambiguously ‘pro-remain’ EU Liberal Democrats and Green Party, in areas which have been caricature</w:t>
      </w:r>
      <w:r w:rsidR="0012197E">
        <w:rPr>
          <w:sz w:val="24"/>
          <w:szCs w:val="24"/>
        </w:rPr>
        <w:t>d</w:t>
      </w:r>
      <w:r w:rsidR="009A7859">
        <w:rPr>
          <w:sz w:val="24"/>
          <w:szCs w:val="24"/>
        </w:rPr>
        <w:t xml:space="preserve"> as belonging to LBB (notably in North East England). </w:t>
      </w:r>
      <w:proofErr w:type="gramStart"/>
      <w:r w:rsidR="0012197E">
        <w:rPr>
          <w:sz w:val="24"/>
          <w:szCs w:val="24"/>
        </w:rPr>
        <w:t>In light of such developments, m</w:t>
      </w:r>
      <w:r w:rsidR="0002791D">
        <w:rPr>
          <w:sz w:val="24"/>
          <w:szCs w:val="24"/>
        </w:rPr>
        <w:t xml:space="preserve">ore work is </w:t>
      </w:r>
      <w:r w:rsidR="0012197E">
        <w:rPr>
          <w:sz w:val="24"/>
          <w:szCs w:val="24"/>
        </w:rPr>
        <w:t xml:space="preserve">clearly </w:t>
      </w:r>
      <w:r w:rsidR="0002791D">
        <w:rPr>
          <w:sz w:val="24"/>
          <w:szCs w:val="24"/>
        </w:rPr>
        <w:t xml:space="preserve">needed to develop the reflections we have offered here, but based on these and </w:t>
      </w:r>
      <w:r w:rsidR="00D11FA5">
        <w:rPr>
          <w:sz w:val="24"/>
          <w:szCs w:val="24"/>
        </w:rPr>
        <w:t xml:space="preserve">a growing body of evidence </w:t>
      </w:r>
      <w:proofErr w:type="gramEnd"/>
      <w:r w:rsidR="00AF2827">
        <w:rPr>
          <w:sz w:val="24"/>
          <w:szCs w:val="24"/>
        </w:rPr>
        <w:fldChar w:fldCharType="begin">
          <w:fldData xml:space="preserve">PEVuZE5vdGU+PENpdGU+PEF1dGhvcj5Eb3JsaW5nPC9BdXRob3I+PFllYXI+MjAxNjwvWWVhcj48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</w:fldData>
        </w:fldChar>
      </w:r>
      <w:r w:rsidR="005A279F">
        <w:rPr>
          <w:sz w:val="24"/>
          <w:szCs w:val="24"/>
        </w:rPr>
        <w:instrText xml:space="preserve"> ADDIN EN.CITE </w:instrText>
      </w:r>
      <w:r w:rsidR="005A279F">
        <w:rPr>
          <w:sz w:val="24"/>
          <w:szCs w:val="24"/>
        </w:rPr>
        <w:fldChar w:fldCharType="begin">
          <w:fldData xml:space="preserve">PEVuZE5vdGU+PENpdGU+PEF1dGhvcj5Eb3JsaW5nPC9BdXRob3I+PFllYXI+MjAxNjwvWWVhcj48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</w:fldData>
        </w:fldChar>
      </w:r>
      <w:r w:rsidR="005A279F">
        <w:rPr>
          <w:sz w:val="24"/>
          <w:szCs w:val="24"/>
        </w:rPr>
        <w:instrText xml:space="preserve"> ADDIN EN.CITE.DATA </w:instrText>
      </w:r>
      <w:r w:rsidR="005A279F">
        <w:rPr>
          <w:sz w:val="24"/>
          <w:szCs w:val="24"/>
        </w:rPr>
      </w:r>
      <w:r w:rsidR="005A279F">
        <w:rPr>
          <w:sz w:val="24"/>
          <w:szCs w:val="24"/>
        </w:rPr>
        <w:fldChar w:fldCharType="end"/>
      </w:r>
      <w:r w:rsidR="00AF2827">
        <w:rPr>
          <w:sz w:val="24"/>
          <w:szCs w:val="24"/>
        </w:rPr>
      </w:r>
      <w:r w:rsidR="00AF2827">
        <w:rPr>
          <w:sz w:val="24"/>
          <w:szCs w:val="24"/>
        </w:rPr>
        <w:fldChar w:fldCharType="separate"/>
      </w:r>
      <w:r w:rsidR="005A279F">
        <w:rPr>
          <w:noProof/>
          <w:sz w:val="24"/>
          <w:szCs w:val="24"/>
        </w:rPr>
        <w:t>(Dorling, 2016, Dorling and Tomlinson, 2019, Manley et al., 2017)</w:t>
      </w:r>
      <w:r w:rsidR="00AF2827">
        <w:rPr>
          <w:sz w:val="24"/>
          <w:szCs w:val="24"/>
        </w:rPr>
        <w:fldChar w:fldCharType="end"/>
      </w:r>
      <w:proofErr w:type="gramStart"/>
      <w:r w:rsidR="0002791D">
        <w:rPr>
          <w:sz w:val="24"/>
          <w:szCs w:val="24"/>
        </w:rPr>
        <w:t>,</w:t>
      </w:r>
      <w:r w:rsidR="00D11FA5">
        <w:rPr>
          <w:sz w:val="24"/>
          <w:szCs w:val="24"/>
        </w:rPr>
        <w:t xml:space="preserve"> </w:t>
      </w:r>
      <w:r w:rsidR="0002791D">
        <w:rPr>
          <w:sz w:val="24"/>
          <w:szCs w:val="24"/>
        </w:rPr>
        <w:t xml:space="preserve">our response to the </w:t>
      </w:r>
      <w:r w:rsidR="00D11FA5">
        <w:rPr>
          <w:sz w:val="24"/>
          <w:szCs w:val="24"/>
        </w:rPr>
        <w:t xml:space="preserve">argument </w:t>
      </w:r>
      <w:r w:rsidR="0002791D">
        <w:rPr>
          <w:sz w:val="24"/>
          <w:szCs w:val="24"/>
        </w:rPr>
        <w:t xml:space="preserve">that </w:t>
      </w:r>
      <w:r w:rsidR="0002791D" w:rsidRPr="007A3248">
        <w:rPr>
          <w:rFonts w:cs="Times New Roman"/>
          <w:sz w:val="24"/>
          <w:szCs w:val="24"/>
        </w:rPr>
        <w:t>the vote to leave the EU reflect</w:t>
      </w:r>
      <w:r w:rsidR="00D11FA5">
        <w:rPr>
          <w:rFonts w:cs="Times New Roman"/>
          <w:sz w:val="24"/>
          <w:szCs w:val="24"/>
        </w:rPr>
        <w:t>ed</w:t>
      </w:r>
      <w:r w:rsidR="0002791D" w:rsidRPr="007A3248">
        <w:rPr>
          <w:rFonts w:cs="Times New Roman"/>
          <w:sz w:val="24"/>
          <w:szCs w:val="24"/>
        </w:rPr>
        <w:t xml:space="preserve"> a revolt of </w:t>
      </w:r>
      <w:r w:rsidR="00D11FA5">
        <w:rPr>
          <w:rFonts w:cs="Times New Roman"/>
          <w:sz w:val="24"/>
          <w:szCs w:val="24"/>
        </w:rPr>
        <w:t>‘Left Behind Britain’ would simply be</w:t>
      </w:r>
      <w:r w:rsidR="0012197E">
        <w:rPr>
          <w:rFonts w:cs="Times New Roman"/>
          <w:sz w:val="24"/>
          <w:szCs w:val="24"/>
        </w:rPr>
        <w:t xml:space="preserve"> that</w:t>
      </w:r>
      <w:r w:rsidR="00D11FA5">
        <w:rPr>
          <w:rFonts w:cs="Times New Roman"/>
          <w:sz w:val="24"/>
          <w:szCs w:val="24"/>
        </w:rPr>
        <w:t xml:space="preserve"> ‘It’s more complicated than that!’</w:t>
      </w:r>
      <w:proofErr w:type="gramEnd"/>
      <w:r w:rsidR="0002791D">
        <w:rPr>
          <w:rFonts w:cs="Times New Roman"/>
          <w:sz w:val="24"/>
          <w:szCs w:val="24"/>
        </w:rPr>
        <w:t xml:space="preserve"> </w:t>
      </w:r>
      <w:r w:rsidR="00D11FA5">
        <w:rPr>
          <w:rFonts w:cs="Times New Roman"/>
          <w:sz w:val="24"/>
          <w:szCs w:val="24"/>
        </w:rPr>
        <w:t xml:space="preserve"> </w:t>
      </w:r>
      <w:r w:rsidR="0002791D" w:rsidRPr="007A3248">
        <w:rPr>
          <w:rFonts w:cs="Times New Roman"/>
          <w:sz w:val="24"/>
          <w:szCs w:val="24"/>
        </w:rPr>
        <w:t xml:space="preserve">  </w:t>
      </w:r>
    </w:p>
    <w:p w14:paraId="535C028E" w14:textId="77777777" w:rsidR="0056751C" w:rsidRDefault="0056751C" w:rsidP="00701DB0">
      <w:pPr>
        <w:spacing w:after="0" w:line="276" w:lineRule="auto"/>
        <w:ind w:firstLine="567"/>
        <w:jc w:val="both"/>
        <w:rPr>
          <w:sz w:val="24"/>
          <w:szCs w:val="24"/>
        </w:rPr>
      </w:pPr>
    </w:p>
    <w:p w14:paraId="2DEC495C" w14:textId="77777777" w:rsidR="00315542" w:rsidRPr="007A3248" w:rsidRDefault="00315542" w:rsidP="00B140D4">
      <w:pPr>
        <w:spacing w:after="0" w:line="276" w:lineRule="auto"/>
        <w:ind w:firstLine="567"/>
        <w:jc w:val="both"/>
        <w:rPr>
          <w:sz w:val="24"/>
          <w:szCs w:val="24"/>
        </w:rPr>
      </w:pPr>
    </w:p>
    <w:p w14:paraId="7ECFD5AB" w14:textId="048375D5" w:rsidR="00F965A4" w:rsidRPr="00340B9D" w:rsidRDefault="00F965A4" w:rsidP="009060BF">
      <w:pPr>
        <w:pStyle w:val="ListParagraph"/>
        <w:numPr>
          <w:ilvl w:val="0"/>
          <w:numId w:val="2"/>
        </w:numPr>
        <w:spacing w:after="0" w:line="276" w:lineRule="auto"/>
        <w:jc w:val="both"/>
        <w:rPr>
          <w:b/>
          <w:sz w:val="24"/>
          <w:szCs w:val="24"/>
        </w:rPr>
      </w:pPr>
      <w:r w:rsidRPr="00340B9D">
        <w:rPr>
          <w:b/>
          <w:sz w:val="24"/>
          <w:szCs w:val="24"/>
        </w:rPr>
        <w:t>References</w:t>
      </w:r>
    </w:p>
    <w:p w14:paraId="064508AC" w14:textId="77777777" w:rsidR="00F965A4" w:rsidRPr="007A3248" w:rsidRDefault="00F965A4" w:rsidP="00B140D4">
      <w:pPr>
        <w:spacing w:after="0" w:line="276" w:lineRule="auto"/>
        <w:ind w:firstLine="567"/>
        <w:jc w:val="both"/>
        <w:rPr>
          <w:sz w:val="24"/>
          <w:szCs w:val="24"/>
        </w:rPr>
      </w:pPr>
    </w:p>
    <w:p w14:paraId="77FD1FE1" w14:textId="38D8FBA5" w:rsidR="00D16A49" w:rsidRDefault="00B62669" w:rsidP="00B140D4">
      <w:pPr>
        <w:spacing w:after="0" w:line="276" w:lineRule="auto"/>
        <w:ind w:firstLine="567"/>
        <w:jc w:val="both"/>
        <w:rPr>
          <w:sz w:val="24"/>
          <w:szCs w:val="24"/>
        </w:rPr>
      </w:pPr>
      <w:r>
        <w:rPr>
          <w:sz w:val="24"/>
          <w:szCs w:val="24"/>
        </w:rPr>
        <w:t>All Maps Crown Copyright 2019</w:t>
      </w:r>
    </w:p>
    <w:p w14:paraId="4E78CB43" w14:textId="77777777" w:rsidR="00F35018" w:rsidRPr="00F35018" w:rsidRDefault="00D16A49" w:rsidP="00F35018">
      <w:pPr>
        <w:pStyle w:val="EndNoteBibliography"/>
        <w:spacing w:after="0"/>
        <w:ind w:left="720" w:hanging="720"/>
      </w:pPr>
      <w:r>
        <w:rPr>
          <w:sz w:val="24"/>
          <w:szCs w:val="24"/>
        </w:rPr>
        <w:fldChar w:fldCharType="begin"/>
      </w:r>
      <w:r>
        <w:rPr>
          <w:sz w:val="24"/>
          <w:szCs w:val="24"/>
        </w:rPr>
        <w:instrText xml:space="preserve"> ADDIN EN.REFLIST </w:instrText>
      </w:r>
      <w:r>
        <w:rPr>
          <w:sz w:val="24"/>
          <w:szCs w:val="24"/>
        </w:rPr>
        <w:fldChar w:fldCharType="separate"/>
      </w:r>
      <w:r w:rsidR="00F35018" w:rsidRPr="00F35018">
        <w:t xml:space="preserve">BBC News (2018) ‘Brexit will make UK worse off, government forecasts warn’. </w:t>
      </w:r>
      <w:r w:rsidR="00F35018" w:rsidRPr="00F35018">
        <w:rPr>
          <w:i/>
        </w:rPr>
        <w:t>BBC News.</w:t>
      </w:r>
      <w:r w:rsidR="00F35018" w:rsidRPr="00F35018">
        <w:t xml:space="preserve"> </w:t>
      </w:r>
    </w:p>
    <w:p w14:paraId="1A2933E9" w14:textId="77777777" w:rsidR="00F35018" w:rsidRPr="00F35018" w:rsidRDefault="00F35018" w:rsidP="00F35018">
      <w:pPr>
        <w:pStyle w:val="EndNoteBibliography"/>
        <w:spacing w:after="0"/>
        <w:ind w:left="720" w:hanging="720"/>
      </w:pPr>
      <w:r w:rsidRPr="00F35018">
        <w:t xml:space="preserve">Begum, N (2018) Minority ethnic attitudes and the 2016 EU referendum. </w:t>
      </w:r>
      <w:r w:rsidRPr="00F35018">
        <w:rPr>
          <w:i/>
        </w:rPr>
        <w:t>The UK In a Changing Europe.</w:t>
      </w:r>
      <w:r w:rsidRPr="00F35018">
        <w:t xml:space="preserve"> King's College London</w:t>
      </w:r>
    </w:p>
    <w:p w14:paraId="4F40C4F2" w14:textId="77777777" w:rsidR="00F35018" w:rsidRPr="00F35018" w:rsidRDefault="00F35018" w:rsidP="00F35018">
      <w:pPr>
        <w:pStyle w:val="EndNoteBibliography"/>
        <w:spacing w:after="0"/>
        <w:ind w:left="720" w:hanging="720"/>
      </w:pPr>
      <w:r w:rsidRPr="00F35018">
        <w:t>Brien, P (2019) The UK Shared Prosperity Fund. London: House of Commons Library</w:t>
      </w:r>
    </w:p>
    <w:p w14:paraId="0BE0362B" w14:textId="77777777" w:rsidR="00F35018" w:rsidRPr="00F35018" w:rsidRDefault="00F35018" w:rsidP="00F35018">
      <w:pPr>
        <w:pStyle w:val="EndNoteBibliography"/>
        <w:spacing w:after="0"/>
        <w:ind w:left="720" w:hanging="720"/>
      </w:pPr>
      <w:r w:rsidRPr="00F35018">
        <w:t>Bristow, J (2017) How did baby boomers get the blame for Brexit? blogs.lse.ac.uk</w:t>
      </w:r>
    </w:p>
    <w:p w14:paraId="2A13C81E" w14:textId="77777777" w:rsidR="00F35018" w:rsidRPr="00F35018" w:rsidRDefault="00F35018" w:rsidP="00F35018">
      <w:pPr>
        <w:pStyle w:val="EndNoteBibliography"/>
        <w:spacing w:after="0"/>
        <w:ind w:left="720" w:hanging="720"/>
      </w:pPr>
      <w:r w:rsidRPr="00F35018">
        <w:t xml:space="preserve">Burrell, K, Hopkins, P, Isakjee, A, Lorne, C, Nagel, C, Finlay, R, Nayak, A, Benwell, MC, Pande, R, Richardson, M, Botterill, K and Rogaly, B (2018) Brexit, race and migration. </w:t>
      </w:r>
      <w:r w:rsidRPr="00F35018">
        <w:rPr>
          <w:i/>
        </w:rPr>
        <w:t>Environment and Planning C: Politics and Space</w:t>
      </w:r>
      <w:r w:rsidRPr="00F35018">
        <w:t xml:space="preserve"> 37</w:t>
      </w:r>
      <w:r w:rsidRPr="00F35018">
        <w:rPr>
          <w:b/>
        </w:rPr>
        <w:t>:</w:t>
      </w:r>
      <w:r w:rsidRPr="00F35018">
        <w:t xml:space="preserve"> 3-40</w:t>
      </w:r>
    </w:p>
    <w:p w14:paraId="5CA287C4" w14:textId="77777777" w:rsidR="00F35018" w:rsidRPr="00F35018" w:rsidRDefault="00F35018" w:rsidP="00F35018">
      <w:pPr>
        <w:pStyle w:val="EndNoteBibliography"/>
        <w:spacing w:after="0"/>
        <w:ind w:left="720" w:hanging="720"/>
      </w:pPr>
      <w:r w:rsidRPr="00F35018">
        <w:t>Centre for Cities (2019) Cities Outlook 2019. London: Centre for Cities</w:t>
      </w:r>
    </w:p>
    <w:p w14:paraId="355B70E5" w14:textId="77777777" w:rsidR="00F35018" w:rsidRPr="00F35018" w:rsidRDefault="00F35018" w:rsidP="00F35018">
      <w:pPr>
        <w:pStyle w:val="EndNoteBibliography"/>
        <w:spacing w:after="0"/>
        <w:ind w:left="720" w:hanging="720"/>
      </w:pPr>
      <w:r w:rsidRPr="00F35018">
        <w:t xml:space="preserve">Centre for Labour and Social Studies (ed.) (2018) </w:t>
      </w:r>
      <w:r w:rsidRPr="00F35018">
        <w:rPr>
          <w:i/>
        </w:rPr>
        <w:t>The Great British Regression: Brexit and Inequality</w:t>
      </w:r>
      <w:r w:rsidRPr="00F35018">
        <w:t>: CLASS</w:t>
      </w:r>
    </w:p>
    <w:p w14:paraId="70F10061" w14:textId="77777777" w:rsidR="00F35018" w:rsidRPr="00F35018" w:rsidRDefault="00F35018" w:rsidP="00F35018">
      <w:pPr>
        <w:pStyle w:val="EndNoteBibliography"/>
        <w:spacing w:after="0"/>
        <w:ind w:left="720" w:hanging="720"/>
      </w:pPr>
      <w:r w:rsidRPr="00F35018">
        <w:t xml:space="preserve">Centre for Social Research (2016) Understanding the Leave Vote. </w:t>
      </w:r>
    </w:p>
    <w:p w14:paraId="2282BED6" w14:textId="77777777" w:rsidR="00F35018" w:rsidRPr="00F35018" w:rsidRDefault="00F35018" w:rsidP="00F35018">
      <w:pPr>
        <w:pStyle w:val="EndNoteBibliography"/>
        <w:spacing w:after="0"/>
        <w:ind w:left="720" w:hanging="720"/>
      </w:pPr>
      <w:r w:rsidRPr="00F35018">
        <w:t xml:space="preserve">Couch, C (2016) </w:t>
      </w:r>
      <w:r w:rsidRPr="00F35018">
        <w:rPr>
          <w:i/>
        </w:rPr>
        <w:t xml:space="preserve">Urban Planning: An Introduction. </w:t>
      </w:r>
      <w:r w:rsidRPr="00F35018">
        <w:t>Basingstoke: Palgrave</w:t>
      </w:r>
    </w:p>
    <w:p w14:paraId="00FF8F75" w14:textId="77777777" w:rsidR="00F35018" w:rsidRPr="00F35018" w:rsidRDefault="00F35018" w:rsidP="00F35018">
      <w:pPr>
        <w:pStyle w:val="EndNoteBibliography"/>
        <w:spacing w:after="0"/>
        <w:ind w:left="720" w:hanging="720"/>
      </w:pPr>
      <w:r w:rsidRPr="00F35018">
        <w:t>CPMR (2019) UK entitled to €13bn regional funding if it remains in EU. Brussels: CPMR</w:t>
      </w:r>
    </w:p>
    <w:p w14:paraId="0DD0F7C0" w14:textId="77777777" w:rsidR="00F35018" w:rsidRPr="00F35018" w:rsidRDefault="00F35018" w:rsidP="00F35018">
      <w:pPr>
        <w:pStyle w:val="EndNoteBibliography"/>
        <w:spacing w:after="0"/>
        <w:ind w:left="720" w:hanging="720"/>
      </w:pPr>
      <w:r w:rsidRPr="00F35018">
        <w:t xml:space="preserve">Creagh, M, Turley, A, Wilson, P and McKinnell, C (2019) 'Stop stereotyping the north as Brexitland' say four Labour MPs. </w:t>
      </w:r>
      <w:r w:rsidRPr="00F35018">
        <w:rPr>
          <w:i/>
        </w:rPr>
        <w:t>Northern Echo.</w:t>
      </w:r>
      <w:r w:rsidRPr="00F35018">
        <w:t xml:space="preserve"> </w:t>
      </w:r>
    </w:p>
    <w:p w14:paraId="0B74F0A2" w14:textId="77777777" w:rsidR="00F35018" w:rsidRPr="00F35018" w:rsidRDefault="00F35018" w:rsidP="00F35018">
      <w:pPr>
        <w:pStyle w:val="EndNoteBibliography"/>
        <w:spacing w:after="0"/>
        <w:ind w:left="720" w:hanging="720"/>
      </w:pPr>
      <w:r w:rsidRPr="00F35018">
        <w:t xml:space="preserve">Curtice, J (2018) How young and old would vote on Brexit now. </w:t>
      </w:r>
      <w:r w:rsidRPr="00F35018">
        <w:rPr>
          <w:i/>
        </w:rPr>
        <w:t>BBC News.</w:t>
      </w:r>
      <w:r w:rsidRPr="00F35018">
        <w:t xml:space="preserve"> </w:t>
      </w:r>
    </w:p>
    <w:p w14:paraId="407F2426" w14:textId="77777777" w:rsidR="00F35018" w:rsidRPr="00F35018" w:rsidRDefault="00F35018" w:rsidP="00F35018">
      <w:pPr>
        <w:pStyle w:val="EndNoteBibliography"/>
        <w:spacing w:after="0"/>
        <w:ind w:left="720" w:hanging="720"/>
      </w:pPr>
      <w:r w:rsidRPr="00F35018">
        <w:t>DCLG (2015) Index of Multiple Deprivation 2015. London: DCLG</w:t>
      </w:r>
    </w:p>
    <w:p w14:paraId="0DBA9C53" w14:textId="77777777" w:rsidR="00F35018" w:rsidRPr="00F35018" w:rsidRDefault="00F35018" w:rsidP="00F35018">
      <w:pPr>
        <w:pStyle w:val="EndNoteBibliography"/>
        <w:spacing w:after="0"/>
        <w:ind w:left="720" w:hanging="720"/>
      </w:pPr>
      <w:r w:rsidRPr="00F35018">
        <w:t xml:space="preserve">Dorling, D (2016) Brexit: The Decision of a Divided County. </w:t>
      </w:r>
      <w:r w:rsidRPr="00F35018">
        <w:rPr>
          <w:i/>
        </w:rPr>
        <w:t>BMJ</w:t>
      </w:r>
      <w:r w:rsidRPr="00F35018">
        <w:t xml:space="preserve"> 354</w:t>
      </w:r>
    </w:p>
    <w:p w14:paraId="21510C55" w14:textId="77777777" w:rsidR="00F35018" w:rsidRPr="00F35018" w:rsidRDefault="00F35018" w:rsidP="00F35018">
      <w:pPr>
        <w:pStyle w:val="EndNoteBibliography"/>
        <w:spacing w:after="0"/>
        <w:ind w:left="720" w:hanging="720"/>
      </w:pPr>
      <w:r w:rsidRPr="00F35018">
        <w:t xml:space="preserve">Dorling, D and Tomlinson, S (2019) </w:t>
      </w:r>
      <w:r w:rsidRPr="00F35018">
        <w:rPr>
          <w:i/>
        </w:rPr>
        <w:t>Rule Britannia: BREXIT and the End of empire.</w:t>
      </w:r>
      <w:r w:rsidRPr="00F35018">
        <w:t xml:space="preserve"> Biteback Publishing</w:t>
      </w:r>
    </w:p>
    <w:p w14:paraId="7AC41EFC" w14:textId="77777777" w:rsidR="00F35018" w:rsidRPr="00F35018" w:rsidRDefault="00F35018" w:rsidP="00F35018">
      <w:pPr>
        <w:pStyle w:val="EndNoteBibliography"/>
        <w:spacing w:after="0"/>
        <w:ind w:left="720" w:hanging="720"/>
      </w:pPr>
      <w:r w:rsidRPr="00F35018">
        <w:t xml:space="preserve">Eatwell, R and Goodwin, M (2018) </w:t>
      </w:r>
      <w:r w:rsidRPr="00F35018">
        <w:rPr>
          <w:i/>
        </w:rPr>
        <w:t>National populism: The revolt against liberal democracy.</w:t>
      </w:r>
      <w:r w:rsidRPr="00F35018">
        <w:t xml:space="preserve"> Penguin UK</w:t>
      </w:r>
    </w:p>
    <w:p w14:paraId="12E23CC7" w14:textId="77777777" w:rsidR="00F35018" w:rsidRPr="00F35018" w:rsidRDefault="00F35018" w:rsidP="00F35018">
      <w:pPr>
        <w:pStyle w:val="EndNoteBibliography"/>
        <w:spacing w:after="0"/>
        <w:ind w:left="720" w:hanging="720"/>
      </w:pPr>
      <w:r w:rsidRPr="00F35018">
        <w:t xml:space="preserve">Electoral Commission (2016) EU Referendum Results. </w:t>
      </w:r>
    </w:p>
    <w:p w14:paraId="67DA5DA4" w14:textId="77777777" w:rsidR="00F35018" w:rsidRPr="00F35018" w:rsidRDefault="00F35018" w:rsidP="00F35018">
      <w:pPr>
        <w:pStyle w:val="EndNoteBibliography"/>
        <w:spacing w:after="0"/>
        <w:ind w:left="720" w:hanging="720"/>
      </w:pPr>
      <w:r w:rsidRPr="00F35018">
        <w:t xml:space="preserve">Elledge, J (2017) This YouGov research on Brexit proves baby boomers hate their own children. </w:t>
      </w:r>
      <w:r w:rsidRPr="00F35018">
        <w:rPr>
          <w:i/>
        </w:rPr>
        <w:t>New Statesman.</w:t>
      </w:r>
      <w:r w:rsidRPr="00F35018">
        <w:t xml:space="preserve"> </w:t>
      </w:r>
    </w:p>
    <w:p w14:paraId="368A3B59" w14:textId="77777777" w:rsidR="00F35018" w:rsidRPr="00F35018" w:rsidRDefault="00F35018" w:rsidP="00F35018">
      <w:pPr>
        <w:pStyle w:val="EndNoteBibliography"/>
        <w:spacing w:after="0"/>
        <w:ind w:left="720" w:hanging="720"/>
      </w:pPr>
      <w:r w:rsidRPr="00F35018">
        <w:t xml:space="preserve">Frost, D and North, P (2013) </w:t>
      </w:r>
      <w:r w:rsidRPr="00F35018">
        <w:rPr>
          <w:i/>
        </w:rPr>
        <w:t xml:space="preserve">Militant Liverpool a City on the Edge. </w:t>
      </w:r>
      <w:r w:rsidRPr="00F35018">
        <w:t>Liverpool: Liverpool University Press</w:t>
      </w:r>
    </w:p>
    <w:p w14:paraId="3D385C5D" w14:textId="77777777" w:rsidR="00F35018" w:rsidRPr="00F35018" w:rsidRDefault="00F35018" w:rsidP="00F35018">
      <w:pPr>
        <w:pStyle w:val="EndNoteBibliography"/>
        <w:spacing w:after="0"/>
        <w:ind w:left="720" w:hanging="720"/>
      </w:pPr>
      <w:r w:rsidRPr="00F35018">
        <w:lastRenderedPageBreak/>
        <w:t xml:space="preserve">Goodwin, M (2017) Brexit: Causes and consequences. </w:t>
      </w:r>
      <w:r w:rsidRPr="00F35018">
        <w:rPr>
          <w:i/>
        </w:rPr>
        <w:t>Royal Geographical Society, Monday Night Lectures.</w:t>
      </w:r>
      <w:r w:rsidRPr="00F35018">
        <w:t xml:space="preserve"> London</w:t>
      </w:r>
    </w:p>
    <w:p w14:paraId="3BBD3102" w14:textId="77777777" w:rsidR="00F35018" w:rsidRPr="00F35018" w:rsidRDefault="00F35018" w:rsidP="00F35018">
      <w:pPr>
        <w:pStyle w:val="EndNoteBibliography"/>
        <w:spacing w:after="0"/>
        <w:ind w:left="720" w:hanging="720"/>
      </w:pPr>
      <w:r w:rsidRPr="00F35018">
        <w:t xml:space="preserve">Haque, Z (2018) Britain’s eight million ethnic minorities are still being ignored over Brexit. </w:t>
      </w:r>
      <w:r w:rsidRPr="00F35018">
        <w:rPr>
          <w:i/>
        </w:rPr>
        <w:t>New Statesman.</w:t>
      </w:r>
      <w:r w:rsidRPr="00F35018">
        <w:t xml:space="preserve"> </w:t>
      </w:r>
    </w:p>
    <w:p w14:paraId="6523E701" w14:textId="77777777" w:rsidR="00F35018" w:rsidRPr="00F35018" w:rsidRDefault="00F35018" w:rsidP="00F35018">
      <w:pPr>
        <w:pStyle w:val="EndNoteBibliography"/>
        <w:spacing w:after="0"/>
        <w:ind w:left="720" w:hanging="720"/>
      </w:pPr>
      <w:r w:rsidRPr="00F35018">
        <w:t xml:space="preserve">Kaufmann, E (2016) It’s NOT the economy, stupid: Brexit as a story of personal values. </w:t>
      </w:r>
      <w:r w:rsidRPr="00F35018">
        <w:rPr>
          <w:i/>
        </w:rPr>
        <w:t>British Politics and Policy at LSE</w:t>
      </w:r>
      <w:r w:rsidRPr="00F35018">
        <w:t xml:space="preserve"> </w:t>
      </w:r>
    </w:p>
    <w:p w14:paraId="20B419A0" w14:textId="77777777" w:rsidR="00F35018" w:rsidRPr="00F35018" w:rsidRDefault="00F35018" w:rsidP="00F35018">
      <w:pPr>
        <w:pStyle w:val="EndNoteBibliography"/>
        <w:spacing w:after="0"/>
        <w:ind w:left="720" w:hanging="720"/>
      </w:pPr>
      <w:r w:rsidRPr="00F35018">
        <w:t xml:space="preserve">Liverpool City Council (2018) Ward Profile: Princes Park. </w:t>
      </w:r>
    </w:p>
    <w:p w14:paraId="56D3DEAF" w14:textId="77777777" w:rsidR="00F35018" w:rsidRPr="00F35018" w:rsidRDefault="00F35018" w:rsidP="00F35018">
      <w:pPr>
        <w:pStyle w:val="EndNoteBibliography"/>
        <w:spacing w:after="0"/>
        <w:ind w:left="720" w:hanging="720"/>
      </w:pPr>
      <w:r w:rsidRPr="00F35018">
        <w:t xml:space="preserve">Lowndes, V and Gardner, A (2016) Local governance under the Conservatives: super-austerity, devolution and the ‘smarter state’. </w:t>
      </w:r>
      <w:r w:rsidRPr="00F35018">
        <w:rPr>
          <w:i/>
        </w:rPr>
        <w:t>Local Government Studies</w:t>
      </w:r>
      <w:r w:rsidRPr="00F35018">
        <w:t xml:space="preserve"> 42</w:t>
      </w:r>
      <w:r w:rsidRPr="00F35018">
        <w:rPr>
          <w:b/>
        </w:rPr>
        <w:t>:</w:t>
      </w:r>
      <w:r w:rsidRPr="00F35018">
        <w:t xml:space="preserve"> 357-375</w:t>
      </w:r>
    </w:p>
    <w:p w14:paraId="1E78A685" w14:textId="77777777" w:rsidR="00F35018" w:rsidRPr="00F35018" w:rsidRDefault="00F35018" w:rsidP="00F35018">
      <w:pPr>
        <w:pStyle w:val="EndNoteBibliography"/>
        <w:spacing w:after="0"/>
        <w:ind w:left="720" w:hanging="720"/>
      </w:pPr>
      <w:r w:rsidRPr="00F35018">
        <w:t xml:space="preserve">Manley, D, Jones, K and Johnston, R (2017) The geography of Brexit–What geography? Modelling and predicting the outcome across 380 local authorities. </w:t>
      </w:r>
      <w:r w:rsidRPr="00F35018">
        <w:rPr>
          <w:i/>
        </w:rPr>
        <w:t>Local Economy</w:t>
      </w:r>
      <w:r w:rsidRPr="00F35018">
        <w:t xml:space="preserve"> 32</w:t>
      </w:r>
      <w:r w:rsidRPr="00F35018">
        <w:rPr>
          <w:b/>
        </w:rPr>
        <w:t>:</w:t>
      </w:r>
      <w:r w:rsidRPr="00F35018">
        <w:t xml:space="preserve"> 183-203</w:t>
      </w:r>
    </w:p>
    <w:p w14:paraId="2AB21F34" w14:textId="77777777" w:rsidR="00F35018" w:rsidRPr="00F35018" w:rsidRDefault="00F35018" w:rsidP="00F35018">
      <w:pPr>
        <w:pStyle w:val="EndNoteBibliography"/>
        <w:spacing w:after="0"/>
        <w:ind w:left="720" w:hanging="720"/>
      </w:pPr>
      <w:r w:rsidRPr="00F35018">
        <w:t xml:space="preserve">McCann, P (2016) </w:t>
      </w:r>
      <w:r w:rsidRPr="00F35018">
        <w:rPr>
          <w:i/>
        </w:rPr>
        <w:t xml:space="preserve">The UK Regional-National Economic Problem. </w:t>
      </w:r>
      <w:r w:rsidRPr="00F35018">
        <w:t>London: Routledge</w:t>
      </w:r>
    </w:p>
    <w:p w14:paraId="25F7EE10" w14:textId="77777777" w:rsidR="00F35018" w:rsidRPr="00F35018" w:rsidRDefault="00F35018" w:rsidP="00F35018">
      <w:pPr>
        <w:pStyle w:val="EndNoteBibliography"/>
        <w:spacing w:after="0"/>
        <w:ind w:left="720" w:hanging="720"/>
      </w:pPr>
      <w:r w:rsidRPr="00F35018">
        <w:t xml:space="preserve">McCann, P (2018) Provocations regarding the UK Regional and Urban Development Challenges in a Post-Brexit Environment. </w:t>
      </w:r>
    </w:p>
    <w:p w14:paraId="3BE60F62" w14:textId="77777777" w:rsidR="00F35018" w:rsidRPr="00F35018" w:rsidRDefault="00F35018" w:rsidP="00F35018">
      <w:pPr>
        <w:pStyle w:val="EndNoteBibliography"/>
        <w:spacing w:after="0"/>
        <w:ind w:left="720" w:hanging="720"/>
      </w:pPr>
      <w:r w:rsidRPr="00F35018">
        <w:t>MHCLG (2019) 100 places to benefit from new Towns Fund London: Ministry for Housing, Communities and Local Government</w:t>
      </w:r>
    </w:p>
    <w:p w14:paraId="2891EE96" w14:textId="77777777" w:rsidR="00F35018" w:rsidRPr="00F35018" w:rsidRDefault="00F35018" w:rsidP="00F35018">
      <w:pPr>
        <w:pStyle w:val="EndNoteBibliography"/>
        <w:spacing w:after="0"/>
        <w:ind w:left="720" w:hanging="720"/>
      </w:pPr>
      <w:r w:rsidRPr="00F35018">
        <w:t xml:space="preserve">Mulhearn, C and Franco, M (2018) If you build it will they come? The boom in purpose-built student accommodation in central Liverpool: Destudentification, studentification and the future of the city. </w:t>
      </w:r>
      <w:r w:rsidRPr="00F35018">
        <w:rPr>
          <w:i/>
        </w:rPr>
        <w:t>Local Economy</w:t>
      </w:r>
      <w:r w:rsidRPr="00F35018">
        <w:t xml:space="preserve"> 33</w:t>
      </w:r>
      <w:r w:rsidRPr="00F35018">
        <w:rPr>
          <w:b/>
        </w:rPr>
        <w:t>:</w:t>
      </w:r>
      <w:r w:rsidRPr="00F35018">
        <w:t xml:space="preserve"> 477-495</w:t>
      </w:r>
    </w:p>
    <w:p w14:paraId="5A4A233F" w14:textId="77777777" w:rsidR="00F35018" w:rsidRPr="00F35018" w:rsidRDefault="00F35018" w:rsidP="00F35018">
      <w:pPr>
        <w:pStyle w:val="EndNoteBibliography"/>
        <w:spacing w:after="0"/>
        <w:ind w:left="720" w:hanging="720"/>
      </w:pPr>
      <w:r w:rsidRPr="00F35018">
        <w:t>NOMIS (2011) UK Census 2011 - KS201UK - Ethnic Group. NOMIS</w:t>
      </w:r>
    </w:p>
    <w:p w14:paraId="7ED9D33D" w14:textId="77777777" w:rsidR="00F35018" w:rsidRPr="00F35018" w:rsidRDefault="00F35018" w:rsidP="00F35018">
      <w:pPr>
        <w:pStyle w:val="EndNoteBibliography"/>
        <w:spacing w:after="0"/>
        <w:ind w:left="720" w:hanging="720"/>
      </w:pPr>
      <w:r w:rsidRPr="00F35018">
        <w:t xml:space="preserve">Ortega-Argilés, R and McCann, P (2018) ‘How Brexit will hit different UK regions and industries’. </w:t>
      </w:r>
      <w:r w:rsidRPr="00F35018">
        <w:rPr>
          <w:i/>
        </w:rPr>
        <w:t>The Conversation.</w:t>
      </w:r>
      <w:r w:rsidRPr="00F35018">
        <w:t xml:space="preserve"> </w:t>
      </w:r>
    </w:p>
    <w:p w14:paraId="70348D05" w14:textId="77777777" w:rsidR="00F35018" w:rsidRPr="00F35018" w:rsidRDefault="00F35018" w:rsidP="00F35018">
      <w:pPr>
        <w:pStyle w:val="EndNoteBibliography"/>
        <w:spacing w:after="0"/>
        <w:ind w:left="720" w:hanging="720"/>
      </w:pPr>
      <w:r w:rsidRPr="00F35018">
        <w:t xml:space="preserve">Parkinson, M (1985) </w:t>
      </w:r>
      <w:r w:rsidRPr="00F35018">
        <w:rPr>
          <w:i/>
        </w:rPr>
        <w:t>Liverpool on the Brink.</w:t>
      </w:r>
      <w:r w:rsidRPr="00F35018">
        <w:t xml:space="preserve"> Hermitage</w:t>
      </w:r>
    </w:p>
    <w:p w14:paraId="1066D7E5" w14:textId="77777777" w:rsidR="00F35018" w:rsidRPr="00F35018" w:rsidRDefault="00F35018" w:rsidP="00F35018">
      <w:pPr>
        <w:pStyle w:val="EndNoteBibliography"/>
        <w:spacing w:after="0"/>
        <w:ind w:left="720" w:hanging="720"/>
      </w:pPr>
      <w:r w:rsidRPr="00F35018">
        <w:t xml:space="preserve">Parkinson, M (2019) </w:t>
      </w:r>
      <w:r w:rsidRPr="00F35018">
        <w:rPr>
          <w:i/>
        </w:rPr>
        <w:t xml:space="preserve">Liverpool Beyond the Brink. </w:t>
      </w:r>
      <w:r w:rsidRPr="00F35018">
        <w:t>Liverpool: Liverpool University Press</w:t>
      </w:r>
    </w:p>
    <w:p w14:paraId="2F8B6F6B" w14:textId="77777777" w:rsidR="00F35018" w:rsidRPr="00F35018" w:rsidRDefault="00F35018" w:rsidP="00F35018">
      <w:pPr>
        <w:pStyle w:val="EndNoteBibliography"/>
        <w:spacing w:after="0"/>
        <w:ind w:left="720" w:hanging="720"/>
      </w:pPr>
      <w:r w:rsidRPr="00F35018">
        <w:t xml:space="preserve">Rankin, J (2019) ‘UK cities shut out of Brexit discussions, say leaders’. </w:t>
      </w:r>
      <w:r w:rsidRPr="00F35018">
        <w:rPr>
          <w:i/>
        </w:rPr>
        <w:t>The Guardian.</w:t>
      </w:r>
      <w:r w:rsidRPr="00F35018">
        <w:t xml:space="preserve"> </w:t>
      </w:r>
    </w:p>
    <w:p w14:paraId="022417F2" w14:textId="77777777" w:rsidR="00F35018" w:rsidRPr="00F35018" w:rsidRDefault="00F35018" w:rsidP="00F35018">
      <w:pPr>
        <w:pStyle w:val="EndNoteBibliography"/>
        <w:spacing w:after="0"/>
        <w:ind w:left="720" w:hanging="720"/>
      </w:pPr>
      <w:r w:rsidRPr="00F35018">
        <w:t xml:space="preserve">Sturzaker, J and Nurse, A (Forthcoming) </w:t>
      </w:r>
      <w:r w:rsidRPr="00F35018">
        <w:rPr>
          <w:i/>
        </w:rPr>
        <w:t xml:space="preserve">Rescaling Urban Governance – Planning, Localism and Institutional Change. </w:t>
      </w:r>
      <w:r w:rsidRPr="00F35018">
        <w:t>Bristol: Policy Press</w:t>
      </w:r>
    </w:p>
    <w:p w14:paraId="6183D936" w14:textId="77777777" w:rsidR="00F35018" w:rsidRPr="00F35018" w:rsidRDefault="00F35018" w:rsidP="00F35018">
      <w:pPr>
        <w:pStyle w:val="EndNoteBibliography"/>
        <w:spacing w:after="0"/>
        <w:ind w:left="720" w:hanging="720"/>
      </w:pPr>
      <w:r w:rsidRPr="00F35018">
        <w:t xml:space="preserve">Sykes, O (2018) Post-geography worlds, new dominions, left behind regions, and ‘other’ places: unpacking some spatial imaginaries of the UK’s ‘Brexit’ debate. </w:t>
      </w:r>
      <w:r w:rsidRPr="00F35018">
        <w:rPr>
          <w:i/>
        </w:rPr>
        <w:t>Space and Polity</w:t>
      </w:r>
      <w:r w:rsidRPr="00F35018">
        <w:t xml:space="preserve"> 22</w:t>
      </w:r>
      <w:r w:rsidRPr="00F35018">
        <w:rPr>
          <w:b/>
        </w:rPr>
        <w:t>:</w:t>
      </w:r>
      <w:r w:rsidRPr="00F35018">
        <w:t xml:space="preserve"> 137-161</w:t>
      </w:r>
    </w:p>
    <w:p w14:paraId="5F4824FF" w14:textId="77777777" w:rsidR="00F35018" w:rsidRPr="00F35018" w:rsidRDefault="00F35018" w:rsidP="00F35018">
      <w:pPr>
        <w:pStyle w:val="EndNoteBibliography"/>
        <w:spacing w:after="0"/>
        <w:ind w:left="720" w:hanging="720"/>
      </w:pPr>
      <w:r w:rsidRPr="00F35018">
        <w:t xml:space="preserve">Sykes, O, Brown, J, Cocks, M, Shaw, D and Couch, C (2013) A City Profile of Liverpool. </w:t>
      </w:r>
      <w:r w:rsidRPr="00F35018">
        <w:rPr>
          <w:i/>
        </w:rPr>
        <w:t>Cities</w:t>
      </w:r>
      <w:r w:rsidRPr="00F35018">
        <w:t xml:space="preserve"> (Published Online)</w:t>
      </w:r>
    </w:p>
    <w:p w14:paraId="2E043B96" w14:textId="77777777" w:rsidR="00F35018" w:rsidRPr="00F35018" w:rsidRDefault="00F35018" w:rsidP="00F35018">
      <w:pPr>
        <w:pStyle w:val="EndNoteBibliography"/>
        <w:spacing w:after="0"/>
        <w:ind w:left="720" w:hanging="720"/>
      </w:pPr>
      <w:r w:rsidRPr="00F35018">
        <w:t xml:space="preserve">Thorp, L (2019) Liverpool is facing 'worst crisis since World War Two' with huge budget gap and nowhere left to turn. </w:t>
      </w:r>
      <w:r w:rsidRPr="00F35018">
        <w:rPr>
          <w:i/>
        </w:rPr>
        <w:t>Liverpool Echo.</w:t>
      </w:r>
      <w:r w:rsidRPr="00F35018">
        <w:t xml:space="preserve"> Liverpool</w:t>
      </w:r>
    </w:p>
    <w:p w14:paraId="78AAA3AE" w14:textId="77777777" w:rsidR="00F35018" w:rsidRPr="00F35018" w:rsidRDefault="00F35018" w:rsidP="00F35018">
      <w:pPr>
        <w:pStyle w:val="EndNoteBibliography"/>
        <w:spacing w:after="0"/>
        <w:ind w:left="720" w:hanging="720"/>
      </w:pPr>
      <w:r w:rsidRPr="00F35018">
        <w:t xml:space="preserve">Walker, P (2019) Most Labour members believe Corbyn should back second Brexit vote </w:t>
      </w:r>
      <w:r w:rsidRPr="00F35018">
        <w:rPr>
          <w:i/>
        </w:rPr>
        <w:t>The Guardian.</w:t>
      </w:r>
      <w:r w:rsidRPr="00F35018">
        <w:t xml:space="preserve"> </w:t>
      </w:r>
    </w:p>
    <w:p w14:paraId="1A8E54F7" w14:textId="77777777" w:rsidR="00F35018" w:rsidRPr="00F35018" w:rsidRDefault="00F35018" w:rsidP="00F35018">
      <w:pPr>
        <w:pStyle w:val="EndNoteBibliography"/>
        <w:spacing w:after="0"/>
        <w:ind w:left="720" w:hanging="720"/>
      </w:pPr>
      <w:r w:rsidRPr="00F35018">
        <w:t xml:space="preserve">Watkins, J (2015) Spatial Imaginaries Research in Geography: Synergies, Tensions, and New Directions. </w:t>
      </w:r>
      <w:r w:rsidRPr="00F35018">
        <w:rPr>
          <w:i/>
        </w:rPr>
        <w:t>Geography Compass</w:t>
      </w:r>
      <w:r w:rsidRPr="00F35018">
        <w:t xml:space="preserve"> 9</w:t>
      </w:r>
      <w:r w:rsidRPr="00F35018">
        <w:rPr>
          <w:b/>
        </w:rPr>
        <w:t>:</w:t>
      </w:r>
      <w:r w:rsidRPr="00F35018">
        <w:t xml:space="preserve"> 508-522</w:t>
      </w:r>
    </w:p>
    <w:p w14:paraId="2B8C6F22" w14:textId="77777777" w:rsidR="00F35018" w:rsidRPr="00F35018" w:rsidRDefault="00F35018" w:rsidP="00F35018">
      <w:pPr>
        <w:pStyle w:val="EndNoteBibliography"/>
        <w:spacing w:after="0"/>
        <w:ind w:left="720" w:hanging="720"/>
      </w:pPr>
      <w:r w:rsidRPr="00F35018">
        <w:t xml:space="preserve">Wilks-Heeg, S (2003) From World City to Pariah City? Liverpool and the Global Economy 1850-2000. In Munck, R (ed) </w:t>
      </w:r>
      <w:r w:rsidRPr="00F35018">
        <w:rPr>
          <w:i/>
        </w:rPr>
        <w:t>Reinventing the City? Liverpool in Comparative Perspective.</w:t>
      </w:r>
      <w:r w:rsidRPr="00F35018">
        <w:t xml:space="preserve"> Liverpool: Liverpool University Press</w:t>
      </w:r>
    </w:p>
    <w:p w14:paraId="20395345" w14:textId="77777777" w:rsidR="00F35018" w:rsidRPr="00F35018" w:rsidRDefault="00F35018" w:rsidP="00F35018">
      <w:pPr>
        <w:pStyle w:val="EndNoteBibliography"/>
        <w:spacing w:after="0"/>
        <w:ind w:left="720" w:hanging="720"/>
      </w:pPr>
      <w:r w:rsidRPr="00F35018">
        <w:t xml:space="preserve">Williams, J (2019) Why Boris Johnson’s choice of ‘left-behind towns’ may have also laid bare his election masterplan. </w:t>
      </w:r>
      <w:r w:rsidRPr="00F35018">
        <w:rPr>
          <w:i/>
        </w:rPr>
        <w:t>Manchester Evening News.</w:t>
      </w:r>
      <w:r w:rsidRPr="00F35018">
        <w:t xml:space="preserve"> Manchester</w:t>
      </w:r>
    </w:p>
    <w:p w14:paraId="6DB22BB9" w14:textId="77777777" w:rsidR="00F35018" w:rsidRPr="00F35018" w:rsidRDefault="00F35018" w:rsidP="00F35018">
      <w:pPr>
        <w:pStyle w:val="EndNoteBibliography"/>
        <w:ind w:left="720" w:hanging="720"/>
      </w:pPr>
      <w:r w:rsidRPr="00F35018">
        <w:t xml:space="preserve">Woodcock, A (2019) 'Get back to Parliament': Boris Johnson heckled during speech shortly after being accosted in street over Brexit. </w:t>
      </w:r>
      <w:r w:rsidRPr="00F35018">
        <w:rPr>
          <w:i/>
        </w:rPr>
        <w:t>The Independent.</w:t>
      </w:r>
      <w:r w:rsidRPr="00F35018">
        <w:t xml:space="preserve"> </w:t>
      </w:r>
    </w:p>
    <w:p w14:paraId="0B7537FD" w14:textId="523C4865" w:rsidR="00175674" w:rsidRDefault="00D16A49" w:rsidP="00B140D4">
      <w:pPr>
        <w:spacing w:after="0" w:line="276" w:lineRule="auto"/>
        <w:ind w:firstLine="567"/>
        <w:jc w:val="both"/>
        <w:rPr>
          <w:sz w:val="24"/>
          <w:szCs w:val="24"/>
        </w:rPr>
      </w:pPr>
      <w:r>
        <w:rPr>
          <w:sz w:val="24"/>
          <w:szCs w:val="24"/>
        </w:rPr>
        <w:fldChar w:fldCharType="end"/>
      </w:r>
    </w:p>
    <w:p w14:paraId="07C01331" w14:textId="69B69FB1" w:rsidR="006245E7" w:rsidRPr="007A3248" w:rsidRDefault="006245E7" w:rsidP="00B140D4">
      <w:pPr>
        <w:spacing w:after="0" w:line="276" w:lineRule="auto"/>
        <w:ind w:firstLine="567"/>
        <w:jc w:val="both"/>
        <w:rPr>
          <w:sz w:val="24"/>
          <w:szCs w:val="24"/>
        </w:rPr>
      </w:pPr>
    </w:p>
    <w:sectPr w:rsidR="006245E7" w:rsidRPr="007A324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DE853" w16cid:durableId="20F3D38A"/>
  <w16cid:commentId w16cid:paraId="482114EE" w16cid:durableId="20F3D38B"/>
  <w16cid:commentId w16cid:paraId="1F45BE37" w16cid:durableId="20F3D38C"/>
  <w16cid:commentId w16cid:paraId="402AA18C" w16cid:durableId="20F3D38D"/>
  <w16cid:commentId w16cid:paraId="60D8BB6A" w16cid:durableId="20F3D38E"/>
  <w16cid:commentId w16cid:paraId="55FB8803" w16cid:durableId="20F3D38F"/>
  <w16cid:commentId w16cid:paraId="28308B36" w16cid:durableId="20F3D390"/>
  <w16cid:commentId w16cid:paraId="5722243F" w16cid:durableId="20F3D391"/>
  <w16cid:commentId w16cid:paraId="46E185C6" w16cid:durableId="20F3D392"/>
  <w16cid:commentId w16cid:paraId="56C220AA" w16cid:durableId="20F3D393"/>
  <w16cid:commentId w16cid:paraId="6AE257D7" w16cid:durableId="20F3D394"/>
  <w16cid:commentId w16cid:paraId="388487F6" w16cid:durableId="20F3D395"/>
  <w16cid:commentId w16cid:paraId="1BFA3670" w16cid:durableId="20F3D3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C1D"/>
    <w:multiLevelType w:val="multilevel"/>
    <w:tmpl w:val="4308EF9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24B73240"/>
    <w:multiLevelType w:val="multilevel"/>
    <w:tmpl w:val="FB162284"/>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E840509"/>
    <w:multiLevelType w:val="multilevel"/>
    <w:tmpl w:val="4308EF9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6F70643A"/>
    <w:multiLevelType w:val="hybridMultilevel"/>
    <w:tmpl w:val="16C4CA78"/>
    <w:lvl w:ilvl="0" w:tplc="AF002E3C">
      <w:start w:val="1"/>
      <w:numFmt w:val="decimal"/>
      <w:lvlText w:val="%1)"/>
      <w:lvlJc w:val="left"/>
      <w:pPr>
        <w:ind w:left="977" w:hanging="360"/>
      </w:pPr>
      <w:rPr>
        <w:rFonts w:hint="default"/>
      </w:rPr>
    </w:lvl>
    <w:lvl w:ilvl="1" w:tplc="08090019" w:tentative="1">
      <w:start w:val="1"/>
      <w:numFmt w:val="lowerLetter"/>
      <w:lvlText w:val="%2."/>
      <w:lvlJc w:val="left"/>
      <w:pPr>
        <w:ind w:left="1697" w:hanging="360"/>
      </w:pPr>
    </w:lvl>
    <w:lvl w:ilvl="2" w:tplc="0809001B" w:tentative="1">
      <w:start w:val="1"/>
      <w:numFmt w:val="lowerRoman"/>
      <w:lvlText w:val="%3."/>
      <w:lvlJc w:val="right"/>
      <w:pPr>
        <w:ind w:left="2417" w:hanging="180"/>
      </w:pPr>
    </w:lvl>
    <w:lvl w:ilvl="3" w:tplc="0809000F" w:tentative="1">
      <w:start w:val="1"/>
      <w:numFmt w:val="decimal"/>
      <w:lvlText w:val="%4."/>
      <w:lvlJc w:val="left"/>
      <w:pPr>
        <w:ind w:left="3137" w:hanging="360"/>
      </w:pPr>
    </w:lvl>
    <w:lvl w:ilvl="4" w:tplc="08090019" w:tentative="1">
      <w:start w:val="1"/>
      <w:numFmt w:val="lowerLetter"/>
      <w:lvlText w:val="%5."/>
      <w:lvlJc w:val="left"/>
      <w:pPr>
        <w:ind w:left="3857" w:hanging="360"/>
      </w:pPr>
    </w:lvl>
    <w:lvl w:ilvl="5" w:tplc="0809001B" w:tentative="1">
      <w:start w:val="1"/>
      <w:numFmt w:val="lowerRoman"/>
      <w:lvlText w:val="%6."/>
      <w:lvlJc w:val="right"/>
      <w:pPr>
        <w:ind w:left="4577" w:hanging="180"/>
      </w:pPr>
    </w:lvl>
    <w:lvl w:ilvl="6" w:tplc="0809000F" w:tentative="1">
      <w:start w:val="1"/>
      <w:numFmt w:val="decimal"/>
      <w:lvlText w:val="%7."/>
      <w:lvlJc w:val="left"/>
      <w:pPr>
        <w:ind w:left="5297" w:hanging="360"/>
      </w:pPr>
    </w:lvl>
    <w:lvl w:ilvl="7" w:tplc="08090019" w:tentative="1">
      <w:start w:val="1"/>
      <w:numFmt w:val="lowerLetter"/>
      <w:lvlText w:val="%8."/>
      <w:lvlJc w:val="left"/>
      <w:pPr>
        <w:ind w:left="6017" w:hanging="360"/>
      </w:pPr>
    </w:lvl>
    <w:lvl w:ilvl="8" w:tplc="0809001B" w:tentative="1">
      <w:start w:val="1"/>
      <w:numFmt w:val="lowerRoman"/>
      <w:lvlText w:val="%9."/>
      <w:lvlJc w:val="right"/>
      <w:pPr>
        <w:ind w:left="673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tipod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2v0zffie0st6edessvst0jrx50tz9rrwst&quot;&gt;2018-12 - My EndNote Library-Saved Copy&lt;record-ids&gt;&lt;item&gt;175&lt;/item&gt;&lt;item&gt;228&lt;/item&gt;&lt;item&gt;260&lt;/item&gt;&lt;item&gt;734&lt;/item&gt;&lt;item&gt;773&lt;/item&gt;&lt;item&gt;796&lt;/item&gt;&lt;item&gt;799&lt;/item&gt;&lt;item&gt;871&lt;/item&gt;&lt;item&gt;1075&lt;/item&gt;&lt;item&gt;1295&lt;/item&gt;&lt;item&gt;1525&lt;/item&gt;&lt;item&gt;1532&lt;/item&gt;&lt;item&gt;1544&lt;/item&gt;&lt;item&gt;1545&lt;/item&gt;&lt;item&gt;1546&lt;/item&gt;&lt;item&gt;1547&lt;/item&gt;&lt;item&gt;1548&lt;/item&gt;&lt;item&gt;1549&lt;/item&gt;&lt;item&gt;1550&lt;/item&gt;&lt;item&gt;1551&lt;/item&gt;&lt;item&gt;1553&lt;/item&gt;&lt;item&gt;1555&lt;/item&gt;&lt;item&gt;1556&lt;/item&gt;&lt;item&gt;1557&lt;/item&gt;&lt;item&gt;1559&lt;/item&gt;&lt;item&gt;1560&lt;/item&gt;&lt;item&gt;1561&lt;/item&gt;&lt;item&gt;1562&lt;/item&gt;&lt;item&gt;1564&lt;/item&gt;&lt;item&gt;1565&lt;/item&gt;&lt;item&gt;1566&lt;/item&gt;&lt;item&gt;1567&lt;/item&gt;&lt;item&gt;1568&lt;/item&gt;&lt;item&gt;1569&lt;/item&gt;&lt;item&gt;1570&lt;/item&gt;&lt;item&gt;1571&lt;/item&gt;&lt;item&gt;1572&lt;/item&gt;&lt;item&gt;1594&lt;/item&gt;&lt;item&gt;1595&lt;/item&gt;&lt;item&gt;1596&lt;/item&gt;&lt;item&gt;1597&lt;/item&gt;&lt;item&gt;1598&lt;/item&gt;&lt;item&gt;1599&lt;/item&gt;&lt;/record-ids&gt;&lt;/item&gt;&lt;/Libraries&gt;"/>
  </w:docVars>
  <w:rsids>
    <w:rsidRoot w:val="00175674"/>
    <w:rsid w:val="000215A6"/>
    <w:rsid w:val="0002791D"/>
    <w:rsid w:val="00030F28"/>
    <w:rsid w:val="0003190F"/>
    <w:rsid w:val="000356FB"/>
    <w:rsid w:val="00035A9C"/>
    <w:rsid w:val="00054994"/>
    <w:rsid w:val="00063CE6"/>
    <w:rsid w:val="00066FEA"/>
    <w:rsid w:val="000775C1"/>
    <w:rsid w:val="000877EA"/>
    <w:rsid w:val="000B4981"/>
    <w:rsid w:val="000C4601"/>
    <w:rsid w:val="000D1287"/>
    <w:rsid w:val="000D51E5"/>
    <w:rsid w:val="000E258B"/>
    <w:rsid w:val="000E2AD3"/>
    <w:rsid w:val="000E36C3"/>
    <w:rsid w:val="000E40FC"/>
    <w:rsid w:val="00101CDE"/>
    <w:rsid w:val="00110CA2"/>
    <w:rsid w:val="0012197E"/>
    <w:rsid w:val="001254D0"/>
    <w:rsid w:val="00125C5A"/>
    <w:rsid w:val="00125E3A"/>
    <w:rsid w:val="0013050B"/>
    <w:rsid w:val="00133DD0"/>
    <w:rsid w:val="001349D6"/>
    <w:rsid w:val="00136044"/>
    <w:rsid w:val="00137311"/>
    <w:rsid w:val="00140BA2"/>
    <w:rsid w:val="001438BD"/>
    <w:rsid w:val="00145FF4"/>
    <w:rsid w:val="00147682"/>
    <w:rsid w:val="00151BBE"/>
    <w:rsid w:val="00153E43"/>
    <w:rsid w:val="00154C03"/>
    <w:rsid w:val="00164D7F"/>
    <w:rsid w:val="00175525"/>
    <w:rsid w:val="00175674"/>
    <w:rsid w:val="00177F5C"/>
    <w:rsid w:val="00180839"/>
    <w:rsid w:val="001843F6"/>
    <w:rsid w:val="0018670C"/>
    <w:rsid w:val="00187D84"/>
    <w:rsid w:val="001A17D0"/>
    <w:rsid w:val="001C16E7"/>
    <w:rsid w:val="001C58C4"/>
    <w:rsid w:val="001E07AB"/>
    <w:rsid w:val="001F6684"/>
    <w:rsid w:val="002036D4"/>
    <w:rsid w:val="0021488A"/>
    <w:rsid w:val="00217503"/>
    <w:rsid w:val="0023174D"/>
    <w:rsid w:val="00261194"/>
    <w:rsid w:val="00273865"/>
    <w:rsid w:val="002941D4"/>
    <w:rsid w:val="002B2259"/>
    <w:rsid w:val="002B3451"/>
    <w:rsid w:val="002B5734"/>
    <w:rsid w:val="002C6075"/>
    <w:rsid w:val="002C6FF0"/>
    <w:rsid w:val="002D3331"/>
    <w:rsid w:val="002E466D"/>
    <w:rsid w:val="002F4C5C"/>
    <w:rsid w:val="00301201"/>
    <w:rsid w:val="00311619"/>
    <w:rsid w:val="0031165C"/>
    <w:rsid w:val="00312343"/>
    <w:rsid w:val="00315542"/>
    <w:rsid w:val="00315E85"/>
    <w:rsid w:val="0032369B"/>
    <w:rsid w:val="00340B9D"/>
    <w:rsid w:val="00342E0E"/>
    <w:rsid w:val="003458B8"/>
    <w:rsid w:val="00365DDA"/>
    <w:rsid w:val="00366600"/>
    <w:rsid w:val="0037168C"/>
    <w:rsid w:val="0037248C"/>
    <w:rsid w:val="00377D77"/>
    <w:rsid w:val="00384676"/>
    <w:rsid w:val="003A1FD7"/>
    <w:rsid w:val="003A75DA"/>
    <w:rsid w:val="003B3972"/>
    <w:rsid w:val="003B3C88"/>
    <w:rsid w:val="003B6A54"/>
    <w:rsid w:val="003B7FA9"/>
    <w:rsid w:val="003C0025"/>
    <w:rsid w:val="003D23AF"/>
    <w:rsid w:val="003D2EE1"/>
    <w:rsid w:val="003F0635"/>
    <w:rsid w:val="003F5253"/>
    <w:rsid w:val="00405014"/>
    <w:rsid w:val="00405518"/>
    <w:rsid w:val="004148B8"/>
    <w:rsid w:val="00423DE2"/>
    <w:rsid w:val="004379BE"/>
    <w:rsid w:val="0044790D"/>
    <w:rsid w:val="0045546E"/>
    <w:rsid w:val="004560C2"/>
    <w:rsid w:val="00467E34"/>
    <w:rsid w:val="0047646C"/>
    <w:rsid w:val="00480F3E"/>
    <w:rsid w:val="004859D3"/>
    <w:rsid w:val="00490E68"/>
    <w:rsid w:val="004916E4"/>
    <w:rsid w:val="00491DBD"/>
    <w:rsid w:val="004A1344"/>
    <w:rsid w:val="004A3CF1"/>
    <w:rsid w:val="004A78F8"/>
    <w:rsid w:val="004B2CE0"/>
    <w:rsid w:val="004C7190"/>
    <w:rsid w:val="004D2CC0"/>
    <w:rsid w:val="004D66EA"/>
    <w:rsid w:val="004D6FAA"/>
    <w:rsid w:val="004F5FA1"/>
    <w:rsid w:val="005047D0"/>
    <w:rsid w:val="00515182"/>
    <w:rsid w:val="005157EE"/>
    <w:rsid w:val="00515903"/>
    <w:rsid w:val="00516953"/>
    <w:rsid w:val="00522C65"/>
    <w:rsid w:val="00523800"/>
    <w:rsid w:val="005338BD"/>
    <w:rsid w:val="00536535"/>
    <w:rsid w:val="0054321C"/>
    <w:rsid w:val="005533A9"/>
    <w:rsid w:val="00560FF9"/>
    <w:rsid w:val="0056665F"/>
    <w:rsid w:val="0056751C"/>
    <w:rsid w:val="00577E3C"/>
    <w:rsid w:val="0059072D"/>
    <w:rsid w:val="005930CA"/>
    <w:rsid w:val="005A279F"/>
    <w:rsid w:val="005A69E8"/>
    <w:rsid w:val="005A6C7C"/>
    <w:rsid w:val="005A723C"/>
    <w:rsid w:val="005B1B62"/>
    <w:rsid w:val="005C33D7"/>
    <w:rsid w:val="005C565D"/>
    <w:rsid w:val="005D43FC"/>
    <w:rsid w:val="005D4C1F"/>
    <w:rsid w:val="005D6B6E"/>
    <w:rsid w:val="005F4243"/>
    <w:rsid w:val="005F5342"/>
    <w:rsid w:val="0060052E"/>
    <w:rsid w:val="006216A0"/>
    <w:rsid w:val="00622760"/>
    <w:rsid w:val="006242D1"/>
    <w:rsid w:val="006245E7"/>
    <w:rsid w:val="006251C6"/>
    <w:rsid w:val="006253C0"/>
    <w:rsid w:val="00631785"/>
    <w:rsid w:val="00634D54"/>
    <w:rsid w:val="006361D4"/>
    <w:rsid w:val="00641F4C"/>
    <w:rsid w:val="00646B44"/>
    <w:rsid w:val="00653F20"/>
    <w:rsid w:val="006667E0"/>
    <w:rsid w:val="006671E2"/>
    <w:rsid w:val="006675CB"/>
    <w:rsid w:val="00667726"/>
    <w:rsid w:val="0067032D"/>
    <w:rsid w:val="00673711"/>
    <w:rsid w:val="0067381A"/>
    <w:rsid w:val="00681F64"/>
    <w:rsid w:val="00682283"/>
    <w:rsid w:val="00687F94"/>
    <w:rsid w:val="00690C23"/>
    <w:rsid w:val="00692D1A"/>
    <w:rsid w:val="006A4148"/>
    <w:rsid w:val="006B11B2"/>
    <w:rsid w:val="006B4907"/>
    <w:rsid w:val="006B6AFB"/>
    <w:rsid w:val="006B75A3"/>
    <w:rsid w:val="006C0898"/>
    <w:rsid w:val="006C290C"/>
    <w:rsid w:val="006D4125"/>
    <w:rsid w:val="006F7BCE"/>
    <w:rsid w:val="00701DB0"/>
    <w:rsid w:val="00707EDB"/>
    <w:rsid w:val="00713FA7"/>
    <w:rsid w:val="0072591F"/>
    <w:rsid w:val="007260A4"/>
    <w:rsid w:val="007306FE"/>
    <w:rsid w:val="00732CE9"/>
    <w:rsid w:val="00740845"/>
    <w:rsid w:val="0074650E"/>
    <w:rsid w:val="00752860"/>
    <w:rsid w:val="00796D8F"/>
    <w:rsid w:val="007A3248"/>
    <w:rsid w:val="007A3505"/>
    <w:rsid w:val="007B0CA4"/>
    <w:rsid w:val="007C304D"/>
    <w:rsid w:val="007C521C"/>
    <w:rsid w:val="007D4E8E"/>
    <w:rsid w:val="007D7674"/>
    <w:rsid w:val="007E28C0"/>
    <w:rsid w:val="007F1AFC"/>
    <w:rsid w:val="007F2F13"/>
    <w:rsid w:val="00803059"/>
    <w:rsid w:val="00811F83"/>
    <w:rsid w:val="008144AC"/>
    <w:rsid w:val="00815FF8"/>
    <w:rsid w:val="00822734"/>
    <w:rsid w:val="008263EB"/>
    <w:rsid w:val="0083243C"/>
    <w:rsid w:val="00835BA8"/>
    <w:rsid w:val="008511D1"/>
    <w:rsid w:val="008611AB"/>
    <w:rsid w:val="00863B4E"/>
    <w:rsid w:val="0086424F"/>
    <w:rsid w:val="008772D8"/>
    <w:rsid w:val="00884674"/>
    <w:rsid w:val="0089479A"/>
    <w:rsid w:val="00894E11"/>
    <w:rsid w:val="008A0212"/>
    <w:rsid w:val="008A0B52"/>
    <w:rsid w:val="008A1D4A"/>
    <w:rsid w:val="008A4C0D"/>
    <w:rsid w:val="008B3FA8"/>
    <w:rsid w:val="008B562D"/>
    <w:rsid w:val="008C4641"/>
    <w:rsid w:val="008C46A0"/>
    <w:rsid w:val="008C7FD6"/>
    <w:rsid w:val="008D2785"/>
    <w:rsid w:val="008E5401"/>
    <w:rsid w:val="00904807"/>
    <w:rsid w:val="009060BF"/>
    <w:rsid w:val="00913F40"/>
    <w:rsid w:val="00914453"/>
    <w:rsid w:val="009204DF"/>
    <w:rsid w:val="00920A7C"/>
    <w:rsid w:val="009238A5"/>
    <w:rsid w:val="00925B92"/>
    <w:rsid w:val="00932724"/>
    <w:rsid w:val="00934207"/>
    <w:rsid w:val="00944716"/>
    <w:rsid w:val="00950167"/>
    <w:rsid w:val="00951C36"/>
    <w:rsid w:val="00954F98"/>
    <w:rsid w:val="00971076"/>
    <w:rsid w:val="00974089"/>
    <w:rsid w:val="009A7859"/>
    <w:rsid w:val="009B11F6"/>
    <w:rsid w:val="009B18FA"/>
    <w:rsid w:val="009B1DAC"/>
    <w:rsid w:val="009B54AB"/>
    <w:rsid w:val="009B65CE"/>
    <w:rsid w:val="009C2EE1"/>
    <w:rsid w:val="009D532D"/>
    <w:rsid w:val="009E2EFE"/>
    <w:rsid w:val="009E617E"/>
    <w:rsid w:val="009E6E07"/>
    <w:rsid w:val="009F341D"/>
    <w:rsid w:val="00A00657"/>
    <w:rsid w:val="00A01418"/>
    <w:rsid w:val="00A031CD"/>
    <w:rsid w:val="00A04EB2"/>
    <w:rsid w:val="00A1296B"/>
    <w:rsid w:val="00A12CFE"/>
    <w:rsid w:val="00A25701"/>
    <w:rsid w:val="00A26947"/>
    <w:rsid w:val="00A339C3"/>
    <w:rsid w:val="00A33CF0"/>
    <w:rsid w:val="00A34DE7"/>
    <w:rsid w:val="00A34ECD"/>
    <w:rsid w:val="00A66D9C"/>
    <w:rsid w:val="00A71557"/>
    <w:rsid w:val="00A903F4"/>
    <w:rsid w:val="00AB1F39"/>
    <w:rsid w:val="00AC5565"/>
    <w:rsid w:val="00AE20B1"/>
    <w:rsid w:val="00AF2827"/>
    <w:rsid w:val="00AF5C08"/>
    <w:rsid w:val="00AF798C"/>
    <w:rsid w:val="00B03FCB"/>
    <w:rsid w:val="00B046A3"/>
    <w:rsid w:val="00B052F2"/>
    <w:rsid w:val="00B072F4"/>
    <w:rsid w:val="00B11BF5"/>
    <w:rsid w:val="00B13EA7"/>
    <w:rsid w:val="00B140D4"/>
    <w:rsid w:val="00B328D8"/>
    <w:rsid w:val="00B33C94"/>
    <w:rsid w:val="00B35C53"/>
    <w:rsid w:val="00B40C24"/>
    <w:rsid w:val="00B5255C"/>
    <w:rsid w:val="00B57009"/>
    <w:rsid w:val="00B62669"/>
    <w:rsid w:val="00B70A85"/>
    <w:rsid w:val="00B7523E"/>
    <w:rsid w:val="00B775BE"/>
    <w:rsid w:val="00BA66D7"/>
    <w:rsid w:val="00BB5505"/>
    <w:rsid w:val="00BB6153"/>
    <w:rsid w:val="00BD714B"/>
    <w:rsid w:val="00BE091B"/>
    <w:rsid w:val="00BF4AAE"/>
    <w:rsid w:val="00BF7EA5"/>
    <w:rsid w:val="00C06B2B"/>
    <w:rsid w:val="00C15388"/>
    <w:rsid w:val="00C20A71"/>
    <w:rsid w:val="00C20EBD"/>
    <w:rsid w:val="00C23EEC"/>
    <w:rsid w:val="00C26563"/>
    <w:rsid w:val="00C27480"/>
    <w:rsid w:val="00C325A0"/>
    <w:rsid w:val="00C32712"/>
    <w:rsid w:val="00C32823"/>
    <w:rsid w:val="00C34FED"/>
    <w:rsid w:val="00C44652"/>
    <w:rsid w:val="00C678C3"/>
    <w:rsid w:val="00C8476E"/>
    <w:rsid w:val="00C9157E"/>
    <w:rsid w:val="00CA3A8D"/>
    <w:rsid w:val="00CC5E10"/>
    <w:rsid w:val="00CC6539"/>
    <w:rsid w:val="00CE44C9"/>
    <w:rsid w:val="00CF12FB"/>
    <w:rsid w:val="00CF2DEE"/>
    <w:rsid w:val="00D11FA5"/>
    <w:rsid w:val="00D125D8"/>
    <w:rsid w:val="00D13DEC"/>
    <w:rsid w:val="00D16A49"/>
    <w:rsid w:val="00D2093D"/>
    <w:rsid w:val="00D22C4C"/>
    <w:rsid w:val="00D24323"/>
    <w:rsid w:val="00D27E7E"/>
    <w:rsid w:val="00D33D2D"/>
    <w:rsid w:val="00D37936"/>
    <w:rsid w:val="00D53FD1"/>
    <w:rsid w:val="00D54993"/>
    <w:rsid w:val="00D60B91"/>
    <w:rsid w:val="00D802C0"/>
    <w:rsid w:val="00DA188E"/>
    <w:rsid w:val="00DA1EFF"/>
    <w:rsid w:val="00DB2C72"/>
    <w:rsid w:val="00DB7131"/>
    <w:rsid w:val="00DB7688"/>
    <w:rsid w:val="00DC3A30"/>
    <w:rsid w:val="00DC3C25"/>
    <w:rsid w:val="00DD257E"/>
    <w:rsid w:val="00DF196D"/>
    <w:rsid w:val="00DF1B59"/>
    <w:rsid w:val="00E05A5D"/>
    <w:rsid w:val="00E06209"/>
    <w:rsid w:val="00E178C9"/>
    <w:rsid w:val="00E270D0"/>
    <w:rsid w:val="00E53C1D"/>
    <w:rsid w:val="00E560F6"/>
    <w:rsid w:val="00E76FFD"/>
    <w:rsid w:val="00E82EAA"/>
    <w:rsid w:val="00E86329"/>
    <w:rsid w:val="00E957BD"/>
    <w:rsid w:val="00EA0427"/>
    <w:rsid w:val="00EA1170"/>
    <w:rsid w:val="00EB3786"/>
    <w:rsid w:val="00EB3C4D"/>
    <w:rsid w:val="00EC107D"/>
    <w:rsid w:val="00EC3630"/>
    <w:rsid w:val="00ED0978"/>
    <w:rsid w:val="00EE2D5D"/>
    <w:rsid w:val="00EE2F8D"/>
    <w:rsid w:val="00EE55E9"/>
    <w:rsid w:val="00EE6917"/>
    <w:rsid w:val="00EF0308"/>
    <w:rsid w:val="00EF7BD0"/>
    <w:rsid w:val="00F108EA"/>
    <w:rsid w:val="00F1648F"/>
    <w:rsid w:val="00F27AA6"/>
    <w:rsid w:val="00F33155"/>
    <w:rsid w:val="00F35018"/>
    <w:rsid w:val="00F35BB4"/>
    <w:rsid w:val="00F62B57"/>
    <w:rsid w:val="00F648A6"/>
    <w:rsid w:val="00F72522"/>
    <w:rsid w:val="00F93C6A"/>
    <w:rsid w:val="00F965A4"/>
    <w:rsid w:val="00F97572"/>
    <w:rsid w:val="00FB2314"/>
    <w:rsid w:val="00FB4B7F"/>
    <w:rsid w:val="00FB54B2"/>
    <w:rsid w:val="00FC5FB5"/>
    <w:rsid w:val="00FD212D"/>
    <w:rsid w:val="00FD24DC"/>
    <w:rsid w:val="00FD66E6"/>
    <w:rsid w:val="00FE08BD"/>
    <w:rsid w:val="00FE0B4F"/>
    <w:rsid w:val="00FE3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850F"/>
  <w15:docId w15:val="{F102BE86-F90C-4CDB-8B80-325F011A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0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65A4"/>
    <w:rPr>
      <w:sz w:val="16"/>
      <w:szCs w:val="16"/>
    </w:rPr>
  </w:style>
  <w:style w:type="paragraph" w:styleId="CommentText">
    <w:name w:val="annotation text"/>
    <w:basedOn w:val="Normal"/>
    <w:link w:val="CommentTextChar"/>
    <w:uiPriority w:val="99"/>
    <w:semiHidden/>
    <w:unhideWhenUsed/>
    <w:rsid w:val="00F965A4"/>
    <w:pPr>
      <w:spacing w:line="240" w:lineRule="auto"/>
    </w:pPr>
    <w:rPr>
      <w:sz w:val="20"/>
      <w:szCs w:val="20"/>
    </w:rPr>
  </w:style>
  <w:style w:type="character" w:customStyle="1" w:styleId="CommentTextChar">
    <w:name w:val="Comment Text Char"/>
    <w:basedOn w:val="DefaultParagraphFont"/>
    <w:link w:val="CommentText"/>
    <w:uiPriority w:val="99"/>
    <w:semiHidden/>
    <w:rsid w:val="00F965A4"/>
    <w:rPr>
      <w:sz w:val="20"/>
      <w:szCs w:val="20"/>
    </w:rPr>
  </w:style>
  <w:style w:type="paragraph" w:styleId="CommentSubject">
    <w:name w:val="annotation subject"/>
    <w:basedOn w:val="CommentText"/>
    <w:next w:val="CommentText"/>
    <w:link w:val="CommentSubjectChar"/>
    <w:uiPriority w:val="99"/>
    <w:semiHidden/>
    <w:unhideWhenUsed/>
    <w:rsid w:val="00F965A4"/>
    <w:rPr>
      <w:b/>
      <w:bCs/>
    </w:rPr>
  </w:style>
  <w:style w:type="character" w:customStyle="1" w:styleId="CommentSubjectChar">
    <w:name w:val="Comment Subject Char"/>
    <w:basedOn w:val="CommentTextChar"/>
    <w:link w:val="CommentSubject"/>
    <w:uiPriority w:val="99"/>
    <w:semiHidden/>
    <w:rsid w:val="00F965A4"/>
    <w:rPr>
      <w:b/>
      <w:bCs/>
      <w:sz w:val="20"/>
      <w:szCs w:val="20"/>
    </w:rPr>
  </w:style>
  <w:style w:type="paragraph" w:styleId="BalloonText">
    <w:name w:val="Balloon Text"/>
    <w:basedOn w:val="Normal"/>
    <w:link w:val="BalloonTextChar"/>
    <w:uiPriority w:val="99"/>
    <w:semiHidden/>
    <w:unhideWhenUsed/>
    <w:rsid w:val="00F9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A4"/>
    <w:rPr>
      <w:rFonts w:ascii="Tahoma" w:hAnsi="Tahoma" w:cs="Tahoma"/>
      <w:sz w:val="16"/>
      <w:szCs w:val="16"/>
    </w:rPr>
  </w:style>
  <w:style w:type="paragraph" w:customStyle="1" w:styleId="EndNoteBibliographyTitle">
    <w:name w:val="EndNote Bibliography Title"/>
    <w:basedOn w:val="Normal"/>
    <w:link w:val="EndNoteBibliographyTitleChar"/>
    <w:rsid w:val="00D16A4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16A49"/>
    <w:rPr>
      <w:rFonts w:ascii="Calibri" w:hAnsi="Calibri"/>
      <w:noProof/>
      <w:lang w:val="en-US"/>
    </w:rPr>
  </w:style>
  <w:style w:type="paragraph" w:customStyle="1" w:styleId="EndNoteBibliography">
    <w:name w:val="EndNote Bibliography"/>
    <w:basedOn w:val="Normal"/>
    <w:link w:val="EndNoteBibliographyChar"/>
    <w:rsid w:val="00D16A49"/>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D16A49"/>
    <w:rPr>
      <w:rFonts w:ascii="Calibri" w:hAnsi="Calibri"/>
      <w:noProof/>
      <w:lang w:val="en-US"/>
    </w:rPr>
  </w:style>
  <w:style w:type="paragraph" w:styleId="ListParagraph">
    <w:name w:val="List Paragraph"/>
    <w:basedOn w:val="Normal"/>
    <w:uiPriority w:val="34"/>
    <w:qFormat/>
    <w:rsid w:val="00F1648F"/>
    <w:pPr>
      <w:ind w:left="720"/>
      <w:contextualSpacing/>
    </w:pPr>
  </w:style>
  <w:style w:type="table" w:styleId="TableGrid">
    <w:name w:val="Table Grid"/>
    <w:basedOn w:val="TableNormal"/>
    <w:uiPriority w:val="39"/>
    <w:rsid w:val="00A1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2712"/>
    <w:rPr>
      <w:color w:val="808080"/>
    </w:rPr>
  </w:style>
  <w:style w:type="character" w:styleId="Strong">
    <w:name w:val="Strong"/>
    <w:basedOn w:val="DefaultParagraphFont"/>
    <w:uiPriority w:val="22"/>
    <w:qFormat/>
    <w:rsid w:val="009C2EE1"/>
    <w:rPr>
      <w:b/>
      <w:bCs/>
    </w:rPr>
  </w:style>
  <w:style w:type="character" w:styleId="Hyperlink">
    <w:name w:val="Hyperlink"/>
    <w:basedOn w:val="DefaultParagraphFont"/>
    <w:uiPriority w:val="99"/>
    <w:unhideWhenUsed/>
    <w:rsid w:val="00C26563"/>
    <w:rPr>
      <w:color w:val="0563C1" w:themeColor="hyperlink"/>
      <w:u w:val="single"/>
    </w:rPr>
  </w:style>
  <w:style w:type="character" w:customStyle="1" w:styleId="fn">
    <w:name w:val="fn"/>
    <w:basedOn w:val="DefaultParagraphFont"/>
    <w:rsid w:val="00C26563"/>
  </w:style>
  <w:style w:type="character" w:customStyle="1" w:styleId="Heading1Char">
    <w:name w:val="Heading 1 Char"/>
    <w:basedOn w:val="DefaultParagraphFont"/>
    <w:link w:val="Heading1"/>
    <w:uiPriority w:val="9"/>
    <w:rsid w:val="00A903F4"/>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6C290C"/>
    <w:rPr>
      <w:color w:val="954F72" w:themeColor="followedHyperlink"/>
      <w:u w:val="single"/>
    </w:rPr>
  </w:style>
  <w:style w:type="paragraph" w:styleId="PlainText">
    <w:name w:val="Plain Text"/>
    <w:basedOn w:val="Normal"/>
    <w:link w:val="PlainTextChar"/>
    <w:uiPriority w:val="99"/>
    <w:semiHidden/>
    <w:unhideWhenUsed/>
    <w:rsid w:val="009B54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4A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3391">
      <w:bodyDiv w:val="1"/>
      <w:marLeft w:val="0"/>
      <w:marRight w:val="0"/>
      <w:marTop w:val="0"/>
      <w:marBottom w:val="0"/>
      <w:divBdr>
        <w:top w:val="none" w:sz="0" w:space="0" w:color="auto"/>
        <w:left w:val="none" w:sz="0" w:space="0" w:color="auto"/>
        <w:bottom w:val="none" w:sz="0" w:space="0" w:color="auto"/>
        <w:right w:val="none" w:sz="0" w:space="0" w:color="auto"/>
      </w:divBdr>
    </w:div>
    <w:div w:id="371462703">
      <w:bodyDiv w:val="1"/>
      <w:marLeft w:val="0"/>
      <w:marRight w:val="0"/>
      <w:marTop w:val="0"/>
      <w:marBottom w:val="0"/>
      <w:divBdr>
        <w:top w:val="none" w:sz="0" w:space="0" w:color="auto"/>
        <w:left w:val="none" w:sz="0" w:space="0" w:color="auto"/>
        <w:bottom w:val="none" w:sz="0" w:space="0" w:color="auto"/>
        <w:right w:val="none" w:sz="0" w:space="0" w:color="auto"/>
      </w:divBdr>
    </w:div>
    <w:div w:id="683168730">
      <w:bodyDiv w:val="1"/>
      <w:marLeft w:val="0"/>
      <w:marRight w:val="0"/>
      <w:marTop w:val="0"/>
      <w:marBottom w:val="0"/>
      <w:divBdr>
        <w:top w:val="none" w:sz="0" w:space="0" w:color="auto"/>
        <w:left w:val="none" w:sz="0" w:space="0" w:color="auto"/>
        <w:bottom w:val="none" w:sz="0" w:space="0" w:color="auto"/>
        <w:right w:val="none" w:sz="0" w:space="0" w:color="auto"/>
      </w:divBdr>
    </w:div>
    <w:div w:id="1084187896">
      <w:bodyDiv w:val="1"/>
      <w:marLeft w:val="0"/>
      <w:marRight w:val="0"/>
      <w:marTop w:val="0"/>
      <w:marBottom w:val="0"/>
      <w:divBdr>
        <w:top w:val="none" w:sz="0" w:space="0" w:color="auto"/>
        <w:left w:val="none" w:sz="0" w:space="0" w:color="auto"/>
        <w:bottom w:val="none" w:sz="0" w:space="0" w:color="auto"/>
        <w:right w:val="none" w:sz="0" w:space="0" w:color="auto"/>
      </w:divBdr>
    </w:div>
    <w:div w:id="1132287004">
      <w:bodyDiv w:val="1"/>
      <w:marLeft w:val="0"/>
      <w:marRight w:val="0"/>
      <w:marTop w:val="0"/>
      <w:marBottom w:val="0"/>
      <w:divBdr>
        <w:top w:val="none" w:sz="0" w:space="0" w:color="auto"/>
        <w:left w:val="none" w:sz="0" w:space="0" w:color="auto"/>
        <w:bottom w:val="none" w:sz="0" w:space="0" w:color="auto"/>
        <w:right w:val="none" w:sz="0" w:space="0" w:color="auto"/>
      </w:divBdr>
      <w:divsChild>
        <w:div w:id="879170553">
          <w:marLeft w:val="0"/>
          <w:marRight w:val="0"/>
          <w:marTop w:val="0"/>
          <w:marBottom w:val="0"/>
          <w:divBdr>
            <w:top w:val="none" w:sz="0" w:space="0" w:color="auto"/>
            <w:left w:val="none" w:sz="0" w:space="0" w:color="auto"/>
            <w:bottom w:val="none" w:sz="0" w:space="0" w:color="auto"/>
            <w:right w:val="none" w:sz="0" w:space="0" w:color="auto"/>
          </w:divBdr>
          <w:divsChild>
            <w:div w:id="17610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2016-A02D-4EF9-8CFC-E7AFC501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15316</Words>
  <Characters>87304</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 Alexander</dc:creator>
  <cp:lastModifiedBy>Nurse, Alexander</cp:lastModifiedBy>
  <cp:revision>2</cp:revision>
  <dcterms:created xsi:type="dcterms:W3CDTF">2019-09-18T16:20:00Z</dcterms:created>
  <dcterms:modified xsi:type="dcterms:W3CDTF">2019-09-18T16:20:00Z</dcterms:modified>
</cp:coreProperties>
</file>