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08DF" w14:textId="2C9FDF09" w:rsidR="00401E20" w:rsidRDefault="009619F9" w:rsidP="00903ABD">
      <w:pPr>
        <w:contextualSpacing/>
        <w:jc w:val="center"/>
        <w:rPr>
          <w:b/>
        </w:rPr>
      </w:pPr>
      <w:r w:rsidRPr="00A76C53">
        <w:rPr>
          <w:b/>
        </w:rPr>
        <w:t xml:space="preserve">CONTACTING GAMETE DONORS TO FACILITATE DIAGNOSTIC GENETIC TESTING FOR THE DONOR-CONCEIVED CHILD – </w:t>
      </w:r>
      <w:r>
        <w:rPr>
          <w:b/>
        </w:rPr>
        <w:t>WHAT ARE T</w:t>
      </w:r>
      <w:r w:rsidRPr="00A76C53">
        <w:rPr>
          <w:b/>
        </w:rPr>
        <w:t>HE RIGHTS AND OBLIGATIONS OF GAMETE DONORS</w:t>
      </w:r>
      <w:r>
        <w:rPr>
          <w:b/>
        </w:rPr>
        <w:t xml:space="preserve"> IN THESE CASES</w:t>
      </w:r>
      <w:r w:rsidR="00281B72">
        <w:rPr>
          <w:b/>
        </w:rPr>
        <w:t>?</w:t>
      </w:r>
      <w:r w:rsidR="00977FCD">
        <w:rPr>
          <w:b/>
        </w:rPr>
        <w:t xml:space="preserve"> A RESPONSE TO HORTON et al</w:t>
      </w:r>
      <w:r w:rsidRPr="00A76C53">
        <w:rPr>
          <w:b/>
        </w:rPr>
        <w:t>.</w:t>
      </w:r>
    </w:p>
    <w:p w14:paraId="06600E49" w14:textId="77777777" w:rsidR="00A76C53" w:rsidRDefault="00A76C53" w:rsidP="00A76C53">
      <w:pPr>
        <w:spacing w:line="360" w:lineRule="auto"/>
        <w:contextualSpacing/>
        <w:rPr>
          <w:b/>
        </w:rPr>
      </w:pPr>
    </w:p>
    <w:p w14:paraId="2E10ADA2" w14:textId="1C9820B4" w:rsidR="009B2D6F" w:rsidRPr="009619F9" w:rsidRDefault="00125C58" w:rsidP="00A76C53">
      <w:pPr>
        <w:spacing w:line="360" w:lineRule="auto"/>
        <w:contextualSpacing/>
      </w:pPr>
      <w:r>
        <w:rPr>
          <w:b/>
        </w:rPr>
        <w:t>ABSTRACT</w:t>
      </w:r>
    </w:p>
    <w:p w14:paraId="07269922" w14:textId="41962AAC" w:rsidR="00CB55D1" w:rsidRDefault="00A76C53" w:rsidP="00A76C53">
      <w:pPr>
        <w:spacing w:line="360" w:lineRule="auto"/>
        <w:contextualSpacing/>
      </w:pPr>
      <w:r>
        <w:t>In their paper</w:t>
      </w:r>
      <w:r w:rsidR="00C71D19">
        <w:t xml:space="preserve"> </w:t>
      </w:r>
      <w:r w:rsidR="00C071BB">
        <w:t xml:space="preserve">Horton et al </w:t>
      </w:r>
      <w:r w:rsidR="00C071BB" w:rsidRPr="00C071BB">
        <w:rPr>
          <w:vertAlign w:val="superscript"/>
        </w:rPr>
        <w:t>1</w:t>
      </w:r>
      <w:r w:rsidR="00977FCD">
        <w:t xml:space="preserve"> </w:t>
      </w:r>
      <w:r w:rsidR="009B2D6F">
        <w:t xml:space="preserve">argue that it is </w:t>
      </w:r>
      <w:r>
        <w:t xml:space="preserve">acceptable </w:t>
      </w:r>
      <w:r w:rsidR="00AB58B6">
        <w:t xml:space="preserve">to contact </w:t>
      </w:r>
      <w:r w:rsidR="00C71D19">
        <w:t xml:space="preserve">an anonymous egg-donor to facilitate diagnostic genetic testing for the donor conceived child, </w:t>
      </w:r>
      <w:r w:rsidR="00977FCD">
        <w:t>despite the donor</w:t>
      </w:r>
      <w:r>
        <w:t xml:space="preserve">, ‘indicating on a historical consent form that she did not wish to take part in future research, and that she did not wish to be informed if she was found to </w:t>
      </w:r>
      <w:r w:rsidR="00217B3F">
        <w:t xml:space="preserve">be </w:t>
      </w:r>
      <w:r>
        <w:t>a carrier of a ‘harm</w:t>
      </w:r>
      <w:r w:rsidR="00C071BB">
        <w:t xml:space="preserve">ful inherited condition’.’ </w:t>
      </w:r>
      <w:r w:rsidR="00C071BB" w:rsidRPr="00C071BB">
        <w:rPr>
          <w:vertAlign w:val="superscript"/>
        </w:rPr>
        <w:t>1</w:t>
      </w:r>
      <w:r w:rsidR="00AB58B6">
        <w:rPr>
          <w:vertAlign w:val="superscript"/>
        </w:rPr>
        <w:t xml:space="preserve"> </w:t>
      </w:r>
      <w:r w:rsidR="00CB55D1">
        <w:t>There are</w:t>
      </w:r>
      <w:r w:rsidR="009238E4">
        <w:t xml:space="preserve"> a number </w:t>
      </w:r>
      <w:r w:rsidR="00217B3F">
        <w:t xml:space="preserve">of </w:t>
      </w:r>
      <w:r w:rsidR="009238E4">
        <w:t xml:space="preserve">claims embedded in </w:t>
      </w:r>
      <w:r w:rsidR="00C67BEB">
        <w:t>Horton et al</w:t>
      </w:r>
      <w:r w:rsidR="009238E4">
        <w:t>’s position</w:t>
      </w:r>
      <w:r w:rsidR="00CB55D1">
        <w:t xml:space="preserve"> that it is acceptable to contact the donor and request that she at least think about participating in genetic testing.</w:t>
      </w:r>
      <w:r w:rsidR="000E22F1">
        <w:t xml:space="preserve"> In this r</w:t>
      </w:r>
      <w:r w:rsidR="000E5361">
        <w:t>esponse</w:t>
      </w:r>
      <w:r w:rsidR="00C71D19">
        <w:t>.</w:t>
      </w:r>
      <w:r w:rsidR="000E5361">
        <w:t xml:space="preserve"> I will go through their main claims</w:t>
      </w:r>
      <w:r w:rsidR="000E22F1">
        <w:t xml:space="preserve"> and argue that the area of genomic medicine does not justify exceptions to general consent conditions as the authors suppose</w:t>
      </w:r>
      <w:r w:rsidR="00767DA0">
        <w:t xml:space="preserve"> and </w:t>
      </w:r>
      <w:r w:rsidR="001F26A8">
        <w:t xml:space="preserve">conclude </w:t>
      </w:r>
      <w:r w:rsidR="00767DA0">
        <w:t>that the donor</w:t>
      </w:r>
      <w:r w:rsidR="000C0F1B">
        <w:t xml:space="preserve"> should</w:t>
      </w:r>
      <w:r w:rsidR="00C71D19">
        <w:t xml:space="preserve"> not </w:t>
      </w:r>
      <w:r w:rsidR="00217B3F">
        <w:t>be contacted</w:t>
      </w:r>
      <w:r w:rsidR="001E6160">
        <w:t xml:space="preserve">. I will then go on to </w:t>
      </w:r>
      <w:r w:rsidR="00767DA0">
        <w:t xml:space="preserve">suggest a policy change that would address Horton et al’s concerns but would not involve overriding </w:t>
      </w:r>
      <w:r w:rsidR="001F26A8">
        <w:t xml:space="preserve">any </w:t>
      </w:r>
      <w:r w:rsidR="00767DA0">
        <w:t>previously expressed wishes.</w:t>
      </w:r>
      <w:r w:rsidR="001E6160">
        <w:t xml:space="preserve"> </w:t>
      </w:r>
    </w:p>
    <w:p w14:paraId="6ECD641F" w14:textId="77777777" w:rsidR="00A95F15" w:rsidRPr="00EC73BB" w:rsidRDefault="00A95F15" w:rsidP="00A76C53">
      <w:pPr>
        <w:spacing w:line="360" w:lineRule="auto"/>
        <w:contextualSpacing/>
      </w:pPr>
    </w:p>
    <w:p w14:paraId="5886F0FF" w14:textId="77777777" w:rsidR="00A95F15" w:rsidRPr="00A95F15" w:rsidRDefault="009619F9" w:rsidP="00A76C53">
      <w:pPr>
        <w:spacing w:line="360" w:lineRule="auto"/>
        <w:contextualSpacing/>
        <w:rPr>
          <w:b/>
        </w:rPr>
      </w:pPr>
      <w:r>
        <w:rPr>
          <w:b/>
        </w:rPr>
        <w:t>THE CASE</w:t>
      </w:r>
    </w:p>
    <w:p w14:paraId="4BD84AAA" w14:textId="676E08F1" w:rsidR="00A924EB" w:rsidRDefault="00932A1F" w:rsidP="00A924EB">
      <w:pPr>
        <w:spacing w:line="360" w:lineRule="auto"/>
        <w:contextualSpacing/>
      </w:pPr>
      <w:r>
        <w:t>Horton et al</w:t>
      </w:r>
      <w:r w:rsidR="00A95F15">
        <w:t xml:space="preserve"> use the example </w:t>
      </w:r>
      <w:r w:rsidR="006D69EE">
        <w:t>of a child born from egg donation</w:t>
      </w:r>
      <w:r w:rsidR="00370159">
        <w:t xml:space="preserve"> in the UK</w:t>
      </w:r>
      <w:r w:rsidR="004451AE">
        <w:t xml:space="preserve">, and presumably their arguments would apply to children born from sperm donation, </w:t>
      </w:r>
      <w:r w:rsidR="006D69EE">
        <w:t>who presents with a health problem that might be caused by a rare genetic condition. In order to get a possible diagnosis the child could be</w:t>
      </w:r>
      <w:r w:rsidR="000E5361">
        <w:t xml:space="preserve"> entered into a </w:t>
      </w:r>
      <w:r w:rsidR="00EC73BB">
        <w:t>h</w:t>
      </w:r>
      <w:r w:rsidR="000E5361">
        <w:t>ybrid clinical-research project</w:t>
      </w:r>
      <w:r>
        <w:t>,</w:t>
      </w:r>
      <w:r w:rsidR="00EC73BB">
        <w:t xml:space="preserve"> such as the </w:t>
      </w:r>
      <w:r w:rsidR="006D69EE">
        <w:t>100,000 Genomes Project</w:t>
      </w:r>
      <w:r>
        <w:t>,</w:t>
      </w:r>
      <w:r w:rsidR="006D69EE">
        <w:t xml:space="preserve"> and have trio genome testing, where the genome sequence of the child is compared with their biological parents. In order to do this, the egg</w:t>
      </w:r>
      <w:r w:rsidR="00AB58B6">
        <w:t xml:space="preserve"> donor needs to supply a sample. </w:t>
      </w:r>
      <w:r w:rsidR="001A7777">
        <w:t xml:space="preserve">However, </w:t>
      </w:r>
      <w:r w:rsidR="00B85FBC">
        <w:t xml:space="preserve">the donor had not </w:t>
      </w:r>
      <w:r w:rsidR="006D69EE">
        <w:t>consent</w:t>
      </w:r>
      <w:r w:rsidR="00B85FBC">
        <w:t xml:space="preserve">ed to </w:t>
      </w:r>
      <w:r w:rsidR="006D69EE">
        <w:t xml:space="preserve">any future contact </w:t>
      </w:r>
      <w:r w:rsidR="004451AE">
        <w:t>and the</w:t>
      </w:r>
      <w:r w:rsidR="000E5361">
        <w:t>refore the</w:t>
      </w:r>
      <w:r w:rsidR="00B85FBC">
        <w:t xml:space="preserve"> clinic</w:t>
      </w:r>
      <w:r w:rsidR="001A7777">
        <w:t>, where treatment had taken place,</w:t>
      </w:r>
      <w:r w:rsidR="00B85FBC">
        <w:t xml:space="preserve"> refused to </w:t>
      </w:r>
      <w:r w:rsidR="004451AE">
        <w:t xml:space="preserve">contact the donor. </w:t>
      </w:r>
      <w:r w:rsidR="00A924EB">
        <w:t>The regulations concern</w:t>
      </w:r>
      <w:r w:rsidR="000E5361">
        <w:t>ing contacting donor</w:t>
      </w:r>
      <w:r w:rsidR="00AB58B6">
        <w:t>s</w:t>
      </w:r>
      <w:r w:rsidR="000E5361">
        <w:t xml:space="preserve"> are clear. T</w:t>
      </w:r>
      <w:r w:rsidR="00A924EB">
        <w:t xml:space="preserve">he HFEA Code of Practice states: ‘At registration, donors should indicate whether or not they wish to be notified if the centre learns (e.g, through the birth of an affected child) that they have a previously unsuspected genetic disease or they are a carrier of a harmful inherited condition….Their wishes should be recorded in the donors’ medical records.’ </w:t>
      </w:r>
      <w:r w:rsidR="00C071BB" w:rsidRPr="00C071BB">
        <w:rPr>
          <w:vertAlign w:val="superscript"/>
        </w:rPr>
        <w:t xml:space="preserve">2 </w:t>
      </w:r>
    </w:p>
    <w:p w14:paraId="43B54867" w14:textId="77777777" w:rsidR="006D69EE" w:rsidRDefault="006D69EE" w:rsidP="00A95F15">
      <w:pPr>
        <w:spacing w:line="360" w:lineRule="auto"/>
        <w:contextualSpacing/>
      </w:pPr>
    </w:p>
    <w:p w14:paraId="1CA77FCC" w14:textId="77777777" w:rsidR="009B2D6F" w:rsidRDefault="009410A1" w:rsidP="00A76C53">
      <w:pPr>
        <w:spacing w:line="360" w:lineRule="auto"/>
        <w:contextualSpacing/>
        <w:rPr>
          <w:b/>
        </w:rPr>
      </w:pPr>
      <w:r>
        <w:rPr>
          <w:b/>
        </w:rPr>
        <w:t xml:space="preserve">WHY IS IT JUSTIFIABLE TO </w:t>
      </w:r>
      <w:r w:rsidR="007551D4">
        <w:rPr>
          <w:b/>
        </w:rPr>
        <w:t xml:space="preserve">OVERRIDE THE DONOR’S WISHES NOT TO BE </w:t>
      </w:r>
      <w:r w:rsidR="009619F9">
        <w:rPr>
          <w:b/>
        </w:rPr>
        <w:t>CONTACTED?</w:t>
      </w:r>
    </w:p>
    <w:p w14:paraId="60DE698F" w14:textId="6F61982F" w:rsidR="003E779D" w:rsidRDefault="009410A1" w:rsidP="00A76C53">
      <w:pPr>
        <w:spacing w:line="360" w:lineRule="auto"/>
        <w:contextualSpacing/>
      </w:pPr>
      <w:r>
        <w:t xml:space="preserve">Horton et al </w:t>
      </w:r>
      <w:r w:rsidR="003E779D">
        <w:t>advance a number of arguments to justify contacting the donor against her previously</w:t>
      </w:r>
      <w:r w:rsidR="004451AE">
        <w:t xml:space="preserve"> stated wishes </w:t>
      </w:r>
      <w:r w:rsidR="00217B3F">
        <w:t>not to be contacted</w:t>
      </w:r>
      <w:r w:rsidR="00BB232A">
        <w:t xml:space="preserve">. </w:t>
      </w:r>
      <w:r w:rsidR="004451AE">
        <w:t xml:space="preserve">First, arguments </w:t>
      </w:r>
      <w:r w:rsidR="00932A1F">
        <w:t xml:space="preserve">about consent: </w:t>
      </w:r>
      <w:r w:rsidR="004451AE">
        <w:t>what determines valid consent</w:t>
      </w:r>
      <w:r w:rsidR="002C5A01">
        <w:t>, in terms of information provision, debates over exactly what she consented to</w:t>
      </w:r>
      <w:r w:rsidR="000E5361">
        <w:t xml:space="preserve">, i.e. did she refuse consent to research or </w:t>
      </w:r>
      <w:r w:rsidR="00C71D19">
        <w:t xml:space="preserve">to </w:t>
      </w:r>
      <w:r w:rsidR="000E5361">
        <w:t>tests that might have a therapeutic benefit</w:t>
      </w:r>
      <w:r w:rsidR="00100C43">
        <w:t xml:space="preserve">, </w:t>
      </w:r>
      <w:r w:rsidR="00C71D19">
        <w:t xml:space="preserve">and specifically, </w:t>
      </w:r>
      <w:r w:rsidR="00100C43">
        <w:t xml:space="preserve">did she refuse </w:t>
      </w:r>
      <w:r w:rsidR="00100C43">
        <w:lastRenderedPageBreak/>
        <w:t>consent to what is being asked of her now</w:t>
      </w:r>
      <w:r w:rsidR="000E5361">
        <w:t>? A</w:t>
      </w:r>
      <w:r w:rsidR="002C5A01">
        <w:t xml:space="preserve">nd a temporal aspect, are decisions taken at one time point binding at future time points? Second, arguments around how the interests of the donor-conceived child interact with those of the donor, how should the donor-conceived child’s interest in their own health information be weighed up against the donor’s </w:t>
      </w:r>
      <w:r w:rsidR="005B244D">
        <w:t xml:space="preserve">interest </w:t>
      </w:r>
      <w:r w:rsidR="000C0F1B">
        <w:t>in</w:t>
      </w:r>
      <w:r w:rsidR="00FB42C0">
        <w:t xml:space="preserve">, </w:t>
      </w:r>
      <w:r w:rsidR="005B244D">
        <w:t xml:space="preserve">or </w:t>
      </w:r>
      <w:r w:rsidR="002C5A01">
        <w:t>right to</w:t>
      </w:r>
      <w:r w:rsidR="00FB42C0">
        <w:t>,</w:t>
      </w:r>
      <w:r w:rsidR="002C5A01">
        <w:t xml:space="preserve"> privacy? </w:t>
      </w:r>
    </w:p>
    <w:p w14:paraId="4F84727B" w14:textId="77777777" w:rsidR="004451AE" w:rsidRDefault="004451AE" w:rsidP="00A76C53">
      <w:pPr>
        <w:spacing w:line="360" w:lineRule="auto"/>
        <w:contextualSpacing/>
      </w:pPr>
    </w:p>
    <w:p w14:paraId="2728C93A" w14:textId="77777777" w:rsidR="00EC73BB" w:rsidRDefault="00EC73BB" w:rsidP="00A76C53">
      <w:pPr>
        <w:spacing w:line="360" w:lineRule="auto"/>
        <w:contextualSpacing/>
        <w:rPr>
          <w:b/>
        </w:rPr>
      </w:pPr>
      <w:r>
        <w:rPr>
          <w:b/>
        </w:rPr>
        <w:t>Consent</w:t>
      </w:r>
    </w:p>
    <w:p w14:paraId="62BC892A" w14:textId="24B04DFB" w:rsidR="007551D4" w:rsidRDefault="000E5361" w:rsidP="007551D4">
      <w:pPr>
        <w:spacing w:line="360" w:lineRule="auto"/>
        <w:contextualSpacing/>
      </w:pPr>
      <w:r>
        <w:t xml:space="preserve">Horton et al’s </w:t>
      </w:r>
      <w:r w:rsidR="007551D4">
        <w:t>central ar</w:t>
      </w:r>
      <w:r w:rsidR="00932A1F">
        <w:t xml:space="preserve">gument to justify overriding </w:t>
      </w:r>
      <w:r w:rsidR="007551D4">
        <w:t xml:space="preserve">consent is that: her consent has become out </w:t>
      </w:r>
      <w:r w:rsidR="00932A1F">
        <w:t>dated;</w:t>
      </w:r>
      <w:r w:rsidR="007551D4">
        <w:t xml:space="preserve"> there have been significant material changes in the circumstances unde</w:t>
      </w:r>
      <w:r>
        <w:t>r which the donor gave consent. Genomic medicine is a rapidly changing area a</w:t>
      </w:r>
      <w:r w:rsidR="007551D4">
        <w:t xml:space="preserve">nd </w:t>
      </w:r>
      <w:r>
        <w:t>trio-testing</w:t>
      </w:r>
      <w:r w:rsidR="007551D4">
        <w:t xml:space="preserve"> </w:t>
      </w:r>
      <w:r w:rsidR="003249B3">
        <w:t xml:space="preserve">is now available </w:t>
      </w:r>
      <w:r w:rsidR="00931CEC">
        <w:t xml:space="preserve">and </w:t>
      </w:r>
      <w:r w:rsidR="00DA3FDD">
        <w:t xml:space="preserve"> </w:t>
      </w:r>
      <w:r>
        <w:t xml:space="preserve">could </w:t>
      </w:r>
      <w:r w:rsidR="007551D4">
        <w:t>increase the likelihood of a diagnosis for the child’s health condition. Consequently, the state-of-the-art in genomic medicine, when the egg donor made her decision about any future contact was very different and, therefore, her cons</w:t>
      </w:r>
      <w:r w:rsidR="00931CEC">
        <w:t>ent can be called into question. A</w:t>
      </w:r>
      <w:r w:rsidR="007551D4">
        <w:t>s Horton et al put it, ‘we cannot conjecture what her current answer maybe.</w:t>
      </w:r>
      <w:r w:rsidR="00C071BB">
        <w:t>’</w:t>
      </w:r>
      <w:r w:rsidR="00665335">
        <w:t xml:space="preserve"> Therefore, contacting her is not going against her wishes, as we do not know what her </w:t>
      </w:r>
      <w:r w:rsidR="001F26A8">
        <w:t xml:space="preserve">current </w:t>
      </w:r>
      <w:r w:rsidR="00665335">
        <w:t>wishes are.</w:t>
      </w:r>
    </w:p>
    <w:p w14:paraId="75E6FAF4" w14:textId="77777777" w:rsidR="007551D4" w:rsidRDefault="007551D4" w:rsidP="007551D4">
      <w:pPr>
        <w:spacing w:line="360" w:lineRule="auto"/>
        <w:contextualSpacing/>
      </w:pPr>
    </w:p>
    <w:p w14:paraId="714BD61C" w14:textId="1A6A1854" w:rsidR="00D73A0B" w:rsidRDefault="00EC73BB" w:rsidP="006A4E5B">
      <w:pPr>
        <w:spacing w:line="360" w:lineRule="auto"/>
        <w:contextualSpacing/>
      </w:pPr>
      <w:r>
        <w:t>The authors</w:t>
      </w:r>
      <w:r w:rsidR="007551D4">
        <w:t xml:space="preserve"> argue </w:t>
      </w:r>
      <w:r>
        <w:t xml:space="preserve">that the usual narrow model of consent is unsuitable for consenting to </w:t>
      </w:r>
      <w:r w:rsidR="00DA3FDD">
        <w:t xml:space="preserve">rapidly changing </w:t>
      </w:r>
      <w:r>
        <w:t>techno</w:t>
      </w:r>
      <w:r w:rsidR="00004914">
        <w:t>logies such as genomic medicine.</w:t>
      </w:r>
      <w:r w:rsidR="00DA3FDD">
        <w:t xml:space="preserve"> I</w:t>
      </w:r>
      <w:r>
        <w:t>t is impossible to present all the possible options or outcomes and therefore</w:t>
      </w:r>
      <w:r w:rsidR="006A4E5B">
        <w:t xml:space="preserve">, ‘in </w:t>
      </w:r>
      <w:r w:rsidR="006A4E5B" w:rsidRPr="006A4E5B">
        <w:t>situations where by virtue of a near infinite number of possible outcome</w:t>
      </w:r>
      <w:r w:rsidR="006A4E5B">
        <w:t>s or because of unpredictable evolution in technology,</w:t>
      </w:r>
      <w:r>
        <w:t xml:space="preserve"> </w:t>
      </w:r>
      <w:r w:rsidR="00004914">
        <w:t>consent in such cases is better seen as an ong</w:t>
      </w:r>
      <w:r w:rsidR="003249B3">
        <w:t>oing and dynamic process.’</w:t>
      </w:r>
      <w:r w:rsidR="00C071BB" w:rsidRPr="00C071BB">
        <w:rPr>
          <w:vertAlign w:val="superscript"/>
        </w:rPr>
        <w:t>1</w:t>
      </w:r>
      <w:r w:rsidR="00004914" w:rsidRPr="00C071BB">
        <w:rPr>
          <w:vertAlign w:val="superscript"/>
        </w:rPr>
        <w:t xml:space="preserve"> </w:t>
      </w:r>
      <w:r w:rsidR="00004914">
        <w:t>rather than a one off definitive event. The</w:t>
      </w:r>
      <w:r w:rsidR="006A4E5B">
        <w:t>re are two elements to this</w:t>
      </w:r>
      <w:r w:rsidR="00004914">
        <w:t xml:space="preserve"> argument</w:t>
      </w:r>
      <w:r w:rsidR="006A4E5B">
        <w:t xml:space="preserve">, first: </w:t>
      </w:r>
      <w:r w:rsidR="00BD06DE">
        <w:t xml:space="preserve">the information in genomic medicine is </w:t>
      </w:r>
      <w:r w:rsidR="00C71D19">
        <w:t>very</w:t>
      </w:r>
      <w:r w:rsidR="00BD06DE">
        <w:t xml:space="preserve"> complex</w:t>
      </w:r>
      <w:r w:rsidR="006A4E5B">
        <w:t>,</w:t>
      </w:r>
      <w:r w:rsidR="00BD06DE">
        <w:t xml:space="preserve"> and</w:t>
      </w:r>
      <w:r w:rsidR="006A4E5B">
        <w:t xml:space="preserve"> second, genomics</w:t>
      </w:r>
      <w:r w:rsidR="00BD06DE">
        <w:t xml:space="preserve"> will evolve so, ‘no-one can truly understand, retain or weigh all the relevant information in the depth we might consider historically necessary for valid consent.’</w:t>
      </w:r>
      <w:r w:rsidR="00C071BB">
        <w:t xml:space="preserve"> </w:t>
      </w:r>
      <w:r w:rsidR="00C071BB" w:rsidRPr="00C071BB">
        <w:rPr>
          <w:vertAlign w:val="superscript"/>
        </w:rPr>
        <w:t>1</w:t>
      </w:r>
      <w:r w:rsidR="00741938">
        <w:t xml:space="preserve"> </w:t>
      </w:r>
      <w:r w:rsidR="006A4E5B">
        <w:t>To take the first element</w:t>
      </w:r>
      <w:r w:rsidR="00BB232A">
        <w:t xml:space="preserve">, that </w:t>
      </w:r>
      <w:r w:rsidR="006A4E5B">
        <w:t>genomic information</w:t>
      </w:r>
      <w:r w:rsidR="00BB232A">
        <w:t xml:space="preserve"> is inherently complex</w:t>
      </w:r>
      <w:r w:rsidR="00931CEC">
        <w:t>,</w:t>
      </w:r>
      <w:r w:rsidR="006A4E5B">
        <w:t xml:space="preserve"> I</w:t>
      </w:r>
      <w:r w:rsidR="00741938">
        <w:t xml:space="preserve"> find</w:t>
      </w:r>
      <w:r w:rsidR="009561A6">
        <w:t xml:space="preserve"> this argument</w:t>
      </w:r>
      <w:r w:rsidR="00931CEC">
        <w:t xml:space="preserve"> unpersuasive. M</w:t>
      </w:r>
      <w:r w:rsidR="00741938">
        <w:t xml:space="preserve">any choices that people are required to make concerning medical treatment </w:t>
      </w:r>
      <w:r w:rsidR="002E7322">
        <w:t xml:space="preserve">involve </w:t>
      </w:r>
      <w:r w:rsidR="00741938">
        <w:t>complex</w:t>
      </w:r>
      <w:r w:rsidR="002E7322">
        <w:t xml:space="preserve"> medical information</w:t>
      </w:r>
      <w:r w:rsidR="00741938">
        <w:t xml:space="preserve">, present </w:t>
      </w:r>
      <w:r w:rsidR="009561A6">
        <w:t>uncertainties and cou</w:t>
      </w:r>
      <w:r w:rsidR="00C339BB">
        <w:t>ld have unforeseen consequences</w:t>
      </w:r>
      <w:r w:rsidR="006A4E5B">
        <w:t xml:space="preserve">. </w:t>
      </w:r>
      <w:r w:rsidR="005610E5">
        <w:t xml:space="preserve">Even the cases that the authors use of straightforward medical decisions, taking statins or having a knee replacement can </w:t>
      </w:r>
      <w:r w:rsidR="00096F20">
        <w:t>be complicated</w:t>
      </w:r>
      <w:r w:rsidR="005610E5">
        <w:t xml:space="preserve">, with unforeseen consequences and uncertainties. For instance, what are the long-term </w:t>
      </w:r>
      <w:r w:rsidR="008A7DC2">
        <w:t>side effects</w:t>
      </w:r>
      <w:r w:rsidR="005610E5">
        <w:t xml:space="preserve"> of statin use? How do they interact with other medication? And </w:t>
      </w:r>
      <w:r w:rsidR="008A7DC2">
        <w:t>choosing</w:t>
      </w:r>
      <w:r w:rsidR="005610E5">
        <w:t xml:space="preserve"> to manage high cholesterol through statins could act as a disincentive to engage in behavioural changes, such as increasing exercise and improving diet</w:t>
      </w:r>
      <w:r w:rsidR="00096F20">
        <w:t>, that might result in other forms of harm</w:t>
      </w:r>
      <w:r w:rsidR="005610E5">
        <w:t>.</w:t>
      </w:r>
      <w:r w:rsidR="00FB42C0">
        <w:t xml:space="preserve"> </w:t>
      </w:r>
      <w:r w:rsidR="006A4E5B">
        <w:t>Therefore, I would argue</w:t>
      </w:r>
      <w:r w:rsidR="00931CEC">
        <w:t xml:space="preserve"> that</w:t>
      </w:r>
      <w:r w:rsidR="006A4E5B">
        <w:t xml:space="preserve"> choices in genomic medicine </w:t>
      </w:r>
      <w:r w:rsidR="00931CEC">
        <w:t>do</w:t>
      </w:r>
      <w:r w:rsidR="008A0692">
        <w:t xml:space="preserve"> </w:t>
      </w:r>
      <w:r w:rsidR="006A4E5B">
        <w:t xml:space="preserve">not </w:t>
      </w:r>
      <w:r w:rsidR="008A0692">
        <w:t xml:space="preserve">always </w:t>
      </w:r>
      <w:r w:rsidR="006A4E5B">
        <w:t>warrant distinctive consent procedures</w:t>
      </w:r>
      <w:r w:rsidR="00404065">
        <w:t xml:space="preserve"> and maybe we need to rethink </w:t>
      </w:r>
      <w:r w:rsidR="00BB232A">
        <w:t xml:space="preserve">the </w:t>
      </w:r>
      <w:r w:rsidR="00404065">
        <w:t>forms of genetic exceptionalism that this argument presupposes</w:t>
      </w:r>
      <w:r w:rsidR="00D73A0B">
        <w:t>.</w:t>
      </w:r>
      <w:r w:rsidR="006D74F7" w:rsidRPr="00931CEC">
        <w:rPr>
          <w:vertAlign w:val="superscript"/>
        </w:rPr>
        <w:t>3</w:t>
      </w:r>
    </w:p>
    <w:p w14:paraId="0F43B396" w14:textId="5DAD60D6" w:rsidR="00764C95" w:rsidRDefault="00FB42C0" w:rsidP="00A76C53">
      <w:pPr>
        <w:spacing w:line="360" w:lineRule="auto"/>
        <w:contextualSpacing/>
      </w:pPr>
      <w:r>
        <w:t>However, it is undeniable that genomic medicine is a fast changing area</w:t>
      </w:r>
      <w:r w:rsidR="00BB232A">
        <w:t xml:space="preserve"> </w:t>
      </w:r>
      <w:r w:rsidR="00534D8B">
        <w:t>and this second element raises more concerns. Genomic medicine</w:t>
      </w:r>
      <w:r w:rsidR="00C406AD">
        <w:t xml:space="preserve"> has evolved so that trio testing to help diagnose any child born from the donation is now possible, this was not an option at the time the donor chose not to be contacted</w:t>
      </w:r>
      <w:r w:rsidR="00E15831">
        <w:t xml:space="preserve">. </w:t>
      </w:r>
      <w:r w:rsidR="00E15831">
        <w:t>F</w:t>
      </w:r>
      <w:r w:rsidR="009561A6">
        <w:t>or the case at hand, the important element is making decisions that determine choi</w:t>
      </w:r>
      <w:r w:rsidR="00004914">
        <w:t>ces in the longer-term. So as Horton et al</w:t>
      </w:r>
      <w:r w:rsidR="009561A6">
        <w:t xml:space="preserve"> rightly point out, deciding to have a particularly surgery is a time-locked, binary choice (although in reality this is probably s</w:t>
      </w:r>
      <w:r w:rsidR="00DA3FDD">
        <w:t>implifying this kind of choice).  W</w:t>
      </w:r>
      <w:r w:rsidR="009561A6">
        <w:t xml:space="preserve">hereas the egg donor’s choice not to be </w:t>
      </w:r>
      <w:r w:rsidR="00360799">
        <w:t>contacted is</w:t>
      </w:r>
      <w:r w:rsidR="009561A6">
        <w:t xml:space="preserve"> one that</w:t>
      </w:r>
      <w:r w:rsidR="00360799">
        <w:t xml:space="preserve"> is likely to</w:t>
      </w:r>
      <w:r w:rsidR="009561A6">
        <w:t xml:space="preserve"> exte</w:t>
      </w:r>
      <w:r w:rsidR="00360799">
        <w:t>nd</w:t>
      </w:r>
      <w:r w:rsidR="009561A6">
        <w:t xml:space="preserve"> far into the future</w:t>
      </w:r>
      <w:r w:rsidR="00360799">
        <w:t xml:space="preserve">. </w:t>
      </w:r>
      <w:r w:rsidR="00764C95">
        <w:t xml:space="preserve"> These are concerns that the donor’s choice might not represent her</w:t>
      </w:r>
      <w:r w:rsidR="00740B1F">
        <w:t xml:space="preserve"> views now, that she might change</w:t>
      </w:r>
      <w:r w:rsidR="00764C95">
        <w:t xml:space="preserve"> </w:t>
      </w:r>
      <w:r w:rsidR="0013754A">
        <w:t xml:space="preserve">her mind </w:t>
      </w:r>
      <w:r w:rsidR="00764C95">
        <w:t xml:space="preserve">in the light of </w:t>
      </w:r>
      <w:r w:rsidR="008A0692">
        <w:t xml:space="preserve">the </w:t>
      </w:r>
      <w:r w:rsidR="00764C95">
        <w:t>new</w:t>
      </w:r>
      <w:r w:rsidR="008A0692">
        <w:t xml:space="preserve"> developments in genomic medicine</w:t>
      </w:r>
      <w:r w:rsidR="00D73A0B">
        <w:t>, if given the opportunity</w:t>
      </w:r>
      <w:r w:rsidR="00764C95">
        <w:t>.</w:t>
      </w:r>
    </w:p>
    <w:p w14:paraId="334D302C" w14:textId="77777777" w:rsidR="009619F9" w:rsidRDefault="00764C95" w:rsidP="00A76C53">
      <w:pPr>
        <w:spacing w:line="360" w:lineRule="auto"/>
        <w:contextualSpacing/>
      </w:pPr>
      <w:r>
        <w:t xml:space="preserve"> </w:t>
      </w:r>
    </w:p>
    <w:p w14:paraId="63507FC5" w14:textId="18D1C67C" w:rsidR="00AC5BA4" w:rsidRDefault="009619F9" w:rsidP="00A76C53">
      <w:pPr>
        <w:spacing w:line="360" w:lineRule="auto"/>
        <w:contextualSpacing/>
      </w:pPr>
      <w:r>
        <w:t xml:space="preserve">These are important points to consider, however, we allow people to make </w:t>
      </w:r>
      <w:r w:rsidR="00DA72BD">
        <w:t xml:space="preserve">future </w:t>
      </w:r>
      <w:r>
        <w:t>binding choices</w:t>
      </w:r>
      <w:r w:rsidR="00DA72BD">
        <w:t>,</w:t>
      </w:r>
      <w:r w:rsidR="00B85E05">
        <w:t xml:space="preserve"> </w:t>
      </w:r>
      <w:r w:rsidR="00BB232A">
        <w:rPr>
          <w:vertAlign w:val="superscript"/>
        </w:rPr>
        <w:t>4</w:t>
      </w:r>
      <w:r w:rsidR="00BB232A">
        <w:t xml:space="preserve"> </w:t>
      </w:r>
      <w:r>
        <w:t>such a marriage</w:t>
      </w:r>
      <w:r w:rsidR="00764C95">
        <w:t xml:space="preserve">, </w:t>
      </w:r>
      <w:r w:rsidR="00593DFD">
        <w:t xml:space="preserve">in spite of </w:t>
      </w:r>
      <w:r w:rsidR="00BB232A">
        <w:t xml:space="preserve">the </w:t>
      </w:r>
      <w:r w:rsidR="00593DFD">
        <w:t>inevitable changes in circumstances</w:t>
      </w:r>
      <w:r w:rsidR="00BB232A">
        <w:t xml:space="preserve"> there will be in the longer term</w:t>
      </w:r>
      <w:r w:rsidR="00593DFD">
        <w:t>.</w:t>
      </w:r>
      <w:r w:rsidR="00BB232A">
        <w:t xml:space="preserve"> </w:t>
      </w:r>
      <w:r w:rsidR="00764C95">
        <w:t xml:space="preserve">And generally, </w:t>
      </w:r>
      <w:r w:rsidR="00931CEC">
        <w:t>we do not go back and check if people are happy with their choices</w:t>
      </w:r>
      <w:r w:rsidR="00764C95">
        <w:t>, we wait for them to ‘opt out’ of the a</w:t>
      </w:r>
      <w:r w:rsidR="00DA72BD">
        <w:t>rrangement</w:t>
      </w:r>
      <w:r w:rsidR="00764C95">
        <w:t xml:space="preserve">. For example, when you make a will, you can go back and change it whenever you want, however, your solicitor does not </w:t>
      </w:r>
      <w:r w:rsidR="00C339BB">
        <w:t xml:space="preserve">regularly </w:t>
      </w:r>
      <w:r w:rsidR="00764C95">
        <w:t>contact you to check you are still happy with the future binding decisions you made</w:t>
      </w:r>
      <w:r w:rsidR="00B85E05">
        <w:t>.</w:t>
      </w:r>
      <w:r w:rsidR="00C160CC">
        <w:t xml:space="preserve"> </w:t>
      </w:r>
      <w:r w:rsidR="00FB42C0">
        <w:t xml:space="preserve">Medically, we wait until people present at the doctors to check any choices and treatment plans, rather than regularly </w:t>
      </w:r>
      <w:r w:rsidR="00D73A0B">
        <w:t xml:space="preserve">initiating contact </w:t>
      </w:r>
      <w:r w:rsidR="00931CEC">
        <w:t>to check they are happy with their previously expressed choices</w:t>
      </w:r>
      <w:r w:rsidR="00A13DF0">
        <w:t xml:space="preserve"> or to tell them about </w:t>
      </w:r>
      <w:r w:rsidR="00FB42C0">
        <w:t>new treatment regimes.</w:t>
      </w:r>
    </w:p>
    <w:p w14:paraId="1B7AFEC1" w14:textId="10A13077" w:rsidR="00C160CC" w:rsidRDefault="00C160CC" w:rsidP="00A76C53">
      <w:pPr>
        <w:spacing w:line="360" w:lineRule="auto"/>
        <w:contextualSpacing/>
      </w:pPr>
    </w:p>
    <w:p w14:paraId="41598DE2" w14:textId="784EAB23" w:rsidR="003B789E" w:rsidRDefault="00C160CC" w:rsidP="003B789E">
      <w:pPr>
        <w:spacing w:line="360" w:lineRule="auto"/>
        <w:contextualSpacing/>
      </w:pPr>
      <w:r>
        <w:t xml:space="preserve">However, this does not </w:t>
      </w:r>
      <w:r w:rsidR="00BB232A">
        <w:t xml:space="preserve">fully </w:t>
      </w:r>
      <w:r>
        <w:t xml:space="preserve">address the </w:t>
      </w:r>
      <w:r w:rsidR="009726D2">
        <w:t xml:space="preserve">author’s main </w:t>
      </w:r>
      <w:r w:rsidR="004F3CDF">
        <w:t>worry</w:t>
      </w:r>
      <w:r w:rsidR="009726D2">
        <w:t xml:space="preserve"> </w:t>
      </w:r>
      <w:r>
        <w:t>that the donor’s wishes are essentially unknown, as she was not asked about this specific situation and therefore, in effect, she has not refused or consented to contact. The authors argue that we need to go back and check this</w:t>
      </w:r>
      <w:r w:rsidR="003B789E">
        <w:t xml:space="preserve"> as we are uncertain about exactly what she </w:t>
      </w:r>
      <w:r w:rsidR="00D572FC">
        <w:t xml:space="preserve">has </w:t>
      </w:r>
      <w:r w:rsidR="003B789E">
        <w:t xml:space="preserve">refused </w:t>
      </w:r>
      <w:r w:rsidR="00141BBE">
        <w:t>and why.</w:t>
      </w:r>
      <w:r w:rsidR="003B789E">
        <w:t xml:space="preserve"> </w:t>
      </w:r>
      <w:r w:rsidR="002D0AAF">
        <w:t>We do know that s</w:t>
      </w:r>
      <w:r w:rsidR="003B789E">
        <w:t>he indicated that she did not want to be c</w:t>
      </w:r>
      <w:r w:rsidR="002D0AAF">
        <w:t xml:space="preserve">ontacted about future research. </w:t>
      </w:r>
      <w:r w:rsidR="00D572FC">
        <w:t xml:space="preserve">She </w:t>
      </w:r>
      <w:r w:rsidR="003B789E">
        <w:t>also indicated that she did not wish to be notified if it was found that she had a previously unsuspected genetic disease, or if she was found to be a carrier of a ‘harmful inherited condition’.</w:t>
      </w:r>
      <w:r w:rsidR="005A4973">
        <w:t xml:space="preserve"> While I partially agree with the authors that we cannot be 100% sure what her views</w:t>
      </w:r>
      <w:r w:rsidR="002D0AAF">
        <w:t xml:space="preserve"> on the new situation might be, she has refused to be contacted in a very broad range of situations. She has </w:t>
      </w:r>
      <w:r w:rsidR="005A4973">
        <w:t>refused contact in</w:t>
      </w:r>
      <w:r w:rsidR="002D0AAF">
        <w:t>:</w:t>
      </w:r>
      <w:r w:rsidR="005A4973">
        <w:t xml:space="preserve"> the case of research</w:t>
      </w:r>
      <w:r w:rsidR="002D0AAF">
        <w:t>;</w:t>
      </w:r>
      <w:r w:rsidR="005A4973">
        <w:t xml:space="preserve"> knowledge that might be of clinical benefit to her</w:t>
      </w:r>
      <w:r w:rsidR="002D0AAF">
        <w:t>;</w:t>
      </w:r>
      <w:r w:rsidR="005A4973">
        <w:t xml:space="preserve"> and knowledge of her carrier status that might be of benefi</w:t>
      </w:r>
      <w:r w:rsidR="002D0AAF">
        <w:t xml:space="preserve">t to others. </w:t>
      </w:r>
      <w:r w:rsidR="00A77F45">
        <w:t>Therefore, I would argue that the balance of probabilities suggests that she does not want to be contacted.</w:t>
      </w:r>
    </w:p>
    <w:p w14:paraId="4BD9783D" w14:textId="0F1FFD86" w:rsidR="00C160CC" w:rsidRDefault="00C160CC" w:rsidP="00A76C53">
      <w:pPr>
        <w:spacing w:line="360" w:lineRule="auto"/>
        <w:contextualSpacing/>
      </w:pPr>
      <w:r>
        <w:t xml:space="preserve"> </w:t>
      </w:r>
    </w:p>
    <w:p w14:paraId="333DE80B" w14:textId="13E035EB" w:rsidR="00533F97" w:rsidRDefault="00A77F45" w:rsidP="00A76C53">
      <w:pPr>
        <w:spacing w:line="360" w:lineRule="auto"/>
        <w:contextualSpacing/>
      </w:pPr>
      <w:r>
        <w:t xml:space="preserve">It should also be noted that </w:t>
      </w:r>
      <w:r w:rsidR="00B85E05">
        <w:t>the donor</w:t>
      </w:r>
      <w:r>
        <w:t xml:space="preserve"> could revisit her </w:t>
      </w:r>
      <w:r w:rsidR="00B85E05">
        <w:t>decis</w:t>
      </w:r>
      <w:r w:rsidR="00A6230D">
        <w:t>ion not to allow any contact</w:t>
      </w:r>
      <w:r>
        <w:t xml:space="preserve"> if she wanted. S</w:t>
      </w:r>
      <w:r w:rsidR="00A6230D">
        <w:t xml:space="preserve">he </w:t>
      </w:r>
      <w:r w:rsidR="00764C95">
        <w:t xml:space="preserve">could go back </w:t>
      </w:r>
      <w:r w:rsidR="00A6230D">
        <w:t xml:space="preserve">and ask </w:t>
      </w:r>
      <w:r w:rsidR="00404065">
        <w:t xml:space="preserve">to update </w:t>
      </w:r>
      <w:r w:rsidR="00A6230D">
        <w:t>her previously stated</w:t>
      </w:r>
      <w:r w:rsidR="00764C95">
        <w:t xml:space="preserve"> preferences.</w:t>
      </w:r>
      <w:r w:rsidR="00B85E05">
        <w:t xml:space="preserve"> The HFEA al</w:t>
      </w:r>
      <w:r w:rsidR="00885293">
        <w:t>lows such revisiting of choices</w:t>
      </w:r>
      <w:r w:rsidR="00B85E05">
        <w:t xml:space="preserve"> and</w:t>
      </w:r>
      <w:r w:rsidR="00885293">
        <w:t>,</w:t>
      </w:r>
      <w:r w:rsidR="00B85E05">
        <w:t xml:space="preserve"> on the consent form for egg donation, the donor signs a declaration that states, ‘I </w:t>
      </w:r>
      <w:r w:rsidR="00B85E05" w:rsidRPr="00B85E05">
        <w:t>understand that I can make changes to, or withdraw, my consent at any point until the eggs or embryos have been transferred, used in training, or have been allowed to perish.</w:t>
      </w:r>
      <w:r w:rsidR="00E41BF5">
        <w:t xml:space="preserve">’ </w:t>
      </w:r>
      <w:r w:rsidR="006D74F7">
        <w:rPr>
          <w:vertAlign w:val="superscript"/>
        </w:rPr>
        <w:t>5</w:t>
      </w:r>
      <w:r w:rsidR="00533F97" w:rsidRPr="00E41BF5">
        <w:rPr>
          <w:vertAlign w:val="superscript"/>
        </w:rPr>
        <w:t xml:space="preserve"> </w:t>
      </w:r>
      <w:r w:rsidR="00533F97">
        <w:t xml:space="preserve">Thus, the HFEA does allow a form of ‘consent </w:t>
      </w:r>
      <w:r w:rsidR="00C177D6">
        <w:t xml:space="preserve">as an ongoing process’ </w:t>
      </w:r>
      <w:r w:rsidR="00885293" w:rsidRPr="00E41BF5">
        <w:rPr>
          <w:vertAlign w:val="superscript"/>
        </w:rPr>
        <w:t>5</w:t>
      </w:r>
      <w:r w:rsidR="00885293">
        <w:rPr>
          <w:vertAlign w:val="superscript"/>
        </w:rPr>
        <w:t xml:space="preserve"> </w:t>
      </w:r>
      <w:r w:rsidR="00CC3D5A">
        <w:t>as</w:t>
      </w:r>
      <w:r w:rsidR="00C177D6">
        <w:t xml:space="preserve"> Horton et al </w:t>
      </w:r>
      <w:r w:rsidR="00533F97">
        <w:t>advocate</w:t>
      </w:r>
      <w:r w:rsidR="00370159">
        <w:t>. It could</w:t>
      </w:r>
      <w:r w:rsidR="00885293" w:rsidRPr="00885293">
        <w:t xml:space="preserve"> </w:t>
      </w:r>
      <w:r w:rsidR="00C12B7C">
        <w:t xml:space="preserve"> be countered that the donor may not know about the relevant advances in genomic medicine and therefore rather than relying on her to come forward she should be given the opportunity to </w:t>
      </w:r>
      <w:r w:rsidR="00CC3D5A">
        <w:t xml:space="preserve">be informed about </w:t>
      </w:r>
      <w:r w:rsidR="00C12B7C">
        <w:t>them, as Horton et al argue. However, as noted above, we rarely pursue people to ensure they are fully informed about all their options, but wait for them to contact us (</w:t>
      </w:r>
      <w:r w:rsidR="00370159">
        <w:t>i.e. go to the solicitor about their</w:t>
      </w:r>
      <w:r w:rsidR="00CC3D5A">
        <w:t xml:space="preserve"> will, or go to the doctor), and this seems to press healthcare professionals’ duties to inform patients far over what is either ethically demanded or practical.</w:t>
      </w:r>
    </w:p>
    <w:p w14:paraId="68FBC297" w14:textId="77777777" w:rsidR="00885293" w:rsidRDefault="00885293" w:rsidP="00A76C53">
      <w:pPr>
        <w:spacing w:line="360" w:lineRule="auto"/>
        <w:contextualSpacing/>
      </w:pPr>
    </w:p>
    <w:p w14:paraId="1D64F778" w14:textId="77777777" w:rsidR="00533F97" w:rsidRDefault="00533F97" w:rsidP="00A76C53">
      <w:pPr>
        <w:spacing w:line="360" w:lineRule="auto"/>
        <w:contextualSpacing/>
      </w:pPr>
      <w:r>
        <w:rPr>
          <w:b/>
        </w:rPr>
        <w:t>Interests of the donor, interests of the child</w:t>
      </w:r>
    </w:p>
    <w:p w14:paraId="45767D8D" w14:textId="1312E05C" w:rsidR="007D20A3" w:rsidRDefault="00D96A43" w:rsidP="00A76C53">
      <w:pPr>
        <w:spacing w:line="360" w:lineRule="auto"/>
        <w:contextualSpacing/>
      </w:pPr>
      <w:r>
        <w:t xml:space="preserve">One key argument for not respecting the egg donor’s wishes </w:t>
      </w:r>
      <w:r w:rsidR="00885293">
        <w:t xml:space="preserve">and contacting </w:t>
      </w:r>
      <w:r w:rsidR="004F3CDF">
        <w:t>her</w:t>
      </w:r>
      <w:r w:rsidR="00885293">
        <w:t xml:space="preserve"> </w:t>
      </w:r>
      <w:r>
        <w:t>is that</w:t>
      </w:r>
      <w:r w:rsidR="007D20A3">
        <w:t xml:space="preserve"> it potentially harms the donor-</w:t>
      </w:r>
      <w:r>
        <w:t xml:space="preserve">conceived child. At the time of her making </w:t>
      </w:r>
      <w:r w:rsidR="00C12B7C">
        <w:t>her original</w:t>
      </w:r>
      <w:r>
        <w:t xml:space="preserve"> decision it affected her and only potentially affected someone else, now there is a specific person that her actions may be harming.</w:t>
      </w:r>
      <w:r w:rsidR="00DA20B0">
        <w:t xml:space="preserve"> If we</w:t>
      </w:r>
      <w:r w:rsidR="00CE07EF">
        <w:t xml:space="preserve"> put concerns with the quality of the consent aside,</w:t>
      </w:r>
      <w:r w:rsidR="00DA20B0">
        <w:t xml:space="preserve"> accept for the purposes of this argument that the donor gave valid consent not to be contact</w:t>
      </w:r>
      <w:r w:rsidR="008016BA">
        <w:t>ed</w:t>
      </w:r>
      <w:r w:rsidR="00DA20B0">
        <w:t xml:space="preserve"> and this was a fully autono</w:t>
      </w:r>
      <w:r w:rsidR="00767DA0">
        <w:t>mous decision, an argument could be made that this decision could</w:t>
      </w:r>
      <w:r w:rsidR="00DA20B0">
        <w:t xml:space="preserve"> still be overridden</w:t>
      </w:r>
      <w:r w:rsidR="00907556">
        <w:t xml:space="preserve"> on the grounds that </w:t>
      </w:r>
      <w:r w:rsidR="00DA20B0">
        <w:t xml:space="preserve"> it harms, o</w:t>
      </w:r>
      <w:r w:rsidR="00CE07EF">
        <w:t xml:space="preserve">r potentially harms </w:t>
      </w:r>
      <w:r w:rsidR="00DA20B0">
        <w:t>other</w:t>
      </w:r>
      <w:r w:rsidR="00CE07EF">
        <w:t>s</w:t>
      </w:r>
      <w:r w:rsidR="00DA20B0">
        <w:t>.</w:t>
      </w:r>
      <w:r w:rsidR="00B60763">
        <w:t xml:space="preserve"> There has been considerable debate in the literature about the ‘right not to know’ </w:t>
      </w:r>
      <w:r w:rsidR="00447EBC">
        <w:t>genetic information</w:t>
      </w:r>
      <w:r w:rsidR="00E41BF5">
        <w:t xml:space="preserve"> about one’s self</w:t>
      </w:r>
      <w:r w:rsidR="00D63577">
        <w:t>,</w:t>
      </w:r>
      <w:r w:rsidR="00E41BF5">
        <w:t xml:space="preserve"> </w:t>
      </w:r>
      <w:r w:rsidR="00E41BF5" w:rsidRPr="00E41BF5">
        <w:rPr>
          <w:vertAlign w:val="superscript"/>
        </w:rPr>
        <w:t>7</w:t>
      </w:r>
      <w:r w:rsidR="006D74F7">
        <w:rPr>
          <w:vertAlign w:val="superscript"/>
        </w:rPr>
        <w:t>,8</w:t>
      </w:r>
      <w:r w:rsidR="000024B1">
        <w:t xml:space="preserve"> and how this</w:t>
      </w:r>
      <w:r w:rsidR="00D63577">
        <w:t xml:space="preserve"> right might cash out in cases where it poten</w:t>
      </w:r>
      <w:r w:rsidR="008016BA">
        <w:t xml:space="preserve">tially </w:t>
      </w:r>
      <w:r w:rsidR="00CE07EF">
        <w:t>might harm</w:t>
      </w:r>
      <w:r w:rsidR="0084072E">
        <w:t xml:space="preserve"> others. As Laurie notes, respecting someone’s right not to know, in the form of respecting their privacy can be overridden in cases where there is a, ‘likelihood of serious and foreseeable familial harm to</w:t>
      </w:r>
      <w:r w:rsidR="00866DB7">
        <w:t xml:space="preserve"> an</w:t>
      </w:r>
      <w:r w:rsidR="0084072E">
        <w:t xml:space="preserve"> identifiable person.’ </w:t>
      </w:r>
      <w:r w:rsidR="006D74F7">
        <w:rPr>
          <w:vertAlign w:val="superscript"/>
        </w:rPr>
        <w:t>8</w:t>
      </w:r>
      <w:r w:rsidR="0084072E">
        <w:t xml:space="preserve"> I</w:t>
      </w:r>
      <w:r w:rsidR="008016BA">
        <w:t>n the case under discussion</w:t>
      </w:r>
      <w:r w:rsidR="00E41BF5">
        <w:t>,</w:t>
      </w:r>
      <w:r w:rsidR="008016BA">
        <w:t xml:space="preserve"> we can see that there is a clear case of potential harm to the donor-conceived child</w:t>
      </w:r>
      <w:r w:rsidR="0084072E">
        <w:t xml:space="preserve"> </w:t>
      </w:r>
      <w:r w:rsidR="008016BA">
        <w:t>if the donor exercises their right not to know.</w:t>
      </w:r>
    </w:p>
    <w:p w14:paraId="6DBB6495" w14:textId="77777777" w:rsidR="007D20A3" w:rsidRDefault="007D20A3" w:rsidP="00A76C53">
      <w:pPr>
        <w:spacing w:line="360" w:lineRule="auto"/>
        <w:contextualSpacing/>
      </w:pPr>
    </w:p>
    <w:p w14:paraId="6E55BB62" w14:textId="3A0E78D5" w:rsidR="00767DA0" w:rsidRDefault="002E7322" w:rsidP="00A76C53">
      <w:pPr>
        <w:spacing w:line="360" w:lineRule="auto"/>
        <w:contextualSpacing/>
      </w:pPr>
      <w:r>
        <w:t xml:space="preserve">The arguments for overriding consent here are strong, however, </w:t>
      </w:r>
      <w:r w:rsidR="0047484B">
        <w:t xml:space="preserve">the </w:t>
      </w:r>
      <w:r w:rsidR="005655A2">
        <w:t>HFEA has always been clear that it is paramount to get consent and respect that consent from all parties involved in gamete donation.</w:t>
      </w:r>
      <w:r w:rsidR="006D74F7">
        <w:rPr>
          <w:vertAlign w:val="superscript"/>
        </w:rPr>
        <w:t>9</w:t>
      </w:r>
      <w:r w:rsidR="005655A2">
        <w:t xml:space="preserve"> Therefore, overriding </w:t>
      </w:r>
      <w:r w:rsidR="00B2543D">
        <w:t xml:space="preserve">the </w:t>
      </w:r>
      <w:r w:rsidR="005655A2">
        <w:t xml:space="preserve">freely given consent </w:t>
      </w:r>
      <w:r>
        <w:t>of a donor</w:t>
      </w:r>
      <w:r w:rsidR="00767DA0">
        <w:t>, despite evidence of harm to the donor-conceived child,</w:t>
      </w:r>
      <w:r>
        <w:t xml:space="preserve"> </w:t>
      </w:r>
      <w:r w:rsidR="00B2543D">
        <w:t>could potentially set a dangerous precedent</w:t>
      </w:r>
      <w:r w:rsidR="005D32CD">
        <w:t xml:space="preserve"> and the clinic should respect the donor’s wishes not to be contacted.</w:t>
      </w:r>
      <w:r w:rsidR="00B2543D">
        <w:t xml:space="preserve"> In the UK</w:t>
      </w:r>
      <w:r w:rsidR="00C85CD6">
        <w:t>,</w:t>
      </w:r>
      <w:r w:rsidR="00B2543D">
        <w:t xml:space="preserve"> the conditions under which one donates are clearly specified and later deviation from this could create unease among potential donors and recipients.</w:t>
      </w:r>
      <w:r w:rsidR="005D32CD">
        <w:t xml:space="preserve"> For example,</w:t>
      </w:r>
      <w:r w:rsidR="005D32CD" w:rsidRPr="005D32CD">
        <w:t xml:space="preserve"> </w:t>
      </w:r>
      <w:r w:rsidR="005D32CD">
        <w:t xml:space="preserve">in the </w:t>
      </w:r>
      <w:r w:rsidR="005D32CD" w:rsidRPr="005D32CD">
        <w:t>debates over the law change in the UK, from anonymous to non-anonym</w:t>
      </w:r>
      <w:r w:rsidR="005D32CD">
        <w:t>ous donation in 2005</w:t>
      </w:r>
      <w:r w:rsidR="005D32CD" w:rsidRPr="005D32CD">
        <w:t>, it was argued that the interests of the donor conceived should take precedence over the donor’s right to pr</w:t>
      </w:r>
      <w:r w:rsidR="005D32CD">
        <w:t>ivacy in the form of anonymity.</w:t>
      </w:r>
      <w:r w:rsidR="006D74F7">
        <w:rPr>
          <w:vertAlign w:val="superscript"/>
        </w:rPr>
        <w:t>10</w:t>
      </w:r>
      <w:r w:rsidR="005D32CD" w:rsidRPr="005D32CD">
        <w:rPr>
          <w:vertAlign w:val="superscript"/>
        </w:rPr>
        <w:t xml:space="preserve"> </w:t>
      </w:r>
      <w:r w:rsidR="005D32CD" w:rsidRPr="005D32CD">
        <w:t xml:space="preserve"> </w:t>
      </w:r>
      <w:r w:rsidR="005D32CD">
        <w:t xml:space="preserve">However, this policy change was not applied retrospectively to donors who had </w:t>
      </w:r>
      <w:r w:rsidR="00706F9F">
        <w:t xml:space="preserve">previously consented to </w:t>
      </w:r>
      <w:r w:rsidR="005D32CD">
        <w:t xml:space="preserve">donate under conditions of anonymity. </w:t>
      </w:r>
      <w:r w:rsidR="00B2543D">
        <w:t xml:space="preserve"> </w:t>
      </w:r>
    </w:p>
    <w:p w14:paraId="6E4806D7" w14:textId="28269A76" w:rsidR="00767DA0" w:rsidRDefault="00767DA0" w:rsidP="00A76C53">
      <w:pPr>
        <w:spacing w:line="360" w:lineRule="auto"/>
        <w:contextualSpacing/>
      </w:pPr>
    </w:p>
    <w:p w14:paraId="6C005624" w14:textId="4CB17E2D" w:rsidR="00706F9F" w:rsidRPr="00931CEC" w:rsidRDefault="00706F9F" w:rsidP="00A76C53">
      <w:pPr>
        <w:spacing w:line="360" w:lineRule="auto"/>
        <w:contextualSpacing/>
        <w:rPr>
          <w:b/>
        </w:rPr>
      </w:pPr>
      <w:r>
        <w:rPr>
          <w:b/>
        </w:rPr>
        <w:t>POSSIBLE SOLUTIONS: POLICY CHANGES</w:t>
      </w:r>
    </w:p>
    <w:p w14:paraId="68D570F0" w14:textId="5FEB2F96" w:rsidR="00866DB7" w:rsidRDefault="00767DA0" w:rsidP="00866DB7">
      <w:pPr>
        <w:spacing w:line="360" w:lineRule="auto"/>
        <w:contextualSpacing/>
      </w:pPr>
      <w:r>
        <w:t>I would like to suggest a policy change that would prevent this situation in the future and address some of the concerns raised by Horton et al</w:t>
      </w:r>
      <w:r w:rsidR="00185911">
        <w:t xml:space="preserve"> about the complexity and changing nature of genetic information</w:t>
      </w:r>
      <w:r w:rsidR="00706F9F">
        <w:t>.</w:t>
      </w:r>
      <w:r>
        <w:t xml:space="preserve"> </w:t>
      </w:r>
      <w:r w:rsidR="007D20A3">
        <w:t>Gamete donors, arguably, have some form of moral obligation to any child produced from their donation.</w:t>
      </w:r>
      <w:r w:rsidR="00407B88">
        <w:rPr>
          <w:vertAlign w:val="superscript"/>
        </w:rPr>
        <w:t>10</w:t>
      </w:r>
      <w:r w:rsidR="007D20A3">
        <w:t xml:space="preserve"> </w:t>
      </w:r>
      <w:r w:rsidR="0087240C">
        <w:t xml:space="preserve">Consequently, </w:t>
      </w:r>
      <w:r w:rsidR="00D63577">
        <w:t>I suggest</w:t>
      </w:r>
      <w:r w:rsidR="00DA019E">
        <w:t xml:space="preserve"> that the </w:t>
      </w:r>
      <w:r w:rsidR="006B2618">
        <w:t xml:space="preserve">HFEA </w:t>
      </w:r>
      <w:r w:rsidR="00DA019E">
        <w:t xml:space="preserve">Code of Practice should be changed so that </w:t>
      </w:r>
      <w:r w:rsidR="00903546">
        <w:t xml:space="preserve">prospective </w:t>
      </w:r>
      <w:r w:rsidR="00DA019E">
        <w:t>donors are informed, as part of the consent process, that they may be contacted in the future, if needed, and be asked if they would agree to genetic testing</w:t>
      </w:r>
      <w:r w:rsidR="0092409B">
        <w:t>, or for another, as yet unknown, medical purpose</w:t>
      </w:r>
      <w:r w:rsidR="00DA019E">
        <w:t xml:space="preserve">. At that point they are free to decline to participate, but they have to consent to </w:t>
      </w:r>
      <w:r w:rsidR="00267C5F">
        <w:t xml:space="preserve">the possibility of future </w:t>
      </w:r>
      <w:r w:rsidR="00DA019E">
        <w:t xml:space="preserve">contact. </w:t>
      </w:r>
      <w:r w:rsidR="00866DB7">
        <w:t xml:space="preserve">By becoming a gamete donor people enter into a clearly defined arrangement and one that comes with certain obligations to any child produced from the donation. It is often countered that the </w:t>
      </w:r>
      <w:r w:rsidR="00267C5F">
        <w:t xml:space="preserve">privileging </w:t>
      </w:r>
      <w:r w:rsidR="00866DB7">
        <w:t xml:space="preserve">of </w:t>
      </w:r>
      <w:r w:rsidR="00267C5F">
        <w:t>the</w:t>
      </w:r>
      <w:r w:rsidR="00866DB7">
        <w:t xml:space="preserve"> donor-conceived child’s rights is unfair on the donor, but gamete donation is a voluntary activity, which people enter into freely (leaving aside debates over egg sharing)</w:t>
      </w:r>
      <w:r w:rsidR="00EE22D0">
        <w:t>.</w:t>
      </w:r>
      <w:r w:rsidR="00EE22D0">
        <w:rPr>
          <w:vertAlign w:val="superscript"/>
        </w:rPr>
        <w:t>1</w:t>
      </w:r>
      <w:r w:rsidR="006D74F7">
        <w:rPr>
          <w:vertAlign w:val="superscript"/>
        </w:rPr>
        <w:t>1</w:t>
      </w:r>
      <w:r w:rsidR="00866DB7">
        <w:t xml:space="preserve"> If donors do not want to sign up to these conditions, they can simply not donate. </w:t>
      </w:r>
    </w:p>
    <w:p w14:paraId="311D6118" w14:textId="77777777" w:rsidR="00866DB7" w:rsidRDefault="00866DB7" w:rsidP="00866DB7">
      <w:pPr>
        <w:spacing w:line="360" w:lineRule="auto"/>
        <w:contextualSpacing/>
      </w:pPr>
    </w:p>
    <w:p w14:paraId="3762157C" w14:textId="4AF4A637" w:rsidR="000F00E1" w:rsidRDefault="00DA019E" w:rsidP="00A76C53">
      <w:pPr>
        <w:spacing w:line="360" w:lineRule="auto"/>
        <w:contextualSpacing/>
      </w:pPr>
      <w:r>
        <w:t xml:space="preserve">This </w:t>
      </w:r>
      <w:r w:rsidR="00866DB7">
        <w:t>change in the</w:t>
      </w:r>
      <w:r w:rsidR="004D3249">
        <w:t xml:space="preserve"> HFEA Code of P</w:t>
      </w:r>
      <w:r w:rsidR="00866DB7">
        <w:t xml:space="preserve">ractice </w:t>
      </w:r>
      <w:r>
        <w:t xml:space="preserve">would alleviate issues with the rapid evolution of genomic testing </w:t>
      </w:r>
      <w:r w:rsidR="00D55AF3">
        <w:t>that, arguably, makes</w:t>
      </w:r>
      <w:r w:rsidR="006B2618">
        <w:t xml:space="preserve"> </w:t>
      </w:r>
      <w:r w:rsidR="009563DA">
        <w:t xml:space="preserve">valid </w:t>
      </w:r>
      <w:r w:rsidR="006B2618">
        <w:t>consent at the time of do</w:t>
      </w:r>
      <w:r w:rsidR="007D20A3">
        <w:t>nation</w:t>
      </w:r>
      <w:r w:rsidR="000F00E1">
        <w:t xml:space="preserve"> difficult</w:t>
      </w:r>
      <w:r w:rsidR="009563DA">
        <w:t>,</w:t>
      </w:r>
      <w:r w:rsidR="007D20A3">
        <w:t xml:space="preserve"> as Horton et al</w:t>
      </w:r>
      <w:r w:rsidR="006B2618">
        <w:t xml:space="preserve"> argue,</w:t>
      </w:r>
      <w:r>
        <w:t xml:space="preserve"> and present</w:t>
      </w:r>
      <w:r w:rsidR="00D55AF3">
        <w:t>s</w:t>
      </w:r>
      <w:r>
        <w:t xml:space="preserve"> the donor with a clear choice at a specific time. </w:t>
      </w:r>
      <w:r w:rsidR="000F00E1">
        <w:t>An argument could be made for making</w:t>
      </w:r>
      <w:r>
        <w:t xml:space="preserve"> agreeing to future genetic tests a condition of </w:t>
      </w:r>
      <w:r w:rsidR="000F00E1">
        <w:t xml:space="preserve">donating; however this </w:t>
      </w:r>
      <w:r>
        <w:t xml:space="preserve">is </w:t>
      </w:r>
      <w:r w:rsidR="000F00E1">
        <w:t>a</w:t>
      </w:r>
      <w:r>
        <w:t xml:space="preserve"> question for a</w:t>
      </w:r>
      <w:r w:rsidR="000F00E1">
        <w:t>nother discussion</w:t>
      </w:r>
      <w:r w:rsidR="004979D3">
        <w:t>.</w:t>
      </w:r>
      <w:r>
        <w:t xml:space="preserve"> </w:t>
      </w:r>
      <w:r w:rsidR="00D55AF3">
        <w:t>Horton et al</w:t>
      </w:r>
      <w:r w:rsidR="004979D3">
        <w:t xml:space="preserve"> </w:t>
      </w:r>
      <w:r w:rsidR="00D55AF3">
        <w:t xml:space="preserve">merely suggest it is acceptable to contact the donor not that it is acceptable to </w:t>
      </w:r>
      <w:r w:rsidR="00EA1D32">
        <w:t xml:space="preserve">force her to participate in </w:t>
      </w:r>
      <w:r w:rsidR="00D55AF3">
        <w:t xml:space="preserve">testing. </w:t>
      </w:r>
      <w:r w:rsidR="004979D3">
        <w:t>A</w:t>
      </w:r>
      <w:r w:rsidR="00D55AF3">
        <w:t>t the very least the donor</w:t>
      </w:r>
      <w:r w:rsidR="000F00E1">
        <w:t>, at the time of donation,</w:t>
      </w:r>
      <w:r>
        <w:t xml:space="preserve"> should be required to accept the possibility o</w:t>
      </w:r>
      <w:r w:rsidR="00D55AF3">
        <w:t xml:space="preserve">f being </w:t>
      </w:r>
      <w:r>
        <w:t>contacted</w:t>
      </w:r>
      <w:r w:rsidR="00D55AF3">
        <w:t xml:space="preserve"> in the future</w:t>
      </w:r>
      <w:r w:rsidR="000F00E1">
        <w:t xml:space="preserve"> if there is a relevant medical reason for doing so, </w:t>
      </w:r>
      <w:bookmarkStart w:id="0" w:name="_GoBack"/>
      <w:bookmarkEnd w:id="0"/>
      <w:r w:rsidR="000F00E1">
        <w:t xml:space="preserve">over and above the existing provisions for </w:t>
      </w:r>
      <w:r w:rsidR="00370159">
        <w:t xml:space="preserve">the later identity release </w:t>
      </w:r>
      <w:r w:rsidR="000F00E1">
        <w:t xml:space="preserve">of donors. </w:t>
      </w:r>
      <w:r w:rsidR="000F00E1" w:rsidRPr="00931CEC">
        <w:rPr>
          <w:vertAlign w:val="superscript"/>
        </w:rPr>
        <w:t>10</w:t>
      </w:r>
    </w:p>
    <w:p w14:paraId="22D1F8D6" w14:textId="77777777" w:rsidR="00B34499" w:rsidRDefault="00B34499" w:rsidP="00A76C53">
      <w:pPr>
        <w:spacing w:line="360" w:lineRule="auto"/>
        <w:contextualSpacing/>
        <w:rPr>
          <w:b/>
        </w:rPr>
      </w:pPr>
    </w:p>
    <w:p w14:paraId="1C045017" w14:textId="03BA72C7" w:rsidR="00DA019E" w:rsidRDefault="00DA019E" w:rsidP="00A76C53">
      <w:pPr>
        <w:spacing w:line="360" w:lineRule="auto"/>
        <w:contextualSpacing/>
        <w:rPr>
          <w:b/>
        </w:rPr>
      </w:pPr>
      <w:r>
        <w:rPr>
          <w:b/>
        </w:rPr>
        <w:t>REFERENCES</w:t>
      </w:r>
    </w:p>
    <w:p w14:paraId="6C813B39" w14:textId="50A4DBAF" w:rsidR="00C071BB" w:rsidRDefault="00C071BB" w:rsidP="00267C5F">
      <w:pPr>
        <w:pStyle w:val="ListParagraph"/>
        <w:numPr>
          <w:ilvl w:val="0"/>
          <w:numId w:val="1"/>
        </w:numPr>
        <w:spacing w:line="240" w:lineRule="auto"/>
      </w:pPr>
      <w:r>
        <w:t>Horton, R et al Is it acceptable to contact an anonymous egg donor to facilitate diagnostic genetic testing for the donor-conceived child? Journal of Medical Ethics.</w:t>
      </w:r>
      <w:r w:rsidR="00267C5F">
        <w:t xml:space="preserve"> </w:t>
      </w:r>
      <w:r w:rsidR="00267C5F" w:rsidRPr="00267C5F">
        <w:t>medethics-2018-105322.R1</w:t>
      </w:r>
    </w:p>
    <w:p w14:paraId="34C9F4BE" w14:textId="77777777" w:rsidR="00C071BB" w:rsidRPr="00E41BF5" w:rsidRDefault="00C071BB" w:rsidP="00E41BF5">
      <w:pPr>
        <w:pStyle w:val="ListParagraph"/>
        <w:numPr>
          <w:ilvl w:val="0"/>
          <w:numId w:val="1"/>
        </w:numPr>
        <w:spacing w:line="240" w:lineRule="auto"/>
        <w:rPr>
          <w:color w:val="0563C1" w:themeColor="hyperlink"/>
          <w:u w:val="single"/>
        </w:rPr>
      </w:pPr>
      <w:r>
        <w:t>HFEA (2018) Code of Practice, 9</w:t>
      </w:r>
      <w:r w:rsidRPr="00E41BF5">
        <w:rPr>
          <w:vertAlign w:val="superscript"/>
        </w:rPr>
        <w:t>th</w:t>
      </w:r>
      <w:r>
        <w:t xml:space="preserve"> Edition, Section 11.13.  </w:t>
      </w:r>
      <w:hyperlink r:id="rId7" w:history="1">
        <w:r w:rsidRPr="003467E6">
          <w:rPr>
            <w:rStyle w:val="Hyperlink"/>
          </w:rPr>
          <w:t>https://www.hfea.gov.uk/media/2793/2019-01-03-code-of-practice-9th-edition-v2.pdf</w:t>
        </w:r>
      </w:hyperlink>
    </w:p>
    <w:p w14:paraId="639F5026" w14:textId="5BBB1326" w:rsidR="006D74F7" w:rsidRDefault="006D74F7" w:rsidP="006D74F7">
      <w:pPr>
        <w:pStyle w:val="ListParagraph"/>
        <w:numPr>
          <w:ilvl w:val="0"/>
          <w:numId w:val="1"/>
        </w:numPr>
        <w:spacing w:line="240" w:lineRule="auto"/>
      </w:pPr>
      <w:r>
        <w:t>Murray, T. (2019) Is Genetic Exceptionalism Past Its Sell-By Date? On Genomic Diaries, Context, and Content, The American Journal of Bioethics, 19:1, 13-15.</w:t>
      </w:r>
    </w:p>
    <w:p w14:paraId="42BEDA64" w14:textId="33D19EE8" w:rsidR="00C071BB" w:rsidRDefault="00C071BB" w:rsidP="00E41BF5">
      <w:pPr>
        <w:pStyle w:val="ListParagraph"/>
        <w:numPr>
          <w:ilvl w:val="0"/>
          <w:numId w:val="1"/>
        </w:numPr>
        <w:spacing w:line="240" w:lineRule="auto"/>
      </w:pPr>
      <w:r>
        <w:t xml:space="preserve">Sheehan, M (2011) Can broad consent be informed consent? Public Health Ethics. </w:t>
      </w:r>
      <w:r w:rsidRPr="00A93793">
        <w:t>4(3):226-</w:t>
      </w:r>
      <w:r>
        <w:t>235.</w:t>
      </w:r>
    </w:p>
    <w:p w14:paraId="2ECCFF1A" w14:textId="77777777" w:rsidR="00E41BF5" w:rsidRDefault="00E41BF5" w:rsidP="004979D3">
      <w:pPr>
        <w:pStyle w:val="ListParagraph"/>
        <w:numPr>
          <w:ilvl w:val="0"/>
          <w:numId w:val="1"/>
        </w:numPr>
        <w:spacing w:line="240" w:lineRule="auto"/>
      </w:pPr>
      <w:r>
        <w:t>HFEA Consent form for egg donation.</w:t>
      </w:r>
      <w:r w:rsidR="004979D3">
        <w:t xml:space="preserve"> </w:t>
      </w:r>
      <w:hyperlink r:id="rId8" w:history="1">
        <w:r w:rsidR="004979D3" w:rsidRPr="00852153">
          <w:rPr>
            <w:rStyle w:val="Hyperlink"/>
          </w:rPr>
          <w:t>https://www.hfea.gov.uk/about-us/how-we-regulate/consent-forms/</w:t>
        </w:r>
      </w:hyperlink>
    </w:p>
    <w:p w14:paraId="09635AF2" w14:textId="77777777" w:rsidR="00876BE0" w:rsidRDefault="00876BE0" w:rsidP="00E41BF5">
      <w:pPr>
        <w:pStyle w:val="ListParagraph"/>
        <w:numPr>
          <w:ilvl w:val="0"/>
          <w:numId w:val="1"/>
        </w:numPr>
        <w:spacing w:line="240" w:lineRule="auto"/>
      </w:pPr>
      <w:r w:rsidRPr="00876BE0">
        <w:t>Frith, L &amp; Blyth, E. (2019) The point of no return – up to what point should we be allowed to withdraw consent to the storage and use of embryos and gametes? Bioethics, DOI: 10.1111/bioe.12572.</w:t>
      </w:r>
    </w:p>
    <w:p w14:paraId="43A4A8DE" w14:textId="77777777" w:rsidR="00E41BF5" w:rsidRDefault="00E41BF5" w:rsidP="00E41BF5">
      <w:pPr>
        <w:pStyle w:val="ListParagraph"/>
        <w:numPr>
          <w:ilvl w:val="0"/>
          <w:numId w:val="1"/>
        </w:numPr>
        <w:spacing w:line="240" w:lineRule="auto"/>
      </w:pPr>
      <w:r>
        <w:t xml:space="preserve">Wilson, J (2005) To know or not to know? Genetic ignorance, autonomy and paternalism. </w:t>
      </w:r>
      <w:r w:rsidRPr="00E41BF5">
        <w:rPr>
          <w:i/>
        </w:rPr>
        <w:t>Bioethics</w:t>
      </w:r>
      <w:r>
        <w:t>, Vol 19, issue 5-6, 492-504.</w:t>
      </w:r>
    </w:p>
    <w:p w14:paraId="1EEF13E8" w14:textId="77777777" w:rsidR="00E41BF5" w:rsidRDefault="00E41BF5" w:rsidP="00E41BF5">
      <w:pPr>
        <w:pStyle w:val="ListParagraph"/>
        <w:numPr>
          <w:ilvl w:val="0"/>
          <w:numId w:val="1"/>
        </w:numPr>
        <w:spacing w:line="240" w:lineRule="auto"/>
      </w:pPr>
      <w:r>
        <w:t xml:space="preserve">Laurie, G (2014) </w:t>
      </w:r>
      <w:r w:rsidRPr="00A93793">
        <w:t>Recognizing the Right Not to Know: Conceptual, Professional, and Legal Implications</w:t>
      </w:r>
      <w:r>
        <w:t>. J</w:t>
      </w:r>
      <w:r w:rsidR="004979D3">
        <w:t>ournal of Law, Medicine &amp; E</w:t>
      </w:r>
      <w:r w:rsidRPr="00A93793">
        <w:t>thics</w:t>
      </w:r>
      <w:r>
        <w:t>. Spring, 53-63.</w:t>
      </w:r>
    </w:p>
    <w:p w14:paraId="7D587CE8" w14:textId="7A52F3F9" w:rsidR="00EE22D0" w:rsidRDefault="00EE22D0" w:rsidP="00EE22D0">
      <w:pPr>
        <w:pStyle w:val="ListParagraph"/>
        <w:numPr>
          <w:ilvl w:val="0"/>
          <w:numId w:val="1"/>
        </w:numPr>
        <w:spacing w:line="240" w:lineRule="auto"/>
      </w:pPr>
      <w:r>
        <w:t xml:space="preserve">HFEA Consent to Treatment </w:t>
      </w:r>
      <w:hyperlink r:id="rId9" w:history="1">
        <w:r w:rsidRPr="00D87E4E">
          <w:rPr>
            <w:rStyle w:val="Hyperlink"/>
          </w:rPr>
          <w:t>https://www.hfea.gov.uk/choose-a-clinic/consent-to-treatment/</w:t>
        </w:r>
      </w:hyperlink>
    </w:p>
    <w:p w14:paraId="54DB7B27" w14:textId="6BBE4FEF" w:rsidR="00A90988" w:rsidRDefault="00EE22D0" w:rsidP="00E41BF5">
      <w:pPr>
        <w:pStyle w:val="ListParagraph"/>
        <w:numPr>
          <w:ilvl w:val="0"/>
          <w:numId w:val="1"/>
        </w:numPr>
        <w:spacing w:line="240" w:lineRule="auto"/>
      </w:pPr>
      <w:r>
        <w:t xml:space="preserve">See debates over the removal of gamete donor anonymity in the UK. </w:t>
      </w:r>
      <w:r w:rsidR="00A90988" w:rsidRPr="00A90988">
        <w:t>Frith, L. (2015) The Limits of Evidence: Evidence based policy and the removal of gamete donor anonymity in the UK. Monash Bioethics Review. 33 (1) 29-44.</w:t>
      </w:r>
    </w:p>
    <w:p w14:paraId="03107923" w14:textId="77777777" w:rsidR="00A93793" w:rsidRDefault="00C071BB" w:rsidP="00E41BF5">
      <w:pPr>
        <w:pStyle w:val="ListParagraph"/>
        <w:numPr>
          <w:ilvl w:val="0"/>
          <w:numId w:val="1"/>
        </w:numPr>
        <w:spacing w:line="240" w:lineRule="auto"/>
      </w:pPr>
      <w:r>
        <w:t>Gürtin</w:t>
      </w:r>
      <w:r w:rsidR="00A93793">
        <w:t>, Z. Ahujab, K. Golombok, S. (2012)</w:t>
      </w:r>
      <w:r w:rsidR="00A93793" w:rsidRPr="00A93793">
        <w:t xml:space="preserve"> </w:t>
      </w:r>
      <w:r w:rsidR="00A93793">
        <w:t>Egg-sharing, consent and exploitation: examining donors’ and recipients’ circumstances and retrospective reflections. Reproductive Biomedicine Online. Vol 24, Issue 7, 698–708</w:t>
      </w:r>
    </w:p>
    <w:p w14:paraId="19E516CD" w14:textId="77777777" w:rsidR="000B4580" w:rsidRDefault="000B4580" w:rsidP="000B4580">
      <w:pPr>
        <w:pStyle w:val="PlainText"/>
      </w:pPr>
    </w:p>
    <w:p w14:paraId="04A86E4C" w14:textId="77777777" w:rsidR="000B4580" w:rsidRDefault="000B4580" w:rsidP="000B4580">
      <w:pPr>
        <w:pStyle w:val="PlainText"/>
      </w:pPr>
      <w:r>
        <w:t xml:space="preserve">STATEMENTS: </w:t>
      </w:r>
    </w:p>
    <w:p w14:paraId="4C9C1973" w14:textId="77777777" w:rsidR="000B4580" w:rsidRDefault="000B4580" w:rsidP="000B4580">
      <w:pPr>
        <w:pStyle w:val="PlainText"/>
      </w:pPr>
    </w:p>
    <w:p w14:paraId="1B892154" w14:textId="7F6FBBB8" w:rsidR="000B4580" w:rsidRDefault="000B4580" w:rsidP="000B4580">
      <w:pPr>
        <w:pStyle w:val="PlainText"/>
      </w:pPr>
      <w:r>
        <w:t>-</w:t>
      </w:r>
      <w:r>
        <w:tab/>
        <w:t>Funding – this paper received no funding</w:t>
      </w:r>
    </w:p>
    <w:p w14:paraId="76D0511B" w14:textId="4F0E3FAE" w:rsidR="000B4580" w:rsidRDefault="000B4580" w:rsidP="00931CEC">
      <w:pPr>
        <w:pStyle w:val="PlainText"/>
        <w:ind w:left="720" w:hanging="720"/>
      </w:pPr>
      <w:r>
        <w:t>-</w:t>
      </w:r>
      <w:r>
        <w:tab/>
        <w:t>Acknowledgements – I would like to thank the reviewer for their helpful comments on this paper.</w:t>
      </w:r>
    </w:p>
    <w:p w14:paraId="30C45E7D" w14:textId="25A959F2" w:rsidR="000B4580" w:rsidRDefault="000B4580" w:rsidP="000B4580">
      <w:pPr>
        <w:pStyle w:val="PlainText"/>
      </w:pPr>
      <w:r>
        <w:t>-</w:t>
      </w:r>
      <w:r>
        <w:tab/>
        <w:t>Competing interests – I have no competing interests.</w:t>
      </w:r>
    </w:p>
    <w:p w14:paraId="7869A79D" w14:textId="6C84FCF2" w:rsidR="000B4580" w:rsidRDefault="000B4580" w:rsidP="000B4580">
      <w:pPr>
        <w:pStyle w:val="PlainText"/>
      </w:pPr>
      <w:r>
        <w:t>-</w:t>
      </w:r>
      <w:r>
        <w:tab/>
        <w:t>Ethics approval statement – not applicable</w:t>
      </w:r>
    </w:p>
    <w:p w14:paraId="085039CF" w14:textId="21FECC7B" w:rsidR="000B4580" w:rsidRDefault="000B4580" w:rsidP="00931CEC">
      <w:pPr>
        <w:pStyle w:val="PlainText"/>
        <w:ind w:left="720" w:hanging="720"/>
      </w:pPr>
      <w:r>
        <w:t>-</w:t>
      </w:r>
      <w:r>
        <w:tab/>
        <w:t>Contributorship Statement (Specific contribution of authors in the paper) – not applicable, I am the sole author.</w:t>
      </w:r>
    </w:p>
    <w:p w14:paraId="745E623D" w14:textId="77777777" w:rsidR="00A93793" w:rsidRPr="00931CEC" w:rsidRDefault="00A93793" w:rsidP="00C071BB">
      <w:pPr>
        <w:spacing w:line="240" w:lineRule="auto"/>
        <w:contextualSpacing/>
        <w:rPr>
          <w:color w:val="0563C1" w:themeColor="hyperlink"/>
        </w:rPr>
      </w:pPr>
    </w:p>
    <w:p w14:paraId="63EBA8EE" w14:textId="77777777" w:rsidR="00A93793" w:rsidRDefault="00A93793" w:rsidP="00C071BB">
      <w:pPr>
        <w:spacing w:line="240" w:lineRule="auto"/>
        <w:contextualSpacing/>
      </w:pPr>
    </w:p>
    <w:p w14:paraId="62BCAC84" w14:textId="77777777" w:rsidR="009410A1" w:rsidRPr="00DA019E" w:rsidRDefault="009410A1" w:rsidP="00A76C53">
      <w:pPr>
        <w:spacing w:line="360" w:lineRule="auto"/>
        <w:contextualSpacing/>
      </w:pPr>
    </w:p>
    <w:sectPr w:rsidR="009410A1" w:rsidRPr="00DA01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DB98" w14:textId="77777777" w:rsidR="004D73DA" w:rsidRDefault="004D73DA" w:rsidP="00903ABD">
      <w:pPr>
        <w:spacing w:after="0" w:line="240" w:lineRule="auto"/>
      </w:pPr>
      <w:r>
        <w:separator/>
      </w:r>
    </w:p>
  </w:endnote>
  <w:endnote w:type="continuationSeparator" w:id="0">
    <w:p w14:paraId="2DA61EAA" w14:textId="77777777" w:rsidR="004D73DA" w:rsidRDefault="004D73DA" w:rsidP="0090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B72BC" w14:textId="62E6C4CC" w:rsidR="00903ABD" w:rsidRDefault="00903AB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D73DA">
      <w:rPr>
        <w:caps/>
        <w:noProof/>
        <w:color w:val="5B9BD5" w:themeColor="accent1"/>
      </w:rPr>
      <w:t>1</w:t>
    </w:r>
    <w:r>
      <w:rPr>
        <w:caps/>
        <w:noProof/>
        <w:color w:val="5B9BD5" w:themeColor="accent1"/>
      </w:rPr>
      <w:fldChar w:fldCharType="end"/>
    </w:r>
  </w:p>
  <w:p w14:paraId="2C5D874A" w14:textId="77777777" w:rsidR="00903ABD" w:rsidRDefault="0090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E4FAD" w14:textId="77777777" w:rsidR="004D73DA" w:rsidRDefault="004D73DA" w:rsidP="00903ABD">
      <w:pPr>
        <w:spacing w:after="0" w:line="240" w:lineRule="auto"/>
      </w:pPr>
      <w:r>
        <w:separator/>
      </w:r>
    </w:p>
  </w:footnote>
  <w:footnote w:type="continuationSeparator" w:id="0">
    <w:p w14:paraId="225F0CBF" w14:textId="77777777" w:rsidR="004D73DA" w:rsidRDefault="004D73DA" w:rsidP="0090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305D"/>
    <w:multiLevelType w:val="hybridMultilevel"/>
    <w:tmpl w:val="4F32A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53"/>
    <w:rsid w:val="000024B1"/>
    <w:rsid w:val="00004914"/>
    <w:rsid w:val="00033878"/>
    <w:rsid w:val="00045528"/>
    <w:rsid w:val="00083CB9"/>
    <w:rsid w:val="00093D5A"/>
    <w:rsid w:val="00096F20"/>
    <w:rsid w:val="000B4580"/>
    <w:rsid w:val="000C0F1B"/>
    <w:rsid w:val="000E22F1"/>
    <w:rsid w:val="000E5361"/>
    <w:rsid w:val="000F00E1"/>
    <w:rsid w:val="00100C43"/>
    <w:rsid w:val="00111ECD"/>
    <w:rsid w:val="00125C58"/>
    <w:rsid w:val="00133394"/>
    <w:rsid w:val="0013754A"/>
    <w:rsid w:val="00141BBE"/>
    <w:rsid w:val="00174AD7"/>
    <w:rsid w:val="00185911"/>
    <w:rsid w:val="001A7777"/>
    <w:rsid w:val="001E6160"/>
    <w:rsid w:val="001F26A8"/>
    <w:rsid w:val="00217B3F"/>
    <w:rsid w:val="00257302"/>
    <w:rsid w:val="0025769E"/>
    <w:rsid w:val="00267C5F"/>
    <w:rsid w:val="0027610E"/>
    <w:rsid w:val="00281B72"/>
    <w:rsid w:val="002C5A01"/>
    <w:rsid w:val="002D0AAF"/>
    <w:rsid w:val="002E7322"/>
    <w:rsid w:val="003249B3"/>
    <w:rsid w:val="00326212"/>
    <w:rsid w:val="00360799"/>
    <w:rsid w:val="00370159"/>
    <w:rsid w:val="003B789E"/>
    <w:rsid w:val="003C27F2"/>
    <w:rsid w:val="003E779D"/>
    <w:rsid w:val="00401E20"/>
    <w:rsid w:val="00404065"/>
    <w:rsid w:val="00407B88"/>
    <w:rsid w:val="00422A71"/>
    <w:rsid w:val="004451AE"/>
    <w:rsid w:val="00447EBC"/>
    <w:rsid w:val="0047484B"/>
    <w:rsid w:val="004979D3"/>
    <w:rsid w:val="004B092C"/>
    <w:rsid w:val="004D3249"/>
    <w:rsid w:val="004D73DA"/>
    <w:rsid w:val="004E6524"/>
    <w:rsid w:val="004F3CDF"/>
    <w:rsid w:val="004F7BEF"/>
    <w:rsid w:val="00516A75"/>
    <w:rsid w:val="005214D5"/>
    <w:rsid w:val="00533F97"/>
    <w:rsid w:val="00534D8B"/>
    <w:rsid w:val="005357BB"/>
    <w:rsid w:val="0053663A"/>
    <w:rsid w:val="005610E5"/>
    <w:rsid w:val="005655A2"/>
    <w:rsid w:val="00593DFD"/>
    <w:rsid w:val="005A4973"/>
    <w:rsid w:val="005B244D"/>
    <w:rsid w:val="005D32CD"/>
    <w:rsid w:val="005F0650"/>
    <w:rsid w:val="00637E9E"/>
    <w:rsid w:val="00650B42"/>
    <w:rsid w:val="00665335"/>
    <w:rsid w:val="006A4E5B"/>
    <w:rsid w:val="006B2618"/>
    <w:rsid w:val="006C75DE"/>
    <w:rsid w:val="006D69EE"/>
    <w:rsid w:val="006D74F7"/>
    <w:rsid w:val="006F5922"/>
    <w:rsid w:val="00706F9F"/>
    <w:rsid w:val="00720031"/>
    <w:rsid w:val="00740B1F"/>
    <w:rsid w:val="00741938"/>
    <w:rsid w:val="007551D4"/>
    <w:rsid w:val="00764C95"/>
    <w:rsid w:val="00767DA0"/>
    <w:rsid w:val="0077695B"/>
    <w:rsid w:val="0079673B"/>
    <w:rsid w:val="007D20A3"/>
    <w:rsid w:val="008016BA"/>
    <w:rsid w:val="00837E17"/>
    <w:rsid w:val="0084072E"/>
    <w:rsid w:val="00866DB7"/>
    <w:rsid w:val="0087240C"/>
    <w:rsid w:val="00876BE0"/>
    <w:rsid w:val="00885293"/>
    <w:rsid w:val="008A0692"/>
    <w:rsid w:val="008A7DC2"/>
    <w:rsid w:val="00900E79"/>
    <w:rsid w:val="00903546"/>
    <w:rsid w:val="00903ABD"/>
    <w:rsid w:val="00907556"/>
    <w:rsid w:val="00922ED1"/>
    <w:rsid w:val="009238E4"/>
    <w:rsid w:val="0092409B"/>
    <w:rsid w:val="0092477F"/>
    <w:rsid w:val="00931CEC"/>
    <w:rsid w:val="00932A1F"/>
    <w:rsid w:val="009410A1"/>
    <w:rsid w:val="009561A6"/>
    <w:rsid w:val="009563DA"/>
    <w:rsid w:val="009619F9"/>
    <w:rsid w:val="00971D57"/>
    <w:rsid w:val="009726D2"/>
    <w:rsid w:val="00977FCD"/>
    <w:rsid w:val="009B2D6F"/>
    <w:rsid w:val="00A13DF0"/>
    <w:rsid w:val="00A6230D"/>
    <w:rsid w:val="00A7268E"/>
    <w:rsid w:val="00A76C53"/>
    <w:rsid w:val="00A77E94"/>
    <w:rsid w:val="00A77F45"/>
    <w:rsid w:val="00A90988"/>
    <w:rsid w:val="00A924EB"/>
    <w:rsid w:val="00A93793"/>
    <w:rsid w:val="00A95F15"/>
    <w:rsid w:val="00AB58B6"/>
    <w:rsid w:val="00AC5BA4"/>
    <w:rsid w:val="00AE7D18"/>
    <w:rsid w:val="00B24E30"/>
    <w:rsid w:val="00B2543D"/>
    <w:rsid w:val="00B34499"/>
    <w:rsid w:val="00B554BF"/>
    <w:rsid w:val="00B60712"/>
    <w:rsid w:val="00B60763"/>
    <w:rsid w:val="00B85E05"/>
    <w:rsid w:val="00B85FBC"/>
    <w:rsid w:val="00BB232A"/>
    <w:rsid w:val="00BC2A3C"/>
    <w:rsid w:val="00BD06DE"/>
    <w:rsid w:val="00BF7D91"/>
    <w:rsid w:val="00C071BB"/>
    <w:rsid w:val="00C12B7C"/>
    <w:rsid w:val="00C160CC"/>
    <w:rsid w:val="00C177D6"/>
    <w:rsid w:val="00C339BB"/>
    <w:rsid w:val="00C406AD"/>
    <w:rsid w:val="00C47E12"/>
    <w:rsid w:val="00C52B39"/>
    <w:rsid w:val="00C67BEB"/>
    <w:rsid w:val="00C71D19"/>
    <w:rsid w:val="00C74AC0"/>
    <w:rsid w:val="00C85CD6"/>
    <w:rsid w:val="00CB55D1"/>
    <w:rsid w:val="00CC3D5A"/>
    <w:rsid w:val="00CE07EF"/>
    <w:rsid w:val="00D55AF3"/>
    <w:rsid w:val="00D572FC"/>
    <w:rsid w:val="00D63577"/>
    <w:rsid w:val="00D73A0B"/>
    <w:rsid w:val="00D7546D"/>
    <w:rsid w:val="00D96A43"/>
    <w:rsid w:val="00D96AEC"/>
    <w:rsid w:val="00DA019E"/>
    <w:rsid w:val="00DA20B0"/>
    <w:rsid w:val="00DA3FDD"/>
    <w:rsid w:val="00DA72BD"/>
    <w:rsid w:val="00DC7A11"/>
    <w:rsid w:val="00E15831"/>
    <w:rsid w:val="00E31DB3"/>
    <w:rsid w:val="00E41BF5"/>
    <w:rsid w:val="00E95A53"/>
    <w:rsid w:val="00E96B60"/>
    <w:rsid w:val="00EA1D32"/>
    <w:rsid w:val="00EC73BB"/>
    <w:rsid w:val="00EE22D0"/>
    <w:rsid w:val="00F025F9"/>
    <w:rsid w:val="00F8783F"/>
    <w:rsid w:val="00FB42C0"/>
    <w:rsid w:val="00FB79DD"/>
    <w:rsid w:val="00FD5073"/>
    <w:rsid w:val="00FD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E54B"/>
  <w15:chartTrackingRefBased/>
  <w15:docId w15:val="{06210297-E6CD-442B-8DB8-1F50477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ABD"/>
  </w:style>
  <w:style w:type="paragraph" w:styleId="Footer">
    <w:name w:val="footer"/>
    <w:basedOn w:val="Normal"/>
    <w:link w:val="FooterChar"/>
    <w:uiPriority w:val="99"/>
    <w:unhideWhenUsed/>
    <w:rsid w:val="0090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ABD"/>
  </w:style>
  <w:style w:type="character" w:styleId="Hyperlink">
    <w:name w:val="Hyperlink"/>
    <w:basedOn w:val="DefaultParagraphFont"/>
    <w:uiPriority w:val="99"/>
    <w:unhideWhenUsed/>
    <w:rsid w:val="009410A1"/>
    <w:rPr>
      <w:color w:val="0563C1" w:themeColor="hyperlink"/>
      <w:u w:val="single"/>
    </w:rPr>
  </w:style>
  <w:style w:type="paragraph" w:styleId="ListParagraph">
    <w:name w:val="List Paragraph"/>
    <w:basedOn w:val="Normal"/>
    <w:uiPriority w:val="34"/>
    <w:qFormat/>
    <w:rsid w:val="00E41BF5"/>
    <w:pPr>
      <w:ind w:left="720"/>
      <w:contextualSpacing/>
    </w:pPr>
  </w:style>
  <w:style w:type="character" w:styleId="CommentReference">
    <w:name w:val="annotation reference"/>
    <w:basedOn w:val="DefaultParagraphFont"/>
    <w:uiPriority w:val="99"/>
    <w:semiHidden/>
    <w:unhideWhenUsed/>
    <w:rsid w:val="00174AD7"/>
    <w:rPr>
      <w:sz w:val="16"/>
      <w:szCs w:val="16"/>
    </w:rPr>
  </w:style>
  <w:style w:type="paragraph" w:styleId="CommentText">
    <w:name w:val="annotation text"/>
    <w:basedOn w:val="Normal"/>
    <w:link w:val="CommentTextChar"/>
    <w:uiPriority w:val="99"/>
    <w:semiHidden/>
    <w:unhideWhenUsed/>
    <w:rsid w:val="00174AD7"/>
    <w:pPr>
      <w:spacing w:line="240" w:lineRule="auto"/>
    </w:pPr>
    <w:rPr>
      <w:sz w:val="20"/>
      <w:szCs w:val="20"/>
    </w:rPr>
  </w:style>
  <w:style w:type="character" w:customStyle="1" w:styleId="CommentTextChar">
    <w:name w:val="Comment Text Char"/>
    <w:basedOn w:val="DefaultParagraphFont"/>
    <w:link w:val="CommentText"/>
    <w:uiPriority w:val="99"/>
    <w:semiHidden/>
    <w:rsid w:val="00174AD7"/>
    <w:rPr>
      <w:sz w:val="20"/>
      <w:szCs w:val="20"/>
    </w:rPr>
  </w:style>
  <w:style w:type="paragraph" w:styleId="CommentSubject">
    <w:name w:val="annotation subject"/>
    <w:basedOn w:val="CommentText"/>
    <w:next w:val="CommentText"/>
    <w:link w:val="CommentSubjectChar"/>
    <w:uiPriority w:val="99"/>
    <w:semiHidden/>
    <w:unhideWhenUsed/>
    <w:rsid w:val="00174AD7"/>
    <w:rPr>
      <w:b/>
      <w:bCs/>
    </w:rPr>
  </w:style>
  <w:style w:type="character" w:customStyle="1" w:styleId="CommentSubjectChar">
    <w:name w:val="Comment Subject Char"/>
    <w:basedOn w:val="CommentTextChar"/>
    <w:link w:val="CommentSubject"/>
    <w:uiPriority w:val="99"/>
    <w:semiHidden/>
    <w:rsid w:val="00174AD7"/>
    <w:rPr>
      <w:b/>
      <w:bCs/>
      <w:sz w:val="20"/>
      <w:szCs w:val="20"/>
    </w:rPr>
  </w:style>
  <w:style w:type="paragraph" w:styleId="BalloonText">
    <w:name w:val="Balloon Text"/>
    <w:basedOn w:val="Normal"/>
    <w:link w:val="BalloonTextChar"/>
    <w:uiPriority w:val="99"/>
    <w:semiHidden/>
    <w:unhideWhenUsed/>
    <w:rsid w:val="0017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AD7"/>
    <w:rPr>
      <w:rFonts w:ascii="Segoe UI" w:hAnsi="Segoe UI" w:cs="Segoe UI"/>
      <w:sz w:val="18"/>
      <w:szCs w:val="18"/>
    </w:rPr>
  </w:style>
  <w:style w:type="paragraph" w:styleId="PlainText">
    <w:name w:val="Plain Text"/>
    <w:basedOn w:val="Normal"/>
    <w:link w:val="PlainTextChar"/>
    <w:uiPriority w:val="99"/>
    <w:semiHidden/>
    <w:unhideWhenUsed/>
    <w:rsid w:val="000B45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458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a.gov.uk/about-us/how-we-regulate/consent-forms/" TargetMode="External"/><Relationship Id="rId3" Type="http://schemas.openxmlformats.org/officeDocument/2006/relationships/settings" Target="settings.xml"/><Relationship Id="rId7" Type="http://schemas.openxmlformats.org/officeDocument/2006/relationships/hyperlink" Target="https://www.hfea.gov.uk/media/2793/2019-01-03-code-of-practice-9th-edition-v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fea.gov.uk/choose-a-clinic/consent-to-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 Lucy</dc:creator>
  <cp:keywords/>
  <dc:description/>
  <cp:lastModifiedBy>Frith, Lucy</cp:lastModifiedBy>
  <cp:revision>4</cp:revision>
  <dcterms:created xsi:type="dcterms:W3CDTF">2019-07-25T06:36:00Z</dcterms:created>
  <dcterms:modified xsi:type="dcterms:W3CDTF">2019-07-25T06:52:00Z</dcterms:modified>
</cp:coreProperties>
</file>