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627D" w14:textId="77777777" w:rsidR="002715B4" w:rsidRPr="00F37160" w:rsidRDefault="002715B4" w:rsidP="00712250">
      <w:pPr>
        <w:jc w:val="center"/>
        <w:rPr>
          <w:rFonts w:asciiTheme="minorHAnsi" w:hAnsiTheme="minorHAnsi"/>
          <w:b/>
          <w:sz w:val="32"/>
          <w:lang w:val="en-US"/>
        </w:rPr>
      </w:pPr>
    </w:p>
    <w:p w14:paraId="3B074162" w14:textId="77777777" w:rsidR="002715B4" w:rsidRPr="00F37160" w:rsidRDefault="002715B4" w:rsidP="00712250">
      <w:pPr>
        <w:jc w:val="center"/>
        <w:rPr>
          <w:rFonts w:asciiTheme="minorHAnsi" w:hAnsiTheme="minorHAnsi"/>
          <w:b/>
          <w:sz w:val="24"/>
        </w:rPr>
      </w:pPr>
    </w:p>
    <w:p w14:paraId="20641CA1" w14:textId="77777777" w:rsidR="00FD65BF" w:rsidRPr="00026AF4" w:rsidRDefault="007D608F" w:rsidP="00712250">
      <w:pPr>
        <w:jc w:val="center"/>
        <w:rPr>
          <w:rFonts w:asciiTheme="minorHAnsi" w:hAnsiTheme="minorHAnsi"/>
          <w:b/>
          <w:sz w:val="28"/>
          <w:lang w:val="en-US"/>
        </w:rPr>
      </w:pPr>
      <w:r w:rsidRPr="00026AF4">
        <w:rPr>
          <w:rFonts w:asciiTheme="minorHAnsi" w:hAnsiTheme="minorHAnsi"/>
          <w:b/>
          <w:sz w:val="28"/>
          <w:lang w:val="en-US"/>
        </w:rPr>
        <w:t xml:space="preserve">Natural history of </w:t>
      </w:r>
      <w:r w:rsidR="002715B4" w:rsidRPr="00026AF4">
        <w:rPr>
          <w:rFonts w:asciiTheme="minorHAnsi" w:hAnsiTheme="minorHAnsi"/>
          <w:b/>
          <w:sz w:val="28"/>
          <w:lang w:val="en-US"/>
        </w:rPr>
        <w:t xml:space="preserve">SPINK1 </w:t>
      </w:r>
      <w:proofErr w:type="spellStart"/>
      <w:r w:rsidR="002715B4" w:rsidRPr="00026AF4">
        <w:rPr>
          <w:rFonts w:asciiTheme="minorHAnsi" w:hAnsiTheme="minorHAnsi"/>
          <w:b/>
          <w:sz w:val="28"/>
          <w:lang w:val="en-US"/>
        </w:rPr>
        <w:t>germline</w:t>
      </w:r>
      <w:proofErr w:type="spellEnd"/>
      <w:r w:rsidR="002715B4" w:rsidRPr="00026AF4">
        <w:rPr>
          <w:rFonts w:asciiTheme="minorHAnsi" w:hAnsiTheme="minorHAnsi"/>
          <w:b/>
          <w:sz w:val="28"/>
          <w:lang w:val="en-US"/>
        </w:rPr>
        <w:t xml:space="preserve"> mutation related-</w:t>
      </w:r>
      <w:r w:rsidRPr="00026AF4">
        <w:rPr>
          <w:rFonts w:asciiTheme="minorHAnsi" w:hAnsiTheme="minorHAnsi"/>
          <w:b/>
          <w:sz w:val="28"/>
          <w:lang w:val="en-US"/>
        </w:rPr>
        <w:t xml:space="preserve">pancreatitis </w:t>
      </w:r>
    </w:p>
    <w:p w14:paraId="3BAAFFAA" w14:textId="77777777" w:rsidR="007D608F" w:rsidRPr="00026AF4" w:rsidRDefault="007D608F" w:rsidP="00712250">
      <w:pPr>
        <w:rPr>
          <w:rFonts w:asciiTheme="minorHAnsi" w:hAnsiTheme="minorHAnsi"/>
          <w:lang w:val="en-US"/>
        </w:rPr>
      </w:pPr>
    </w:p>
    <w:p w14:paraId="2A1EF8EC" w14:textId="77777777" w:rsidR="002715B4" w:rsidRPr="00026AF4" w:rsidRDefault="002715B4" w:rsidP="00712250">
      <w:pPr>
        <w:rPr>
          <w:rFonts w:asciiTheme="minorHAnsi" w:hAnsiTheme="minorHAnsi"/>
          <w:lang w:val="en-US"/>
        </w:rPr>
      </w:pPr>
    </w:p>
    <w:p w14:paraId="01403940" w14:textId="77777777" w:rsidR="002715B4" w:rsidRPr="00026AF4" w:rsidRDefault="002715B4" w:rsidP="00712250">
      <w:pPr>
        <w:jc w:val="both"/>
        <w:rPr>
          <w:rFonts w:asciiTheme="minorHAnsi" w:hAnsiTheme="minorHAnsi"/>
          <w:lang w:val="en-US"/>
        </w:rPr>
      </w:pPr>
    </w:p>
    <w:p w14:paraId="17E0F29E" w14:textId="46566F0A" w:rsidR="00712250" w:rsidRPr="00026AF4" w:rsidRDefault="002D70A1" w:rsidP="00712250">
      <w:pPr>
        <w:jc w:val="both"/>
        <w:rPr>
          <w:rFonts w:asciiTheme="minorHAnsi" w:hAnsiTheme="minorHAnsi"/>
          <w:lang w:val="en-US"/>
        </w:rPr>
      </w:pPr>
      <w:r w:rsidRPr="00026AF4">
        <w:rPr>
          <w:rFonts w:asciiTheme="minorHAnsi" w:hAnsiTheme="minorHAnsi"/>
          <w:lang w:val="en-US"/>
        </w:rPr>
        <w:t xml:space="preserve">Nelly </w:t>
      </w:r>
      <w:r w:rsidR="00FC165D" w:rsidRPr="00026AF4">
        <w:rPr>
          <w:rFonts w:asciiTheme="minorHAnsi" w:hAnsiTheme="minorHAnsi"/>
          <w:lang w:val="en-US"/>
        </w:rPr>
        <w:t>Muller</w:t>
      </w:r>
      <w:r w:rsidR="00977C23" w:rsidRPr="00026AF4">
        <w:rPr>
          <w:rFonts w:asciiTheme="minorHAnsi" w:hAnsiTheme="minorHAnsi"/>
          <w:lang w:val="en-US"/>
        </w:rPr>
        <w:t>*</w:t>
      </w:r>
      <w:r w:rsidR="00712250" w:rsidRPr="00026AF4">
        <w:rPr>
          <w:rFonts w:asciiTheme="minorHAnsi" w:hAnsiTheme="minorHAnsi"/>
          <w:lang w:val="en-US"/>
        </w:rPr>
        <w:t>, MD</w:t>
      </w:r>
      <w:r w:rsidR="00FC165D" w:rsidRPr="00026AF4">
        <w:rPr>
          <w:rFonts w:asciiTheme="minorHAnsi" w:hAnsiTheme="minorHAnsi"/>
          <w:lang w:val="en-US"/>
        </w:rPr>
        <w:t xml:space="preserve"> (1)</w:t>
      </w:r>
      <w:r w:rsidR="00977C23" w:rsidRPr="00026AF4">
        <w:rPr>
          <w:rFonts w:asciiTheme="minorHAnsi" w:hAnsiTheme="minorHAnsi"/>
          <w:lang w:val="en-US"/>
        </w:rPr>
        <w:t>;</w:t>
      </w:r>
      <w:r w:rsidR="00FC165D" w:rsidRPr="00026AF4">
        <w:rPr>
          <w:rFonts w:asciiTheme="minorHAnsi" w:hAnsiTheme="minorHAnsi"/>
          <w:lang w:val="en-US"/>
        </w:rPr>
        <w:t xml:space="preserve"> </w:t>
      </w:r>
      <w:proofErr w:type="spellStart"/>
      <w:r w:rsidR="00977C23" w:rsidRPr="00026AF4">
        <w:rPr>
          <w:rFonts w:asciiTheme="minorHAnsi" w:hAnsiTheme="minorHAnsi"/>
          <w:lang w:val="en-US"/>
        </w:rPr>
        <w:t>Ioannis</w:t>
      </w:r>
      <w:proofErr w:type="spellEnd"/>
      <w:r w:rsidR="00977C23" w:rsidRPr="00026AF4">
        <w:rPr>
          <w:rFonts w:asciiTheme="minorHAnsi" w:hAnsiTheme="minorHAnsi"/>
          <w:lang w:val="en-US"/>
        </w:rPr>
        <w:t xml:space="preserve"> </w:t>
      </w:r>
      <w:proofErr w:type="spellStart"/>
      <w:r w:rsidR="00977C23" w:rsidRPr="00026AF4">
        <w:rPr>
          <w:rFonts w:asciiTheme="minorHAnsi" w:hAnsiTheme="minorHAnsi"/>
          <w:lang w:val="en-US"/>
        </w:rPr>
        <w:t>Sarantitis</w:t>
      </w:r>
      <w:proofErr w:type="spellEnd"/>
      <w:r w:rsidR="00977C23" w:rsidRPr="00026AF4">
        <w:rPr>
          <w:rFonts w:asciiTheme="minorHAnsi" w:hAnsiTheme="minorHAnsi"/>
          <w:lang w:val="en-US"/>
        </w:rPr>
        <w:t xml:space="preserve">* (2); </w:t>
      </w:r>
      <w:r w:rsidR="00FC165D" w:rsidRPr="00026AF4">
        <w:rPr>
          <w:rFonts w:asciiTheme="minorHAnsi" w:hAnsiTheme="minorHAnsi"/>
          <w:lang w:val="en-US"/>
        </w:rPr>
        <w:t xml:space="preserve">Marie </w:t>
      </w:r>
      <w:proofErr w:type="spellStart"/>
      <w:r w:rsidR="00FC165D" w:rsidRPr="00026AF4">
        <w:rPr>
          <w:rFonts w:asciiTheme="minorHAnsi" w:hAnsiTheme="minorHAnsi"/>
          <w:lang w:val="en-US"/>
        </w:rPr>
        <w:t>Rouanet</w:t>
      </w:r>
      <w:proofErr w:type="spellEnd"/>
      <w:r w:rsidR="00712250" w:rsidRPr="00026AF4">
        <w:rPr>
          <w:rFonts w:asciiTheme="minorHAnsi" w:hAnsiTheme="minorHAnsi"/>
          <w:lang w:val="en-US"/>
        </w:rPr>
        <w:t>, MD</w:t>
      </w:r>
      <w:r w:rsidR="002715B4" w:rsidRPr="00026AF4">
        <w:rPr>
          <w:rFonts w:asciiTheme="minorHAnsi" w:hAnsiTheme="minorHAnsi"/>
          <w:lang w:val="en-US"/>
        </w:rPr>
        <w:t xml:space="preserve"> (3)</w:t>
      </w:r>
      <w:r w:rsidR="00977C23" w:rsidRPr="00026AF4">
        <w:rPr>
          <w:rFonts w:asciiTheme="minorHAnsi" w:hAnsiTheme="minorHAnsi"/>
          <w:lang w:val="en-US"/>
        </w:rPr>
        <w:t>;</w:t>
      </w:r>
      <w:r w:rsidR="00FC165D" w:rsidRPr="00026AF4">
        <w:rPr>
          <w:rFonts w:asciiTheme="minorHAnsi" w:hAnsiTheme="minorHAnsi"/>
          <w:lang w:val="en-US"/>
        </w:rPr>
        <w:t xml:space="preserve"> Louis de </w:t>
      </w:r>
      <w:proofErr w:type="spellStart"/>
      <w:r w:rsidR="00FC165D" w:rsidRPr="00026AF4">
        <w:rPr>
          <w:rFonts w:asciiTheme="minorHAnsi" w:hAnsiTheme="minorHAnsi"/>
          <w:lang w:val="en-US"/>
        </w:rPr>
        <w:t>Mestier</w:t>
      </w:r>
      <w:proofErr w:type="spellEnd"/>
      <w:r w:rsidR="00712250" w:rsidRPr="00026AF4">
        <w:rPr>
          <w:rFonts w:asciiTheme="minorHAnsi" w:hAnsiTheme="minorHAnsi"/>
          <w:lang w:val="en-US"/>
        </w:rPr>
        <w:t>, MD</w:t>
      </w:r>
      <w:r w:rsidR="00FC165D" w:rsidRPr="00026AF4">
        <w:rPr>
          <w:rFonts w:asciiTheme="minorHAnsi" w:hAnsiTheme="minorHAnsi"/>
          <w:lang w:val="en-US"/>
        </w:rPr>
        <w:t xml:space="preserve"> (1)</w:t>
      </w:r>
      <w:r w:rsidR="00977C23" w:rsidRPr="00026AF4">
        <w:rPr>
          <w:rFonts w:asciiTheme="minorHAnsi" w:hAnsiTheme="minorHAnsi"/>
          <w:lang w:val="en-US"/>
        </w:rPr>
        <w:t>;</w:t>
      </w:r>
      <w:r w:rsidR="00FC165D" w:rsidRPr="00026AF4">
        <w:rPr>
          <w:rFonts w:asciiTheme="minorHAnsi" w:hAnsiTheme="minorHAnsi"/>
          <w:lang w:val="en-US"/>
        </w:rPr>
        <w:t xml:space="preserve"> Chris</w:t>
      </w:r>
      <w:r w:rsidR="002715B4" w:rsidRPr="00026AF4">
        <w:rPr>
          <w:rFonts w:asciiTheme="minorHAnsi" w:hAnsiTheme="minorHAnsi"/>
          <w:lang w:val="en-US"/>
        </w:rPr>
        <w:t>topher H</w:t>
      </w:r>
      <w:r w:rsidRPr="00026AF4">
        <w:rPr>
          <w:rFonts w:asciiTheme="minorHAnsi" w:hAnsiTheme="minorHAnsi"/>
          <w:lang w:val="en-US"/>
        </w:rPr>
        <w:t>a</w:t>
      </w:r>
      <w:r w:rsidR="002715B4" w:rsidRPr="00026AF4">
        <w:rPr>
          <w:rFonts w:asciiTheme="minorHAnsi" w:hAnsiTheme="minorHAnsi"/>
          <w:lang w:val="en-US"/>
        </w:rPr>
        <w:t>lloran</w:t>
      </w:r>
      <w:r w:rsidR="00FF0F42" w:rsidRPr="00026AF4">
        <w:rPr>
          <w:rFonts w:asciiTheme="minorHAnsi" w:hAnsiTheme="minorHAnsi"/>
          <w:lang w:val="en-US"/>
        </w:rPr>
        <w:t>, MD</w:t>
      </w:r>
      <w:r w:rsidR="002715B4" w:rsidRPr="00026AF4">
        <w:rPr>
          <w:rFonts w:asciiTheme="minorHAnsi" w:hAnsiTheme="minorHAnsi"/>
          <w:lang w:val="en-US"/>
        </w:rPr>
        <w:t xml:space="preserve"> (</w:t>
      </w:r>
      <w:r w:rsidR="00977C23" w:rsidRPr="00026AF4">
        <w:rPr>
          <w:rFonts w:asciiTheme="minorHAnsi" w:hAnsiTheme="minorHAnsi"/>
          <w:lang w:val="en-US"/>
        </w:rPr>
        <w:t>2</w:t>
      </w:r>
      <w:r w:rsidR="002715B4" w:rsidRPr="00026AF4">
        <w:rPr>
          <w:rFonts w:asciiTheme="minorHAnsi" w:hAnsiTheme="minorHAnsi"/>
          <w:lang w:val="en-US"/>
        </w:rPr>
        <w:t>)</w:t>
      </w:r>
      <w:r w:rsidR="00977C23" w:rsidRPr="00026AF4">
        <w:rPr>
          <w:rFonts w:asciiTheme="minorHAnsi" w:hAnsiTheme="minorHAnsi"/>
          <w:lang w:val="en-US"/>
        </w:rPr>
        <w:t>;</w:t>
      </w:r>
      <w:r w:rsidR="00FC165D" w:rsidRPr="00026AF4">
        <w:rPr>
          <w:rFonts w:asciiTheme="minorHAnsi" w:hAnsiTheme="minorHAnsi"/>
          <w:lang w:val="en-US"/>
        </w:rPr>
        <w:t xml:space="preserve"> </w:t>
      </w:r>
      <w:r w:rsidR="002715B4" w:rsidRPr="00026AF4">
        <w:rPr>
          <w:rFonts w:asciiTheme="minorHAnsi" w:hAnsiTheme="minorHAnsi"/>
          <w:lang w:val="en-US"/>
        </w:rPr>
        <w:t xml:space="preserve">William </w:t>
      </w:r>
      <w:proofErr w:type="spellStart"/>
      <w:r w:rsidR="002715B4" w:rsidRPr="00026AF4">
        <w:rPr>
          <w:rFonts w:asciiTheme="minorHAnsi" w:hAnsiTheme="minorHAnsi"/>
          <w:lang w:val="en-US"/>
        </w:rPr>
        <w:t>Greenhalf</w:t>
      </w:r>
      <w:proofErr w:type="spellEnd"/>
      <w:r w:rsidR="00FF0F42" w:rsidRPr="00026AF4">
        <w:rPr>
          <w:rFonts w:asciiTheme="minorHAnsi" w:hAnsiTheme="minorHAnsi"/>
          <w:lang w:val="en-US"/>
        </w:rPr>
        <w:t>, PhD</w:t>
      </w:r>
      <w:r w:rsidR="002715B4" w:rsidRPr="00026AF4">
        <w:rPr>
          <w:rFonts w:asciiTheme="minorHAnsi" w:hAnsiTheme="minorHAnsi"/>
          <w:lang w:val="en-US"/>
        </w:rPr>
        <w:t xml:space="preserve"> (</w:t>
      </w:r>
      <w:r w:rsidR="00977C23" w:rsidRPr="00026AF4">
        <w:rPr>
          <w:rFonts w:asciiTheme="minorHAnsi" w:hAnsiTheme="minorHAnsi"/>
          <w:lang w:val="en-US"/>
        </w:rPr>
        <w:t>2</w:t>
      </w:r>
      <w:r w:rsidR="002715B4" w:rsidRPr="00026AF4">
        <w:rPr>
          <w:rFonts w:asciiTheme="minorHAnsi" w:hAnsiTheme="minorHAnsi"/>
          <w:lang w:val="en-US"/>
        </w:rPr>
        <w:t>)</w:t>
      </w:r>
      <w:r w:rsidR="00977C23" w:rsidRPr="00026AF4">
        <w:rPr>
          <w:rFonts w:asciiTheme="minorHAnsi" w:hAnsiTheme="minorHAnsi"/>
          <w:lang w:val="en-US"/>
        </w:rPr>
        <w:t>;</w:t>
      </w:r>
      <w:r w:rsidR="00FC165D" w:rsidRPr="00026AF4">
        <w:rPr>
          <w:rFonts w:asciiTheme="minorHAnsi" w:hAnsiTheme="minorHAnsi"/>
          <w:lang w:val="en-US"/>
        </w:rPr>
        <w:t xml:space="preserve"> </w:t>
      </w:r>
      <w:r w:rsidR="002715B4" w:rsidRPr="00026AF4">
        <w:rPr>
          <w:rFonts w:asciiTheme="minorHAnsi" w:hAnsiTheme="minorHAnsi"/>
          <w:lang w:val="en-US"/>
        </w:rPr>
        <w:t xml:space="preserve">Claude </w:t>
      </w:r>
      <w:proofErr w:type="spellStart"/>
      <w:r w:rsidR="002715B4" w:rsidRPr="00026AF4">
        <w:rPr>
          <w:rFonts w:asciiTheme="minorHAnsi" w:hAnsiTheme="minorHAnsi"/>
          <w:lang w:val="en-US"/>
        </w:rPr>
        <w:t>Férec</w:t>
      </w:r>
      <w:proofErr w:type="spellEnd"/>
      <w:r w:rsidR="00977C23" w:rsidRPr="00026AF4">
        <w:rPr>
          <w:rFonts w:asciiTheme="minorHAnsi" w:hAnsiTheme="minorHAnsi"/>
          <w:lang w:val="en-US"/>
        </w:rPr>
        <w:t>, MD PhD</w:t>
      </w:r>
      <w:r w:rsidR="002715B4" w:rsidRPr="00026AF4">
        <w:rPr>
          <w:rFonts w:asciiTheme="minorHAnsi" w:hAnsiTheme="minorHAnsi"/>
          <w:lang w:val="en-US"/>
        </w:rPr>
        <w:t xml:space="preserve"> (4)</w:t>
      </w:r>
      <w:r w:rsidR="00977C23" w:rsidRPr="00026AF4">
        <w:rPr>
          <w:rFonts w:asciiTheme="minorHAnsi" w:hAnsiTheme="minorHAnsi"/>
          <w:lang w:val="en-US"/>
        </w:rPr>
        <w:t>;</w:t>
      </w:r>
      <w:r w:rsidR="002715B4" w:rsidRPr="00026AF4">
        <w:rPr>
          <w:rFonts w:asciiTheme="minorHAnsi" w:hAnsiTheme="minorHAnsi"/>
          <w:lang w:val="en-US"/>
        </w:rPr>
        <w:t xml:space="preserve"> </w:t>
      </w:r>
      <w:r w:rsidR="00BA4F6C" w:rsidRPr="00026AF4">
        <w:rPr>
          <w:rFonts w:asciiTheme="minorHAnsi" w:hAnsiTheme="minorHAnsi"/>
          <w:lang w:val="en-US"/>
        </w:rPr>
        <w:t xml:space="preserve">Emmanuelle Masson, PhD (4); </w:t>
      </w:r>
      <w:r w:rsidR="002715B4" w:rsidRPr="00026AF4">
        <w:rPr>
          <w:rFonts w:asciiTheme="minorHAnsi" w:hAnsiTheme="minorHAnsi"/>
          <w:lang w:val="en-US"/>
        </w:rPr>
        <w:t xml:space="preserve">Philippe </w:t>
      </w:r>
      <w:proofErr w:type="spellStart"/>
      <w:r w:rsidR="002715B4" w:rsidRPr="00026AF4">
        <w:rPr>
          <w:rFonts w:asciiTheme="minorHAnsi" w:hAnsiTheme="minorHAnsi"/>
          <w:lang w:val="en-US"/>
        </w:rPr>
        <w:t>Ruszniewski</w:t>
      </w:r>
      <w:proofErr w:type="spellEnd"/>
      <w:r w:rsidR="00712250" w:rsidRPr="00026AF4">
        <w:rPr>
          <w:rFonts w:asciiTheme="minorHAnsi" w:hAnsiTheme="minorHAnsi"/>
          <w:lang w:val="en-US"/>
        </w:rPr>
        <w:t>, MD</w:t>
      </w:r>
      <w:r w:rsidR="002715B4" w:rsidRPr="00026AF4">
        <w:rPr>
          <w:rFonts w:asciiTheme="minorHAnsi" w:hAnsiTheme="minorHAnsi"/>
          <w:lang w:val="en-US"/>
        </w:rPr>
        <w:t xml:space="preserve"> (1)</w:t>
      </w:r>
      <w:r w:rsidR="00977C23" w:rsidRPr="00026AF4">
        <w:rPr>
          <w:rFonts w:asciiTheme="minorHAnsi" w:hAnsiTheme="minorHAnsi"/>
          <w:lang w:val="en-US"/>
        </w:rPr>
        <w:t>;</w:t>
      </w:r>
      <w:r w:rsidR="00FC165D" w:rsidRPr="00026AF4">
        <w:rPr>
          <w:rFonts w:asciiTheme="minorHAnsi" w:hAnsiTheme="minorHAnsi"/>
          <w:lang w:val="en-US"/>
        </w:rPr>
        <w:t xml:space="preserve"> </w:t>
      </w:r>
      <w:r w:rsidR="002715B4" w:rsidRPr="00026AF4">
        <w:rPr>
          <w:rFonts w:asciiTheme="minorHAnsi" w:hAnsiTheme="minorHAnsi"/>
          <w:lang w:val="en-US"/>
        </w:rPr>
        <w:t xml:space="preserve">Philippe </w:t>
      </w:r>
      <w:proofErr w:type="spellStart"/>
      <w:r w:rsidR="002715B4" w:rsidRPr="00026AF4">
        <w:rPr>
          <w:rFonts w:asciiTheme="minorHAnsi" w:hAnsiTheme="minorHAnsi"/>
          <w:lang w:val="en-US"/>
        </w:rPr>
        <w:t>Lévy</w:t>
      </w:r>
      <w:proofErr w:type="spellEnd"/>
      <w:r w:rsidR="00712250" w:rsidRPr="00026AF4">
        <w:rPr>
          <w:rFonts w:asciiTheme="minorHAnsi" w:hAnsiTheme="minorHAnsi"/>
          <w:lang w:val="en-US"/>
        </w:rPr>
        <w:t>, MD</w:t>
      </w:r>
      <w:r w:rsidR="002715B4" w:rsidRPr="00026AF4">
        <w:rPr>
          <w:rFonts w:asciiTheme="minorHAnsi" w:hAnsiTheme="minorHAnsi"/>
          <w:lang w:val="en-US"/>
        </w:rPr>
        <w:t xml:space="preserve"> (1)</w:t>
      </w:r>
      <w:r w:rsidR="00977C23" w:rsidRPr="00026AF4">
        <w:rPr>
          <w:rFonts w:asciiTheme="minorHAnsi" w:hAnsiTheme="minorHAnsi"/>
          <w:lang w:val="en-US"/>
        </w:rPr>
        <w:t>;</w:t>
      </w:r>
      <w:r w:rsidR="00FC165D" w:rsidRPr="00026AF4">
        <w:rPr>
          <w:rFonts w:asciiTheme="minorHAnsi" w:hAnsiTheme="minorHAnsi"/>
          <w:lang w:val="en-US"/>
        </w:rPr>
        <w:t xml:space="preserve"> John </w:t>
      </w:r>
      <w:proofErr w:type="spellStart"/>
      <w:r w:rsidR="00FC165D" w:rsidRPr="00026AF4">
        <w:rPr>
          <w:rFonts w:asciiTheme="minorHAnsi" w:hAnsiTheme="minorHAnsi"/>
          <w:lang w:val="en-US"/>
        </w:rPr>
        <w:t>Neoptolemos</w:t>
      </w:r>
      <w:proofErr w:type="spellEnd"/>
      <w:r w:rsidR="00977C23" w:rsidRPr="00026AF4">
        <w:rPr>
          <w:rFonts w:asciiTheme="minorHAnsi" w:hAnsiTheme="minorHAnsi"/>
          <w:lang w:val="en-US"/>
        </w:rPr>
        <w:t>, MD PhD</w:t>
      </w:r>
      <w:r w:rsidR="002715B4" w:rsidRPr="00026AF4">
        <w:rPr>
          <w:rFonts w:asciiTheme="minorHAnsi" w:hAnsiTheme="minorHAnsi"/>
          <w:lang w:val="en-US"/>
        </w:rPr>
        <w:t xml:space="preserve"> (</w:t>
      </w:r>
      <w:r w:rsidR="00977C23" w:rsidRPr="00026AF4">
        <w:rPr>
          <w:rFonts w:asciiTheme="minorHAnsi" w:hAnsiTheme="minorHAnsi"/>
          <w:lang w:val="en-US"/>
        </w:rPr>
        <w:t>5</w:t>
      </w:r>
      <w:r w:rsidR="002715B4" w:rsidRPr="00026AF4">
        <w:rPr>
          <w:rFonts w:asciiTheme="minorHAnsi" w:hAnsiTheme="minorHAnsi"/>
          <w:lang w:val="en-US"/>
        </w:rPr>
        <w:t>)</w:t>
      </w:r>
      <w:r w:rsidR="00977C23" w:rsidRPr="00026AF4">
        <w:rPr>
          <w:rFonts w:asciiTheme="minorHAnsi" w:hAnsiTheme="minorHAnsi"/>
          <w:lang w:val="en-US"/>
        </w:rPr>
        <w:t>;</w:t>
      </w:r>
      <w:r w:rsidR="00FC165D" w:rsidRPr="00026AF4">
        <w:rPr>
          <w:rFonts w:asciiTheme="minorHAnsi" w:hAnsiTheme="minorHAnsi"/>
          <w:lang w:val="en-US"/>
        </w:rPr>
        <w:t xml:space="preserve"> Louis </w:t>
      </w:r>
      <w:proofErr w:type="spellStart"/>
      <w:r w:rsidR="00FC165D" w:rsidRPr="00026AF4">
        <w:rPr>
          <w:rFonts w:asciiTheme="minorHAnsi" w:hAnsiTheme="minorHAnsi"/>
          <w:lang w:val="en-US"/>
        </w:rPr>
        <w:t>Buscail</w:t>
      </w:r>
      <w:proofErr w:type="spellEnd"/>
      <w:r w:rsidR="002715B4" w:rsidRPr="00026AF4">
        <w:rPr>
          <w:rFonts w:asciiTheme="minorHAnsi" w:hAnsiTheme="minorHAnsi"/>
          <w:lang w:val="en-US"/>
        </w:rPr>
        <w:t xml:space="preserve"> </w:t>
      </w:r>
      <w:r w:rsidR="009F1538" w:rsidRPr="00026AF4">
        <w:rPr>
          <w:rFonts w:asciiTheme="minorHAnsi" w:hAnsiTheme="minorHAnsi"/>
          <w:lang w:val="en-US"/>
        </w:rPr>
        <w:t xml:space="preserve">MD PhD </w:t>
      </w:r>
      <w:r w:rsidR="002715B4" w:rsidRPr="00026AF4">
        <w:rPr>
          <w:rFonts w:asciiTheme="minorHAnsi" w:hAnsiTheme="minorHAnsi"/>
          <w:lang w:val="en-US"/>
        </w:rPr>
        <w:t>(</w:t>
      </w:r>
      <w:r w:rsidR="00977C23" w:rsidRPr="00026AF4">
        <w:rPr>
          <w:rFonts w:asciiTheme="minorHAnsi" w:hAnsiTheme="minorHAnsi"/>
          <w:lang w:val="en-US"/>
        </w:rPr>
        <w:t>3</w:t>
      </w:r>
      <w:r w:rsidR="002715B4" w:rsidRPr="00026AF4">
        <w:rPr>
          <w:rFonts w:asciiTheme="minorHAnsi" w:hAnsiTheme="minorHAnsi"/>
          <w:lang w:val="en-US"/>
        </w:rPr>
        <w:t>)</w:t>
      </w:r>
      <w:r w:rsidR="00977C23" w:rsidRPr="00026AF4">
        <w:rPr>
          <w:rFonts w:asciiTheme="minorHAnsi" w:hAnsiTheme="minorHAnsi"/>
          <w:lang w:val="en-US"/>
        </w:rPr>
        <w:t>;</w:t>
      </w:r>
      <w:r w:rsidR="00FC165D" w:rsidRPr="00026AF4">
        <w:rPr>
          <w:rFonts w:asciiTheme="minorHAnsi" w:hAnsiTheme="minorHAnsi"/>
          <w:lang w:val="en-US"/>
        </w:rPr>
        <w:t xml:space="preserve"> </w:t>
      </w:r>
      <w:proofErr w:type="spellStart"/>
      <w:r w:rsidRPr="00026AF4">
        <w:rPr>
          <w:rFonts w:asciiTheme="minorHAnsi" w:hAnsiTheme="minorHAnsi"/>
          <w:lang w:val="en-US"/>
        </w:rPr>
        <w:t>Vinciane</w:t>
      </w:r>
      <w:proofErr w:type="spellEnd"/>
      <w:r w:rsidRPr="00026AF4">
        <w:rPr>
          <w:rFonts w:asciiTheme="minorHAnsi" w:hAnsiTheme="minorHAnsi"/>
          <w:lang w:val="en-US"/>
        </w:rPr>
        <w:t xml:space="preserve"> </w:t>
      </w:r>
      <w:proofErr w:type="spellStart"/>
      <w:r w:rsidR="00FC165D" w:rsidRPr="00026AF4">
        <w:rPr>
          <w:rFonts w:asciiTheme="minorHAnsi" w:hAnsiTheme="minorHAnsi"/>
          <w:lang w:val="en-US"/>
        </w:rPr>
        <w:t>Rebours</w:t>
      </w:r>
      <w:proofErr w:type="spellEnd"/>
      <w:r w:rsidR="00712250" w:rsidRPr="00026AF4">
        <w:rPr>
          <w:rFonts w:asciiTheme="minorHAnsi" w:hAnsiTheme="minorHAnsi"/>
          <w:lang w:val="en-US"/>
        </w:rPr>
        <w:t>, MD PhD</w:t>
      </w:r>
      <w:r w:rsidR="00FC165D" w:rsidRPr="00026AF4">
        <w:rPr>
          <w:rFonts w:asciiTheme="minorHAnsi" w:hAnsiTheme="minorHAnsi"/>
          <w:lang w:val="en-US"/>
        </w:rPr>
        <w:t xml:space="preserve"> (1)</w:t>
      </w:r>
      <w:r w:rsidR="00977C23" w:rsidRPr="00026AF4">
        <w:rPr>
          <w:rFonts w:asciiTheme="minorHAnsi" w:hAnsiTheme="minorHAnsi"/>
          <w:lang w:val="en-US"/>
        </w:rPr>
        <w:t>.</w:t>
      </w:r>
    </w:p>
    <w:p w14:paraId="2BC84AE0" w14:textId="77777777" w:rsidR="00712250" w:rsidRPr="00026AF4" w:rsidRDefault="00712250" w:rsidP="00712250">
      <w:pPr>
        <w:jc w:val="both"/>
        <w:rPr>
          <w:rFonts w:asciiTheme="minorHAnsi" w:hAnsiTheme="minorHAnsi"/>
          <w:b/>
          <w:lang w:val="en-US"/>
        </w:rPr>
      </w:pPr>
    </w:p>
    <w:p w14:paraId="3DED508C" w14:textId="77777777" w:rsidR="007D608F" w:rsidRPr="00026AF4" w:rsidRDefault="00712250" w:rsidP="00712250">
      <w:pPr>
        <w:jc w:val="both"/>
        <w:rPr>
          <w:rFonts w:asciiTheme="minorHAnsi" w:hAnsiTheme="minorHAnsi"/>
          <w:lang w:val="en-US"/>
        </w:rPr>
      </w:pPr>
      <w:r w:rsidRPr="00026AF4">
        <w:rPr>
          <w:rFonts w:asciiTheme="minorHAnsi" w:hAnsiTheme="minorHAnsi"/>
          <w:lang w:val="en-US"/>
        </w:rPr>
        <w:t xml:space="preserve">1- </w:t>
      </w:r>
      <w:r w:rsidR="007D608F" w:rsidRPr="00026AF4">
        <w:rPr>
          <w:rFonts w:asciiTheme="minorHAnsi" w:hAnsiTheme="minorHAnsi"/>
          <w:lang w:val="en-US"/>
        </w:rPr>
        <w:t xml:space="preserve">Department of Gastroenterology and </w:t>
      </w:r>
      <w:proofErr w:type="spellStart"/>
      <w:r w:rsidR="007D608F" w:rsidRPr="00026AF4">
        <w:rPr>
          <w:rFonts w:asciiTheme="minorHAnsi" w:hAnsiTheme="minorHAnsi"/>
          <w:lang w:val="en-US"/>
        </w:rPr>
        <w:t>Pancreatology</w:t>
      </w:r>
      <w:proofErr w:type="spellEnd"/>
      <w:r w:rsidR="007D608F" w:rsidRPr="00026AF4">
        <w:rPr>
          <w:rFonts w:asciiTheme="minorHAnsi" w:hAnsiTheme="minorHAnsi"/>
          <w:lang w:val="en-US"/>
        </w:rPr>
        <w:t xml:space="preserve">, </w:t>
      </w:r>
      <w:proofErr w:type="spellStart"/>
      <w:r w:rsidR="007D608F" w:rsidRPr="00026AF4">
        <w:rPr>
          <w:rFonts w:asciiTheme="minorHAnsi" w:hAnsiTheme="minorHAnsi"/>
          <w:lang w:val="en-US"/>
        </w:rPr>
        <w:t>Beaujon</w:t>
      </w:r>
      <w:proofErr w:type="spellEnd"/>
      <w:r w:rsidR="007D608F" w:rsidRPr="00026AF4">
        <w:rPr>
          <w:rFonts w:asciiTheme="minorHAnsi" w:hAnsiTheme="minorHAnsi"/>
          <w:lang w:val="en-US"/>
        </w:rPr>
        <w:t xml:space="preserve"> Hospital</w:t>
      </w:r>
      <w:r w:rsidR="007D4949" w:rsidRPr="00026AF4">
        <w:rPr>
          <w:rFonts w:asciiTheme="minorHAnsi" w:hAnsiTheme="minorHAnsi"/>
          <w:lang w:val="en-US"/>
        </w:rPr>
        <w:t>,</w:t>
      </w:r>
      <w:r w:rsidR="00FF0F42" w:rsidRPr="00026AF4">
        <w:rPr>
          <w:rFonts w:asciiTheme="minorHAnsi" w:hAnsiTheme="minorHAnsi"/>
          <w:lang w:val="en-US"/>
        </w:rPr>
        <w:t xml:space="preserve"> </w:t>
      </w:r>
      <w:r w:rsidR="007D608F" w:rsidRPr="00026AF4">
        <w:rPr>
          <w:rFonts w:asciiTheme="minorHAnsi" w:hAnsiTheme="minorHAnsi"/>
          <w:lang w:val="en-US"/>
        </w:rPr>
        <w:t xml:space="preserve">APHP, Clichy, and Paris-Diderot </w:t>
      </w:r>
      <w:r w:rsidR="002715B4" w:rsidRPr="00026AF4">
        <w:rPr>
          <w:rFonts w:asciiTheme="minorHAnsi" w:hAnsiTheme="minorHAnsi"/>
          <w:lang w:val="en-US"/>
        </w:rPr>
        <w:t>University</w:t>
      </w:r>
      <w:r w:rsidR="007D608F" w:rsidRPr="00026AF4">
        <w:rPr>
          <w:rFonts w:asciiTheme="minorHAnsi" w:hAnsiTheme="minorHAnsi"/>
          <w:lang w:val="en-US"/>
        </w:rPr>
        <w:t>, Paris, France</w:t>
      </w:r>
    </w:p>
    <w:p w14:paraId="5437F2E5" w14:textId="77777777" w:rsidR="00712250" w:rsidRPr="00026AF4" w:rsidRDefault="00712250" w:rsidP="00712250">
      <w:pPr>
        <w:jc w:val="both"/>
        <w:rPr>
          <w:rFonts w:asciiTheme="minorHAnsi" w:hAnsiTheme="minorHAnsi"/>
          <w:lang w:val="en-US"/>
        </w:rPr>
      </w:pPr>
    </w:p>
    <w:p w14:paraId="016E303C" w14:textId="77777777" w:rsidR="002715B4" w:rsidRPr="00026AF4" w:rsidRDefault="002715B4" w:rsidP="00712250">
      <w:pPr>
        <w:jc w:val="both"/>
        <w:rPr>
          <w:rFonts w:asciiTheme="minorHAnsi" w:hAnsiTheme="minorHAnsi"/>
          <w:lang w:val="en-US"/>
        </w:rPr>
      </w:pPr>
      <w:r w:rsidRPr="00026AF4">
        <w:rPr>
          <w:rFonts w:asciiTheme="minorHAnsi" w:hAnsiTheme="minorHAnsi"/>
          <w:lang w:val="en-US"/>
        </w:rPr>
        <w:t>2-</w:t>
      </w:r>
      <w:r w:rsidR="009F1538" w:rsidRPr="00026AF4">
        <w:rPr>
          <w:rFonts w:asciiTheme="minorHAnsi" w:hAnsiTheme="minorHAnsi"/>
          <w:lang w:val="en-US"/>
        </w:rPr>
        <w:t xml:space="preserve"> </w:t>
      </w:r>
      <w:r w:rsidR="00977C23" w:rsidRPr="00026AF4">
        <w:rPr>
          <w:rFonts w:asciiTheme="minorHAnsi" w:hAnsiTheme="minorHAnsi"/>
          <w:lang w:val="en-US"/>
        </w:rPr>
        <w:t xml:space="preserve">Department of Molecular and Clinical Cancer Medicine, Institute of Translational Medicine, University of Liverpool, </w:t>
      </w:r>
      <w:r w:rsidR="00977C23" w:rsidRPr="00026AF4">
        <w:rPr>
          <w:color w:val="000000"/>
          <w:lang w:val="en-GB"/>
        </w:rPr>
        <w:t xml:space="preserve">Royal Liverpool University Hospital, </w:t>
      </w:r>
      <w:r w:rsidR="00977C23" w:rsidRPr="00026AF4">
        <w:rPr>
          <w:rFonts w:asciiTheme="minorHAnsi" w:hAnsiTheme="minorHAnsi"/>
          <w:lang w:val="en-US"/>
        </w:rPr>
        <w:t>Liverpool, England.</w:t>
      </w:r>
    </w:p>
    <w:p w14:paraId="7B3D16A1" w14:textId="77777777" w:rsidR="00712250" w:rsidRPr="00026AF4" w:rsidRDefault="00712250" w:rsidP="00712250">
      <w:pPr>
        <w:jc w:val="both"/>
        <w:rPr>
          <w:rFonts w:asciiTheme="minorHAnsi" w:hAnsiTheme="minorHAnsi"/>
          <w:lang w:val="en-US"/>
        </w:rPr>
      </w:pPr>
    </w:p>
    <w:p w14:paraId="719A1E77" w14:textId="77777777" w:rsidR="002715B4" w:rsidRPr="00026AF4" w:rsidRDefault="002715B4" w:rsidP="00712250">
      <w:pPr>
        <w:jc w:val="both"/>
        <w:rPr>
          <w:rFonts w:asciiTheme="minorHAnsi" w:hAnsiTheme="minorHAnsi"/>
          <w:lang w:val="en-US"/>
        </w:rPr>
      </w:pPr>
      <w:r w:rsidRPr="00026AF4">
        <w:rPr>
          <w:rFonts w:asciiTheme="minorHAnsi" w:hAnsiTheme="minorHAnsi"/>
          <w:lang w:val="en-US"/>
        </w:rPr>
        <w:t>3-</w:t>
      </w:r>
      <w:r w:rsidR="00B21695" w:rsidRPr="00026AF4">
        <w:rPr>
          <w:rFonts w:asciiTheme="minorHAnsi" w:hAnsiTheme="minorHAnsi"/>
          <w:lang w:val="en-US"/>
        </w:rPr>
        <w:t xml:space="preserve"> </w:t>
      </w:r>
      <w:r w:rsidR="00977C23" w:rsidRPr="00026AF4">
        <w:rPr>
          <w:rFonts w:asciiTheme="minorHAnsi" w:hAnsiTheme="minorHAnsi"/>
          <w:lang w:val="en-US"/>
        </w:rPr>
        <w:t xml:space="preserve">Department of Gastroenterology and </w:t>
      </w:r>
      <w:proofErr w:type="spellStart"/>
      <w:r w:rsidR="00977C23" w:rsidRPr="00026AF4">
        <w:rPr>
          <w:rFonts w:asciiTheme="minorHAnsi" w:hAnsiTheme="minorHAnsi"/>
          <w:lang w:val="en-US"/>
        </w:rPr>
        <w:t>Pancreatology</w:t>
      </w:r>
      <w:proofErr w:type="spellEnd"/>
      <w:r w:rsidR="00977C23" w:rsidRPr="00026AF4">
        <w:rPr>
          <w:rFonts w:asciiTheme="minorHAnsi" w:hAnsiTheme="minorHAnsi"/>
          <w:lang w:val="en-US"/>
        </w:rPr>
        <w:t xml:space="preserve">, INSERM U1037, University of Toulouse 3, CHU </w:t>
      </w:r>
      <w:proofErr w:type="spellStart"/>
      <w:r w:rsidR="00977C23" w:rsidRPr="00026AF4">
        <w:rPr>
          <w:rFonts w:asciiTheme="minorHAnsi" w:hAnsiTheme="minorHAnsi"/>
          <w:lang w:val="en-US"/>
        </w:rPr>
        <w:t>Rangueil</w:t>
      </w:r>
      <w:proofErr w:type="spellEnd"/>
      <w:r w:rsidR="00977C23" w:rsidRPr="00026AF4">
        <w:rPr>
          <w:rFonts w:asciiTheme="minorHAnsi" w:hAnsiTheme="minorHAnsi"/>
          <w:lang w:val="en-US"/>
        </w:rPr>
        <w:t>, Toulouse, France</w:t>
      </w:r>
    </w:p>
    <w:p w14:paraId="408FA9E6" w14:textId="77777777" w:rsidR="00712250" w:rsidRPr="00026AF4" w:rsidRDefault="00712250" w:rsidP="00712250">
      <w:pPr>
        <w:jc w:val="both"/>
        <w:rPr>
          <w:rFonts w:asciiTheme="minorHAnsi" w:hAnsiTheme="minorHAnsi"/>
          <w:lang w:val="en-US"/>
        </w:rPr>
      </w:pPr>
    </w:p>
    <w:p w14:paraId="6275C155" w14:textId="77777777" w:rsidR="007A08B2" w:rsidRPr="00026AF4" w:rsidRDefault="002715B4" w:rsidP="00712250">
      <w:pPr>
        <w:jc w:val="both"/>
        <w:rPr>
          <w:rFonts w:asciiTheme="minorHAnsi" w:hAnsiTheme="minorHAnsi"/>
        </w:rPr>
      </w:pPr>
      <w:r w:rsidRPr="00026AF4">
        <w:rPr>
          <w:rFonts w:asciiTheme="minorHAnsi" w:hAnsiTheme="minorHAnsi"/>
        </w:rPr>
        <w:t>4-</w:t>
      </w:r>
      <w:r w:rsidR="00977C23" w:rsidRPr="00026AF4">
        <w:rPr>
          <w:rFonts w:asciiTheme="minorHAnsi" w:hAnsiTheme="minorHAnsi"/>
        </w:rPr>
        <w:t xml:space="preserve"> </w:t>
      </w:r>
      <w:r w:rsidR="007A08B2" w:rsidRPr="00026AF4">
        <w:t>UMR1078 Génétique, Génomique Fonctionnelle et Biotechnologies, INSERM, EFS - Bretagne, Université de Brest, CHRU Brest, Brest, France</w:t>
      </w:r>
    </w:p>
    <w:p w14:paraId="5A86BF7B" w14:textId="77777777" w:rsidR="007A08B2" w:rsidRPr="00026AF4" w:rsidRDefault="007A08B2" w:rsidP="00712250">
      <w:pPr>
        <w:jc w:val="both"/>
        <w:rPr>
          <w:rFonts w:asciiTheme="minorHAnsi" w:hAnsiTheme="minorHAnsi"/>
        </w:rPr>
      </w:pPr>
    </w:p>
    <w:p w14:paraId="7E6CB735" w14:textId="77777777" w:rsidR="002715B4" w:rsidRPr="00026AF4" w:rsidRDefault="007A08B2" w:rsidP="00712250">
      <w:pPr>
        <w:jc w:val="both"/>
        <w:rPr>
          <w:rFonts w:asciiTheme="minorHAnsi" w:hAnsiTheme="minorHAnsi"/>
          <w:lang w:val="en-US"/>
        </w:rPr>
      </w:pPr>
      <w:r w:rsidRPr="00026AF4">
        <w:rPr>
          <w:rFonts w:asciiTheme="minorHAnsi" w:hAnsiTheme="minorHAnsi"/>
          <w:lang w:val="en-US"/>
        </w:rPr>
        <w:t xml:space="preserve">5- Department of </w:t>
      </w:r>
      <w:r w:rsidR="00FF0F42" w:rsidRPr="00026AF4">
        <w:rPr>
          <w:rFonts w:asciiTheme="minorHAnsi" w:hAnsiTheme="minorHAnsi"/>
          <w:lang w:val="en-US"/>
        </w:rPr>
        <w:t>General</w:t>
      </w:r>
      <w:r w:rsidRPr="00026AF4">
        <w:rPr>
          <w:rFonts w:asciiTheme="minorHAnsi" w:hAnsiTheme="minorHAnsi"/>
          <w:lang w:val="en-US"/>
        </w:rPr>
        <w:t xml:space="preserve"> Surgery and transplantation, University of Heidelberg, Heidelberg, Germany.    </w:t>
      </w:r>
    </w:p>
    <w:p w14:paraId="2BBD712E" w14:textId="77777777" w:rsidR="007D608F" w:rsidRPr="00026AF4" w:rsidRDefault="007D608F" w:rsidP="00712250">
      <w:pPr>
        <w:jc w:val="both"/>
        <w:rPr>
          <w:rFonts w:asciiTheme="minorHAnsi" w:hAnsiTheme="minorHAnsi"/>
          <w:lang w:val="en-US"/>
        </w:rPr>
      </w:pPr>
    </w:p>
    <w:p w14:paraId="1DABAE2E" w14:textId="77777777" w:rsidR="003E148F" w:rsidRPr="00026AF4" w:rsidRDefault="003E148F" w:rsidP="003E148F">
      <w:pPr>
        <w:jc w:val="both"/>
        <w:rPr>
          <w:rFonts w:asciiTheme="minorHAnsi" w:hAnsiTheme="minorHAnsi"/>
          <w:lang w:val="en-US"/>
        </w:rPr>
      </w:pPr>
      <w:r w:rsidRPr="00026AF4">
        <w:rPr>
          <w:rFonts w:asciiTheme="minorHAnsi" w:hAnsiTheme="minorHAnsi"/>
          <w:lang w:val="en-US"/>
        </w:rPr>
        <w:t>* These authors share co-first authorship.</w:t>
      </w:r>
    </w:p>
    <w:p w14:paraId="5E45E497" w14:textId="77777777" w:rsidR="003E148F" w:rsidRPr="00026AF4" w:rsidRDefault="003E148F" w:rsidP="00712250">
      <w:pPr>
        <w:jc w:val="both"/>
        <w:rPr>
          <w:rFonts w:asciiTheme="minorHAnsi" w:hAnsiTheme="minorHAnsi"/>
          <w:lang w:val="en-US"/>
        </w:rPr>
      </w:pPr>
    </w:p>
    <w:p w14:paraId="3A5F5271" w14:textId="77777777" w:rsidR="00712250" w:rsidRPr="00026AF4" w:rsidRDefault="00712250" w:rsidP="00712250">
      <w:pPr>
        <w:jc w:val="both"/>
        <w:rPr>
          <w:rFonts w:asciiTheme="minorHAnsi" w:hAnsiTheme="minorHAnsi"/>
          <w:b/>
          <w:lang w:val="en-US"/>
        </w:rPr>
      </w:pPr>
    </w:p>
    <w:p w14:paraId="75EA8DDE" w14:textId="77777777" w:rsidR="002715B4" w:rsidRPr="00026AF4" w:rsidRDefault="002715B4" w:rsidP="00712250">
      <w:pPr>
        <w:jc w:val="both"/>
        <w:rPr>
          <w:rFonts w:asciiTheme="minorHAnsi" w:hAnsiTheme="minorHAnsi"/>
          <w:b/>
        </w:rPr>
      </w:pPr>
      <w:proofErr w:type="spellStart"/>
      <w:r w:rsidRPr="00026AF4">
        <w:rPr>
          <w:rFonts w:asciiTheme="minorHAnsi" w:hAnsiTheme="minorHAnsi"/>
          <w:b/>
        </w:rPr>
        <w:t>Corresponding</w:t>
      </w:r>
      <w:proofErr w:type="spellEnd"/>
      <w:r w:rsidRPr="00026AF4">
        <w:rPr>
          <w:rFonts w:asciiTheme="minorHAnsi" w:hAnsiTheme="minorHAnsi"/>
          <w:b/>
        </w:rPr>
        <w:t xml:space="preserve"> </w:t>
      </w:r>
      <w:proofErr w:type="spellStart"/>
      <w:r w:rsidRPr="00026AF4">
        <w:rPr>
          <w:rFonts w:asciiTheme="minorHAnsi" w:hAnsiTheme="minorHAnsi"/>
          <w:b/>
        </w:rPr>
        <w:t>author</w:t>
      </w:r>
      <w:proofErr w:type="spellEnd"/>
    </w:p>
    <w:p w14:paraId="42516F2A" w14:textId="77777777" w:rsidR="002715B4" w:rsidRPr="00026AF4" w:rsidRDefault="002715B4" w:rsidP="00712250">
      <w:pPr>
        <w:jc w:val="both"/>
        <w:rPr>
          <w:rFonts w:asciiTheme="minorHAnsi" w:hAnsiTheme="minorHAnsi"/>
        </w:rPr>
      </w:pPr>
      <w:r w:rsidRPr="00026AF4">
        <w:rPr>
          <w:rFonts w:asciiTheme="minorHAnsi" w:hAnsiTheme="minorHAnsi"/>
        </w:rPr>
        <w:t xml:space="preserve">Pr Vinciane Rebours </w:t>
      </w:r>
    </w:p>
    <w:p w14:paraId="49227F4A" w14:textId="77777777" w:rsidR="002715B4" w:rsidRPr="00026AF4" w:rsidRDefault="002715B4" w:rsidP="00712250">
      <w:pPr>
        <w:jc w:val="both"/>
        <w:rPr>
          <w:rFonts w:asciiTheme="minorHAnsi" w:hAnsiTheme="minorHAnsi"/>
        </w:rPr>
      </w:pPr>
      <w:r w:rsidRPr="00026AF4">
        <w:rPr>
          <w:rFonts w:asciiTheme="minorHAnsi" w:hAnsiTheme="minorHAnsi"/>
        </w:rPr>
        <w:t xml:space="preserve">Pôle des Maladies de l’Appareil Digestif, Service de </w:t>
      </w:r>
      <w:proofErr w:type="spellStart"/>
      <w:r w:rsidRPr="00026AF4">
        <w:rPr>
          <w:rFonts w:asciiTheme="minorHAnsi" w:hAnsiTheme="minorHAnsi"/>
        </w:rPr>
        <w:t>Pancréatologie-Gastroentérologie</w:t>
      </w:r>
      <w:proofErr w:type="spellEnd"/>
    </w:p>
    <w:p w14:paraId="4B7A1C57" w14:textId="77777777" w:rsidR="002715B4" w:rsidRPr="00026AF4" w:rsidRDefault="002715B4" w:rsidP="00712250">
      <w:pPr>
        <w:jc w:val="both"/>
        <w:rPr>
          <w:rFonts w:asciiTheme="minorHAnsi" w:hAnsiTheme="minorHAnsi"/>
        </w:rPr>
      </w:pPr>
      <w:r w:rsidRPr="00026AF4">
        <w:rPr>
          <w:rFonts w:asciiTheme="minorHAnsi" w:hAnsiTheme="minorHAnsi"/>
        </w:rPr>
        <w:t xml:space="preserve">Hôpital BEAUJON </w:t>
      </w:r>
    </w:p>
    <w:p w14:paraId="269E0302" w14:textId="77777777" w:rsidR="002715B4" w:rsidRPr="00026AF4" w:rsidRDefault="002715B4" w:rsidP="00712250">
      <w:pPr>
        <w:jc w:val="both"/>
        <w:rPr>
          <w:rFonts w:asciiTheme="minorHAnsi" w:hAnsiTheme="minorHAnsi"/>
        </w:rPr>
      </w:pPr>
      <w:r w:rsidRPr="00026AF4">
        <w:rPr>
          <w:rFonts w:asciiTheme="minorHAnsi" w:hAnsiTheme="minorHAnsi"/>
        </w:rPr>
        <w:t xml:space="preserve">100, boulevard du Général Leclerc </w:t>
      </w:r>
      <w:r w:rsidR="007D4949" w:rsidRPr="00026AF4">
        <w:rPr>
          <w:rFonts w:asciiTheme="minorHAnsi" w:hAnsiTheme="minorHAnsi"/>
        </w:rPr>
        <w:t xml:space="preserve"> </w:t>
      </w:r>
      <w:r w:rsidRPr="00026AF4">
        <w:rPr>
          <w:rFonts w:asciiTheme="minorHAnsi" w:hAnsiTheme="minorHAnsi"/>
        </w:rPr>
        <w:t>92110 Clichy, France.</w:t>
      </w:r>
    </w:p>
    <w:p w14:paraId="16E62F8F" w14:textId="77777777" w:rsidR="002715B4" w:rsidRPr="00026AF4" w:rsidRDefault="002715B4" w:rsidP="00712250">
      <w:pPr>
        <w:jc w:val="both"/>
        <w:rPr>
          <w:rFonts w:asciiTheme="minorHAnsi" w:hAnsiTheme="minorHAnsi"/>
          <w:lang w:val="pt-BR"/>
        </w:rPr>
      </w:pPr>
      <w:proofErr w:type="spellStart"/>
      <w:r w:rsidRPr="00026AF4">
        <w:rPr>
          <w:rFonts w:asciiTheme="minorHAnsi" w:hAnsiTheme="minorHAnsi"/>
          <w:lang w:val="pt-BR"/>
        </w:rPr>
        <w:t>Tel</w:t>
      </w:r>
      <w:proofErr w:type="spellEnd"/>
      <w:r w:rsidRPr="00026AF4">
        <w:rPr>
          <w:rFonts w:asciiTheme="minorHAnsi" w:hAnsiTheme="minorHAnsi"/>
          <w:lang w:val="pt-BR"/>
        </w:rPr>
        <w:t>: 33 (0)1 40 87 52 15 / Fax: 33 (0)1 42 70 37 84</w:t>
      </w:r>
    </w:p>
    <w:p w14:paraId="17BB2D89" w14:textId="77777777" w:rsidR="002715B4" w:rsidRPr="00026AF4" w:rsidRDefault="002715B4" w:rsidP="00712250">
      <w:pPr>
        <w:jc w:val="both"/>
        <w:rPr>
          <w:rFonts w:asciiTheme="minorHAnsi" w:hAnsiTheme="minorHAnsi"/>
          <w:lang w:val="pt-BR"/>
        </w:rPr>
      </w:pPr>
      <w:r w:rsidRPr="00026AF4">
        <w:rPr>
          <w:rFonts w:asciiTheme="minorHAnsi" w:hAnsiTheme="minorHAnsi"/>
          <w:lang w:val="pt-BR"/>
        </w:rPr>
        <w:t xml:space="preserve">e-mail: </w:t>
      </w:r>
      <w:hyperlink r:id="rId9" w:history="1">
        <w:r w:rsidR="009A2EDC" w:rsidRPr="00026AF4">
          <w:rPr>
            <w:rStyle w:val="Lienhypertexte"/>
            <w:rFonts w:asciiTheme="minorHAnsi" w:hAnsiTheme="minorHAnsi"/>
            <w:lang w:val="pt-BR"/>
          </w:rPr>
          <w:t>vinciane.rebours@aphp.fr</w:t>
        </w:r>
      </w:hyperlink>
    </w:p>
    <w:p w14:paraId="02CE972C" w14:textId="77777777" w:rsidR="009A2EDC" w:rsidRPr="00026AF4" w:rsidRDefault="009A2EDC" w:rsidP="00712250">
      <w:pPr>
        <w:jc w:val="both"/>
        <w:rPr>
          <w:rFonts w:asciiTheme="minorHAnsi" w:hAnsiTheme="minorHAnsi"/>
          <w:lang w:val="pt-BR"/>
        </w:rPr>
      </w:pPr>
    </w:p>
    <w:p w14:paraId="5286742E" w14:textId="77777777" w:rsidR="007D608F" w:rsidRPr="00026AF4" w:rsidRDefault="007D608F" w:rsidP="00712250">
      <w:pPr>
        <w:rPr>
          <w:rFonts w:asciiTheme="minorHAnsi" w:hAnsiTheme="minorHAnsi"/>
          <w:lang w:val="en-US"/>
        </w:rPr>
      </w:pPr>
    </w:p>
    <w:p w14:paraId="0B23DE52" w14:textId="77777777" w:rsidR="007D608F" w:rsidRPr="00026AF4" w:rsidRDefault="007D608F" w:rsidP="00712250">
      <w:pPr>
        <w:rPr>
          <w:rFonts w:asciiTheme="minorHAnsi" w:hAnsiTheme="minorHAnsi"/>
          <w:lang w:val="en-US"/>
        </w:rPr>
      </w:pPr>
    </w:p>
    <w:p w14:paraId="7A14A43C" w14:textId="77777777" w:rsidR="007D608F" w:rsidRPr="00026AF4" w:rsidRDefault="007D608F" w:rsidP="00712250">
      <w:pPr>
        <w:rPr>
          <w:rFonts w:asciiTheme="minorHAnsi" w:hAnsiTheme="minorHAnsi"/>
          <w:lang w:val="en-US"/>
        </w:rPr>
      </w:pPr>
    </w:p>
    <w:p w14:paraId="04ED97B3" w14:textId="77777777" w:rsidR="002B2EAE" w:rsidRPr="00026AF4" w:rsidRDefault="008E487D" w:rsidP="00712250">
      <w:pPr>
        <w:jc w:val="both"/>
        <w:rPr>
          <w:rFonts w:asciiTheme="minorHAnsi" w:hAnsiTheme="minorHAnsi"/>
          <w:lang w:val="en-US"/>
        </w:rPr>
      </w:pPr>
      <w:r w:rsidRPr="00026AF4">
        <w:rPr>
          <w:rFonts w:asciiTheme="minorHAnsi" w:hAnsiTheme="minorHAnsi"/>
          <w:b/>
          <w:lang w:val="en-US"/>
        </w:rPr>
        <w:t xml:space="preserve">Abbreviation </w:t>
      </w:r>
      <w:r w:rsidR="00CC2532" w:rsidRPr="00026AF4">
        <w:rPr>
          <w:rFonts w:asciiTheme="minorHAnsi" w:hAnsiTheme="minorHAnsi"/>
          <w:b/>
          <w:lang w:val="en-US"/>
        </w:rPr>
        <w:t>list</w:t>
      </w:r>
      <w:r w:rsidRPr="00026AF4">
        <w:rPr>
          <w:rFonts w:asciiTheme="minorHAnsi" w:hAnsiTheme="minorHAnsi"/>
          <w:b/>
          <w:lang w:val="en-US"/>
        </w:rPr>
        <w:t xml:space="preserve">: </w:t>
      </w:r>
      <w:r w:rsidR="004C20B3" w:rsidRPr="00026AF4">
        <w:rPr>
          <w:rFonts w:asciiTheme="minorHAnsi" w:hAnsiTheme="minorHAnsi"/>
          <w:lang w:val="en-US"/>
        </w:rPr>
        <w:t xml:space="preserve">CFTR, cystic fibrosis </w:t>
      </w:r>
      <w:proofErr w:type="spellStart"/>
      <w:r w:rsidR="004C20B3" w:rsidRPr="00026AF4">
        <w:rPr>
          <w:rFonts w:asciiTheme="minorHAnsi" w:hAnsiTheme="minorHAnsi"/>
          <w:lang w:val="en-US"/>
        </w:rPr>
        <w:t>transmembrane</w:t>
      </w:r>
      <w:proofErr w:type="spellEnd"/>
      <w:r w:rsidR="004C20B3" w:rsidRPr="00026AF4">
        <w:rPr>
          <w:rFonts w:asciiTheme="minorHAnsi" w:hAnsiTheme="minorHAnsi"/>
          <w:lang w:val="en-US"/>
        </w:rPr>
        <w:t xml:space="preserve"> conductance regulator gene; CP, chronic pancreatitis; DM, diabetes mellitus; EPI, Exocrine Pancreatic Insufficiency; EUS, endoscopic ultrasound; IP, idiopathic pancreatitis; </w:t>
      </w:r>
      <w:r w:rsidR="00C50C04" w:rsidRPr="00026AF4">
        <w:rPr>
          <w:rFonts w:asciiTheme="minorHAnsi" w:hAnsiTheme="minorHAnsi"/>
          <w:lang w:val="en-US"/>
        </w:rPr>
        <w:t xml:space="preserve">PDAC, pancreatic ductal adenocarcinoma; </w:t>
      </w:r>
      <w:r w:rsidR="007D4949" w:rsidRPr="00026AF4">
        <w:rPr>
          <w:rFonts w:asciiTheme="minorHAnsi" w:hAnsiTheme="minorHAnsi"/>
          <w:lang w:val="en-US"/>
        </w:rPr>
        <w:t xml:space="preserve">SPINK1, Serine Protease Inhibitor </w:t>
      </w:r>
      <w:proofErr w:type="spellStart"/>
      <w:r w:rsidR="007D4949" w:rsidRPr="00026AF4">
        <w:rPr>
          <w:rFonts w:asciiTheme="minorHAnsi" w:hAnsiTheme="minorHAnsi"/>
          <w:lang w:val="en-US"/>
        </w:rPr>
        <w:t>Kazal</w:t>
      </w:r>
      <w:proofErr w:type="spellEnd"/>
      <w:r w:rsidR="007D4949" w:rsidRPr="00026AF4">
        <w:rPr>
          <w:rFonts w:asciiTheme="minorHAnsi" w:hAnsiTheme="minorHAnsi"/>
          <w:lang w:val="en-US"/>
        </w:rPr>
        <w:t xml:space="preserve"> Type 1; </w:t>
      </w:r>
      <w:r w:rsidR="002B2EAE" w:rsidRPr="00026AF4">
        <w:rPr>
          <w:rFonts w:asciiTheme="minorHAnsi" w:hAnsiTheme="minorHAnsi"/>
          <w:lang w:val="en-US"/>
        </w:rPr>
        <w:t>SRP</w:t>
      </w:r>
      <w:r w:rsidR="00454F4B" w:rsidRPr="00026AF4">
        <w:rPr>
          <w:rFonts w:asciiTheme="minorHAnsi" w:hAnsiTheme="minorHAnsi"/>
          <w:lang w:val="en-US"/>
        </w:rPr>
        <w:t>, SPINK1-related pancreatitis</w:t>
      </w:r>
      <w:r w:rsidR="0049191F" w:rsidRPr="00026AF4">
        <w:rPr>
          <w:rFonts w:asciiTheme="minorHAnsi" w:hAnsiTheme="minorHAnsi"/>
          <w:lang w:val="en-US"/>
        </w:rPr>
        <w:t xml:space="preserve">, CTRC, </w:t>
      </w:r>
      <w:r w:rsidR="008059D8" w:rsidRPr="00026AF4">
        <w:rPr>
          <w:rFonts w:asciiTheme="minorHAnsi" w:hAnsiTheme="minorHAnsi"/>
          <w:lang w:val="en-US"/>
        </w:rPr>
        <w:t>chymotrypsin C; PRSS1, serine protease 1</w:t>
      </w:r>
      <w:r w:rsidR="00BA488E" w:rsidRPr="00026AF4">
        <w:rPr>
          <w:rFonts w:asciiTheme="minorHAnsi" w:hAnsiTheme="minorHAnsi"/>
          <w:lang w:val="en-US"/>
        </w:rPr>
        <w:t>; CAPS, International Cancer of the Pancreas Screening</w:t>
      </w:r>
      <w:r w:rsidR="00FF0F42" w:rsidRPr="00026AF4">
        <w:rPr>
          <w:rFonts w:asciiTheme="minorHAnsi" w:hAnsiTheme="minorHAnsi"/>
          <w:lang w:val="en-US"/>
        </w:rPr>
        <w:t>.</w:t>
      </w:r>
    </w:p>
    <w:p w14:paraId="29E151EB" w14:textId="77777777" w:rsidR="008E487D" w:rsidRPr="00026AF4" w:rsidRDefault="008E487D" w:rsidP="00712250">
      <w:pPr>
        <w:rPr>
          <w:rFonts w:asciiTheme="minorHAnsi" w:hAnsiTheme="minorHAnsi"/>
          <w:lang w:val="en-US"/>
        </w:rPr>
      </w:pPr>
    </w:p>
    <w:p w14:paraId="44107E6F" w14:textId="77777777" w:rsidR="007D608F" w:rsidRPr="00026AF4" w:rsidRDefault="007D608F" w:rsidP="00712250">
      <w:pPr>
        <w:rPr>
          <w:rFonts w:asciiTheme="minorHAnsi" w:hAnsiTheme="minorHAnsi"/>
          <w:lang w:val="en-US"/>
        </w:rPr>
      </w:pPr>
    </w:p>
    <w:p w14:paraId="47CF4EE7" w14:textId="77777777" w:rsidR="00FD65BF" w:rsidRPr="00026AF4" w:rsidRDefault="00FD65BF" w:rsidP="00712250">
      <w:pPr>
        <w:rPr>
          <w:rFonts w:asciiTheme="minorHAnsi" w:hAnsiTheme="minorHAnsi"/>
          <w:b/>
          <w:lang w:val="en-US"/>
        </w:rPr>
      </w:pPr>
    </w:p>
    <w:p w14:paraId="7712C0F1" w14:textId="77777777" w:rsidR="007D4949" w:rsidRPr="00026AF4" w:rsidRDefault="007D4949" w:rsidP="009D6FD0">
      <w:pPr>
        <w:rPr>
          <w:rFonts w:asciiTheme="minorHAnsi" w:hAnsiTheme="minorHAnsi"/>
          <w:b/>
          <w:lang w:val="en-US"/>
        </w:rPr>
      </w:pPr>
      <w:r w:rsidRPr="00026AF4">
        <w:rPr>
          <w:rFonts w:asciiTheme="minorHAnsi" w:hAnsiTheme="minorHAnsi"/>
          <w:b/>
          <w:lang w:val="en-US"/>
        </w:rPr>
        <w:br w:type="page"/>
      </w:r>
    </w:p>
    <w:p w14:paraId="34B51817" w14:textId="589A3511" w:rsidR="009A5DB1" w:rsidRPr="00026AF4" w:rsidRDefault="007D608F" w:rsidP="00712250">
      <w:pPr>
        <w:rPr>
          <w:rFonts w:asciiTheme="minorHAnsi" w:hAnsiTheme="minorHAnsi"/>
          <w:b/>
          <w:lang w:val="en-US"/>
        </w:rPr>
      </w:pPr>
      <w:r w:rsidRPr="00026AF4">
        <w:rPr>
          <w:rFonts w:asciiTheme="minorHAnsi" w:hAnsiTheme="minorHAnsi"/>
          <w:b/>
          <w:lang w:val="en-US"/>
        </w:rPr>
        <w:lastRenderedPageBreak/>
        <w:t>Abstract</w:t>
      </w:r>
    </w:p>
    <w:p w14:paraId="55D13F1F" w14:textId="77777777" w:rsidR="009A5DB1" w:rsidRPr="00026AF4" w:rsidRDefault="009A5DB1" w:rsidP="00712250">
      <w:pPr>
        <w:rPr>
          <w:rFonts w:asciiTheme="minorHAnsi" w:hAnsiTheme="minorHAnsi"/>
          <w:b/>
          <w:lang w:val="en-US"/>
        </w:rPr>
      </w:pPr>
    </w:p>
    <w:p w14:paraId="5A3598F7" w14:textId="77777777" w:rsidR="007D608F" w:rsidRPr="00026AF4" w:rsidRDefault="007D608F" w:rsidP="00712250">
      <w:pPr>
        <w:rPr>
          <w:rFonts w:asciiTheme="minorHAnsi" w:hAnsiTheme="minorHAnsi"/>
          <w:lang w:val="en-US"/>
        </w:rPr>
      </w:pPr>
    </w:p>
    <w:p w14:paraId="553A1D96" w14:textId="40407BBE" w:rsidR="00DA2984" w:rsidRPr="00026AF4" w:rsidRDefault="009A5DB1" w:rsidP="00DA2984">
      <w:pPr>
        <w:jc w:val="both"/>
        <w:rPr>
          <w:rFonts w:asciiTheme="minorHAnsi" w:hAnsiTheme="minorHAnsi"/>
          <w:b/>
          <w:lang w:val="en-US"/>
        </w:rPr>
      </w:pPr>
      <w:r w:rsidRPr="00026AF4">
        <w:rPr>
          <w:rFonts w:asciiTheme="minorHAnsi" w:hAnsiTheme="minorHAnsi"/>
          <w:b/>
          <w:lang w:val="en-US"/>
        </w:rPr>
        <w:t xml:space="preserve">Background </w:t>
      </w:r>
    </w:p>
    <w:p w14:paraId="318DE5E0" w14:textId="7A2388B5" w:rsidR="002A5035" w:rsidRPr="00026AF4" w:rsidRDefault="009A5DB1" w:rsidP="009D6FD0">
      <w:pPr>
        <w:jc w:val="both"/>
        <w:rPr>
          <w:rFonts w:asciiTheme="minorHAnsi" w:hAnsiTheme="minorHAnsi"/>
          <w:lang w:val="en-US"/>
        </w:rPr>
      </w:pPr>
      <w:r w:rsidRPr="00026AF4">
        <w:rPr>
          <w:rFonts w:asciiTheme="minorHAnsi" w:hAnsiTheme="minorHAnsi"/>
          <w:lang w:val="en-US"/>
        </w:rPr>
        <w:t>The aim was t</w:t>
      </w:r>
      <w:r w:rsidR="009D6FD0" w:rsidRPr="00026AF4">
        <w:rPr>
          <w:rFonts w:asciiTheme="minorHAnsi" w:hAnsiTheme="minorHAnsi"/>
          <w:lang w:val="en-US"/>
        </w:rPr>
        <w:t xml:space="preserve">o describe genetic, clinical and morphological features in a </w:t>
      </w:r>
      <w:proofErr w:type="gramStart"/>
      <w:r w:rsidR="009D6FD0" w:rsidRPr="00026AF4">
        <w:rPr>
          <w:rFonts w:asciiTheme="minorHAnsi" w:hAnsiTheme="minorHAnsi"/>
          <w:lang w:val="en-US"/>
        </w:rPr>
        <w:t>large,</w:t>
      </w:r>
      <w:proofErr w:type="gramEnd"/>
      <w:r w:rsidR="009D6FD0" w:rsidRPr="00026AF4">
        <w:rPr>
          <w:rFonts w:asciiTheme="minorHAnsi" w:hAnsiTheme="minorHAnsi"/>
          <w:lang w:val="en-US"/>
        </w:rPr>
        <w:t xml:space="preserve"> </w:t>
      </w:r>
      <w:proofErr w:type="spellStart"/>
      <w:r w:rsidR="009D6FD0" w:rsidRPr="00026AF4">
        <w:rPr>
          <w:rFonts w:asciiTheme="minorHAnsi" w:hAnsiTheme="minorHAnsi"/>
          <w:lang w:val="en-US"/>
        </w:rPr>
        <w:t>multicentre</w:t>
      </w:r>
      <w:proofErr w:type="spellEnd"/>
      <w:r w:rsidR="009D6FD0" w:rsidRPr="00026AF4">
        <w:rPr>
          <w:rFonts w:asciiTheme="minorHAnsi" w:hAnsiTheme="minorHAnsi"/>
          <w:lang w:val="en-US"/>
        </w:rPr>
        <w:t xml:space="preserve"> </w:t>
      </w:r>
      <w:r w:rsidR="00F368AF" w:rsidRPr="00026AF4">
        <w:rPr>
          <w:rFonts w:asciiTheme="minorHAnsi" w:hAnsiTheme="minorHAnsi"/>
          <w:lang w:val="en-US"/>
        </w:rPr>
        <w:t>European</w:t>
      </w:r>
      <w:r w:rsidR="00F138C5" w:rsidRPr="00026AF4">
        <w:rPr>
          <w:rFonts w:asciiTheme="minorHAnsi" w:hAnsiTheme="minorHAnsi"/>
          <w:lang w:val="en-US"/>
        </w:rPr>
        <w:t xml:space="preserve"> cohort of patients with </w:t>
      </w:r>
      <w:r w:rsidR="00F138C5" w:rsidRPr="00026AF4">
        <w:rPr>
          <w:rFonts w:asciiTheme="minorHAnsi" w:hAnsiTheme="minorHAnsi"/>
          <w:i/>
          <w:lang w:val="en-US"/>
        </w:rPr>
        <w:t>SPINK1</w:t>
      </w:r>
      <w:r w:rsidR="00F138C5" w:rsidRPr="00026AF4">
        <w:rPr>
          <w:rFonts w:asciiTheme="minorHAnsi" w:hAnsiTheme="minorHAnsi"/>
          <w:lang w:val="en-US"/>
        </w:rPr>
        <w:t xml:space="preserve"> related pancreatitis</w:t>
      </w:r>
      <w:r w:rsidR="009D6FD0" w:rsidRPr="00026AF4">
        <w:rPr>
          <w:rFonts w:asciiTheme="minorHAnsi" w:hAnsiTheme="minorHAnsi"/>
          <w:lang w:val="en-US"/>
        </w:rPr>
        <w:t xml:space="preserve">, </w:t>
      </w:r>
      <w:r w:rsidR="00F368AF" w:rsidRPr="00026AF4">
        <w:rPr>
          <w:rFonts w:asciiTheme="minorHAnsi" w:hAnsiTheme="minorHAnsi"/>
          <w:lang w:val="en-US"/>
        </w:rPr>
        <w:t>in comparison</w:t>
      </w:r>
      <w:r w:rsidR="009D6FD0" w:rsidRPr="00026AF4">
        <w:rPr>
          <w:rFonts w:asciiTheme="minorHAnsi" w:hAnsiTheme="minorHAnsi"/>
          <w:lang w:val="en-US"/>
        </w:rPr>
        <w:t xml:space="preserve"> with </w:t>
      </w:r>
      <w:r w:rsidR="00F368AF" w:rsidRPr="00026AF4">
        <w:rPr>
          <w:rFonts w:asciiTheme="minorHAnsi" w:hAnsiTheme="minorHAnsi"/>
          <w:lang w:val="en-US"/>
        </w:rPr>
        <w:t xml:space="preserve">patients </w:t>
      </w:r>
      <w:r w:rsidR="009D6FD0" w:rsidRPr="00026AF4">
        <w:rPr>
          <w:rFonts w:asciiTheme="minorHAnsi" w:hAnsiTheme="minorHAnsi"/>
          <w:lang w:val="en-US"/>
        </w:rPr>
        <w:t>with idiopathic pancreatitis</w:t>
      </w:r>
      <w:r w:rsidR="0093396E" w:rsidRPr="00026AF4">
        <w:rPr>
          <w:rFonts w:asciiTheme="minorHAnsi" w:hAnsiTheme="minorHAnsi"/>
          <w:lang w:val="en-US"/>
        </w:rPr>
        <w:t xml:space="preserve"> (IP)</w:t>
      </w:r>
      <w:r w:rsidR="009D6FD0" w:rsidRPr="00026AF4">
        <w:rPr>
          <w:rFonts w:asciiTheme="minorHAnsi" w:hAnsiTheme="minorHAnsi"/>
          <w:lang w:val="en-US"/>
        </w:rPr>
        <w:t>.</w:t>
      </w:r>
    </w:p>
    <w:p w14:paraId="415E0504" w14:textId="77777777" w:rsidR="009A5DB1" w:rsidRPr="00026AF4" w:rsidRDefault="009A5DB1" w:rsidP="00DA2984">
      <w:pPr>
        <w:jc w:val="both"/>
        <w:rPr>
          <w:rFonts w:asciiTheme="minorHAnsi" w:hAnsiTheme="minorHAnsi"/>
          <w:lang w:val="en-US"/>
        </w:rPr>
      </w:pPr>
      <w:r w:rsidRPr="00026AF4">
        <w:rPr>
          <w:rFonts w:asciiTheme="minorHAnsi" w:hAnsiTheme="minorHAnsi"/>
          <w:b/>
          <w:lang w:val="en-US"/>
        </w:rPr>
        <w:t>Methods</w:t>
      </w:r>
      <w:r w:rsidRPr="00026AF4">
        <w:rPr>
          <w:rFonts w:asciiTheme="minorHAnsi" w:hAnsiTheme="minorHAnsi"/>
          <w:lang w:val="en-US"/>
        </w:rPr>
        <w:t xml:space="preserve"> </w:t>
      </w:r>
    </w:p>
    <w:p w14:paraId="61653D25" w14:textId="4EF34FC1" w:rsidR="00DA2984" w:rsidRPr="00026AF4" w:rsidRDefault="002A5035" w:rsidP="00DA2984">
      <w:pPr>
        <w:jc w:val="both"/>
        <w:rPr>
          <w:rFonts w:asciiTheme="minorHAnsi" w:hAnsiTheme="minorHAnsi"/>
          <w:lang w:val="en-US"/>
        </w:rPr>
      </w:pPr>
      <w:r w:rsidRPr="00026AF4">
        <w:rPr>
          <w:rFonts w:asciiTheme="minorHAnsi" w:hAnsiTheme="minorHAnsi"/>
          <w:lang w:val="en-US"/>
        </w:rPr>
        <w:t xml:space="preserve">All </w:t>
      </w:r>
      <w:r w:rsidRPr="00026AF4">
        <w:rPr>
          <w:rFonts w:asciiTheme="minorHAnsi" w:hAnsiTheme="minorHAnsi"/>
          <w:i/>
          <w:lang w:val="en-US"/>
        </w:rPr>
        <w:t>SPINK1</w:t>
      </w:r>
      <w:r w:rsidRPr="00026AF4">
        <w:rPr>
          <w:rFonts w:asciiTheme="minorHAnsi" w:hAnsiTheme="minorHAnsi"/>
          <w:lang w:val="en-US"/>
        </w:rPr>
        <w:t xml:space="preserve"> mutation carriers with pancreatic symptoms from two French and one English </w:t>
      </w:r>
      <w:proofErr w:type="gramStart"/>
      <w:r w:rsidRPr="00026AF4">
        <w:rPr>
          <w:rFonts w:asciiTheme="minorHAnsi" w:hAnsiTheme="minorHAnsi"/>
          <w:lang w:val="en-US"/>
        </w:rPr>
        <w:t>center</w:t>
      </w:r>
      <w:r w:rsidR="00F368AF" w:rsidRPr="00026AF4">
        <w:rPr>
          <w:rFonts w:asciiTheme="minorHAnsi" w:hAnsiTheme="minorHAnsi"/>
          <w:lang w:val="en-US"/>
        </w:rPr>
        <w:t>s</w:t>
      </w:r>
      <w:proofErr w:type="gramEnd"/>
      <w:r w:rsidRPr="00026AF4">
        <w:rPr>
          <w:rFonts w:asciiTheme="minorHAnsi" w:hAnsiTheme="minorHAnsi"/>
          <w:lang w:val="en-US"/>
        </w:rPr>
        <w:t xml:space="preserve"> were included. Patients with </w:t>
      </w:r>
      <w:r w:rsidR="0093396E" w:rsidRPr="00026AF4">
        <w:rPr>
          <w:rFonts w:asciiTheme="minorHAnsi" w:hAnsiTheme="minorHAnsi"/>
          <w:lang w:val="en-US"/>
        </w:rPr>
        <w:t>IP</w:t>
      </w:r>
      <w:r w:rsidRPr="00026AF4">
        <w:rPr>
          <w:rFonts w:asciiTheme="minorHAnsi" w:hAnsiTheme="minorHAnsi"/>
          <w:lang w:val="en-US"/>
        </w:rPr>
        <w:t xml:space="preserve"> were included in a control group.</w:t>
      </w:r>
      <w:r w:rsidR="00DA2984" w:rsidRPr="00026AF4">
        <w:rPr>
          <w:rFonts w:asciiTheme="minorHAnsi" w:hAnsiTheme="minorHAnsi"/>
          <w:lang w:val="en-US"/>
        </w:rPr>
        <w:t xml:space="preserve"> Genetic, clinical, radiological and biochemical data were collected.</w:t>
      </w:r>
    </w:p>
    <w:p w14:paraId="3F75B08A" w14:textId="77777777" w:rsidR="009A5DB1" w:rsidRPr="00026AF4" w:rsidRDefault="009A5DB1" w:rsidP="00DA2984">
      <w:pPr>
        <w:jc w:val="both"/>
        <w:rPr>
          <w:rFonts w:asciiTheme="minorHAnsi" w:hAnsiTheme="minorHAnsi"/>
          <w:lang w:val="en-US"/>
        </w:rPr>
      </w:pPr>
      <w:r w:rsidRPr="00026AF4">
        <w:rPr>
          <w:rFonts w:asciiTheme="minorHAnsi" w:hAnsiTheme="minorHAnsi"/>
          <w:b/>
          <w:lang w:val="en-US"/>
        </w:rPr>
        <w:t>Findings</w:t>
      </w:r>
      <w:r w:rsidRPr="00026AF4">
        <w:rPr>
          <w:rFonts w:asciiTheme="minorHAnsi" w:hAnsiTheme="minorHAnsi"/>
          <w:lang w:val="en-US"/>
        </w:rPr>
        <w:t xml:space="preserve"> </w:t>
      </w:r>
    </w:p>
    <w:p w14:paraId="69F31C28" w14:textId="21026CE2" w:rsidR="004D1958" w:rsidRPr="00026AF4" w:rsidRDefault="004F61E0" w:rsidP="00DA2984">
      <w:pPr>
        <w:jc w:val="both"/>
        <w:rPr>
          <w:rFonts w:asciiTheme="minorHAnsi" w:hAnsiTheme="minorHAnsi"/>
          <w:lang w:val="en-US"/>
        </w:rPr>
      </w:pPr>
      <w:r w:rsidRPr="00026AF4">
        <w:rPr>
          <w:rFonts w:asciiTheme="minorHAnsi" w:hAnsiTheme="minorHAnsi"/>
          <w:lang w:val="en-US"/>
        </w:rPr>
        <w:t xml:space="preserve">209 </w:t>
      </w:r>
      <w:r w:rsidR="006F738E" w:rsidRPr="00026AF4">
        <w:rPr>
          <w:rFonts w:asciiTheme="minorHAnsi" w:hAnsiTheme="minorHAnsi"/>
          <w:lang w:val="en-US"/>
        </w:rPr>
        <w:t xml:space="preserve">and 302 </w:t>
      </w:r>
      <w:r w:rsidRPr="00026AF4">
        <w:rPr>
          <w:rFonts w:asciiTheme="minorHAnsi" w:hAnsiTheme="minorHAnsi"/>
          <w:lang w:val="en-US"/>
        </w:rPr>
        <w:t xml:space="preserve">patients </w:t>
      </w:r>
      <w:r w:rsidR="004D1958" w:rsidRPr="00026AF4">
        <w:rPr>
          <w:rFonts w:asciiTheme="minorHAnsi" w:hAnsiTheme="minorHAnsi"/>
          <w:lang w:val="en-US"/>
        </w:rPr>
        <w:t xml:space="preserve">were included in the </w:t>
      </w:r>
      <w:r w:rsidR="004D1958" w:rsidRPr="00026AF4">
        <w:rPr>
          <w:rFonts w:asciiTheme="minorHAnsi" w:hAnsiTheme="minorHAnsi"/>
          <w:i/>
          <w:lang w:val="en-US"/>
        </w:rPr>
        <w:t>SPINK1</w:t>
      </w:r>
      <w:r w:rsidR="006F738E" w:rsidRPr="00026AF4">
        <w:rPr>
          <w:rFonts w:asciiTheme="minorHAnsi" w:hAnsiTheme="minorHAnsi"/>
          <w:lang w:val="en-US"/>
        </w:rPr>
        <w:t xml:space="preserve"> and</w:t>
      </w:r>
      <w:r w:rsidR="004D1958" w:rsidRPr="00026AF4">
        <w:rPr>
          <w:rFonts w:asciiTheme="minorHAnsi" w:hAnsiTheme="minorHAnsi"/>
          <w:lang w:val="en-US"/>
        </w:rPr>
        <w:t xml:space="preserve"> control group</w:t>
      </w:r>
      <w:r w:rsidR="006F738E" w:rsidRPr="00026AF4">
        <w:rPr>
          <w:rFonts w:asciiTheme="minorHAnsi" w:hAnsiTheme="minorHAnsi"/>
          <w:lang w:val="en-US"/>
        </w:rPr>
        <w:t xml:space="preserve">s (median follow-up: </w:t>
      </w:r>
      <w:r w:rsidR="004D1958" w:rsidRPr="00026AF4">
        <w:rPr>
          <w:rFonts w:asciiTheme="minorHAnsi" w:hAnsiTheme="minorHAnsi"/>
          <w:lang w:val="en-US"/>
        </w:rPr>
        <w:t xml:space="preserve">8.3 years (3.7-17.4) </w:t>
      </w:r>
      <w:proofErr w:type="spellStart"/>
      <w:r w:rsidR="004D1958" w:rsidRPr="00026AF4">
        <w:rPr>
          <w:rFonts w:asciiTheme="minorHAnsi" w:hAnsiTheme="minorHAnsi"/>
          <w:lang w:val="en-US"/>
        </w:rPr>
        <w:t>v</w:t>
      </w:r>
      <w:r w:rsidR="00675FFC" w:rsidRPr="00026AF4">
        <w:rPr>
          <w:rFonts w:asciiTheme="minorHAnsi" w:hAnsiTheme="minorHAnsi"/>
          <w:lang w:val="en-US"/>
        </w:rPr>
        <w:t>s</w:t>
      </w:r>
      <w:proofErr w:type="spellEnd"/>
      <w:r w:rsidR="00675FFC" w:rsidRPr="00026AF4">
        <w:rPr>
          <w:rFonts w:asciiTheme="minorHAnsi" w:hAnsiTheme="minorHAnsi"/>
          <w:lang w:val="en-US"/>
        </w:rPr>
        <w:t xml:space="preserve"> 5.3 (2.5-8.8)</w:t>
      </w:r>
      <w:r w:rsidR="006F738E" w:rsidRPr="00026AF4">
        <w:rPr>
          <w:rFonts w:asciiTheme="minorHAnsi" w:hAnsiTheme="minorHAnsi"/>
          <w:lang w:val="en-US"/>
        </w:rPr>
        <w:t>)</w:t>
      </w:r>
      <w:r w:rsidRPr="00026AF4">
        <w:rPr>
          <w:rFonts w:asciiTheme="minorHAnsi" w:hAnsiTheme="minorHAnsi"/>
          <w:lang w:val="en-US"/>
        </w:rPr>
        <w:t xml:space="preserve">. </w:t>
      </w:r>
    </w:p>
    <w:p w14:paraId="2E8C1408" w14:textId="77777777" w:rsidR="001F7A21" w:rsidRPr="00026AF4" w:rsidRDefault="001F7A21" w:rsidP="00DA2984">
      <w:pPr>
        <w:jc w:val="both"/>
        <w:rPr>
          <w:rFonts w:asciiTheme="minorHAnsi" w:hAnsiTheme="minorHAnsi"/>
          <w:b/>
          <w:i/>
          <w:lang w:val="en-US"/>
        </w:rPr>
      </w:pPr>
      <w:r w:rsidRPr="00026AF4">
        <w:rPr>
          <w:rFonts w:asciiTheme="minorHAnsi" w:hAnsiTheme="minorHAnsi"/>
          <w:lang w:val="en-US"/>
        </w:rPr>
        <w:t xml:space="preserve">The median age at onset of symptoms was 20.1 years (17.5-22.8) in the </w:t>
      </w:r>
      <w:r w:rsidR="00B16A9A" w:rsidRPr="00026AF4">
        <w:rPr>
          <w:rFonts w:asciiTheme="minorHAnsi" w:hAnsiTheme="minorHAnsi"/>
          <w:i/>
          <w:lang w:val="en-US"/>
        </w:rPr>
        <w:t>SPINK1</w:t>
      </w:r>
      <w:r w:rsidR="00F138C5" w:rsidRPr="00026AF4">
        <w:rPr>
          <w:rFonts w:asciiTheme="minorHAnsi" w:hAnsiTheme="minorHAnsi"/>
          <w:lang w:val="en-US"/>
        </w:rPr>
        <w:t xml:space="preserve"> </w:t>
      </w:r>
      <w:r w:rsidRPr="00026AF4">
        <w:rPr>
          <w:rFonts w:asciiTheme="minorHAnsi" w:hAnsiTheme="minorHAnsi"/>
          <w:lang w:val="en-US"/>
        </w:rPr>
        <w:t xml:space="preserve">group </w:t>
      </w:r>
      <w:r w:rsidR="00B16A9A" w:rsidRPr="00026AF4">
        <w:rPr>
          <w:rFonts w:asciiTheme="minorHAnsi" w:hAnsiTheme="minorHAnsi"/>
          <w:lang w:val="en-US"/>
        </w:rPr>
        <w:t>versus</w:t>
      </w:r>
      <w:r w:rsidRPr="00026AF4">
        <w:rPr>
          <w:rFonts w:asciiTheme="minorHAnsi" w:hAnsiTheme="minorHAnsi"/>
          <w:lang w:val="en-US"/>
        </w:rPr>
        <w:t xml:space="preserve"> 41.2 (</w:t>
      </w:r>
      <w:r w:rsidR="00EA51B1" w:rsidRPr="00026AF4">
        <w:rPr>
          <w:rFonts w:asciiTheme="minorHAnsi" w:hAnsiTheme="minorHAnsi"/>
          <w:lang w:val="en-US"/>
        </w:rPr>
        <w:t xml:space="preserve">35.2-45.2). </w:t>
      </w:r>
      <w:r w:rsidR="004F61E0" w:rsidRPr="00026AF4">
        <w:rPr>
          <w:rFonts w:asciiTheme="minorHAnsi" w:hAnsiTheme="minorHAnsi"/>
          <w:lang w:val="en-US"/>
        </w:rPr>
        <w:t>The</w:t>
      </w:r>
      <w:r w:rsidR="00EA51B1" w:rsidRPr="00026AF4">
        <w:rPr>
          <w:rFonts w:asciiTheme="minorHAnsi" w:hAnsiTheme="minorHAnsi"/>
          <w:lang w:val="en-US"/>
        </w:rPr>
        <w:t xml:space="preserve"> age of exocrine</w:t>
      </w:r>
      <w:r w:rsidR="00BA488E" w:rsidRPr="00026AF4">
        <w:rPr>
          <w:rFonts w:asciiTheme="minorHAnsi" w:hAnsiTheme="minorHAnsi"/>
          <w:lang w:val="en-US"/>
        </w:rPr>
        <w:t xml:space="preserve"> pancreatic</w:t>
      </w:r>
      <w:r w:rsidR="00EA51B1" w:rsidRPr="00026AF4">
        <w:rPr>
          <w:rFonts w:asciiTheme="minorHAnsi" w:hAnsiTheme="minorHAnsi"/>
          <w:lang w:val="en-US"/>
        </w:rPr>
        <w:t xml:space="preserve"> insufficiency</w:t>
      </w:r>
      <w:r w:rsidR="00BA488E" w:rsidRPr="00026AF4">
        <w:rPr>
          <w:rFonts w:asciiTheme="minorHAnsi" w:hAnsiTheme="minorHAnsi"/>
          <w:lang w:val="en-US"/>
        </w:rPr>
        <w:t xml:space="preserve"> (EPI)</w:t>
      </w:r>
      <w:r w:rsidR="00EA51B1" w:rsidRPr="00026AF4">
        <w:rPr>
          <w:rFonts w:asciiTheme="minorHAnsi" w:hAnsiTheme="minorHAnsi"/>
          <w:lang w:val="en-US"/>
        </w:rPr>
        <w:t xml:space="preserve"> onset </w:t>
      </w:r>
      <w:r w:rsidRPr="00026AF4">
        <w:rPr>
          <w:rFonts w:asciiTheme="minorHAnsi" w:hAnsiTheme="minorHAnsi"/>
          <w:lang w:val="en-US"/>
        </w:rPr>
        <w:t xml:space="preserve">in the </w:t>
      </w:r>
      <w:r w:rsidR="004F61E0" w:rsidRPr="00026AF4">
        <w:rPr>
          <w:rFonts w:asciiTheme="minorHAnsi" w:hAnsiTheme="minorHAnsi"/>
          <w:i/>
          <w:lang w:val="en-US"/>
        </w:rPr>
        <w:t>SPINK1</w:t>
      </w:r>
      <w:r w:rsidR="00F138C5" w:rsidRPr="00026AF4">
        <w:rPr>
          <w:rFonts w:asciiTheme="minorHAnsi" w:hAnsiTheme="minorHAnsi"/>
          <w:lang w:val="en-US"/>
        </w:rPr>
        <w:t xml:space="preserve"> </w:t>
      </w:r>
      <w:r w:rsidRPr="00026AF4">
        <w:rPr>
          <w:rFonts w:asciiTheme="minorHAnsi" w:hAnsiTheme="minorHAnsi"/>
          <w:lang w:val="en-US"/>
        </w:rPr>
        <w:t xml:space="preserve">group was 49.5 (44.5-54.6) years vs. 65.2 (62.1-68.3), p&lt;0.001. </w:t>
      </w:r>
      <w:r w:rsidR="004F61E0" w:rsidRPr="00026AF4">
        <w:rPr>
          <w:rFonts w:asciiTheme="minorHAnsi" w:hAnsiTheme="minorHAnsi"/>
          <w:i/>
          <w:lang w:val="en-US"/>
        </w:rPr>
        <w:t>SPINK1</w:t>
      </w:r>
      <w:r w:rsidRPr="00026AF4">
        <w:rPr>
          <w:rFonts w:asciiTheme="minorHAnsi" w:hAnsiTheme="minorHAnsi"/>
          <w:lang w:val="en-US"/>
        </w:rPr>
        <w:t xml:space="preserve"> patients with EPI </w:t>
      </w:r>
      <w:r w:rsidR="00EA51B1" w:rsidRPr="00026AF4">
        <w:rPr>
          <w:rFonts w:asciiTheme="minorHAnsi" w:hAnsiTheme="minorHAnsi"/>
          <w:lang w:val="en-US"/>
        </w:rPr>
        <w:t>were</w:t>
      </w:r>
      <w:r w:rsidRPr="00026AF4">
        <w:rPr>
          <w:rFonts w:asciiTheme="minorHAnsi" w:hAnsiTheme="minorHAnsi"/>
          <w:lang w:val="en-US"/>
        </w:rPr>
        <w:t xml:space="preserve"> 5.3%</w:t>
      </w:r>
      <w:r w:rsidR="0093396E" w:rsidRPr="00026AF4">
        <w:rPr>
          <w:rFonts w:asciiTheme="minorHAnsi" w:hAnsiTheme="minorHAnsi"/>
          <w:lang w:val="en-US"/>
        </w:rPr>
        <w:t>,</w:t>
      </w:r>
      <w:r w:rsidRPr="00026AF4">
        <w:rPr>
          <w:rFonts w:asciiTheme="minorHAnsi" w:hAnsiTheme="minorHAnsi"/>
          <w:lang w:val="en-US"/>
        </w:rPr>
        <w:t xml:space="preserve"> </w:t>
      </w:r>
      <w:r w:rsidR="0093396E" w:rsidRPr="00026AF4">
        <w:rPr>
          <w:rFonts w:asciiTheme="minorHAnsi" w:hAnsiTheme="minorHAnsi"/>
          <w:lang w:val="en-US"/>
        </w:rPr>
        <w:t xml:space="preserve">14.7%, 28.3% and 52.4% </w:t>
      </w:r>
      <w:r w:rsidRPr="00026AF4">
        <w:rPr>
          <w:rFonts w:asciiTheme="minorHAnsi" w:hAnsiTheme="minorHAnsi"/>
          <w:lang w:val="en-US"/>
        </w:rPr>
        <w:t xml:space="preserve">at 20, 30, 40 </w:t>
      </w:r>
      <w:r w:rsidR="0093396E" w:rsidRPr="00026AF4">
        <w:rPr>
          <w:rFonts w:asciiTheme="minorHAnsi" w:hAnsiTheme="minorHAnsi"/>
          <w:lang w:val="en-US"/>
        </w:rPr>
        <w:t>and</w:t>
      </w:r>
      <w:r w:rsidRPr="00026AF4">
        <w:rPr>
          <w:rFonts w:asciiTheme="minorHAnsi" w:hAnsiTheme="minorHAnsi"/>
          <w:lang w:val="en-US"/>
        </w:rPr>
        <w:t xml:space="preserve"> 50 years.</w:t>
      </w:r>
    </w:p>
    <w:p w14:paraId="4EE94727" w14:textId="77777777" w:rsidR="001F7A21" w:rsidRPr="00026AF4" w:rsidRDefault="001D64DF" w:rsidP="00DA2984">
      <w:pPr>
        <w:jc w:val="both"/>
        <w:rPr>
          <w:rFonts w:asciiTheme="minorHAnsi" w:hAnsiTheme="minorHAnsi"/>
          <w:lang w:val="en-US"/>
        </w:rPr>
      </w:pPr>
      <w:r w:rsidRPr="00026AF4">
        <w:rPr>
          <w:rFonts w:asciiTheme="minorHAnsi" w:hAnsiTheme="minorHAnsi"/>
          <w:lang w:val="en-US"/>
        </w:rPr>
        <w:t>Diabetes</w:t>
      </w:r>
      <w:r w:rsidR="001F7A21" w:rsidRPr="00026AF4">
        <w:rPr>
          <w:rFonts w:asciiTheme="minorHAnsi" w:hAnsiTheme="minorHAnsi"/>
          <w:lang w:val="en-US"/>
        </w:rPr>
        <w:t xml:space="preserve"> </w:t>
      </w:r>
      <w:r w:rsidR="0093396E" w:rsidRPr="00026AF4">
        <w:rPr>
          <w:rFonts w:asciiTheme="minorHAnsi" w:hAnsiTheme="minorHAnsi"/>
          <w:lang w:val="en-US"/>
        </w:rPr>
        <w:t>occurred</w:t>
      </w:r>
      <w:r w:rsidR="001F7A21" w:rsidRPr="00026AF4">
        <w:rPr>
          <w:rFonts w:asciiTheme="minorHAnsi" w:hAnsiTheme="minorHAnsi"/>
          <w:lang w:val="en-US"/>
        </w:rPr>
        <w:t xml:space="preserve"> 37.7 (33.3-42.1) years following the onset of symptoms in the </w:t>
      </w:r>
      <w:r w:rsidR="004F61E0" w:rsidRPr="00026AF4">
        <w:rPr>
          <w:rFonts w:asciiTheme="minorHAnsi" w:hAnsiTheme="minorHAnsi"/>
          <w:i/>
          <w:lang w:val="en-US"/>
        </w:rPr>
        <w:t>SPINK1</w:t>
      </w:r>
      <w:r w:rsidR="00F138C5" w:rsidRPr="00026AF4">
        <w:rPr>
          <w:rFonts w:asciiTheme="minorHAnsi" w:hAnsiTheme="minorHAnsi"/>
          <w:i/>
          <w:lang w:val="en-US"/>
        </w:rPr>
        <w:t xml:space="preserve"> </w:t>
      </w:r>
      <w:r w:rsidR="001F7A21" w:rsidRPr="00026AF4">
        <w:rPr>
          <w:rFonts w:asciiTheme="minorHAnsi" w:hAnsiTheme="minorHAnsi"/>
          <w:lang w:val="en-US"/>
        </w:rPr>
        <w:t xml:space="preserve">group vs. 30.6 (17.3-43.8) (p=0.002). </w:t>
      </w:r>
      <w:r w:rsidR="00EA51B1" w:rsidRPr="00026AF4">
        <w:rPr>
          <w:rFonts w:asciiTheme="minorHAnsi" w:hAnsiTheme="minorHAnsi"/>
          <w:i/>
          <w:lang w:val="en-US"/>
        </w:rPr>
        <w:t>SPINK1</w:t>
      </w:r>
      <w:r w:rsidR="001F7A21" w:rsidRPr="00026AF4">
        <w:rPr>
          <w:rFonts w:asciiTheme="minorHAnsi" w:hAnsiTheme="minorHAnsi"/>
          <w:lang w:val="en-US"/>
        </w:rPr>
        <w:t xml:space="preserve"> patients with </w:t>
      </w:r>
      <w:r w:rsidR="004F61E0" w:rsidRPr="00026AF4">
        <w:rPr>
          <w:rFonts w:asciiTheme="minorHAnsi" w:hAnsiTheme="minorHAnsi"/>
          <w:lang w:val="en-US"/>
        </w:rPr>
        <w:t>diabetes</w:t>
      </w:r>
      <w:r w:rsidR="001F7A21" w:rsidRPr="00026AF4">
        <w:rPr>
          <w:rFonts w:asciiTheme="minorHAnsi" w:hAnsiTheme="minorHAnsi"/>
          <w:lang w:val="en-US"/>
        </w:rPr>
        <w:t xml:space="preserve"> </w:t>
      </w:r>
      <w:r w:rsidR="00EA51B1" w:rsidRPr="00026AF4">
        <w:rPr>
          <w:rFonts w:asciiTheme="minorHAnsi" w:hAnsiTheme="minorHAnsi"/>
          <w:lang w:val="en-US"/>
        </w:rPr>
        <w:t>were</w:t>
      </w:r>
      <w:r w:rsidR="001F7A21" w:rsidRPr="00026AF4">
        <w:rPr>
          <w:rFonts w:asciiTheme="minorHAnsi" w:hAnsiTheme="minorHAnsi"/>
          <w:lang w:val="en-US"/>
        </w:rPr>
        <w:t xml:space="preserve"> 7.8%</w:t>
      </w:r>
      <w:r w:rsidR="0093396E" w:rsidRPr="00026AF4">
        <w:rPr>
          <w:rFonts w:asciiTheme="minorHAnsi" w:hAnsiTheme="minorHAnsi"/>
          <w:lang w:val="en-US"/>
        </w:rPr>
        <w:t>,</w:t>
      </w:r>
      <w:r w:rsidR="001F7A21" w:rsidRPr="00026AF4">
        <w:rPr>
          <w:rFonts w:asciiTheme="minorHAnsi" w:hAnsiTheme="minorHAnsi"/>
          <w:lang w:val="en-US"/>
        </w:rPr>
        <w:t xml:space="preserve"> </w:t>
      </w:r>
      <w:r w:rsidR="0093396E" w:rsidRPr="00026AF4">
        <w:rPr>
          <w:rFonts w:asciiTheme="minorHAnsi" w:hAnsiTheme="minorHAnsi"/>
          <w:lang w:val="en-US"/>
        </w:rPr>
        <w:t xml:space="preserve">13.4%, 26.3% and 43.4% </w:t>
      </w:r>
      <w:r w:rsidR="001F7A21" w:rsidRPr="00026AF4">
        <w:rPr>
          <w:rFonts w:asciiTheme="minorHAnsi" w:hAnsiTheme="minorHAnsi"/>
          <w:lang w:val="en-US"/>
        </w:rPr>
        <w:t>at 30, 40</w:t>
      </w:r>
      <w:r w:rsidR="0093396E" w:rsidRPr="00026AF4">
        <w:rPr>
          <w:rFonts w:asciiTheme="minorHAnsi" w:hAnsiTheme="minorHAnsi"/>
          <w:lang w:val="en-US"/>
        </w:rPr>
        <w:t>,</w:t>
      </w:r>
      <w:r w:rsidR="001F7A21" w:rsidRPr="00026AF4">
        <w:rPr>
          <w:rFonts w:asciiTheme="minorHAnsi" w:hAnsiTheme="minorHAnsi"/>
          <w:lang w:val="en-US"/>
        </w:rPr>
        <w:t xml:space="preserve"> 50 </w:t>
      </w:r>
      <w:r w:rsidR="0093396E" w:rsidRPr="00026AF4">
        <w:rPr>
          <w:rFonts w:asciiTheme="minorHAnsi" w:hAnsiTheme="minorHAnsi"/>
          <w:lang w:val="en-US"/>
        </w:rPr>
        <w:t>and</w:t>
      </w:r>
      <w:r w:rsidR="001F7A21" w:rsidRPr="00026AF4">
        <w:rPr>
          <w:rFonts w:asciiTheme="minorHAnsi" w:hAnsiTheme="minorHAnsi"/>
          <w:lang w:val="en-US"/>
        </w:rPr>
        <w:t xml:space="preserve"> 60 years.</w:t>
      </w:r>
    </w:p>
    <w:p w14:paraId="665B919C" w14:textId="77777777" w:rsidR="001F7A21" w:rsidRPr="00026AF4" w:rsidRDefault="001F7A21" w:rsidP="00DA2984">
      <w:pPr>
        <w:jc w:val="both"/>
        <w:rPr>
          <w:rFonts w:asciiTheme="minorHAnsi" w:hAnsiTheme="minorHAnsi"/>
          <w:lang w:val="en-US"/>
        </w:rPr>
      </w:pPr>
      <w:r w:rsidRPr="00026AF4">
        <w:rPr>
          <w:rFonts w:asciiTheme="minorHAnsi" w:hAnsiTheme="minorHAnsi"/>
          <w:lang w:val="en-US"/>
        </w:rPr>
        <w:t xml:space="preserve">Seven </w:t>
      </w:r>
      <w:r w:rsidR="00754450" w:rsidRPr="00026AF4">
        <w:rPr>
          <w:rFonts w:asciiTheme="minorHAnsi" w:hAnsiTheme="minorHAnsi"/>
          <w:lang w:val="en-US"/>
        </w:rPr>
        <w:t xml:space="preserve">patients </w:t>
      </w:r>
      <w:r w:rsidRPr="00026AF4">
        <w:rPr>
          <w:rFonts w:asciiTheme="minorHAnsi" w:hAnsiTheme="minorHAnsi"/>
          <w:lang w:val="en-US"/>
        </w:rPr>
        <w:t xml:space="preserve">(3.3%) </w:t>
      </w:r>
      <w:r w:rsidR="00754450" w:rsidRPr="00026AF4">
        <w:rPr>
          <w:rFonts w:asciiTheme="minorHAnsi" w:hAnsiTheme="minorHAnsi"/>
          <w:lang w:val="en-US"/>
        </w:rPr>
        <w:t xml:space="preserve">developed pancreatic cancer in the </w:t>
      </w:r>
      <w:r w:rsidR="00754450" w:rsidRPr="00026AF4">
        <w:rPr>
          <w:rFonts w:asciiTheme="minorHAnsi" w:hAnsiTheme="minorHAnsi"/>
          <w:i/>
          <w:lang w:val="en-US"/>
        </w:rPr>
        <w:t>SPINK1</w:t>
      </w:r>
      <w:r w:rsidR="00F138C5" w:rsidRPr="00026AF4">
        <w:rPr>
          <w:rFonts w:asciiTheme="minorHAnsi" w:hAnsiTheme="minorHAnsi"/>
          <w:lang w:val="en-US"/>
        </w:rPr>
        <w:t xml:space="preserve"> </w:t>
      </w:r>
      <w:r w:rsidR="00754450" w:rsidRPr="00026AF4">
        <w:rPr>
          <w:rFonts w:asciiTheme="minorHAnsi" w:hAnsiTheme="minorHAnsi"/>
          <w:lang w:val="en-US"/>
        </w:rPr>
        <w:t xml:space="preserve">group (versus 3 (0.99%), </w:t>
      </w:r>
      <w:r w:rsidRPr="00026AF4">
        <w:rPr>
          <w:rFonts w:asciiTheme="minorHAnsi" w:hAnsiTheme="minorHAnsi"/>
          <w:lang w:val="en-US"/>
        </w:rPr>
        <w:t xml:space="preserve">p=0.1), at a median age of 60 </w:t>
      </w:r>
      <w:proofErr w:type="spellStart"/>
      <w:r w:rsidRPr="00026AF4">
        <w:rPr>
          <w:rFonts w:asciiTheme="minorHAnsi" w:hAnsiTheme="minorHAnsi"/>
          <w:lang w:val="en-US"/>
        </w:rPr>
        <w:t>vs</w:t>
      </w:r>
      <w:proofErr w:type="spellEnd"/>
      <w:r w:rsidRPr="00026AF4">
        <w:rPr>
          <w:rFonts w:asciiTheme="minorHAnsi" w:hAnsiTheme="minorHAnsi"/>
          <w:lang w:val="en-US"/>
        </w:rPr>
        <w:t xml:space="preserve"> 66 years.</w:t>
      </w:r>
      <w:r w:rsidR="0093396E" w:rsidRPr="00026AF4">
        <w:rPr>
          <w:rFonts w:asciiTheme="minorHAnsi" w:hAnsiTheme="minorHAnsi"/>
          <w:lang w:val="en-US"/>
        </w:rPr>
        <w:t xml:space="preserve"> </w:t>
      </w:r>
      <w:r w:rsidRPr="00026AF4">
        <w:rPr>
          <w:rFonts w:asciiTheme="minorHAnsi" w:hAnsiTheme="minorHAnsi"/>
          <w:lang w:val="en-US"/>
        </w:rPr>
        <w:t xml:space="preserve">The </w:t>
      </w:r>
      <w:r w:rsidR="00754450" w:rsidRPr="00026AF4">
        <w:rPr>
          <w:rFonts w:asciiTheme="minorHAnsi" w:hAnsiTheme="minorHAnsi"/>
          <w:lang w:val="en-US"/>
        </w:rPr>
        <w:t>cancer risk</w:t>
      </w:r>
      <w:r w:rsidRPr="00026AF4">
        <w:rPr>
          <w:rFonts w:asciiTheme="minorHAnsi" w:hAnsiTheme="minorHAnsi"/>
          <w:lang w:val="en-US"/>
        </w:rPr>
        <w:t xml:space="preserve"> was 0.8% before 50 years, 11.9%</w:t>
      </w:r>
      <w:r w:rsidR="0093396E" w:rsidRPr="00026AF4">
        <w:rPr>
          <w:rFonts w:asciiTheme="minorHAnsi" w:hAnsiTheme="minorHAnsi"/>
          <w:lang w:val="en-US"/>
        </w:rPr>
        <w:t>,</w:t>
      </w:r>
      <w:r w:rsidRPr="00026AF4">
        <w:rPr>
          <w:rFonts w:asciiTheme="minorHAnsi" w:hAnsiTheme="minorHAnsi"/>
          <w:lang w:val="en-US"/>
        </w:rPr>
        <w:t xml:space="preserve"> </w:t>
      </w:r>
      <w:r w:rsidR="0093396E" w:rsidRPr="00026AF4">
        <w:rPr>
          <w:rFonts w:asciiTheme="minorHAnsi" w:hAnsiTheme="minorHAnsi"/>
          <w:lang w:val="en-US"/>
        </w:rPr>
        <w:t xml:space="preserve">27.7%, 51.8% </w:t>
      </w:r>
      <w:r w:rsidRPr="00026AF4">
        <w:rPr>
          <w:rFonts w:asciiTheme="minorHAnsi" w:hAnsiTheme="minorHAnsi"/>
          <w:lang w:val="en-US"/>
        </w:rPr>
        <w:t xml:space="preserve">at 60, 70 and 80 years </w:t>
      </w:r>
      <w:r w:rsidR="00754450" w:rsidRPr="00026AF4">
        <w:rPr>
          <w:rFonts w:asciiTheme="minorHAnsi" w:hAnsiTheme="minorHAnsi"/>
          <w:lang w:val="en-US"/>
        </w:rPr>
        <w:t>and</w:t>
      </w:r>
      <w:r w:rsidRPr="00026AF4">
        <w:rPr>
          <w:rFonts w:asciiTheme="minorHAnsi" w:hAnsiTheme="minorHAnsi"/>
          <w:lang w:val="en-US"/>
        </w:rPr>
        <w:t xml:space="preserve"> </w:t>
      </w:r>
      <w:r w:rsidR="004F61E0" w:rsidRPr="00026AF4">
        <w:rPr>
          <w:rFonts w:asciiTheme="minorHAnsi" w:hAnsiTheme="minorHAnsi"/>
          <w:lang w:val="en-US"/>
        </w:rPr>
        <w:t>was</w:t>
      </w:r>
      <w:r w:rsidRPr="00026AF4">
        <w:rPr>
          <w:rFonts w:asciiTheme="minorHAnsi" w:hAnsiTheme="minorHAnsi"/>
          <w:lang w:val="en-US"/>
        </w:rPr>
        <w:t xml:space="preserve"> 12 times higher than in </w:t>
      </w:r>
      <w:r w:rsidR="0093396E" w:rsidRPr="00026AF4">
        <w:rPr>
          <w:rFonts w:asciiTheme="minorHAnsi" w:hAnsiTheme="minorHAnsi"/>
          <w:lang w:val="en-US"/>
        </w:rPr>
        <w:t>controls</w:t>
      </w:r>
      <w:r w:rsidRPr="00026AF4">
        <w:rPr>
          <w:rFonts w:asciiTheme="minorHAnsi" w:hAnsiTheme="minorHAnsi"/>
          <w:lang w:val="en-US"/>
        </w:rPr>
        <w:t xml:space="preserve"> (Cox HR 12.0 (3.0-47.8), p&lt;0.001).</w:t>
      </w:r>
    </w:p>
    <w:p w14:paraId="14259E44" w14:textId="77777777" w:rsidR="009A5DB1" w:rsidRPr="00026AF4" w:rsidRDefault="009A5DB1" w:rsidP="008D39C5">
      <w:pPr>
        <w:tabs>
          <w:tab w:val="left" w:pos="6521"/>
        </w:tabs>
        <w:jc w:val="both"/>
        <w:rPr>
          <w:rFonts w:asciiTheme="minorHAnsi" w:hAnsiTheme="minorHAnsi"/>
          <w:i/>
          <w:lang w:val="en-US"/>
        </w:rPr>
      </w:pPr>
      <w:r w:rsidRPr="00026AF4">
        <w:rPr>
          <w:rFonts w:asciiTheme="minorHAnsi" w:hAnsiTheme="minorHAnsi"/>
          <w:b/>
          <w:lang w:val="en-US"/>
        </w:rPr>
        <w:t>Interpretation</w:t>
      </w:r>
      <w:r w:rsidRPr="00026AF4">
        <w:rPr>
          <w:rFonts w:asciiTheme="minorHAnsi" w:hAnsiTheme="minorHAnsi"/>
          <w:i/>
          <w:lang w:val="en-US"/>
        </w:rPr>
        <w:t xml:space="preserve"> </w:t>
      </w:r>
    </w:p>
    <w:p w14:paraId="0315ED61" w14:textId="023548E9" w:rsidR="00275C37" w:rsidRPr="00026AF4" w:rsidRDefault="008D39C5" w:rsidP="008D39C5">
      <w:pPr>
        <w:tabs>
          <w:tab w:val="left" w:pos="6521"/>
        </w:tabs>
        <w:jc w:val="both"/>
        <w:rPr>
          <w:rFonts w:asciiTheme="minorHAnsi" w:hAnsiTheme="minorHAnsi"/>
          <w:lang w:val="en-US"/>
        </w:rPr>
      </w:pPr>
      <w:r w:rsidRPr="00026AF4">
        <w:rPr>
          <w:rFonts w:asciiTheme="minorHAnsi" w:hAnsiTheme="minorHAnsi"/>
          <w:i/>
          <w:lang w:val="en-US"/>
        </w:rPr>
        <w:t>SPINK1</w:t>
      </w:r>
      <w:r w:rsidRPr="00026AF4">
        <w:rPr>
          <w:rFonts w:asciiTheme="minorHAnsi" w:hAnsiTheme="minorHAnsi"/>
          <w:lang w:val="en-US"/>
        </w:rPr>
        <w:t xml:space="preserve"> related pancreatitis</w:t>
      </w:r>
      <w:r w:rsidR="00DA2984" w:rsidRPr="00026AF4">
        <w:rPr>
          <w:rFonts w:asciiTheme="minorHAnsi" w:hAnsiTheme="minorHAnsi"/>
          <w:lang w:val="en-US"/>
        </w:rPr>
        <w:t xml:space="preserve"> </w:t>
      </w:r>
      <w:r w:rsidRPr="00026AF4">
        <w:rPr>
          <w:rFonts w:asciiTheme="minorHAnsi" w:hAnsiTheme="minorHAnsi"/>
          <w:lang w:val="en-US"/>
        </w:rPr>
        <w:t>is</w:t>
      </w:r>
      <w:r w:rsidR="00DA2984" w:rsidRPr="00026AF4">
        <w:rPr>
          <w:rFonts w:asciiTheme="minorHAnsi" w:hAnsiTheme="minorHAnsi"/>
          <w:lang w:val="en-US"/>
        </w:rPr>
        <w:t xml:space="preserve"> associated with earlier onset and </w:t>
      </w:r>
      <w:r w:rsidRPr="00026AF4">
        <w:rPr>
          <w:rFonts w:asciiTheme="minorHAnsi" w:hAnsiTheme="minorHAnsi"/>
          <w:lang w:val="en-US"/>
        </w:rPr>
        <w:t>pancreatic insufficiencies</w:t>
      </w:r>
      <w:r w:rsidR="00DA2984" w:rsidRPr="00026AF4">
        <w:rPr>
          <w:rFonts w:asciiTheme="minorHAnsi" w:hAnsiTheme="minorHAnsi"/>
          <w:lang w:val="en-US"/>
        </w:rPr>
        <w:t xml:space="preserve">. </w:t>
      </w:r>
      <w:proofErr w:type="gramStart"/>
      <w:r w:rsidR="00DA2984" w:rsidRPr="00026AF4">
        <w:rPr>
          <w:rFonts w:asciiTheme="minorHAnsi" w:hAnsiTheme="minorHAnsi"/>
          <w:lang w:val="en-US"/>
        </w:rPr>
        <w:t>p.N34S</w:t>
      </w:r>
      <w:proofErr w:type="gramEnd"/>
      <w:r w:rsidR="00DA2984" w:rsidRPr="00026AF4">
        <w:rPr>
          <w:rFonts w:asciiTheme="minorHAnsi" w:hAnsiTheme="minorHAnsi"/>
          <w:lang w:val="en-US"/>
        </w:rPr>
        <w:t xml:space="preserve"> </w:t>
      </w:r>
      <w:r w:rsidRPr="00026AF4">
        <w:rPr>
          <w:rFonts w:asciiTheme="minorHAnsi" w:hAnsiTheme="minorHAnsi"/>
          <w:i/>
          <w:lang w:val="en-US"/>
        </w:rPr>
        <w:t>SPINK1</w:t>
      </w:r>
      <w:r w:rsidRPr="00026AF4">
        <w:rPr>
          <w:rFonts w:asciiTheme="minorHAnsi" w:hAnsiTheme="minorHAnsi"/>
          <w:lang w:val="en-US"/>
        </w:rPr>
        <w:t xml:space="preserve"> </w:t>
      </w:r>
      <w:r w:rsidRPr="00026AF4">
        <w:rPr>
          <w:lang w:val="en-GB"/>
        </w:rPr>
        <w:t>may well be associated with cancer.</w:t>
      </w:r>
    </w:p>
    <w:p w14:paraId="1E328B47" w14:textId="2956125D" w:rsidR="009A5DB1" w:rsidRPr="00026AF4" w:rsidRDefault="009A5DB1" w:rsidP="00712250">
      <w:pPr>
        <w:rPr>
          <w:rFonts w:asciiTheme="minorHAnsi" w:hAnsiTheme="minorHAnsi"/>
          <w:lang w:val="en-US"/>
        </w:rPr>
      </w:pPr>
      <w:r w:rsidRPr="00026AF4">
        <w:rPr>
          <w:rFonts w:asciiTheme="minorHAnsi" w:hAnsiTheme="minorHAnsi"/>
          <w:b/>
          <w:lang w:val="en-US"/>
        </w:rPr>
        <w:t xml:space="preserve">Funding: </w:t>
      </w:r>
      <w:r w:rsidRPr="00026AF4">
        <w:rPr>
          <w:rFonts w:asciiTheme="minorHAnsi" w:hAnsiTheme="minorHAnsi"/>
          <w:lang w:val="en-US"/>
        </w:rPr>
        <w:t>none</w:t>
      </w:r>
    </w:p>
    <w:p w14:paraId="660B3FC4" w14:textId="77777777" w:rsidR="009A5DB1" w:rsidRPr="00026AF4" w:rsidRDefault="009A5DB1" w:rsidP="00712250">
      <w:pPr>
        <w:rPr>
          <w:rFonts w:asciiTheme="minorHAnsi" w:hAnsiTheme="minorHAnsi"/>
          <w:b/>
          <w:lang w:val="en-US"/>
        </w:rPr>
      </w:pPr>
    </w:p>
    <w:p w14:paraId="698E639E" w14:textId="77777777" w:rsidR="009A5DB1" w:rsidRPr="00026AF4" w:rsidRDefault="009A5DB1" w:rsidP="00712250">
      <w:pPr>
        <w:rPr>
          <w:rFonts w:asciiTheme="minorHAnsi" w:hAnsiTheme="minorHAnsi"/>
          <w:lang w:val="en-US"/>
        </w:rPr>
      </w:pPr>
    </w:p>
    <w:p w14:paraId="455541A3" w14:textId="77777777" w:rsidR="009A5DB1" w:rsidRPr="00026AF4" w:rsidRDefault="009A5DB1" w:rsidP="009A5DB1">
      <w:pPr>
        <w:jc w:val="both"/>
        <w:rPr>
          <w:rFonts w:asciiTheme="minorHAnsi" w:hAnsiTheme="minorHAnsi"/>
          <w:lang w:val="en-US"/>
        </w:rPr>
      </w:pPr>
      <w:r w:rsidRPr="00026AF4">
        <w:rPr>
          <w:rFonts w:asciiTheme="minorHAnsi" w:hAnsiTheme="minorHAnsi"/>
          <w:b/>
          <w:lang w:val="en-US"/>
        </w:rPr>
        <w:t>Keywords</w:t>
      </w:r>
      <w:r w:rsidRPr="00026AF4">
        <w:rPr>
          <w:rFonts w:asciiTheme="minorHAnsi" w:hAnsiTheme="minorHAnsi"/>
          <w:lang w:val="en-US"/>
        </w:rPr>
        <w:t xml:space="preserve">: SPINK1; genetic; pancreatitis; diabetes; pancreatic exocrine insufficiency; pancreatic cancer </w:t>
      </w:r>
    </w:p>
    <w:p w14:paraId="16909FF5" w14:textId="77777777" w:rsidR="009A5DB1" w:rsidRPr="00026AF4" w:rsidRDefault="009A5DB1" w:rsidP="00712250">
      <w:pPr>
        <w:rPr>
          <w:rFonts w:asciiTheme="minorHAnsi" w:hAnsiTheme="minorHAnsi"/>
          <w:lang w:val="en-US"/>
        </w:rPr>
      </w:pPr>
    </w:p>
    <w:p w14:paraId="72C3D690" w14:textId="77777777" w:rsidR="009A5DB1" w:rsidRPr="00026AF4" w:rsidRDefault="009A5DB1" w:rsidP="00712250">
      <w:pPr>
        <w:rPr>
          <w:rFonts w:asciiTheme="minorHAnsi" w:hAnsiTheme="minorHAnsi"/>
          <w:lang w:val="en-US"/>
        </w:rPr>
      </w:pPr>
    </w:p>
    <w:p w14:paraId="451DA029" w14:textId="5E0B5609" w:rsidR="009D6FD0" w:rsidRPr="00026AF4" w:rsidRDefault="009A5DB1" w:rsidP="009D6FD0">
      <w:pPr>
        <w:rPr>
          <w:b/>
          <w:color w:val="000000"/>
        </w:rPr>
      </w:pPr>
      <w:proofErr w:type="spellStart"/>
      <w:r w:rsidRPr="00026AF4">
        <w:rPr>
          <w:b/>
          <w:color w:val="000000"/>
        </w:rPr>
        <w:t>Research</w:t>
      </w:r>
      <w:proofErr w:type="spellEnd"/>
      <w:r w:rsidRPr="00026AF4">
        <w:rPr>
          <w:b/>
          <w:color w:val="000000"/>
        </w:rPr>
        <w:t xml:space="preserve"> in </w:t>
      </w:r>
      <w:proofErr w:type="spellStart"/>
      <w:r w:rsidRPr="00026AF4">
        <w:rPr>
          <w:b/>
          <w:color w:val="000000"/>
        </w:rPr>
        <w:t>Context</w:t>
      </w:r>
      <w:proofErr w:type="spellEnd"/>
      <w:r w:rsidRPr="00026AF4">
        <w:rPr>
          <w:b/>
          <w:color w:val="000000"/>
        </w:rPr>
        <w:t xml:space="preserve"> section</w:t>
      </w:r>
    </w:p>
    <w:p w14:paraId="73F07DB2" w14:textId="77777777" w:rsidR="009A5DB1" w:rsidRPr="00026AF4" w:rsidRDefault="009A5DB1" w:rsidP="009D6FD0">
      <w:pPr>
        <w:rPr>
          <w:color w:val="000000"/>
        </w:rPr>
      </w:pPr>
    </w:p>
    <w:p w14:paraId="14D469E7" w14:textId="06F9D231" w:rsidR="009D6FD0" w:rsidRPr="00026AF4" w:rsidRDefault="009A5DB1" w:rsidP="00A02A00">
      <w:pPr>
        <w:jc w:val="both"/>
        <w:rPr>
          <w:rFonts w:asciiTheme="minorHAnsi" w:hAnsiTheme="minorHAnsi"/>
          <w:lang w:val="en-US"/>
        </w:rPr>
      </w:pPr>
      <w:r w:rsidRPr="00026AF4">
        <w:rPr>
          <w:rFonts w:asciiTheme="minorHAnsi" w:hAnsiTheme="minorHAnsi"/>
          <w:b/>
          <w:bCs/>
        </w:rPr>
        <w:t xml:space="preserve">Evidence </w:t>
      </w:r>
      <w:proofErr w:type="spellStart"/>
      <w:r w:rsidRPr="00026AF4">
        <w:rPr>
          <w:rFonts w:asciiTheme="minorHAnsi" w:hAnsiTheme="minorHAnsi"/>
          <w:b/>
          <w:bCs/>
        </w:rPr>
        <w:t>before</w:t>
      </w:r>
      <w:proofErr w:type="spellEnd"/>
      <w:r w:rsidRPr="00026AF4">
        <w:rPr>
          <w:rFonts w:asciiTheme="minorHAnsi" w:hAnsiTheme="minorHAnsi"/>
          <w:b/>
          <w:bCs/>
        </w:rPr>
        <w:t xml:space="preserve"> </w:t>
      </w:r>
      <w:proofErr w:type="spellStart"/>
      <w:r w:rsidRPr="00026AF4">
        <w:rPr>
          <w:rFonts w:asciiTheme="minorHAnsi" w:hAnsiTheme="minorHAnsi"/>
          <w:b/>
          <w:bCs/>
        </w:rPr>
        <w:t>this</w:t>
      </w:r>
      <w:proofErr w:type="spellEnd"/>
      <w:r w:rsidRPr="00026AF4">
        <w:rPr>
          <w:rFonts w:asciiTheme="minorHAnsi" w:hAnsiTheme="minorHAnsi"/>
          <w:b/>
          <w:bCs/>
        </w:rPr>
        <w:t xml:space="preserve"> </w:t>
      </w:r>
      <w:proofErr w:type="spellStart"/>
      <w:proofErr w:type="gramStart"/>
      <w:r w:rsidRPr="00026AF4">
        <w:rPr>
          <w:rFonts w:asciiTheme="minorHAnsi" w:hAnsiTheme="minorHAnsi"/>
          <w:b/>
          <w:bCs/>
        </w:rPr>
        <w:t>study</w:t>
      </w:r>
      <w:proofErr w:type="spellEnd"/>
      <w:r w:rsidRPr="00026AF4">
        <w:rPr>
          <w:rFonts w:asciiTheme="minorHAnsi" w:hAnsiTheme="minorHAnsi"/>
          <w:b/>
          <w:lang w:val="en-US"/>
        </w:rPr>
        <w:t>:</w:t>
      </w:r>
      <w:proofErr w:type="gramEnd"/>
      <w:r w:rsidRPr="00026AF4">
        <w:rPr>
          <w:rFonts w:asciiTheme="minorHAnsi" w:hAnsiTheme="minorHAnsi"/>
          <w:b/>
          <w:lang w:val="en-US"/>
        </w:rPr>
        <w:t xml:space="preserve"> </w:t>
      </w:r>
      <w:r w:rsidR="00F01789" w:rsidRPr="00026AF4">
        <w:rPr>
          <w:rFonts w:asciiTheme="minorHAnsi" w:hAnsiTheme="minorHAnsi"/>
          <w:i/>
          <w:lang w:val="en-US"/>
        </w:rPr>
        <w:t xml:space="preserve">SPINK1 </w:t>
      </w:r>
      <w:r w:rsidR="00C42D47" w:rsidRPr="00026AF4">
        <w:rPr>
          <w:rFonts w:asciiTheme="minorHAnsi" w:hAnsiTheme="minorHAnsi"/>
          <w:lang w:val="en-US"/>
        </w:rPr>
        <w:t>is a gene coding for a protein</w:t>
      </w:r>
      <w:r w:rsidR="00C42D47" w:rsidRPr="00026AF4">
        <w:rPr>
          <w:rFonts w:asciiTheme="minorHAnsi" w:hAnsiTheme="minorHAnsi"/>
          <w:i/>
          <w:lang w:val="en-US"/>
        </w:rPr>
        <w:t xml:space="preserve"> </w:t>
      </w:r>
      <w:r w:rsidR="00C42D47" w:rsidRPr="00026AF4">
        <w:rPr>
          <w:rFonts w:asciiTheme="minorHAnsi" w:hAnsiTheme="minorHAnsi"/>
          <w:lang w:val="en-US"/>
        </w:rPr>
        <w:t>which has a role</w:t>
      </w:r>
      <w:r w:rsidR="00F01789" w:rsidRPr="00026AF4">
        <w:rPr>
          <w:rFonts w:asciiTheme="minorHAnsi" w:hAnsiTheme="minorHAnsi"/>
          <w:lang w:val="en-US"/>
        </w:rPr>
        <w:t xml:space="preserve"> to maintain the integrity of exocrine pancreatic tissue by inhibiting prematurely activated</w:t>
      </w:r>
      <w:r w:rsidR="00C42D47" w:rsidRPr="00026AF4">
        <w:rPr>
          <w:rFonts w:asciiTheme="minorHAnsi" w:hAnsiTheme="minorHAnsi"/>
          <w:lang w:val="en-US"/>
        </w:rPr>
        <w:t xml:space="preserve"> intra-pancreatic trypsin</w:t>
      </w:r>
      <w:r w:rsidR="00F01789" w:rsidRPr="00026AF4">
        <w:rPr>
          <w:rFonts w:asciiTheme="minorHAnsi" w:hAnsiTheme="minorHAnsi"/>
          <w:lang w:val="en-US"/>
        </w:rPr>
        <w:t xml:space="preserve">. Over 30 </w:t>
      </w:r>
      <w:r w:rsidR="00F01789" w:rsidRPr="00026AF4">
        <w:rPr>
          <w:rFonts w:asciiTheme="minorHAnsi" w:hAnsiTheme="minorHAnsi"/>
          <w:i/>
          <w:lang w:val="en-US"/>
        </w:rPr>
        <w:t>SPINK1</w:t>
      </w:r>
      <w:r w:rsidR="00F01789" w:rsidRPr="00026AF4">
        <w:rPr>
          <w:rFonts w:asciiTheme="minorHAnsi" w:hAnsiTheme="minorHAnsi"/>
          <w:lang w:val="en-US"/>
        </w:rPr>
        <w:t xml:space="preserve"> variants have been reported</w:t>
      </w:r>
      <w:r w:rsidR="00C42D47" w:rsidRPr="00026AF4">
        <w:rPr>
          <w:rFonts w:asciiTheme="minorHAnsi" w:hAnsiTheme="minorHAnsi"/>
          <w:lang w:val="en-US"/>
        </w:rPr>
        <w:t xml:space="preserve">. </w:t>
      </w:r>
      <w:r w:rsidR="00F01789" w:rsidRPr="00026AF4">
        <w:rPr>
          <w:rFonts w:asciiTheme="minorHAnsi" w:hAnsiTheme="minorHAnsi"/>
          <w:lang w:val="en-US"/>
        </w:rPr>
        <w:t xml:space="preserve">An association between </w:t>
      </w:r>
      <w:r w:rsidR="00F01789" w:rsidRPr="00026AF4">
        <w:rPr>
          <w:rFonts w:asciiTheme="minorHAnsi" w:hAnsiTheme="minorHAnsi"/>
          <w:i/>
          <w:lang w:val="en-US"/>
        </w:rPr>
        <w:t>SPINK1</w:t>
      </w:r>
      <w:r w:rsidR="00F01789" w:rsidRPr="00026AF4">
        <w:rPr>
          <w:rFonts w:asciiTheme="minorHAnsi" w:hAnsiTheme="minorHAnsi"/>
          <w:lang w:val="en-US"/>
        </w:rPr>
        <w:t xml:space="preserve"> </w:t>
      </w:r>
      <w:r w:rsidR="00A02A00" w:rsidRPr="00026AF4">
        <w:rPr>
          <w:rFonts w:asciiTheme="minorHAnsi" w:hAnsiTheme="minorHAnsi"/>
          <w:lang w:val="en-US"/>
        </w:rPr>
        <w:t>mutations</w:t>
      </w:r>
      <w:r w:rsidR="00F01789" w:rsidRPr="00026AF4">
        <w:rPr>
          <w:rFonts w:asciiTheme="minorHAnsi" w:hAnsiTheme="minorHAnsi"/>
          <w:lang w:val="en-US"/>
        </w:rPr>
        <w:t xml:space="preserve"> and pancreatitis was reported in 6.4% to 43% of patients with idiopathic pancreatitis.  However, the prevalence of heterozygous mutation in the general population was estimated to be 1-2%, suggesting that the presence of </w:t>
      </w:r>
      <w:r w:rsidR="00F01789" w:rsidRPr="00026AF4">
        <w:rPr>
          <w:rFonts w:asciiTheme="minorHAnsi" w:hAnsiTheme="minorHAnsi"/>
          <w:i/>
          <w:lang w:val="en-US"/>
        </w:rPr>
        <w:t>SPINK1</w:t>
      </w:r>
      <w:r w:rsidR="00F01789" w:rsidRPr="00026AF4">
        <w:rPr>
          <w:rFonts w:asciiTheme="minorHAnsi" w:hAnsiTheme="minorHAnsi"/>
          <w:lang w:val="en-US"/>
        </w:rPr>
        <w:t xml:space="preserve"> variant alone is not sufficient to explain the development of chronic pancreatitis.</w:t>
      </w:r>
      <w:r w:rsidR="00A02A00" w:rsidRPr="00026AF4">
        <w:rPr>
          <w:rFonts w:asciiTheme="minorHAnsi" w:hAnsiTheme="minorHAnsi"/>
          <w:lang w:val="en-US"/>
        </w:rPr>
        <w:t xml:space="preserve"> </w:t>
      </w:r>
      <w:r w:rsidR="00F01789" w:rsidRPr="00026AF4">
        <w:rPr>
          <w:rFonts w:asciiTheme="minorHAnsi" w:hAnsiTheme="minorHAnsi"/>
          <w:lang w:val="en-US"/>
        </w:rPr>
        <w:t>The natural history of</w:t>
      </w:r>
      <w:r w:rsidR="00F01789" w:rsidRPr="00026AF4">
        <w:rPr>
          <w:rFonts w:asciiTheme="minorHAnsi" w:hAnsiTheme="minorHAnsi"/>
          <w:i/>
          <w:lang w:val="en-US"/>
        </w:rPr>
        <w:t xml:space="preserve"> SPINK1</w:t>
      </w:r>
      <w:r w:rsidR="00F01789" w:rsidRPr="00026AF4">
        <w:rPr>
          <w:rFonts w:asciiTheme="minorHAnsi" w:hAnsiTheme="minorHAnsi"/>
          <w:lang w:val="en-US"/>
        </w:rPr>
        <w:t xml:space="preserve">-related pancreatitis is currently inadequately described and previous literature reports are still controversial. </w:t>
      </w:r>
    </w:p>
    <w:p w14:paraId="2CC189F4" w14:textId="1C9A2DAC" w:rsidR="0093396E" w:rsidRPr="00026AF4" w:rsidRDefault="009A5DB1" w:rsidP="009D6FD0">
      <w:pPr>
        <w:rPr>
          <w:rFonts w:asciiTheme="minorHAnsi" w:hAnsiTheme="minorHAnsi"/>
          <w:b/>
          <w:lang w:val="en-US"/>
        </w:rPr>
      </w:pPr>
      <w:proofErr w:type="spellStart"/>
      <w:r w:rsidRPr="00026AF4">
        <w:rPr>
          <w:rFonts w:asciiTheme="minorHAnsi" w:hAnsiTheme="minorHAnsi"/>
          <w:b/>
          <w:bCs/>
        </w:rPr>
        <w:t>Added</w:t>
      </w:r>
      <w:proofErr w:type="spellEnd"/>
      <w:r w:rsidRPr="00026AF4">
        <w:rPr>
          <w:rFonts w:asciiTheme="minorHAnsi" w:hAnsiTheme="minorHAnsi"/>
          <w:b/>
          <w:bCs/>
        </w:rPr>
        <w:t xml:space="preserve"> value of </w:t>
      </w:r>
      <w:proofErr w:type="spellStart"/>
      <w:r w:rsidRPr="00026AF4">
        <w:rPr>
          <w:rFonts w:asciiTheme="minorHAnsi" w:hAnsiTheme="minorHAnsi"/>
          <w:b/>
          <w:bCs/>
        </w:rPr>
        <w:t>this</w:t>
      </w:r>
      <w:proofErr w:type="spellEnd"/>
      <w:r w:rsidRPr="00026AF4">
        <w:rPr>
          <w:rFonts w:asciiTheme="minorHAnsi" w:hAnsiTheme="minorHAnsi"/>
          <w:b/>
          <w:bCs/>
        </w:rPr>
        <w:t xml:space="preserve"> </w:t>
      </w:r>
      <w:proofErr w:type="spellStart"/>
      <w:proofErr w:type="gramStart"/>
      <w:r w:rsidRPr="00026AF4">
        <w:rPr>
          <w:rFonts w:asciiTheme="minorHAnsi" w:hAnsiTheme="minorHAnsi"/>
          <w:b/>
          <w:bCs/>
        </w:rPr>
        <w:t>study</w:t>
      </w:r>
      <w:proofErr w:type="spellEnd"/>
      <w:r w:rsidRPr="00026AF4">
        <w:rPr>
          <w:rFonts w:asciiTheme="minorHAnsi" w:hAnsiTheme="minorHAnsi"/>
          <w:b/>
          <w:lang w:val="en-US"/>
        </w:rPr>
        <w:t>:</w:t>
      </w:r>
      <w:proofErr w:type="gramEnd"/>
      <w:r w:rsidRPr="00026AF4">
        <w:rPr>
          <w:rFonts w:asciiTheme="minorHAnsi" w:hAnsiTheme="minorHAnsi"/>
          <w:b/>
          <w:lang w:val="en-US"/>
        </w:rPr>
        <w:t xml:space="preserve"> </w:t>
      </w:r>
      <w:r w:rsidR="0093396E" w:rsidRPr="00026AF4">
        <w:rPr>
          <w:rFonts w:asciiTheme="minorHAnsi" w:hAnsiTheme="minorHAnsi"/>
          <w:i/>
          <w:lang w:val="en-US"/>
        </w:rPr>
        <w:t>SPINK1</w:t>
      </w:r>
      <w:r w:rsidR="0093396E" w:rsidRPr="00026AF4">
        <w:rPr>
          <w:rFonts w:asciiTheme="minorHAnsi" w:hAnsiTheme="minorHAnsi"/>
          <w:lang w:val="en-US"/>
        </w:rPr>
        <w:t xml:space="preserve"> related pancreatitis is associated with earlier onset of pancreatic inflammation</w:t>
      </w:r>
      <w:r w:rsidR="003849D8" w:rsidRPr="00026AF4">
        <w:rPr>
          <w:rFonts w:asciiTheme="minorHAnsi" w:hAnsiTheme="minorHAnsi"/>
          <w:b/>
          <w:lang w:val="en-US"/>
        </w:rPr>
        <w:t xml:space="preserve">. </w:t>
      </w:r>
      <w:r w:rsidR="0093396E" w:rsidRPr="00026AF4">
        <w:rPr>
          <w:rFonts w:asciiTheme="minorHAnsi" w:hAnsiTheme="minorHAnsi"/>
          <w:lang w:val="en-US"/>
        </w:rPr>
        <w:t>The risk of pancreatic cancer is 12 times higher than in idiopathic pancreatitis</w:t>
      </w:r>
      <w:r w:rsidR="003849D8" w:rsidRPr="00026AF4">
        <w:rPr>
          <w:rFonts w:asciiTheme="minorHAnsi" w:hAnsiTheme="minorHAnsi"/>
          <w:lang w:val="en-US"/>
        </w:rPr>
        <w:t xml:space="preserve">. </w:t>
      </w:r>
      <w:r w:rsidR="0093396E" w:rsidRPr="00026AF4">
        <w:rPr>
          <w:rFonts w:asciiTheme="minorHAnsi" w:hAnsiTheme="minorHAnsi"/>
          <w:lang w:val="en-US"/>
        </w:rPr>
        <w:t xml:space="preserve">p. N34S </w:t>
      </w:r>
      <w:r w:rsidR="0093396E" w:rsidRPr="00026AF4">
        <w:rPr>
          <w:rFonts w:asciiTheme="minorHAnsi" w:hAnsiTheme="minorHAnsi"/>
          <w:i/>
          <w:lang w:val="en-US"/>
        </w:rPr>
        <w:t>SPINK1</w:t>
      </w:r>
      <w:r w:rsidR="0093396E" w:rsidRPr="00026AF4">
        <w:rPr>
          <w:rFonts w:asciiTheme="minorHAnsi" w:hAnsiTheme="minorHAnsi"/>
          <w:lang w:val="en-US"/>
        </w:rPr>
        <w:t xml:space="preserve"> </w:t>
      </w:r>
      <w:r w:rsidR="0093396E" w:rsidRPr="00026AF4">
        <w:rPr>
          <w:lang w:val="en-GB"/>
        </w:rPr>
        <w:t>may well be associated with cancer, espe</w:t>
      </w:r>
      <w:r w:rsidR="0083698D" w:rsidRPr="00026AF4">
        <w:rPr>
          <w:lang w:val="en-GB"/>
        </w:rPr>
        <w:t>cially in case of pancreatic calcifications</w:t>
      </w:r>
    </w:p>
    <w:p w14:paraId="0CEE6A1F" w14:textId="52D48E7A" w:rsidR="0093396E" w:rsidRPr="00026AF4" w:rsidRDefault="003849D8" w:rsidP="0088173D">
      <w:pPr>
        <w:jc w:val="both"/>
        <w:rPr>
          <w:rFonts w:asciiTheme="minorHAnsi" w:hAnsiTheme="minorHAnsi"/>
          <w:b/>
          <w:lang w:val="en-US"/>
        </w:rPr>
      </w:pPr>
      <w:r w:rsidRPr="00026AF4">
        <w:rPr>
          <w:rFonts w:asciiTheme="minorHAnsi" w:hAnsiTheme="minorHAnsi"/>
          <w:b/>
          <w:lang w:val="en-US"/>
        </w:rPr>
        <w:t xml:space="preserve">Implications of all the available evidence: </w:t>
      </w:r>
      <w:proofErr w:type="gramStart"/>
      <w:r w:rsidR="0093396E" w:rsidRPr="00026AF4">
        <w:rPr>
          <w:rFonts w:asciiTheme="minorHAnsi" w:hAnsiTheme="minorHAnsi"/>
          <w:lang w:val="en-US"/>
        </w:rPr>
        <w:t>p.N34S</w:t>
      </w:r>
      <w:proofErr w:type="gramEnd"/>
      <w:r w:rsidR="0093396E" w:rsidRPr="00026AF4">
        <w:rPr>
          <w:rFonts w:asciiTheme="minorHAnsi" w:hAnsiTheme="minorHAnsi"/>
          <w:lang w:val="en-US"/>
        </w:rPr>
        <w:t xml:space="preserve"> carriers with </w:t>
      </w:r>
      <w:r w:rsidR="0083698D" w:rsidRPr="00026AF4">
        <w:rPr>
          <w:rFonts w:asciiTheme="minorHAnsi" w:hAnsiTheme="minorHAnsi"/>
          <w:lang w:val="en-US"/>
        </w:rPr>
        <w:t>pancreatic symptoms</w:t>
      </w:r>
      <w:r w:rsidR="0093396E" w:rsidRPr="00026AF4">
        <w:rPr>
          <w:rFonts w:asciiTheme="minorHAnsi" w:hAnsiTheme="minorHAnsi"/>
          <w:lang w:val="en-US"/>
        </w:rPr>
        <w:t xml:space="preserve"> should be offered appropriate advice and follow-up in a multidisciplinary specialist pancreatic outpatient clinic and monitoring for symptoms or signs of chronic pancreatitis.</w:t>
      </w:r>
      <w:r w:rsidR="0083698D" w:rsidRPr="00026AF4">
        <w:rPr>
          <w:rFonts w:asciiTheme="minorHAnsi" w:hAnsiTheme="minorHAnsi"/>
          <w:lang w:val="en-US"/>
        </w:rPr>
        <w:t xml:space="preserve"> A cancer-screening program has to be discussed for patients, especially in case of pancreatic calcifications.</w:t>
      </w:r>
    </w:p>
    <w:p w14:paraId="3169D6B1" w14:textId="77777777" w:rsidR="0083698D" w:rsidRPr="00026AF4" w:rsidRDefault="0083698D" w:rsidP="0093396E">
      <w:pPr>
        <w:jc w:val="both"/>
        <w:rPr>
          <w:rFonts w:asciiTheme="minorHAnsi" w:hAnsiTheme="minorHAnsi"/>
          <w:lang w:val="en-US"/>
        </w:rPr>
      </w:pPr>
    </w:p>
    <w:p w14:paraId="69977E2C" w14:textId="56B731C4" w:rsidR="007D608F" w:rsidRPr="00026AF4" w:rsidRDefault="007D608F" w:rsidP="00B02FFD">
      <w:pPr>
        <w:spacing w:after="200"/>
        <w:rPr>
          <w:rFonts w:asciiTheme="minorHAnsi" w:hAnsiTheme="minorHAnsi"/>
          <w:b/>
          <w:lang w:val="en-US"/>
        </w:rPr>
      </w:pPr>
      <w:r w:rsidRPr="00026AF4">
        <w:rPr>
          <w:rFonts w:asciiTheme="minorHAnsi" w:hAnsiTheme="minorHAnsi"/>
          <w:b/>
          <w:lang w:val="en-US"/>
        </w:rPr>
        <w:br w:type="page"/>
      </w:r>
      <w:r w:rsidRPr="00026AF4">
        <w:rPr>
          <w:rFonts w:asciiTheme="minorHAnsi" w:hAnsiTheme="minorHAnsi"/>
          <w:b/>
          <w:lang w:val="en-US"/>
        </w:rPr>
        <w:lastRenderedPageBreak/>
        <w:t>Introduction</w:t>
      </w:r>
    </w:p>
    <w:p w14:paraId="73D03E57" w14:textId="77777777" w:rsidR="007D4949" w:rsidRPr="00026AF4" w:rsidRDefault="007D4949" w:rsidP="00712250">
      <w:pPr>
        <w:rPr>
          <w:rFonts w:asciiTheme="minorHAnsi" w:hAnsiTheme="minorHAnsi"/>
          <w:b/>
          <w:lang w:val="en-US"/>
        </w:rPr>
      </w:pPr>
    </w:p>
    <w:p w14:paraId="16F48013" w14:textId="77777777" w:rsidR="00B4590A" w:rsidRPr="00026AF4" w:rsidRDefault="00F317BB" w:rsidP="00DD2F2B">
      <w:pPr>
        <w:jc w:val="both"/>
        <w:rPr>
          <w:rFonts w:asciiTheme="minorHAnsi" w:hAnsiTheme="minorHAnsi"/>
          <w:lang w:val="en-US"/>
        </w:rPr>
      </w:pPr>
      <w:r w:rsidRPr="00026AF4">
        <w:rPr>
          <w:rFonts w:asciiTheme="minorHAnsi" w:hAnsiTheme="minorHAnsi"/>
          <w:lang w:val="en-US"/>
        </w:rPr>
        <w:t>A</w:t>
      </w:r>
      <w:r w:rsidR="00302FEA" w:rsidRPr="00026AF4">
        <w:rPr>
          <w:rFonts w:asciiTheme="minorHAnsi" w:hAnsiTheme="minorHAnsi"/>
          <w:lang w:val="en-US"/>
        </w:rPr>
        <w:t xml:space="preserve">dvances </w:t>
      </w:r>
      <w:r w:rsidRPr="00026AF4">
        <w:rPr>
          <w:rFonts w:asciiTheme="minorHAnsi" w:hAnsiTheme="minorHAnsi"/>
          <w:lang w:val="en-US"/>
        </w:rPr>
        <w:t>in</w:t>
      </w:r>
      <w:r w:rsidR="00302FEA" w:rsidRPr="00026AF4">
        <w:rPr>
          <w:rFonts w:asciiTheme="minorHAnsi" w:hAnsiTheme="minorHAnsi"/>
          <w:lang w:val="en-US"/>
        </w:rPr>
        <w:t xml:space="preserve"> </w:t>
      </w:r>
      <w:r w:rsidR="008955CA" w:rsidRPr="00026AF4">
        <w:rPr>
          <w:rFonts w:asciiTheme="minorHAnsi" w:hAnsiTheme="minorHAnsi"/>
          <w:lang w:val="en-US"/>
        </w:rPr>
        <w:t>the field of clinical genetics</w:t>
      </w:r>
      <w:r w:rsidR="00981921" w:rsidRPr="00026AF4">
        <w:rPr>
          <w:rFonts w:asciiTheme="minorHAnsi" w:hAnsiTheme="minorHAnsi"/>
          <w:lang w:val="en-US"/>
        </w:rPr>
        <w:t xml:space="preserve"> and the availability of genetic testing at a larger scale in the general population have</w:t>
      </w:r>
      <w:r w:rsidR="00302FEA" w:rsidRPr="00026AF4">
        <w:rPr>
          <w:rFonts w:asciiTheme="minorHAnsi" w:hAnsiTheme="minorHAnsi"/>
          <w:lang w:val="en-US"/>
        </w:rPr>
        <w:t xml:space="preserve"> </w:t>
      </w:r>
      <w:r w:rsidRPr="00026AF4">
        <w:rPr>
          <w:rFonts w:asciiTheme="minorHAnsi" w:hAnsiTheme="minorHAnsi"/>
          <w:lang w:val="en-US"/>
        </w:rPr>
        <w:t>le</w:t>
      </w:r>
      <w:r w:rsidR="00981921" w:rsidRPr="00026AF4">
        <w:rPr>
          <w:rFonts w:asciiTheme="minorHAnsi" w:hAnsiTheme="minorHAnsi"/>
          <w:lang w:val="en-US"/>
        </w:rPr>
        <w:t>d</w:t>
      </w:r>
      <w:r w:rsidR="00302FEA" w:rsidRPr="00026AF4">
        <w:rPr>
          <w:rFonts w:asciiTheme="minorHAnsi" w:hAnsiTheme="minorHAnsi"/>
          <w:lang w:val="en-US"/>
        </w:rPr>
        <w:t xml:space="preserve"> </w:t>
      </w:r>
      <w:r w:rsidRPr="00026AF4">
        <w:rPr>
          <w:rFonts w:asciiTheme="minorHAnsi" w:hAnsiTheme="minorHAnsi"/>
          <w:lang w:val="en-US"/>
        </w:rPr>
        <w:t>to</w:t>
      </w:r>
      <w:r w:rsidR="00302FEA" w:rsidRPr="00026AF4">
        <w:rPr>
          <w:rFonts w:asciiTheme="minorHAnsi" w:hAnsiTheme="minorHAnsi"/>
          <w:lang w:val="en-US"/>
        </w:rPr>
        <w:t xml:space="preserve"> major </w:t>
      </w:r>
      <w:r w:rsidR="00C74AC3" w:rsidRPr="00026AF4">
        <w:rPr>
          <w:rFonts w:asciiTheme="minorHAnsi" w:hAnsiTheme="minorHAnsi"/>
          <w:lang w:val="en-US"/>
        </w:rPr>
        <w:t xml:space="preserve">progress in </w:t>
      </w:r>
      <w:r w:rsidR="00585616" w:rsidRPr="00026AF4">
        <w:rPr>
          <w:rFonts w:asciiTheme="minorHAnsi" w:hAnsiTheme="minorHAnsi"/>
          <w:lang w:val="en-US"/>
        </w:rPr>
        <w:t>understand</w:t>
      </w:r>
      <w:r w:rsidR="008558CF" w:rsidRPr="00026AF4">
        <w:rPr>
          <w:rFonts w:asciiTheme="minorHAnsi" w:hAnsiTheme="minorHAnsi"/>
          <w:lang w:val="en-US"/>
        </w:rPr>
        <w:t>ing</w:t>
      </w:r>
      <w:r w:rsidR="00585616" w:rsidRPr="00026AF4">
        <w:rPr>
          <w:rFonts w:asciiTheme="minorHAnsi" w:hAnsiTheme="minorHAnsi"/>
          <w:lang w:val="en-US"/>
        </w:rPr>
        <w:t xml:space="preserve"> the</w:t>
      </w:r>
      <w:r w:rsidR="00302FEA" w:rsidRPr="00026AF4">
        <w:rPr>
          <w:rFonts w:asciiTheme="minorHAnsi" w:hAnsiTheme="minorHAnsi"/>
          <w:lang w:val="en-US"/>
        </w:rPr>
        <w:t xml:space="preserve"> pancreatic inflammat</w:t>
      </w:r>
      <w:r w:rsidR="006111CC" w:rsidRPr="00026AF4">
        <w:rPr>
          <w:rFonts w:asciiTheme="minorHAnsi" w:hAnsiTheme="minorHAnsi"/>
          <w:lang w:val="en-US"/>
        </w:rPr>
        <w:t>ory</w:t>
      </w:r>
      <w:r w:rsidR="00585616" w:rsidRPr="00026AF4">
        <w:rPr>
          <w:rFonts w:asciiTheme="minorHAnsi" w:hAnsiTheme="minorHAnsi"/>
          <w:lang w:val="en-US"/>
        </w:rPr>
        <w:t xml:space="preserve"> </w:t>
      </w:r>
      <w:r w:rsidR="006111CC" w:rsidRPr="00026AF4">
        <w:rPr>
          <w:rFonts w:asciiTheme="minorHAnsi" w:hAnsiTheme="minorHAnsi"/>
          <w:lang w:val="en-US"/>
        </w:rPr>
        <w:t xml:space="preserve">process </w:t>
      </w:r>
      <w:r w:rsidR="00981921" w:rsidRPr="00026AF4">
        <w:rPr>
          <w:rFonts w:asciiTheme="minorHAnsi" w:hAnsiTheme="minorHAnsi"/>
          <w:lang w:val="en-US"/>
        </w:rPr>
        <w:t>and more particularly</w:t>
      </w:r>
      <w:r w:rsidR="00302FEA" w:rsidRPr="00026AF4">
        <w:rPr>
          <w:rFonts w:asciiTheme="minorHAnsi" w:hAnsiTheme="minorHAnsi"/>
          <w:lang w:val="en-US"/>
        </w:rPr>
        <w:t xml:space="preserve"> </w:t>
      </w:r>
      <w:r w:rsidR="00585616" w:rsidRPr="00026AF4">
        <w:rPr>
          <w:rFonts w:asciiTheme="minorHAnsi" w:hAnsiTheme="minorHAnsi"/>
          <w:lang w:val="en-US"/>
        </w:rPr>
        <w:t xml:space="preserve">the </w:t>
      </w:r>
      <w:r w:rsidR="00302FEA" w:rsidRPr="00026AF4">
        <w:rPr>
          <w:rFonts w:asciiTheme="minorHAnsi" w:hAnsiTheme="minorHAnsi"/>
          <w:lang w:val="en-US"/>
        </w:rPr>
        <w:t xml:space="preserve">causes of pancreatitis. The </w:t>
      </w:r>
      <w:r w:rsidR="00585616" w:rsidRPr="00026AF4">
        <w:rPr>
          <w:rFonts w:asciiTheme="minorHAnsi" w:hAnsiTheme="minorHAnsi"/>
          <w:lang w:val="en-US"/>
        </w:rPr>
        <w:t>role</w:t>
      </w:r>
      <w:r w:rsidR="00302FEA" w:rsidRPr="00026AF4">
        <w:rPr>
          <w:rFonts w:asciiTheme="minorHAnsi" w:hAnsiTheme="minorHAnsi"/>
          <w:lang w:val="en-US"/>
        </w:rPr>
        <w:t xml:space="preserve"> of genetic </w:t>
      </w:r>
      <w:r w:rsidRPr="00026AF4">
        <w:rPr>
          <w:rFonts w:asciiTheme="minorHAnsi" w:hAnsiTheme="minorHAnsi"/>
          <w:lang w:val="en-US"/>
        </w:rPr>
        <w:t>variants</w:t>
      </w:r>
      <w:r w:rsidR="00302FEA" w:rsidRPr="00026AF4">
        <w:rPr>
          <w:rFonts w:asciiTheme="minorHAnsi" w:hAnsiTheme="minorHAnsi"/>
          <w:lang w:val="en-US"/>
        </w:rPr>
        <w:t xml:space="preserve"> </w:t>
      </w:r>
      <w:r w:rsidR="00585616" w:rsidRPr="00026AF4">
        <w:rPr>
          <w:rFonts w:asciiTheme="minorHAnsi" w:hAnsiTheme="minorHAnsi"/>
          <w:lang w:val="en-US"/>
        </w:rPr>
        <w:t xml:space="preserve">is now </w:t>
      </w:r>
      <w:r w:rsidR="00981921" w:rsidRPr="00026AF4">
        <w:rPr>
          <w:rFonts w:asciiTheme="minorHAnsi" w:hAnsiTheme="minorHAnsi"/>
          <w:lang w:val="en-US"/>
        </w:rPr>
        <w:t>better understood</w:t>
      </w:r>
      <w:r w:rsidRPr="00026AF4">
        <w:rPr>
          <w:rFonts w:asciiTheme="minorHAnsi" w:hAnsiTheme="minorHAnsi"/>
          <w:lang w:val="en-US"/>
        </w:rPr>
        <w:t>,</w:t>
      </w:r>
      <w:r w:rsidR="00585616" w:rsidRPr="00026AF4">
        <w:rPr>
          <w:rFonts w:asciiTheme="minorHAnsi" w:hAnsiTheme="minorHAnsi"/>
          <w:lang w:val="en-US"/>
        </w:rPr>
        <w:t xml:space="preserve"> </w:t>
      </w:r>
      <w:r w:rsidR="00981921" w:rsidRPr="00026AF4">
        <w:rPr>
          <w:rFonts w:asciiTheme="minorHAnsi" w:hAnsiTheme="minorHAnsi"/>
          <w:lang w:val="en-US"/>
        </w:rPr>
        <w:t>providing an explanation o</w:t>
      </w:r>
      <w:r w:rsidR="00EB1A92" w:rsidRPr="00026AF4">
        <w:rPr>
          <w:rFonts w:asciiTheme="minorHAnsi" w:hAnsiTheme="minorHAnsi"/>
          <w:lang w:val="en-US"/>
        </w:rPr>
        <w:t>f</w:t>
      </w:r>
      <w:r w:rsidR="00585616" w:rsidRPr="00026AF4">
        <w:rPr>
          <w:rFonts w:asciiTheme="minorHAnsi" w:hAnsiTheme="minorHAnsi"/>
          <w:lang w:val="en-US"/>
        </w:rPr>
        <w:t xml:space="preserve"> why</w:t>
      </w:r>
      <w:r w:rsidR="00981921" w:rsidRPr="00026AF4">
        <w:rPr>
          <w:rFonts w:asciiTheme="minorHAnsi" w:hAnsiTheme="minorHAnsi"/>
          <w:lang w:val="en-US"/>
        </w:rPr>
        <w:t xml:space="preserve"> some patients develop</w:t>
      </w:r>
      <w:r w:rsidR="00585616" w:rsidRPr="00026AF4">
        <w:rPr>
          <w:rFonts w:asciiTheme="minorHAnsi" w:hAnsiTheme="minorHAnsi"/>
          <w:lang w:val="en-US"/>
        </w:rPr>
        <w:t xml:space="preserve"> chronic pancreatitis</w:t>
      </w:r>
      <w:r w:rsidRPr="00026AF4">
        <w:rPr>
          <w:rFonts w:asciiTheme="minorHAnsi" w:hAnsiTheme="minorHAnsi"/>
          <w:lang w:val="en-US"/>
        </w:rPr>
        <w:t xml:space="preserve"> </w:t>
      </w:r>
      <w:r w:rsidR="00981921" w:rsidRPr="00026AF4">
        <w:rPr>
          <w:rFonts w:asciiTheme="minorHAnsi" w:hAnsiTheme="minorHAnsi"/>
          <w:lang w:val="en-US"/>
        </w:rPr>
        <w:t xml:space="preserve">early in life </w:t>
      </w:r>
      <w:r w:rsidR="00585616" w:rsidRPr="00026AF4">
        <w:rPr>
          <w:rFonts w:asciiTheme="minorHAnsi" w:hAnsiTheme="minorHAnsi"/>
          <w:lang w:val="en-US"/>
        </w:rPr>
        <w:t>or</w:t>
      </w:r>
      <w:r w:rsidR="000A59B1" w:rsidRPr="00026AF4">
        <w:rPr>
          <w:rFonts w:asciiTheme="minorHAnsi" w:hAnsiTheme="minorHAnsi"/>
          <w:lang w:val="en-US"/>
        </w:rPr>
        <w:t xml:space="preserve"> </w:t>
      </w:r>
      <w:r w:rsidR="00585616" w:rsidRPr="00026AF4">
        <w:rPr>
          <w:rFonts w:asciiTheme="minorHAnsi" w:hAnsiTheme="minorHAnsi"/>
          <w:lang w:val="en-US"/>
        </w:rPr>
        <w:t>why</w:t>
      </w:r>
      <w:r w:rsidR="00981921" w:rsidRPr="00026AF4">
        <w:rPr>
          <w:rFonts w:asciiTheme="minorHAnsi" w:hAnsiTheme="minorHAnsi"/>
          <w:lang w:val="en-US"/>
        </w:rPr>
        <w:t>, on the other hand,</w:t>
      </w:r>
      <w:r w:rsidR="00585616" w:rsidRPr="00026AF4">
        <w:rPr>
          <w:rFonts w:asciiTheme="minorHAnsi" w:hAnsiTheme="minorHAnsi"/>
          <w:lang w:val="en-US"/>
        </w:rPr>
        <w:t xml:space="preserve"> only 5% of </w:t>
      </w:r>
      <w:r w:rsidR="00DF78D4" w:rsidRPr="00026AF4">
        <w:rPr>
          <w:rFonts w:asciiTheme="minorHAnsi" w:hAnsiTheme="minorHAnsi"/>
          <w:lang w:val="en-US"/>
        </w:rPr>
        <w:t xml:space="preserve">chronic </w:t>
      </w:r>
      <w:r w:rsidR="00585616" w:rsidRPr="00026AF4">
        <w:rPr>
          <w:rFonts w:asciiTheme="minorHAnsi" w:hAnsiTheme="minorHAnsi"/>
          <w:lang w:val="en-US"/>
        </w:rPr>
        <w:t>alcohol</w:t>
      </w:r>
      <w:r w:rsidR="00DF78D4" w:rsidRPr="00026AF4">
        <w:rPr>
          <w:rFonts w:asciiTheme="minorHAnsi" w:hAnsiTheme="minorHAnsi"/>
          <w:lang w:val="en-US"/>
        </w:rPr>
        <w:t xml:space="preserve"> drinkers</w:t>
      </w:r>
      <w:r w:rsidR="00585616" w:rsidRPr="00026AF4">
        <w:rPr>
          <w:rFonts w:asciiTheme="minorHAnsi" w:hAnsiTheme="minorHAnsi"/>
          <w:lang w:val="en-US"/>
        </w:rPr>
        <w:t xml:space="preserve"> will develop pancreatic disorders. </w:t>
      </w:r>
      <w:r w:rsidR="00981921" w:rsidRPr="00026AF4">
        <w:rPr>
          <w:rFonts w:asciiTheme="minorHAnsi" w:hAnsiTheme="minorHAnsi"/>
          <w:lang w:val="en-US"/>
        </w:rPr>
        <w:t>Over the last</w:t>
      </w:r>
      <w:r w:rsidRPr="00026AF4">
        <w:rPr>
          <w:rFonts w:asciiTheme="minorHAnsi" w:hAnsiTheme="minorHAnsi"/>
          <w:lang w:val="en-US"/>
        </w:rPr>
        <w:t xml:space="preserve"> two decades</w:t>
      </w:r>
      <w:r w:rsidR="00585616" w:rsidRPr="00026AF4">
        <w:rPr>
          <w:rFonts w:asciiTheme="minorHAnsi" w:hAnsiTheme="minorHAnsi"/>
          <w:lang w:val="en-US"/>
        </w:rPr>
        <w:t xml:space="preserve">, </w:t>
      </w:r>
      <w:r w:rsidR="000A59B1" w:rsidRPr="00026AF4">
        <w:rPr>
          <w:rFonts w:asciiTheme="minorHAnsi" w:hAnsiTheme="minorHAnsi"/>
          <w:lang w:val="en-US"/>
        </w:rPr>
        <w:t xml:space="preserve">several genes and multiple variants </w:t>
      </w:r>
      <w:r w:rsidR="00981921" w:rsidRPr="00026AF4">
        <w:rPr>
          <w:rFonts w:asciiTheme="minorHAnsi" w:hAnsiTheme="minorHAnsi"/>
          <w:lang w:val="en-US"/>
        </w:rPr>
        <w:t>have been</w:t>
      </w:r>
      <w:r w:rsidR="000A59B1" w:rsidRPr="00026AF4">
        <w:rPr>
          <w:rFonts w:asciiTheme="minorHAnsi" w:hAnsiTheme="minorHAnsi"/>
          <w:lang w:val="en-US"/>
        </w:rPr>
        <w:t xml:space="preserve"> reported </w:t>
      </w:r>
      <w:r w:rsidR="00E16BF8" w:rsidRPr="00026AF4">
        <w:rPr>
          <w:rFonts w:asciiTheme="minorHAnsi" w:hAnsiTheme="minorHAnsi"/>
          <w:lang w:val="en-US"/>
        </w:rPr>
        <w:t>to have an effect on</w:t>
      </w:r>
      <w:r w:rsidR="000A59B1" w:rsidRPr="00026AF4">
        <w:rPr>
          <w:rFonts w:asciiTheme="minorHAnsi" w:hAnsiTheme="minorHAnsi"/>
          <w:lang w:val="en-US"/>
        </w:rPr>
        <w:t xml:space="preserve"> pancreatic homeostasis and</w:t>
      </w:r>
      <w:r w:rsidR="00E16BF8" w:rsidRPr="00026AF4">
        <w:rPr>
          <w:rFonts w:asciiTheme="minorHAnsi" w:hAnsiTheme="minorHAnsi"/>
          <w:lang w:val="en-US"/>
        </w:rPr>
        <w:t xml:space="preserve"> </w:t>
      </w:r>
      <w:r w:rsidR="00EB1A92" w:rsidRPr="00026AF4">
        <w:rPr>
          <w:rFonts w:asciiTheme="minorHAnsi" w:hAnsiTheme="minorHAnsi"/>
          <w:lang w:val="en-US"/>
        </w:rPr>
        <w:t>act</w:t>
      </w:r>
      <w:r w:rsidR="000A59B1" w:rsidRPr="00026AF4">
        <w:rPr>
          <w:rFonts w:asciiTheme="minorHAnsi" w:hAnsiTheme="minorHAnsi"/>
          <w:lang w:val="en-US"/>
        </w:rPr>
        <w:t xml:space="preserve"> </w:t>
      </w:r>
      <w:r w:rsidR="00B4590A" w:rsidRPr="00026AF4">
        <w:rPr>
          <w:rFonts w:asciiTheme="minorHAnsi" w:hAnsiTheme="minorHAnsi"/>
          <w:lang w:val="en-US"/>
        </w:rPr>
        <w:t xml:space="preserve">as </w:t>
      </w:r>
      <w:r w:rsidR="000A59B1" w:rsidRPr="00026AF4">
        <w:rPr>
          <w:rFonts w:asciiTheme="minorHAnsi" w:hAnsiTheme="minorHAnsi"/>
          <w:lang w:val="en-US"/>
        </w:rPr>
        <w:t>potential risk factor</w:t>
      </w:r>
      <w:r w:rsidR="00B4590A" w:rsidRPr="00026AF4">
        <w:rPr>
          <w:rFonts w:asciiTheme="minorHAnsi" w:hAnsiTheme="minorHAnsi"/>
          <w:lang w:val="en-US"/>
        </w:rPr>
        <w:t>s</w:t>
      </w:r>
      <w:r w:rsidR="000A59B1" w:rsidRPr="00026AF4">
        <w:rPr>
          <w:rFonts w:asciiTheme="minorHAnsi" w:hAnsiTheme="minorHAnsi"/>
          <w:lang w:val="en-US"/>
        </w:rPr>
        <w:t xml:space="preserve"> </w:t>
      </w:r>
      <w:r w:rsidR="00E16BF8" w:rsidRPr="00026AF4">
        <w:rPr>
          <w:rFonts w:asciiTheme="minorHAnsi" w:hAnsiTheme="minorHAnsi"/>
          <w:lang w:val="en-US"/>
        </w:rPr>
        <w:t>for</w:t>
      </w:r>
      <w:r w:rsidR="000A59B1" w:rsidRPr="00026AF4">
        <w:rPr>
          <w:rFonts w:asciiTheme="minorHAnsi" w:hAnsiTheme="minorHAnsi"/>
          <w:lang w:val="en-US"/>
        </w:rPr>
        <w:t xml:space="preserve"> pancreatic inflammation. In everyday practice,</w:t>
      </w:r>
      <w:r w:rsidR="00E16BF8" w:rsidRPr="00026AF4">
        <w:rPr>
          <w:rFonts w:asciiTheme="minorHAnsi" w:hAnsiTheme="minorHAnsi"/>
          <w:lang w:val="en-US"/>
        </w:rPr>
        <w:t xml:space="preserve"> however, </w:t>
      </w:r>
      <w:r w:rsidR="00EB1A92" w:rsidRPr="00026AF4">
        <w:rPr>
          <w:rFonts w:asciiTheme="minorHAnsi" w:hAnsiTheme="minorHAnsi"/>
          <w:lang w:val="en-US"/>
        </w:rPr>
        <w:t xml:space="preserve">only </w:t>
      </w:r>
      <w:r w:rsidR="00BB5634" w:rsidRPr="00026AF4">
        <w:rPr>
          <w:rFonts w:asciiTheme="minorHAnsi" w:hAnsiTheme="minorHAnsi"/>
          <w:lang w:val="en-US"/>
        </w:rPr>
        <w:t>few genes,</w:t>
      </w:r>
      <w:r w:rsidR="008059D8" w:rsidRPr="00026AF4">
        <w:rPr>
          <w:rFonts w:asciiTheme="minorHAnsi" w:hAnsiTheme="minorHAnsi"/>
          <w:lang w:val="en-US"/>
        </w:rPr>
        <w:t xml:space="preserve"> serine protease 1 (</w:t>
      </w:r>
      <w:r w:rsidR="00585616" w:rsidRPr="00026AF4">
        <w:rPr>
          <w:rFonts w:asciiTheme="minorHAnsi" w:hAnsiTheme="minorHAnsi"/>
          <w:i/>
          <w:lang w:val="en-US"/>
        </w:rPr>
        <w:t>PRSS1</w:t>
      </w:r>
      <w:r w:rsidR="008059D8" w:rsidRPr="00026AF4">
        <w:rPr>
          <w:rFonts w:asciiTheme="minorHAnsi" w:hAnsiTheme="minorHAnsi"/>
          <w:lang w:val="en-US"/>
        </w:rPr>
        <w:t>)</w:t>
      </w:r>
      <w:r w:rsidR="00585616" w:rsidRPr="00026AF4">
        <w:rPr>
          <w:rFonts w:asciiTheme="minorHAnsi" w:hAnsiTheme="minorHAnsi"/>
          <w:lang w:val="en-US"/>
        </w:rPr>
        <w:t xml:space="preserve">, </w:t>
      </w:r>
      <w:r w:rsidR="000A59B1" w:rsidRPr="00026AF4">
        <w:rPr>
          <w:rFonts w:asciiTheme="minorHAnsi" w:hAnsiTheme="minorHAnsi"/>
          <w:lang w:val="en-US"/>
        </w:rPr>
        <w:t xml:space="preserve">cystic fibrosis </w:t>
      </w:r>
      <w:proofErr w:type="spellStart"/>
      <w:r w:rsidR="000A59B1" w:rsidRPr="00026AF4">
        <w:rPr>
          <w:rFonts w:asciiTheme="minorHAnsi" w:hAnsiTheme="minorHAnsi"/>
          <w:lang w:val="en-US"/>
        </w:rPr>
        <w:t>transmembrane</w:t>
      </w:r>
      <w:proofErr w:type="spellEnd"/>
      <w:r w:rsidR="000A59B1" w:rsidRPr="00026AF4">
        <w:rPr>
          <w:rFonts w:asciiTheme="minorHAnsi" w:hAnsiTheme="minorHAnsi"/>
          <w:lang w:val="en-US"/>
        </w:rPr>
        <w:t xml:space="preserve"> conductance regulator gene (</w:t>
      </w:r>
      <w:r w:rsidR="000A59B1" w:rsidRPr="00026AF4">
        <w:rPr>
          <w:rFonts w:asciiTheme="minorHAnsi" w:hAnsiTheme="minorHAnsi"/>
          <w:i/>
          <w:lang w:val="en-US"/>
        </w:rPr>
        <w:t>CFTR</w:t>
      </w:r>
      <w:r w:rsidR="000A59B1" w:rsidRPr="00026AF4">
        <w:rPr>
          <w:rFonts w:asciiTheme="minorHAnsi" w:hAnsiTheme="minorHAnsi"/>
          <w:lang w:val="en-US"/>
        </w:rPr>
        <w:t xml:space="preserve">), serine protease inhibitor </w:t>
      </w:r>
      <w:proofErr w:type="spellStart"/>
      <w:r w:rsidR="000A59B1" w:rsidRPr="00026AF4">
        <w:rPr>
          <w:rFonts w:asciiTheme="minorHAnsi" w:hAnsiTheme="minorHAnsi"/>
          <w:lang w:val="en-US"/>
        </w:rPr>
        <w:t>Kazal</w:t>
      </w:r>
      <w:proofErr w:type="spellEnd"/>
      <w:r w:rsidR="000A59B1" w:rsidRPr="00026AF4">
        <w:rPr>
          <w:rFonts w:asciiTheme="minorHAnsi" w:hAnsiTheme="minorHAnsi"/>
          <w:lang w:val="en-US"/>
        </w:rPr>
        <w:t xml:space="preserve"> type 1 gene (</w:t>
      </w:r>
      <w:r w:rsidR="000A59B1" w:rsidRPr="00026AF4">
        <w:rPr>
          <w:rFonts w:asciiTheme="minorHAnsi" w:hAnsiTheme="minorHAnsi"/>
          <w:i/>
          <w:lang w:val="en-US"/>
        </w:rPr>
        <w:t>SPINK1</w:t>
      </w:r>
      <w:r w:rsidR="000A59B1" w:rsidRPr="00026AF4">
        <w:rPr>
          <w:rFonts w:asciiTheme="minorHAnsi" w:hAnsiTheme="minorHAnsi"/>
          <w:lang w:val="en-US"/>
        </w:rPr>
        <w:t>), chymotrypsin C gene (</w:t>
      </w:r>
      <w:r w:rsidR="000A59B1" w:rsidRPr="00026AF4">
        <w:rPr>
          <w:rFonts w:asciiTheme="minorHAnsi" w:hAnsiTheme="minorHAnsi"/>
          <w:i/>
          <w:lang w:val="en-US"/>
        </w:rPr>
        <w:t>CTRC</w:t>
      </w:r>
      <w:r w:rsidR="000A59B1" w:rsidRPr="00026AF4">
        <w:rPr>
          <w:rFonts w:asciiTheme="minorHAnsi" w:hAnsiTheme="minorHAnsi"/>
          <w:lang w:val="en-US"/>
        </w:rPr>
        <w:t>)</w:t>
      </w:r>
      <w:r w:rsidR="005E1D8E" w:rsidRPr="00026AF4">
        <w:rPr>
          <w:rFonts w:asciiTheme="minorHAnsi" w:hAnsiTheme="minorHAnsi"/>
          <w:lang w:val="en-US"/>
        </w:rPr>
        <w:t xml:space="preserve"> and </w:t>
      </w:r>
      <w:proofErr w:type="spellStart"/>
      <w:r w:rsidR="005E1D8E" w:rsidRPr="00026AF4">
        <w:rPr>
          <w:rFonts w:asciiTheme="minorHAnsi" w:hAnsiTheme="minorHAnsi"/>
          <w:lang w:val="en-US"/>
        </w:rPr>
        <w:t>carboxypeptidase</w:t>
      </w:r>
      <w:proofErr w:type="spellEnd"/>
      <w:r w:rsidR="005E1D8E" w:rsidRPr="00026AF4">
        <w:rPr>
          <w:rFonts w:asciiTheme="minorHAnsi" w:hAnsiTheme="minorHAnsi"/>
          <w:lang w:val="en-US"/>
        </w:rPr>
        <w:t xml:space="preserve"> A1</w:t>
      </w:r>
      <w:r w:rsidR="008059D8" w:rsidRPr="00026AF4">
        <w:rPr>
          <w:rFonts w:asciiTheme="minorHAnsi" w:hAnsiTheme="minorHAnsi"/>
          <w:lang w:val="en-US"/>
        </w:rPr>
        <w:t xml:space="preserve"> </w:t>
      </w:r>
      <w:r w:rsidR="005E1D8E" w:rsidRPr="00026AF4">
        <w:rPr>
          <w:rFonts w:asciiTheme="minorHAnsi" w:hAnsiTheme="minorHAnsi"/>
          <w:lang w:val="en-US"/>
        </w:rPr>
        <w:t>(</w:t>
      </w:r>
      <w:r w:rsidR="005E1D8E" w:rsidRPr="00026AF4">
        <w:rPr>
          <w:rFonts w:asciiTheme="minorHAnsi" w:hAnsiTheme="minorHAnsi"/>
          <w:i/>
          <w:lang w:val="en-US"/>
        </w:rPr>
        <w:t>CPA1</w:t>
      </w:r>
      <w:r w:rsidR="005E1D8E" w:rsidRPr="00026AF4">
        <w:rPr>
          <w:rFonts w:asciiTheme="minorHAnsi" w:hAnsiTheme="minorHAnsi"/>
          <w:lang w:val="en-US"/>
        </w:rPr>
        <w:t>)</w:t>
      </w:r>
      <w:r w:rsidR="00EB1A92" w:rsidRPr="00026AF4">
        <w:rPr>
          <w:rFonts w:asciiTheme="minorHAnsi" w:hAnsiTheme="minorHAnsi"/>
          <w:lang w:val="en-US"/>
        </w:rPr>
        <w:t xml:space="preserve"> are regularly analy</w:t>
      </w:r>
      <w:r w:rsidR="009A2EDC" w:rsidRPr="00026AF4">
        <w:rPr>
          <w:rFonts w:asciiTheme="minorHAnsi" w:hAnsiTheme="minorHAnsi"/>
          <w:lang w:val="en-US"/>
        </w:rPr>
        <w:t>z</w:t>
      </w:r>
      <w:r w:rsidR="00EB1A92" w:rsidRPr="00026AF4">
        <w:rPr>
          <w:rFonts w:asciiTheme="minorHAnsi" w:hAnsiTheme="minorHAnsi"/>
          <w:lang w:val="en-US"/>
        </w:rPr>
        <w:t xml:space="preserve">ed </w:t>
      </w:r>
      <w:r w:rsidR="000A59B1" w:rsidRPr="00026AF4">
        <w:rPr>
          <w:rFonts w:asciiTheme="minorHAnsi" w:hAnsiTheme="minorHAnsi"/>
          <w:lang w:val="en-US"/>
        </w:rPr>
        <w:t>in case</w:t>
      </w:r>
      <w:r w:rsidR="002F2E6B" w:rsidRPr="00026AF4">
        <w:rPr>
          <w:rFonts w:asciiTheme="minorHAnsi" w:hAnsiTheme="minorHAnsi"/>
          <w:lang w:val="en-US"/>
        </w:rPr>
        <w:t>s</w:t>
      </w:r>
      <w:r w:rsidR="000A59B1" w:rsidRPr="00026AF4">
        <w:rPr>
          <w:rFonts w:asciiTheme="minorHAnsi" w:hAnsiTheme="minorHAnsi"/>
          <w:lang w:val="en-US"/>
        </w:rPr>
        <w:t xml:space="preserve"> of idiopathic </w:t>
      </w:r>
      <w:r w:rsidR="00737DC5" w:rsidRPr="00026AF4">
        <w:rPr>
          <w:rFonts w:asciiTheme="minorHAnsi" w:hAnsiTheme="minorHAnsi"/>
          <w:lang w:val="en-US"/>
        </w:rPr>
        <w:t xml:space="preserve">recurrent acute or chronic </w:t>
      </w:r>
      <w:r w:rsidR="000A59B1" w:rsidRPr="00026AF4">
        <w:rPr>
          <w:rFonts w:asciiTheme="minorHAnsi" w:hAnsiTheme="minorHAnsi"/>
          <w:lang w:val="en-US"/>
        </w:rPr>
        <w:t>pancreatitis.</w:t>
      </w:r>
      <w:r w:rsidR="004D3E80" w:rsidRPr="00026AF4">
        <w:rPr>
          <w:rFonts w:asciiTheme="minorHAnsi" w:hAnsiTheme="minorHAnsi"/>
          <w:lang w:val="en-US"/>
        </w:rPr>
        <w:t xml:space="preserve"> Genetic testing for these cases should be performed within a context of </w:t>
      </w:r>
      <w:r w:rsidR="00EB1A92" w:rsidRPr="00026AF4">
        <w:rPr>
          <w:rFonts w:asciiTheme="minorHAnsi" w:hAnsiTheme="minorHAnsi"/>
          <w:lang w:val="en-US"/>
        </w:rPr>
        <w:t xml:space="preserve">a </w:t>
      </w:r>
      <w:r w:rsidR="004D3E80" w:rsidRPr="00026AF4">
        <w:rPr>
          <w:rFonts w:asciiTheme="minorHAnsi" w:hAnsiTheme="minorHAnsi"/>
          <w:lang w:val="en-US"/>
        </w:rPr>
        <w:t xml:space="preserve">multidisciplinary approach, including genetic </w:t>
      </w:r>
      <w:proofErr w:type="spellStart"/>
      <w:r w:rsidR="004D3E80" w:rsidRPr="00026AF4">
        <w:rPr>
          <w:rFonts w:asciiTheme="minorHAnsi" w:hAnsiTheme="minorHAnsi"/>
          <w:lang w:val="en-US"/>
        </w:rPr>
        <w:t>counselling</w:t>
      </w:r>
      <w:proofErr w:type="spellEnd"/>
      <w:r w:rsidR="004D3E80" w:rsidRPr="00026AF4">
        <w:rPr>
          <w:rFonts w:asciiTheme="minorHAnsi" w:hAnsiTheme="minorHAnsi"/>
          <w:lang w:val="en-US"/>
        </w:rPr>
        <w:t xml:space="preserve"> when appropriate. </w:t>
      </w:r>
      <w:r w:rsidR="00585616" w:rsidRPr="00026AF4">
        <w:rPr>
          <w:rFonts w:asciiTheme="minorHAnsi" w:hAnsiTheme="minorHAnsi"/>
          <w:i/>
          <w:lang w:val="en-US"/>
        </w:rPr>
        <w:t>PRSS1</w:t>
      </w:r>
      <w:r w:rsidR="00F74D83" w:rsidRPr="00026AF4">
        <w:rPr>
          <w:rFonts w:asciiTheme="minorHAnsi" w:hAnsiTheme="minorHAnsi"/>
          <w:lang w:val="en-US"/>
        </w:rPr>
        <w:t>,</w:t>
      </w:r>
      <w:r w:rsidR="00585616" w:rsidRPr="00026AF4">
        <w:rPr>
          <w:rFonts w:asciiTheme="minorHAnsi" w:hAnsiTheme="minorHAnsi"/>
          <w:lang w:val="en-US"/>
        </w:rPr>
        <w:t xml:space="preserve"> </w:t>
      </w:r>
      <w:r w:rsidR="00FC19DC" w:rsidRPr="00026AF4">
        <w:rPr>
          <w:rFonts w:asciiTheme="minorHAnsi" w:hAnsiTheme="minorHAnsi"/>
          <w:lang w:val="en-US"/>
        </w:rPr>
        <w:t>en</w:t>
      </w:r>
      <w:r w:rsidR="00585616" w:rsidRPr="00026AF4">
        <w:rPr>
          <w:rFonts w:asciiTheme="minorHAnsi" w:hAnsiTheme="minorHAnsi"/>
          <w:lang w:val="en-US"/>
        </w:rPr>
        <w:t xml:space="preserve">coding for cationic </w:t>
      </w:r>
      <w:proofErr w:type="spellStart"/>
      <w:r w:rsidR="00585616" w:rsidRPr="00026AF4">
        <w:rPr>
          <w:rFonts w:asciiTheme="minorHAnsi" w:hAnsiTheme="minorHAnsi"/>
          <w:lang w:val="en-US"/>
        </w:rPr>
        <w:t>trypsinogen</w:t>
      </w:r>
      <w:proofErr w:type="spellEnd"/>
      <w:r w:rsidR="00F74D83" w:rsidRPr="00026AF4">
        <w:rPr>
          <w:rFonts w:asciiTheme="minorHAnsi" w:hAnsiTheme="minorHAnsi"/>
          <w:lang w:val="en-US"/>
        </w:rPr>
        <w:t>,</w:t>
      </w:r>
      <w:r w:rsidR="00585616" w:rsidRPr="00026AF4">
        <w:rPr>
          <w:rFonts w:asciiTheme="minorHAnsi" w:hAnsiTheme="minorHAnsi"/>
          <w:lang w:val="en-US"/>
        </w:rPr>
        <w:t xml:space="preserve"> is respons</w:t>
      </w:r>
      <w:r w:rsidR="000A59B1" w:rsidRPr="00026AF4">
        <w:rPr>
          <w:rFonts w:asciiTheme="minorHAnsi" w:hAnsiTheme="minorHAnsi"/>
          <w:lang w:val="en-US"/>
        </w:rPr>
        <w:t>ible for hereditary pancreatiti</w:t>
      </w:r>
      <w:r w:rsidR="00B4590A" w:rsidRPr="00026AF4">
        <w:rPr>
          <w:rFonts w:asciiTheme="minorHAnsi" w:hAnsiTheme="minorHAnsi"/>
          <w:lang w:val="en-US"/>
        </w:rPr>
        <w:t>s</w:t>
      </w:r>
      <w:r w:rsidR="000A59B1" w:rsidRPr="00026AF4">
        <w:rPr>
          <w:rFonts w:asciiTheme="minorHAnsi" w:hAnsiTheme="minorHAnsi"/>
          <w:lang w:val="en-US"/>
        </w:rPr>
        <w:t xml:space="preserve">, an autosomal dominant disease with penetrance </w:t>
      </w:r>
      <w:r w:rsidR="00737DC5" w:rsidRPr="00026AF4">
        <w:rPr>
          <w:rFonts w:asciiTheme="minorHAnsi" w:hAnsiTheme="minorHAnsi"/>
          <w:lang w:val="en-US"/>
        </w:rPr>
        <w:t>up to</w:t>
      </w:r>
      <w:r w:rsidR="000A59B1" w:rsidRPr="00026AF4">
        <w:rPr>
          <w:rFonts w:asciiTheme="minorHAnsi" w:hAnsiTheme="minorHAnsi"/>
          <w:lang w:val="en-US"/>
        </w:rPr>
        <w:t xml:space="preserve"> 93%</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{"citationID":"cu0Xccjw","properties":{"formattedCitation":"\\super 1\\nosupersub{}","plainCitation":"1","noteIndex":0},"citationItems":[{"id":157,"uris":["http://zotero.org/users/1090946/items/SJV4NCTD"],"uri":["http://zotero.org/users/1090946/items/SJV4NCTD"],"itemData":{"id":157,"type":"article-journal","title":"The natural history of hereditary pancreatitis: a national series","container-title":"Gut","page":"97-103","volume":"58","issue":"1","source":"PubMed","abstract":"BACKGROUND AND AIMS: The prevalence and natural history of hereditary pancreatitis (HP) remain poorly documented. The aims of this study were to assess genetic, epidemiological, clinical and morphological characteristics of HP in an extensive national survey.\nMETHODS: A cohort comprising all HP patients was constituted by contacting all gastroenterologists and paediatricians (response rate 84%) and genetics laboratories (response rate 100%) in France (60,200,000 inhabitants). Inclusion criteria were the presence of mutation in the cationic trypsingen gene (PRSS1 gene), or chronic pancreatitis in at least two first-degree relatives, or three second-degree relatives, in the absence of precipitating factors for pancreatitis.\nRESULTS: 78 families and 200 patients were included (181 alive, 6673 person-years, males 53%, alcoholism 5%, smoking 34%). The prevalence was 0.3/100,000 inhabitants. PRSS1 mutations were detected in 68% (R122H 78%, N29I 12%, others 10%). Penetrance was 93%. Median age at first symptom, diagnosis and date of last news, were 10 (range 1-73), 19 (1-80) and 30 (1-84) years, respectively. HP was responsible for pancreatic pain (83%), acute pancreatitis (69%), pseudocysts (23%), cholestasis (3%), pancreatic calcifications (61%), exocrine pancreatic insufficiency (34%, median age of occurrence 29 years), diabetes mellitus (26%, median age of occurrence 38 years) and pancreatic adenocarcinoma (5%, median age 55 years). No differences in clinical and morphological data according to genetic status were observed. 19 patients died, including 10 directly from HP (8 from pancreatic adenocarcinoma).\nCONCLUSION: The prevalence of HP in France is at least 0.3/100,000. PRSS1 gene mutations are found in 2/3 with a 93% penetrance. Mutation type is not correlated with clinical/morphological expression. Pancreatic adenocarcinoma is the cause of nearly half the deaths.","DOI":"10.1136/gut.2008.149179","ISSN":"1468-3288","note":"PMID: 18755888","shortTitle":"The natural history of hereditary pancreatitis","journalAbbreviation":"Gut","language":"eng","author":[{"family":"Rebours","given":"V."},{"family":"Boutron-Ruault","given":"M.-C."},{"family":"Schnee","given":"M."},{"family":"Férec","given":"C."},{"family":"Le Maréchal","given":"C."},{"family":"Hentic","given":"O."},{"family":"Maire","given":"F."},{"family":"Hammel","given":"P."},{"family":"Ruszniewski","given":"P."},{"family":"Lévy","given":"P."}],"issued":{"date-parts":[["2009",1]]}}}],"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1</w:t>
      </w:r>
      <w:r w:rsidR="000955DB" w:rsidRPr="00026AF4">
        <w:rPr>
          <w:rFonts w:asciiTheme="minorHAnsi" w:hAnsiTheme="minorHAnsi"/>
          <w:lang w:val="en-US"/>
        </w:rPr>
        <w:fldChar w:fldCharType="end"/>
      </w:r>
      <w:r w:rsidR="000A59B1" w:rsidRPr="00026AF4">
        <w:rPr>
          <w:rFonts w:asciiTheme="minorHAnsi" w:hAnsiTheme="minorHAnsi"/>
          <w:lang w:val="en-US"/>
        </w:rPr>
        <w:t xml:space="preserve">. </w:t>
      </w:r>
      <w:r w:rsidR="00B4590A" w:rsidRPr="00026AF4">
        <w:rPr>
          <w:rFonts w:asciiTheme="minorHAnsi" w:hAnsiTheme="minorHAnsi"/>
          <w:lang w:val="en-US"/>
        </w:rPr>
        <w:t xml:space="preserve">Its </w:t>
      </w:r>
      <w:r w:rsidR="000A59B1" w:rsidRPr="00026AF4">
        <w:rPr>
          <w:rFonts w:asciiTheme="minorHAnsi" w:hAnsiTheme="minorHAnsi"/>
          <w:lang w:val="en-US"/>
        </w:rPr>
        <w:t>role</w:t>
      </w:r>
      <w:r w:rsidR="00FC19DC" w:rsidRPr="00026AF4">
        <w:rPr>
          <w:rFonts w:asciiTheme="minorHAnsi" w:hAnsiTheme="minorHAnsi"/>
          <w:lang w:val="en-US"/>
        </w:rPr>
        <w:t xml:space="preserve"> in hereditary pancreatitis is well-established and</w:t>
      </w:r>
      <w:r w:rsidR="000A59B1" w:rsidRPr="00026AF4">
        <w:rPr>
          <w:rFonts w:asciiTheme="minorHAnsi" w:hAnsiTheme="minorHAnsi"/>
          <w:lang w:val="en-US"/>
        </w:rPr>
        <w:t xml:space="preserve"> is not</w:t>
      </w:r>
      <w:r w:rsidR="00FC19DC" w:rsidRPr="00026AF4">
        <w:rPr>
          <w:rFonts w:asciiTheme="minorHAnsi" w:hAnsiTheme="minorHAnsi"/>
          <w:lang w:val="en-US"/>
        </w:rPr>
        <w:t xml:space="preserve"> a</w:t>
      </w:r>
      <w:r w:rsidR="000A59B1" w:rsidRPr="00026AF4">
        <w:rPr>
          <w:rFonts w:asciiTheme="minorHAnsi" w:hAnsiTheme="minorHAnsi"/>
          <w:lang w:val="en-US"/>
        </w:rPr>
        <w:t xml:space="preserve"> matter of deba</w:t>
      </w:r>
      <w:r w:rsidR="006111CC" w:rsidRPr="00026AF4">
        <w:rPr>
          <w:rFonts w:asciiTheme="minorHAnsi" w:hAnsiTheme="minorHAnsi"/>
          <w:lang w:val="en-US"/>
        </w:rPr>
        <w:t>te</w:t>
      </w:r>
      <w:r w:rsidR="000A59B1" w:rsidRPr="00026AF4">
        <w:rPr>
          <w:rFonts w:asciiTheme="minorHAnsi" w:hAnsiTheme="minorHAnsi"/>
          <w:lang w:val="en-US"/>
        </w:rPr>
        <w:t>. However</w:t>
      </w:r>
      <w:r w:rsidR="00FC19DC" w:rsidRPr="00026AF4">
        <w:rPr>
          <w:rFonts w:asciiTheme="minorHAnsi" w:hAnsiTheme="minorHAnsi"/>
          <w:lang w:val="en-US"/>
        </w:rPr>
        <w:t>, the role of heterozygous variants of</w:t>
      </w:r>
      <w:r w:rsidR="000A59B1" w:rsidRPr="00026AF4">
        <w:rPr>
          <w:rFonts w:asciiTheme="minorHAnsi" w:hAnsiTheme="minorHAnsi"/>
          <w:lang w:val="en-US"/>
        </w:rPr>
        <w:t xml:space="preserve"> </w:t>
      </w:r>
      <w:r w:rsidR="000A59B1" w:rsidRPr="00026AF4">
        <w:rPr>
          <w:rFonts w:asciiTheme="minorHAnsi" w:hAnsiTheme="minorHAnsi"/>
          <w:i/>
          <w:lang w:val="en-US"/>
        </w:rPr>
        <w:t>CFTR</w:t>
      </w:r>
      <w:r w:rsidR="000A59B1" w:rsidRPr="00026AF4">
        <w:rPr>
          <w:rFonts w:asciiTheme="minorHAnsi" w:hAnsiTheme="minorHAnsi"/>
          <w:lang w:val="en-US"/>
        </w:rPr>
        <w:t xml:space="preserve">, </w:t>
      </w:r>
      <w:r w:rsidR="000A59B1" w:rsidRPr="00026AF4">
        <w:rPr>
          <w:rFonts w:asciiTheme="minorHAnsi" w:hAnsiTheme="minorHAnsi"/>
          <w:i/>
          <w:lang w:val="en-US"/>
        </w:rPr>
        <w:t>CTRC</w:t>
      </w:r>
      <w:r w:rsidR="000A59B1" w:rsidRPr="00026AF4">
        <w:rPr>
          <w:rFonts w:asciiTheme="minorHAnsi" w:hAnsiTheme="minorHAnsi"/>
          <w:lang w:val="en-US"/>
        </w:rPr>
        <w:t xml:space="preserve"> and </w:t>
      </w:r>
      <w:r w:rsidR="000A59B1" w:rsidRPr="00026AF4">
        <w:rPr>
          <w:rFonts w:asciiTheme="minorHAnsi" w:hAnsiTheme="minorHAnsi"/>
          <w:i/>
          <w:lang w:val="en-US"/>
        </w:rPr>
        <w:t>SPINK1</w:t>
      </w:r>
      <w:r w:rsidR="000A59B1" w:rsidRPr="00026AF4">
        <w:rPr>
          <w:rFonts w:asciiTheme="minorHAnsi" w:hAnsiTheme="minorHAnsi"/>
          <w:lang w:val="en-US"/>
        </w:rPr>
        <w:t xml:space="preserve"> genes</w:t>
      </w:r>
      <w:r w:rsidR="00FC19DC" w:rsidRPr="00026AF4">
        <w:rPr>
          <w:rFonts w:asciiTheme="minorHAnsi" w:hAnsiTheme="minorHAnsi"/>
          <w:lang w:val="en-US"/>
        </w:rPr>
        <w:t xml:space="preserve"> </w:t>
      </w:r>
      <w:r w:rsidR="006111CC" w:rsidRPr="00026AF4">
        <w:rPr>
          <w:rFonts w:asciiTheme="minorHAnsi" w:hAnsiTheme="minorHAnsi"/>
          <w:lang w:val="en-US"/>
        </w:rPr>
        <w:t>in</w:t>
      </w:r>
      <w:r w:rsidR="00FC19DC" w:rsidRPr="00026AF4">
        <w:rPr>
          <w:rFonts w:asciiTheme="minorHAnsi" w:hAnsiTheme="minorHAnsi"/>
          <w:lang w:val="en-US"/>
        </w:rPr>
        <w:t xml:space="preserve"> pancreatitis remains</w:t>
      </w:r>
      <w:r w:rsidR="000A59B1" w:rsidRPr="00026AF4">
        <w:rPr>
          <w:rFonts w:asciiTheme="minorHAnsi" w:hAnsiTheme="minorHAnsi"/>
          <w:lang w:val="en-US"/>
        </w:rPr>
        <w:t xml:space="preserve"> controversial. </w:t>
      </w:r>
      <w:r w:rsidR="00737DC5" w:rsidRPr="00026AF4">
        <w:rPr>
          <w:rFonts w:asciiTheme="minorHAnsi" w:hAnsiTheme="minorHAnsi"/>
          <w:lang w:val="en-US"/>
        </w:rPr>
        <w:t>T</w:t>
      </w:r>
      <w:r w:rsidR="00B4590A" w:rsidRPr="00026AF4">
        <w:rPr>
          <w:rFonts w:asciiTheme="minorHAnsi" w:hAnsiTheme="minorHAnsi"/>
          <w:lang w:val="en-US"/>
        </w:rPr>
        <w:t xml:space="preserve">he prevalence of </w:t>
      </w:r>
      <w:r w:rsidR="00FC19DC" w:rsidRPr="00026AF4">
        <w:rPr>
          <w:rFonts w:asciiTheme="minorHAnsi" w:hAnsiTheme="minorHAnsi"/>
          <w:lang w:val="en-US"/>
        </w:rPr>
        <w:t xml:space="preserve">these </w:t>
      </w:r>
      <w:r w:rsidR="00B4590A" w:rsidRPr="00026AF4">
        <w:rPr>
          <w:rFonts w:asciiTheme="minorHAnsi" w:hAnsiTheme="minorHAnsi"/>
          <w:lang w:val="en-US"/>
        </w:rPr>
        <w:t xml:space="preserve">variants in the general population is </w:t>
      </w:r>
      <w:r w:rsidR="00345E11" w:rsidRPr="00026AF4">
        <w:rPr>
          <w:rFonts w:asciiTheme="minorHAnsi" w:hAnsiTheme="minorHAnsi"/>
          <w:lang w:val="en-US"/>
        </w:rPr>
        <w:t>as high as</w:t>
      </w:r>
      <w:r w:rsidR="00737DC5" w:rsidRPr="00026AF4">
        <w:rPr>
          <w:rFonts w:asciiTheme="minorHAnsi" w:hAnsiTheme="minorHAnsi"/>
          <w:lang w:val="en-US"/>
        </w:rPr>
        <w:t xml:space="preserve"> </w:t>
      </w:r>
      <w:r w:rsidR="00B4590A" w:rsidRPr="00026AF4">
        <w:rPr>
          <w:rFonts w:asciiTheme="minorHAnsi" w:hAnsiTheme="minorHAnsi"/>
          <w:lang w:val="en-US"/>
        </w:rPr>
        <w:t xml:space="preserve">4% for </w:t>
      </w:r>
      <w:r w:rsidR="00B4590A" w:rsidRPr="00026AF4">
        <w:rPr>
          <w:rFonts w:asciiTheme="minorHAnsi" w:hAnsiTheme="minorHAnsi"/>
          <w:i/>
          <w:lang w:val="en-US"/>
        </w:rPr>
        <w:t>CFTR</w:t>
      </w:r>
      <w:r w:rsidR="001153F3" w:rsidRPr="00026AF4">
        <w:rPr>
          <w:rFonts w:asciiTheme="minorHAnsi" w:hAnsiTheme="minorHAnsi"/>
          <w:lang w:val="en-US"/>
        </w:rPr>
        <w:t>,</w:t>
      </w:r>
      <w:r w:rsidR="00B4590A" w:rsidRPr="00026AF4">
        <w:rPr>
          <w:rFonts w:asciiTheme="minorHAnsi" w:hAnsiTheme="minorHAnsi"/>
          <w:lang w:val="en-US"/>
        </w:rPr>
        <w:t xml:space="preserve"> </w:t>
      </w:r>
      <w:r w:rsidR="00F74D83" w:rsidRPr="00026AF4">
        <w:rPr>
          <w:rFonts w:asciiTheme="minorHAnsi" w:hAnsiTheme="minorHAnsi"/>
          <w:lang w:val="en-US"/>
        </w:rPr>
        <w:t>suggesting that there are other genetic and environmental modifying factors.</w:t>
      </w:r>
    </w:p>
    <w:p w14:paraId="3CE2251B" w14:textId="77777777" w:rsidR="00B4590A" w:rsidRPr="00026AF4" w:rsidRDefault="00F317BB" w:rsidP="00DD2F2B">
      <w:pPr>
        <w:jc w:val="both"/>
        <w:rPr>
          <w:rFonts w:asciiTheme="minorHAnsi" w:hAnsiTheme="minorHAnsi"/>
          <w:i/>
          <w:lang w:val="en-US"/>
        </w:rPr>
      </w:pPr>
      <w:r w:rsidRPr="00026AF4">
        <w:rPr>
          <w:rFonts w:asciiTheme="minorHAnsi" w:hAnsiTheme="minorHAnsi"/>
          <w:i/>
          <w:lang w:val="en-US"/>
        </w:rPr>
        <w:t xml:space="preserve"> </w:t>
      </w:r>
    </w:p>
    <w:p w14:paraId="4AB64C3B" w14:textId="77777777" w:rsidR="00B4590A" w:rsidRPr="00026AF4" w:rsidRDefault="00B4590A" w:rsidP="00B4590A">
      <w:pPr>
        <w:jc w:val="both"/>
        <w:rPr>
          <w:rFonts w:asciiTheme="minorHAnsi" w:hAnsiTheme="minorHAnsi"/>
          <w:lang w:val="en-US"/>
        </w:rPr>
      </w:pPr>
      <w:r w:rsidRPr="00026AF4">
        <w:rPr>
          <w:rFonts w:asciiTheme="minorHAnsi" w:hAnsiTheme="minorHAnsi"/>
          <w:i/>
          <w:lang w:val="en-US"/>
        </w:rPr>
        <w:t>SPINK1</w:t>
      </w:r>
      <w:r w:rsidRPr="00026AF4">
        <w:rPr>
          <w:rFonts w:asciiTheme="minorHAnsi" w:hAnsiTheme="minorHAnsi"/>
          <w:lang w:val="en-US"/>
        </w:rPr>
        <w:t xml:space="preserve"> </w:t>
      </w:r>
      <w:r w:rsidR="004455CC" w:rsidRPr="00026AF4">
        <w:rPr>
          <w:rFonts w:asciiTheme="minorHAnsi" w:hAnsiTheme="minorHAnsi"/>
          <w:lang w:val="en-US"/>
        </w:rPr>
        <w:t>(</w:t>
      </w:r>
      <w:r w:rsidRPr="00026AF4">
        <w:rPr>
          <w:rFonts w:asciiTheme="minorHAnsi" w:hAnsiTheme="minorHAnsi"/>
          <w:lang w:val="en-US"/>
        </w:rPr>
        <w:t xml:space="preserve">Serine Protease Inhibitor </w:t>
      </w:r>
      <w:proofErr w:type="spellStart"/>
      <w:r w:rsidRPr="00026AF4">
        <w:rPr>
          <w:rFonts w:asciiTheme="minorHAnsi" w:hAnsiTheme="minorHAnsi"/>
          <w:lang w:val="en-US"/>
        </w:rPr>
        <w:t>Kazal</w:t>
      </w:r>
      <w:proofErr w:type="spellEnd"/>
      <w:r w:rsidR="00FC19DC" w:rsidRPr="00026AF4">
        <w:rPr>
          <w:rFonts w:asciiTheme="minorHAnsi" w:hAnsiTheme="minorHAnsi"/>
          <w:lang w:val="en-US"/>
        </w:rPr>
        <w:t xml:space="preserve"> type 1</w:t>
      </w:r>
      <w:r w:rsidR="004455CC" w:rsidRPr="00026AF4">
        <w:rPr>
          <w:rFonts w:asciiTheme="minorHAnsi" w:hAnsiTheme="minorHAnsi"/>
          <w:lang w:val="en-US"/>
        </w:rPr>
        <w:t>)</w:t>
      </w:r>
      <w:r w:rsidRPr="00026AF4">
        <w:rPr>
          <w:rFonts w:asciiTheme="minorHAnsi" w:hAnsiTheme="minorHAnsi"/>
          <w:lang w:val="en-US"/>
        </w:rPr>
        <w:t>, is a 4</w:t>
      </w:r>
      <w:r w:rsidR="00A3732B" w:rsidRPr="00026AF4">
        <w:rPr>
          <w:rFonts w:asciiTheme="minorHAnsi" w:hAnsiTheme="minorHAnsi"/>
          <w:lang w:val="en-US"/>
        </w:rPr>
        <w:t>-</w:t>
      </w:r>
      <w:r w:rsidRPr="00026AF4">
        <w:rPr>
          <w:rFonts w:asciiTheme="minorHAnsi" w:hAnsiTheme="minorHAnsi"/>
          <w:lang w:val="en-US"/>
        </w:rPr>
        <w:t xml:space="preserve">exon gene located on chromosome 5, </w:t>
      </w:r>
      <w:r w:rsidR="00A3732B" w:rsidRPr="00026AF4">
        <w:rPr>
          <w:rFonts w:asciiTheme="minorHAnsi" w:hAnsiTheme="minorHAnsi"/>
          <w:lang w:val="en-US"/>
        </w:rPr>
        <w:t>en</w:t>
      </w:r>
      <w:r w:rsidRPr="00026AF4">
        <w:rPr>
          <w:rFonts w:asciiTheme="minorHAnsi" w:hAnsiTheme="minorHAnsi"/>
          <w:lang w:val="en-US"/>
        </w:rPr>
        <w:t>coding for a 56 amino-acid protein. Its role is to maintain the integrity of exocrine pancreatic tissue by inhibiting prematurely activated intra-pancreatic trypsin</w:t>
      </w:r>
      <w:r w:rsidR="00F74D83" w:rsidRPr="00026AF4">
        <w:rPr>
          <w:rFonts w:asciiTheme="minorHAnsi" w:hAnsiTheme="minorHAnsi"/>
          <w:lang w:val="en-US"/>
        </w:rPr>
        <w:t>,</w:t>
      </w:r>
      <w:r w:rsidRPr="00026AF4">
        <w:rPr>
          <w:rFonts w:asciiTheme="minorHAnsi" w:hAnsiTheme="minorHAnsi"/>
          <w:lang w:val="en-US"/>
        </w:rPr>
        <w:t xml:space="preserve"> </w:t>
      </w:r>
      <w:r w:rsidR="0096441F" w:rsidRPr="00026AF4">
        <w:rPr>
          <w:rFonts w:asciiTheme="minorHAnsi" w:hAnsiTheme="minorHAnsi"/>
          <w:lang w:val="en-US"/>
        </w:rPr>
        <w:t xml:space="preserve">accounting for </w:t>
      </w:r>
      <w:r w:rsidRPr="00026AF4">
        <w:rPr>
          <w:rFonts w:asciiTheme="minorHAnsi" w:hAnsiTheme="minorHAnsi"/>
          <w:lang w:val="en-US"/>
        </w:rPr>
        <w:t xml:space="preserve">inhibition of 20% of </w:t>
      </w:r>
      <w:r w:rsidR="004911F9" w:rsidRPr="00026AF4">
        <w:rPr>
          <w:rFonts w:asciiTheme="minorHAnsi" w:hAnsiTheme="minorHAnsi"/>
          <w:lang w:val="en-US"/>
        </w:rPr>
        <w:t>trypsin</w:t>
      </w:r>
      <w:r w:rsidRPr="00026AF4">
        <w:rPr>
          <w:rFonts w:asciiTheme="minorHAnsi" w:hAnsiTheme="minorHAnsi"/>
          <w:lang w:val="en-US"/>
        </w:rPr>
        <w:t xml:space="preserve"> activity</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{"citationID":"OjGy9yb1","properties":{"formattedCitation":"\\super 2\\nosupersub{}","plainCitation":"2","noteIndex":0},"citationItems":[{"id":89,"uris":["http://zotero.org/users/1090946/items/PNJBY6PU"],"uri":["http://zotero.org/users/1090946/items/PNJBY6PU"],"itemData":{"id":89,"type":"article-journal","title":"Protein inhibitors of proteinases","container-title":"Annual Review of Biochemistry","page":"593-626","volume":"49","source":"PubMed","DOI":"10.1146/annurev.bi.49.070180.003113","ISSN":"0066-4154","note":"PMID: 6996568","journalAbbreviation":"Annu. Rev. Biochem.","language":"eng","author":[{"family":"Laskowski","given":"M."},{"family":"Kato","given":"I."}],"issued":{"date-parts":[["1980"]]}}}],"schema":"https://github.com/citation-style-language/schema/raw/master/csl-citation.json"}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2</w:t>
      </w:r>
      <w:r w:rsidR="000955DB" w:rsidRPr="00026AF4">
        <w:rPr>
          <w:rFonts w:asciiTheme="minorHAnsi" w:hAnsiTheme="minorHAnsi"/>
          <w:lang w:val="en-US"/>
        </w:rPr>
        <w:fldChar w:fldCharType="end"/>
      </w:r>
      <w:r w:rsidRPr="00026AF4">
        <w:rPr>
          <w:rFonts w:asciiTheme="minorHAnsi" w:hAnsiTheme="minorHAnsi"/>
          <w:lang w:val="en-US"/>
        </w:rPr>
        <w:t xml:space="preserve">. Over 30 </w:t>
      </w:r>
      <w:r w:rsidRPr="00026AF4">
        <w:rPr>
          <w:rFonts w:asciiTheme="minorHAnsi" w:hAnsiTheme="minorHAnsi"/>
          <w:i/>
          <w:lang w:val="en-US"/>
        </w:rPr>
        <w:t>SPINK1</w:t>
      </w:r>
      <w:r w:rsidR="004911F9" w:rsidRPr="00026AF4">
        <w:rPr>
          <w:rFonts w:asciiTheme="minorHAnsi" w:hAnsiTheme="minorHAnsi"/>
          <w:lang w:val="en-US"/>
        </w:rPr>
        <w:t xml:space="preserve"> variants </w:t>
      </w:r>
      <w:r w:rsidRPr="00026AF4">
        <w:rPr>
          <w:rFonts w:asciiTheme="minorHAnsi" w:hAnsiTheme="minorHAnsi"/>
          <w:lang w:val="en-US"/>
        </w:rPr>
        <w:t xml:space="preserve">have been reported, the </w:t>
      </w:r>
      <w:r w:rsidR="004911F9" w:rsidRPr="00026AF4">
        <w:rPr>
          <w:rFonts w:asciiTheme="minorHAnsi" w:hAnsiTheme="minorHAnsi"/>
          <w:lang w:val="en-US"/>
        </w:rPr>
        <w:t>p.N34S</w:t>
      </w:r>
      <w:r w:rsidRPr="00026AF4">
        <w:rPr>
          <w:rFonts w:asciiTheme="minorHAnsi" w:hAnsiTheme="minorHAnsi"/>
          <w:lang w:val="en-US"/>
        </w:rPr>
        <w:t xml:space="preserve"> mutation being the most frequent</w:t>
      </w:r>
      <w:r w:rsidR="004911F9" w:rsidRPr="00026AF4">
        <w:rPr>
          <w:rFonts w:asciiTheme="minorHAnsi" w:hAnsiTheme="minorHAnsi"/>
          <w:lang w:val="en-US"/>
        </w:rPr>
        <w:t>ly reported</w:t>
      </w:r>
      <w:r w:rsidRPr="00026AF4">
        <w:rPr>
          <w:rFonts w:asciiTheme="minorHAnsi" w:hAnsiTheme="minorHAnsi"/>
          <w:lang w:val="en-US"/>
        </w:rPr>
        <w:t xml:space="preserve">. An association between </w:t>
      </w:r>
      <w:r w:rsidRPr="00026AF4">
        <w:rPr>
          <w:rFonts w:asciiTheme="minorHAnsi" w:hAnsiTheme="minorHAnsi"/>
          <w:i/>
          <w:lang w:val="en-US"/>
        </w:rPr>
        <w:t>SPINK1</w:t>
      </w:r>
      <w:r w:rsidR="004911F9" w:rsidRPr="00026AF4">
        <w:rPr>
          <w:rFonts w:asciiTheme="minorHAnsi" w:hAnsiTheme="minorHAnsi"/>
          <w:lang w:val="en-US"/>
        </w:rPr>
        <w:t xml:space="preserve"> variants</w:t>
      </w:r>
      <w:r w:rsidRPr="00026AF4">
        <w:rPr>
          <w:rFonts w:asciiTheme="minorHAnsi" w:hAnsiTheme="minorHAnsi"/>
          <w:lang w:val="en-US"/>
        </w:rPr>
        <w:t xml:space="preserve"> and pancreatitis </w:t>
      </w:r>
      <w:r w:rsidR="00266A6A" w:rsidRPr="00026AF4">
        <w:rPr>
          <w:rFonts w:asciiTheme="minorHAnsi" w:hAnsiTheme="minorHAnsi"/>
          <w:lang w:val="en-US"/>
        </w:rPr>
        <w:t>was</w:t>
      </w:r>
      <w:r w:rsidRPr="00026AF4">
        <w:rPr>
          <w:rFonts w:asciiTheme="minorHAnsi" w:hAnsiTheme="minorHAnsi"/>
          <w:lang w:val="en-US"/>
        </w:rPr>
        <w:t xml:space="preserve"> first  reported by Witt et al. in 2000, who described the</w:t>
      </w:r>
      <w:r w:rsidR="00266A6A" w:rsidRPr="00026AF4">
        <w:rPr>
          <w:rFonts w:asciiTheme="minorHAnsi" w:hAnsiTheme="minorHAnsi"/>
          <w:lang w:val="en-US"/>
        </w:rPr>
        <w:t xml:space="preserve"> presence of</w:t>
      </w:r>
      <w:r w:rsidR="003B6690" w:rsidRPr="00026AF4">
        <w:rPr>
          <w:rFonts w:asciiTheme="minorHAnsi" w:hAnsiTheme="minorHAnsi"/>
          <w:lang w:val="en-US"/>
        </w:rPr>
        <w:t xml:space="preserve"> the</w:t>
      </w:r>
      <w:r w:rsidRPr="00026AF4">
        <w:rPr>
          <w:rFonts w:asciiTheme="minorHAnsi" w:hAnsiTheme="minorHAnsi"/>
          <w:lang w:val="en-US"/>
        </w:rPr>
        <w:t xml:space="preserve"> </w:t>
      </w:r>
      <w:r w:rsidR="004911F9" w:rsidRPr="00026AF4">
        <w:rPr>
          <w:rFonts w:asciiTheme="minorHAnsi" w:hAnsiTheme="minorHAnsi"/>
          <w:lang w:val="en-US"/>
        </w:rPr>
        <w:t>p.N34S</w:t>
      </w:r>
      <w:r w:rsidRPr="00026AF4">
        <w:rPr>
          <w:rFonts w:asciiTheme="minorHAnsi" w:hAnsiTheme="minorHAnsi"/>
          <w:lang w:val="en-US"/>
        </w:rPr>
        <w:t xml:space="preserve"> </w:t>
      </w:r>
      <w:r w:rsidR="003B6690" w:rsidRPr="00026AF4">
        <w:rPr>
          <w:rFonts w:asciiTheme="minorHAnsi" w:hAnsiTheme="minorHAnsi"/>
          <w:lang w:val="en-US"/>
        </w:rPr>
        <w:t>variant</w:t>
      </w:r>
      <w:r w:rsidRPr="00026AF4">
        <w:rPr>
          <w:rFonts w:asciiTheme="minorHAnsi" w:hAnsiTheme="minorHAnsi"/>
          <w:lang w:val="en-US"/>
        </w:rPr>
        <w:t xml:space="preserve"> in 18/85 (21%) </w:t>
      </w:r>
      <w:r w:rsidR="006111CC" w:rsidRPr="00026AF4">
        <w:rPr>
          <w:rFonts w:asciiTheme="minorHAnsi" w:hAnsiTheme="minorHAnsi"/>
          <w:lang w:val="en-US"/>
        </w:rPr>
        <w:t xml:space="preserve">of </w:t>
      </w:r>
      <w:r w:rsidRPr="00026AF4">
        <w:rPr>
          <w:rFonts w:asciiTheme="minorHAnsi" w:hAnsiTheme="minorHAnsi"/>
          <w:lang w:val="en-US"/>
        </w:rPr>
        <w:t>children with idiopathic pancreatitis (IP)</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{"citationID":"HfomHvZV","properties":{"formattedCitation":"\\super 3\\nosupersub{}","plainCitation":"3","noteIndex":0},"citationItems":[{"id":150,"uris":["http://zotero.org/users/1090946/items/5K4HSBD3"],"uri":["http://zotero.org/users/1090946/items/5K4HSBD3"],"itemData":{"id":150,"type":"article-journal","title":"Mutations in the gene encoding the serine protease inhibitor, Kazal type 1 are associated with chronic pancreatitis","container-title":"Nature Genetics","page":"213-216","volume":"25","issue":"2","source":"PubMed","abstract":"Chronic pancreatitis (CP) is a continuing or relapsing inflammatory disease of the pancreas. In approximately one-third of all cases, no aetiological factor can be found, and these patients are classified as having idiopathic disease. Pathophysiologically, autodigestion and inflammation may be caused by either increased proteolytic activity or decreased protease inhibition. Several studies have demonstrated mutations in the cationic trypsinogen gene (PRSS1) in patients with hereditary or idiopathic CP. It is thought that these mutations result in increased trypsin activity within the pancreatic parenchyma. Most patients with idiopathic or hereditary CP, however, do not have mutations in PRSS1 (ref. 4). Here we analysed 96 unrelated children and adolescents with CP for mutations in the gene encoding the serine protease inhibitor, Kazal type 1 (SPINK1), a pancreatic trypsin inhibitor. We found mutations in 23% of the patients. In 18 patients, 6 of whom were homozygous, we detected a missense mutation of codon 34 (N34S). We also found four other sequence variants. Our results indicate that mutations in SPINK1 are associated with chronic pancreatitis.","DOI":"10.1038/76088","ISSN":"1061-4036","note":"PMID: 10835640","journalAbbreviation":"Nat. Genet.","language":"eng","author":[{"family":"Witt","given":"H."},{"family":"Luck","given":"W."},{"family":"Hennies","given":"H. C."},{"family":"Classen","given":"M."},{"family":"Kage","given":"A."},{"family":"Lass","given":"U."},{"family":"Landt","given":"O."},{"family":"Becker","given":"M."}],"issued":{"date-parts":[["2000",6]]}}}],"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3</w:t>
      </w:r>
      <w:r w:rsidR="000955DB" w:rsidRPr="00026AF4">
        <w:rPr>
          <w:rFonts w:asciiTheme="minorHAnsi" w:hAnsiTheme="minorHAnsi"/>
          <w:lang w:val="en-US"/>
        </w:rPr>
        <w:fldChar w:fldCharType="end"/>
      </w:r>
      <w:r w:rsidRPr="00026AF4">
        <w:rPr>
          <w:rFonts w:asciiTheme="minorHAnsi" w:hAnsiTheme="minorHAnsi"/>
          <w:lang w:val="en-US"/>
        </w:rPr>
        <w:t xml:space="preserve">. Further studies reported </w:t>
      </w:r>
      <w:r w:rsidRPr="00026AF4">
        <w:rPr>
          <w:rFonts w:asciiTheme="minorHAnsi" w:hAnsiTheme="minorHAnsi"/>
          <w:i/>
          <w:lang w:val="en-US"/>
        </w:rPr>
        <w:t>SPINK</w:t>
      </w:r>
      <w:r w:rsidRPr="00026AF4">
        <w:rPr>
          <w:rFonts w:asciiTheme="minorHAnsi" w:hAnsiTheme="minorHAnsi"/>
          <w:lang w:val="en-US"/>
        </w:rPr>
        <w:t xml:space="preserve">1 mutations in 6.4% to 43% of patients with idiopathic pancreatitis </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{"citationID":"mgpV5BgM","properties":{"formattedCitation":"\\super 4\\uc0\\u8211{}8\\nosupersub{}","plainCitation":"4–8","noteIndex":0},"citationItems":[{"id":134,"uris":["http://zotero.org/users/1090946/items/99WTTH8K"],"uri":["http://zotero.org/users/1090946/items/99WTTH8K"],"itemData":{"id":134,"type":"article-journal","title":"SPINK1/PSTI polymorphisms act as disease modifiers in familial and idiopathic chronic pancreatitis","container-title":"Gastroenterology","page":"615-623","volume":"119","issue":"3","source":"PubMed","abstract":"BACKGROUND &amp; AIMS: Gain-of-function trypsin mutations cause acute pancreatitis and chronic pancreatitis. Loss of trypsin inhibitor function may have similar effects. We investigated the prevalence of SPINK1 (PSTI) mutations in familial pancreatitis, idiopathic chronic pancreatitis, and controls.\nMETHODS: Genetic-linkage studies were performed in 5 familial pancreatitis families. The entire SPINK1 gene was sequenced in 112 affected individuals and 95 control DNA samples, and exon 3 was sequenced in 95 additional controls. X-ray crystallography-based model building and statistical studies were performed.\nRESULTS: Significant linkage between pancreatitis and 5q31.1-2 was excluded. Novel SPINK1 mutations, one D50E mutation, one IVS3+125 C&gt;A, and five IVS3+184 T&gt;A intronic polymorphisms were identified. The N34S and P55S mutations were observed in 29 of 112 patients (25%) as N34S/N34S (n = 7), N34S/wt (n = 19), N34S/P55S (n = 2), and N34S/D50E (n = 1). Three hundred eighty control alleles revealed 3 N34S (0.77%), 2 P55S (0.53%), and no D50E mutations. Age of disease onset and severity were similar between homozygous and heterozygous patients. Structural modeling revealed several possible pathophysiologic mechanisms for the N34S mutation.\nCONCLUSIONS: SPINK1 mutations are common in the population (approximately 2%), but are clearly associated with pancreatitis. The mutation-associated risk is low. Modeling and familial clustering suggest that SPINK1 mutations are disease modifying, possibly by lowering the threshold for pancreatitis from other genetic or environmental factors, but by themselves do not cause disease.","ISSN":"0016-5085","note":"PMID: 10982753","journalAbbreviation":"Gastroenterology","language":"eng","author":[{"family":"Pfützer","given":"R. H."},{"family":"Barmada","given":"M. M."},{"family":"Brunskill","given":"A. P."},{"family":"Finch","given":"R."},{"family":"Hart","given":"P. S."},{"family":"Neoptolemos","given":"J."},{"family":"Furey","given":"W. F."},{"family":"Whitcomb","given":"D. C."}],"issued":{"date-parts":[["2000",9]]}}},{"id":422,"uris":["http://zotero.org/users/1090946/items/HU5TYRRS"],"uri":["http://zotero.org/users/1090946/items/HU5TYRRS"],"itemData":{"id":422,"type":"article-journal","title":"The N34S mutation of SPINK1 (PSTI) is associated with a familial pattern of idiopathic chronic pancreatitis but does not cause the disease","container-title":"Gut","page":"675-681","volume":"50","issue":"5","source":"Crossref","abstract":"Background: Mutations in the PRSS1 gene explain most occurrences of hereditary pancreatitis (HP) but many HP families have no PRSS1 mutation. Recently, an association between the mutation N34S in the pancreatic secretory trypsin inhibitor (SPINK1 or PSTI) gene and idiopathic chronic pancreatitis (ICP) was reported. It is unclear whether the N34S mutation is a cause of pancreatitis per se, whether it modifies the disease, or whether it is a marker of the disease. Patients and methods: A total of 327 individuals from 217 families affected by pancreatitis were tested: 152 from families with HP, 108 from families with ICP, and 67 with alcohol related CP (ACP). Seven patients with ICP had a family history of pancreatitis but no evidence of autosomal dominant disease (f-ICP) compared with 87 patients with true ICP (t-ICP). Two hundred controls were also tested for the N34S mutation. The findings were related to clinical outcome.\nResults: The N34S mutation was carried by five controls (2.5%; allele frequency 1.25%), 11/87 (13%) t-ICP patients (p=0.0013 v controls), and 6/7 (86%) affected (p&lt;0.0001 v controls) and 1/9 (11%) unaffected f-ICP cases. N34S was found in 4/108 affected HP patients (p=0.724 v controls), in 3/27 (11%) with wild-type and in 1/81 (1%) with mutant PRSS1, and 4/67 ACP patients (all p&gt;0.05 v controls). The presence of the N34S mutation was not associated with early disease onset or disease severity.\nConclusions: The prevalence of the N34S mutation was increased in patients with ICP and was greatest in f-ICP cases. Segregation of the N34S mutation in families with pancreatitis is unexplained and points to a complex association between N34S and another putative pancreatitis related gene.","DOI":"10.1136/gut.50.5.675","ISSN":"00175749","language":"en","author":[{"family":"Threadgold","given":"J"}],"issued":{"date-parts":[["2002",5,1]]}}},{"id":159,"uris":["http://zotero.org/users/1090946/items/PW5KBZPM"],"uri":["http://zotero.org/users/1090946/items/PW5KBZPM"],"itemData":{"id":159,"type":"article-journal","title":"Mutations of the serine protease inhibitor, Kazal type 1 gene, in patients with idiopathic chronic pancreatitis","container-title":"The American Journal of Gastroenterology","page":"1133-1137","volume":"97","issue":"5","source":"PubMed","abstract":"OBJECTIVE: The pathogenesis of chronic pancreatitis (CP) is poorly understood. Genetic studies revealed mutations in the cationic trypsinogen gene and an increased frequency of cystic fibrosis gene mutations in patients with CP. Recently, a point mutation (N34S) in the gene encoding the serine protease inhibitor, Kazal type 1 (SPINK1), was found in approximately 20% of patients with CP. The aim of our study was to determine the frequency of the N34S SPINKI gene mutation in a well-defined patient cohort with idiopathic CP (ICP) and to compare the incidence with healthy controls. In addition, we investigated the impact of this mutation on the long-term course of CP.\nMETHODS: Fourteen patients with early-onset and four patients with late-onset CP of our well-defined pancreatitis cohort were enrolled in the present study, and 397 healthy individuals served as a control population. Coding exonic and the flanking intronic sequences of SPINK1 were investigated by direct DNA sequencing. The mutations found were confirmed by melting curve analysis. In addition, the N34S mutation was detected by analyzing the DNA fragments generated by digestion with restriction enzyme TspR I. Clinical data of patients with the N34S mutation were compared with those without mutations.\nRESULTS: The N34S mutation was detected in six of 14 (43%) patients with early-onset ICP. One patient was homozygous, and five patients were heterozygous for this mutation. The N34S mutation in a heterozygous state was found in four of 397 healthy controls (1.0%). The different allele frequency observed (seven of 28 vs four of 794) was significant (odds ratio = 66, 95% CI = 18-242, p &lt; 0.0001). The clinical course was similar in patients with a mutation compared with those without a mutation. No other SPINKI mutations were detected. The N34S mutation was not found in patients with late-onset ICP.\nCONCLUSIONS: Our results indicate that the N34S mutation in the SPINKI gene is strongly associated with ICP, especially with the early-onset type. The natural course is similar in patients with mutations compared with SPINK1 mutation-negative patients. The N34S mutation may easily be screened for by restriction digestion with TspR I.","DOI":"10.1111/j.1572-0241.2002.05673.x","ISSN":"0002-9270","note":"PMID: 12014716","journalAbbreviation":"Am. J. Gastroenterol.","language":"eng","author":[{"family":"Truninger","given":"Kaspar"},{"family":"Witt","given":"Heiko"},{"family":"Köck","given":"J."},{"family":"Kage","given":"Andreas"},{"family":"Seifert","given":"B."},{"family":"Ammann","given":"Rudolf W."},{"family":"Blum","given":"Hubert E."},{"family":"Becker","given":"Michael"}],"issued":{"date-parts":[["2002",5]]}}},{"id":423,"uris":["http://zotero.org/users/1090946/items/XL3P5PRU"],"uri":["http://zotero.org/users/1090946/items/XL3P5PRU"],"itemData":{"id":423,"type":"article-journal","title":"Mutations of the pancreatic secretory trypsin inhibitor (PSTI) gene in idiopathic chronic pancreatitis","container-title":"Gastroenterology","page":"1061-1064","volume":"120","issue":"4","source":"PubMed","ISSN":"0016-5085","note":"PMID: 11265669","journalAbbreviation":"Gastroenterology","language":"eng","author":[{"family":"Chen","given":"J. M."},{"family":"Mercier","given":"B."},{"family":"Audrezet","given":"M. P."},{"family":"Raguenes","given":"O."},{"family":"Quere","given":"I."},{"family":"Ferec","given":"C."}],"issued":{"date-parts":[["2001",3]]}}},{"id":435,"uris":["http://zotero.org/users/1090946/items/MSQJGK8K"],"uri":["http://zotero.org/users/1090946/items/MSQJGK8K"],"itemData":{"id":435,"type":"article-journal","title":"Idiopathic chronic pancreatitis in India: phenotypic characterisation and strong genetic susceptibility due to SPINK1 and CFTR gene mutations","container-title":"Gut","page":"800-807","volume":"59","issue":"6","source":"Crossref","abstract":"Objective To study the genetic predisposition, phenotype and prognosis of idiopathic chronic pancreatitis (CP). Design Prospective observational and caseecontrol study. Setting Tertiary care academic centre. Patients Consecutive patients with CP. Interventions Detailed mutational analysis was done for the cationic trypsinogen, SPINK1 and CFTR genes with single-strand conformational polymorphism or restricted fragment length polymorphism, and sequencing. Clinical and disease characteristics of idiopathic versus alcoholic CP, and early onset versus late onset idiopathic CP were compared. Response to multimodality treatment (medical, endoscopic and/or surgical) and prognosis were analysed. Main outcome measures Genetic mutations, phenotypic characterisation and prognosis of idiopathic CP.\nResults Of the 411 patients with CP, 242 had idiopathic aetiology (age 27.50611.85 years; 154 men). Malnutrition and cassava were not risk factors. SPINK1 N34S mutation was present in 42% of patients with idiopathic CP (vs 4% controls, p&lt;0.001) and 17% of patients with alcoholic CP (p¼0.016 compared with controls). In the CFTR gene, nine patients with idiopathic CP had mutations and 41 patients had polymorphisms (50% vs 10% controls, p&lt;0.001). Diabetes developed in 35.53% of patients with idiopathic CP. About 85% of patients had signiﬁcant pain relief with therapy. The probability of surviving for 35 years after onset of idiopathic CP was 83%. The typical features of tropical calciﬁc pancreatitis were seen only in 5.8% of patients.\nConclusion Strong genetic susceptibility due to SPINK1 and CFTR gene mutations, and comparative phenotype of idiopathic CP in India suggest that the term ‘tropical calciﬁc pancreatitis’ is a misnomer.","DOI":"10.1136/gut.2009.191239","ISSN":"0017-5749","shortTitle":"Idiopathic chronic pancreatitis in India","language":"en","author":[{"family":"Midha","given":"S."},{"family":"Khajuria","given":"R."},{"family":"Shastri","given":"S."},{"family":"Kabra","given":"M."},{"family":"Garg","given":"P. K."}],"issued":{"date-parts":[["2010",6,1]]}}}],"schema":"https://github.com/citation-style-language/schema/raw/master/csl-citation.json"}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4–8</w:t>
      </w:r>
      <w:r w:rsidR="000955DB" w:rsidRPr="00026AF4">
        <w:rPr>
          <w:rFonts w:asciiTheme="minorHAnsi" w:hAnsiTheme="minorHAnsi"/>
          <w:lang w:val="en-US"/>
        </w:rPr>
        <w:fldChar w:fldCharType="end"/>
      </w:r>
      <w:r w:rsidRPr="00026AF4">
        <w:rPr>
          <w:rFonts w:asciiTheme="minorHAnsi" w:hAnsiTheme="minorHAnsi"/>
          <w:lang w:val="en-US"/>
        </w:rPr>
        <w:t xml:space="preserve">.  However, the prevalence of heterozygous </w:t>
      </w:r>
      <w:r w:rsidR="004911F9" w:rsidRPr="00026AF4">
        <w:rPr>
          <w:rFonts w:asciiTheme="minorHAnsi" w:hAnsiTheme="minorHAnsi"/>
          <w:lang w:val="en-US"/>
        </w:rPr>
        <w:t>p.N34S</w:t>
      </w:r>
      <w:r w:rsidRPr="00026AF4">
        <w:rPr>
          <w:rFonts w:asciiTheme="minorHAnsi" w:hAnsiTheme="minorHAnsi"/>
          <w:lang w:val="en-US"/>
        </w:rPr>
        <w:t xml:space="preserve"> mutation</w:t>
      </w:r>
      <w:r w:rsidR="00AB0DCE" w:rsidRPr="00026AF4">
        <w:rPr>
          <w:rFonts w:asciiTheme="minorHAnsi" w:hAnsiTheme="minorHAnsi"/>
          <w:lang w:val="en-US"/>
        </w:rPr>
        <w:t xml:space="preserve"> in the general population</w:t>
      </w:r>
      <w:r w:rsidRPr="00026AF4">
        <w:rPr>
          <w:rFonts w:asciiTheme="minorHAnsi" w:hAnsiTheme="minorHAnsi"/>
          <w:lang w:val="en-US"/>
        </w:rPr>
        <w:t xml:space="preserve"> was estimated to</w:t>
      </w:r>
      <w:r w:rsidR="00AB0DCE" w:rsidRPr="00026AF4">
        <w:rPr>
          <w:rFonts w:asciiTheme="minorHAnsi" w:hAnsiTheme="minorHAnsi"/>
          <w:lang w:val="en-US"/>
        </w:rPr>
        <w:t xml:space="preserve"> be</w:t>
      </w:r>
      <w:r w:rsidRPr="00026AF4">
        <w:rPr>
          <w:rFonts w:asciiTheme="minorHAnsi" w:hAnsiTheme="minorHAnsi"/>
          <w:lang w:val="en-US"/>
        </w:rPr>
        <w:t xml:space="preserve"> 1-2%</w:t>
      </w:r>
      <w:r w:rsidR="00AB0DCE" w:rsidRPr="00026AF4">
        <w:rPr>
          <w:rFonts w:asciiTheme="minorHAnsi" w:hAnsiTheme="minorHAnsi"/>
          <w:lang w:val="en-US"/>
        </w:rPr>
        <w:t>,</w:t>
      </w:r>
      <w:r w:rsidRPr="00026AF4">
        <w:rPr>
          <w:rFonts w:asciiTheme="minorHAnsi" w:hAnsiTheme="minorHAnsi"/>
          <w:lang w:val="en-US"/>
        </w:rPr>
        <w:t xml:space="preserve"> suggesting that the presence of </w:t>
      </w:r>
      <w:r w:rsidRPr="00026AF4">
        <w:rPr>
          <w:rFonts w:asciiTheme="minorHAnsi" w:hAnsiTheme="minorHAnsi"/>
          <w:i/>
          <w:lang w:val="en-US"/>
        </w:rPr>
        <w:t>SPINK1</w:t>
      </w:r>
      <w:r w:rsidR="00AB0DCE" w:rsidRPr="00026AF4">
        <w:rPr>
          <w:rFonts w:asciiTheme="minorHAnsi" w:hAnsiTheme="minorHAnsi"/>
          <w:lang w:val="en-US"/>
        </w:rPr>
        <w:t xml:space="preserve"> </w:t>
      </w:r>
      <w:r w:rsidR="004911F9" w:rsidRPr="00026AF4">
        <w:rPr>
          <w:rFonts w:asciiTheme="minorHAnsi" w:hAnsiTheme="minorHAnsi"/>
          <w:lang w:val="en-US"/>
        </w:rPr>
        <w:t>p.N34S</w:t>
      </w:r>
      <w:r w:rsidRPr="00026AF4">
        <w:rPr>
          <w:rFonts w:asciiTheme="minorHAnsi" w:hAnsiTheme="minorHAnsi"/>
          <w:lang w:val="en-US"/>
        </w:rPr>
        <w:t xml:space="preserve"> variant</w:t>
      </w:r>
      <w:r w:rsidR="00AB0DCE" w:rsidRPr="00026AF4">
        <w:rPr>
          <w:rFonts w:asciiTheme="minorHAnsi" w:hAnsiTheme="minorHAnsi"/>
          <w:lang w:val="en-US"/>
        </w:rPr>
        <w:t xml:space="preserve"> alone</w:t>
      </w:r>
      <w:r w:rsidRPr="00026AF4">
        <w:rPr>
          <w:rFonts w:asciiTheme="minorHAnsi" w:hAnsiTheme="minorHAnsi"/>
          <w:lang w:val="en-US"/>
        </w:rPr>
        <w:t xml:space="preserve"> is not sufficient to explain the development of chronic pancreatitis (CP)</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{"citationID":"bHd1xqP0","properties":{"formattedCitation":"\\super 6\\nosupersub{}","plainCitation":"6","noteIndex":0},"citationItems":[{"id":159,"uris":["http://zotero.org/users/1090946/items/PW5KBZPM"],"uri":["http://zotero.org/users/1090946/items/PW5KBZPM"],"itemData":{"id":159,"type":"article-journal","title":"Mutations of the serine protease inhibitor, Kazal type 1 gene, in patients with idiopathic chronic pancreatitis","container-title":"The American Journal of Gastroenterology","page":"1133-1137","volume":"97","issue":"5","source":"PubMed","abstract":"OBJECTIVE: The pathogenesis of chronic pancreatitis (CP) is poorly understood. Genetic studies revealed mutations in the cationic trypsinogen gene and an increased frequency of cystic fibrosis gene mutations in patients with CP. Recently, a point mutation (N34S) in the gene encoding the serine protease inhibitor, Kazal type 1 (SPINK1), was found in approximately 20% of patients with CP. The aim of our study was to determine the frequency of the N34S SPINKI gene mutation in a well-defined patient cohort with idiopathic CP (ICP) and to compare the incidence with healthy controls. In addition, we investigated the impact of this mutation on the long-term course of CP.\nMETHODS: Fourteen patients with early-onset and four patients with late-onset CP of our well-defined pancreatitis cohort were enrolled in the present study, and 397 healthy individuals served as a control population. Coding exonic and the flanking intronic sequences of SPINK1 were investigated by direct DNA sequencing. The mutations found were confirmed by melting curve analysis. In addition, the N34S mutation was detected by analyzing the DNA fragments generated by digestion with restriction enzyme TspR I. Clinical data of patients with the N34S mutation were compared with those without mutations.\nRESULTS: The N34S mutation was detected in six of 14 (43%) patients with early-onset ICP. One patient was homozygous, and five patients were heterozygous for this mutation. The N34S mutation in a heterozygous state was found in four of 397 healthy controls (1.0%). The different allele frequency observed (seven of 28 vs four of 794) was significant (odds ratio = 66, 95% CI = 18-242, p &lt; 0.0001). The clinical course was similar in patients with a mutation compared with those without a mutation. No other SPINKI mutations were detected. The N34S mutation was not found in patients with late-onset ICP.\nCONCLUSIONS: Our results indicate that the N34S mutation in the SPINKI gene is strongly associated with ICP, especially with the early-onset type. The natural course is similar in patients with mutations compared with SPINK1 mutation-negative patients. The N34S mutation may easily be screened for by restriction digestion with TspR I.","DOI":"10.1111/j.1572-0241.2002.05673.x","ISSN":"0002-9270","note":"PMID: 12014716","journalAbbreviation":"Am. J. Gastroenterol.","language":"eng","author":[{"family":"Truninger","given":"Kaspar"},{"family":"Witt","given":"Heiko"},{"family":"Köck","given":"J."},{"family":"Kage","given":"Andreas"},{"family":"Seifert","given":"B."},{"family":"Ammann","given":"Rudolf W."},{"family":"Blum","given":"Hubert E."},{"family":"Becker","given":"Michael"}],"issued":{"date-parts":[["2002",5]]}}}],"schema":"https://github.com/citation-style-language/schema/raw/master/csl-citation.json"}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6</w:t>
      </w:r>
      <w:r w:rsidR="000955DB" w:rsidRPr="00026AF4">
        <w:rPr>
          <w:rFonts w:asciiTheme="minorHAnsi" w:hAnsiTheme="minorHAnsi"/>
          <w:lang w:val="en-US"/>
        </w:rPr>
        <w:fldChar w:fldCharType="end"/>
      </w:r>
      <w:r w:rsidRPr="00026AF4">
        <w:rPr>
          <w:rFonts w:asciiTheme="minorHAnsi" w:hAnsiTheme="minorHAnsi"/>
          <w:lang w:val="en-US"/>
        </w:rPr>
        <w:t>.</w:t>
      </w:r>
      <w:r w:rsidR="003B6690" w:rsidRPr="00026AF4">
        <w:rPr>
          <w:rFonts w:asciiTheme="minorHAnsi" w:hAnsiTheme="minorHAnsi"/>
          <w:lang w:val="en-US"/>
        </w:rPr>
        <w:t xml:space="preserve"> Therefore, the</w:t>
      </w:r>
      <w:r w:rsidRPr="00026AF4">
        <w:rPr>
          <w:rFonts w:asciiTheme="minorHAnsi" w:hAnsiTheme="minorHAnsi"/>
          <w:lang w:val="en-US"/>
        </w:rPr>
        <w:t xml:space="preserve"> </w:t>
      </w:r>
      <w:r w:rsidRPr="00026AF4">
        <w:rPr>
          <w:rFonts w:asciiTheme="minorHAnsi" w:hAnsiTheme="minorHAnsi"/>
          <w:i/>
          <w:lang w:val="en-US"/>
        </w:rPr>
        <w:t>SPINK1</w:t>
      </w:r>
      <w:r w:rsidR="00AB0DCE" w:rsidRPr="00026AF4">
        <w:rPr>
          <w:rFonts w:asciiTheme="minorHAnsi" w:hAnsiTheme="minorHAnsi"/>
          <w:lang w:val="en-US"/>
        </w:rPr>
        <w:t xml:space="preserve"> </w:t>
      </w:r>
      <w:r w:rsidR="004911F9" w:rsidRPr="00026AF4">
        <w:rPr>
          <w:rFonts w:asciiTheme="minorHAnsi" w:hAnsiTheme="minorHAnsi"/>
          <w:lang w:val="en-US"/>
        </w:rPr>
        <w:t>p.N34S</w:t>
      </w:r>
      <w:r w:rsidRPr="00026AF4">
        <w:rPr>
          <w:rFonts w:asciiTheme="minorHAnsi" w:hAnsiTheme="minorHAnsi"/>
          <w:lang w:val="en-US"/>
        </w:rPr>
        <w:t xml:space="preserve"> </w:t>
      </w:r>
      <w:r w:rsidR="003B6690" w:rsidRPr="00026AF4">
        <w:rPr>
          <w:rFonts w:asciiTheme="minorHAnsi" w:hAnsiTheme="minorHAnsi"/>
          <w:lang w:val="en-US"/>
        </w:rPr>
        <w:t>variant</w:t>
      </w:r>
      <w:r w:rsidRPr="00026AF4">
        <w:rPr>
          <w:rFonts w:asciiTheme="minorHAnsi" w:hAnsiTheme="minorHAnsi"/>
          <w:lang w:val="en-US"/>
        </w:rPr>
        <w:t xml:space="preserve"> </w:t>
      </w:r>
      <w:r w:rsidR="003B6690" w:rsidRPr="00026AF4">
        <w:rPr>
          <w:rFonts w:asciiTheme="minorHAnsi" w:hAnsiTheme="minorHAnsi"/>
          <w:lang w:val="en-US"/>
        </w:rPr>
        <w:t xml:space="preserve">can be </w:t>
      </w:r>
      <w:r w:rsidRPr="00026AF4">
        <w:rPr>
          <w:rFonts w:asciiTheme="minorHAnsi" w:hAnsiTheme="minorHAnsi"/>
          <w:lang w:val="en-US"/>
        </w:rPr>
        <w:t>considered as a disease</w:t>
      </w:r>
      <w:r w:rsidR="00AB0DCE" w:rsidRPr="00026AF4">
        <w:rPr>
          <w:rFonts w:asciiTheme="minorHAnsi" w:hAnsiTheme="minorHAnsi"/>
          <w:lang w:val="en-US"/>
        </w:rPr>
        <w:t xml:space="preserve">  </w:t>
      </w:r>
      <w:r w:rsidRPr="00026AF4">
        <w:rPr>
          <w:rFonts w:asciiTheme="minorHAnsi" w:hAnsiTheme="minorHAnsi"/>
          <w:lang w:val="en-US"/>
        </w:rPr>
        <w:t>modifier</w:t>
      </w:r>
      <w:r w:rsidR="00AB0DCE" w:rsidRPr="00026AF4">
        <w:rPr>
          <w:rFonts w:asciiTheme="minorHAnsi" w:hAnsiTheme="minorHAnsi"/>
          <w:lang w:val="en-US"/>
        </w:rPr>
        <w:t xml:space="preserve"> rather than a causative factor</w:t>
      </w:r>
      <w:r w:rsidRPr="00026AF4">
        <w:rPr>
          <w:rFonts w:asciiTheme="minorHAnsi" w:hAnsiTheme="minorHAnsi"/>
          <w:lang w:val="en-US"/>
        </w:rPr>
        <w:t>, leading to chronic pancreatitis</w:t>
      </w:r>
      <w:r w:rsidR="006111CC" w:rsidRPr="00026AF4">
        <w:rPr>
          <w:rFonts w:asciiTheme="minorHAnsi" w:hAnsiTheme="minorHAnsi"/>
          <w:lang w:val="en-US"/>
        </w:rPr>
        <w:t xml:space="preserve">, </w:t>
      </w:r>
      <w:r w:rsidR="008955CA" w:rsidRPr="00026AF4">
        <w:rPr>
          <w:rFonts w:asciiTheme="minorHAnsi" w:hAnsiTheme="minorHAnsi"/>
          <w:lang w:val="en-US"/>
        </w:rPr>
        <w:t>when</w:t>
      </w:r>
      <w:r w:rsidR="006111CC" w:rsidRPr="00026AF4">
        <w:rPr>
          <w:rFonts w:asciiTheme="minorHAnsi" w:hAnsiTheme="minorHAnsi"/>
          <w:lang w:val="en-US"/>
        </w:rPr>
        <w:t xml:space="preserve"> </w:t>
      </w:r>
      <w:r w:rsidR="008955CA" w:rsidRPr="00026AF4">
        <w:rPr>
          <w:rFonts w:asciiTheme="minorHAnsi" w:hAnsiTheme="minorHAnsi"/>
          <w:lang w:val="en-US"/>
        </w:rPr>
        <w:t>additional</w:t>
      </w:r>
      <w:r w:rsidRPr="00026AF4">
        <w:rPr>
          <w:rFonts w:asciiTheme="minorHAnsi" w:hAnsiTheme="minorHAnsi"/>
          <w:lang w:val="en-US"/>
        </w:rPr>
        <w:t xml:space="preserve"> risk factors </w:t>
      </w:r>
      <w:r w:rsidR="008955CA" w:rsidRPr="00026AF4">
        <w:rPr>
          <w:rFonts w:asciiTheme="minorHAnsi" w:hAnsiTheme="minorHAnsi"/>
          <w:lang w:val="en-US"/>
        </w:rPr>
        <w:t>for</w:t>
      </w:r>
      <w:r w:rsidRPr="00026AF4">
        <w:rPr>
          <w:rFonts w:asciiTheme="minorHAnsi" w:hAnsiTheme="minorHAnsi"/>
          <w:lang w:val="en-US"/>
        </w:rPr>
        <w:t xml:space="preserve"> pancreatic inflammation</w:t>
      </w:r>
      <w:r w:rsidR="008955CA" w:rsidRPr="00026AF4">
        <w:rPr>
          <w:rFonts w:asciiTheme="minorHAnsi" w:hAnsiTheme="minorHAnsi"/>
          <w:lang w:val="en-US"/>
        </w:rPr>
        <w:t xml:space="preserve"> such</w:t>
      </w:r>
      <w:r w:rsidRPr="00026AF4">
        <w:rPr>
          <w:rFonts w:asciiTheme="minorHAnsi" w:hAnsiTheme="minorHAnsi"/>
          <w:lang w:val="en-US"/>
        </w:rPr>
        <w:t xml:space="preserve"> as environmental</w:t>
      </w:r>
      <w:r w:rsidR="008955CA" w:rsidRPr="00026AF4">
        <w:rPr>
          <w:rFonts w:asciiTheme="minorHAnsi" w:hAnsiTheme="minorHAnsi"/>
          <w:lang w:val="en-US"/>
        </w:rPr>
        <w:t>/lifestyle</w:t>
      </w:r>
      <w:r w:rsidRPr="00026AF4">
        <w:rPr>
          <w:rFonts w:asciiTheme="minorHAnsi" w:hAnsiTheme="minorHAnsi"/>
          <w:lang w:val="en-US"/>
        </w:rPr>
        <w:t xml:space="preserve"> (alcohol or tobacco consumpti</w:t>
      </w:r>
      <w:r w:rsidR="008955CA" w:rsidRPr="00026AF4">
        <w:rPr>
          <w:rFonts w:asciiTheme="minorHAnsi" w:hAnsiTheme="minorHAnsi"/>
          <w:lang w:val="en-US"/>
        </w:rPr>
        <w:t>on</w:t>
      </w:r>
      <w:r w:rsidRPr="00026AF4">
        <w:rPr>
          <w:rFonts w:asciiTheme="minorHAnsi" w:hAnsiTheme="minorHAnsi"/>
          <w:lang w:val="en-US"/>
        </w:rPr>
        <w:t xml:space="preserve">) or genetic (known or yet unidentified) </w:t>
      </w:r>
      <w:r w:rsidR="008955CA" w:rsidRPr="00026AF4">
        <w:rPr>
          <w:rFonts w:asciiTheme="minorHAnsi" w:hAnsiTheme="minorHAnsi"/>
          <w:lang w:val="en-US"/>
        </w:rPr>
        <w:t>ar</w:t>
      </w:r>
      <w:r w:rsidR="00BD3754" w:rsidRPr="00026AF4">
        <w:rPr>
          <w:rFonts w:asciiTheme="minorHAnsi" w:hAnsiTheme="minorHAnsi"/>
          <w:lang w:val="en-US"/>
        </w:rPr>
        <w:t xml:space="preserve">e </w:t>
      </w:r>
      <w:r w:rsidR="008955CA" w:rsidRPr="00026AF4">
        <w:rPr>
          <w:rFonts w:asciiTheme="minorHAnsi" w:hAnsiTheme="minorHAnsi"/>
          <w:lang w:val="en-US"/>
        </w:rPr>
        <w:t>present.</w:t>
      </w:r>
    </w:p>
    <w:p w14:paraId="4E9761F4" w14:textId="77777777" w:rsidR="00B4590A" w:rsidRPr="00026AF4" w:rsidRDefault="00B4590A" w:rsidP="00B4590A">
      <w:pPr>
        <w:jc w:val="both"/>
        <w:rPr>
          <w:rFonts w:asciiTheme="minorHAnsi" w:hAnsiTheme="minorHAnsi"/>
          <w:lang w:val="en-US"/>
        </w:rPr>
      </w:pPr>
    </w:p>
    <w:p w14:paraId="2095A469" w14:textId="77777777" w:rsidR="00B4590A" w:rsidRPr="00026AF4" w:rsidRDefault="00B4590A" w:rsidP="00B4590A">
      <w:pPr>
        <w:jc w:val="both"/>
        <w:rPr>
          <w:rFonts w:asciiTheme="minorHAnsi" w:hAnsiTheme="minorHAnsi"/>
          <w:lang w:val="en-US"/>
        </w:rPr>
      </w:pPr>
      <w:r w:rsidRPr="00026AF4">
        <w:rPr>
          <w:rFonts w:asciiTheme="minorHAnsi" w:hAnsiTheme="minorHAnsi"/>
          <w:lang w:val="en-US"/>
        </w:rPr>
        <w:t>The natural history of</w:t>
      </w:r>
      <w:r w:rsidRPr="00026AF4">
        <w:rPr>
          <w:rFonts w:asciiTheme="minorHAnsi" w:hAnsiTheme="minorHAnsi"/>
          <w:i/>
          <w:lang w:val="en-US"/>
        </w:rPr>
        <w:t xml:space="preserve"> SPINK1</w:t>
      </w:r>
      <w:r w:rsidRPr="00026AF4">
        <w:rPr>
          <w:rFonts w:asciiTheme="minorHAnsi" w:hAnsiTheme="minorHAnsi"/>
          <w:lang w:val="en-US"/>
        </w:rPr>
        <w:t xml:space="preserve">-related pancreatitis (SRP) is </w:t>
      </w:r>
      <w:r w:rsidR="004D3E80" w:rsidRPr="00026AF4">
        <w:rPr>
          <w:rFonts w:asciiTheme="minorHAnsi" w:hAnsiTheme="minorHAnsi"/>
          <w:lang w:val="en-US"/>
        </w:rPr>
        <w:t xml:space="preserve">currently inadequately described </w:t>
      </w:r>
      <w:r w:rsidRPr="00026AF4">
        <w:rPr>
          <w:rFonts w:asciiTheme="minorHAnsi" w:hAnsiTheme="minorHAnsi"/>
          <w:lang w:val="en-US"/>
        </w:rPr>
        <w:t xml:space="preserve">and previous </w:t>
      </w:r>
      <w:r w:rsidR="00A34CDC" w:rsidRPr="00026AF4">
        <w:rPr>
          <w:rFonts w:asciiTheme="minorHAnsi" w:hAnsiTheme="minorHAnsi"/>
          <w:lang w:val="en-US"/>
        </w:rPr>
        <w:t>literature reports</w:t>
      </w:r>
      <w:r w:rsidRPr="00026AF4">
        <w:rPr>
          <w:rFonts w:asciiTheme="minorHAnsi" w:hAnsiTheme="minorHAnsi"/>
          <w:lang w:val="en-US"/>
        </w:rPr>
        <w:t xml:space="preserve"> are still controversial.</w:t>
      </w:r>
      <w:r w:rsidR="00A34CDC" w:rsidRPr="00026AF4">
        <w:rPr>
          <w:rFonts w:asciiTheme="minorHAnsi" w:hAnsiTheme="minorHAnsi"/>
          <w:lang w:val="en-US"/>
        </w:rPr>
        <w:t xml:space="preserve"> This is due to a variety of reasons including</w:t>
      </w:r>
      <w:r w:rsidRPr="00026AF4">
        <w:rPr>
          <w:rFonts w:asciiTheme="minorHAnsi" w:hAnsiTheme="minorHAnsi"/>
          <w:lang w:val="en-US"/>
        </w:rPr>
        <w:t xml:space="preserve">: </w:t>
      </w:r>
      <w:r w:rsidR="003B6690" w:rsidRPr="00026AF4">
        <w:rPr>
          <w:rFonts w:asciiTheme="minorHAnsi" w:hAnsiTheme="minorHAnsi"/>
          <w:lang w:val="en-US"/>
        </w:rPr>
        <w:t>l</w:t>
      </w:r>
      <w:r w:rsidR="00454811" w:rsidRPr="00026AF4">
        <w:rPr>
          <w:rFonts w:asciiTheme="minorHAnsi" w:hAnsiTheme="minorHAnsi"/>
          <w:lang w:val="en-US"/>
        </w:rPr>
        <w:t>imited number of small studies describing cohorts of</w:t>
      </w:r>
      <w:r w:rsidR="00FB0499" w:rsidRPr="00026AF4">
        <w:rPr>
          <w:rFonts w:asciiTheme="minorHAnsi" w:hAnsiTheme="minorHAnsi"/>
          <w:lang w:val="en-US"/>
        </w:rPr>
        <w:t xml:space="preserve"> 6 to 48</w:t>
      </w:r>
      <w:r w:rsidRPr="00026AF4">
        <w:rPr>
          <w:rFonts w:asciiTheme="minorHAnsi" w:hAnsiTheme="minorHAnsi"/>
          <w:lang w:val="en-US"/>
        </w:rPr>
        <w:t xml:space="preserve"> patients; genetic variants of unknown significance </w:t>
      </w:r>
      <w:r w:rsidR="00454811" w:rsidRPr="00026AF4">
        <w:rPr>
          <w:rFonts w:asciiTheme="minorHAnsi" w:hAnsiTheme="minorHAnsi"/>
          <w:lang w:val="en-US"/>
        </w:rPr>
        <w:t>were</w:t>
      </w:r>
      <w:r w:rsidRPr="00026AF4">
        <w:rPr>
          <w:rFonts w:asciiTheme="minorHAnsi" w:hAnsiTheme="minorHAnsi"/>
          <w:lang w:val="en-US"/>
        </w:rPr>
        <w:t xml:space="preserve"> included</w:t>
      </w:r>
      <w:r w:rsidR="00454811" w:rsidRPr="00026AF4">
        <w:rPr>
          <w:rFonts w:asciiTheme="minorHAnsi" w:hAnsiTheme="minorHAnsi"/>
          <w:lang w:val="en-US"/>
        </w:rPr>
        <w:t>;</w:t>
      </w:r>
      <w:r w:rsidRPr="00026AF4">
        <w:rPr>
          <w:rFonts w:asciiTheme="minorHAnsi" w:hAnsiTheme="minorHAnsi"/>
          <w:lang w:val="en-US"/>
        </w:rPr>
        <w:t xml:space="preserve"> evaluation for other </w:t>
      </w:r>
      <w:r w:rsidR="00BE101C" w:rsidRPr="00026AF4">
        <w:rPr>
          <w:rFonts w:asciiTheme="minorHAnsi" w:hAnsiTheme="minorHAnsi"/>
          <w:lang w:val="en-US"/>
        </w:rPr>
        <w:t>risk</w:t>
      </w:r>
      <w:r w:rsidRPr="00026AF4">
        <w:rPr>
          <w:rFonts w:asciiTheme="minorHAnsi" w:hAnsiTheme="minorHAnsi"/>
          <w:lang w:val="en-US"/>
        </w:rPr>
        <w:t xml:space="preserve"> factors</w:t>
      </w:r>
      <w:r w:rsidR="00BE101C" w:rsidRPr="00026AF4">
        <w:rPr>
          <w:rFonts w:asciiTheme="minorHAnsi" w:hAnsiTheme="minorHAnsi"/>
          <w:lang w:val="en-US"/>
        </w:rPr>
        <w:t xml:space="preserve"> is sometimes</w:t>
      </w:r>
      <w:r w:rsidRPr="00026AF4">
        <w:rPr>
          <w:rFonts w:asciiTheme="minorHAnsi" w:hAnsiTheme="minorHAnsi"/>
          <w:lang w:val="en-US"/>
        </w:rPr>
        <w:t xml:space="preserve"> </w:t>
      </w:r>
      <w:r w:rsidR="00BE101C" w:rsidRPr="00026AF4">
        <w:rPr>
          <w:rFonts w:asciiTheme="minorHAnsi" w:hAnsiTheme="minorHAnsi"/>
          <w:lang w:val="en-US"/>
        </w:rPr>
        <w:t xml:space="preserve">limited </w:t>
      </w:r>
      <w:r w:rsidR="00454811" w:rsidRPr="00026AF4">
        <w:rPr>
          <w:rFonts w:asciiTheme="minorHAnsi" w:hAnsiTheme="minorHAnsi"/>
          <w:lang w:val="en-US"/>
        </w:rPr>
        <w:t>to</w:t>
      </w:r>
      <w:r w:rsidR="00BE101C" w:rsidRPr="00026AF4">
        <w:rPr>
          <w:rFonts w:asciiTheme="minorHAnsi" w:hAnsiTheme="minorHAnsi"/>
          <w:lang w:val="en-US"/>
        </w:rPr>
        <w:t xml:space="preserve"> </w:t>
      </w:r>
      <w:r w:rsidR="00C029E5" w:rsidRPr="00026AF4">
        <w:rPr>
          <w:rFonts w:asciiTheme="minorHAnsi" w:hAnsiTheme="minorHAnsi"/>
          <w:lang w:val="en-US"/>
        </w:rPr>
        <w:t>tobacco consumption</w:t>
      </w:r>
      <w:r w:rsidR="00454811" w:rsidRPr="00026AF4">
        <w:rPr>
          <w:rFonts w:asciiTheme="minorHAnsi" w:hAnsiTheme="minorHAnsi"/>
          <w:lang w:val="en-US"/>
        </w:rPr>
        <w:t>;</w:t>
      </w:r>
      <w:r w:rsidR="003B6690" w:rsidRPr="00026AF4">
        <w:rPr>
          <w:rFonts w:asciiTheme="minorHAnsi" w:hAnsiTheme="minorHAnsi"/>
          <w:lang w:val="en-US"/>
        </w:rPr>
        <w:t xml:space="preserve"> f</w:t>
      </w:r>
      <w:r w:rsidR="00454811" w:rsidRPr="00026AF4">
        <w:rPr>
          <w:rFonts w:asciiTheme="minorHAnsi" w:hAnsiTheme="minorHAnsi"/>
          <w:lang w:val="en-US"/>
        </w:rPr>
        <w:t>inally, the</w:t>
      </w:r>
      <w:r w:rsidR="00BD3754" w:rsidRPr="00026AF4">
        <w:rPr>
          <w:rFonts w:asciiTheme="minorHAnsi" w:hAnsiTheme="minorHAnsi"/>
          <w:lang w:val="en-US"/>
        </w:rPr>
        <w:t xml:space="preserve"> </w:t>
      </w:r>
      <w:r w:rsidRPr="00026AF4">
        <w:rPr>
          <w:rFonts w:asciiTheme="minorHAnsi" w:hAnsiTheme="minorHAnsi"/>
          <w:lang w:val="en-US"/>
        </w:rPr>
        <w:t>frequent coexistence of other potential causes of pancreatitis</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{"citationID":"HWM0IpnW","properties":{"formattedCitation":"\\super 6,8,9\\nosupersub{}","plainCitation":"6,8,9","noteIndex":0},"citationItems":[{"id":159,"uris":["http://zotero.org/users/1090946/items/PW5KBZPM"],"uri":["http://zotero.org/users/1090946/items/PW5KBZPM"],"itemData":{"id":159,"type":"article-journal","title":"Mutations of the serine protease inhibitor, Kazal type 1 gene, in patients with idiopathic chronic pancreatitis","container-title":"The American Journal of Gastroenterology","page":"1133-1137","volume":"97","issue":"5","source":"PubMed","abstract":"OBJECTIVE: The pathogenesis of chronic pancreatitis (CP) is poorly understood. Genetic studies revealed mutations in the cationic trypsinogen gene and an increased frequency of cystic fibrosis gene mutations in patients with CP. Recently, a point mutation (N34S) in the gene encoding the serine protease inhibitor, Kazal type 1 (SPINK1), was found in approximately 20% of patients with CP. The aim of our study was to determine the frequency of the N34S SPINKI gene mutation in a well-defined patient cohort with idiopathic CP (ICP) and to compare the incidence with healthy controls. In addition, we investigated the impact of this mutation on the long-term course of CP.\nMETHODS: Fourteen patients with early-onset and four patients with late-onset CP of our well-defined pancreatitis cohort were enrolled in the present study, and 397 healthy individuals served as a control population. Coding exonic and the flanking intronic sequences of SPINK1 were investigated by direct DNA sequencing. The mutations found were confirmed by melting curve analysis. In addition, the N34S mutation was detected by analyzing the DNA fragments generated by digestion with restriction enzyme TspR I. Clinical data of patients with the N34S mutation were compared with those without mutations.\nRESULTS: The N34S mutation was detected in six of 14 (43%) patients with early-onset ICP. One patient was homozygous, and five patients were heterozygous for this mutation. The N34S mutation in a heterozygous state was found in four of 397 healthy controls (1.0%). The different allele frequency observed (seven of 28 vs four of 794) was significant (odds ratio = 66, 95% CI = 18-242, p &lt; 0.0001). The clinical course was similar in patients with a mutation compared with those without a mutation. No other SPINKI mutations were detected. The N34S mutation was not found in patients with late-onset ICP.\nCONCLUSIONS: Our results indicate that the N34S mutation in the SPINKI gene is strongly associated with ICP, especially with the early-onset type. The natural course is similar in patients with mutations compared with SPINK1 mutation-negative patients. The N34S mutation may easily be screened for by restriction digestion with TspR I.","DOI":"10.1111/j.1572-0241.2002.05673.x","ISSN":"0002-9270","note":"PMID: 12014716","journalAbbreviation":"Am. J. Gastroenterol.","language":"eng","author":[{"family":"Truninger","given":"Kaspar"},{"family":"Witt","given":"Heiko"},{"family":"Köck","given":"J."},{"family":"Kage","given":"Andreas"},{"family":"Seifert","given":"B."},{"family":"Ammann","given":"Rudolf W."},{"family":"Blum","given":"Hubert E."},{"family":"Becker","given":"Michael"}],"issued":{"date-parts":[["2002",5]]}}},{"id":435,"uris":["http://zotero.org/users/1090946/items/MSQJGK8K"],"uri":["http://zotero.org/users/1090946/items/MSQJGK8K"],"itemData":{"id":435,"type":"article-journal","title":"Idiopathic chronic pancreatitis in India: phenotypic characterisation and strong genetic susceptibility due to SPINK1 and CFTR gene mutations","container-title":"Gut","page":"800-807","volume":"59","issue":"6","source":"Crossref","abstract":"Objective To study the genetic predisposition, phenotype and prognosis of idiopathic chronic pancreatitis (CP). Design Prospective observational and caseecontrol study. Setting Tertiary care academic centre. Patients Consecutive patients with CP. Interventions Detailed mutational analysis was done for the cationic trypsinogen, SPINK1 and CFTR genes with single-strand conformational polymorphism or restricted fragment length polymorphism, and sequencing. Clinical and disease characteristics of idiopathic versus alcoholic CP, and early onset versus late onset idiopathic CP were compared. Response to multimodality treatment (medical, endoscopic and/or surgical) and prognosis were analysed. Main outcome measures Genetic mutations, phenotypic characterisation and prognosis of idiopathic CP.\nResults Of the 411 patients with CP, 242 had idiopathic aetiology (age 27.50611.85 years; 154 men). Malnutrition and cassava were not risk factors. SPINK1 N34S mutation was present in 42% of patients with idiopathic CP (vs 4% controls, p&lt;0.001) and 17% of patients with alcoholic CP (p¼0.016 compared with controls). In the CFTR gene, nine patients with idiopathic CP had mutations and 41 patients had polymorphisms (50% vs 10% controls, p&lt;0.001). Diabetes developed in 35.53% of patients with idiopathic CP. About 85% of patients had signiﬁcant pain relief with therapy. The probability of surviving for 35 years after onset of idiopathic CP was 83%. The typical features of tropical calciﬁc pancreatitis were seen only in 5.8% of patients.\nConclusion Strong genetic susceptibility due to SPINK1 and CFTR gene mutations, and comparative phenotype of idiopathic CP in India suggest that the term ‘tropical calciﬁc pancreatitis’ is a misnomer.","DOI":"10.1136/gut.2009.191239","ISSN":"0017-5749","shortTitle":"Idiopathic chronic pancreatitis in India","language":"en","author":[{"family":"Midha","given":"S."},{"family":"Khajuria","given":"R."},{"family":"Shastri","given":"S."},{"family":"Kabra","given":"M."},{"family":"Garg","given":"P. K."}],"issued":{"date-parts":[["2010",6,1]]}}},{"id":430,"uris":["http://zotero.org/users/1090946/items/CHBACXYL"],"uri":["http://zotero.org/users/1090946/items/CHBACXYL"],"itemData":{"id":430,"type":"article-journal","title":"Presence of SPINK-1 variant alters the course of chronic pancreatitis","container-title":"Journal of Gastroenterology and Hepatology","page":"965-969","volume":"26","issue":"6","source":"PubMed","abstract":"BACKGROUND AND AIMS: There is growing evidence that genetic mutations/variants increase susceptibility to the development and progression of chronic pancreatitis (CP). Several mutations have been identified that have a direct and indirect role in events leading to CP. Mutations in the serine protease inhibitor, Kazal type-1 (SPINK-1) gene have been reported to lower the threshold for pancreatitis in the presence of other genetic or environmental factors. The prevalence and impact of SPINK-1 mutations on the clinical course and outcomes of CP remains unclear. This study was conducted to assess the prevalence of the SPINK-1/N34S variant in patients with CP, and to understand the impact of the SPINK-1 mutation on the natural history of CP.\nMETHODS: A retrospective-prospective analysis of 239 patients with CP was performed. A detailed history, including duration of symptoms, type of pain (intermittent flares or chronic continuous pain), number of flares requiring hospital admission, alcohol and smoking history, and family history was obtained. The baseline morphological stage of CP was categorized by Cambridge classification. Clinical outcome variables included frequency and severity of pain episodes, presence of exocrine failure (defined by presence of steatorrhea and/or fecal elastase &lt; 200 ug/g), and diabetes. The genetic tests included the cationic trypsinogen gene-1 mutation, cystic fibrosis gene mutations (Genzyme assay), and the SPINK-1/N34S mutation.\nRESULTS: Of the 239 patients with CP, 13 (5.4%) were positive for the SPINK-1/N34S mutation. There were 35 (14.6%) patients with idiopathic pancreatitis (IP) in this cohort. Most of the patients who were positive for the SPINK-1/N34S mutation had IP and were Caucasian (69.2%). The patients with the SPINK-1/N34S mutation had a younger age of onset (32.9 ± 10.2 vs 40.1 ± 13.6 years; P = 0.108) than those with IP and no mutation. Over a median follow up of 9.6 years, the patients with the SPINK-1/N34S mutation had a significantly greater number of acute flares each year, as compared to those without the mutation (11.8 ± 1.5 vs 4 ± 0.98; P = 0.0001).\nCONCLUSIONS: The prevalence of the SPINK-1/N34S mutation in patients with CP is 5.4%, and is approximately 37.1% in patients with IP. These mutations are more prevalent in Caucasian patients with CP. The SPINK-1/N34S mutation predisposes to early onset IP and more frequent acute flares of pancreatitis that might ultimately lead to pancreatic insufficiency. The patients with IP and borderline alcohol history should be considered for testing for genetic analysis, including SPINK-1 mutations, initially restricted to clinical trials.","DOI":"10.1111/j.1440-1746.2011.06713.x","ISSN":"1440-1746","note":"PMID: 21375584","journalAbbreviation":"J. Gastroenterol. Hepatol.","language":"eng","author":[{"family":"Sandhu","given":"Bimaljit"},{"family":"Vitazka","given":"Patrik"},{"family":"Ferreira-Gonzalez","given":"Andrea"},{"family":"Pandya","given":"Arti"},{"family":"Vachhani","given":"Ravi"},{"family":"Bouhaidar","given":"Doumit"},{"family":"Zfass","given":"Alvin"},{"family":"Sanyal","given":"Arun"}],"issued":{"date-parts":[["2011",6]]}}}],"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6,8,9</w:t>
      </w:r>
      <w:r w:rsidR="000955DB" w:rsidRPr="00026AF4">
        <w:rPr>
          <w:rFonts w:asciiTheme="minorHAnsi" w:hAnsiTheme="minorHAnsi"/>
          <w:lang w:val="en-US"/>
        </w:rPr>
        <w:fldChar w:fldCharType="end"/>
      </w:r>
      <w:r w:rsidRPr="00026AF4">
        <w:rPr>
          <w:rFonts w:asciiTheme="minorHAnsi" w:hAnsiTheme="minorHAnsi"/>
          <w:lang w:val="en-US"/>
        </w:rPr>
        <w:t xml:space="preserve"> did not allow </w:t>
      </w:r>
      <w:r w:rsidR="00E43534" w:rsidRPr="00026AF4">
        <w:rPr>
          <w:rFonts w:asciiTheme="minorHAnsi" w:hAnsiTheme="minorHAnsi"/>
          <w:lang w:val="en-US"/>
        </w:rPr>
        <w:t>for</w:t>
      </w:r>
      <w:r w:rsidRPr="00026AF4">
        <w:rPr>
          <w:rFonts w:asciiTheme="minorHAnsi" w:hAnsiTheme="minorHAnsi"/>
          <w:lang w:val="en-US"/>
        </w:rPr>
        <w:t xml:space="preserve"> clear</w:t>
      </w:r>
      <w:r w:rsidR="00E43534" w:rsidRPr="00026AF4">
        <w:rPr>
          <w:rFonts w:asciiTheme="minorHAnsi" w:hAnsiTheme="minorHAnsi"/>
          <w:lang w:val="en-US"/>
        </w:rPr>
        <w:t xml:space="preserve"> conclusions to be drawn</w:t>
      </w:r>
      <w:r w:rsidRPr="00026AF4">
        <w:rPr>
          <w:rFonts w:asciiTheme="minorHAnsi" w:hAnsiTheme="minorHAnsi"/>
          <w:lang w:val="en-US"/>
        </w:rPr>
        <w:t xml:space="preserve"> </w:t>
      </w:r>
      <w:r w:rsidR="00D15D03" w:rsidRPr="00026AF4">
        <w:rPr>
          <w:rFonts w:asciiTheme="minorHAnsi" w:hAnsiTheme="minorHAnsi"/>
          <w:lang w:val="en-US"/>
        </w:rPr>
        <w:t xml:space="preserve">regarding </w:t>
      </w:r>
      <w:r w:rsidRPr="00026AF4">
        <w:rPr>
          <w:rFonts w:asciiTheme="minorHAnsi" w:hAnsiTheme="minorHAnsi"/>
          <w:lang w:val="en-US"/>
        </w:rPr>
        <w:t>the</w:t>
      </w:r>
      <w:r w:rsidR="00D15D03" w:rsidRPr="00026AF4">
        <w:rPr>
          <w:rFonts w:asciiTheme="minorHAnsi" w:hAnsiTheme="minorHAnsi"/>
          <w:lang w:val="en-US"/>
        </w:rPr>
        <w:t xml:space="preserve"> role of</w:t>
      </w:r>
      <w:r w:rsidRPr="00026AF4">
        <w:rPr>
          <w:rFonts w:asciiTheme="minorHAnsi" w:hAnsiTheme="minorHAnsi"/>
          <w:lang w:val="en-US"/>
        </w:rPr>
        <w:t xml:space="preserve"> </w:t>
      </w:r>
      <w:r w:rsidRPr="00026AF4">
        <w:rPr>
          <w:rFonts w:asciiTheme="minorHAnsi" w:hAnsiTheme="minorHAnsi"/>
          <w:i/>
          <w:lang w:val="en-US"/>
        </w:rPr>
        <w:t>SPINK1</w:t>
      </w:r>
      <w:r w:rsidRPr="00026AF4">
        <w:rPr>
          <w:rFonts w:asciiTheme="minorHAnsi" w:hAnsiTheme="minorHAnsi"/>
          <w:lang w:val="en-US"/>
        </w:rPr>
        <w:t xml:space="preserve"> </w:t>
      </w:r>
      <w:r w:rsidR="00CC3718" w:rsidRPr="00026AF4">
        <w:rPr>
          <w:rFonts w:asciiTheme="minorHAnsi" w:hAnsiTheme="minorHAnsi"/>
          <w:lang w:val="en-US"/>
        </w:rPr>
        <w:t>variants</w:t>
      </w:r>
      <w:r w:rsidRPr="00026AF4">
        <w:rPr>
          <w:rFonts w:asciiTheme="minorHAnsi" w:hAnsiTheme="minorHAnsi"/>
          <w:lang w:val="en-US"/>
        </w:rPr>
        <w:t xml:space="preserve">  in </w:t>
      </w:r>
      <w:r w:rsidR="003B6690" w:rsidRPr="00026AF4">
        <w:rPr>
          <w:rFonts w:asciiTheme="minorHAnsi" w:hAnsiTheme="minorHAnsi"/>
          <w:lang w:val="en-US"/>
        </w:rPr>
        <w:t>pancreatitis.</w:t>
      </w:r>
      <w:r w:rsidRPr="00026AF4">
        <w:rPr>
          <w:rFonts w:asciiTheme="minorHAnsi" w:hAnsiTheme="minorHAnsi"/>
          <w:lang w:val="en-US"/>
        </w:rPr>
        <w:t xml:space="preserve"> Furthermore the association between</w:t>
      </w:r>
      <w:r w:rsidR="00D15D03" w:rsidRPr="00026AF4">
        <w:rPr>
          <w:rFonts w:asciiTheme="minorHAnsi" w:hAnsiTheme="minorHAnsi"/>
          <w:lang w:val="en-US"/>
        </w:rPr>
        <w:t xml:space="preserve"> coexistent</w:t>
      </w:r>
      <w:r w:rsidRPr="00026AF4">
        <w:rPr>
          <w:rFonts w:asciiTheme="minorHAnsi" w:hAnsiTheme="minorHAnsi"/>
          <w:lang w:val="en-US"/>
        </w:rPr>
        <w:t xml:space="preserve"> SPINK1 mutations and other </w:t>
      </w:r>
      <w:proofErr w:type="spellStart"/>
      <w:r w:rsidRPr="00026AF4">
        <w:rPr>
          <w:rFonts w:asciiTheme="minorHAnsi" w:hAnsiTheme="minorHAnsi"/>
          <w:lang w:val="en-US"/>
        </w:rPr>
        <w:t>germline</w:t>
      </w:r>
      <w:proofErr w:type="spellEnd"/>
      <w:r w:rsidRPr="00026AF4">
        <w:rPr>
          <w:rFonts w:asciiTheme="minorHAnsi" w:hAnsiTheme="minorHAnsi"/>
          <w:lang w:val="en-US"/>
        </w:rPr>
        <w:t xml:space="preserve"> mutations in genes involved in pancreatic diseases</w:t>
      </w:r>
      <w:r w:rsidR="00D15D03" w:rsidRPr="00026AF4">
        <w:rPr>
          <w:rFonts w:asciiTheme="minorHAnsi" w:hAnsiTheme="minorHAnsi"/>
          <w:lang w:val="en-US"/>
        </w:rPr>
        <w:t xml:space="preserve"> (trans-</w:t>
      </w:r>
      <w:proofErr w:type="spellStart"/>
      <w:r w:rsidR="00D15D03" w:rsidRPr="00026AF4">
        <w:rPr>
          <w:rFonts w:asciiTheme="minorHAnsi" w:hAnsiTheme="minorHAnsi"/>
          <w:lang w:val="en-US"/>
        </w:rPr>
        <w:t>heterozygosity</w:t>
      </w:r>
      <w:proofErr w:type="spellEnd"/>
      <w:r w:rsidR="00D15D03" w:rsidRPr="00026AF4">
        <w:rPr>
          <w:rFonts w:asciiTheme="minorHAnsi" w:hAnsiTheme="minorHAnsi"/>
          <w:lang w:val="en-US"/>
        </w:rPr>
        <w:t>)</w:t>
      </w:r>
      <w:r w:rsidRPr="00026AF4">
        <w:rPr>
          <w:rFonts w:asciiTheme="minorHAnsi" w:hAnsiTheme="minorHAnsi"/>
          <w:lang w:val="en-US"/>
        </w:rPr>
        <w:t xml:space="preserve"> </w:t>
      </w:r>
      <w:r w:rsidR="00D15D03" w:rsidRPr="00026AF4">
        <w:rPr>
          <w:rFonts w:asciiTheme="minorHAnsi" w:hAnsiTheme="minorHAnsi"/>
          <w:lang w:val="en-US"/>
        </w:rPr>
        <w:t>needs to be further elucidated</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{"citationID":"SEe0VHiS","properties":{"formattedCitation":"\\super 10\\nosupersub{}","plainCitation":"10","noteIndex":0},"citationItems":[{"id":458,"uris":["http://zotero.org/users/1090946/items/MCKEVBE6"],"uri":["http://zotero.org/users/1090946/items/MCKEVBE6"],"itemData":{"id":458,"type":"article-journal","title":"Trans-heterozygosity for mutations enhances the risk of recurrent/chronic pancreatitis in patients with Cystic Fibrosis","container-title":"Molecular Medicine (Cambridge, Mass.)","page":"38","volume":"24","issue":"1","source":"PubMed","abstract":"BACKGROUND: Recurrent (RP) and chronic pancreatitis (CP) may complicate Cystic Fibrosis (CF). It is still unknown if mutations in genes involved in the intrapancreatic activation of trypsin (IPAT) or in the pancreatic secretion pathway (PSP) may enhance the risk for RP/CP in patients with CF.\nMETHODS: We enrolled: 48 patients affected by CF complicated by RP/CP and, as controls 35 patients with CF without pancreatitis and 80 unrelated healthy subjects. We tested a panel of 8 genes involved in the IPAT, i.e. PRSS1, PRSS2, SPINK1, CTRC, CASR, CFTR, CTSB and KRT8 and 23 additional genes implicated in the PSP.\nRESULTS: We found 14/48 patients (29.2%) with mutations in genes involved in IPAT in the group of CF patients with RP/CP, while mutations in such genes were found in 2/35 (5.7%) patients with CF without pancreatitis and in 3/80 (3.8%) healthy subjects (p &lt; 0.001). Thus, we found mutations in 12 genes of the PSP in 11/48 (22.9%) patients with CF and RP/CP. Overall, 19/48 (39.6%) patients with CF and RP/CP showed one or more mutations in the genes involved in the IPAT and in the PSP while such figure was 4/35 (11.4%) for patients with CF without pancreatitis and 11/80 (13.7%) for healthy controls (p &lt; 0.001).\nCONCLUSIONS: The trans-heterozygous association between CFTR mutations in genes involved in the pathways of pancreatic enzyme activation and the pancreatic secretion may be risk factors for the development of recurrent or chronic pancreatitis in patients with CF.","DOI":"10.1186/s10020-018-0041-6","ISSN":"1528-3658","note":"PMID: 30134826\nPMCID: PMC6062922","journalAbbreviation":"Mol. Med.","language":"eng","author":[{"family":"Sofia","given":"Valentina Maria"},{"family":"Surace","given":"Cecilia"},{"family":"Terlizzi","given":"Vito"},{"family":"Da Sacco","given":"Letizia"},{"family":"Alghisi","given":"Federico"},{"family":"Angiolillo","given":"Antonella"},{"family":"Braggion","given":"Cesare"},{"family":"Cirilli","given":"Natalia"},{"family":"Colombo","given":"Carla"},{"family":"Di Lullo","given":"Antonella"},{"family":"Padoan","given":"Rita"},{"family":"Quattrucci","given":"Serena"},{"family":"Raia","given":"Valeria"},{"family":"Tuccio","given":"Giuseppe"},{"family":"Zarrilli","given":"Federica"},{"family":"Tomaiuolo","given":"Anna Cristina"},{"family":"Novelli","given":"Antonio"},{"family":"Lucidi","given":"Vincenzina"},{"family":"Lucarelli","given":"Marco"},{"family":"Castaldo","given":"Giuseppe"},{"family":"Angioni","given":"Adriano"}],"issued":{"date-parts":[["2018",7,27]]}}}],"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10</w:t>
      </w:r>
      <w:r w:rsidR="000955DB" w:rsidRPr="00026AF4">
        <w:rPr>
          <w:rFonts w:asciiTheme="minorHAnsi" w:hAnsiTheme="minorHAnsi"/>
          <w:lang w:val="en-US"/>
        </w:rPr>
        <w:fldChar w:fldCharType="end"/>
      </w:r>
      <w:r w:rsidRPr="00026AF4">
        <w:rPr>
          <w:rFonts w:asciiTheme="minorHAnsi" w:hAnsiTheme="minorHAnsi"/>
          <w:lang w:val="en-US"/>
        </w:rPr>
        <w:t>.</w:t>
      </w:r>
    </w:p>
    <w:p w14:paraId="27D110A9" w14:textId="77777777" w:rsidR="00EE648B" w:rsidRPr="00026AF4" w:rsidRDefault="007A2F6E" w:rsidP="00712250">
      <w:pPr>
        <w:jc w:val="both"/>
        <w:rPr>
          <w:rFonts w:asciiTheme="minorHAnsi" w:hAnsiTheme="minorHAnsi"/>
          <w:lang w:val="en-US"/>
        </w:rPr>
      </w:pPr>
      <w:r w:rsidRPr="00026AF4">
        <w:rPr>
          <w:rFonts w:asciiTheme="minorHAnsi" w:hAnsiTheme="minorHAnsi"/>
          <w:lang w:val="en-US"/>
        </w:rPr>
        <w:t xml:space="preserve">The </w:t>
      </w:r>
      <w:r w:rsidR="00BA6261" w:rsidRPr="00026AF4">
        <w:rPr>
          <w:rFonts w:asciiTheme="minorHAnsi" w:hAnsiTheme="minorHAnsi"/>
          <w:lang w:val="en-US"/>
        </w:rPr>
        <w:t xml:space="preserve">aim </w:t>
      </w:r>
      <w:r w:rsidRPr="00026AF4">
        <w:rPr>
          <w:rFonts w:asciiTheme="minorHAnsi" w:hAnsiTheme="minorHAnsi"/>
          <w:lang w:val="en-US"/>
        </w:rPr>
        <w:t xml:space="preserve">of </w:t>
      </w:r>
      <w:r w:rsidR="00EA5F14" w:rsidRPr="00026AF4">
        <w:rPr>
          <w:rFonts w:asciiTheme="minorHAnsi" w:hAnsiTheme="minorHAnsi"/>
          <w:lang w:val="en-US"/>
        </w:rPr>
        <w:t>this</w:t>
      </w:r>
      <w:r w:rsidRPr="00026AF4">
        <w:rPr>
          <w:rFonts w:asciiTheme="minorHAnsi" w:hAnsiTheme="minorHAnsi"/>
          <w:lang w:val="en-US"/>
        </w:rPr>
        <w:t xml:space="preserve"> study </w:t>
      </w:r>
      <w:r w:rsidR="00C93FBD" w:rsidRPr="00026AF4">
        <w:rPr>
          <w:rFonts w:asciiTheme="minorHAnsi" w:hAnsiTheme="minorHAnsi"/>
          <w:lang w:val="en-US"/>
        </w:rPr>
        <w:t>was</w:t>
      </w:r>
      <w:r w:rsidRPr="00026AF4">
        <w:rPr>
          <w:rFonts w:asciiTheme="minorHAnsi" w:hAnsiTheme="minorHAnsi"/>
          <w:lang w:val="en-US"/>
        </w:rPr>
        <w:t xml:space="preserve"> to describe </w:t>
      </w:r>
      <w:r w:rsidR="00313DAA" w:rsidRPr="00026AF4">
        <w:rPr>
          <w:rFonts w:asciiTheme="minorHAnsi" w:hAnsiTheme="minorHAnsi"/>
          <w:lang w:val="en-US"/>
        </w:rPr>
        <w:t xml:space="preserve">epidemiological, </w:t>
      </w:r>
      <w:r w:rsidR="00EA5F14" w:rsidRPr="00026AF4">
        <w:rPr>
          <w:rFonts w:asciiTheme="minorHAnsi" w:hAnsiTheme="minorHAnsi"/>
          <w:lang w:val="en-US"/>
        </w:rPr>
        <w:t xml:space="preserve">genetic, </w:t>
      </w:r>
      <w:r w:rsidR="00313DAA" w:rsidRPr="00026AF4">
        <w:rPr>
          <w:rFonts w:asciiTheme="minorHAnsi" w:hAnsiTheme="minorHAnsi"/>
          <w:lang w:val="en-US"/>
        </w:rPr>
        <w:t xml:space="preserve">clinical and </w:t>
      </w:r>
      <w:r w:rsidR="00F17FBA" w:rsidRPr="00026AF4">
        <w:rPr>
          <w:rFonts w:asciiTheme="minorHAnsi" w:hAnsiTheme="minorHAnsi"/>
          <w:lang w:val="en-US"/>
        </w:rPr>
        <w:t xml:space="preserve">pancreatic </w:t>
      </w:r>
      <w:r w:rsidR="00313DAA" w:rsidRPr="00026AF4">
        <w:rPr>
          <w:rFonts w:asciiTheme="minorHAnsi" w:hAnsiTheme="minorHAnsi"/>
          <w:lang w:val="en-US"/>
        </w:rPr>
        <w:t xml:space="preserve">morphological features </w:t>
      </w:r>
      <w:r w:rsidR="00BA6261" w:rsidRPr="00026AF4">
        <w:rPr>
          <w:rFonts w:asciiTheme="minorHAnsi" w:hAnsiTheme="minorHAnsi"/>
          <w:lang w:val="en-US"/>
        </w:rPr>
        <w:t xml:space="preserve">in </w:t>
      </w:r>
      <w:r w:rsidRPr="00026AF4">
        <w:rPr>
          <w:rFonts w:asciiTheme="minorHAnsi" w:hAnsiTheme="minorHAnsi"/>
          <w:lang w:val="en-US"/>
        </w:rPr>
        <w:t>a large</w:t>
      </w:r>
      <w:r w:rsidR="00D15D03" w:rsidRPr="00026AF4">
        <w:rPr>
          <w:rFonts w:asciiTheme="minorHAnsi" w:hAnsiTheme="minorHAnsi"/>
          <w:lang w:val="en-US"/>
        </w:rPr>
        <w:t xml:space="preserve">, </w:t>
      </w:r>
      <w:proofErr w:type="spellStart"/>
      <w:r w:rsidR="00D15D03" w:rsidRPr="00026AF4">
        <w:rPr>
          <w:rFonts w:asciiTheme="minorHAnsi" w:hAnsiTheme="minorHAnsi"/>
          <w:lang w:val="en-US"/>
        </w:rPr>
        <w:t>multicentre</w:t>
      </w:r>
      <w:proofErr w:type="spellEnd"/>
      <w:r w:rsidRPr="00026AF4">
        <w:rPr>
          <w:rFonts w:asciiTheme="minorHAnsi" w:hAnsiTheme="minorHAnsi"/>
          <w:lang w:val="en-US"/>
        </w:rPr>
        <w:t xml:space="preserve"> </w:t>
      </w:r>
      <w:r w:rsidR="00F454DC" w:rsidRPr="00026AF4">
        <w:rPr>
          <w:rFonts w:asciiTheme="minorHAnsi" w:hAnsiTheme="minorHAnsi"/>
          <w:lang w:val="en-US"/>
        </w:rPr>
        <w:t xml:space="preserve">European </w:t>
      </w:r>
      <w:r w:rsidR="00BA6261" w:rsidRPr="00026AF4">
        <w:rPr>
          <w:rFonts w:asciiTheme="minorHAnsi" w:hAnsiTheme="minorHAnsi"/>
          <w:lang w:val="en-US"/>
        </w:rPr>
        <w:t xml:space="preserve"> cohort</w:t>
      </w:r>
      <w:r w:rsidR="00F17FBA" w:rsidRPr="00026AF4">
        <w:rPr>
          <w:rFonts w:asciiTheme="minorHAnsi" w:hAnsiTheme="minorHAnsi"/>
          <w:lang w:val="en-US"/>
        </w:rPr>
        <w:t xml:space="preserve"> of patients with chronic pancreatitis who car</w:t>
      </w:r>
      <w:r w:rsidR="003B6690" w:rsidRPr="00026AF4">
        <w:rPr>
          <w:rFonts w:asciiTheme="minorHAnsi" w:hAnsiTheme="minorHAnsi"/>
          <w:lang w:val="en-US"/>
        </w:rPr>
        <w:t xml:space="preserve">ry the minor allele of </w:t>
      </w:r>
      <w:r w:rsidR="003B6690" w:rsidRPr="00026AF4">
        <w:rPr>
          <w:rFonts w:asciiTheme="minorHAnsi" w:hAnsiTheme="minorHAnsi"/>
          <w:i/>
          <w:lang w:val="en-US"/>
        </w:rPr>
        <w:t>SPINK1</w:t>
      </w:r>
      <w:r w:rsidR="003B6690" w:rsidRPr="00026AF4">
        <w:rPr>
          <w:rFonts w:asciiTheme="minorHAnsi" w:hAnsiTheme="minorHAnsi"/>
          <w:lang w:val="en-US"/>
        </w:rPr>
        <w:t xml:space="preserve"> codon 34</w:t>
      </w:r>
      <w:r w:rsidRPr="00026AF4">
        <w:rPr>
          <w:rFonts w:asciiTheme="minorHAnsi" w:hAnsiTheme="minorHAnsi"/>
          <w:lang w:val="en-US"/>
        </w:rPr>
        <w:t xml:space="preserve">, </w:t>
      </w:r>
      <w:r w:rsidR="00EA5F14" w:rsidRPr="00026AF4">
        <w:rPr>
          <w:rFonts w:asciiTheme="minorHAnsi" w:hAnsiTheme="minorHAnsi"/>
          <w:lang w:val="en-US"/>
        </w:rPr>
        <w:t>and to compare</w:t>
      </w:r>
      <w:r w:rsidR="00F17FBA" w:rsidRPr="00026AF4">
        <w:rPr>
          <w:rFonts w:asciiTheme="minorHAnsi" w:hAnsiTheme="minorHAnsi"/>
          <w:lang w:val="en-US"/>
        </w:rPr>
        <w:t xml:space="preserve"> these</w:t>
      </w:r>
      <w:r w:rsidR="00EA5F14" w:rsidRPr="00026AF4">
        <w:rPr>
          <w:rFonts w:asciiTheme="minorHAnsi" w:hAnsiTheme="minorHAnsi"/>
          <w:lang w:val="en-US"/>
        </w:rPr>
        <w:t xml:space="preserve"> </w:t>
      </w:r>
      <w:r w:rsidR="00F17FBA" w:rsidRPr="00026AF4">
        <w:rPr>
          <w:rFonts w:asciiTheme="minorHAnsi" w:hAnsiTheme="minorHAnsi"/>
          <w:lang w:val="en-US"/>
        </w:rPr>
        <w:t>characteristics</w:t>
      </w:r>
      <w:r w:rsidRPr="00026AF4">
        <w:rPr>
          <w:rFonts w:asciiTheme="minorHAnsi" w:hAnsiTheme="minorHAnsi"/>
          <w:lang w:val="en-US"/>
        </w:rPr>
        <w:t xml:space="preserve"> </w:t>
      </w:r>
      <w:r w:rsidR="00EA5F14" w:rsidRPr="00026AF4">
        <w:rPr>
          <w:rFonts w:asciiTheme="minorHAnsi" w:hAnsiTheme="minorHAnsi"/>
          <w:lang w:val="en-US"/>
        </w:rPr>
        <w:t>with</w:t>
      </w:r>
      <w:r w:rsidRPr="00026AF4">
        <w:rPr>
          <w:rFonts w:asciiTheme="minorHAnsi" w:hAnsiTheme="minorHAnsi"/>
          <w:lang w:val="en-US"/>
        </w:rPr>
        <w:t xml:space="preserve"> a control population</w:t>
      </w:r>
      <w:r w:rsidR="00F17FBA" w:rsidRPr="00026AF4">
        <w:rPr>
          <w:rFonts w:asciiTheme="minorHAnsi" w:hAnsiTheme="minorHAnsi"/>
          <w:lang w:val="en-US"/>
        </w:rPr>
        <w:t xml:space="preserve"> consisting</w:t>
      </w:r>
      <w:r w:rsidRPr="00026AF4">
        <w:rPr>
          <w:rFonts w:asciiTheme="minorHAnsi" w:hAnsiTheme="minorHAnsi"/>
          <w:lang w:val="en-US"/>
        </w:rPr>
        <w:t xml:space="preserve"> of patients with </w:t>
      </w:r>
      <w:r w:rsidR="00BA6261" w:rsidRPr="00026AF4">
        <w:rPr>
          <w:rFonts w:asciiTheme="minorHAnsi" w:hAnsiTheme="minorHAnsi"/>
          <w:lang w:val="en-US"/>
        </w:rPr>
        <w:t>idiopathic pancreatitis</w:t>
      </w:r>
      <w:r w:rsidR="003B6690" w:rsidRPr="00026AF4">
        <w:rPr>
          <w:rFonts w:asciiTheme="minorHAnsi" w:hAnsiTheme="minorHAnsi"/>
          <w:lang w:val="en-US"/>
        </w:rPr>
        <w:t xml:space="preserve"> who carry</w:t>
      </w:r>
      <w:r w:rsidR="00F17FBA" w:rsidRPr="00026AF4">
        <w:rPr>
          <w:rFonts w:asciiTheme="minorHAnsi" w:hAnsiTheme="minorHAnsi"/>
          <w:lang w:val="en-US"/>
        </w:rPr>
        <w:t xml:space="preserve"> wild-type </w:t>
      </w:r>
      <w:r w:rsidR="00F17FBA" w:rsidRPr="00026AF4">
        <w:rPr>
          <w:rFonts w:asciiTheme="minorHAnsi" w:hAnsiTheme="minorHAnsi"/>
          <w:i/>
          <w:lang w:val="en-US"/>
        </w:rPr>
        <w:t>SPINK1</w:t>
      </w:r>
      <w:r w:rsidR="003B6690" w:rsidRPr="00026AF4">
        <w:rPr>
          <w:rFonts w:asciiTheme="minorHAnsi" w:hAnsiTheme="minorHAnsi"/>
          <w:lang w:val="en-US"/>
        </w:rPr>
        <w:t>.</w:t>
      </w:r>
    </w:p>
    <w:p w14:paraId="1A78E5EF" w14:textId="77777777" w:rsidR="00EE648B" w:rsidRPr="00026AF4" w:rsidRDefault="00EE648B" w:rsidP="00712250">
      <w:pPr>
        <w:jc w:val="both"/>
        <w:rPr>
          <w:rFonts w:asciiTheme="minorHAnsi" w:hAnsiTheme="minorHAnsi"/>
          <w:lang w:val="en-US"/>
        </w:rPr>
      </w:pPr>
    </w:p>
    <w:p w14:paraId="2B19C0B1" w14:textId="77777777" w:rsidR="00742FB6" w:rsidRPr="00026AF4" w:rsidRDefault="00742FB6" w:rsidP="00742FB6">
      <w:pPr>
        <w:jc w:val="both"/>
        <w:rPr>
          <w:rFonts w:asciiTheme="minorHAnsi" w:hAnsiTheme="minorHAnsi"/>
          <w:b/>
          <w:sz w:val="28"/>
          <w:szCs w:val="28"/>
          <w:lang w:val="en-US"/>
        </w:rPr>
      </w:pPr>
      <w:r w:rsidRPr="00026AF4">
        <w:rPr>
          <w:rFonts w:asciiTheme="minorHAnsi" w:hAnsiTheme="minorHAnsi"/>
          <w:b/>
          <w:sz w:val="28"/>
          <w:szCs w:val="28"/>
          <w:lang w:val="en-US"/>
        </w:rPr>
        <w:br w:type="page"/>
      </w:r>
    </w:p>
    <w:p w14:paraId="160208FD" w14:textId="77777777" w:rsidR="008F36BD" w:rsidRPr="00026AF4" w:rsidRDefault="007D608F" w:rsidP="00712250">
      <w:pPr>
        <w:jc w:val="both"/>
        <w:rPr>
          <w:rFonts w:asciiTheme="minorHAnsi" w:hAnsiTheme="minorHAnsi"/>
          <w:b/>
          <w:sz w:val="28"/>
          <w:szCs w:val="28"/>
          <w:lang w:val="en-US"/>
        </w:rPr>
      </w:pPr>
      <w:r w:rsidRPr="00026AF4">
        <w:rPr>
          <w:rFonts w:asciiTheme="minorHAnsi" w:hAnsiTheme="minorHAnsi"/>
          <w:b/>
          <w:sz w:val="28"/>
          <w:szCs w:val="28"/>
          <w:lang w:val="en-US"/>
        </w:rPr>
        <w:lastRenderedPageBreak/>
        <w:t>Patients and Methods</w:t>
      </w:r>
    </w:p>
    <w:p w14:paraId="671F9EB6" w14:textId="77777777" w:rsidR="00742FB6" w:rsidRPr="00026AF4" w:rsidRDefault="00742FB6" w:rsidP="00712250">
      <w:pPr>
        <w:jc w:val="both"/>
        <w:rPr>
          <w:rFonts w:asciiTheme="minorHAnsi" w:hAnsiTheme="minorHAnsi"/>
          <w:b/>
          <w:sz w:val="28"/>
          <w:szCs w:val="28"/>
          <w:lang w:val="en-US"/>
        </w:rPr>
      </w:pPr>
    </w:p>
    <w:p w14:paraId="43188CED" w14:textId="77777777" w:rsidR="008F36BD" w:rsidRPr="00026AF4" w:rsidRDefault="008F36BD" w:rsidP="00712250">
      <w:pPr>
        <w:jc w:val="both"/>
        <w:rPr>
          <w:rFonts w:asciiTheme="minorHAnsi" w:hAnsiTheme="minorHAnsi"/>
          <w:b/>
          <w:lang w:val="en-US"/>
        </w:rPr>
      </w:pPr>
      <w:r w:rsidRPr="00026AF4">
        <w:rPr>
          <w:rFonts w:asciiTheme="minorHAnsi" w:hAnsiTheme="minorHAnsi"/>
          <w:b/>
          <w:lang w:val="en-US"/>
        </w:rPr>
        <w:t>Patients</w:t>
      </w:r>
    </w:p>
    <w:p w14:paraId="1FE32DA7" w14:textId="77777777" w:rsidR="00742FB6" w:rsidRPr="00026AF4" w:rsidRDefault="00742FB6" w:rsidP="00712250">
      <w:pPr>
        <w:jc w:val="both"/>
        <w:rPr>
          <w:rFonts w:asciiTheme="minorHAnsi" w:hAnsiTheme="minorHAnsi"/>
          <w:b/>
          <w:lang w:val="en-US"/>
        </w:rPr>
      </w:pPr>
    </w:p>
    <w:p w14:paraId="695B1311" w14:textId="77777777" w:rsidR="0011325A" w:rsidRPr="00026AF4" w:rsidRDefault="00BA6261" w:rsidP="00712250">
      <w:pPr>
        <w:jc w:val="both"/>
        <w:rPr>
          <w:rFonts w:asciiTheme="minorHAnsi" w:hAnsiTheme="minorHAnsi"/>
          <w:lang w:val="en-US"/>
        </w:rPr>
      </w:pPr>
      <w:r w:rsidRPr="00026AF4">
        <w:rPr>
          <w:rFonts w:asciiTheme="minorHAnsi" w:hAnsiTheme="minorHAnsi"/>
          <w:lang w:val="en-US"/>
        </w:rPr>
        <w:t>All</w:t>
      </w:r>
      <w:r w:rsidR="0011325A" w:rsidRPr="00026AF4">
        <w:rPr>
          <w:rFonts w:asciiTheme="minorHAnsi" w:hAnsiTheme="minorHAnsi"/>
          <w:lang w:val="en-US"/>
        </w:rPr>
        <w:t xml:space="preserve"> consecutive </w:t>
      </w:r>
      <w:r w:rsidR="0011325A" w:rsidRPr="00026AF4">
        <w:rPr>
          <w:rFonts w:asciiTheme="minorHAnsi" w:hAnsiTheme="minorHAnsi"/>
          <w:i/>
          <w:lang w:val="en-US"/>
        </w:rPr>
        <w:t>SPINK1</w:t>
      </w:r>
      <w:r w:rsidR="0011325A" w:rsidRPr="00026AF4">
        <w:rPr>
          <w:rFonts w:asciiTheme="minorHAnsi" w:hAnsiTheme="minorHAnsi"/>
          <w:lang w:val="en-US"/>
        </w:rPr>
        <w:t xml:space="preserve"> mutation carriers wit</w:t>
      </w:r>
      <w:r w:rsidR="007C61AF" w:rsidRPr="00026AF4">
        <w:rPr>
          <w:rFonts w:asciiTheme="minorHAnsi" w:hAnsiTheme="minorHAnsi"/>
          <w:lang w:val="en-US"/>
        </w:rPr>
        <w:t xml:space="preserve">h </w:t>
      </w:r>
      <w:r w:rsidR="008C0FD8" w:rsidRPr="00026AF4">
        <w:rPr>
          <w:rFonts w:asciiTheme="minorHAnsi" w:hAnsiTheme="minorHAnsi"/>
          <w:lang w:val="en-US"/>
        </w:rPr>
        <w:t>pancreatic</w:t>
      </w:r>
      <w:r w:rsidR="00FD06F9" w:rsidRPr="00026AF4">
        <w:rPr>
          <w:rFonts w:asciiTheme="minorHAnsi" w:hAnsiTheme="minorHAnsi"/>
          <w:lang w:val="en-US"/>
        </w:rPr>
        <w:t xml:space="preserve"> </w:t>
      </w:r>
      <w:r w:rsidR="008C0FD8" w:rsidRPr="00026AF4">
        <w:rPr>
          <w:rFonts w:asciiTheme="minorHAnsi" w:hAnsiTheme="minorHAnsi"/>
          <w:lang w:val="en-US"/>
        </w:rPr>
        <w:t>symptoms</w:t>
      </w:r>
      <w:r w:rsidR="007C61AF" w:rsidRPr="00026AF4">
        <w:rPr>
          <w:rFonts w:asciiTheme="minorHAnsi" w:hAnsiTheme="minorHAnsi"/>
          <w:lang w:val="en-US"/>
        </w:rPr>
        <w:t xml:space="preserve"> </w:t>
      </w:r>
      <w:r w:rsidR="00226052" w:rsidRPr="00026AF4">
        <w:rPr>
          <w:rFonts w:asciiTheme="minorHAnsi" w:hAnsiTheme="minorHAnsi"/>
          <w:lang w:val="en-US"/>
        </w:rPr>
        <w:t>from</w:t>
      </w:r>
      <w:r w:rsidR="0011325A" w:rsidRPr="00026AF4">
        <w:rPr>
          <w:rFonts w:asciiTheme="minorHAnsi" w:hAnsiTheme="minorHAnsi"/>
          <w:lang w:val="en-US"/>
        </w:rPr>
        <w:t xml:space="preserve"> two French </w:t>
      </w:r>
      <w:r w:rsidR="007C61AF" w:rsidRPr="00026AF4">
        <w:rPr>
          <w:rFonts w:asciiTheme="minorHAnsi" w:hAnsiTheme="minorHAnsi"/>
          <w:lang w:val="en-US"/>
        </w:rPr>
        <w:t>centers</w:t>
      </w:r>
      <w:r w:rsidR="0011325A" w:rsidRPr="00026AF4">
        <w:rPr>
          <w:rFonts w:asciiTheme="minorHAnsi" w:hAnsiTheme="minorHAnsi"/>
          <w:lang w:val="en-US"/>
        </w:rPr>
        <w:t xml:space="preserve"> (</w:t>
      </w:r>
      <w:proofErr w:type="spellStart"/>
      <w:r w:rsidR="0011325A" w:rsidRPr="00026AF4">
        <w:rPr>
          <w:rFonts w:asciiTheme="minorHAnsi" w:hAnsiTheme="minorHAnsi"/>
          <w:lang w:val="en-US"/>
        </w:rPr>
        <w:t>Beaujon</w:t>
      </w:r>
      <w:proofErr w:type="spellEnd"/>
      <w:r w:rsidR="0011325A" w:rsidRPr="00026AF4">
        <w:rPr>
          <w:rFonts w:asciiTheme="minorHAnsi" w:hAnsiTheme="minorHAnsi"/>
          <w:lang w:val="en-US"/>
        </w:rPr>
        <w:t xml:space="preserve"> </w:t>
      </w:r>
      <w:r w:rsidR="00AF7E98" w:rsidRPr="00026AF4">
        <w:rPr>
          <w:rFonts w:asciiTheme="minorHAnsi" w:hAnsiTheme="minorHAnsi"/>
          <w:lang w:val="en-US"/>
        </w:rPr>
        <w:t xml:space="preserve">University </w:t>
      </w:r>
      <w:r w:rsidR="0011325A" w:rsidRPr="00026AF4">
        <w:rPr>
          <w:rFonts w:asciiTheme="minorHAnsi" w:hAnsiTheme="minorHAnsi"/>
          <w:lang w:val="en-US"/>
        </w:rPr>
        <w:t xml:space="preserve">Hospital, Clichy, and </w:t>
      </w:r>
      <w:proofErr w:type="spellStart"/>
      <w:r w:rsidR="00AF7E98" w:rsidRPr="00026AF4">
        <w:rPr>
          <w:rFonts w:asciiTheme="minorHAnsi" w:hAnsiTheme="minorHAnsi"/>
          <w:lang w:val="en-US"/>
        </w:rPr>
        <w:t>Rangueil</w:t>
      </w:r>
      <w:proofErr w:type="spellEnd"/>
      <w:r w:rsidR="00AF7E98" w:rsidRPr="00026AF4">
        <w:rPr>
          <w:rFonts w:asciiTheme="minorHAnsi" w:hAnsiTheme="minorHAnsi"/>
          <w:lang w:val="en-US"/>
        </w:rPr>
        <w:t xml:space="preserve"> University Hospital, </w:t>
      </w:r>
      <w:r w:rsidR="0011325A" w:rsidRPr="00026AF4">
        <w:rPr>
          <w:rFonts w:asciiTheme="minorHAnsi" w:hAnsiTheme="minorHAnsi"/>
          <w:lang w:val="en-US"/>
        </w:rPr>
        <w:t>Toulouse)</w:t>
      </w:r>
      <w:r w:rsidR="00EE648B" w:rsidRPr="00026AF4">
        <w:rPr>
          <w:rFonts w:asciiTheme="minorHAnsi" w:hAnsiTheme="minorHAnsi"/>
          <w:lang w:val="en-US"/>
        </w:rPr>
        <w:t xml:space="preserve"> </w:t>
      </w:r>
      <w:r w:rsidRPr="00026AF4">
        <w:rPr>
          <w:rFonts w:asciiTheme="minorHAnsi" w:hAnsiTheme="minorHAnsi"/>
          <w:lang w:val="en-US"/>
        </w:rPr>
        <w:t xml:space="preserve">and </w:t>
      </w:r>
      <w:r w:rsidR="00226052" w:rsidRPr="00026AF4">
        <w:rPr>
          <w:rFonts w:asciiTheme="minorHAnsi" w:hAnsiTheme="minorHAnsi"/>
          <w:lang w:val="en-US"/>
        </w:rPr>
        <w:t>from</w:t>
      </w:r>
      <w:r w:rsidR="00BD3754" w:rsidRPr="00026AF4">
        <w:rPr>
          <w:rFonts w:asciiTheme="minorHAnsi" w:hAnsiTheme="minorHAnsi"/>
          <w:lang w:val="en-US"/>
        </w:rPr>
        <w:t xml:space="preserve"> </w:t>
      </w:r>
      <w:r w:rsidR="00226052" w:rsidRPr="00026AF4">
        <w:rPr>
          <w:rFonts w:asciiTheme="minorHAnsi" w:hAnsiTheme="minorHAnsi"/>
          <w:lang w:val="en-US"/>
        </w:rPr>
        <w:t>the</w:t>
      </w:r>
      <w:r w:rsidR="00EE648B" w:rsidRPr="00026AF4">
        <w:rPr>
          <w:rFonts w:asciiTheme="minorHAnsi" w:hAnsiTheme="minorHAnsi"/>
          <w:lang w:val="en-US"/>
        </w:rPr>
        <w:t xml:space="preserve"> </w:t>
      </w:r>
      <w:r w:rsidR="00226052" w:rsidRPr="00026AF4">
        <w:rPr>
          <w:rFonts w:asciiTheme="minorHAnsi" w:hAnsiTheme="minorHAnsi"/>
          <w:lang w:val="en-US"/>
        </w:rPr>
        <w:t xml:space="preserve">Royal </w:t>
      </w:r>
      <w:r w:rsidR="00EE648B" w:rsidRPr="00026AF4">
        <w:rPr>
          <w:rFonts w:asciiTheme="minorHAnsi" w:hAnsiTheme="minorHAnsi"/>
          <w:lang w:val="en-US"/>
        </w:rPr>
        <w:t>Liverpool</w:t>
      </w:r>
      <w:r w:rsidR="007C61AF" w:rsidRPr="00026AF4">
        <w:rPr>
          <w:rFonts w:asciiTheme="minorHAnsi" w:hAnsiTheme="minorHAnsi"/>
          <w:lang w:val="en-US"/>
        </w:rPr>
        <w:t xml:space="preserve"> </w:t>
      </w:r>
      <w:r w:rsidR="00AF7E98" w:rsidRPr="00026AF4">
        <w:rPr>
          <w:rFonts w:asciiTheme="minorHAnsi" w:hAnsiTheme="minorHAnsi"/>
          <w:lang w:val="en-US"/>
        </w:rPr>
        <w:t xml:space="preserve">University </w:t>
      </w:r>
      <w:r w:rsidR="007C61AF" w:rsidRPr="00026AF4">
        <w:rPr>
          <w:rFonts w:asciiTheme="minorHAnsi" w:hAnsiTheme="minorHAnsi"/>
          <w:lang w:val="en-US"/>
        </w:rPr>
        <w:t>Hospital</w:t>
      </w:r>
      <w:r w:rsidR="00347121" w:rsidRPr="00026AF4">
        <w:rPr>
          <w:rFonts w:asciiTheme="minorHAnsi" w:hAnsiTheme="minorHAnsi"/>
          <w:lang w:val="en-US"/>
        </w:rPr>
        <w:t>, England,</w:t>
      </w:r>
      <w:r w:rsidR="007C61AF" w:rsidRPr="00026AF4">
        <w:rPr>
          <w:rFonts w:asciiTheme="minorHAnsi" w:hAnsiTheme="minorHAnsi"/>
          <w:lang w:val="en-US"/>
        </w:rPr>
        <w:t xml:space="preserve"> </w:t>
      </w:r>
      <w:r w:rsidR="0011325A" w:rsidRPr="00026AF4">
        <w:rPr>
          <w:rFonts w:asciiTheme="minorHAnsi" w:hAnsiTheme="minorHAnsi"/>
          <w:lang w:val="en-US"/>
        </w:rPr>
        <w:t xml:space="preserve">were </w:t>
      </w:r>
      <w:r w:rsidR="00226052" w:rsidRPr="00026AF4">
        <w:rPr>
          <w:rFonts w:asciiTheme="minorHAnsi" w:hAnsiTheme="minorHAnsi"/>
          <w:lang w:val="en-US"/>
        </w:rPr>
        <w:t>identified</w:t>
      </w:r>
      <w:r w:rsidR="0011325A" w:rsidRPr="00026AF4">
        <w:rPr>
          <w:rFonts w:asciiTheme="minorHAnsi" w:hAnsiTheme="minorHAnsi"/>
          <w:lang w:val="en-US"/>
        </w:rPr>
        <w:t xml:space="preserve"> </w:t>
      </w:r>
      <w:r w:rsidR="00226052" w:rsidRPr="00026AF4">
        <w:rPr>
          <w:rFonts w:asciiTheme="minorHAnsi" w:hAnsiTheme="minorHAnsi"/>
          <w:lang w:val="en-US"/>
        </w:rPr>
        <w:t>from the</w:t>
      </w:r>
      <w:r w:rsidR="0011325A" w:rsidRPr="00026AF4">
        <w:rPr>
          <w:rFonts w:asciiTheme="minorHAnsi" w:hAnsiTheme="minorHAnsi"/>
          <w:lang w:val="en-US"/>
        </w:rPr>
        <w:t xml:space="preserve"> </w:t>
      </w:r>
      <w:r w:rsidR="008C0FD8" w:rsidRPr="00026AF4">
        <w:rPr>
          <w:rFonts w:asciiTheme="minorHAnsi" w:hAnsiTheme="minorHAnsi"/>
          <w:lang w:val="en-US"/>
        </w:rPr>
        <w:t>local prospective cohorts</w:t>
      </w:r>
      <w:r w:rsidR="007C61AF" w:rsidRPr="00026AF4">
        <w:rPr>
          <w:rFonts w:asciiTheme="minorHAnsi" w:hAnsiTheme="minorHAnsi"/>
          <w:lang w:val="en-US"/>
        </w:rPr>
        <w:t xml:space="preserve"> </w:t>
      </w:r>
      <w:r w:rsidR="00226052" w:rsidRPr="00026AF4">
        <w:rPr>
          <w:rFonts w:asciiTheme="minorHAnsi" w:hAnsiTheme="minorHAnsi"/>
          <w:lang w:val="en-US"/>
        </w:rPr>
        <w:t xml:space="preserve">dated </w:t>
      </w:r>
      <w:r w:rsidR="0011325A" w:rsidRPr="00026AF4">
        <w:rPr>
          <w:rFonts w:asciiTheme="minorHAnsi" w:hAnsiTheme="minorHAnsi"/>
          <w:lang w:val="en-US"/>
        </w:rPr>
        <w:t>from January 1</w:t>
      </w:r>
      <w:r w:rsidR="0011325A" w:rsidRPr="00026AF4">
        <w:rPr>
          <w:rFonts w:asciiTheme="minorHAnsi" w:hAnsiTheme="minorHAnsi"/>
          <w:vertAlign w:val="superscript"/>
          <w:lang w:val="en-US"/>
        </w:rPr>
        <w:t>st</w:t>
      </w:r>
      <w:r w:rsidR="0011325A" w:rsidRPr="00026AF4">
        <w:rPr>
          <w:rFonts w:asciiTheme="minorHAnsi" w:hAnsiTheme="minorHAnsi"/>
          <w:lang w:val="en-US"/>
        </w:rPr>
        <w:t xml:space="preserve"> 2000 to </w:t>
      </w:r>
      <w:r w:rsidR="00EE648B" w:rsidRPr="00026AF4">
        <w:rPr>
          <w:rFonts w:asciiTheme="minorHAnsi" w:hAnsiTheme="minorHAnsi"/>
          <w:lang w:val="en-US"/>
        </w:rPr>
        <w:t>June</w:t>
      </w:r>
      <w:r w:rsidR="0011325A" w:rsidRPr="00026AF4">
        <w:rPr>
          <w:rFonts w:asciiTheme="minorHAnsi" w:hAnsiTheme="minorHAnsi"/>
          <w:lang w:val="en-US"/>
        </w:rPr>
        <w:t xml:space="preserve"> 1</w:t>
      </w:r>
      <w:r w:rsidR="0011325A" w:rsidRPr="00026AF4">
        <w:rPr>
          <w:rFonts w:asciiTheme="minorHAnsi" w:hAnsiTheme="minorHAnsi"/>
          <w:vertAlign w:val="superscript"/>
          <w:lang w:val="en-US"/>
        </w:rPr>
        <w:t>st</w:t>
      </w:r>
      <w:r w:rsidR="00EE648B" w:rsidRPr="00026AF4">
        <w:rPr>
          <w:rFonts w:asciiTheme="minorHAnsi" w:hAnsiTheme="minorHAnsi"/>
          <w:lang w:val="en-US"/>
        </w:rPr>
        <w:t xml:space="preserve"> 2018</w:t>
      </w:r>
      <w:r w:rsidR="00226052" w:rsidRPr="00026AF4">
        <w:rPr>
          <w:rFonts w:asciiTheme="minorHAnsi" w:hAnsiTheme="minorHAnsi"/>
          <w:lang w:val="en-US"/>
        </w:rPr>
        <w:t xml:space="preserve"> and were included in this study.</w:t>
      </w:r>
    </w:p>
    <w:p w14:paraId="65F7643E" w14:textId="77777777" w:rsidR="00347121" w:rsidRPr="00026AF4" w:rsidRDefault="00347121" w:rsidP="00712250">
      <w:pPr>
        <w:jc w:val="both"/>
        <w:rPr>
          <w:rFonts w:asciiTheme="minorHAnsi" w:hAnsiTheme="minorHAnsi"/>
          <w:lang w:val="en-US"/>
        </w:rPr>
      </w:pPr>
      <w:r w:rsidRPr="00026AF4">
        <w:rPr>
          <w:rFonts w:asciiTheme="minorHAnsi" w:hAnsiTheme="minorHAnsi"/>
          <w:lang w:val="en-US"/>
        </w:rPr>
        <w:t xml:space="preserve"> </w:t>
      </w:r>
    </w:p>
    <w:p w14:paraId="5ECD7C08" w14:textId="77777777" w:rsidR="00347121" w:rsidRPr="00026AF4" w:rsidRDefault="00347121" w:rsidP="00712250">
      <w:pPr>
        <w:jc w:val="both"/>
        <w:rPr>
          <w:rFonts w:asciiTheme="minorHAnsi" w:hAnsiTheme="minorHAnsi"/>
          <w:lang w:val="en-US"/>
        </w:rPr>
      </w:pPr>
    </w:p>
    <w:p w14:paraId="0C1C3320" w14:textId="77777777" w:rsidR="00712250" w:rsidRPr="00026AF4" w:rsidRDefault="004D6DC1" w:rsidP="00712250">
      <w:pPr>
        <w:jc w:val="both"/>
        <w:rPr>
          <w:rFonts w:asciiTheme="minorHAnsi" w:hAnsiTheme="minorHAnsi"/>
          <w:b/>
          <w:i/>
          <w:lang w:val="en-US"/>
        </w:rPr>
      </w:pPr>
      <w:r w:rsidRPr="00026AF4">
        <w:rPr>
          <w:rFonts w:asciiTheme="minorHAnsi" w:hAnsiTheme="minorHAnsi"/>
          <w:b/>
          <w:i/>
          <w:lang w:val="en-US"/>
        </w:rPr>
        <w:t>SPINK1-related pancreatitis</w:t>
      </w:r>
      <w:r w:rsidR="00712250" w:rsidRPr="00026AF4">
        <w:rPr>
          <w:rFonts w:asciiTheme="minorHAnsi" w:hAnsiTheme="minorHAnsi"/>
          <w:b/>
          <w:i/>
          <w:lang w:val="en-US"/>
        </w:rPr>
        <w:t xml:space="preserve"> group</w:t>
      </w:r>
    </w:p>
    <w:p w14:paraId="30E1FB89" w14:textId="77777777" w:rsidR="00712250" w:rsidRPr="00026AF4" w:rsidRDefault="00712250" w:rsidP="00712250">
      <w:pPr>
        <w:jc w:val="both"/>
        <w:rPr>
          <w:rFonts w:asciiTheme="minorHAnsi" w:hAnsiTheme="minorHAnsi"/>
          <w:b/>
          <w:i/>
          <w:lang w:val="en-US"/>
        </w:rPr>
      </w:pPr>
    </w:p>
    <w:p w14:paraId="687B975A" w14:textId="77777777" w:rsidR="00347121" w:rsidRPr="00026AF4" w:rsidRDefault="004D6DC1" w:rsidP="00712250">
      <w:pPr>
        <w:jc w:val="both"/>
        <w:rPr>
          <w:rFonts w:asciiTheme="minorHAnsi" w:hAnsiTheme="minorHAnsi"/>
          <w:b/>
          <w:lang w:val="en-US"/>
        </w:rPr>
      </w:pPr>
      <w:r w:rsidRPr="00026AF4">
        <w:rPr>
          <w:rFonts w:asciiTheme="minorHAnsi" w:hAnsiTheme="minorHAnsi"/>
          <w:b/>
          <w:i/>
          <w:lang w:val="en-US"/>
        </w:rPr>
        <w:t xml:space="preserve"> </w:t>
      </w:r>
      <w:r w:rsidR="00712250" w:rsidRPr="00026AF4">
        <w:rPr>
          <w:rFonts w:asciiTheme="minorHAnsi" w:hAnsiTheme="minorHAnsi"/>
          <w:b/>
          <w:i/>
          <w:lang w:val="en-US"/>
        </w:rPr>
        <w:t>Inclusion criteria</w:t>
      </w:r>
    </w:p>
    <w:p w14:paraId="686A36B4" w14:textId="77777777" w:rsidR="00347121" w:rsidRPr="00026AF4" w:rsidRDefault="00347121" w:rsidP="00745818">
      <w:pPr>
        <w:jc w:val="both"/>
        <w:rPr>
          <w:rFonts w:asciiTheme="minorHAnsi" w:hAnsiTheme="minorHAnsi"/>
          <w:lang w:val="en-US"/>
        </w:rPr>
      </w:pPr>
      <w:r w:rsidRPr="00026AF4">
        <w:rPr>
          <w:rFonts w:asciiTheme="minorHAnsi" w:hAnsiTheme="minorHAnsi"/>
          <w:lang w:val="en-US"/>
        </w:rPr>
        <w:t>-</w:t>
      </w:r>
      <w:r w:rsidR="00A50EDF" w:rsidRPr="00026AF4">
        <w:rPr>
          <w:rFonts w:asciiTheme="minorHAnsi" w:hAnsiTheme="minorHAnsi"/>
          <w:lang w:val="en-US"/>
        </w:rPr>
        <w:t xml:space="preserve"> </w:t>
      </w:r>
      <w:r w:rsidRPr="00026AF4">
        <w:rPr>
          <w:rFonts w:asciiTheme="minorHAnsi" w:hAnsiTheme="minorHAnsi"/>
          <w:lang w:val="en-US"/>
        </w:rPr>
        <w:t xml:space="preserve">Presence </w:t>
      </w:r>
      <w:r w:rsidR="00FC194F" w:rsidRPr="00026AF4">
        <w:rPr>
          <w:rFonts w:asciiTheme="minorHAnsi" w:hAnsiTheme="minorHAnsi"/>
          <w:lang w:val="en-US"/>
        </w:rPr>
        <w:t>of a</w:t>
      </w:r>
      <w:r w:rsidR="0047149A" w:rsidRPr="00026AF4">
        <w:rPr>
          <w:rFonts w:asciiTheme="minorHAnsi" w:hAnsiTheme="minorHAnsi"/>
          <w:lang w:val="en-US"/>
        </w:rPr>
        <w:t>t least one</w:t>
      </w:r>
      <w:r w:rsidR="00FC194F" w:rsidRPr="00026AF4">
        <w:rPr>
          <w:rFonts w:asciiTheme="minorHAnsi" w:hAnsiTheme="minorHAnsi"/>
          <w:lang w:val="en-US"/>
        </w:rPr>
        <w:t xml:space="preserve"> </w:t>
      </w:r>
      <w:r w:rsidR="00FC194F" w:rsidRPr="00026AF4">
        <w:rPr>
          <w:rFonts w:asciiTheme="minorHAnsi" w:hAnsiTheme="minorHAnsi"/>
          <w:i/>
          <w:lang w:val="en-US"/>
        </w:rPr>
        <w:t>SPINK1</w:t>
      </w:r>
      <w:r w:rsidR="00FC194F" w:rsidRPr="00026AF4">
        <w:rPr>
          <w:rFonts w:asciiTheme="minorHAnsi" w:hAnsiTheme="minorHAnsi"/>
          <w:lang w:val="en-US"/>
        </w:rPr>
        <w:t xml:space="preserve"> </w:t>
      </w:r>
      <w:proofErr w:type="spellStart"/>
      <w:r w:rsidR="00FC194F" w:rsidRPr="00026AF4">
        <w:rPr>
          <w:rFonts w:asciiTheme="minorHAnsi" w:hAnsiTheme="minorHAnsi"/>
          <w:lang w:val="en-US"/>
        </w:rPr>
        <w:t>germline</w:t>
      </w:r>
      <w:proofErr w:type="spellEnd"/>
      <w:r w:rsidR="00FC194F" w:rsidRPr="00026AF4">
        <w:rPr>
          <w:rFonts w:asciiTheme="minorHAnsi" w:hAnsiTheme="minorHAnsi"/>
          <w:lang w:val="en-US"/>
        </w:rPr>
        <w:t xml:space="preserve"> mutation </w:t>
      </w:r>
    </w:p>
    <w:p w14:paraId="4DC17D84" w14:textId="77777777" w:rsidR="00347121" w:rsidRPr="00026AF4" w:rsidRDefault="00D54EF6" w:rsidP="004455CC">
      <w:pPr>
        <w:jc w:val="both"/>
        <w:rPr>
          <w:lang w:val="en-US"/>
        </w:rPr>
      </w:pPr>
      <w:r w:rsidRPr="00026AF4">
        <w:rPr>
          <w:lang w:val="en-US"/>
        </w:rPr>
        <w:t>-</w:t>
      </w:r>
      <w:r w:rsidR="00745818" w:rsidRPr="00026AF4">
        <w:rPr>
          <w:lang w:val="en-US"/>
        </w:rPr>
        <w:t xml:space="preserve"> </w:t>
      </w:r>
      <w:r w:rsidR="00347121" w:rsidRPr="00026AF4">
        <w:rPr>
          <w:lang w:val="en-US"/>
        </w:rPr>
        <w:t>P</w:t>
      </w:r>
      <w:r w:rsidR="00FF39DB" w:rsidRPr="00026AF4">
        <w:rPr>
          <w:lang w:val="en-US"/>
        </w:rPr>
        <w:t>ancreatic</w:t>
      </w:r>
      <w:r w:rsidR="00FC194F" w:rsidRPr="00026AF4">
        <w:rPr>
          <w:lang w:val="en-US"/>
        </w:rPr>
        <w:t xml:space="preserve">-related </w:t>
      </w:r>
      <w:r w:rsidR="00FD06F9" w:rsidRPr="00026AF4">
        <w:rPr>
          <w:lang w:val="en-US"/>
        </w:rPr>
        <w:t>manifestations</w:t>
      </w:r>
      <w:r w:rsidR="00347121" w:rsidRPr="00026AF4">
        <w:rPr>
          <w:lang w:val="en-US"/>
        </w:rPr>
        <w:t xml:space="preserve"> defined as acute </w:t>
      </w:r>
      <w:r w:rsidR="0047149A" w:rsidRPr="00026AF4">
        <w:rPr>
          <w:lang w:val="en-US"/>
        </w:rPr>
        <w:t xml:space="preserve">or recurrent acute </w:t>
      </w:r>
      <w:r w:rsidR="00347121" w:rsidRPr="00026AF4">
        <w:rPr>
          <w:lang w:val="en-US"/>
        </w:rPr>
        <w:t xml:space="preserve">pancreatitis, </w:t>
      </w:r>
      <w:r w:rsidR="0047149A" w:rsidRPr="00026AF4">
        <w:rPr>
          <w:lang w:val="en-US"/>
        </w:rPr>
        <w:t xml:space="preserve">chronic </w:t>
      </w:r>
      <w:r w:rsidR="00347121" w:rsidRPr="00026AF4">
        <w:rPr>
          <w:lang w:val="en-US"/>
        </w:rPr>
        <w:t xml:space="preserve">pancreatic pain, chronic pancreatitis </w:t>
      </w:r>
      <w:r w:rsidR="0047149A" w:rsidRPr="00026AF4">
        <w:rPr>
          <w:lang w:val="en-US"/>
        </w:rPr>
        <w:t xml:space="preserve">or </w:t>
      </w:r>
      <w:r w:rsidR="00347121" w:rsidRPr="00026AF4">
        <w:rPr>
          <w:lang w:val="en-US"/>
        </w:rPr>
        <w:t>exocrine or endocrine pancreatic insufficiency</w:t>
      </w:r>
      <w:r w:rsidR="008C0FD8" w:rsidRPr="00026AF4">
        <w:rPr>
          <w:lang w:val="en-US"/>
        </w:rPr>
        <w:t xml:space="preserve"> </w:t>
      </w:r>
      <w:r w:rsidR="00347121" w:rsidRPr="00026AF4">
        <w:rPr>
          <w:lang w:val="en-US"/>
        </w:rPr>
        <w:t>with no other evident cause of pancreati</w:t>
      </w:r>
      <w:r w:rsidR="0047149A" w:rsidRPr="00026AF4">
        <w:rPr>
          <w:lang w:val="en-US"/>
        </w:rPr>
        <w:t>tis</w:t>
      </w:r>
      <w:r w:rsidR="00347121" w:rsidRPr="00026AF4">
        <w:rPr>
          <w:lang w:val="en-US"/>
        </w:rPr>
        <w:t>.</w:t>
      </w:r>
    </w:p>
    <w:p w14:paraId="12F920E6" w14:textId="77777777" w:rsidR="00347121" w:rsidRPr="00026AF4" w:rsidRDefault="00745818" w:rsidP="00745818">
      <w:pPr>
        <w:jc w:val="both"/>
        <w:rPr>
          <w:rFonts w:asciiTheme="minorHAnsi" w:hAnsiTheme="minorHAnsi"/>
          <w:lang w:val="en-US"/>
        </w:rPr>
      </w:pPr>
      <w:r w:rsidRPr="00026AF4">
        <w:rPr>
          <w:rFonts w:asciiTheme="minorHAnsi" w:hAnsiTheme="minorHAnsi"/>
          <w:lang w:val="en-US"/>
        </w:rPr>
        <w:t xml:space="preserve">- </w:t>
      </w:r>
      <w:r w:rsidR="00347121" w:rsidRPr="00026AF4">
        <w:rPr>
          <w:rFonts w:asciiTheme="minorHAnsi" w:hAnsiTheme="minorHAnsi"/>
          <w:lang w:val="en-US"/>
        </w:rPr>
        <w:t>Extensive workup performed in order to rule out other causes of pancreatic disorders including clinical exam</w:t>
      </w:r>
      <w:r w:rsidR="001459C0" w:rsidRPr="00026AF4">
        <w:rPr>
          <w:rFonts w:asciiTheme="minorHAnsi" w:hAnsiTheme="minorHAnsi"/>
          <w:lang w:val="en-US"/>
        </w:rPr>
        <w:t>ination</w:t>
      </w:r>
      <w:r w:rsidR="00347121" w:rsidRPr="00026AF4">
        <w:rPr>
          <w:rFonts w:asciiTheme="minorHAnsi" w:hAnsiTheme="minorHAnsi"/>
          <w:lang w:val="en-US"/>
        </w:rPr>
        <w:t xml:space="preserve">, </w:t>
      </w:r>
      <w:r w:rsidR="00226052" w:rsidRPr="00026AF4">
        <w:rPr>
          <w:rFonts w:asciiTheme="minorHAnsi" w:hAnsiTheme="minorHAnsi"/>
          <w:lang w:val="en-US"/>
        </w:rPr>
        <w:t>biochemical</w:t>
      </w:r>
      <w:r w:rsidR="00347121" w:rsidRPr="00026AF4">
        <w:rPr>
          <w:rFonts w:asciiTheme="minorHAnsi" w:hAnsiTheme="minorHAnsi"/>
          <w:lang w:val="en-US"/>
        </w:rPr>
        <w:t xml:space="preserve"> analysis and </w:t>
      </w:r>
      <w:r w:rsidR="00226052" w:rsidRPr="00026AF4">
        <w:rPr>
          <w:rFonts w:asciiTheme="minorHAnsi" w:hAnsiTheme="minorHAnsi"/>
          <w:lang w:val="en-US"/>
        </w:rPr>
        <w:t>imaging investigations including</w:t>
      </w:r>
      <w:r w:rsidR="00347121" w:rsidRPr="00026AF4">
        <w:rPr>
          <w:rFonts w:asciiTheme="minorHAnsi" w:hAnsiTheme="minorHAnsi"/>
          <w:lang w:val="en-US"/>
        </w:rPr>
        <w:t xml:space="preserve"> </w:t>
      </w:r>
      <w:proofErr w:type="spellStart"/>
      <w:r w:rsidR="00226052" w:rsidRPr="00026AF4">
        <w:rPr>
          <w:rFonts w:asciiTheme="minorHAnsi" w:hAnsiTheme="minorHAnsi"/>
          <w:lang w:val="en-US"/>
        </w:rPr>
        <w:t>transabdominal</w:t>
      </w:r>
      <w:proofErr w:type="spellEnd"/>
      <w:r w:rsidR="00226052" w:rsidRPr="00026AF4">
        <w:rPr>
          <w:rFonts w:asciiTheme="minorHAnsi" w:hAnsiTheme="minorHAnsi"/>
          <w:lang w:val="en-US"/>
        </w:rPr>
        <w:t xml:space="preserve"> ultrasound, </w:t>
      </w:r>
      <w:r w:rsidR="00347121" w:rsidRPr="00026AF4">
        <w:rPr>
          <w:rFonts w:asciiTheme="minorHAnsi" w:hAnsiTheme="minorHAnsi"/>
          <w:lang w:val="en-US"/>
        </w:rPr>
        <w:t>CT scan</w:t>
      </w:r>
      <w:r w:rsidR="00226052" w:rsidRPr="00026AF4">
        <w:rPr>
          <w:rFonts w:asciiTheme="minorHAnsi" w:hAnsiTheme="minorHAnsi"/>
          <w:lang w:val="en-US"/>
        </w:rPr>
        <w:t xml:space="preserve">, </w:t>
      </w:r>
      <w:r w:rsidR="00347121" w:rsidRPr="00026AF4">
        <w:rPr>
          <w:rFonts w:asciiTheme="minorHAnsi" w:hAnsiTheme="minorHAnsi"/>
          <w:lang w:val="en-US"/>
        </w:rPr>
        <w:t>MRI</w:t>
      </w:r>
      <w:r w:rsidR="00226052" w:rsidRPr="00026AF4">
        <w:rPr>
          <w:rFonts w:asciiTheme="minorHAnsi" w:hAnsiTheme="minorHAnsi"/>
          <w:lang w:val="en-US"/>
        </w:rPr>
        <w:t xml:space="preserve"> (including MRCP, MR pancreas-specific protocol</w:t>
      </w:r>
      <w:r w:rsidR="000F0E02" w:rsidRPr="00026AF4">
        <w:rPr>
          <w:rFonts w:asciiTheme="minorHAnsi" w:hAnsiTheme="minorHAnsi"/>
          <w:lang w:val="en-US"/>
        </w:rPr>
        <w:t>,</w:t>
      </w:r>
      <w:r w:rsidR="00226052" w:rsidRPr="00026AF4">
        <w:rPr>
          <w:rFonts w:asciiTheme="minorHAnsi" w:hAnsiTheme="minorHAnsi"/>
          <w:lang w:val="en-US"/>
        </w:rPr>
        <w:t xml:space="preserve"> and secretin-</w:t>
      </w:r>
      <w:r w:rsidR="00BD3754" w:rsidRPr="00026AF4">
        <w:rPr>
          <w:rFonts w:asciiTheme="minorHAnsi" w:hAnsiTheme="minorHAnsi"/>
          <w:lang w:val="en-US"/>
        </w:rPr>
        <w:t>stimulated</w:t>
      </w:r>
      <w:r w:rsidR="00226052" w:rsidRPr="00026AF4">
        <w:rPr>
          <w:rFonts w:asciiTheme="minorHAnsi" w:hAnsiTheme="minorHAnsi"/>
          <w:lang w:val="en-US"/>
        </w:rPr>
        <w:t xml:space="preserve"> MRCP when indicated)</w:t>
      </w:r>
      <w:r w:rsidR="00347121" w:rsidRPr="00026AF4">
        <w:rPr>
          <w:rFonts w:asciiTheme="minorHAnsi" w:hAnsiTheme="minorHAnsi"/>
          <w:lang w:val="en-US"/>
        </w:rPr>
        <w:t xml:space="preserve"> or endoscopic ultrasound (EUS).</w:t>
      </w:r>
    </w:p>
    <w:p w14:paraId="7A6FD943" w14:textId="77777777" w:rsidR="00347121" w:rsidRPr="00026AF4" w:rsidRDefault="00347121" w:rsidP="00712250">
      <w:pPr>
        <w:jc w:val="both"/>
        <w:rPr>
          <w:rFonts w:asciiTheme="minorHAnsi" w:hAnsiTheme="minorHAnsi"/>
          <w:lang w:val="en-US"/>
        </w:rPr>
      </w:pPr>
    </w:p>
    <w:p w14:paraId="2FEEEB02" w14:textId="77777777" w:rsidR="00347121" w:rsidRPr="00026AF4" w:rsidRDefault="00347121" w:rsidP="00712250">
      <w:pPr>
        <w:jc w:val="both"/>
        <w:rPr>
          <w:rFonts w:asciiTheme="minorHAnsi" w:hAnsiTheme="minorHAnsi"/>
          <w:b/>
          <w:i/>
          <w:lang w:val="en-US"/>
        </w:rPr>
      </w:pPr>
      <w:r w:rsidRPr="00026AF4">
        <w:rPr>
          <w:rFonts w:asciiTheme="minorHAnsi" w:hAnsiTheme="minorHAnsi"/>
          <w:b/>
          <w:i/>
          <w:lang w:val="en-US"/>
        </w:rPr>
        <w:t xml:space="preserve">Indications </w:t>
      </w:r>
      <w:r w:rsidR="00226052" w:rsidRPr="00026AF4">
        <w:rPr>
          <w:rFonts w:asciiTheme="minorHAnsi" w:hAnsiTheme="minorHAnsi"/>
          <w:b/>
          <w:i/>
          <w:lang w:val="en-US"/>
        </w:rPr>
        <w:t>for</w:t>
      </w:r>
      <w:r w:rsidRPr="00026AF4">
        <w:rPr>
          <w:rFonts w:asciiTheme="minorHAnsi" w:hAnsiTheme="minorHAnsi"/>
          <w:b/>
          <w:i/>
          <w:lang w:val="en-US"/>
        </w:rPr>
        <w:t xml:space="preserve"> genetic testing</w:t>
      </w:r>
    </w:p>
    <w:p w14:paraId="7BBA7561" w14:textId="77777777" w:rsidR="00FA4E08" w:rsidRPr="00026AF4" w:rsidRDefault="00FD06F9" w:rsidP="00712250">
      <w:pPr>
        <w:jc w:val="both"/>
        <w:rPr>
          <w:rFonts w:asciiTheme="minorHAnsi" w:hAnsiTheme="minorHAnsi"/>
          <w:lang w:val="en-US"/>
        </w:rPr>
      </w:pPr>
      <w:r w:rsidRPr="00026AF4">
        <w:rPr>
          <w:rFonts w:asciiTheme="minorHAnsi" w:hAnsiTheme="minorHAnsi"/>
          <w:lang w:val="en-US"/>
        </w:rPr>
        <w:t xml:space="preserve">Genetic screening was performed </w:t>
      </w:r>
      <w:r w:rsidR="00226052" w:rsidRPr="00026AF4">
        <w:rPr>
          <w:rFonts w:asciiTheme="minorHAnsi" w:hAnsiTheme="minorHAnsi"/>
          <w:lang w:val="en-US"/>
        </w:rPr>
        <w:t>when one or more of the following conditions were met:</w:t>
      </w:r>
      <w:r w:rsidR="00347121" w:rsidRPr="00026AF4">
        <w:rPr>
          <w:rFonts w:asciiTheme="minorHAnsi" w:hAnsiTheme="minorHAnsi"/>
          <w:lang w:val="en-US"/>
        </w:rPr>
        <w:t xml:space="preserve"> 1</w:t>
      </w:r>
      <w:r w:rsidR="00226052" w:rsidRPr="00026AF4">
        <w:rPr>
          <w:rFonts w:asciiTheme="minorHAnsi" w:hAnsiTheme="minorHAnsi"/>
          <w:lang w:val="en-US"/>
        </w:rPr>
        <w:t>)</w:t>
      </w:r>
      <w:r w:rsidR="00FA4E08" w:rsidRPr="00026AF4">
        <w:rPr>
          <w:rFonts w:asciiTheme="minorHAnsi" w:hAnsiTheme="minorHAnsi"/>
          <w:lang w:val="en-US"/>
        </w:rPr>
        <w:t xml:space="preserve"> </w:t>
      </w:r>
      <w:r w:rsidR="00226052" w:rsidRPr="00026AF4">
        <w:rPr>
          <w:rFonts w:asciiTheme="minorHAnsi" w:hAnsiTheme="minorHAnsi"/>
          <w:lang w:val="en-US"/>
        </w:rPr>
        <w:t>Acute and r</w:t>
      </w:r>
      <w:r w:rsidR="001459C0" w:rsidRPr="00026AF4">
        <w:rPr>
          <w:rFonts w:asciiTheme="minorHAnsi" w:hAnsiTheme="minorHAnsi"/>
          <w:lang w:val="en-US"/>
        </w:rPr>
        <w:t>ecurrent</w:t>
      </w:r>
      <w:r w:rsidR="00BC6713" w:rsidRPr="00026AF4">
        <w:rPr>
          <w:rFonts w:asciiTheme="minorHAnsi" w:hAnsiTheme="minorHAnsi"/>
          <w:lang w:val="en-US"/>
        </w:rPr>
        <w:t xml:space="preserve"> acute pancreatitis</w:t>
      </w:r>
      <w:r w:rsidR="00226052" w:rsidRPr="00026AF4">
        <w:rPr>
          <w:rFonts w:asciiTheme="minorHAnsi" w:hAnsiTheme="minorHAnsi"/>
          <w:lang w:val="en-US"/>
        </w:rPr>
        <w:t xml:space="preserve"> with no </w:t>
      </w:r>
      <w:r w:rsidR="000F0E02" w:rsidRPr="00026AF4">
        <w:rPr>
          <w:rFonts w:asciiTheme="minorHAnsi" w:hAnsiTheme="minorHAnsi"/>
          <w:lang w:val="en-US"/>
        </w:rPr>
        <w:t>identifiable</w:t>
      </w:r>
      <w:r w:rsidR="00226052" w:rsidRPr="00026AF4">
        <w:rPr>
          <w:rFonts w:asciiTheme="minorHAnsi" w:hAnsiTheme="minorHAnsi"/>
          <w:lang w:val="en-US"/>
        </w:rPr>
        <w:t xml:space="preserve"> cause following extensive investigations</w:t>
      </w:r>
      <w:r w:rsidR="00802D07" w:rsidRPr="00026AF4">
        <w:rPr>
          <w:rFonts w:asciiTheme="minorHAnsi" w:hAnsiTheme="minorHAnsi"/>
          <w:lang w:val="en-US"/>
        </w:rPr>
        <w:t xml:space="preserve">, </w:t>
      </w:r>
      <w:r w:rsidR="00347121" w:rsidRPr="00026AF4">
        <w:rPr>
          <w:rFonts w:asciiTheme="minorHAnsi" w:hAnsiTheme="minorHAnsi"/>
          <w:lang w:val="en-US"/>
        </w:rPr>
        <w:t>2</w:t>
      </w:r>
      <w:r w:rsidR="00226052" w:rsidRPr="00026AF4">
        <w:rPr>
          <w:rFonts w:asciiTheme="minorHAnsi" w:hAnsiTheme="minorHAnsi"/>
          <w:lang w:val="en-US"/>
        </w:rPr>
        <w:t>)</w:t>
      </w:r>
      <w:r w:rsidR="000F0E02" w:rsidRPr="00026AF4">
        <w:rPr>
          <w:rFonts w:asciiTheme="minorHAnsi" w:hAnsiTheme="minorHAnsi"/>
          <w:lang w:val="en-US"/>
        </w:rPr>
        <w:t xml:space="preserve"> </w:t>
      </w:r>
      <w:r w:rsidR="00226052" w:rsidRPr="00026AF4">
        <w:rPr>
          <w:rFonts w:asciiTheme="minorHAnsi" w:hAnsiTheme="minorHAnsi"/>
          <w:lang w:val="en-US"/>
        </w:rPr>
        <w:t>C</w:t>
      </w:r>
      <w:r w:rsidR="00347121" w:rsidRPr="00026AF4">
        <w:rPr>
          <w:rFonts w:asciiTheme="minorHAnsi" w:hAnsiTheme="minorHAnsi"/>
          <w:lang w:val="en-US"/>
        </w:rPr>
        <w:t xml:space="preserve">hronic </w:t>
      </w:r>
      <w:r w:rsidRPr="00026AF4">
        <w:rPr>
          <w:rFonts w:asciiTheme="minorHAnsi" w:hAnsiTheme="minorHAnsi"/>
          <w:lang w:val="en-US"/>
        </w:rPr>
        <w:t>pancreatic</w:t>
      </w:r>
      <w:r w:rsidR="00BC6713" w:rsidRPr="00026AF4">
        <w:rPr>
          <w:rFonts w:asciiTheme="minorHAnsi" w:hAnsiTheme="minorHAnsi"/>
          <w:lang w:val="en-US"/>
        </w:rPr>
        <w:t xml:space="preserve"> pain</w:t>
      </w:r>
      <w:r w:rsidR="00347121" w:rsidRPr="00026AF4">
        <w:rPr>
          <w:rFonts w:asciiTheme="minorHAnsi" w:hAnsiTheme="minorHAnsi"/>
          <w:lang w:val="en-US"/>
        </w:rPr>
        <w:t>, 3</w:t>
      </w:r>
      <w:r w:rsidR="00226052" w:rsidRPr="00026AF4">
        <w:rPr>
          <w:rFonts w:asciiTheme="minorHAnsi" w:hAnsiTheme="minorHAnsi"/>
          <w:lang w:val="en-US"/>
        </w:rPr>
        <w:t>)</w:t>
      </w:r>
      <w:r w:rsidR="000F0E02" w:rsidRPr="00026AF4">
        <w:rPr>
          <w:rFonts w:asciiTheme="minorHAnsi" w:hAnsiTheme="minorHAnsi"/>
          <w:lang w:val="en-US"/>
        </w:rPr>
        <w:t xml:space="preserve"> M</w:t>
      </w:r>
      <w:r w:rsidR="00347121" w:rsidRPr="00026AF4">
        <w:rPr>
          <w:rFonts w:asciiTheme="minorHAnsi" w:hAnsiTheme="minorHAnsi"/>
          <w:lang w:val="en-US"/>
        </w:rPr>
        <w:t xml:space="preserve">orphological abnormalities </w:t>
      </w:r>
      <w:r w:rsidR="000F0E02" w:rsidRPr="00026AF4">
        <w:rPr>
          <w:rFonts w:asciiTheme="minorHAnsi" w:hAnsiTheme="minorHAnsi"/>
          <w:lang w:val="en-US"/>
        </w:rPr>
        <w:t>consistent with chronic pancreatitis and</w:t>
      </w:r>
      <w:r w:rsidR="00347121" w:rsidRPr="00026AF4">
        <w:rPr>
          <w:rFonts w:asciiTheme="minorHAnsi" w:hAnsiTheme="minorHAnsi"/>
          <w:lang w:val="en-US"/>
        </w:rPr>
        <w:t xml:space="preserve"> no </w:t>
      </w:r>
      <w:r w:rsidR="00B86A2B" w:rsidRPr="00026AF4">
        <w:rPr>
          <w:rFonts w:asciiTheme="minorHAnsi" w:hAnsiTheme="minorHAnsi"/>
          <w:lang w:val="en-US"/>
        </w:rPr>
        <w:t>identified cause</w:t>
      </w:r>
      <w:r w:rsidR="00347121" w:rsidRPr="00026AF4">
        <w:rPr>
          <w:rFonts w:asciiTheme="minorHAnsi" w:hAnsiTheme="minorHAnsi"/>
          <w:lang w:val="en-US"/>
        </w:rPr>
        <w:t xml:space="preserve"> 4</w:t>
      </w:r>
      <w:r w:rsidR="00226052" w:rsidRPr="00026AF4">
        <w:rPr>
          <w:rFonts w:asciiTheme="minorHAnsi" w:hAnsiTheme="minorHAnsi"/>
          <w:lang w:val="en-US"/>
        </w:rPr>
        <w:t>)</w:t>
      </w:r>
      <w:r w:rsidR="00347121" w:rsidRPr="00026AF4">
        <w:rPr>
          <w:rFonts w:asciiTheme="minorHAnsi" w:hAnsiTheme="minorHAnsi"/>
          <w:lang w:val="en-US"/>
        </w:rPr>
        <w:t xml:space="preserve"> </w:t>
      </w:r>
      <w:r w:rsidR="009A2EDC" w:rsidRPr="00026AF4">
        <w:rPr>
          <w:rFonts w:asciiTheme="minorHAnsi" w:hAnsiTheme="minorHAnsi"/>
          <w:lang w:val="en-US"/>
        </w:rPr>
        <w:t>First</w:t>
      </w:r>
      <w:r w:rsidR="000F0E02" w:rsidRPr="00026AF4">
        <w:rPr>
          <w:rFonts w:asciiTheme="minorHAnsi" w:hAnsiTheme="minorHAnsi"/>
          <w:lang w:val="en-US"/>
        </w:rPr>
        <w:t xml:space="preserve"> attack of</w:t>
      </w:r>
      <w:r w:rsidR="009A758F" w:rsidRPr="00026AF4">
        <w:rPr>
          <w:rFonts w:asciiTheme="minorHAnsi" w:hAnsiTheme="minorHAnsi"/>
          <w:lang w:val="en-US"/>
        </w:rPr>
        <w:t xml:space="preserve"> acute</w:t>
      </w:r>
      <w:r w:rsidR="00347121" w:rsidRPr="00026AF4">
        <w:rPr>
          <w:rFonts w:asciiTheme="minorHAnsi" w:hAnsiTheme="minorHAnsi"/>
          <w:lang w:val="en-US"/>
        </w:rPr>
        <w:t xml:space="preserve"> pancreatitis </w:t>
      </w:r>
      <w:r w:rsidR="00FA4E08" w:rsidRPr="00026AF4">
        <w:rPr>
          <w:rFonts w:asciiTheme="minorHAnsi" w:hAnsiTheme="minorHAnsi"/>
          <w:lang w:val="en-US"/>
        </w:rPr>
        <w:t>in young patients (&lt; 35 years</w:t>
      </w:r>
      <w:r w:rsidR="009A758F" w:rsidRPr="00026AF4">
        <w:rPr>
          <w:rFonts w:asciiTheme="minorHAnsi" w:hAnsiTheme="minorHAnsi"/>
          <w:lang w:val="en-US"/>
        </w:rPr>
        <w:t>)</w:t>
      </w:r>
      <w:r w:rsidR="000F0E02" w:rsidRPr="00026AF4">
        <w:rPr>
          <w:rFonts w:asciiTheme="minorHAnsi" w:hAnsiTheme="minorHAnsi"/>
          <w:lang w:val="en-US"/>
        </w:rPr>
        <w:t>; or</w:t>
      </w:r>
      <w:r w:rsidR="001459C0" w:rsidRPr="00026AF4">
        <w:rPr>
          <w:rFonts w:asciiTheme="minorHAnsi" w:hAnsiTheme="minorHAnsi"/>
          <w:lang w:val="en-US"/>
        </w:rPr>
        <w:t xml:space="preserve"> </w:t>
      </w:r>
      <w:r w:rsidR="000F0E02" w:rsidRPr="00026AF4">
        <w:rPr>
          <w:rFonts w:asciiTheme="minorHAnsi" w:hAnsiTheme="minorHAnsi"/>
          <w:lang w:val="en-US"/>
        </w:rPr>
        <w:t>5) I</w:t>
      </w:r>
      <w:r w:rsidR="001459C0" w:rsidRPr="00026AF4">
        <w:rPr>
          <w:rFonts w:asciiTheme="minorHAnsi" w:hAnsiTheme="minorHAnsi"/>
          <w:lang w:val="en-US"/>
        </w:rPr>
        <w:t xml:space="preserve">n </w:t>
      </w:r>
      <w:r w:rsidR="000F0E02" w:rsidRPr="00026AF4">
        <w:rPr>
          <w:rFonts w:asciiTheme="minorHAnsi" w:hAnsiTheme="minorHAnsi"/>
          <w:lang w:val="en-US"/>
        </w:rPr>
        <w:t xml:space="preserve">the </w:t>
      </w:r>
      <w:r w:rsidR="001459C0" w:rsidRPr="00026AF4">
        <w:rPr>
          <w:rFonts w:asciiTheme="minorHAnsi" w:hAnsiTheme="minorHAnsi"/>
          <w:lang w:val="en-US"/>
        </w:rPr>
        <w:t xml:space="preserve">case of </w:t>
      </w:r>
      <w:r w:rsidR="000F0E02" w:rsidRPr="00026AF4">
        <w:rPr>
          <w:rFonts w:asciiTheme="minorHAnsi" w:hAnsiTheme="minorHAnsi"/>
          <w:lang w:val="en-US"/>
        </w:rPr>
        <w:t>a family</w:t>
      </w:r>
      <w:r w:rsidR="001459C0" w:rsidRPr="00026AF4">
        <w:rPr>
          <w:rFonts w:asciiTheme="minorHAnsi" w:hAnsiTheme="minorHAnsi"/>
          <w:lang w:val="en-US"/>
        </w:rPr>
        <w:t xml:space="preserve"> history of pancreatitis</w:t>
      </w:r>
      <w:r w:rsidR="009A2EDC" w:rsidRPr="00026AF4">
        <w:rPr>
          <w:rFonts w:asciiTheme="minorHAnsi" w:hAnsiTheme="minorHAnsi"/>
          <w:lang w:val="en-US"/>
        </w:rPr>
        <w:t>.</w:t>
      </w:r>
      <w:r w:rsidR="00226052" w:rsidRPr="00026AF4">
        <w:rPr>
          <w:rFonts w:asciiTheme="minorHAnsi" w:hAnsiTheme="minorHAnsi"/>
          <w:lang w:val="en-US"/>
        </w:rPr>
        <w:t xml:space="preserve"> </w:t>
      </w:r>
    </w:p>
    <w:p w14:paraId="3B35F948" w14:textId="77777777" w:rsidR="00347121" w:rsidRPr="00026AF4" w:rsidRDefault="00347121" w:rsidP="00712250">
      <w:pPr>
        <w:jc w:val="both"/>
        <w:rPr>
          <w:rFonts w:asciiTheme="minorHAnsi" w:hAnsiTheme="minorHAnsi"/>
          <w:lang w:val="en-US"/>
        </w:rPr>
      </w:pPr>
    </w:p>
    <w:p w14:paraId="20A9207E" w14:textId="77777777" w:rsidR="0075175F" w:rsidRPr="00026AF4" w:rsidRDefault="0075175F" w:rsidP="00712250">
      <w:pPr>
        <w:jc w:val="both"/>
        <w:rPr>
          <w:rFonts w:asciiTheme="minorHAnsi" w:hAnsiTheme="minorHAnsi"/>
          <w:lang w:val="en-US"/>
        </w:rPr>
      </w:pPr>
      <w:r w:rsidRPr="00026AF4">
        <w:rPr>
          <w:rFonts w:asciiTheme="minorHAnsi" w:hAnsiTheme="minorHAnsi"/>
          <w:lang w:val="en-US"/>
        </w:rPr>
        <w:t xml:space="preserve">Genetic testing included search for mutations </w:t>
      </w:r>
      <w:r w:rsidR="008E460C" w:rsidRPr="00026AF4">
        <w:rPr>
          <w:rFonts w:asciiTheme="minorHAnsi" w:hAnsiTheme="minorHAnsi"/>
          <w:lang w:val="en-US"/>
        </w:rPr>
        <w:t>in</w:t>
      </w:r>
      <w:r w:rsidRPr="00026AF4">
        <w:rPr>
          <w:rFonts w:asciiTheme="minorHAnsi" w:hAnsiTheme="minorHAnsi"/>
          <w:lang w:val="en-US"/>
        </w:rPr>
        <w:t xml:space="preserve"> genes</w:t>
      </w:r>
      <w:r w:rsidR="008E460C" w:rsidRPr="00026AF4">
        <w:rPr>
          <w:rFonts w:asciiTheme="minorHAnsi" w:hAnsiTheme="minorHAnsi"/>
          <w:lang w:val="en-US"/>
        </w:rPr>
        <w:t xml:space="preserve"> known to be associated with</w:t>
      </w:r>
      <w:r w:rsidRPr="00026AF4">
        <w:rPr>
          <w:rFonts w:asciiTheme="minorHAnsi" w:hAnsiTheme="minorHAnsi"/>
          <w:lang w:val="en-US"/>
        </w:rPr>
        <w:t xml:space="preserve"> pancreatic inflammation: </w:t>
      </w:r>
      <w:r w:rsidRPr="00026AF4">
        <w:rPr>
          <w:rFonts w:asciiTheme="minorHAnsi" w:hAnsiTheme="minorHAnsi"/>
          <w:i/>
          <w:lang w:val="en-US"/>
        </w:rPr>
        <w:t>SPINK1</w:t>
      </w:r>
      <w:r w:rsidRPr="00026AF4">
        <w:rPr>
          <w:rFonts w:asciiTheme="minorHAnsi" w:hAnsiTheme="minorHAnsi"/>
          <w:lang w:val="en-US"/>
        </w:rPr>
        <w:t xml:space="preserve"> gene, </w:t>
      </w:r>
      <w:r w:rsidRPr="00026AF4">
        <w:rPr>
          <w:lang w:val="en-US"/>
        </w:rPr>
        <w:t xml:space="preserve">cationic </w:t>
      </w:r>
      <w:proofErr w:type="spellStart"/>
      <w:r w:rsidRPr="00026AF4">
        <w:rPr>
          <w:lang w:val="en-US"/>
        </w:rPr>
        <w:t>trypsinogen</w:t>
      </w:r>
      <w:proofErr w:type="spellEnd"/>
      <w:r w:rsidRPr="00026AF4">
        <w:rPr>
          <w:lang w:val="en-US"/>
        </w:rPr>
        <w:t xml:space="preserve"> gene (</w:t>
      </w:r>
      <w:r w:rsidRPr="00026AF4">
        <w:rPr>
          <w:i/>
          <w:lang w:val="en-US"/>
        </w:rPr>
        <w:t>PRSS1</w:t>
      </w:r>
      <w:r w:rsidRPr="00026AF4">
        <w:rPr>
          <w:lang w:val="en-US"/>
        </w:rPr>
        <w:t>)</w:t>
      </w:r>
      <w:r w:rsidRPr="00026AF4">
        <w:rPr>
          <w:rFonts w:asciiTheme="minorHAnsi" w:hAnsiTheme="minorHAnsi"/>
          <w:lang w:val="en-US"/>
        </w:rPr>
        <w:t xml:space="preserve"> and cystic fibrosis </w:t>
      </w:r>
      <w:proofErr w:type="spellStart"/>
      <w:r w:rsidRPr="00026AF4">
        <w:rPr>
          <w:rFonts w:asciiTheme="minorHAnsi" w:hAnsiTheme="minorHAnsi"/>
          <w:lang w:val="en-US"/>
        </w:rPr>
        <w:t>transmembrane</w:t>
      </w:r>
      <w:proofErr w:type="spellEnd"/>
      <w:r w:rsidRPr="00026AF4">
        <w:rPr>
          <w:rFonts w:asciiTheme="minorHAnsi" w:hAnsiTheme="minorHAnsi"/>
          <w:lang w:val="en-US"/>
        </w:rPr>
        <w:t xml:space="preserve"> regulator (</w:t>
      </w:r>
      <w:r w:rsidRPr="00026AF4">
        <w:rPr>
          <w:rFonts w:asciiTheme="minorHAnsi" w:hAnsiTheme="minorHAnsi"/>
          <w:i/>
          <w:lang w:val="en-US"/>
        </w:rPr>
        <w:t>CFTR</w:t>
      </w:r>
      <w:r w:rsidRPr="00026AF4">
        <w:rPr>
          <w:rFonts w:asciiTheme="minorHAnsi" w:hAnsiTheme="minorHAnsi"/>
          <w:lang w:val="en-US"/>
        </w:rPr>
        <w:t xml:space="preserve">). </w:t>
      </w:r>
      <w:r w:rsidR="00FA2FCB" w:rsidRPr="00026AF4">
        <w:rPr>
          <w:rFonts w:asciiTheme="minorHAnsi" w:hAnsiTheme="minorHAnsi"/>
          <w:i/>
          <w:lang w:val="en-US"/>
        </w:rPr>
        <w:t>CTRC</w:t>
      </w:r>
      <w:r w:rsidR="00FA2FCB" w:rsidRPr="00026AF4">
        <w:rPr>
          <w:rFonts w:asciiTheme="minorHAnsi" w:hAnsiTheme="minorHAnsi"/>
          <w:lang w:val="en-US"/>
        </w:rPr>
        <w:t xml:space="preserve"> gene analys</w:t>
      </w:r>
      <w:r w:rsidR="008E460C" w:rsidRPr="00026AF4">
        <w:rPr>
          <w:rFonts w:asciiTheme="minorHAnsi" w:hAnsiTheme="minorHAnsi"/>
          <w:lang w:val="en-US"/>
        </w:rPr>
        <w:t>is</w:t>
      </w:r>
      <w:r w:rsidR="00FA2FCB" w:rsidRPr="00026AF4">
        <w:rPr>
          <w:rFonts w:asciiTheme="minorHAnsi" w:hAnsiTheme="minorHAnsi"/>
          <w:lang w:val="en-US"/>
        </w:rPr>
        <w:t xml:space="preserve"> </w:t>
      </w:r>
      <w:r w:rsidR="008E460C" w:rsidRPr="00026AF4">
        <w:rPr>
          <w:rFonts w:asciiTheme="minorHAnsi" w:hAnsiTheme="minorHAnsi"/>
          <w:lang w:val="en-US"/>
        </w:rPr>
        <w:t>was</w:t>
      </w:r>
      <w:r w:rsidR="00FA2FCB" w:rsidRPr="00026AF4">
        <w:rPr>
          <w:rFonts w:asciiTheme="minorHAnsi" w:hAnsiTheme="minorHAnsi"/>
          <w:lang w:val="en-US"/>
        </w:rPr>
        <w:t xml:space="preserve"> </w:t>
      </w:r>
      <w:r w:rsidR="008E460C" w:rsidRPr="00026AF4">
        <w:rPr>
          <w:rFonts w:asciiTheme="minorHAnsi" w:hAnsiTheme="minorHAnsi"/>
          <w:lang w:val="en-US"/>
        </w:rPr>
        <w:t xml:space="preserve">routinely </w:t>
      </w:r>
      <w:r w:rsidR="00FA2FCB" w:rsidRPr="00026AF4">
        <w:rPr>
          <w:rFonts w:asciiTheme="minorHAnsi" w:hAnsiTheme="minorHAnsi"/>
          <w:lang w:val="en-US"/>
        </w:rPr>
        <w:t xml:space="preserve">performed </w:t>
      </w:r>
      <w:r w:rsidR="009A758F" w:rsidRPr="00026AF4">
        <w:rPr>
          <w:rFonts w:asciiTheme="minorHAnsi" w:hAnsiTheme="minorHAnsi"/>
          <w:lang w:val="en-US"/>
        </w:rPr>
        <w:t xml:space="preserve">only </w:t>
      </w:r>
      <w:r w:rsidR="008E460C" w:rsidRPr="00026AF4">
        <w:rPr>
          <w:rFonts w:asciiTheme="minorHAnsi" w:hAnsiTheme="minorHAnsi"/>
          <w:lang w:val="en-US"/>
        </w:rPr>
        <w:t>at</w:t>
      </w:r>
      <w:r w:rsidR="00FA2FCB" w:rsidRPr="00026AF4">
        <w:rPr>
          <w:rFonts w:asciiTheme="minorHAnsi" w:hAnsiTheme="minorHAnsi"/>
          <w:lang w:val="en-US"/>
        </w:rPr>
        <w:t xml:space="preserve"> the </w:t>
      </w:r>
      <w:proofErr w:type="spellStart"/>
      <w:r w:rsidR="00FA2FCB" w:rsidRPr="00026AF4">
        <w:rPr>
          <w:rFonts w:asciiTheme="minorHAnsi" w:hAnsiTheme="minorHAnsi"/>
          <w:lang w:val="en-US"/>
        </w:rPr>
        <w:t>Beaujon</w:t>
      </w:r>
      <w:proofErr w:type="spellEnd"/>
      <w:r w:rsidR="00FA2FCB" w:rsidRPr="00026AF4">
        <w:rPr>
          <w:rFonts w:asciiTheme="minorHAnsi" w:hAnsiTheme="minorHAnsi"/>
          <w:lang w:val="en-US"/>
        </w:rPr>
        <w:t xml:space="preserve"> </w:t>
      </w:r>
      <w:r w:rsidR="00F454DC" w:rsidRPr="00026AF4">
        <w:rPr>
          <w:rFonts w:asciiTheme="minorHAnsi" w:hAnsiTheme="minorHAnsi"/>
          <w:lang w:val="en-US"/>
        </w:rPr>
        <w:t xml:space="preserve">and Toulouse </w:t>
      </w:r>
      <w:r w:rsidR="00FA2FCB" w:rsidRPr="00026AF4">
        <w:rPr>
          <w:rFonts w:asciiTheme="minorHAnsi" w:hAnsiTheme="minorHAnsi"/>
          <w:lang w:val="en-US"/>
        </w:rPr>
        <w:t>center</w:t>
      </w:r>
      <w:r w:rsidR="00F454DC" w:rsidRPr="00026AF4">
        <w:rPr>
          <w:rFonts w:asciiTheme="minorHAnsi" w:hAnsiTheme="minorHAnsi"/>
          <w:lang w:val="en-US"/>
        </w:rPr>
        <w:t>s</w:t>
      </w:r>
      <w:r w:rsidR="00FA2FCB" w:rsidRPr="00026AF4">
        <w:rPr>
          <w:rFonts w:asciiTheme="minorHAnsi" w:hAnsiTheme="minorHAnsi"/>
          <w:lang w:val="en-US"/>
        </w:rPr>
        <w:t>.</w:t>
      </w:r>
    </w:p>
    <w:p w14:paraId="13503361" w14:textId="77777777" w:rsidR="00347121" w:rsidRPr="00026AF4" w:rsidRDefault="00347121" w:rsidP="00712250">
      <w:pPr>
        <w:jc w:val="both"/>
        <w:rPr>
          <w:rFonts w:asciiTheme="minorHAnsi" w:hAnsiTheme="minorHAnsi"/>
          <w:lang w:val="en-US"/>
        </w:rPr>
      </w:pPr>
    </w:p>
    <w:p w14:paraId="06CFCD29" w14:textId="77777777" w:rsidR="00347121" w:rsidRPr="00026AF4" w:rsidRDefault="00712250" w:rsidP="00712250">
      <w:pPr>
        <w:jc w:val="both"/>
        <w:rPr>
          <w:rFonts w:asciiTheme="minorHAnsi" w:hAnsiTheme="minorHAnsi"/>
          <w:b/>
          <w:i/>
          <w:lang w:val="en-US"/>
        </w:rPr>
      </w:pPr>
      <w:r w:rsidRPr="00026AF4">
        <w:rPr>
          <w:rFonts w:asciiTheme="minorHAnsi" w:hAnsiTheme="minorHAnsi"/>
          <w:b/>
          <w:i/>
          <w:lang w:val="en-US"/>
        </w:rPr>
        <w:t>Exclusion criteria</w:t>
      </w:r>
    </w:p>
    <w:p w14:paraId="6CFE44DB" w14:textId="77777777" w:rsidR="00110D34" w:rsidRPr="00026AF4" w:rsidRDefault="00110D34" w:rsidP="00712250">
      <w:pPr>
        <w:jc w:val="both"/>
        <w:rPr>
          <w:rFonts w:asciiTheme="minorHAnsi" w:hAnsiTheme="minorHAnsi"/>
          <w:lang w:val="en-US"/>
        </w:rPr>
      </w:pPr>
      <w:r w:rsidRPr="00026AF4">
        <w:rPr>
          <w:rFonts w:asciiTheme="minorHAnsi" w:hAnsiTheme="minorHAnsi"/>
          <w:lang w:val="en-US"/>
        </w:rPr>
        <w:t xml:space="preserve">- </w:t>
      </w:r>
      <w:r w:rsidR="008C0FD8" w:rsidRPr="00026AF4">
        <w:rPr>
          <w:rFonts w:asciiTheme="minorHAnsi" w:hAnsiTheme="minorHAnsi"/>
          <w:lang w:val="en-US"/>
        </w:rPr>
        <w:t>All</w:t>
      </w:r>
      <w:r w:rsidR="00802D07" w:rsidRPr="00026AF4">
        <w:rPr>
          <w:rFonts w:asciiTheme="minorHAnsi" w:hAnsiTheme="minorHAnsi"/>
          <w:lang w:val="en-US"/>
        </w:rPr>
        <w:t xml:space="preserve"> patients with potential cause</w:t>
      </w:r>
      <w:r w:rsidR="00B86A2B" w:rsidRPr="00026AF4">
        <w:rPr>
          <w:rFonts w:asciiTheme="minorHAnsi" w:hAnsiTheme="minorHAnsi"/>
          <w:lang w:val="en-US"/>
        </w:rPr>
        <w:t>s</w:t>
      </w:r>
      <w:r w:rsidR="00802D07" w:rsidRPr="00026AF4">
        <w:rPr>
          <w:rFonts w:asciiTheme="minorHAnsi" w:hAnsiTheme="minorHAnsi"/>
          <w:lang w:val="en-US"/>
        </w:rPr>
        <w:t xml:space="preserve"> of pancreatitis</w:t>
      </w:r>
      <w:r w:rsidR="008C0FD8" w:rsidRPr="00026AF4">
        <w:rPr>
          <w:rFonts w:asciiTheme="minorHAnsi" w:hAnsiTheme="minorHAnsi"/>
          <w:lang w:val="en-US"/>
        </w:rPr>
        <w:t xml:space="preserve"> were excluded</w:t>
      </w:r>
      <w:r w:rsidR="00802D07" w:rsidRPr="00026AF4">
        <w:rPr>
          <w:rFonts w:asciiTheme="minorHAnsi" w:hAnsiTheme="minorHAnsi"/>
          <w:lang w:val="en-US"/>
        </w:rPr>
        <w:t>:</w:t>
      </w:r>
      <w:r w:rsidR="00570101" w:rsidRPr="00026AF4">
        <w:rPr>
          <w:rFonts w:asciiTheme="minorHAnsi" w:hAnsiTheme="minorHAnsi"/>
          <w:lang w:val="en-US"/>
        </w:rPr>
        <w:t xml:space="preserve"> </w:t>
      </w:r>
      <w:r w:rsidRPr="00026AF4">
        <w:rPr>
          <w:rFonts w:asciiTheme="minorHAnsi" w:hAnsiTheme="minorHAnsi"/>
          <w:lang w:val="en-US"/>
        </w:rPr>
        <w:t xml:space="preserve">chronic alcohol </w:t>
      </w:r>
      <w:r w:rsidR="00764259" w:rsidRPr="00026AF4">
        <w:rPr>
          <w:rFonts w:asciiTheme="minorHAnsi" w:hAnsiTheme="minorHAnsi"/>
          <w:lang w:val="en-US"/>
        </w:rPr>
        <w:t>consumption (</w:t>
      </w:r>
      <w:r w:rsidR="00835083" w:rsidRPr="00026AF4">
        <w:rPr>
          <w:rFonts w:asciiTheme="minorHAnsi" w:hAnsiTheme="minorHAnsi"/>
          <w:lang w:val="en-US"/>
        </w:rPr>
        <w:t xml:space="preserve">daily </w:t>
      </w:r>
      <w:r w:rsidR="00570101" w:rsidRPr="00026AF4">
        <w:rPr>
          <w:rFonts w:asciiTheme="minorHAnsi" w:hAnsiTheme="minorHAnsi"/>
          <w:lang w:val="en-US"/>
        </w:rPr>
        <w:t xml:space="preserve">alcohol intake </w:t>
      </w:r>
      <w:r w:rsidR="008C0FD8" w:rsidRPr="00026AF4">
        <w:rPr>
          <w:rFonts w:asciiTheme="minorHAnsi" w:hAnsiTheme="minorHAnsi"/>
          <w:lang w:val="en-US"/>
        </w:rPr>
        <w:t>&gt;</w:t>
      </w:r>
      <w:r w:rsidR="00570101" w:rsidRPr="00026AF4">
        <w:rPr>
          <w:rFonts w:asciiTheme="minorHAnsi" w:hAnsiTheme="minorHAnsi"/>
          <w:lang w:val="en-US"/>
        </w:rPr>
        <w:t xml:space="preserve"> </w:t>
      </w:r>
      <w:r w:rsidR="008C0FD8" w:rsidRPr="00026AF4">
        <w:rPr>
          <w:rFonts w:asciiTheme="minorHAnsi" w:hAnsiTheme="minorHAnsi"/>
          <w:lang w:val="en-US"/>
        </w:rPr>
        <w:t xml:space="preserve">3 units </w:t>
      </w:r>
      <w:r w:rsidR="00657C66" w:rsidRPr="00026AF4">
        <w:rPr>
          <w:rFonts w:asciiTheme="minorHAnsi" w:hAnsiTheme="minorHAnsi"/>
          <w:lang w:val="en-US"/>
        </w:rPr>
        <w:t>(24</w:t>
      </w:r>
      <w:r w:rsidR="00835083" w:rsidRPr="00026AF4">
        <w:rPr>
          <w:rFonts w:asciiTheme="minorHAnsi" w:hAnsiTheme="minorHAnsi"/>
          <w:lang w:val="en-US"/>
        </w:rPr>
        <w:t xml:space="preserve"> </w:t>
      </w:r>
      <w:r w:rsidR="00570101" w:rsidRPr="00026AF4">
        <w:rPr>
          <w:rFonts w:asciiTheme="minorHAnsi" w:hAnsiTheme="minorHAnsi"/>
          <w:lang w:val="en-US"/>
        </w:rPr>
        <w:t xml:space="preserve">g </w:t>
      </w:r>
      <w:r w:rsidR="00030817" w:rsidRPr="00026AF4">
        <w:rPr>
          <w:rFonts w:asciiTheme="minorHAnsi" w:hAnsiTheme="minorHAnsi"/>
          <w:lang w:val="en-US"/>
        </w:rPr>
        <w:t>of pure alcohol</w:t>
      </w:r>
      <w:r w:rsidR="00657C66" w:rsidRPr="00026AF4">
        <w:rPr>
          <w:rFonts w:asciiTheme="minorHAnsi" w:hAnsiTheme="minorHAnsi"/>
          <w:lang w:val="en-US"/>
        </w:rPr>
        <w:t>)</w:t>
      </w:r>
      <w:r w:rsidR="00030817" w:rsidRPr="00026AF4">
        <w:rPr>
          <w:rFonts w:asciiTheme="minorHAnsi" w:hAnsiTheme="minorHAnsi"/>
          <w:lang w:val="en-US"/>
        </w:rPr>
        <w:t xml:space="preserve"> </w:t>
      </w:r>
      <w:r w:rsidR="00570101" w:rsidRPr="00026AF4">
        <w:rPr>
          <w:rFonts w:asciiTheme="minorHAnsi" w:hAnsiTheme="minorHAnsi"/>
          <w:lang w:val="en-US"/>
        </w:rPr>
        <w:t>per day</w:t>
      </w:r>
      <w:r w:rsidR="008C0FD8" w:rsidRPr="00026AF4">
        <w:rPr>
          <w:rFonts w:asciiTheme="minorHAnsi" w:hAnsiTheme="minorHAnsi"/>
          <w:lang w:val="en-US"/>
        </w:rPr>
        <w:t xml:space="preserve"> </w:t>
      </w:r>
      <w:r w:rsidR="00030817" w:rsidRPr="00026AF4">
        <w:rPr>
          <w:rFonts w:asciiTheme="minorHAnsi" w:hAnsiTheme="minorHAnsi"/>
          <w:lang w:val="en-US"/>
        </w:rPr>
        <w:t>in men</w:t>
      </w:r>
      <w:r w:rsidR="008C0FD8" w:rsidRPr="00026AF4">
        <w:rPr>
          <w:rFonts w:asciiTheme="minorHAnsi" w:hAnsiTheme="minorHAnsi"/>
          <w:lang w:val="en-US"/>
        </w:rPr>
        <w:t>,</w:t>
      </w:r>
      <w:r w:rsidR="00030817" w:rsidRPr="00026AF4">
        <w:rPr>
          <w:rFonts w:asciiTheme="minorHAnsi" w:hAnsiTheme="minorHAnsi"/>
          <w:lang w:val="en-US"/>
        </w:rPr>
        <w:t xml:space="preserve"> or </w:t>
      </w:r>
      <w:r w:rsidR="008C0FD8" w:rsidRPr="00026AF4">
        <w:rPr>
          <w:rFonts w:asciiTheme="minorHAnsi" w:hAnsiTheme="minorHAnsi"/>
          <w:lang w:val="en-US"/>
        </w:rPr>
        <w:t xml:space="preserve">&gt; 2 units </w:t>
      </w:r>
      <w:r w:rsidR="00657C66" w:rsidRPr="00026AF4">
        <w:rPr>
          <w:rFonts w:asciiTheme="minorHAnsi" w:hAnsiTheme="minorHAnsi"/>
          <w:lang w:val="en-US"/>
        </w:rPr>
        <w:t xml:space="preserve">(16 </w:t>
      </w:r>
      <w:r w:rsidR="00030817" w:rsidRPr="00026AF4">
        <w:rPr>
          <w:rFonts w:asciiTheme="minorHAnsi" w:hAnsiTheme="minorHAnsi"/>
          <w:lang w:val="en-US"/>
        </w:rPr>
        <w:t xml:space="preserve">g </w:t>
      </w:r>
      <w:r w:rsidR="008C0FD8" w:rsidRPr="00026AF4">
        <w:rPr>
          <w:rFonts w:asciiTheme="minorHAnsi" w:hAnsiTheme="minorHAnsi"/>
          <w:lang w:val="en-US"/>
        </w:rPr>
        <w:t>of pure alcohol</w:t>
      </w:r>
      <w:r w:rsidR="00657C66" w:rsidRPr="00026AF4">
        <w:rPr>
          <w:rFonts w:asciiTheme="minorHAnsi" w:hAnsiTheme="minorHAnsi"/>
          <w:lang w:val="en-US"/>
        </w:rPr>
        <w:t>)</w:t>
      </w:r>
      <w:r w:rsidR="008C0FD8" w:rsidRPr="00026AF4">
        <w:rPr>
          <w:rFonts w:asciiTheme="minorHAnsi" w:hAnsiTheme="minorHAnsi"/>
          <w:lang w:val="en-US"/>
        </w:rPr>
        <w:t xml:space="preserve"> per day</w:t>
      </w:r>
      <w:r w:rsidR="00893CD5" w:rsidRPr="00026AF4">
        <w:rPr>
          <w:rFonts w:asciiTheme="minorHAnsi" w:hAnsiTheme="minorHAnsi"/>
          <w:lang w:val="en-US"/>
        </w:rPr>
        <w:t xml:space="preserve"> </w:t>
      </w:r>
      <w:r w:rsidR="008C0FD8" w:rsidRPr="00026AF4">
        <w:rPr>
          <w:rFonts w:asciiTheme="minorHAnsi" w:hAnsiTheme="minorHAnsi"/>
          <w:lang w:val="en-US"/>
        </w:rPr>
        <w:t>in women</w:t>
      </w:r>
      <w:r w:rsidR="00AC28F9" w:rsidRPr="00026AF4">
        <w:rPr>
          <w:rFonts w:asciiTheme="minorHAnsi" w:hAnsiTheme="minorHAnsi"/>
          <w:lang w:val="en-US"/>
        </w:rPr>
        <w:t>;</w:t>
      </w:r>
      <w:r w:rsidR="008C0FD8" w:rsidRPr="00026AF4">
        <w:rPr>
          <w:rFonts w:asciiTheme="minorHAnsi" w:hAnsiTheme="minorHAnsi"/>
          <w:lang w:val="en-US"/>
        </w:rPr>
        <w:t xml:space="preserve"> </w:t>
      </w:r>
      <w:proofErr w:type="spellStart"/>
      <w:r w:rsidR="00860469" w:rsidRPr="00026AF4">
        <w:rPr>
          <w:rFonts w:asciiTheme="minorHAnsi" w:hAnsiTheme="minorHAnsi"/>
          <w:lang w:val="en-US"/>
        </w:rPr>
        <w:t>hypercalc</w:t>
      </w:r>
      <w:r w:rsidR="008E460C" w:rsidRPr="00026AF4">
        <w:rPr>
          <w:rFonts w:asciiTheme="minorHAnsi" w:hAnsiTheme="minorHAnsi"/>
          <w:lang w:val="en-US"/>
        </w:rPr>
        <w:t>a</w:t>
      </w:r>
      <w:r w:rsidR="00860469" w:rsidRPr="00026AF4">
        <w:rPr>
          <w:rFonts w:asciiTheme="minorHAnsi" w:hAnsiTheme="minorHAnsi"/>
          <w:lang w:val="en-US"/>
        </w:rPr>
        <w:t>emia</w:t>
      </w:r>
      <w:proofErr w:type="spellEnd"/>
      <w:r w:rsidR="002921DA" w:rsidRPr="00026AF4">
        <w:rPr>
          <w:rFonts w:asciiTheme="minorHAnsi" w:hAnsiTheme="minorHAnsi"/>
          <w:lang w:val="en-US"/>
        </w:rPr>
        <w:t xml:space="preserve"> &gt;</w:t>
      </w:r>
      <w:r w:rsidR="00570101" w:rsidRPr="00026AF4">
        <w:rPr>
          <w:rFonts w:asciiTheme="minorHAnsi" w:hAnsiTheme="minorHAnsi"/>
          <w:lang w:val="en-US"/>
        </w:rPr>
        <w:t xml:space="preserve">3 </w:t>
      </w:r>
      <w:proofErr w:type="spellStart"/>
      <w:r w:rsidR="00570101" w:rsidRPr="00026AF4">
        <w:rPr>
          <w:rFonts w:asciiTheme="minorHAnsi" w:hAnsiTheme="minorHAnsi"/>
          <w:lang w:val="en-US"/>
        </w:rPr>
        <w:t>mmol</w:t>
      </w:r>
      <w:proofErr w:type="spellEnd"/>
      <w:r w:rsidR="00570101" w:rsidRPr="00026AF4">
        <w:rPr>
          <w:rFonts w:asciiTheme="minorHAnsi" w:hAnsiTheme="minorHAnsi"/>
          <w:lang w:val="en-US"/>
        </w:rPr>
        <w:t>/</w:t>
      </w:r>
      <w:r w:rsidRPr="00026AF4">
        <w:rPr>
          <w:rFonts w:asciiTheme="minorHAnsi" w:hAnsiTheme="minorHAnsi"/>
          <w:lang w:val="en-US"/>
        </w:rPr>
        <w:t>L</w:t>
      </w:r>
      <w:r w:rsidR="00AC28F9" w:rsidRPr="00026AF4">
        <w:rPr>
          <w:rFonts w:asciiTheme="minorHAnsi" w:hAnsiTheme="minorHAnsi"/>
          <w:lang w:val="en-US"/>
        </w:rPr>
        <w:t>;</w:t>
      </w:r>
      <w:r w:rsidR="00860469" w:rsidRPr="00026AF4">
        <w:rPr>
          <w:rFonts w:asciiTheme="minorHAnsi" w:hAnsiTheme="minorHAnsi"/>
          <w:lang w:val="en-US"/>
        </w:rPr>
        <w:t xml:space="preserve"> hypertriglyceridemia</w:t>
      </w:r>
      <w:r w:rsidR="00835083" w:rsidRPr="00026AF4">
        <w:rPr>
          <w:rFonts w:asciiTheme="minorHAnsi" w:hAnsiTheme="minorHAnsi"/>
          <w:lang w:val="en-US"/>
        </w:rPr>
        <w:t xml:space="preserve"> </w:t>
      </w:r>
      <w:r w:rsidR="00570101" w:rsidRPr="00026AF4">
        <w:rPr>
          <w:rFonts w:asciiTheme="minorHAnsi" w:hAnsiTheme="minorHAnsi"/>
          <w:lang w:val="en-US"/>
        </w:rPr>
        <w:t>&gt;10</w:t>
      </w:r>
      <w:r w:rsidR="00657C66" w:rsidRPr="00026AF4">
        <w:rPr>
          <w:rFonts w:asciiTheme="minorHAnsi" w:hAnsiTheme="minorHAnsi"/>
          <w:lang w:val="en-US"/>
        </w:rPr>
        <w:t xml:space="preserve"> </w:t>
      </w:r>
      <w:proofErr w:type="spellStart"/>
      <w:r w:rsidR="009A2EDC" w:rsidRPr="00026AF4">
        <w:rPr>
          <w:rFonts w:asciiTheme="minorHAnsi" w:hAnsiTheme="minorHAnsi"/>
          <w:lang w:val="en-US"/>
        </w:rPr>
        <w:t>mmol</w:t>
      </w:r>
      <w:proofErr w:type="spellEnd"/>
      <w:r w:rsidR="009A2EDC" w:rsidRPr="00026AF4">
        <w:rPr>
          <w:rFonts w:asciiTheme="minorHAnsi" w:hAnsiTheme="minorHAnsi"/>
          <w:lang w:val="en-US"/>
        </w:rPr>
        <w:t>/L</w:t>
      </w:r>
      <w:r w:rsidR="00AC28F9" w:rsidRPr="00026AF4">
        <w:rPr>
          <w:rFonts w:asciiTheme="minorHAnsi" w:hAnsiTheme="minorHAnsi"/>
          <w:lang w:val="en-US"/>
        </w:rPr>
        <w:t>;</w:t>
      </w:r>
      <w:r w:rsidR="008C0FD8" w:rsidRPr="00026AF4">
        <w:rPr>
          <w:rFonts w:asciiTheme="minorHAnsi" w:hAnsiTheme="minorHAnsi"/>
          <w:lang w:val="en-US"/>
        </w:rPr>
        <w:t xml:space="preserve"> </w:t>
      </w:r>
      <w:r w:rsidR="00AC28F9" w:rsidRPr="00026AF4">
        <w:rPr>
          <w:rFonts w:asciiTheme="minorHAnsi" w:hAnsiTheme="minorHAnsi"/>
          <w:lang w:val="en-US"/>
        </w:rPr>
        <w:t>ductal obstruction (</w:t>
      </w:r>
      <w:proofErr w:type="spellStart"/>
      <w:r w:rsidR="009A2EDC" w:rsidRPr="00026AF4">
        <w:rPr>
          <w:rFonts w:asciiTheme="minorHAnsi" w:hAnsiTheme="minorHAnsi"/>
          <w:lang w:val="en-US"/>
        </w:rPr>
        <w:t>ampullary</w:t>
      </w:r>
      <w:proofErr w:type="spellEnd"/>
      <w:r w:rsidR="009A2EDC" w:rsidRPr="00026AF4">
        <w:rPr>
          <w:rFonts w:asciiTheme="minorHAnsi" w:hAnsiTheme="minorHAnsi"/>
          <w:lang w:val="en-US"/>
        </w:rPr>
        <w:t xml:space="preserve"> adenoma</w:t>
      </w:r>
      <w:r w:rsidR="00B86A2B" w:rsidRPr="00026AF4">
        <w:rPr>
          <w:rFonts w:asciiTheme="minorHAnsi" w:hAnsiTheme="minorHAnsi"/>
          <w:lang w:val="en-US"/>
        </w:rPr>
        <w:t xml:space="preserve">, </w:t>
      </w:r>
      <w:proofErr w:type="spellStart"/>
      <w:r w:rsidR="00B86A2B" w:rsidRPr="00026AF4">
        <w:rPr>
          <w:rFonts w:asciiTheme="minorHAnsi" w:hAnsiTheme="minorHAnsi"/>
          <w:lang w:val="en-US"/>
        </w:rPr>
        <w:t>intraductal</w:t>
      </w:r>
      <w:proofErr w:type="spellEnd"/>
      <w:r w:rsidR="00B86A2B" w:rsidRPr="00026AF4">
        <w:rPr>
          <w:rFonts w:asciiTheme="minorHAnsi" w:hAnsiTheme="minorHAnsi"/>
          <w:lang w:val="en-US"/>
        </w:rPr>
        <w:t xml:space="preserve"> pa</w:t>
      </w:r>
      <w:r w:rsidR="00AF7E98" w:rsidRPr="00026AF4">
        <w:rPr>
          <w:rFonts w:asciiTheme="minorHAnsi" w:hAnsiTheme="minorHAnsi"/>
          <w:lang w:val="en-US"/>
        </w:rPr>
        <w:t>pillary mucinous neoplasm</w:t>
      </w:r>
      <w:r w:rsidR="00B86A2B" w:rsidRPr="00026AF4">
        <w:rPr>
          <w:rFonts w:asciiTheme="minorHAnsi" w:hAnsiTheme="minorHAnsi"/>
          <w:lang w:val="en-US"/>
        </w:rPr>
        <w:t xml:space="preserve">, </w:t>
      </w:r>
      <w:r w:rsidR="00AC28F9" w:rsidRPr="00026AF4">
        <w:rPr>
          <w:rFonts w:asciiTheme="minorHAnsi" w:hAnsiTheme="minorHAnsi"/>
          <w:lang w:val="en-US"/>
        </w:rPr>
        <w:t xml:space="preserve">cystic pancreatic </w:t>
      </w:r>
      <w:r w:rsidRPr="00026AF4">
        <w:rPr>
          <w:rFonts w:asciiTheme="minorHAnsi" w:hAnsiTheme="minorHAnsi"/>
          <w:lang w:val="en-US"/>
        </w:rPr>
        <w:t>neoplasm</w:t>
      </w:r>
      <w:r w:rsidR="00AC28F9" w:rsidRPr="00026AF4">
        <w:rPr>
          <w:rFonts w:asciiTheme="minorHAnsi" w:hAnsiTheme="minorHAnsi"/>
          <w:lang w:val="en-US"/>
        </w:rPr>
        <w:t xml:space="preserve">); </w:t>
      </w:r>
      <w:r w:rsidR="00835083" w:rsidRPr="00026AF4">
        <w:rPr>
          <w:rFonts w:asciiTheme="minorHAnsi" w:hAnsiTheme="minorHAnsi"/>
          <w:lang w:val="en-US"/>
        </w:rPr>
        <w:t>post-traumatic</w:t>
      </w:r>
      <w:r w:rsidRPr="00026AF4">
        <w:rPr>
          <w:rFonts w:asciiTheme="minorHAnsi" w:hAnsiTheme="minorHAnsi"/>
          <w:lang w:val="en-US"/>
        </w:rPr>
        <w:t xml:space="preserve"> duct stenosis</w:t>
      </w:r>
      <w:r w:rsidR="009A758F" w:rsidRPr="00026AF4">
        <w:rPr>
          <w:rFonts w:asciiTheme="minorHAnsi" w:hAnsiTheme="minorHAnsi"/>
          <w:lang w:val="en-US"/>
        </w:rPr>
        <w:t xml:space="preserve"> </w:t>
      </w:r>
      <w:r w:rsidR="00742FB6" w:rsidRPr="00026AF4">
        <w:rPr>
          <w:rFonts w:asciiTheme="minorHAnsi" w:hAnsiTheme="minorHAnsi"/>
          <w:lang w:val="en-US"/>
        </w:rPr>
        <w:t xml:space="preserve">or </w:t>
      </w:r>
      <w:r w:rsidR="003442D1" w:rsidRPr="00026AF4">
        <w:rPr>
          <w:rFonts w:asciiTheme="minorHAnsi" w:hAnsiTheme="minorHAnsi"/>
          <w:lang w:val="en-US"/>
        </w:rPr>
        <w:t>autoimmune</w:t>
      </w:r>
      <w:r w:rsidR="009A758F" w:rsidRPr="00026AF4">
        <w:rPr>
          <w:rFonts w:asciiTheme="minorHAnsi" w:hAnsiTheme="minorHAnsi"/>
          <w:lang w:val="en-US"/>
        </w:rPr>
        <w:t xml:space="preserve"> pancreatitis.</w:t>
      </w:r>
    </w:p>
    <w:p w14:paraId="71A470C7" w14:textId="77777777" w:rsidR="00110D34" w:rsidRPr="00026AF4" w:rsidRDefault="00110D34" w:rsidP="00712250">
      <w:pPr>
        <w:jc w:val="both"/>
        <w:rPr>
          <w:rFonts w:asciiTheme="minorHAnsi" w:hAnsiTheme="minorHAnsi"/>
          <w:lang w:val="en-US"/>
        </w:rPr>
      </w:pPr>
      <w:r w:rsidRPr="00026AF4">
        <w:rPr>
          <w:rFonts w:asciiTheme="minorHAnsi" w:hAnsiTheme="minorHAnsi"/>
          <w:lang w:val="en-US"/>
        </w:rPr>
        <w:t xml:space="preserve">- Presence of a </w:t>
      </w:r>
      <w:r w:rsidR="00AF7E98" w:rsidRPr="00026AF4">
        <w:rPr>
          <w:rFonts w:asciiTheme="minorHAnsi" w:hAnsiTheme="minorHAnsi"/>
          <w:i/>
          <w:lang w:val="en-US"/>
        </w:rPr>
        <w:t>PRSS1</w:t>
      </w:r>
      <w:r w:rsidR="00B86A2B" w:rsidRPr="00026AF4">
        <w:rPr>
          <w:rFonts w:asciiTheme="minorHAnsi" w:hAnsiTheme="minorHAnsi"/>
          <w:i/>
          <w:lang w:val="en-US"/>
        </w:rPr>
        <w:t xml:space="preserve"> </w:t>
      </w:r>
      <w:r w:rsidRPr="00026AF4">
        <w:rPr>
          <w:rFonts w:asciiTheme="minorHAnsi" w:hAnsiTheme="minorHAnsi"/>
          <w:lang w:val="en-US"/>
        </w:rPr>
        <w:t>mutation</w:t>
      </w:r>
      <w:r w:rsidR="00BD3754" w:rsidRPr="00026AF4">
        <w:rPr>
          <w:rFonts w:asciiTheme="minorHAnsi" w:hAnsiTheme="minorHAnsi"/>
          <w:lang w:val="en-US"/>
        </w:rPr>
        <w:t xml:space="preserve">, </w:t>
      </w:r>
      <w:r w:rsidR="00BD3AE5" w:rsidRPr="00026AF4">
        <w:rPr>
          <w:rFonts w:asciiTheme="minorHAnsi" w:hAnsiTheme="minorHAnsi"/>
          <w:lang w:val="en-US"/>
        </w:rPr>
        <w:t>because of the high</w:t>
      </w:r>
      <w:r w:rsidR="00FA2FCB" w:rsidRPr="00026AF4">
        <w:rPr>
          <w:rFonts w:asciiTheme="minorHAnsi" w:hAnsiTheme="minorHAnsi"/>
          <w:lang w:val="en-US"/>
        </w:rPr>
        <w:t xml:space="preserve"> penetrance</w:t>
      </w:r>
      <w:r w:rsidR="00BD3AE5" w:rsidRPr="00026AF4">
        <w:rPr>
          <w:rFonts w:asciiTheme="minorHAnsi" w:hAnsiTheme="minorHAnsi"/>
          <w:lang w:val="en-US"/>
        </w:rPr>
        <w:t>, hence it would be adequate as a sole risk factor to explain the phenotype.</w:t>
      </w:r>
    </w:p>
    <w:p w14:paraId="4C877FCC" w14:textId="77777777" w:rsidR="00712250" w:rsidRPr="00026AF4" w:rsidRDefault="001459C0" w:rsidP="00712250">
      <w:pPr>
        <w:jc w:val="both"/>
        <w:rPr>
          <w:rFonts w:asciiTheme="minorHAnsi" w:hAnsiTheme="minorHAnsi"/>
          <w:lang w:val="en-US"/>
        </w:rPr>
      </w:pPr>
      <w:r w:rsidRPr="00026AF4">
        <w:rPr>
          <w:rFonts w:asciiTheme="minorHAnsi" w:hAnsiTheme="minorHAnsi"/>
          <w:lang w:val="en-US"/>
        </w:rPr>
        <w:t xml:space="preserve">Patients with </w:t>
      </w:r>
      <w:r w:rsidRPr="00026AF4">
        <w:rPr>
          <w:rFonts w:asciiTheme="minorHAnsi" w:hAnsiTheme="minorHAnsi"/>
          <w:i/>
          <w:lang w:val="en-US"/>
        </w:rPr>
        <w:t>CFTR</w:t>
      </w:r>
      <w:r w:rsidRPr="00026AF4">
        <w:rPr>
          <w:rFonts w:asciiTheme="minorHAnsi" w:hAnsiTheme="minorHAnsi"/>
          <w:lang w:val="en-US"/>
        </w:rPr>
        <w:t xml:space="preserve"> </w:t>
      </w:r>
      <w:r w:rsidR="00A15144" w:rsidRPr="00026AF4">
        <w:rPr>
          <w:rFonts w:asciiTheme="minorHAnsi" w:hAnsiTheme="minorHAnsi"/>
          <w:lang w:val="en-US"/>
        </w:rPr>
        <w:t xml:space="preserve">or </w:t>
      </w:r>
      <w:r w:rsidR="00A15144" w:rsidRPr="00026AF4">
        <w:rPr>
          <w:rFonts w:asciiTheme="minorHAnsi" w:hAnsiTheme="minorHAnsi"/>
          <w:i/>
          <w:lang w:val="en-US"/>
        </w:rPr>
        <w:t>CTRC</w:t>
      </w:r>
      <w:r w:rsidR="00A15144" w:rsidRPr="00026AF4">
        <w:rPr>
          <w:rFonts w:asciiTheme="minorHAnsi" w:hAnsiTheme="minorHAnsi"/>
          <w:lang w:val="en-US"/>
        </w:rPr>
        <w:t xml:space="preserve"> </w:t>
      </w:r>
      <w:r w:rsidRPr="00026AF4">
        <w:rPr>
          <w:rFonts w:asciiTheme="minorHAnsi" w:hAnsiTheme="minorHAnsi"/>
          <w:lang w:val="en-US"/>
        </w:rPr>
        <w:t xml:space="preserve">mutations or pancreas </w:t>
      </w:r>
      <w:proofErr w:type="spellStart"/>
      <w:r w:rsidRPr="00026AF4">
        <w:rPr>
          <w:rFonts w:asciiTheme="minorHAnsi" w:hAnsiTheme="minorHAnsi"/>
          <w:lang w:val="en-US"/>
        </w:rPr>
        <w:t>divisum</w:t>
      </w:r>
      <w:proofErr w:type="spellEnd"/>
      <w:r w:rsidRPr="00026AF4">
        <w:rPr>
          <w:rFonts w:asciiTheme="minorHAnsi" w:hAnsiTheme="minorHAnsi"/>
          <w:lang w:val="en-US"/>
        </w:rPr>
        <w:t xml:space="preserve"> were not excluded. </w:t>
      </w:r>
    </w:p>
    <w:p w14:paraId="053E988B" w14:textId="77777777" w:rsidR="004455CC" w:rsidRPr="00026AF4" w:rsidRDefault="004455CC" w:rsidP="00712250">
      <w:pPr>
        <w:jc w:val="both"/>
        <w:rPr>
          <w:rFonts w:asciiTheme="minorHAnsi" w:hAnsiTheme="minorHAnsi"/>
          <w:lang w:val="en-US"/>
        </w:rPr>
      </w:pPr>
    </w:p>
    <w:p w14:paraId="4D6EC165" w14:textId="77777777" w:rsidR="00FA2FCB" w:rsidRPr="00026AF4" w:rsidRDefault="00FA2FCB" w:rsidP="00712250">
      <w:pPr>
        <w:jc w:val="both"/>
        <w:rPr>
          <w:rFonts w:asciiTheme="minorHAnsi" w:hAnsiTheme="minorHAnsi"/>
          <w:b/>
          <w:lang w:val="en-US"/>
        </w:rPr>
      </w:pPr>
      <w:r w:rsidRPr="00026AF4">
        <w:rPr>
          <w:rFonts w:asciiTheme="minorHAnsi" w:hAnsiTheme="minorHAnsi"/>
          <w:b/>
          <w:i/>
          <w:lang w:val="en-US"/>
        </w:rPr>
        <w:t>C</w:t>
      </w:r>
      <w:r w:rsidR="00712250" w:rsidRPr="00026AF4">
        <w:rPr>
          <w:rFonts w:asciiTheme="minorHAnsi" w:hAnsiTheme="minorHAnsi"/>
          <w:b/>
          <w:i/>
          <w:lang w:val="en-US"/>
        </w:rPr>
        <w:t>o</w:t>
      </w:r>
      <w:r w:rsidR="00AC28F9" w:rsidRPr="00026AF4">
        <w:rPr>
          <w:rFonts w:asciiTheme="minorHAnsi" w:hAnsiTheme="minorHAnsi"/>
          <w:b/>
          <w:i/>
          <w:lang w:val="en-US"/>
        </w:rPr>
        <w:t>ntrol group</w:t>
      </w:r>
      <w:r w:rsidR="004D6DC1" w:rsidRPr="00026AF4">
        <w:rPr>
          <w:rFonts w:asciiTheme="minorHAnsi" w:hAnsiTheme="minorHAnsi"/>
          <w:b/>
          <w:i/>
          <w:lang w:val="en-US"/>
        </w:rPr>
        <w:t xml:space="preserve">, Idiopathic </w:t>
      </w:r>
      <w:r w:rsidR="00A15144" w:rsidRPr="00026AF4">
        <w:rPr>
          <w:rFonts w:asciiTheme="minorHAnsi" w:hAnsiTheme="minorHAnsi"/>
          <w:b/>
          <w:i/>
          <w:lang w:val="en-US"/>
        </w:rPr>
        <w:t>pancreatitis</w:t>
      </w:r>
    </w:p>
    <w:p w14:paraId="2CFE22AC" w14:textId="77777777" w:rsidR="001459C0" w:rsidRPr="00026AF4" w:rsidRDefault="00BD3AE5" w:rsidP="00712250">
      <w:pPr>
        <w:jc w:val="both"/>
        <w:rPr>
          <w:rFonts w:asciiTheme="minorHAnsi" w:hAnsiTheme="minorHAnsi"/>
          <w:lang w:val="en-US"/>
        </w:rPr>
      </w:pPr>
      <w:r w:rsidRPr="00026AF4">
        <w:rPr>
          <w:rFonts w:asciiTheme="minorHAnsi" w:hAnsiTheme="minorHAnsi"/>
          <w:lang w:val="en-US"/>
        </w:rPr>
        <w:t>The</w:t>
      </w:r>
      <w:r w:rsidR="00FA2FCB" w:rsidRPr="00026AF4">
        <w:rPr>
          <w:rFonts w:asciiTheme="minorHAnsi" w:hAnsiTheme="minorHAnsi"/>
          <w:lang w:val="en-US"/>
        </w:rPr>
        <w:t xml:space="preserve"> control group</w:t>
      </w:r>
      <w:r w:rsidRPr="00026AF4">
        <w:rPr>
          <w:rFonts w:asciiTheme="minorHAnsi" w:hAnsiTheme="minorHAnsi"/>
          <w:lang w:val="en-US"/>
        </w:rPr>
        <w:t xml:space="preserve"> consisted</w:t>
      </w:r>
      <w:r w:rsidR="001459C0" w:rsidRPr="00026AF4">
        <w:rPr>
          <w:rFonts w:asciiTheme="minorHAnsi" w:hAnsiTheme="minorHAnsi"/>
          <w:lang w:val="en-US"/>
        </w:rPr>
        <w:t xml:space="preserve"> of </w:t>
      </w:r>
      <w:r w:rsidR="00FA2FCB" w:rsidRPr="00026AF4">
        <w:rPr>
          <w:rFonts w:asciiTheme="minorHAnsi" w:hAnsiTheme="minorHAnsi"/>
          <w:lang w:val="en-US"/>
        </w:rPr>
        <w:t>all</w:t>
      </w:r>
      <w:r w:rsidR="00AC28F9" w:rsidRPr="00026AF4">
        <w:rPr>
          <w:rFonts w:asciiTheme="minorHAnsi" w:hAnsiTheme="minorHAnsi"/>
          <w:lang w:val="en-US"/>
        </w:rPr>
        <w:t xml:space="preserve"> patients with </w:t>
      </w:r>
      <w:r w:rsidR="00CB7F62" w:rsidRPr="00026AF4">
        <w:rPr>
          <w:rFonts w:asciiTheme="minorHAnsi" w:hAnsiTheme="minorHAnsi"/>
          <w:lang w:val="en-US"/>
        </w:rPr>
        <w:t>IP</w:t>
      </w:r>
      <w:r w:rsidR="00AC28F9" w:rsidRPr="00026AF4">
        <w:rPr>
          <w:rFonts w:asciiTheme="minorHAnsi" w:hAnsiTheme="minorHAnsi"/>
          <w:lang w:val="en-US"/>
        </w:rPr>
        <w:t xml:space="preserve"> </w:t>
      </w:r>
      <w:r w:rsidR="00FA2FCB" w:rsidRPr="00026AF4">
        <w:rPr>
          <w:rFonts w:asciiTheme="minorHAnsi" w:hAnsiTheme="minorHAnsi"/>
          <w:lang w:val="en-US"/>
        </w:rPr>
        <w:t xml:space="preserve">from </w:t>
      </w:r>
      <w:proofErr w:type="spellStart"/>
      <w:r w:rsidR="00FA2FCB" w:rsidRPr="00026AF4">
        <w:rPr>
          <w:rFonts w:asciiTheme="minorHAnsi" w:hAnsiTheme="minorHAnsi"/>
          <w:lang w:val="en-US"/>
        </w:rPr>
        <w:t>Beaujon</w:t>
      </w:r>
      <w:proofErr w:type="spellEnd"/>
      <w:r w:rsidR="00FA2FCB" w:rsidRPr="00026AF4">
        <w:rPr>
          <w:rFonts w:asciiTheme="minorHAnsi" w:hAnsiTheme="minorHAnsi"/>
          <w:lang w:val="en-US"/>
        </w:rPr>
        <w:t xml:space="preserve"> and Liverpool </w:t>
      </w:r>
      <w:r w:rsidR="009A758F" w:rsidRPr="00026AF4">
        <w:rPr>
          <w:rFonts w:asciiTheme="minorHAnsi" w:hAnsiTheme="minorHAnsi"/>
          <w:lang w:val="en-US"/>
        </w:rPr>
        <w:t>Hospitals</w:t>
      </w:r>
      <w:r w:rsidR="00FA2FCB" w:rsidRPr="00026AF4">
        <w:rPr>
          <w:rFonts w:asciiTheme="minorHAnsi" w:hAnsiTheme="minorHAnsi"/>
          <w:lang w:val="en-US"/>
        </w:rPr>
        <w:t xml:space="preserve">. </w:t>
      </w:r>
    </w:p>
    <w:p w14:paraId="2C84F84D" w14:textId="77777777" w:rsidR="001459C0" w:rsidRPr="00026AF4" w:rsidRDefault="001459C0" w:rsidP="00712250">
      <w:pPr>
        <w:jc w:val="both"/>
        <w:rPr>
          <w:rFonts w:asciiTheme="minorHAnsi" w:hAnsiTheme="minorHAnsi"/>
          <w:lang w:val="en-US"/>
        </w:rPr>
      </w:pPr>
    </w:p>
    <w:p w14:paraId="04367752" w14:textId="77777777" w:rsidR="00FA2FCB" w:rsidRPr="00026AF4" w:rsidRDefault="00FA2FCB" w:rsidP="00712250">
      <w:pPr>
        <w:jc w:val="both"/>
        <w:rPr>
          <w:rFonts w:asciiTheme="minorHAnsi" w:hAnsiTheme="minorHAnsi"/>
          <w:lang w:val="en-US"/>
        </w:rPr>
      </w:pPr>
      <w:r w:rsidRPr="00026AF4">
        <w:rPr>
          <w:rFonts w:asciiTheme="minorHAnsi" w:hAnsiTheme="minorHAnsi"/>
          <w:lang w:val="en-US"/>
        </w:rPr>
        <w:t>Inclusion criteria were</w:t>
      </w:r>
      <w:r w:rsidR="00506E4E" w:rsidRPr="00026AF4">
        <w:rPr>
          <w:rFonts w:asciiTheme="minorHAnsi" w:hAnsiTheme="minorHAnsi"/>
          <w:lang w:val="en-US"/>
        </w:rPr>
        <w:t xml:space="preserve"> </w:t>
      </w:r>
      <w:r w:rsidR="00650549" w:rsidRPr="00026AF4">
        <w:rPr>
          <w:rFonts w:asciiTheme="minorHAnsi" w:hAnsiTheme="minorHAnsi"/>
          <w:lang w:val="en-US"/>
        </w:rPr>
        <w:t>the same</w:t>
      </w:r>
      <w:r w:rsidR="00506E4E" w:rsidRPr="00026AF4">
        <w:rPr>
          <w:rFonts w:asciiTheme="minorHAnsi" w:hAnsiTheme="minorHAnsi"/>
          <w:lang w:val="en-US"/>
        </w:rPr>
        <w:t xml:space="preserve"> as </w:t>
      </w:r>
      <w:r w:rsidR="004455CC" w:rsidRPr="00026AF4">
        <w:rPr>
          <w:rFonts w:asciiTheme="minorHAnsi" w:hAnsiTheme="minorHAnsi"/>
          <w:lang w:val="en-US"/>
        </w:rPr>
        <w:t xml:space="preserve">for the </w:t>
      </w:r>
      <w:r w:rsidR="00506E4E" w:rsidRPr="00026AF4">
        <w:rPr>
          <w:rFonts w:asciiTheme="minorHAnsi" w:hAnsiTheme="minorHAnsi"/>
          <w:lang w:val="en-US"/>
        </w:rPr>
        <w:t>SRP group but without any causes of pancreatitis after comprehensive workup including genetic testing</w:t>
      </w:r>
      <w:r w:rsidR="00A87222" w:rsidRPr="00026AF4">
        <w:rPr>
          <w:rFonts w:asciiTheme="minorHAnsi" w:hAnsiTheme="minorHAnsi"/>
          <w:lang w:val="en-US"/>
        </w:rPr>
        <w:t xml:space="preserve"> for the </w:t>
      </w:r>
      <w:r w:rsidR="00A87222" w:rsidRPr="00026AF4">
        <w:rPr>
          <w:rFonts w:asciiTheme="minorHAnsi" w:hAnsiTheme="minorHAnsi"/>
          <w:i/>
          <w:lang w:val="en-US"/>
        </w:rPr>
        <w:t>PRSS1, SPINK1, CFTR and CTRC</w:t>
      </w:r>
      <w:r w:rsidR="00A87222" w:rsidRPr="00026AF4">
        <w:rPr>
          <w:rFonts w:asciiTheme="minorHAnsi" w:hAnsiTheme="minorHAnsi"/>
          <w:lang w:val="en-US"/>
        </w:rPr>
        <w:t xml:space="preserve"> genes.</w:t>
      </w:r>
    </w:p>
    <w:p w14:paraId="388C33FF" w14:textId="77777777" w:rsidR="00657C66" w:rsidRPr="00026AF4" w:rsidRDefault="00657C66" w:rsidP="00712250">
      <w:pPr>
        <w:jc w:val="both"/>
        <w:rPr>
          <w:rFonts w:asciiTheme="minorHAnsi" w:hAnsiTheme="minorHAnsi"/>
          <w:lang w:val="en-US"/>
        </w:rPr>
      </w:pPr>
    </w:p>
    <w:p w14:paraId="75B381BE" w14:textId="77777777" w:rsidR="00FA2FCB" w:rsidRPr="00026AF4" w:rsidRDefault="00FA2FCB" w:rsidP="00712250">
      <w:pPr>
        <w:jc w:val="both"/>
        <w:rPr>
          <w:rFonts w:asciiTheme="minorHAnsi" w:hAnsiTheme="minorHAnsi"/>
          <w:lang w:val="en-US"/>
        </w:rPr>
      </w:pPr>
    </w:p>
    <w:p w14:paraId="02855A80" w14:textId="77777777" w:rsidR="00C30D3B" w:rsidRPr="00026AF4" w:rsidRDefault="00C30D3B" w:rsidP="00712250">
      <w:pPr>
        <w:jc w:val="both"/>
        <w:rPr>
          <w:rFonts w:asciiTheme="minorHAnsi" w:hAnsiTheme="minorHAnsi"/>
          <w:b/>
          <w:lang w:val="en-US"/>
        </w:rPr>
      </w:pPr>
      <w:r w:rsidRPr="00026AF4">
        <w:rPr>
          <w:rFonts w:asciiTheme="minorHAnsi" w:hAnsiTheme="minorHAnsi"/>
          <w:b/>
          <w:lang w:val="en-US"/>
        </w:rPr>
        <w:lastRenderedPageBreak/>
        <w:t xml:space="preserve">Data collection </w:t>
      </w:r>
    </w:p>
    <w:p w14:paraId="50ED995F" w14:textId="77777777" w:rsidR="00742FB6" w:rsidRPr="00026AF4" w:rsidRDefault="00742FB6" w:rsidP="00712250">
      <w:pPr>
        <w:jc w:val="both"/>
        <w:rPr>
          <w:rFonts w:asciiTheme="minorHAnsi" w:hAnsiTheme="minorHAnsi"/>
          <w:b/>
          <w:lang w:val="en-US"/>
        </w:rPr>
      </w:pPr>
    </w:p>
    <w:p w14:paraId="4621A62F" w14:textId="77777777" w:rsidR="00D0756B" w:rsidRPr="00026AF4" w:rsidRDefault="00C30D3B" w:rsidP="00712250">
      <w:pPr>
        <w:jc w:val="both"/>
        <w:rPr>
          <w:rFonts w:asciiTheme="minorHAnsi" w:hAnsiTheme="minorHAnsi"/>
          <w:lang w:val="en-US"/>
        </w:rPr>
      </w:pPr>
      <w:r w:rsidRPr="00026AF4">
        <w:rPr>
          <w:rFonts w:asciiTheme="minorHAnsi" w:hAnsiTheme="minorHAnsi"/>
          <w:lang w:val="en-US"/>
        </w:rPr>
        <w:t>The records of all included patients were retrospectively reviewed for data collection</w:t>
      </w:r>
      <w:r w:rsidR="009A758F" w:rsidRPr="00026AF4">
        <w:rPr>
          <w:rFonts w:asciiTheme="minorHAnsi" w:hAnsiTheme="minorHAnsi"/>
          <w:lang w:val="en-US"/>
        </w:rPr>
        <w:t xml:space="preserve">. </w:t>
      </w:r>
      <w:r w:rsidRPr="00026AF4">
        <w:rPr>
          <w:rFonts w:asciiTheme="minorHAnsi" w:hAnsiTheme="minorHAnsi"/>
          <w:lang w:val="en-US"/>
        </w:rPr>
        <w:t xml:space="preserve">The following data were collected: </w:t>
      </w:r>
    </w:p>
    <w:p w14:paraId="13F12D4C" w14:textId="77777777" w:rsidR="009A758F" w:rsidRPr="00026AF4" w:rsidRDefault="00D0756B" w:rsidP="00712250">
      <w:pPr>
        <w:jc w:val="both"/>
        <w:rPr>
          <w:rFonts w:asciiTheme="minorHAnsi" w:hAnsiTheme="minorHAnsi"/>
          <w:lang w:val="en-US"/>
        </w:rPr>
      </w:pPr>
      <w:r w:rsidRPr="00026AF4">
        <w:rPr>
          <w:rFonts w:asciiTheme="minorHAnsi" w:hAnsiTheme="minorHAnsi"/>
          <w:lang w:val="en-US"/>
        </w:rPr>
        <w:t xml:space="preserve">- </w:t>
      </w:r>
      <w:r w:rsidR="009A758F" w:rsidRPr="00026AF4">
        <w:rPr>
          <w:rFonts w:asciiTheme="minorHAnsi" w:hAnsiTheme="minorHAnsi"/>
          <w:lang w:val="en-US"/>
        </w:rPr>
        <w:t>G</w:t>
      </w:r>
      <w:r w:rsidR="00C30D3B" w:rsidRPr="00026AF4">
        <w:rPr>
          <w:rFonts w:asciiTheme="minorHAnsi" w:hAnsiTheme="minorHAnsi"/>
          <w:lang w:val="en-US"/>
        </w:rPr>
        <w:t xml:space="preserve">eneral characteristics (age, gender, smoking status and number of </w:t>
      </w:r>
      <w:r w:rsidR="00FA2FCB" w:rsidRPr="00026AF4">
        <w:rPr>
          <w:rFonts w:asciiTheme="minorHAnsi" w:hAnsiTheme="minorHAnsi"/>
          <w:lang w:val="en-US"/>
        </w:rPr>
        <w:t>pack-year</w:t>
      </w:r>
      <w:r w:rsidR="00BD3AE5" w:rsidRPr="00026AF4">
        <w:rPr>
          <w:rFonts w:asciiTheme="minorHAnsi" w:hAnsiTheme="minorHAnsi"/>
          <w:lang w:val="en-US"/>
        </w:rPr>
        <w:t>s</w:t>
      </w:r>
      <w:r w:rsidR="00C30D3B" w:rsidRPr="00026AF4">
        <w:rPr>
          <w:rFonts w:asciiTheme="minorHAnsi" w:hAnsiTheme="minorHAnsi"/>
          <w:lang w:val="en-US"/>
        </w:rPr>
        <w:t>, alcohol consumption as number of units of alcohol consumed pe</w:t>
      </w:r>
      <w:r w:rsidR="009A758F" w:rsidRPr="00026AF4">
        <w:rPr>
          <w:rFonts w:asciiTheme="minorHAnsi" w:hAnsiTheme="minorHAnsi"/>
          <w:lang w:val="en-US"/>
        </w:rPr>
        <w:t>r day, family history of PDAC</w:t>
      </w:r>
      <w:r w:rsidR="004455CC" w:rsidRPr="00026AF4">
        <w:rPr>
          <w:rFonts w:asciiTheme="minorHAnsi" w:hAnsiTheme="minorHAnsi"/>
          <w:lang w:val="en-US"/>
        </w:rPr>
        <w:t xml:space="preserve">, </w:t>
      </w:r>
      <w:r w:rsidR="00B16061" w:rsidRPr="00026AF4">
        <w:rPr>
          <w:rFonts w:asciiTheme="minorHAnsi" w:hAnsiTheme="minorHAnsi"/>
          <w:lang w:val="en-US"/>
        </w:rPr>
        <w:t>recurrent acute or chronic pancreatitis</w:t>
      </w:r>
      <w:r w:rsidR="00650549" w:rsidRPr="00026AF4">
        <w:rPr>
          <w:rFonts w:asciiTheme="minorHAnsi" w:hAnsiTheme="minorHAnsi"/>
          <w:lang w:val="en-US"/>
        </w:rPr>
        <w:t>)</w:t>
      </w:r>
      <w:r w:rsidR="00B16061" w:rsidRPr="00026AF4">
        <w:rPr>
          <w:rFonts w:asciiTheme="minorHAnsi" w:hAnsiTheme="minorHAnsi"/>
          <w:lang w:val="en-US"/>
        </w:rPr>
        <w:t xml:space="preserve">. </w:t>
      </w:r>
    </w:p>
    <w:p w14:paraId="26637662" w14:textId="77777777" w:rsidR="00650549" w:rsidRPr="00026AF4" w:rsidRDefault="009A758F" w:rsidP="00712250">
      <w:pPr>
        <w:jc w:val="both"/>
        <w:rPr>
          <w:rFonts w:asciiTheme="minorHAnsi" w:hAnsiTheme="minorHAnsi"/>
          <w:lang w:val="en-US"/>
        </w:rPr>
      </w:pPr>
      <w:r w:rsidRPr="00026AF4">
        <w:rPr>
          <w:rFonts w:asciiTheme="minorHAnsi" w:hAnsiTheme="minorHAnsi"/>
          <w:lang w:val="en-US"/>
        </w:rPr>
        <w:t>- G</w:t>
      </w:r>
      <w:r w:rsidR="00C30D3B" w:rsidRPr="00026AF4">
        <w:rPr>
          <w:rFonts w:asciiTheme="minorHAnsi" w:hAnsiTheme="minorHAnsi"/>
          <w:lang w:val="en-US"/>
        </w:rPr>
        <w:t>enetic characteristics (</w:t>
      </w:r>
      <w:r w:rsidR="00D0756B" w:rsidRPr="00026AF4">
        <w:rPr>
          <w:rFonts w:asciiTheme="minorHAnsi" w:hAnsiTheme="minorHAnsi"/>
          <w:lang w:val="en-US"/>
        </w:rPr>
        <w:t xml:space="preserve">presence and type of </w:t>
      </w:r>
      <w:r w:rsidR="00C30D3B" w:rsidRPr="00026AF4">
        <w:rPr>
          <w:rFonts w:asciiTheme="minorHAnsi" w:hAnsiTheme="minorHAnsi"/>
          <w:i/>
          <w:lang w:val="en-US"/>
        </w:rPr>
        <w:t>SPINK1</w:t>
      </w:r>
      <w:r w:rsidRPr="00026AF4">
        <w:rPr>
          <w:rFonts w:asciiTheme="minorHAnsi" w:hAnsiTheme="minorHAnsi"/>
          <w:i/>
          <w:lang w:val="en-US"/>
        </w:rPr>
        <w:t>,</w:t>
      </w:r>
      <w:r w:rsidR="00C30D3B" w:rsidRPr="00026AF4">
        <w:rPr>
          <w:rFonts w:asciiTheme="minorHAnsi" w:hAnsiTheme="minorHAnsi"/>
          <w:lang w:val="en-US"/>
        </w:rPr>
        <w:t xml:space="preserve"> </w:t>
      </w:r>
      <w:r w:rsidR="00D0756B" w:rsidRPr="00026AF4">
        <w:rPr>
          <w:rFonts w:asciiTheme="minorHAnsi" w:hAnsiTheme="minorHAnsi"/>
          <w:i/>
          <w:lang w:val="en-US"/>
        </w:rPr>
        <w:t>PRSS1</w:t>
      </w:r>
      <w:r w:rsidR="00D0756B" w:rsidRPr="00026AF4">
        <w:rPr>
          <w:rFonts w:asciiTheme="minorHAnsi" w:hAnsiTheme="minorHAnsi"/>
          <w:lang w:val="en-US"/>
        </w:rPr>
        <w:t xml:space="preserve">, </w:t>
      </w:r>
      <w:r w:rsidR="00C30D3B" w:rsidRPr="00026AF4">
        <w:rPr>
          <w:rFonts w:asciiTheme="minorHAnsi" w:hAnsiTheme="minorHAnsi"/>
          <w:i/>
          <w:lang w:val="en-US"/>
        </w:rPr>
        <w:t>CFTR</w:t>
      </w:r>
      <w:r w:rsidR="00650549" w:rsidRPr="00026AF4">
        <w:rPr>
          <w:rFonts w:asciiTheme="minorHAnsi" w:hAnsiTheme="minorHAnsi"/>
          <w:lang w:val="en-US"/>
        </w:rPr>
        <w:t xml:space="preserve"> or</w:t>
      </w:r>
      <w:r w:rsidR="00C30D3B" w:rsidRPr="00026AF4">
        <w:rPr>
          <w:rFonts w:asciiTheme="minorHAnsi" w:hAnsiTheme="minorHAnsi"/>
          <w:lang w:val="en-US"/>
        </w:rPr>
        <w:t xml:space="preserve"> </w:t>
      </w:r>
      <w:r w:rsidR="00C30D3B" w:rsidRPr="00026AF4">
        <w:rPr>
          <w:rFonts w:asciiTheme="minorHAnsi" w:hAnsiTheme="minorHAnsi"/>
          <w:i/>
          <w:lang w:val="en-US"/>
        </w:rPr>
        <w:t>CTRC</w:t>
      </w:r>
      <w:r w:rsidR="00D0756B" w:rsidRPr="00026AF4">
        <w:rPr>
          <w:rFonts w:asciiTheme="minorHAnsi" w:hAnsiTheme="minorHAnsi"/>
          <w:lang w:val="en-US"/>
        </w:rPr>
        <w:t xml:space="preserve"> mutations</w:t>
      </w:r>
      <w:r w:rsidR="00C30D3B" w:rsidRPr="00026AF4">
        <w:rPr>
          <w:rFonts w:asciiTheme="minorHAnsi" w:hAnsiTheme="minorHAnsi"/>
          <w:lang w:val="en-US"/>
        </w:rPr>
        <w:t>)</w:t>
      </w:r>
      <w:r w:rsidR="00650549" w:rsidRPr="00026AF4">
        <w:rPr>
          <w:rFonts w:asciiTheme="minorHAnsi" w:hAnsiTheme="minorHAnsi"/>
          <w:lang w:val="en-US"/>
        </w:rPr>
        <w:t>.</w:t>
      </w:r>
    </w:p>
    <w:p w14:paraId="50C142CD" w14:textId="77777777" w:rsidR="00D0756B" w:rsidRPr="00026AF4" w:rsidRDefault="009A758F" w:rsidP="00712250">
      <w:pPr>
        <w:jc w:val="both"/>
        <w:rPr>
          <w:rFonts w:asciiTheme="minorHAnsi" w:hAnsiTheme="minorHAnsi"/>
          <w:lang w:val="en-US"/>
        </w:rPr>
      </w:pPr>
      <w:r w:rsidRPr="00026AF4">
        <w:rPr>
          <w:rFonts w:asciiTheme="minorHAnsi" w:hAnsiTheme="minorHAnsi"/>
          <w:lang w:val="en-US"/>
        </w:rPr>
        <w:t>- C</w:t>
      </w:r>
      <w:r w:rsidR="00D0756B" w:rsidRPr="00026AF4">
        <w:rPr>
          <w:rFonts w:asciiTheme="minorHAnsi" w:hAnsiTheme="minorHAnsi"/>
          <w:lang w:val="en-US"/>
        </w:rPr>
        <w:t>linical characteristics:</w:t>
      </w:r>
      <w:r w:rsidR="00C30D3B" w:rsidRPr="00026AF4">
        <w:rPr>
          <w:rFonts w:asciiTheme="minorHAnsi" w:hAnsiTheme="minorHAnsi"/>
          <w:lang w:val="en-US"/>
        </w:rPr>
        <w:t xml:space="preserve"> date of first clinical manifestation</w:t>
      </w:r>
      <w:r w:rsidR="00BD3AE5" w:rsidRPr="00026AF4">
        <w:rPr>
          <w:rFonts w:asciiTheme="minorHAnsi" w:hAnsiTheme="minorHAnsi"/>
          <w:lang w:val="en-US"/>
        </w:rPr>
        <w:t xml:space="preserve"> (i.e. acute pancreatitis, pancreatic pain, exocrine or endocrine pancreatic insufficiency, cholestasis or PDAC)</w:t>
      </w:r>
      <w:r w:rsidR="00661C08" w:rsidRPr="00026AF4">
        <w:rPr>
          <w:rFonts w:asciiTheme="minorHAnsi" w:hAnsiTheme="minorHAnsi"/>
          <w:lang w:val="en-US"/>
        </w:rPr>
        <w:t>;</w:t>
      </w:r>
      <w:r w:rsidR="00B16061" w:rsidRPr="00026AF4">
        <w:rPr>
          <w:rFonts w:asciiTheme="minorHAnsi" w:hAnsiTheme="minorHAnsi"/>
          <w:lang w:val="en-US"/>
        </w:rPr>
        <w:t xml:space="preserve"> </w:t>
      </w:r>
      <w:r w:rsidR="00BD3AE5" w:rsidRPr="00026AF4">
        <w:rPr>
          <w:rFonts w:asciiTheme="minorHAnsi" w:hAnsiTheme="minorHAnsi"/>
          <w:lang w:val="en-US"/>
        </w:rPr>
        <w:t xml:space="preserve">date of detection of </w:t>
      </w:r>
      <w:r w:rsidR="00B16061" w:rsidRPr="00026AF4">
        <w:rPr>
          <w:rFonts w:asciiTheme="minorHAnsi" w:hAnsiTheme="minorHAnsi"/>
          <w:lang w:val="en-US"/>
        </w:rPr>
        <w:t>imaging abnormalities</w:t>
      </w:r>
      <w:r w:rsidR="00661C08" w:rsidRPr="00026AF4">
        <w:rPr>
          <w:rFonts w:asciiTheme="minorHAnsi" w:hAnsiTheme="minorHAnsi"/>
          <w:lang w:val="en-US"/>
        </w:rPr>
        <w:t xml:space="preserve"> including </w:t>
      </w:r>
      <w:r w:rsidR="00BD3AE5" w:rsidRPr="00026AF4">
        <w:rPr>
          <w:rFonts w:asciiTheme="minorHAnsi" w:hAnsiTheme="minorHAnsi"/>
          <w:lang w:val="en-US"/>
        </w:rPr>
        <w:t xml:space="preserve">parenchymal </w:t>
      </w:r>
      <w:r w:rsidR="00661C08" w:rsidRPr="00026AF4">
        <w:rPr>
          <w:rFonts w:asciiTheme="minorHAnsi" w:hAnsiTheme="minorHAnsi"/>
          <w:lang w:val="en-US"/>
        </w:rPr>
        <w:t xml:space="preserve">or ductal calcifications, other ductal abnormalities, mass lesions, </w:t>
      </w:r>
      <w:proofErr w:type="spellStart"/>
      <w:r w:rsidR="00661C08" w:rsidRPr="00026AF4">
        <w:rPr>
          <w:rFonts w:asciiTheme="minorHAnsi" w:hAnsiTheme="minorHAnsi"/>
          <w:lang w:val="en-US"/>
        </w:rPr>
        <w:t>pseudocysts</w:t>
      </w:r>
      <w:proofErr w:type="spellEnd"/>
      <w:r w:rsidR="00661C08" w:rsidRPr="00026AF4">
        <w:rPr>
          <w:rFonts w:asciiTheme="minorHAnsi" w:hAnsiTheme="minorHAnsi"/>
          <w:lang w:val="en-US"/>
        </w:rPr>
        <w:t xml:space="preserve">, </w:t>
      </w:r>
      <w:proofErr w:type="spellStart"/>
      <w:r w:rsidR="00661C08" w:rsidRPr="00026AF4">
        <w:rPr>
          <w:rFonts w:asciiTheme="minorHAnsi" w:hAnsiTheme="minorHAnsi"/>
          <w:lang w:val="en-US"/>
        </w:rPr>
        <w:t>porto</w:t>
      </w:r>
      <w:proofErr w:type="spellEnd"/>
      <w:r w:rsidR="00661C08" w:rsidRPr="00026AF4">
        <w:rPr>
          <w:rFonts w:asciiTheme="minorHAnsi" w:hAnsiTheme="minorHAnsi"/>
          <w:lang w:val="en-US"/>
        </w:rPr>
        <w:t>-venous thrombosis;</w:t>
      </w:r>
      <w:r w:rsidR="00B16061" w:rsidRPr="00026AF4">
        <w:rPr>
          <w:rFonts w:asciiTheme="minorHAnsi" w:hAnsiTheme="minorHAnsi"/>
          <w:lang w:val="en-US"/>
        </w:rPr>
        <w:t xml:space="preserve"> </w:t>
      </w:r>
      <w:r w:rsidR="00661C08" w:rsidRPr="00026AF4">
        <w:rPr>
          <w:rFonts w:asciiTheme="minorHAnsi" w:hAnsiTheme="minorHAnsi"/>
          <w:lang w:val="en-US"/>
        </w:rPr>
        <w:t>date</w:t>
      </w:r>
      <w:r w:rsidR="00C72EF5" w:rsidRPr="00026AF4">
        <w:rPr>
          <w:rFonts w:asciiTheme="minorHAnsi" w:hAnsiTheme="minorHAnsi"/>
          <w:lang w:val="en-US"/>
        </w:rPr>
        <w:t xml:space="preserve"> of SRP</w:t>
      </w:r>
      <w:r w:rsidR="00C30D3B" w:rsidRPr="00026AF4">
        <w:rPr>
          <w:rFonts w:asciiTheme="minorHAnsi" w:hAnsiTheme="minorHAnsi"/>
          <w:lang w:val="en-US"/>
        </w:rPr>
        <w:t xml:space="preserve"> diagnosis; </w:t>
      </w:r>
      <w:r w:rsidR="00661C08" w:rsidRPr="00026AF4">
        <w:rPr>
          <w:rFonts w:asciiTheme="minorHAnsi" w:hAnsiTheme="minorHAnsi"/>
          <w:lang w:val="en-US"/>
        </w:rPr>
        <w:t>date</w:t>
      </w:r>
      <w:r w:rsidR="00C30D3B" w:rsidRPr="00026AF4">
        <w:rPr>
          <w:rFonts w:asciiTheme="minorHAnsi" w:hAnsiTheme="minorHAnsi"/>
          <w:lang w:val="en-US"/>
        </w:rPr>
        <w:t xml:space="preserve"> of diabetes mellitus</w:t>
      </w:r>
      <w:r w:rsidR="00C72EF5" w:rsidRPr="00026AF4">
        <w:rPr>
          <w:rFonts w:asciiTheme="minorHAnsi" w:hAnsiTheme="minorHAnsi"/>
          <w:lang w:val="en-US"/>
        </w:rPr>
        <w:t xml:space="preserve"> (DM)</w:t>
      </w:r>
      <w:r w:rsidR="00661C08" w:rsidRPr="00026AF4">
        <w:rPr>
          <w:rFonts w:asciiTheme="minorHAnsi" w:hAnsiTheme="minorHAnsi"/>
          <w:lang w:val="en-US"/>
        </w:rPr>
        <w:t xml:space="preserve"> diagnosis and type of treatment required;</w:t>
      </w:r>
      <w:r w:rsidR="00C30D3B" w:rsidRPr="00026AF4">
        <w:rPr>
          <w:rFonts w:asciiTheme="minorHAnsi" w:hAnsiTheme="minorHAnsi"/>
          <w:lang w:val="en-US"/>
        </w:rPr>
        <w:t xml:space="preserve"> </w:t>
      </w:r>
      <w:r w:rsidR="00661C08" w:rsidRPr="00026AF4">
        <w:rPr>
          <w:rFonts w:asciiTheme="minorHAnsi" w:hAnsiTheme="minorHAnsi"/>
          <w:lang w:val="en-US"/>
        </w:rPr>
        <w:t xml:space="preserve">date of </w:t>
      </w:r>
      <w:r w:rsidR="00C30D3B" w:rsidRPr="00026AF4">
        <w:rPr>
          <w:rFonts w:asciiTheme="minorHAnsi" w:hAnsiTheme="minorHAnsi"/>
          <w:lang w:val="en-US"/>
        </w:rPr>
        <w:t>exocrine insufficiency</w:t>
      </w:r>
      <w:r w:rsidR="00661C08" w:rsidRPr="00026AF4">
        <w:rPr>
          <w:rFonts w:asciiTheme="minorHAnsi" w:hAnsiTheme="minorHAnsi"/>
          <w:lang w:val="en-US"/>
        </w:rPr>
        <w:t xml:space="preserve"> diagnosis;</w:t>
      </w:r>
      <w:r w:rsidR="00C30D3B" w:rsidRPr="00026AF4">
        <w:rPr>
          <w:rFonts w:asciiTheme="minorHAnsi" w:hAnsiTheme="minorHAnsi"/>
          <w:lang w:val="en-US"/>
        </w:rPr>
        <w:t xml:space="preserve"> date and cause of death</w:t>
      </w:r>
      <w:r w:rsidR="00650549" w:rsidRPr="00026AF4">
        <w:rPr>
          <w:rFonts w:asciiTheme="minorHAnsi" w:hAnsiTheme="minorHAnsi"/>
          <w:lang w:val="en-US"/>
        </w:rPr>
        <w:t>.</w:t>
      </w:r>
    </w:p>
    <w:p w14:paraId="212C8AF7" w14:textId="77777777" w:rsidR="00C30D3B" w:rsidRPr="00026AF4" w:rsidRDefault="00D0756B" w:rsidP="00712250">
      <w:pPr>
        <w:jc w:val="both"/>
        <w:rPr>
          <w:rFonts w:asciiTheme="minorHAnsi" w:hAnsiTheme="minorHAnsi"/>
          <w:lang w:val="en-US"/>
        </w:rPr>
      </w:pPr>
      <w:r w:rsidRPr="00026AF4">
        <w:rPr>
          <w:rFonts w:asciiTheme="minorHAnsi" w:hAnsiTheme="minorHAnsi"/>
          <w:lang w:val="en-US"/>
        </w:rPr>
        <w:t>- E</w:t>
      </w:r>
      <w:r w:rsidR="00C30D3B" w:rsidRPr="00026AF4">
        <w:rPr>
          <w:rFonts w:asciiTheme="minorHAnsi" w:hAnsiTheme="minorHAnsi"/>
          <w:lang w:val="en-US"/>
        </w:rPr>
        <w:t xml:space="preserve">ndoscopic or surgical procedures performed </w:t>
      </w:r>
      <w:r w:rsidRPr="00026AF4">
        <w:rPr>
          <w:rFonts w:asciiTheme="minorHAnsi" w:hAnsiTheme="minorHAnsi"/>
          <w:lang w:val="en-US"/>
        </w:rPr>
        <w:t>for</w:t>
      </w:r>
      <w:r w:rsidR="00B73420" w:rsidRPr="00026AF4">
        <w:rPr>
          <w:rFonts w:asciiTheme="minorHAnsi" w:hAnsiTheme="minorHAnsi"/>
          <w:lang w:val="en-US"/>
        </w:rPr>
        <w:t xml:space="preserve"> the management of acute and chronic pancreatitis-related</w:t>
      </w:r>
      <w:r w:rsidR="00C30D3B" w:rsidRPr="00026AF4">
        <w:rPr>
          <w:rFonts w:asciiTheme="minorHAnsi" w:hAnsiTheme="minorHAnsi"/>
          <w:lang w:val="en-US"/>
        </w:rPr>
        <w:t xml:space="preserve"> complications. </w:t>
      </w:r>
    </w:p>
    <w:p w14:paraId="44DBED10" w14:textId="77777777" w:rsidR="00C30D3B" w:rsidRPr="00026AF4" w:rsidRDefault="00C30D3B" w:rsidP="00712250">
      <w:pPr>
        <w:jc w:val="both"/>
        <w:rPr>
          <w:rFonts w:asciiTheme="minorHAnsi" w:hAnsiTheme="minorHAnsi"/>
          <w:lang w:val="en-US"/>
        </w:rPr>
      </w:pPr>
    </w:p>
    <w:p w14:paraId="442255A8" w14:textId="77777777" w:rsidR="00D0756B" w:rsidRPr="00026AF4" w:rsidRDefault="00D0756B" w:rsidP="00712250">
      <w:pPr>
        <w:jc w:val="both"/>
        <w:rPr>
          <w:rFonts w:asciiTheme="minorHAnsi" w:hAnsiTheme="minorHAnsi"/>
          <w:b/>
          <w:lang w:val="en-US"/>
        </w:rPr>
      </w:pPr>
      <w:r w:rsidRPr="00026AF4">
        <w:rPr>
          <w:rFonts w:asciiTheme="minorHAnsi" w:hAnsiTheme="minorHAnsi"/>
          <w:b/>
          <w:lang w:val="en-US"/>
        </w:rPr>
        <w:t>Definitions</w:t>
      </w:r>
      <w:r w:rsidR="00F454DC" w:rsidRPr="00026AF4">
        <w:rPr>
          <w:rFonts w:asciiTheme="minorHAnsi" w:hAnsiTheme="minorHAnsi"/>
          <w:b/>
          <w:lang w:val="en-US"/>
        </w:rPr>
        <w:t xml:space="preserve"> </w:t>
      </w:r>
    </w:p>
    <w:p w14:paraId="743CD583" w14:textId="77777777" w:rsidR="00D0756B" w:rsidRPr="00026AF4" w:rsidRDefault="00D0756B" w:rsidP="00712250">
      <w:pPr>
        <w:jc w:val="both"/>
        <w:rPr>
          <w:rFonts w:asciiTheme="minorHAnsi" w:hAnsiTheme="minorHAnsi"/>
          <w:lang w:val="en-US"/>
        </w:rPr>
      </w:pPr>
    </w:p>
    <w:p w14:paraId="5CD7E75E" w14:textId="77777777" w:rsidR="00D10856" w:rsidRPr="00026AF4" w:rsidRDefault="00D10856" w:rsidP="00712250">
      <w:pPr>
        <w:jc w:val="both"/>
        <w:rPr>
          <w:rFonts w:asciiTheme="minorHAnsi" w:hAnsiTheme="minorHAnsi"/>
          <w:lang w:val="en-US"/>
        </w:rPr>
      </w:pPr>
      <w:r w:rsidRPr="00026AF4">
        <w:rPr>
          <w:rFonts w:asciiTheme="minorHAnsi" w:hAnsiTheme="minorHAnsi"/>
          <w:lang w:val="en-US"/>
        </w:rPr>
        <w:t xml:space="preserve">The diagnosis of </w:t>
      </w:r>
      <w:r w:rsidR="00C72EF5" w:rsidRPr="00026AF4">
        <w:rPr>
          <w:rFonts w:asciiTheme="minorHAnsi" w:hAnsiTheme="minorHAnsi"/>
          <w:lang w:val="en-US"/>
        </w:rPr>
        <w:t>CP</w:t>
      </w:r>
      <w:r w:rsidRPr="00026AF4">
        <w:rPr>
          <w:rFonts w:asciiTheme="minorHAnsi" w:hAnsiTheme="minorHAnsi"/>
          <w:lang w:val="en-US"/>
        </w:rPr>
        <w:t xml:space="preserve"> was based on the presence of</w:t>
      </w:r>
      <w:r w:rsidR="00220604" w:rsidRPr="00026AF4">
        <w:rPr>
          <w:rFonts w:asciiTheme="minorHAnsi" w:hAnsiTheme="minorHAnsi"/>
          <w:lang w:val="en-US"/>
        </w:rPr>
        <w:t>,</w:t>
      </w:r>
      <w:r w:rsidRPr="00026AF4">
        <w:rPr>
          <w:rFonts w:asciiTheme="minorHAnsi" w:hAnsiTheme="minorHAnsi"/>
          <w:lang w:val="en-US"/>
        </w:rPr>
        <w:t xml:space="preserve"> </w:t>
      </w:r>
      <w:r w:rsidR="00220604" w:rsidRPr="00026AF4">
        <w:rPr>
          <w:rFonts w:asciiTheme="minorHAnsi" w:hAnsiTheme="minorHAnsi"/>
          <w:lang w:val="en-US"/>
        </w:rPr>
        <w:t xml:space="preserve">at least, </w:t>
      </w:r>
      <w:r w:rsidRPr="00026AF4">
        <w:rPr>
          <w:rFonts w:asciiTheme="minorHAnsi" w:hAnsiTheme="minorHAnsi"/>
          <w:lang w:val="en-US"/>
        </w:rPr>
        <w:t xml:space="preserve">one of the following: pancreatic calcifications </w:t>
      </w:r>
      <w:r w:rsidR="00220604" w:rsidRPr="00026AF4">
        <w:rPr>
          <w:rFonts w:asciiTheme="minorHAnsi" w:hAnsiTheme="minorHAnsi"/>
          <w:lang w:val="en-US"/>
        </w:rPr>
        <w:t>diagnosed b</w:t>
      </w:r>
      <w:r w:rsidR="00D90609" w:rsidRPr="00026AF4">
        <w:rPr>
          <w:rFonts w:asciiTheme="minorHAnsi" w:hAnsiTheme="minorHAnsi"/>
          <w:lang w:val="en-US"/>
        </w:rPr>
        <w:t xml:space="preserve">y </w:t>
      </w:r>
      <w:r w:rsidR="00AC28F9" w:rsidRPr="00026AF4">
        <w:rPr>
          <w:rFonts w:asciiTheme="minorHAnsi" w:hAnsiTheme="minorHAnsi"/>
          <w:lang w:val="en-US"/>
        </w:rPr>
        <w:t>CT</w:t>
      </w:r>
      <w:r w:rsidR="00D90609" w:rsidRPr="00026AF4">
        <w:rPr>
          <w:rFonts w:asciiTheme="minorHAnsi" w:hAnsiTheme="minorHAnsi"/>
          <w:lang w:val="en-US"/>
        </w:rPr>
        <w:t xml:space="preserve"> scan or endoscopic ultrasonography (EUS), moderate to marked pancreatic ductal </w:t>
      </w:r>
      <w:r w:rsidR="00AC28F9" w:rsidRPr="00026AF4">
        <w:rPr>
          <w:rFonts w:asciiTheme="minorHAnsi" w:hAnsiTheme="minorHAnsi"/>
          <w:lang w:val="en-US"/>
        </w:rPr>
        <w:t>abnormalities</w:t>
      </w:r>
      <w:r w:rsidR="00D90609" w:rsidRPr="00026AF4">
        <w:rPr>
          <w:rFonts w:asciiTheme="minorHAnsi" w:hAnsiTheme="minorHAnsi"/>
          <w:lang w:val="en-US"/>
        </w:rPr>
        <w:t xml:space="preserve"> on </w:t>
      </w:r>
      <w:r w:rsidR="002508F4" w:rsidRPr="00026AF4">
        <w:rPr>
          <w:rFonts w:asciiTheme="minorHAnsi" w:hAnsiTheme="minorHAnsi"/>
          <w:lang w:val="en-US"/>
        </w:rPr>
        <w:t>gadolinium-</w:t>
      </w:r>
      <w:r w:rsidR="00220604" w:rsidRPr="00026AF4">
        <w:rPr>
          <w:rFonts w:asciiTheme="minorHAnsi" w:hAnsiTheme="minorHAnsi"/>
          <w:lang w:val="en-US"/>
        </w:rPr>
        <w:t>enhanced MRI</w:t>
      </w:r>
      <w:r w:rsidR="002508F4" w:rsidRPr="00026AF4">
        <w:rPr>
          <w:rFonts w:asciiTheme="minorHAnsi" w:hAnsiTheme="minorHAnsi"/>
          <w:lang w:val="en-US"/>
        </w:rPr>
        <w:t xml:space="preserve"> with magnetic resonance </w:t>
      </w:r>
      <w:proofErr w:type="spellStart"/>
      <w:r w:rsidR="002508F4" w:rsidRPr="00026AF4">
        <w:rPr>
          <w:rFonts w:asciiTheme="minorHAnsi" w:hAnsiTheme="minorHAnsi"/>
          <w:lang w:val="en-US"/>
        </w:rPr>
        <w:t>cholangiopancreatography</w:t>
      </w:r>
      <w:proofErr w:type="spellEnd"/>
      <w:r w:rsidR="002508F4" w:rsidRPr="00026AF4">
        <w:rPr>
          <w:rFonts w:asciiTheme="minorHAnsi" w:hAnsiTheme="minorHAnsi"/>
          <w:lang w:val="en-US"/>
        </w:rPr>
        <w:t xml:space="preserve"> </w:t>
      </w:r>
      <w:r w:rsidR="00D90609" w:rsidRPr="00026AF4">
        <w:rPr>
          <w:rFonts w:asciiTheme="minorHAnsi" w:hAnsiTheme="minorHAnsi"/>
          <w:lang w:val="en-US"/>
        </w:rPr>
        <w:t>o</w:t>
      </w:r>
      <w:r w:rsidR="00D502F7" w:rsidRPr="00026AF4">
        <w:rPr>
          <w:rFonts w:asciiTheme="minorHAnsi" w:hAnsiTheme="minorHAnsi"/>
          <w:lang w:val="en-US"/>
        </w:rPr>
        <w:t xml:space="preserve">r </w:t>
      </w:r>
      <w:r w:rsidR="00D90609" w:rsidRPr="00026AF4">
        <w:rPr>
          <w:rFonts w:asciiTheme="minorHAnsi" w:hAnsiTheme="minorHAnsi"/>
          <w:lang w:val="en-US"/>
        </w:rPr>
        <w:t>EUS</w:t>
      </w:r>
      <w:r w:rsidR="00F8370F" w:rsidRPr="00026AF4">
        <w:rPr>
          <w:rFonts w:asciiTheme="minorHAnsi" w:hAnsiTheme="minorHAnsi"/>
          <w:lang w:val="en-US"/>
        </w:rPr>
        <w:t xml:space="preserve"> </w:t>
      </w:r>
      <w:r w:rsidR="00D502F7" w:rsidRPr="00026AF4">
        <w:rPr>
          <w:rFonts w:asciiTheme="minorHAnsi" w:hAnsiTheme="minorHAnsi"/>
          <w:lang w:val="en-US"/>
        </w:rPr>
        <w:t xml:space="preserve">or presence of </w:t>
      </w:r>
      <w:r w:rsidR="00D90609" w:rsidRPr="00026AF4">
        <w:rPr>
          <w:rFonts w:asciiTheme="minorHAnsi" w:hAnsiTheme="minorHAnsi"/>
          <w:lang w:val="en-US"/>
        </w:rPr>
        <w:t xml:space="preserve">exocrine pancreatic </w:t>
      </w:r>
      <w:r w:rsidR="00557620" w:rsidRPr="00026AF4">
        <w:rPr>
          <w:rFonts w:asciiTheme="minorHAnsi" w:hAnsiTheme="minorHAnsi"/>
          <w:lang w:val="en-US"/>
        </w:rPr>
        <w:t>insufficiency.</w:t>
      </w:r>
      <w:r w:rsidR="00C30D3B" w:rsidRPr="00026AF4">
        <w:rPr>
          <w:rFonts w:asciiTheme="minorHAnsi" w:hAnsiTheme="minorHAnsi"/>
          <w:lang w:val="en-US"/>
        </w:rPr>
        <w:t xml:space="preserve">  </w:t>
      </w:r>
      <w:r w:rsidR="00D0756B" w:rsidRPr="00026AF4">
        <w:rPr>
          <w:rFonts w:asciiTheme="minorHAnsi" w:hAnsiTheme="minorHAnsi"/>
          <w:lang w:val="en-US"/>
        </w:rPr>
        <w:t xml:space="preserve">Isolated </w:t>
      </w:r>
      <w:r w:rsidR="00C30D3B" w:rsidRPr="00026AF4">
        <w:rPr>
          <w:rFonts w:asciiTheme="minorHAnsi" w:hAnsiTheme="minorHAnsi"/>
          <w:lang w:val="en-US"/>
        </w:rPr>
        <w:t xml:space="preserve">mild CP stigmata on </w:t>
      </w:r>
      <w:r w:rsidR="00557620" w:rsidRPr="00026AF4">
        <w:rPr>
          <w:rFonts w:asciiTheme="minorHAnsi" w:hAnsiTheme="minorHAnsi"/>
          <w:lang w:val="en-US"/>
        </w:rPr>
        <w:t xml:space="preserve">EUS (heterogeneity of the pancreatic parenchyma, </w:t>
      </w:r>
      <w:proofErr w:type="spellStart"/>
      <w:r w:rsidR="00557620" w:rsidRPr="00026AF4">
        <w:rPr>
          <w:rFonts w:asciiTheme="minorHAnsi" w:hAnsiTheme="minorHAnsi"/>
          <w:lang w:val="en-US"/>
        </w:rPr>
        <w:t>hyperechoic</w:t>
      </w:r>
      <w:proofErr w:type="spellEnd"/>
      <w:r w:rsidR="00557620" w:rsidRPr="00026AF4">
        <w:rPr>
          <w:rFonts w:asciiTheme="minorHAnsi" w:hAnsiTheme="minorHAnsi"/>
          <w:lang w:val="en-US"/>
        </w:rPr>
        <w:t xml:space="preserve"> foci without shadowing)</w:t>
      </w:r>
      <w:r w:rsidR="00C30D3B" w:rsidRPr="00026AF4">
        <w:rPr>
          <w:rFonts w:asciiTheme="minorHAnsi" w:hAnsiTheme="minorHAnsi"/>
          <w:lang w:val="en-US"/>
        </w:rPr>
        <w:t xml:space="preserve"> were </w:t>
      </w:r>
      <w:r w:rsidR="00D0756B" w:rsidRPr="00026AF4">
        <w:rPr>
          <w:rFonts w:asciiTheme="minorHAnsi" w:hAnsiTheme="minorHAnsi"/>
          <w:lang w:val="en-US"/>
        </w:rPr>
        <w:t xml:space="preserve">also </w:t>
      </w:r>
      <w:r w:rsidR="00C30D3B" w:rsidRPr="00026AF4">
        <w:rPr>
          <w:rFonts w:asciiTheme="minorHAnsi" w:hAnsiTheme="minorHAnsi"/>
          <w:lang w:val="en-US"/>
        </w:rPr>
        <w:t>considered as CP</w:t>
      </w:r>
      <w:r w:rsidR="00557620" w:rsidRPr="00026AF4">
        <w:rPr>
          <w:rFonts w:asciiTheme="minorHAnsi" w:hAnsiTheme="minorHAnsi"/>
          <w:lang w:val="en-US"/>
        </w:rPr>
        <w:t xml:space="preserve">. </w:t>
      </w:r>
    </w:p>
    <w:p w14:paraId="61D3E6D3" w14:textId="77777777" w:rsidR="002508F4" w:rsidRPr="00026AF4" w:rsidRDefault="00557620" w:rsidP="00712250">
      <w:pPr>
        <w:jc w:val="both"/>
        <w:rPr>
          <w:rFonts w:asciiTheme="minorHAnsi" w:hAnsiTheme="minorHAnsi"/>
          <w:lang w:val="en-US"/>
        </w:rPr>
      </w:pPr>
      <w:r w:rsidRPr="00026AF4">
        <w:rPr>
          <w:rFonts w:asciiTheme="minorHAnsi" w:hAnsiTheme="minorHAnsi"/>
          <w:lang w:val="en-US"/>
        </w:rPr>
        <w:t xml:space="preserve">Acute pancreatitis was defined by acute abdominal pain with increased serum pancreatic enzyme levels over three times the upper limit of normal values. </w:t>
      </w:r>
    </w:p>
    <w:p w14:paraId="194B1927" w14:textId="77777777" w:rsidR="00557620" w:rsidRPr="00026AF4" w:rsidRDefault="00557620" w:rsidP="00712250">
      <w:pPr>
        <w:jc w:val="both"/>
        <w:rPr>
          <w:rFonts w:asciiTheme="minorHAnsi" w:hAnsiTheme="minorHAnsi"/>
          <w:lang w:val="en-US"/>
        </w:rPr>
      </w:pPr>
      <w:r w:rsidRPr="00026AF4">
        <w:rPr>
          <w:rFonts w:asciiTheme="minorHAnsi" w:hAnsiTheme="minorHAnsi"/>
          <w:lang w:val="en-US"/>
        </w:rPr>
        <w:t xml:space="preserve">Pancreatic pain was defined </w:t>
      </w:r>
      <w:r w:rsidR="00C30D3B" w:rsidRPr="00026AF4">
        <w:rPr>
          <w:rFonts w:asciiTheme="minorHAnsi" w:hAnsiTheme="minorHAnsi"/>
          <w:lang w:val="en-US"/>
        </w:rPr>
        <w:t>as</w:t>
      </w:r>
      <w:r w:rsidRPr="00026AF4">
        <w:rPr>
          <w:rFonts w:asciiTheme="minorHAnsi" w:hAnsiTheme="minorHAnsi"/>
          <w:lang w:val="en-US"/>
        </w:rPr>
        <w:t xml:space="preserve"> typical pancreatic pain without elevation of serum pancreatic enzyme or typical pancreatitis lesion at imaging procedure. It was described </w:t>
      </w:r>
      <w:r w:rsidR="002508F4" w:rsidRPr="00026AF4">
        <w:rPr>
          <w:rFonts w:asciiTheme="minorHAnsi" w:hAnsiTheme="minorHAnsi"/>
          <w:lang w:val="en-US"/>
        </w:rPr>
        <w:t xml:space="preserve">either </w:t>
      </w:r>
      <w:r w:rsidRPr="00026AF4">
        <w:rPr>
          <w:rFonts w:asciiTheme="minorHAnsi" w:hAnsiTheme="minorHAnsi"/>
          <w:lang w:val="en-US"/>
        </w:rPr>
        <w:t>as continuous (with no</w:t>
      </w:r>
      <w:r w:rsidR="002508F4" w:rsidRPr="00026AF4">
        <w:rPr>
          <w:rFonts w:asciiTheme="minorHAnsi" w:hAnsiTheme="minorHAnsi"/>
          <w:lang w:val="en-US"/>
        </w:rPr>
        <w:t xml:space="preserve"> pain-free</w:t>
      </w:r>
      <w:r w:rsidRPr="00026AF4">
        <w:rPr>
          <w:rFonts w:asciiTheme="minorHAnsi" w:hAnsiTheme="minorHAnsi"/>
          <w:lang w:val="en-US"/>
        </w:rPr>
        <w:t xml:space="preserve"> interval</w:t>
      </w:r>
      <w:r w:rsidR="00650549" w:rsidRPr="00026AF4">
        <w:rPr>
          <w:rFonts w:asciiTheme="minorHAnsi" w:hAnsiTheme="minorHAnsi"/>
          <w:lang w:val="en-US"/>
        </w:rPr>
        <w:t>s</w:t>
      </w:r>
      <w:r w:rsidRPr="00026AF4">
        <w:rPr>
          <w:rFonts w:asciiTheme="minorHAnsi" w:hAnsiTheme="minorHAnsi"/>
          <w:lang w:val="en-US"/>
        </w:rPr>
        <w:t xml:space="preserve">) or episodic. </w:t>
      </w:r>
    </w:p>
    <w:p w14:paraId="7110A13E" w14:textId="77777777" w:rsidR="00557620" w:rsidRPr="00026AF4" w:rsidRDefault="00557620" w:rsidP="00712250">
      <w:pPr>
        <w:jc w:val="both"/>
        <w:rPr>
          <w:rFonts w:asciiTheme="minorHAnsi" w:hAnsiTheme="minorHAnsi"/>
          <w:lang w:val="en-US"/>
        </w:rPr>
      </w:pPr>
      <w:r w:rsidRPr="00026AF4">
        <w:rPr>
          <w:rFonts w:asciiTheme="minorHAnsi" w:hAnsiTheme="minorHAnsi"/>
          <w:lang w:val="en-US"/>
        </w:rPr>
        <w:t>Exocrine pancreatic insufficiency</w:t>
      </w:r>
      <w:r w:rsidR="00030817" w:rsidRPr="00026AF4">
        <w:rPr>
          <w:rFonts w:asciiTheme="minorHAnsi" w:hAnsiTheme="minorHAnsi"/>
          <w:lang w:val="en-US"/>
        </w:rPr>
        <w:t xml:space="preserve"> </w:t>
      </w:r>
      <w:r w:rsidR="00BE52CA" w:rsidRPr="00026AF4">
        <w:rPr>
          <w:rFonts w:asciiTheme="minorHAnsi" w:hAnsiTheme="minorHAnsi"/>
          <w:lang w:val="en-US"/>
        </w:rPr>
        <w:t xml:space="preserve">(EPI) </w:t>
      </w:r>
      <w:r w:rsidR="00030817" w:rsidRPr="00026AF4">
        <w:rPr>
          <w:rFonts w:asciiTheme="minorHAnsi" w:hAnsiTheme="minorHAnsi"/>
          <w:lang w:val="en-US"/>
        </w:rPr>
        <w:t xml:space="preserve">was diagnosed in the case of clinical </w:t>
      </w:r>
      <w:proofErr w:type="spellStart"/>
      <w:r w:rsidR="00B403F2" w:rsidRPr="00026AF4">
        <w:rPr>
          <w:rFonts w:asciiTheme="minorHAnsi" w:hAnsiTheme="minorHAnsi"/>
          <w:lang w:val="en-US"/>
        </w:rPr>
        <w:t>steatorrhea</w:t>
      </w:r>
      <w:proofErr w:type="spellEnd"/>
      <w:r w:rsidR="00030817" w:rsidRPr="00026AF4">
        <w:rPr>
          <w:rFonts w:asciiTheme="minorHAnsi" w:hAnsiTheme="minorHAnsi"/>
          <w:lang w:val="en-US"/>
        </w:rPr>
        <w:t xml:space="preserve">, </w:t>
      </w:r>
      <w:proofErr w:type="spellStart"/>
      <w:r w:rsidR="00C30D3B" w:rsidRPr="00026AF4">
        <w:rPr>
          <w:rFonts w:asciiTheme="minorHAnsi" w:hAnsiTheme="minorHAnsi"/>
          <w:lang w:val="en-US"/>
        </w:rPr>
        <w:t>faecal</w:t>
      </w:r>
      <w:proofErr w:type="spellEnd"/>
      <w:r w:rsidR="00C30D3B" w:rsidRPr="00026AF4">
        <w:rPr>
          <w:rFonts w:asciiTheme="minorHAnsi" w:hAnsiTheme="minorHAnsi"/>
          <w:lang w:val="en-US"/>
        </w:rPr>
        <w:t xml:space="preserve"> elastase-</w:t>
      </w:r>
      <w:r w:rsidR="00B403F2" w:rsidRPr="00026AF4">
        <w:rPr>
          <w:rFonts w:asciiTheme="minorHAnsi" w:hAnsiTheme="minorHAnsi"/>
          <w:lang w:val="en-US"/>
        </w:rPr>
        <w:t xml:space="preserve">1 concentration lower than 100 </w:t>
      </w:r>
      <w:r w:rsidR="00B403F2" w:rsidRPr="00026AF4">
        <w:rPr>
          <w:rFonts w:asciiTheme="minorHAnsi" w:hAnsiTheme="minorHAnsi"/>
          <w:lang w:val="en-US"/>
        </w:rPr>
        <w:sym w:font="Symbol" w:char="F06D"/>
      </w:r>
      <w:r w:rsidR="00B403F2" w:rsidRPr="00026AF4">
        <w:rPr>
          <w:rFonts w:asciiTheme="minorHAnsi" w:hAnsiTheme="minorHAnsi"/>
          <w:lang w:val="en-US"/>
        </w:rPr>
        <w:t xml:space="preserve">g/g of stool or </w:t>
      </w:r>
      <w:r w:rsidR="00030817" w:rsidRPr="00026AF4">
        <w:rPr>
          <w:rFonts w:asciiTheme="minorHAnsi" w:hAnsiTheme="minorHAnsi"/>
          <w:lang w:val="en-US"/>
        </w:rPr>
        <w:t>a need for long-ter</w:t>
      </w:r>
      <w:r w:rsidR="00B403F2" w:rsidRPr="00026AF4">
        <w:rPr>
          <w:rFonts w:asciiTheme="minorHAnsi" w:hAnsiTheme="minorHAnsi"/>
          <w:lang w:val="en-US"/>
        </w:rPr>
        <w:t>m oral pancreatic</w:t>
      </w:r>
      <w:r w:rsidR="007E163C" w:rsidRPr="00026AF4">
        <w:rPr>
          <w:rFonts w:asciiTheme="minorHAnsi" w:hAnsiTheme="minorHAnsi"/>
          <w:lang w:val="en-US"/>
        </w:rPr>
        <w:t xml:space="preserve"> enzyme</w:t>
      </w:r>
      <w:r w:rsidR="00B403F2" w:rsidRPr="00026AF4">
        <w:rPr>
          <w:rFonts w:asciiTheme="minorHAnsi" w:hAnsiTheme="minorHAnsi"/>
          <w:lang w:val="en-US"/>
        </w:rPr>
        <w:t xml:space="preserve"> supplements</w:t>
      </w:r>
      <w:r w:rsidR="00030817" w:rsidRPr="00026AF4">
        <w:rPr>
          <w:rFonts w:asciiTheme="minorHAnsi" w:hAnsiTheme="minorHAnsi"/>
          <w:lang w:val="en-US"/>
        </w:rPr>
        <w:t xml:space="preserve">. </w:t>
      </w:r>
    </w:p>
    <w:p w14:paraId="2606AA95" w14:textId="77777777" w:rsidR="00030817" w:rsidRPr="00026AF4" w:rsidRDefault="00030817" w:rsidP="00712250">
      <w:pPr>
        <w:jc w:val="both"/>
        <w:rPr>
          <w:rFonts w:asciiTheme="minorHAnsi" w:hAnsiTheme="minorHAnsi"/>
          <w:lang w:val="en-US"/>
        </w:rPr>
      </w:pPr>
      <w:r w:rsidRPr="00026AF4">
        <w:rPr>
          <w:rFonts w:asciiTheme="minorHAnsi" w:hAnsiTheme="minorHAnsi"/>
          <w:lang w:val="en-US"/>
        </w:rPr>
        <w:t xml:space="preserve">Diabetes mellitus was diagnosed if </w:t>
      </w:r>
      <w:r w:rsidR="00B403F2" w:rsidRPr="00026AF4">
        <w:rPr>
          <w:rFonts w:asciiTheme="minorHAnsi" w:hAnsiTheme="minorHAnsi"/>
          <w:lang w:val="en-US"/>
        </w:rPr>
        <w:t>two</w:t>
      </w:r>
      <w:r w:rsidRPr="00026AF4">
        <w:rPr>
          <w:rFonts w:asciiTheme="minorHAnsi" w:hAnsiTheme="minorHAnsi"/>
          <w:lang w:val="en-US"/>
        </w:rPr>
        <w:t xml:space="preserve"> venous blood fasting glucose concentration</w:t>
      </w:r>
      <w:r w:rsidR="00B403F2" w:rsidRPr="00026AF4">
        <w:rPr>
          <w:rFonts w:asciiTheme="minorHAnsi" w:hAnsiTheme="minorHAnsi"/>
          <w:lang w:val="en-US"/>
        </w:rPr>
        <w:t>s were</w:t>
      </w:r>
      <w:r w:rsidRPr="00026AF4">
        <w:rPr>
          <w:rFonts w:asciiTheme="minorHAnsi" w:hAnsiTheme="minorHAnsi"/>
          <w:lang w:val="en-US"/>
        </w:rPr>
        <w:t xml:space="preserve"> </w:t>
      </w:r>
      <w:r w:rsidR="00B403F2" w:rsidRPr="00026AF4">
        <w:rPr>
          <w:rFonts w:asciiTheme="minorHAnsi" w:hAnsiTheme="minorHAnsi"/>
          <w:lang w:val="en-US"/>
        </w:rPr>
        <w:t>recorded ≥</w:t>
      </w:r>
      <w:r w:rsidRPr="00026AF4">
        <w:rPr>
          <w:rFonts w:asciiTheme="minorHAnsi" w:hAnsiTheme="minorHAnsi"/>
          <w:lang w:val="en-US"/>
        </w:rPr>
        <w:t xml:space="preserve"> 126 mg/</w:t>
      </w:r>
      <w:proofErr w:type="spellStart"/>
      <w:r w:rsidRPr="00026AF4">
        <w:rPr>
          <w:rFonts w:asciiTheme="minorHAnsi" w:hAnsiTheme="minorHAnsi"/>
          <w:lang w:val="en-US"/>
        </w:rPr>
        <w:t>d</w:t>
      </w:r>
      <w:r w:rsidR="007E163C" w:rsidRPr="00026AF4">
        <w:rPr>
          <w:rFonts w:asciiTheme="minorHAnsi" w:hAnsiTheme="minorHAnsi"/>
          <w:lang w:val="en-US"/>
        </w:rPr>
        <w:t>L</w:t>
      </w:r>
      <w:proofErr w:type="spellEnd"/>
      <w:r w:rsidRPr="00026AF4">
        <w:rPr>
          <w:rFonts w:asciiTheme="minorHAnsi" w:hAnsiTheme="minorHAnsi"/>
          <w:lang w:val="en-US"/>
        </w:rPr>
        <w:t xml:space="preserve"> (6</w:t>
      </w:r>
      <w:r w:rsidR="002921DA" w:rsidRPr="00026AF4">
        <w:rPr>
          <w:rFonts w:asciiTheme="minorHAnsi" w:hAnsiTheme="minorHAnsi"/>
          <w:lang w:val="en-US"/>
        </w:rPr>
        <w:t>.</w:t>
      </w:r>
      <w:r w:rsidRPr="00026AF4">
        <w:rPr>
          <w:rFonts w:asciiTheme="minorHAnsi" w:hAnsiTheme="minorHAnsi"/>
          <w:lang w:val="en-US"/>
        </w:rPr>
        <w:t xml:space="preserve">99 </w:t>
      </w:r>
      <w:proofErr w:type="spellStart"/>
      <w:r w:rsidRPr="00026AF4">
        <w:rPr>
          <w:rFonts w:asciiTheme="minorHAnsi" w:hAnsiTheme="minorHAnsi"/>
          <w:lang w:val="en-US"/>
        </w:rPr>
        <w:t>mmol</w:t>
      </w:r>
      <w:proofErr w:type="spellEnd"/>
      <w:r w:rsidRPr="00026AF4">
        <w:rPr>
          <w:rFonts w:asciiTheme="minorHAnsi" w:hAnsiTheme="minorHAnsi"/>
          <w:lang w:val="en-US"/>
        </w:rPr>
        <w:t>/l) or</w:t>
      </w:r>
      <w:r w:rsidR="00B403F2" w:rsidRPr="00026AF4">
        <w:rPr>
          <w:rFonts w:asciiTheme="minorHAnsi" w:hAnsiTheme="minorHAnsi"/>
          <w:lang w:val="en-US"/>
        </w:rPr>
        <w:t xml:space="preserve"> if one was recorded ≥ 11 </w:t>
      </w:r>
      <w:proofErr w:type="spellStart"/>
      <w:r w:rsidR="00B403F2" w:rsidRPr="00026AF4">
        <w:rPr>
          <w:rFonts w:asciiTheme="minorHAnsi" w:hAnsiTheme="minorHAnsi"/>
          <w:lang w:val="en-US"/>
        </w:rPr>
        <w:t>mmol</w:t>
      </w:r>
      <w:proofErr w:type="spellEnd"/>
      <w:r w:rsidR="00B403F2" w:rsidRPr="00026AF4">
        <w:rPr>
          <w:rFonts w:asciiTheme="minorHAnsi" w:hAnsiTheme="minorHAnsi"/>
          <w:lang w:val="en-US"/>
        </w:rPr>
        <w:t xml:space="preserve">/l post </w:t>
      </w:r>
      <w:proofErr w:type="spellStart"/>
      <w:r w:rsidR="00B403F2" w:rsidRPr="00026AF4">
        <w:rPr>
          <w:rFonts w:asciiTheme="minorHAnsi" w:hAnsiTheme="minorHAnsi"/>
          <w:lang w:val="en-US"/>
        </w:rPr>
        <w:t>prandially</w:t>
      </w:r>
      <w:proofErr w:type="spellEnd"/>
      <w:r w:rsidR="00CB7F62" w:rsidRPr="00026AF4">
        <w:rPr>
          <w:rFonts w:asciiTheme="minorHAnsi" w:hAnsiTheme="minorHAnsi"/>
          <w:lang w:val="en-US"/>
        </w:rPr>
        <w:t>. Insulin requirement</w:t>
      </w:r>
      <w:r w:rsidR="00C30D3B" w:rsidRPr="00026AF4">
        <w:rPr>
          <w:rFonts w:asciiTheme="minorHAnsi" w:hAnsiTheme="minorHAnsi"/>
          <w:lang w:val="en-US"/>
        </w:rPr>
        <w:t xml:space="preserve"> was</w:t>
      </w:r>
      <w:r w:rsidRPr="00026AF4">
        <w:rPr>
          <w:rFonts w:asciiTheme="minorHAnsi" w:hAnsiTheme="minorHAnsi"/>
          <w:lang w:val="en-US"/>
        </w:rPr>
        <w:t xml:space="preserve"> defined by the inefficacy of adequate diet (diet without sugar) and oral drugs (</w:t>
      </w:r>
      <w:proofErr w:type="spellStart"/>
      <w:r w:rsidR="00CB7F62" w:rsidRPr="00026AF4">
        <w:rPr>
          <w:rFonts w:asciiTheme="minorHAnsi" w:hAnsiTheme="minorHAnsi"/>
          <w:lang w:val="en-US"/>
        </w:rPr>
        <w:t>biguanides</w:t>
      </w:r>
      <w:proofErr w:type="spellEnd"/>
      <w:r w:rsidRPr="00026AF4">
        <w:rPr>
          <w:rFonts w:asciiTheme="minorHAnsi" w:hAnsiTheme="minorHAnsi"/>
          <w:lang w:val="en-US"/>
        </w:rPr>
        <w:t>, sulfonylurea, alpha-</w:t>
      </w:r>
      <w:proofErr w:type="spellStart"/>
      <w:r w:rsidRPr="00026AF4">
        <w:rPr>
          <w:rFonts w:asciiTheme="minorHAnsi" w:hAnsiTheme="minorHAnsi"/>
          <w:lang w:val="en-US"/>
        </w:rPr>
        <w:t>glucosidase</w:t>
      </w:r>
      <w:proofErr w:type="spellEnd"/>
      <w:r w:rsidRPr="00026AF4">
        <w:rPr>
          <w:rFonts w:asciiTheme="minorHAnsi" w:hAnsiTheme="minorHAnsi"/>
          <w:lang w:val="en-US"/>
        </w:rPr>
        <w:t xml:space="preserve"> inhibitors) in preventing hyperglycemia. </w:t>
      </w:r>
    </w:p>
    <w:p w14:paraId="68CACEB3" w14:textId="77777777" w:rsidR="00030817" w:rsidRPr="00026AF4" w:rsidRDefault="00030817" w:rsidP="00712250">
      <w:pPr>
        <w:jc w:val="both"/>
        <w:rPr>
          <w:rFonts w:asciiTheme="minorHAnsi" w:hAnsiTheme="minorHAnsi"/>
          <w:lang w:val="en-US"/>
        </w:rPr>
      </w:pPr>
      <w:r w:rsidRPr="00026AF4">
        <w:rPr>
          <w:rFonts w:asciiTheme="minorHAnsi" w:hAnsiTheme="minorHAnsi"/>
          <w:lang w:val="en-US"/>
        </w:rPr>
        <w:t xml:space="preserve">Cholestasis was defined as increased alkaline phosphatase levels </w:t>
      </w:r>
      <w:r w:rsidR="00B403F2" w:rsidRPr="00026AF4">
        <w:rPr>
          <w:rFonts w:asciiTheme="minorHAnsi" w:hAnsiTheme="minorHAnsi"/>
          <w:lang w:val="en-US"/>
        </w:rPr>
        <w:t>1</w:t>
      </w:r>
      <w:r w:rsidR="00650549" w:rsidRPr="00026AF4">
        <w:rPr>
          <w:rFonts w:asciiTheme="minorHAnsi" w:hAnsiTheme="minorHAnsi"/>
          <w:lang w:val="en-US"/>
        </w:rPr>
        <w:t>.</w:t>
      </w:r>
      <w:r w:rsidR="00B403F2" w:rsidRPr="00026AF4">
        <w:rPr>
          <w:rFonts w:asciiTheme="minorHAnsi" w:hAnsiTheme="minorHAnsi"/>
          <w:lang w:val="en-US"/>
        </w:rPr>
        <w:t xml:space="preserve">5 times </w:t>
      </w:r>
      <w:r w:rsidRPr="00026AF4">
        <w:rPr>
          <w:rFonts w:asciiTheme="minorHAnsi" w:hAnsiTheme="minorHAnsi"/>
          <w:lang w:val="en-US"/>
        </w:rPr>
        <w:t xml:space="preserve">above the upper limit of normal values associated with a dilated common bile duct. </w:t>
      </w:r>
    </w:p>
    <w:p w14:paraId="47688830" w14:textId="77777777" w:rsidR="00464E98" w:rsidRPr="00026AF4" w:rsidRDefault="002876F9" w:rsidP="00712250">
      <w:pPr>
        <w:jc w:val="both"/>
        <w:rPr>
          <w:rFonts w:asciiTheme="minorHAnsi" w:hAnsiTheme="minorHAnsi"/>
          <w:lang w:val="en-US"/>
        </w:rPr>
      </w:pPr>
      <w:proofErr w:type="spellStart"/>
      <w:r w:rsidRPr="00026AF4">
        <w:rPr>
          <w:rFonts w:asciiTheme="minorHAnsi" w:hAnsiTheme="minorHAnsi"/>
          <w:lang w:val="en-US"/>
        </w:rPr>
        <w:t>Pseudocyst</w:t>
      </w:r>
      <w:proofErr w:type="spellEnd"/>
      <w:r w:rsidRPr="00026AF4">
        <w:rPr>
          <w:rFonts w:asciiTheme="minorHAnsi" w:hAnsiTheme="minorHAnsi"/>
          <w:lang w:val="en-US"/>
        </w:rPr>
        <w:t xml:space="preserve"> was defined according to the Atlanta classification, as a round and </w:t>
      </w:r>
      <w:r w:rsidR="00464E98" w:rsidRPr="00026AF4">
        <w:rPr>
          <w:rFonts w:asciiTheme="minorHAnsi" w:hAnsiTheme="minorHAnsi"/>
          <w:lang w:val="en-US"/>
        </w:rPr>
        <w:t xml:space="preserve">ovoid </w:t>
      </w:r>
      <w:r w:rsidRPr="00026AF4">
        <w:rPr>
          <w:rFonts w:asciiTheme="minorHAnsi" w:hAnsiTheme="minorHAnsi"/>
          <w:lang w:val="en-US"/>
        </w:rPr>
        <w:t>collection of pa</w:t>
      </w:r>
      <w:r w:rsidR="00C1300D" w:rsidRPr="00026AF4">
        <w:rPr>
          <w:rFonts w:asciiTheme="minorHAnsi" w:hAnsiTheme="minorHAnsi"/>
          <w:lang w:val="en-US"/>
        </w:rPr>
        <w:t>ncreatic fluid</w:t>
      </w:r>
      <w:r w:rsidRPr="00026AF4">
        <w:rPr>
          <w:rFonts w:asciiTheme="minorHAnsi" w:hAnsiTheme="minorHAnsi"/>
          <w:lang w:val="en-US"/>
        </w:rPr>
        <w:t xml:space="preserve"> enclosed by a wall of fibrous or granulation tissue, which arises as</w:t>
      </w:r>
      <w:r w:rsidR="00C30D3B" w:rsidRPr="00026AF4">
        <w:rPr>
          <w:rFonts w:asciiTheme="minorHAnsi" w:hAnsiTheme="minorHAnsi"/>
          <w:lang w:val="en-US"/>
        </w:rPr>
        <w:t xml:space="preserve"> a result of acute </w:t>
      </w:r>
      <w:r w:rsidRPr="00026AF4">
        <w:rPr>
          <w:rFonts w:asciiTheme="minorHAnsi" w:hAnsiTheme="minorHAnsi"/>
          <w:lang w:val="en-US"/>
        </w:rPr>
        <w:t>or chronic pancreatitis, occurring at least 4</w:t>
      </w:r>
      <w:r w:rsidR="00C30D3B" w:rsidRPr="00026AF4">
        <w:rPr>
          <w:rFonts w:asciiTheme="minorHAnsi" w:hAnsiTheme="minorHAnsi"/>
          <w:lang w:val="en-US"/>
        </w:rPr>
        <w:t xml:space="preserve"> </w:t>
      </w:r>
      <w:r w:rsidR="00464E98" w:rsidRPr="00026AF4">
        <w:rPr>
          <w:rFonts w:asciiTheme="minorHAnsi" w:hAnsiTheme="minorHAnsi"/>
          <w:lang w:val="en-US"/>
        </w:rPr>
        <w:t>weeks after o</w:t>
      </w:r>
      <w:r w:rsidR="00C72EF5" w:rsidRPr="00026AF4">
        <w:rPr>
          <w:rFonts w:asciiTheme="minorHAnsi" w:hAnsiTheme="minorHAnsi"/>
          <w:lang w:val="en-US"/>
        </w:rPr>
        <w:t>nset of symptom</w:t>
      </w:r>
      <w:r w:rsidR="000955DB" w:rsidRPr="00026AF4">
        <w:rPr>
          <w:rFonts w:asciiTheme="minorHAnsi" w:hAnsiTheme="minorHAnsi"/>
          <w:lang w:val="en-US"/>
        </w:rPr>
        <w:fldChar w:fldCharType="begin"/>
      </w:r>
      <w:r w:rsidR="00C72EF5" w:rsidRPr="00026AF4">
        <w:rPr>
          <w:rFonts w:asciiTheme="minorHAnsi" w:hAnsiTheme="minorHAnsi"/>
          <w:lang w:val="en-US"/>
        </w:rPr>
        <w:instrText xml:space="preserve"> ADDIN ZOTERO_ITEM CSL_CITATION {"citationID":"rVNN0kYJ","properties":{"formattedCitation":"\\super 11\\nosupersub{}","plainCitation":"11","noteIndex":0},"citationItems":[{"id":464,"uris":["http://zotero.org/users/1090946/items/Z54CAB2J"],"uri":["http://zotero.org/users/1090946/items/Z54CAB2J"],"itemData":{"id":464,"type":"article-journal","title":"Classification of acute pancreatitis--2012: revision of the Atlanta classification and definitions by international consensus","container-title":"Gut","page":"102-111","volume":"62","issue":"1","source":"PubMed","abstract":"BACKGROUND AND OBJECTIVE: The Atlanta classification of acute pancreatitis enabled standardised reporting of research and aided communication between clinicians. Deficiencies identified and improved understanding of the disease make a revision necessary.\nMETHODS: A web-based consultation was undertaken in 2007 to ensure wide participation of pancreatologists. After an initial meeting, the Working Group sent a draft document to 11 national and international pancreatic associations. This working draft was forwarded to all members. Revisions were made in response to comments, and the web-based consultation was repeated three times. The final consensus was reviewed, and only statements based on published evidence were retained.\nRESULTS: The revised classification of acute pancreatitis identified two phases of the disease: early and late. Severity is classified as mild, moderate or severe. Mild acute pancreatitis, the most common form, has no organ failure, local or systemic complications and usually resolves in the first week. Moderately severe acute pancreatitis is defined by the presence of transient organ failure, local complications or exacerbation of co-morbid disease. Severe acute pancreatitis is defined by persistent organ failure, that is, organ failure &gt;48 h. Local complications are peripancreatic fluid collections, pancreatic and peripancreatic necrosis (sterile or infected), pseudocyst and walled-off necrosis (sterile or infected). We present a standardised template for reporting CT images.\nCONCLUSIONS: This international, web-based consensus provides clear definitions to classify acute pancreatitis using easily identified clinical and radiologic criteria. The wide consultation among pancreatologists to reach this consensus should encourage widespread adoption.","DOI":"10.1136/gutjnl-2012-302779","ISSN":"1468-3288","note":"PMID: 23100216","shortTitle":"Classification of acute pancreatitis--2012","journalAbbreviation":"Gut","language":"eng","author":[{"family":"Banks","given":"Peter A."},{"family":"Bollen","given":"Thomas L."},{"family":"Dervenis","given":"Christos"},{"family":"Gooszen","given":"Hein G."},{"family":"Johnson","given":"Colin D."},{"family":"Sarr","given":"Michael G."},{"family":"Tsiotos","given":"Gregory G."},{"family":"Vege","given":"Santhi Swaroop"},{"literal":"Acute Pancreatitis Classification Working Group"}],"issued":{"date-parts":[["2013",1]]}}}],"schema":"https://github.com/citation-style-language/schema/raw/master/csl-citation.json"} </w:instrText>
      </w:r>
      <w:r w:rsidR="000955DB" w:rsidRPr="00026AF4">
        <w:rPr>
          <w:rFonts w:asciiTheme="minorHAnsi" w:hAnsiTheme="minorHAnsi"/>
          <w:lang w:val="en-US"/>
        </w:rPr>
        <w:fldChar w:fldCharType="separate"/>
      </w:r>
      <w:r w:rsidR="00C72EF5" w:rsidRPr="00026AF4">
        <w:rPr>
          <w:rFonts w:asciiTheme="minorHAnsi" w:hAnsiTheme="minorHAnsi" w:cs="Calibri"/>
          <w:vertAlign w:val="superscript"/>
          <w:lang w:val="en-US"/>
        </w:rPr>
        <w:t>11</w:t>
      </w:r>
      <w:r w:rsidR="000955DB" w:rsidRPr="00026AF4">
        <w:rPr>
          <w:rFonts w:asciiTheme="minorHAnsi" w:hAnsiTheme="minorHAnsi"/>
          <w:lang w:val="en-US"/>
        </w:rPr>
        <w:fldChar w:fldCharType="end"/>
      </w:r>
      <w:r w:rsidR="00464E98" w:rsidRPr="00026AF4">
        <w:rPr>
          <w:rFonts w:asciiTheme="minorHAnsi" w:hAnsiTheme="minorHAnsi"/>
          <w:lang w:val="en-US"/>
        </w:rPr>
        <w:t xml:space="preserve">. </w:t>
      </w:r>
    </w:p>
    <w:p w14:paraId="103D6724" w14:textId="77777777" w:rsidR="002876F9" w:rsidRPr="00026AF4" w:rsidRDefault="00464E98" w:rsidP="00712250">
      <w:pPr>
        <w:jc w:val="both"/>
        <w:rPr>
          <w:rFonts w:asciiTheme="minorHAnsi" w:hAnsiTheme="minorHAnsi"/>
          <w:lang w:val="en-US"/>
        </w:rPr>
      </w:pPr>
      <w:r w:rsidRPr="00026AF4">
        <w:rPr>
          <w:rFonts w:asciiTheme="minorHAnsi" w:hAnsiTheme="minorHAnsi"/>
          <w:lang w:val="en-US"/>
        </w:rPr>
        <w:t xml:space="preserve">Acute venous thrombosis was defined as the presence of a </w:t>
      </w:r>
      <w:proofErr w:type="spellStart"/>
      <w:r w:rsidRPr="00026AF4">
        <w:rPr>
          <w:rFonts w:asciiTheme="minorHAnsi" w:hAnsiTheme="minorHAnsi"/>
          <w:lang w:val="en-US"/>
        </w:rPr>
        <w:t>cruoric</w:t>
      </w:r>
      <w:proofErr w:type="spellEnd"/>
      <w:r w:rsidRPr="00026AF4">
        <w:rPr>
          <w:rFonts w:asciiTheme="minorHAnsi" w:hAnsiTheme="minorHAnsi"/>
          <w:lang w:val="en-US"/>
        </w:rPr>
        <w:t xml:space="preserve"> thrombus in the </w:t>
      </w:r>
      <w:proofErr w:type="spellStart"/>
      <w:r w:rsidRPr="00026AF4">
        <w:rPr>
          <w:rFonts w:asciiTheme="minorHAnsi" w:hAnsiTheme="minorHAnsi"/>
          <w:lang w:val="en-US"/>
        </w:rPr>
        <w:t>porto</w:t>
      </w:r>
      <w:proofErr w:type="spellEnd"/>
      <w:r w:rsidRPr="00026AF4">
        <w:rPr>
          <w:rFonts w:asciiTheme="minorHAnsi" w:hAnsiTheme="minorHAnsi"/>
          <w:lang w:val="en-US"/>
        </w:rPr>
        <w:t xml:space="preserve">-mesenteric system or the splenic vein as evidenced by </w:t>
      </w:r>
      <w:r w:rsidR="00A15144" w:rsidRPr="00026AF4">
        <w:rPr>
          <w:rFonts w:asciiTheme="minorHAnsi" w:hAnsiTheme="minorHAnsi"/>
          <w:lang w:val="en-US"/>
        </w:rPr>
        <w:t>imaging procedures</w:t>
      </w:r>
      <w:r w:rsidRPr="00026AF4">
        <w:rPr>
          <w:rFonts w:asciiTheme="minorHAnsi" w:hAnsiTheme="minorHAnsi"/>
          <w:lang w:val="en-US"/>
        </w:rPr>
        <w:t xml:space="preserve">. </w:t>
      </w:r>
    </w:p>
    <w:p w14:paraId="1EAA916B" w14:textId="77777777" w:rsidR="00464E98" w:rsidRPr="00026AF4" w:rsidRDefault="00A15144" w:rsidP="00712250">
      <w:pPr>
        <w:jc w:val="both"/>
        <w:rPr>
          <w:rFonts w:asciiTheme="minorHAnsi" w:hAnsiTheme="minorHAnsi"/>
          <w:lang w:val="en-US"/>
        </w:rPr>
      </w:pPr>
      <w:r w:rsidRPr="00026AF4">
        <w:rPr>
          <w:rFonts w:asciiTheme="minorHAnsi" w:hAnsiTheme="minorHAnsi"/>
          <w:lang w:val="en-US"/>
        </w:rPr>
        <w:t>PDAC</w:t>
      </w:r>
      <w:r w:rsidR="00464E98" w:rsidRPr="00026AF4">
        <w:rPr>
          <w:rFonts w:asciiTheme="minorHAnsi" w:hAnsiTheme="minorHAnsi"/>
          <w:lang w:val="en-US"/>
        </w:rPr>
        <w:t xml:space="preserve"> were all </w:t>
      </w:r>
      <w:r w:rsidR="00C1300D" w:rsidRPr="00026AF4">
        <w:rPr>
          <w:rFonts w:asciiTheme="minorHAnsi" w:hAnsiTheme="minorHAnsi"/>
          <w:lang w:val="en-US"/>
        </w:rPr>
        <w:t>histologically</w:t>
      </w:r>
      <w:r w:rsidR="00464E98" w:rsidRPr="00026AF4">
        <w:rPr>
          <w:rFonts w:asciiTheme="minorHAnsi" w:hAnsiTheme="minorHAnsi"/>
          <w:lang w:val="en-US"/>
        </w:rPr>
        <w:t xml:space="preserve"> proven. </w:t>
      </w:r>
    </w:p>
    <w:p w14:paraId="10997856" w14:textId="77777777" w:rsidR="00893CD5" w:rsidRPr="00026AF4" w:rsidRDefault="00893CD5" w:rsidP="00712250">
      <w:pPr>
        <w:jc w:val="both"/>
        <w:rPr>
          <w:rFonts w:asciiTheme="minorHAnsi" w:hAnsiTheme="minorHAnsi"/>
          <w:lang w:val="en-US"/>
        </w:rPr>
      </w:pPr>
      <w:r w:rsidRPr="00026AF4">
        <w:rPr>
          <w:rFonts w:asciiTheme="minorHAnsi" w:hAnsiTheme="minorHAnsi"/>
          <w:lang w:val="en-US"/>
        </w:rPr>
        <w:t xml:space="preserve">The number of cigarettes smoked per day and duration of smoking were expressed as </w:t>
      </w:r>
      <w:r w:rsidR="00C30D3B" w:rsidRPr="00026AF4">
        <w:rPr>
          <w:rFonts w:asciiTheme="minorHAnsi" w:hAnsiTheme="minorHAnsi"/>
          <w:lang w:val="en-US"/>
        </w:rPr>
        <w:t>pack-years</w:t>
      </w:r>
      <w:r w:rsidRPr="00026AF4">
        <w:rPr>
          <w:rFonts w:asciiTheme="minorHAnsi" w:hAnsiTheme="minorHAnsi"/>
          <w:lang w:val="en-US"/>
        </w:rPr>
        <w:t xml:space="preserve">. </w:t>
      </w:r>
    </w:p>
    <w:p w14:paraId="6AAA3323" w14:textId="77777777" w:rsidR="00893CD5" w:rsidRPr="00026AF4" w:rsidRDefault="00893CD5" w:rsidP="00712250">
      <w:pPr>
        <w:jc w:val="both"/>
        <w:rPr>
          <w:rFonts w:asciiTheme="minorHAnsi" w:hAnsiTheme="minorHAnsi"/>
          <w:lang w:val="en-US"/>
        </w:rPr>
      </w:pPr>
      <w:r w:rsidRPr="00026AF4">
        <w:rPr>
          <w:rFonts w:asciiTheme="minorHAnsi" w:hAnsiTheme="minorHAnsi"/>
          <w:lang w:val="en-US"/>
        </w:rPr>
        <w:t xml:space="preserve">The follow-up period was defined as the </w:t>
      </w:r>
      <w:r w:rsidR="007E163C" w:rsidRPr="00026AF4">
        <w:rPr>
          <w:rFonts w:asciiTheme="minorHAnsi" w:hAnsiTheme="minorHAnsi"/>
          <w:lang w:val="en-US"/>
        </w:rPr>
        <w:t>interim</w:t>
      </w:r>
      <w:r w:rsidRPr="00026AF4">
        <w:rPr>
          <w:rFonts w:asciiTheme="minorHAnsi" w:hAnsiTheme="minorHAnsi"/>
          <w:lang w:val="en-US"/>
        </w:rPr>
        <w:t xml:space="preserve"> between the date of the first </w:t>
      </w:r>
      <w:r w:rsidR="00C30D3B" w:rsidRPr="00026AF4">
        <w:rPr>
          <w:rFonts w:asciiTheme="minorHAnsi" w:hAnsiTheme="minorHAnsi"/>
          <w:lang w:val="en-US"/>
        </w:rPr>
        <w:t>symptom</w:t>
      </w:r>
      <w:r w:rsidRPr="00026AF4">
        <w:rPr>
          <w:rFonts w:asciiTheme="minorHAnsi" w:hAnsiTheme="minorHAnsi"/>
          <w:lang w:val="en-US"/>
        </w:rPr>
        <w:t xml:space="preserve"> </w:t>
      </w:r>
      <w:r w:rsidR="00C30D3B" w:rsidRPr="00026AF4">
        <w:rPr>
          <w:rFonts w:asciiTheme="minorHAnsi" w:hAnsiTheme="minorHAnsi"/>
          <w:lang w:val="en-US"/>
        </w:rPr>
        <w:t>related to pancreatic disease</w:t>
      </w:r>
      <w:r w:rsidRPr="00026AF4">
        <w:rPr>
          <w:rFonts w:asciiTheme="minorHAnsi" w:hAnsiTheme="minorHAnsi"/>
          <w:lang w:val="en-US"/>
        </w:rPr>
        <w:t xml:space="preserve"> and the date of the last visit or death. </w:t>
      </w:r>
    </w:p>
    <w:p w14:paraId="1E78B2E3" w14:textId="77777777" w:rsidR="00C30D3B" w:rsidRPr="00026AF4" w:rsidRDefault="00C30D3B" w:rsidP="00712250">
      <w:pPr>
        <w:jc w:val="both"/>
        <w:rPr>
          <w:rFonts w:asciiTheme="minorHAnsi" w:hAnsiTheme="minorHAnsi"/>
          <w:b/>
          <w:lang w:val="en-US"/>
        </w:rPr>
      </w:pPr>
    </w:p>
    <w:p w14:paraId="17737AE5" w14:textId="77777777" w:rsidR="00F37160" w:rsidRPr="00026AF4" w:rsidRDefault="00F37160" w:rsidP="00712250">
      <w:pPr>
        <w:jc w:val="both"/>
        <w:rPr>
          <w:rFonts w:asciiTheme="minorHAnsi" w:hAnsiTheme="minorHAnsi"/>
          <w:b/>
          <w:lang w:val="en-US"/>
        </w:rPr>
      </w:pPr>
    </w:p>
    <w:p w14:paraId="443E6128" w14:textId="77777777" w:rsidR="00F37160" w:rsidRPr="00026AF4" w:rsidRDefault="00F37160" w:rsidP="00712250">
      <w:pPr>
        <w:jc w:val="both"/>
        <w:rPr>
          <w:rFonts w:asciiTheme="minorHAnsi" w:hAnsiTheme="minorHAnsi"/>
          <w:b/>
          <w:lang w:val="en-US"/>
        </w:rPr>
      </w:pPr>
    </w:p>
    <w:p w14:paraId="28221DB0" w14:textId="77777777" w:rsidR="00F37160" w:rsidRPr="00026AF4" w:rsidRDefault="00F37160" w:rsidP="00712250">
      <w:pPr>
        <w:jc w:val="both"/>
        <w:rPr>
          <w:rFonts w:asciiTheme="minorHAnsi" w:hAnsiTheme="minorHAnsi"/>
          <w:b/>
          <w:lang w:val="en-US"/>
        </w:rPr>
      </w:pPr>
    </w:p>
    <w:p w14:paraId="3FD9C0D4" w14:textId="77777777" w:rsidR="00557620" w:rsidRPr="00026AF4" w:rsidRDefault="00893CD5" w:rsidP="00712250">
      <w:pPr>
        <w:jc w:val="both"/>
        <w:rPr>
          <w:rFonts w:asciiTheme="minorHAnsi" w:hAnsiTheme="minorHAnsi"/>
          <w:b/>
          <w:lang w:val="en-US"/>
        </w:rPr>
      </w:pPr>
      <w:r w:rsidRPr="00026AF4">
        <w:rPr>
          <w:rFonts w:asciiTheme="minorHAnsi" w:hAnsiTheme="minorHAnsi"/>
          <w:b/>
          <w:lang w:val="en-US"/>
        </w:rPr>
        <w:lastRenderedPageBreak/>
        <w:t xml:space="preserve">Genetic data </w:t>
      </w:r>
    </w:p>
    <w:p w14:paraId="1FC76154" w14:textId="77777777" w:rsidR="00742FB6" w:rsidRPr="00026AF4" w:rsidRDefault="00742FB6" w:rsidP="00712250">
      <w:pPr>
        <w:jc w:val="both"/>
        <w:rPr>
          <w:rFonts w:asciiTheme="minorHAnsi" w:hAnsiTheme="minorHAnsi"/>
          <w:b/>
          <w:lang w:val="en-US"/>
        </w:rPr>
      </w:pPr>
    </w:p>
    <w:p w14:paraId="3EEDA4F7" w14:textId="1F931251" w:rsidR="00C72EF5" w:rsidRPr="00026AF4" w:rsidRDefault="00C72EF5" w:rsidP="00712250">
      <w:pPr>
        <w:jc w:val="both"/>
        <w:rPr>
          <w:rFonts w:asciiTheme="minorHAnsi" w:hAnsiTheme="minorHAnsi"/>
          <w:lang w:val="en-US"/>
        </w:rPr>
      </w:pPr>
      <w:r w:rsidRPr="00026AF4">
        <w:rPr>
          <w:rFonts w:asciiTheme="minorHAnsi" w:hAnsiTheme="minorHAnsi"/>
          <w:lang w:val="en-US"/>
        </w:rPr>
        <w:t xml:space="preserve">Mutation screening of the </w:t>
      </w:r>
      <w:r w:rsidRPr="00026AF4">
        <w:rPr>
          <w:rFonts w:asciiTheme="minorHAnsi" w:hAnsiTheme="minorHAnsi"/>
          <w:i/>
          <w:lang w:val="en-US"/>
        </w:rPr>
        <w:t>SPINK1</w:t>
      </w:r>
      <w:r w:rsidR="0020689D" w:rsidRPr="00026AF4">
        <w:rPr>
          <w:rFonts w:asciiTheme="minorHAnsi" w:hAnsiTheme="minorHAnsi"/>
          <w:i/>
          <w:lang w:val="en-US"/>
        </w:rPr>
        <w:t xml:space="preserve"> and PRSS1</w:t>
      </w:r>
      <w:r w:rsidRPr="00026AF4">
        <w:rPr>
          <w:rFonts w:asciiTheme="minorHAnsi" w:hAnsiTheme="minorHAnsi"/>
          <w:lang w:val="en-US"/>
        </w:rPr>
        <w:t xml:space="preserve"> gene was performed by</w:t>
      </w:r>
      <w:r w:rsidR="00C1300D" w:rsidRPr="00026AF4">
        <w:rPr>
          <w:rFonts w:asciiTheme="minorHAnsi" w:hAnsiTheme="minorHAnsi"/>
          <w:lang w:val="en-US"/>
        </w:rPr>
        <w:t xml:space="preserve"> </w:t>
      </w:r>
      <w:proofErr w:type="spellStart"/>
      <w:r w:rsidR="00C1300D" w:rsidRPr="00026AF4">
        <w:rPr>
          <w:rFonts w:asciiTheme="minorHAnsi" w:hAnsiTheme="minorHAnsi"/>
          <w:lang w:val="en-US"/>
        </w:rPr>
        <w:t>pyrosequencing</w:t>
      </w:r>
      <w:proofErr w:type="spellEnd"/>
      <w:r w:rsidR="009D3F0E" w:rsidRPr="00026AF4">
        <w:rPr>
          <w:rFonts w:asciiTheme="minorHAnsi" w:hAnsiTheme="minorHAnsi"/>
          <w:lang w:val="en-US"/>
        </w:rPr>
        <w:t>,</w:t>
      </w:r>
      <w:r w:rsidRPr="00026AF4">
        <w:rPr>
          <w:rFonts w:asciiTheme="minorHAnsi" w:hAnsiTheme="minorHAnsi"/>
          <w:lang w:val="en-US"/>
        </w:rPr>
        <w:t xml:space="preserve"> </w:t>
      </w:r>
      <w:r w:rsidR="00C1300D" w:rsidRPr="00026AF4">
        <w:rPr>
          <w:rFonts w:asciiTheme="minorHAnsi" w:hAnsiTheme="minorHAnsi"/>
          <w:lang w:val="en-US"/>
        </w:rPr>
        <w:t>d</w:t>
      </w:r>
      <w:r w:rsidRPr="00026AF4">
        <w:rPr>
          <w:rFonts w:asciiTheme="minorHAnsi" w:hAnsiTheme="minorHAnsi"/>
          <w:lang w:val="en-US"/>
        </w:rPr>
        <w:t>enaturing High Performance Liquid Chromatography (DHPLC) as previously described</w:t>
      </w:r>
      <w:r w:rsidR="0020689D" w:rsidRPr="00026AF4">
        <w:rPr>
          <w:rFonts w:asciiTheme="minorHAnsi" w:hAnsiTheme="minorHAnsi"/>
          <w:vertAlign w:val="superscript"/>
          <w:lang w:val="en-US"/>
        </w:rPr>
        <w:t>12-13</w:t>
      </w:r>
      <w:r w:rsidRPr="00026AF4">
        <w:rPr>
          <w:rFonts w:asciiTheme="minorHAnsi" w:hAnsiTheme="minorHAnsi"/>
          <w:lang w:val="en-US"/>
        </w:rPr>
        <w:t>, or by High Resolution Melting (HRM) analysis: four primer pairs (</w:t>
      </w:r>
      <w:r w:rsidR="00506AA4" w:rsidRPr="00026AF4">
        <w:rPr>
          <w:rFonts w:asciiTheme="minorHAnsi" w:hAnsiTheme="minorHAnsi"/>
          <w:b/>
          <w:lang w:val="en-US"/>
        </w:rPr>
        <w:t>Table 1 supplementary data</w:t>
      </w:r>
      <w:r w:rsidRPr="00026AF4">
        <w:rPr>
          <w:rFonts w:asciiTheme="minorHAnsi" w:hAnsiTheme="minorHAnsi"/>
          <w:lang w:val="en-US"/>
        </w:rPr>
        <w:t xml:space="preserve">) were designed to amplify the four exons and their immediate flanking sequences. PCR was performed in a 10 </w:t>
      </w:r>
      <w:proofErr w:type="spellStart"/>
      <w:r w:rsidRPr="00026AF4">
        <w:rPr>
          <w:rFonts w:asciiTheme="minorHAnsi" w:hAnsiTheme="minorHAnsi"/>
          <w:lang w:val="en-US"/>
        </w:rPr>
        <w:t>μl</w:t>
      </w:r>
      <w:proofErr w:type="spellEnd"/>
      <w:r w:rsidRPr="00026AF4">
        <w:rPr>
          <w:rFonts w:asciiTheme="minorHAnsi" w:hAnsiTheme="minorHAnsi"/>
          <w:lang w:val="en-US"/>
        </w:rPr>
        <w:t xml:space="preserve"> reaction mixture containing 4 </w:t>
      </w:r>
      <w:proofErr w:type="spellStart"/>
      <w:r w:rsidRPr="00026AF4">
        <w:rPr>
          <w:rFonts w:asciiTheme="minorHAnsi" w:hAnsiTheme="minorHAnsi"/>
          <w:lang w:val="en-US"/>
        </w:rPr>
        <w:t>μl</w:t>
      </w:r>
      <w:proofErr w:type="spellEnd"/>
      <w:r w:rsidRPr="00026AF4">
        <w:rPr>
          <w:rFonts w:asciiTheme="minorHAnsi" w:hAnsiTheme="minorHAnsi"/>
          <w:lang w:val="en-US"/>
        </w:rPr>
        <w:t xml:space="preserve"> of </w:t>
      </w:r>
      <w:proofErr w:type="spellStart"/>
      <w:r w:rsidRPr="00026AF4">
        <w:rPr>
          <w:rFonts w:asciiTheme="minorHAnsi" w:hAnsiTheme="minorHAnsi"/>
          <w:lang w:val="en-US"/>
        </w:rPr>
        <w:t>LightScanner</w:t>
      </w:r>
      <w:proofErr w:type="spellEnd"/>
      <w:r w:rsidR="00BE52CA" w:rsidRPr="00026AF4">
        <w:rPr>
          <w:rFonts w:asciiTheme="minorHAnsi" w:hAnsiTheme="minorHAnsi"/>
          <w:lang w:val="en-US"/>
        </w:rPr>
        <w:t>®</w:t>
      </w:r>
      <w:r w:rsidRPr="00026AF4">
        <w:rPr>
          <w:rFonts w:asciiTheme="minorHAnsi" w:hAnsiTheme="minorHAnsi"/>
          <w:lang w:val="en-US"/>
        </w:rPr>
        <w:t xml:space="preserve"> Master Mix (Idaho Technology Inc., Salt Lake City, UT), 0.3 µM of each primer (</w:t>
      </w:r>
      <w:r w:rsidRPr="00026AF4">
        <w:rPr>
          <w:rFonts w:asciiTheme="minorHAnsi" w:hAnsiTheme="minorHAnsi"/>
          <w:b/>
          <w:lang w:val="en-US"/>
        </w:rPr>
        <w:t>Table 1</w:t>
      </w:r>
      <w:r w:rsidR="0041651D" w:rsidRPr="00026AF4">
        <w:rPr>
          <w:rFonts w:asciiTheme="minorHAnsi" w:hAnsiTheme="minorHAnsi"/>
          <w:b/>
          <w:lang w:val="en-US"/>
        </w:rPr>
        <w:t xml:space="preserve"> supplementary data</w:t>
      </w:r>
      <w:r w:rsidRPr="00026AF4">
        <w:rPr>
          <w:rFonts w:asciiTheme="minorHAnsi" w:hAnsiTheme="minorHAnsi"/>
          <w:lang w:val="en-US"/>
        </w:rPr>
        <w:t xml:space="preserve">) and 50 </w:t>
      </w:r>
      <w:proofErr w:type="spellStart"/>
      <w:r w:rsidRPr="00026AF4">
        <w:rPr>
          <w:rFonts w:asciiTheme="minorHAnsi" w:hAnsiTheme="minorHAnsi"/>
          <w:lang w:val="en-US"/>
        </w:rPr>
        <w:t>ng</w:t>
      </w:r>
      <w:proofErr w:type="spellEnd"/>
      <w:r w:rsidRPr="00026AF4">
        <w:rPr>
          <w:rFonts w:asciiTheme="minorHAnsi" w:hAnsiTheme="minorHAnsi"/>
          <w:lang w:val="en-US"/>
        </w:rPr>
        <w:t xml:space="preserve"> of DNA. Cycling conditions consisted of an initial denaturation step at 94°C for 2 minutes, followed by 40 cycles of 30 seconds at 94°C, 30 seconds at a specific hybridization temperature (</w:t>
      </w:r>
      <w:r w:rsidRPr="00026AF4">
        <w:rPr>
          <w:rFonts w:asciiTheme="minorHAnsi" w:hAnsiTheme="minorHAnsi"/>
          <w:b/>
          <w:lang w:val="en-US"/>
        </w:rPr>
        <w:t>Table 1</w:t>
      </w:r>
      <w:r w:rsidR="0041651D" w:rsidRPr="00026AF4">
        <w:rPr>
          <w:rFonts w:asciiTheme="minorHAnsi" w:hAnsiTheme="minorHAnsi"/>
          <w:b/>
          <w:lang w:val="en-US"/>
        </w:rPr>
        <w:t xml:space="preserve"> supplementary data</w:t>
      </w:r>
      <w:r w:rsidRPr="00026AF4">
        <w:rPr>
          <w:rFonts w:asciiTheme="minorHAnsi" w:hAnsiTheme="minorHAnsi"/>
          <w:lang w:val="en-US"/>
        </w:rPr>
        <w:t xml:space="preserve">), 30 seconds at 72°C, and a final cycle of 30 seconds at 94°C and 30 seconds at 25°C. After amplification, melting analysis was performed on </w:t>
      </w:r>
      <w:proofErr w:type="spellStart"/>
      <w:r w:rsidRPr="00026AF4">
        <w:rPr>
          <w:rFonts w:asciiTheme="minorHAnsi" w:hAnsiTheme="minorHAnsi"/>
          <w:lang w:val="en-US"/>
        </w:rPr>
        <w:t>LightScanner</w:t>
      </w:r>
      <w:proofErr w:type="spellEnd"/>
      <w:r w:rsidRPr="00026AF4">
        <w:rPr>
          <w:rFonts w:asciiTheme="minorHAnsi" w:hAnsiTheme="minorHAnsi"/>
          <w:lang w:val="en-US"/>
        </w:rPr>
        <w:t xml:space="preserve">® System (Idaho Technology Inc.). Samples showing a positive profile were sequenced using the </w:t>
      </w:r>
      <w:proofErr w:type="spellStart"/>
      <w:r w:rsidRPr="00026AF4">
        <w:rPr>
          <w:rFonts w:asciiTheme="minorHAnsi" w:hAnsiTheme="minorHAnsi"/>
          <w:lang w:val="en-US"/>
        </w:rPr>
        <w:t>BigDye</w:t>
      </w:r>
      <w:proofErr w:type="spellEnd"/>
      <w:r w:rsidRPr="00026AF4">
        <w:rPr>
          <w:rFonts w:asciiTheme="minorHAnsi" w:hAnsiTheme="minorHAnsi"/>
          <w:lang w:val="en-US"/>
        </w:rPr>
        <w:t xml:space="preserve">™ Terminator v1.1 Cycle Sequencing Kit (Applied </w:t>
      </w:r>
      <w:proofErr w:type="spellStart"/>
      <w:r w:rsidRPr="00026AF4">
        <w:rPr>
          <w:rFonts w:asciiTheme="minorHAnsi" w:hAnsiTheme="minorHAnsi"/>
          <w:lang w:val="en-US"/>
        </w:rPr>
        <w:t>Biosystems</w:t>
      </w:r>
      <w:proofErr w:type="spellEnd"/>
      <w:r w:rsidRPr="00026AF4">
        <w:rPr>
          <w:rFonts w:asciiTheme="minorHAnsi" w:hAnsiTheme="minorHAnsi"/>
          <w:lang w:val="en-US"/>
        </w:rPr>
        <w:t>, Foster City, CA) to identify mutations</w:t>
      </w:r>
      <w:r w:rsidR="0020689D" w:rsidRPr="00026AF4">
        <w:rPr>
          <w:rFonts w:asciiTheme="minorHAnsi" w:hAnsiTheme="minorHAnsi"/>
          <w:vertAlign w:val="superscript"/>
          <w:lang w:val="en-US"/>
        </w:rPr>
        <w:t>12-13</w:t>
      </w:r>
      <w:r w:rsidR="00A5328B" w:rsidRPr="00026AF4">
        <w:rPr>
          <w:rFonts w:asciiTheme="minorHAnsi" w:hAnsiTheme="minorHAnsi"/>
          <w:lang w:val="en-US"/>
        </w:rPr>
        <w:t xml:space="preserve">. </w:t>
      </w:r>
    </w:p>
    <w:p w14:paraId="3DDE5C37" w14:textId="77777777" w:rsidR="0020689D" w:rsidRPr="00026AF4" w:rsidRDefault="0020689D" w:rsidP="00712250">
      <w:pPr>
        <w:jc w:val="both"/>
        <w:rPr>
          <w:rFonts w:asciiTheme="minorHAnsi" w:hAnsiTheme="minorHAnsi"/>
          <w:lang w:val="en-US"/>
        </w:rPr>
      </w:pPr>
    </w:p>
    <w:p w14:paraId="16848492" w14:textId="77777777" w:rsidR="0009385B" w:rsidRPr="00026AF4" w:rsidRDefault="0020689D" w:rsidP="0020689D">
      <w:pPr>
        <w:jc w:val="both"/>
        <w:rPr>
          <w:rFonts w:asciiTheme="minorHAnsi" w:hAnsiTheme="minorHAnsi"/>
          <w:lang w:val="en-US"/>
        </w:rPr>
      </w:pPr>
      <w:r w:rsidRPr="00026AF4">
        <w:rPr>
          <w:rFonts w:asciiTheme="minorHAnsi" w:hAnsiTheme="minorHAnsi"/>
          <w:lang w:val="en-US"/>
        </w:rPr>
        <w:t>Exons and exon/intron junctions of the </w:t>
      </w:r>
      <w:r w:rsidRPr="00026AF4">
        <w:rPr>
          <w:rFonts w:asciiTheme="minorHAnsi" w:hAnsiTheme="minorHAnsi"/>
          <w:i/>
          <w:iCs/>
          <w:lang w:val="en-US"/>
        </w:rPr>
        <w:t>CFTR</w:t>
      </w:r>
      <w:r w:rsidR="0009385B" w:rsidRPr="00026AF4">
        <w:rPr>
          <w:rFonts w:asciiTheme="minorHAnsi" w:hAnsiTheme="minorHAnsi"/>
          <w:lang w:val="en-US"/>
        </w:rPr>
        <w:t> gene were screened by DHPLC</w:t>
      </w:r>
      <w:r w:rsidR="0009385B" w:rsidRPr="00026AF4">
        <w:rPr>
          <w:rFonts w:asciiTheme="minorHAnsi" w:hAnsiTheme="minorHAnsi"/>
          <w:vertAlign w:val="superscript"/>
          <w:lang w:val="en-US"/>
        </w:rPr>
        <w:t>14</w:t>
      </w:r>
      <w:r w:rsidRPr="00026AF4">
        <w:rPr>
          <w:rFonts w:asciiTheme="minorHAnsi" w:hAnsiTheme="minorHAnsi"/>
          <w:lang w:val="en-US"/>
        </w:rPr>
        <w:t xml:space="preserve"> or high-re</w:t>
      </w:r>
      <w:r w:rsidR="0009385B" w:rsidRPr="00026AF4">
        <w:rPr>
          <w:rFonts w:asciiTheme="minorHAnsi" w:hAnsiTheme="minorHAnsi"/>
          <w:lang w:val="en-US"/>
        </w:rPr>
        <w:t>solution DNA melting analysis</w:t>
      </w:r>
      <w:r w:rsidR="0009385B" w:rsidRPr="00026AF4">
        <w:rPr>
          <w:rFonts w:asciiTheme="minorHAnsi" w:hAnsiTheme="minorHAnsi"/>
          <w:vertAlign w:val="superscript"/>
          <w:lang w:val="en-US"/>
        </w:rPr>
        <w:t>15</w:t>
      </w:r>
      <w:r w:rsidRPr="00026AF4">
        <w:rPr>
          <w:rFonts w:asciiTheme="minorHAnsi" w:hAnsiTheme="minorHAnsi"/>
          <w:lang w:val="en-US"/>
        </w:rPr>
        <w:t xml:space="preserve"> as previously described. Samples showing abnormal profiles were se</w:t>
      </w:r>
      <w:r w:rsidR="0009385B" w:rsidRPr="00026AF4">
        <w:rPr>
          <w:rFonts w:asciiTheme="minorHAnsi" w:hAnsiTheme="minorHAnsi"/>
          <w:lang w:val="en-US"/>
        </w:rPr>
        <w:t>quenced as previously described</w:t>
      </w:r>
      <w:r w:rsidR="0009385B" w:rsidRPr="00026AF4">
        <w:rPr>
          <w:rFonts w:asciiTheme="minorHAnsi" w:hAnsiTheme="minorHAnsi"/>
          <w:vertAlign w:val="superscript"/>
          <w:lang w:val="en-US"/>
        </w:rPr>
        <w:t>14-15</w:t>
      </w:r>
      <w:r w:rsidR="0009385B" w:rsidRPr="00026AF4">
        <w:rPr>
          <w:rFonts w:asciiTheme="minorHAnsi" w:hAnsiTheme="minorHAnsi"/>
          <w:lang w:val="en-US"/>
        </w:rPr>
        <w:t xml:space="preserve">. </w:t>
      </w:r>
    </w:p>
    <w:p w14:paraId="74DE9FAA" w14:textId="77777777" w:rsidR="0009385B" w:rsidRPr="00026AF4" w:rsidRDefault="0009385B" w:rsidP="0020689D">
      <w:pPr>
        <w:jc w:val="both"/>
        <w:rPr>
          <w:rFonts w:asciiTheme="minorHAnsi" w:hAnsiTheme="minorHAnsi"/>
          <w:lang w:val="en-US"/>
        </w:rPr>
      </w:pPr>
    </w:p>
    <w:p w14:paraId="1BA039AA" w14:textId="77777777" w:rsidR="0020689D" w:rsidRPr="00026AF4" w:rsidRDefault="0020689D" w:rsidP="0020689D">
      <w:pPr>
        <w:jc w:val="both"/>
        <w:rPr>
          <w:rFonts w:asciiTheme="minorHAnsi" w:hAnsiTheme="minorHAnsi"/>
          <w:lang w:val="en-US"/>
        </w:rPr>
      </w:pPr>
      <w:r w:rsidRPr="00026AF4">
        <w:rPr>
          <w:rFonts w:asciiTheme="minorHAnsi" w:hAnsiTheme="minorHAnsi"/>
          <w:lang w:val="en-US"/>
        </w:rPr>
        <w:t>All exons of the </w:t>
      </w:r>
      <w:r w:rsidRPr="00026AF4">
        <w:rPr>
          <w:rFonts w:asciiTheme="minorHAnsi" w:hAnsiTheme="minorHAnsi"/>
          <w:i/>
          <w:iCs/>
          <w:lang w:val="en-US"/>
        </w:rPr>
        <w:t>CTRC</w:t>
      </w:r>
      <w:r w:rsidRPr="00026AF4">
        <w:rPr>
          <w:rFonts w:asciiTheme="minorHAnsi" w:hAnsiTheme="minorHAnsi"/>
          <w:lang w:val="en-US"/>
        </w:rPr>
        <w:t> gene and their immediate flanking sequences were analyzed by direct seq</w:t>
      </w:r>
      <w:r w:rsidR="0009385B" w:rsidRPr="00026AF4">
        <w:rPr>
          <w:rFonts w:asciiTheme="minorHAnsi" w:hAnsiTheme="minorHAnsi"/>
          <w:lang w:val="en-US"/>
        </w:rPr>
        <w:t>uencing as previously described</w:t>
      </w:r>
      <w:r w:rsidR="0009385B" w:rsidRPr="00026AF4">
        <w:rPr>
          <w:rFonts w:asciiTheme="minorHAnsi" w:hAnsiTheme="minorHAnsi"/>
          <w:vertAlign w:val="superscript"/>
          <w:lang w:val="en-US"/>
        </w:rPr>
        <w:t>16</w:t>
      </w:r>
      <w:r w:rsidR="0009385B" w:rsidRPr="00026AF4">
        <w:rPr>
          <w:rFonts w:asciiTheme="minorHAnsi" w:hAnsiTheme="minorHAnsi"/>
          <w:lang w:val="en-US"/>
        </w:rPr>
        <w:t>.</w:t>
      </w:r>
    </w:p>
    <w:p w14:paraId="6CD100CD" w14:textId="77777777" w:rsidR="00893CD5" w:rsidRPr="00026AF4" w:rsidRDefault="00893CD5" w:rsidP="00712250">
      <w:pPr>
        <w:jc w:val="both"/>
        <w:rPr>
          <w:rFonts w:asciiTheme="minorHAnsi" w:hAnsiTheme="minorHAnsi"/>
          <w:b/>
          <w:lang w:val="en-US"/>
        </w:rPr>
      </w:pPr>
    </w:p>
    <w:p w14:paraId="2918B4B5" w14:textId="77777777" w:rsidR="008F36BD" w:rsidRPr="00026AF4" w:rsidRDefault="008F36BD" w:rsidP="00712250">
      <w:pPr>
        <w:jc w:val="both"/>
        <w:rPr>
          <w:rFonts w:asciiTheme="minorHAnsi" w:hAnsiTheme="minorHAnsi"/>
          <w:b/>
          <w:lang w:val="en-US"/>
        </w:rPr>
      </w:pPr>
      <w:r w:rsidRPr="00026AF4">
        <w:rPr>
          <w:rFonts w:asciiTheme="minorHAnsi" w:hAnsiTheme="minorHAnsi"/>
          <w:b/>
          <w:lang w:val="en-US"/>
        </w:rPr>
        <w:t>Statistical analysis</w:t>
      </w:r>
    </w:p>
    <w:p w14:paraId="33D93D86" w14:textId="77777777" w:rsidR="00742FB6" w:rsidRPr="00026AF4" w:rsidRDefault="00742FB6" w:rsidP="00712250">
      <w:pPr>
        <w:jc w:val="both"/>
        <w:rPr>
          <w:rFonts w:asciiTheme="minorHAnsi" w:hAnsiTheme="minorHAnsi"/>
          <w:b/>
          <w:lang w:val="en-US"/>
        </w:rPr>
      </w:pPr>
    </w:p>
    <w:p w14:paraId="301A193E" w14:textId="77777777" w:rsidR="003442D1" w:rsidRPr="00026AF4" w:rsidRDefault="003442D1" w:rsidP="00712250">
      <w:pPr>
        <w:jc w:val="both"/>
        <w:rPr>
          <w:rFonts w:asciiTheme="minorHAnsi" w:hAnsiTheme="minorHAnsi"/>
          <w:lang w:val="en-US"/>
        </w:rPr>
      </w:pPr>
      <w:r w:rsidRPr="00026AF4">
        <w:rPr>
          <w:rFonts w:asciiTheme="minorHAnsi" w:hAnsiTheme="minorHAnsi"/>
          <w:lang w:val="en-US"/>
        </w:rPr>
        <w:t xml:space="preserve">Continuous variables were expressed as median </w:t>
      </w:r>
      <w:r w:rsidR="00C1300D" w:rsidRPr="00026AF4">
        <w:rPr>
          <w:rFonts w:asciiTheme="minorHAnsi" w:hAnsiTheme="minorHAnsi"/>
          <w:lang w:val="en-US"/>
        </w:rPr>
        <w:t>i</w:t>
      </w:r>
      <w:r w:rsidR="00CB7F62" w:rsidRPr="00026AF4">
        <w:rPr>
          <w:rFonts w:asciiTheme="minorHAnsi" w:hAnsiTheme="minorHAnsi"/>
          <w:lang w:val="en-US"/>
        </w:rPr>
        <w:t>nterquartile range [IQR]</w:t>
      </w:r>
      <w:r w:rsidRPr="00026AF4">
        <w:rPr>
          <w:rFonts w:asciiTheme="minorHAnsi" w:hAnsiTheme="minorHAnsi"/>
          <w:lang w:val="en-US"/>
        </w:rPr>
        <w:t>)</w:t>
      </w:r>
      <w:r w:rsidR="008E487D" w:rsidRPr="00026AF4">
        <w:rPr>
          <w:rFonts w:asciiTheme="minorHAnsi" w:hAnsiTheme="minorHAnsi"/>
          <w:lang w:val="en-US"/>
        </w:rPr>
        <w:t xml:space="preserve"> and compared using </w:t>
      </w:r>
      <w:r w:rsidR="0054228F" w:rsidRPr="00026AF4">
        <w:rPr>
          <w:rFonts w:asciiTheme="minorHAnsi" w:hAnsiTheme="minorHAnsi"/>
          <w:lang w:val="en-US"/>
        </w:rPr>
        <w:t>the Mann-Whitney test</w:t>
      </w:r>
      <w:r w:rsidR="008E487D" w:rsidRPr="00026AF4">
        <w:rPr>
          <w:rFonts w:asciiTheme="minorHAnsi" w:hAnsiTheme="minorHAnsi"/>
          <w:lang w:val="en-US"/>
        </w:rPr>
        <w:t>. Q</w:t>
      </w:r>
      <w:r w:rsidRPr="00026AF4">
        <w:rPr>
          <w:rFonts w:asciiTheme="minorHAnsi" w:hAnsiTheme="minorHAnsi"/>
          <w:lang w:val="en-US"/>
        </w:rPr>
        <w:t xml:space="preserve">ualitative variables </w:t>
      </w:r>
      <w:r w:rsidR="008E487D" w:rsidRPr="00026AF4">
        <w:rPr>
          <w:rFonts w:asciiTheme="minorHAnsi" w:hAnsiTheme="minorHAnsi"/>
          <w:lang w:val="en-US"/>
        </w:rPr>
        <w:t xml:space="preserve">were expressed as </w:t>
      </w:r>
      <w:r w:rsidR="00CB7F62" w:rsidRPr="00026AF4">
        <w:rPr>
          <w:rFonts w:asciiTheme="minorHAnsi" w:hAnsiTheme="minorHAnsi"/>
          <w:lang w:val="en-US"/>
        </w:rPr>
        <w:t>frequencies</w:t>
      </w:r>
      <w:r w:rsidR="008E487D" w:rsidRPr="00026AF4">
        <w:rPr>
          <w:rFonts w:asciiTheme="minorHAnsi" w:hAnsiTheme="minorHAnsi"/>
          <w:lang w:val="en-US"/>
        </w:rPr>
        <w:t xml:space="preserve"> (percentage</w:t>
      </w:r>
      <w:r w:rsidR="00CB7F62" w:rsidRPr="00026AF4">
        <w:rPr>
          <w:rFonts w:asciiTheme="minorHAnsi" w:hAnsiTheme="minorHAnsi"/>
          <w:lang w:val="en-US"/>
        </w:rPr>
        <w:t>s</w:t>
      </w:r>
      <w:r w:rsidR="008E487D" w:rsidRPr="00026AF4">
        <w:rPr>
          <w:rFonts w:asciiTheme="minorHAnsi" w:hAnsiTheme="minorHAnsi"/>
          <w:lang w:val="en-US"/>
        </w:rPr>
        <w:t>) and compared using Chi² test or Fisher’s exact test, wh</w:t>
      </w:r>
      <w:r w:rsidR="00C1300D" w:rsidRPr="00026AF4">
        <w:rPr>
          <w:rFonts w:asciiTheme="minorHAnsi" w:hAnsiTheme="minorHAnsi"/>
          <w:lang w:val="en-US"/>
        </w:rPr>
        <w:t>ichever</w:t>
      </w:r>
      <w:r w:rsidR="008E487D" w:rsidRPr="00026AF4">
        <w:rPr>
          <w:rFonts w:asciiTheme="minorHAnsi" w:hAnsiTheme="minorHAnsi"/>
          <w:lang w:val="en-US"/>
        </w:rPr>
        <w:t xml:space="preserve"> most appropriate.</w:t>
      </w:r>
    </w:p>
    <w:p w14:paraId="74473803" w14:textId="77777777" w:rsidR="008F36BD" w:rsidRPr="00026AF4" w:rsidRDefault="0054228F" w:rsidP="00712250">
      <w:pPr>
        <w:jc w:val="both"/>
        <w:rPr>
          <w:rFonts w:asciiTheme="minorHAnsi" w:hAnsiTheme="minorHAnsi"/>
          <w:lang w:val="en-US"/>
        </w:rPr>
      </w:pPr>
      <w:r w:rsidRPr="00026AF4">
        <w:rPr>
          <w:rFonts w:asciiTheme="minorHAnsi" w:hAnsiTheme="minorHAnsi"/>
          <w:lang w:val="en-US"/>
        </w:rPr>
        <w:t>The</w:t>
      </w:r>
      <w:r w:rsidR="008E487D" w:rsidRPr="00026AF4">
        <w:rPr>
          <w:rFonts w:asciiTheme="minorHAnsi" w:hAnsiTheme="minorHAnsi"/>
          <w:lang w:val="en-US"/>
        </w:rPr>
        <w:t xml:space="preserve"> </w:t>
      </w:r>
      <w:r w:rsidR="00202C01" w:rsidRPr="00026AF4">
        <w:rPr>
          <w:rFonts w:asciiTheme="minorHAnsi" w:hAnsiTheme="minorHAnsi"/>
          <w:lang w:val="en-US"/>
        </w:rPr>
        <w:t xml:space="preserve">age of onset and the </w:t>
      </w:r>
      <w:r w:rsidR="00CB7F62" w:rsidRPr="00026AF4">
        <w:rPr>
          <w:rFonts w:asciiTheme="minorHAnsi" w:hAnsiTheme="minorHAnsi"/>
          <w:lang w:val="en-US"/>
        </w:rPr>
        <w:t>prevalence</w:t>
      </w:r>
      <w:r w:rsidR="008E487D" w:rsidRPr="00026AF4">
        <w:rPr>
          <w:rFonts w:asciiTheme="minorHAnsi" w:hAnsiTheme="minorHAnsi"/>
          <w:lang w:val="en-US"/>
        </w:rPr>
        <w:t xml:space="preserve"> of </w:t>
      </w:r>
      <w:r w:rsidR="00202C01" w:rsidRPr="00026AF4">
        <w:rPr>
          <w:rFonts w:asciiTheme="minorHAnsi" w:hAnsiTheme="minorHAnsi"/>
          <w:lang w:val="en-US"/>
        </w:rPr>
        <w:t xml:space="preserve">pancreatitis-associated symptoms and </w:t>
      </w:r>
      <w:r w:rsidR="008E487D" w:rsidRPr="00026AF4">
        <w:rPr>
          <w:rFonts w:asciiTheme="minorHAnsi" w:hAnsiTheme="minorHAnsi"/>
          <w:lang w:val="en-US"/>
        </w:rPr>
        <w:t>complications</w:t>
      </w:r>
      <w:r w:rsidR="00CB7F62" w:rsidRPr="00026AF4">
        <w:rPr>
          <w:rFonts w:asciiTheme="minorHAnsi" w:hAnsiTheme="minorHAnsi"/>
          <w:lang w:val="en-US"/>
        </w:rPr>
        <w:t xml:space="preserve"> </w:t>
      </w:r>
      <w:r w:rsidRPr="00026AF4">
        <w:rPr>
          <w:rFonts w:asciiTheme="minorHAnsi" w:hAnsiTheme="minorHAnsi"/>
          <w:lang w:val="en-US"/>
        </w:rPr>
        <w:t xml:space="preserve">were compared </w:t>
      </w:r>
      <w:r w:rsidR="00CB7F62" w:rsidRPr="00026AF4">
        <w:rPr>
          <w:rFonts w:asciiTheme="minorHAnsi" w:hAnsiTheme="minorHAnsi"/>
          <w:lang w:val="en-US"/>
        </w:rPr>
        <w:t xml:space="preserve">between the SRP and the </w:t>
      </w:r>
      <w:r w:rsidRPr="00026AF4">
        <w:rPr>
          <w:rFonts w:asciiTheme="minorHAnsi" w:hAnsiTheme="minorHAnsi"/>
          <w:lang w:val="en-US"/>
        </w:rPr>
        <w:t xml:space="preserve">control </w:t>
      </w:r>
      <w:r w:rsidR="00CB7F62" w:rsidRPr="00026AF4">
        <w:rPr>
          <w:rFonts w:asciiTheme="minorHAnsi" w:hAnsiTheme="minorHAnsi"/>
          <w:lang w:val="en-US"/>
        </w:rPr>
        <w:t>groups.</w:t>
      </w:r>
    </w:p>
    <w:p w14:paraId="6B3CB8C8" w14:textId="77777777" w:rsidR="008B4AAC" w:rsidRPr="00026AF4" w:rsidRDefault="008E487D" w:rsidP="00712250">
      <w:pPr>
        <w:jc w:val="both"/>
        <w:rPr>
          <w:rFonts w:asciiTheme="minorHAnsi" w:hAnsiTheme="minorHAnsi"/>
          <w:lang w:val="en-US"/>
        </w:rPr>
      </w:pPr>
      <w:r w:rsidRPr="00026AF4">
        <w:rPr>
          <w:rFonts w:asciiTheme="minorHAnsi" w:hAnsiTheme="minorHAnsi"/>
          <w:lang w:val="en-US"/>
        </w:rPr>
        <w:t xml:space="preserve">The </w:t>
      </w:r>
      <w:r w:rsidR="00202C01" w:rsidRPr="00026AF4">
        <w:rPr>
          <w:rFonts w:asciiTheme="minorHAnsi" w:hAnsiTheme="minorHAnsi"/>
          <w:lang w:val="en-US"/>
        </w:rPr>
        <w:t xml:space="preserve">actuarial </w:t>
      </w:r>
      <w:r w:rsidRPr="00026AF4">
        <w:rPr>
          <w:rFonts w:asciiTheme="minorHAnsi" w:hAnsiTheme="minorHAnsi"/>
          <w:lang w:val="en-US"/>
        </w:rPr>
        <w:t>risk</w:t>
      </w:r>
      <w:r w:rsidR="00202C01" w:rsidRPr="00026AF4">
        <w:rPr>
          <w:rFonts w:asciiTheme="minorHAnsi" w:hAnsiTheme="minorHAnsi"/>
          <w:lang w:val="en-US"/>
        </w:rPr>
        <w:t>s</w:t>
      </w:r>
      <w:r w:rsidRPr="00026AF4">
        <w:rPr>
          <w:rFonts w:asciiTheme="minorHAnsi" w:hAnsiTheme="minorHAnsi"/>
          <w:lang w:val="en-US"/>
        </w:rPr>
        <w:t xml:space="preserve"> of </w:t>
      </w:r>
      <w:r w:rsidR="00202C01" w:rsidRPr="00026AF4">
        <w:rPr>
          <w:rFonts w:asciiTheme="minorHAnsi" w:hAnsiTheme="minorHAnsi"/>
          <w:lang w:val="en-US"/>
        </w:rPr>
        <w:t xml:space="preserve">occurrence of </w:t>
      </w:r>
      <w:r w:rsidR="0054228F" w:rsidRPr="00026AF4">
        <w:rPr>
          <w:rFonts w:asciiTheme="minorHAnsi" w:hAnsiTheme="minorHAnsi"/>
          <w:lang w:val="en-US"/>
        </w:rPr>
        <w:t>chronic pancreatitis</w:t>
      </w:r>
      <w:r w:rsidR="00202C01" w:rsidRPr="00026AF4">
        <w:rPr>
          <w:rFonts w:asciiTheme="minorHAnsi" w:hAnsiTheme="minorHAnsi"/>
          <w:lang w:val="en-US"/>
        </w:rPr>
        <w:t xml:space="preserve">, </w:t>
      </w:r>
      <w:r w:rsidR="00D233EA" w:rsidRPr="00026AF4">
        <w:rPr>
          <w:rFonts w:asciiTheme="minorHAnsi" w:hAnsiTheme="minorHAnsi"/>
          <w:lang w:val="en-US"/>
        </w:rPr>
        <w:t>exocrine pancreatic insufficiency</w:t>
      </w:r>
      <w:r w:rsidR="00202C01" w:rsidRPr="00026AF4">
        <w:rPr>
          <w:rFonts w:asciiTheme="minorHAnsi" w:hAnsiTheme="minorHAnsi"/>
          <w:lang w:val="en-US"/>
        </w:rPr>
        <w:t>, diabetes mellitus and cancer were</w:t>
      </w:r>
      <w:r w:rsidRPr="00026AF4">
        <w:rPr>
          <w:rFonts w:asciiTheme="minorHAnsi" w:hAnsiTheme="minorHAnsi"/>
          <w:lang w:val="en-US"/>
        </w:rPr>
        <w:t xml:space="preserve"> estimated using the </w:t>
      </w:r>
      <w:r w:rsidR="00202C01" w:rsidRPr="00026AF4">
        <w:rPr>
          <w:rFonts w:asciiTheme="minorHAnsi" w:hAnsiTheme="minorHAnsi"/>
          <w:lang w:val="en-US"/>
        </w:rPr>
        <w:t>Kaplan-Meier</w:t>
      </w:r>
      <w:r w:rsidRPr="00026AF4">
        <w:rPr>
          <w:rFonts w:asciiTheme="minorHAnsi" w:hAnsiTheme="minorHAnsi"/>
          <w:lang w:val="en-US"/>
        </w:rPr>
        <w:t xml:space="preserve"> method</w:t>
      </w:r>
      <w:r w:rsidR="00202C01" w:rsidRPr="00026AF4">
        <w:rPr>
          <w:rFonts w:asciiTheme="minorHAnsi" w:hAnsiTheme="minorHAnsi"/>
          <w:lang w:val="en-US"/>
        </w:rPr>
        <w:t xml:space="preserve">, and were compared between the SRP and </w:t>
      </w:r>
      <w:r w:rsidR="00D233EA" w:rsidRPr="00026AF4">
        <w:rPr>
          <w:rFonts w:asciiTheme="minorHAnsi" w:hAnsiTheme="minorHAnsi"/>
          <w:lang w:val="en-US"/>
        </w:rPr>
        <w:t xml:space="preserve">control </w:t>
      </w:r>
      <w:r w:rsidR="00202C01" w:rsidRPr="00026AF4">
        <w:rPr>
          <w:rFonts w:asciiTheme="minorHAnsi" w:hAnsiTheme="minorHAnsi"/>
          <w:lang w:val="en-US"/>
        </w:rPr>
        <w:t xml:space="preserve">groups using </w:t>
      </w:r>
      <w:r w:rsidR="00C1300D" w:rsidRPr="00026AF4">
        <w:rPr>
          <w:rFonts w:asciiTheme="minorHAnsi" w:hAnsiTheme="minorHAnsi"/>
          <w:lang w:val="en-US"/>
        </w:rPr>
        <w:t>a</w:t>
      </w:r>
      <w:r w:rsidR="00202C01" w:rsidRPr="00026AF4">
        <w:rPr>
          <w:rFonts w:asciiTheme="minorHAnsi" w:hAnsiTheme="minorHAnsi"/>
          <w:lang w:val="en-US"/>
        </w:rPr>
        <w:t xml:space="preserve"> log-rank test</w:t>
      </w:r>
      <w:r w:rsidRPr="00026AF4">
        <w:rPr>
          <w:rFonts w:asciiTheme="minorHAnsi" w:hAnsiTheme="minorHAnsi"/>
          <w:lang w:val="en-US"/>
        </w:rPr>
        <w:t xml:space="preserve">. </w:t>
      </w:r>
      <w:r w:rsidR="00050C33" w:rsidRPr="00026AF4">
        <w:rPr>
          <w:rFonts w:asciiTheme="minorHAnsi" w:hAnsiTheme="minorHAnsi"/>
          <w:lang w:val="en-US"/>
        </w:rPr>
        <w:t>Durations and survivals were expressed as their medians with 95% confidence interval</w:t>
      </w:r>
      <w:r w:rsidR="00D233EA" w:rsidRPr="00026AF4">
        <w:rPr>
          <w:rFonts w:asciiTheme="minorHAnsi" w:hAnsiTheme="minorHAnsi"/>
          <w:lang w:val="en-US"/>
        </w:rPr>
        <w:t>s</w:t>
      </w:r>
      <w:r w:rsidR="00050C33" w:rsidRPr="00026AF4">
        <w:rPr>
          <w:rFonts w:asciiTheme="minorHAnsi" w:hAnsiTheme="minorHAnsi"/>
          <w:lang w:val="en-US"/>
        </w:rPr>
        <w:t xml:space="preserve">. </w:t>
      </w:r>
    </w:p>
    <w:p w14:paraId="1389CDDD" w14:textId="77777777" w:rsidR="00B308A8" w:rsidRPr="00026AF4" w:rsidRDefault="008059D8" w:rsidP="00712250">
      <w:pPr>
        <w:jc w:val="both"/>
        <w:rPr>
          <w:rFonts w:asciiTheme="minorHAnsi" w:hAnsiTheme="minorHAnsi"/>
          <w:lang w:val="en-US"/>
        </w:rPr>
      </w:pPr>
      <w:r w:rsidRPr="00026AF4">
        <w:rPr>
          <w:rFonts w:asciiTheme="minorHAnsi" w:hAnsiTheme="minorHAnsi"/>
          <w:lang w:val="en-US"/>
        </w:rPr>
        <w:t>Genotype-phenotype correlations were analyzed by comparing</w:t>
      </w:r>
      <w:r w:rsidR="00B308A8" w:rsidRPr="00026AF4">
        <w:rPr>
          <w:rFonts w:asciiTheme="minorHAnsi" w:hAnsiTheme="minorHAnsi"/>
          <w:lang w:val="en-US"/>
        </w:rPr>
        <w:t xml:space="preserve"> the risk of developing pancreatic symptoms or complications in heterozygous versus homozygous p.N34S patients and </w:t>
      </w:r>
      <w:r w:rsidR="004245CC" w:rsidRPr="00026AF4">
        <w:rPr>
          <w:rFonts w:asciiTheme="minorHAnsi" w:hAnsiTheme="minorHAnsi"/>
          <w:lang w:val="en-US"/>
        </w:rPr>
        <w:t>in heterozygous</w:t>
      </w:r>
      <w:r w:rsidR="00B308A8" w:rsidRPr="00026AF4">
        <w:rPr>
          <w:rFonts w:asciiTheme="minorHAnsi" w:hAnsiTheme="minorHAnsi"/>
          <w:lang w:val="en-US"/>
        </w:rPr>
        <w:t xml:space="preserve"> p.N34S patients with co-mutations (</w:t>
      </w:r>
      <w:r w:rsidR="00B308A8" w:rsidRPr="00026AF4">
        <w:rPr>
          <w:rFonts w:asciiTheme="minorHAnsi" w:hAnsiTheme="minorHAnsi"/>
          <w:i/>
          <w:lang w:val="en-US"/>
        </w:rPr>
        <w:t>CFTR</w:t>
      </w:r>
      <w:r w:rsidR="00B308A8" w:rsidRPr="00026AF4">
        <w:rPr>
          <w:rFonts w:asciiTheme="minorHAnsi" w:hAnsiTheme="minorHAnsi"/>
          <w:lang w:val="en-US"/>
        </w:rPr>
        <w:t xml:space="preserve"> and </w:t>
      </w:r>
      <w:r w:rsidR="00B308A8" w:rsidRPr="00026AF4">
        <w:rPr>
          <w:rFonts w:asciiTheme="minorHAnsi" w:hAnsiTheme="minorHAnsi"/>
          <w:i/>
          <w:lang w:val="en-US"/>
        </w:rPr>
        <w:t>CTRC</w:t>
      </w:r>
      <w:r w:rsidR="00B308A8" w:rsidRPr="00026AF4">
        <w:rPr>
          <w:rFonts w:asciiTheme="minorHAnsi" w:hAnsiTheme="minorHAnsi"/>
          <w:lang w:val="en-US"/>
        </w:rPr>
        <w:t>) versus heterozygous p.N34S patients without co-mutations (</w:t>
      </w:r>
      <w:r w:rsidR="00B308A8" w:rsidRPr="00026AF4">
        <w:rPr>
          <w:rFonts w:asciiTheme="minorHAnsi" w:hAnsiTheme="minorHAnsi"/>
          <w:i/>
          <w:lang w:val="en-US"/>
        </w:rPr>
        <w:t>CFTR</w:t>
      </w:r>
      <w:r w:rsidR="00B308A8" w:rsidRPr="00026AF4">
        <w:rPr>
          <w:rFonts w:asciiTheme="minorHAnsi" w:hAnsiTheme="minorHAnsi"/>
          <w:lang w:val="en-US"/>
        </w:rPr>
        <w:t xml:space="preserve"> and </w:t>
      </w:r>
      <w:r w:rsidR="00B308A8" w:rsidRPr="00026AF4">
        <w:rPr>
          <w:rFonts w:asciiTheme="minorHAnsi" w:hAnsiTheme="minorHAnsi"/>
          <w:i/>
          <w:lang w:val="en-US"/>
        </w:rPr>
        <w:t>CTRC</w:t>
      </w:r>
      <w:r w:rsidR="00B308A8" w:rsidRPr="00026AF4">
        <w:rPr>
          <w:rFonts w:asciiTheme="minorHAnsi" w:hAnsiTheme="minorHAnsi"/>
          <w:lang w:val="en-US"/>
        </w:rPr>
        <w:t xml:space="preserve">), using </w:t>
      </w:r>
      <w:proofErr w:type="spellStart"/>
      <w:r w:rsidR="0009385B" w:rsidRPr="00026AF4">
        <w:rPr>
          <w:rFonts w:asciiTheme="minorHAnsi" w:hAnsiTheme="minorHAnsi"/>
          <w:lang w:val="en-US"/>
        </w:rPr>
        <w:t>univariate</w:t>
      </w:r>
      <w:proofErr w:type="spellEnd"/>
      <w:r w:rsidR="0009385B" w:rsidRPr="00026AF4">
        <w:rPr>
          <w:rFonts w:asciiTheme="minorHAnsi" w:hAnsiTheme="minorHAnsi"/>
          <w:lang w:val="en-US"/>
        </w:rPr>
        <w:t xml:space="preserve"> </w:t>
      </w:r>
      <w:r w:rsidR="00B308A8" w:rsidRPr="00026AF4">
        <w:rPr>
          <w:rFonts w:asciiTheme="minorHAnsi" w:hAnsiTheme="minorHAnsi"/>
          <w:lang w:val="en-US"/>
        </w:rPr>
        <w:t xml:space="preserve">Cox regression hazard models. </w:t>
      </w:r>
    </w:p>
    <w:p w14:paraId="28AB5ED8" w14:textId="77777777" w:rsidR="00050C33" w:rsidRPr="00026AF4" w:rsidRDefault="00050C33" w:rsidP="00712250">
      <w:pPr>
        <w:jc w:val="both"/>
        <w:rPr>
          <w:rFonts w:asciiTheme="minorHAnsi" w:hAnsiTheme="minorHAnsi"/>
          <w:lang w:val="en-US"/>
        </w:rPr>
      </w:pPr>
      <w:r w:rsidRPr="00026AF4">
        <w:rPr>
          <w:rFonts w:asciiTheme="minorHAnsi" w:hAnsiTheme="minorHAnsi"/>
          <w:lang w:val="en-US"/>
        </w:rPr>
        <w:t xml:space="preserve">All analyses were two-sided. Any p-value &lt;0.05 was considered significant. All analyses were performed using Prism® (version 6, </w:t>
      </w:r>
      <w:proofErr w:type="spellStart"/>
      <w:r w:rsidRPr="00026AF4">
        <w:rPr>
          <w:rFonts w:asciiTheme="minorHAnsi" w:hAnsiTheme="minorHAnsi"/>
          <w:lang w:val="en-US"/>
        </w:rPr>
        <w:t>Graphpad</w:t>
      </w:r>
      <w:proofErr w:type="spellEnd"/>
      <w:r w:rsidRPr="00026AF4">
        <w:rPr>
          <w:rFonts w:asciiTheme="minorHAnsi" w:hAnsiTheme="minorHAnsi"/>
          <w:lang w:val="en-US"/>
        </w:rPr>
        <w:t xml:space="preserve">™) and SPSS® (version 20, IBM™). </w:t>
      </w:r>
    </w:p>
    <w:p w14:paraId="516249DA" w14:textId="77777777" w:rsidR="005B74CB" w:rsidRPr="00026AF4" w:rsidRDefault="005B74CB">
      <w:pPr>
        <w:spacing w:after="200" w:line="276" w:lineRule="auto"/>
        <w:rPr>
          <w:rFonts w:asciiTheme="minorHAnsi" w:hAnsiTheme="minorHAnsi"/>
          <w:b/>
          <w:sz w:val="28"/>
          <w:szCs w:val="28"/>
          <w:lang w:val="en-US"/>
        </w:rPr>
      </w:pPr>
      <w:r w:rsidRPr="00026AF4">
        <w:rPr>
          <w:rFonts w:asciiTheme="minorHAnsi" w:hAnsiTheme="minorHAnsi"/>
          <w:b/>
          <w:sz w:val="28"/>
          <w:szCs w:val="28"/>
          <w:lang w:val="en-US"/>
        </w:rPr>
        <w:br w:type="page"/>
      </w:r>
    </w:p>
    <w:p w14:paraId="42B811AD" w14:textId="77777777" w:rsidR="00500E00" w:rsidRPr="00026AF4" w:rsidRDefault="00500E00" w:rsidP="00712250">
      <w:pPr>
        <w:jc w:val="both"/>
        <w:rPr>
          <w:rFonts w:asciiTheme="minorHAnsi" w:hAnsiTheme="minorHAnsi"/>
          <w:b/>
          <w:sz w:val="28"/>
          <w:szCs w:val="28"/>
          <w:lang w:val="en-US"/>
        </w:rPr>
      </w:pPr>
      <w:r w:rsidRPr="00026AF4">
        <w:rPr>
          <w:rFonts w:asciiTheme="minorHAnsi" w:hAnsiTheme="minorHAnsi"/>
          <w:b/>
          <w:sz w:val="28"/>
          <w:szCs w:val="28"/>
          <w:lang w:val="en-US"/>
        </w:rPr>
        <w:lastRenderedPageBreak/>
        <w:t>Results</w:t>
      </w:r>
    </w:p>
    <w:p w14:paraId="2A8AFFC0" w14:textId="77777777" w:rsidR="00742FB6" w:rsidRPr="00026AF4" w:rsidRDefault="00742FB6" w:rsidP="00712250">
      <w:pPr>
        <w:jc w:val="both"/>
        <w:rPr>
          <w:rFonts w:asciiTheme="minorHAnsi" w:hAnsiTheme="minorHAnsi"/>
          <w:b/>
          <w:sz w:val="28"/>
          <w:szCs w:val="28"/>
          <w:lang w:val="en-US"/>
        </w:rPr>
      </w:pPr>
    </w:p>
    <w:p w14:paraId="318243CA" w14:textId="77777777" w:rsidR="004170B6" w:rsidRPr="00026AF4" w:rsidRDefault="0074738F" w:rsidP="00712250">
      <w:pPr>
        <w:jc w:val="both"/>
        <w:rPr>
          <w:rFonts w:asciiTheme="minorHAnsi" w:hAnsiTheme="minorHAnsi"/>
          <w:b/>
          <w:lang w:val="en-US"/>
        </w:rPr>
      </w:pPr>
      <w:r w:rsidRPr="00026AF4">
        <w:rPr>
          <w:rFonts w:asciiTheme="minorHAnsi" w:hAnsiTheme="minorHAnsi"/>
          <w:b/>
          <w:lang w:val="en-US"/>
        </w:rPr>
        <w:t xml:space="preserve">Population </w:t>
      </w:r>
    </w:p>
    <w:p w14:paraId="6D6F6A75" w14:textId="65723B77" w:rsidR="00614C64" w:rsidRPr="00026AF4" w:rsidRDefault="00543199" w:rsidP="00712250">
      <w:pPr>
        <w:jc w:val="both"/>
        <w:rPr>
          <w:rFonts w:asciiTheme="minorHAnsi" w:hAnsiTheme="minorHAnsi"/>
          <w:lang w:val="en-US"/>
        </w:rPr>
      </w:pPr>
      <w:r w:rsidRPr="00026AF4">
        <w:rPr>
          <w:rFonts w:asciiTheme="minorHAnsi" w:hAnsiTheme="minorHAnsi"/>
          <w:lang w:val="en-US"/>
        </w:rPr>
        <w:t>Overall</w:t>
      </w:r>
      <w:r w:rsidR="000745E4" w:rsidRPr="00026AF4">
        <w:rPr>
          <w:rFonts w:asciiTheme="minorHAnsi" w:hAnsiTheme="minorHAnsi"/>
          <w:lang w:val="en-US"/>
        </w:rPr>
        <w:t>,</w:t>
      </w:r>
      <w:r w:rsidR="00972EAE" w:rsidRPr="00026AF4">
        <w:rPr>
          <w:rFonts w:asciiTheme="minorHAnsi" w:hAnsiTheme="minorHAnsi"/>
          <w:lang w:val="en-US"/>
        </w:rPr>
        <w:t xml:space="preserve"> </w:t>
      </w:r>
      <w:r w:rsidRPr="00026AF4">
        <w:rPr>
          <w:rFonts w:asciiTheme="minorHAnsi" w:hAnsiTheme="minorHAnsi"/>
          <w:lang w:val="en-US"/>
        </w:rPr>
        <w:t>209 patients (male, 51.</w:t>
      </w:r>
      <w:r w:rsidR="000745E4" w:rsidRPr="00026AF4">
        <w:rPr>
          <w:rFonts w:asciiTheme="minorHAnsi" w:hAnsiTheme="minorHAnsi"/>
          <w:lang w:val="en-US"/>
        </w:rPr>
        <w:t xml:space="preserve">2%) were included in the </w:t>
      </w:r>
      <w:r w:rsidR="006C416A" w:rsidRPr="00026AF4">
        <w:rPr>
          <w:rFonts w:asciiTheme="minorHAnsi" w:hAnsiTheme="minorHAnsi"/>
          <w:lang w:val="en-US"/>
        </w:rPr>
        <w:t>SRP</w:t>
      </w:r>
      <w:r w:rsidR="000745E4" w:rsidRPr="00026AF4">
        <w:rPr>
          <w:rFonts w:asciiTheme="minorHAnsi" w:hAnsiTheme="minorHAnsi"/>
          <w:lang w:val="en-US"/>
        </w:rPr>
        <w:t xml:space="preserve"> group and</w:t>
      </w:r>
      <w:r w:rsidR="006C416A" w:rsidRPr="00026AF4">
        <w:rPr>
          <w:rFonts w:asciiTheme="minorHAnsi" w:hAnsiTheme="minorHAnsi"/>
          <w:lang w:val="en-US"/>
        </w:rPr>
        <w:t xml:space="preserve"> 302 </w:t>
      </w:r>
      <w:r w:rsidRPr="00026AF4">
        <w:rPr>
          <w:rFonts w:asciiTheme="minorHAnsi" w:hAnsiTheme="minorHAnsi"/>
          <w:lang w:val="en-US"/>
        </w:rPr>
        <w:t xml:space="preserve">patients </w:t>
      </w:r>
      <w:r w:rsidR="008A1EF7" w:rsidRPr="00026AF4">
        <w:rPr>
          <w:rFonts w:asciiTheme="minorHAnsi" w:hAnsiTheme="minorHAnsi"/>
          <w:lang w:val="en-US"/>
        </w:rPr>
        <w:t xml:space="preserve">with idiopathic pancreatitis </w:t>
      </w:r>
      <w:r w:rsidRPr="00026AF4">
        <w:rPr>
          <w:rFonts w:asciiTheme="minorHAnsi" w:hAnsiTheme="minorHAnsi"/>
          <w:lang w:val="en-US"/>
        </w:rPr>
        <w:t>(male, 48.0%)</w:t>
      </w:r>
      <w:r w:rsidR="00CD678F" w:rsidRPr="00026AF4">
        <w:rPr>
          <w:rFonts w:asciiTheme="minorHAnsi" w:hAnsiTheme="minorHAnsi"/>
          <w:lang w:val="en-US"/>
        </w:rPr>
        <w:t xml:space="preserve"> in the </w:t>
      </w:r>
      <w:r w:rsidR="005B74CB" w:rsidRPr="00026AF4">
        <w:rPr>
          <w:rFonts w:asciiTheme="minorHAnsi" w:hAnsiTheme="minorHAnsi"/>
          <w:lang w:val="en-US"/>
        </w:rPr>
        <w:t xml:space="preserve">control </w:t>
      </w:r>
      <w:r w:rsidR="000745E4" w:rsidRPr="00026AF4">
        <w:rPr>
          <w:rFonts w:asciiTheme="minorHAnsi" w:hAnsiTheme="minorHAnsi"/>
          <w:lang w:val="en-US"/>
        </w:rPr>
        <w:t>group</w:t>
      </w:r>
      <w:r w:rsidRPr="00026AF4">
        <w:rPr>
          <w:rFonts w:asciiTheme="minorHAnsi" w:hAnsiTheme="minorHAnsi"/>
          <w:lang w:val="en-US"/>
        </w:rPr>
        <w:t xml:space="preserve"> (</w:t>
      </w:r>
      <w:r w:rsidR="00506AA4" w:rsidRPr="00026AF4">
        <w:rPr>
          <w:rFonts w:asciiTheme="minorHAnsi" w:hAnsiTheme="minorHAnsi"/>
          <w:b/>
          <w:lang w:val="en-US"/>
        </w:rPr>
        <w:t>Table 1</w:t>
      </w:r>
      <w:r w:rsidRPr="00026AF4">
        <w:rPr>
          <w:rFonts w:asciiTheme="minorHAnsi" w:hAnsiTheme="minorHAnsi"/>
          <w:lang w:val="en-US"/>
        </w:rPr>
        <w:t>)</w:t>
      </w:r>
      <w:r w:rsidR="000745E4" w:rsidRPr="00026AF4">
        <w:rPr>
          <w:rFonts w:asciiTheme="minorHAnsi" w:hAnsiTheme="minorHAnsi"/>
          <w:lang w:val="en-US"/>
        </w:rPr>
        <w:t xml:space="preserve">. </w:t>
      </w:r>
      <w:r w:rsidR="00202C01" w:rsidRPr="00026AF4">
        <w:rPr>
          <w:rFonts w:asciiTheme="minorHAnsi" w:hAnsiTheme="minorHAnsi"/>
          <w:lang w:val="en-US"/>
        </w:rPr>
        <w:t xml:space="preserve">The median follow-up was 8.3 years (3.7-17.4) in the SRP group </w:t>
      </w:r>
      <w:proofErr w:type="spellStart"/>
      <w:r w:rsidR="00202C01" w:rsidRPr="00026AF4">
        <w:rPr>
          <w:rFonts w:asciiTheme="minorHAnsi" w:hAnsiTheme="minorHAnsi"/>
          <w:lang w:val="en-US"/>
        </w:rPr>
        <w:t>vs</w:t>
      </w:r>
      <w:proofErr w:type="spellEnd"/>
      <w:r w:rsidR="00202C01" w:rsidRPr="00026AF4">
        <w:rPr>
          <w:rFonts w:asciiTheme="minorHAnsi" w:hAnsiTheme="minorHAnsi"/>
          <w:lang w:val="en-US"/>
        </w:rPr>
        <w:t xml:space="preserve"> 5.3 years (2.5-8.8) in the </w:t>
      </w:r>
      <w:r w:rsidR="005B74CB" w:rsidRPr="00026AF4">
        <w:rPr>
          <w:rFonts w:asciiTheme="minorHAnsi" w:hAnsiTheme="minorHAnsi"/>
          <w:lang w:val="en-US"/>
        </w:rPr>
        <w:t xml:space="preserve">control </w:t>
      </w:r>
      <w:r w:rsidR="00202C01" w:rsidRPr="00026AF4">
        <w:rPr>
          <w:rFonts w:asciiTheme="minorHAnsi" w:hAnsiTheme="minorHAnsi"/>
          <w:lang w:val="en-US"/>
        </w:rPr>
        <w:t>group (p &lt;0.001). T</w:t>
      </w:r>
      <w:r w:rsidR="00614C64" w:rsidRPr="00026AF4">
        <w:rPr>
          <w:rFonts w:asciiTheme="minorHAnsi" w:hAnsiTheme="minorHAnsi"/>
          <w:lang w:val="en-US"/>
        </w:rPr>
        <w:t xml:space="preserve">he </w:t>
      </w:r>
      <w:r w:rsidR="00C1300D" w:rsidRPr="00026AF4">
        <w:rPr>
          <w:rFonts w:asciiTheme="minorHAnsi" w:hAnsiTheme="minorHAnsi"/>
          <w:lang w:val="en-US"/>
        </w:rPr>
        <w:t xml:space="preserve">percentage </w:t>
      </w:r>
      <w:r w:rsidR="00614C64" w:rsidRPr="00026AF4">
        <w:rPr>
          <w:rFonts w:asciiTheme="minorHAnsi" w:hAnsiTheme="minorHAnsi"/>
          <w:lang w:val="en-US"/>
        </w:rPr>
        <w:t xml:space="preserve">of smokers and ex-smokers was </w:t>
      </w:r>
      <w:r w:rsidR="00202C01" w:rsidRPr="00026AF4">
        <w:rPr>
          <w:rFonts w:asciiTheme="minorHAnsi" w:hAnsiTheme="minorHAnsi"/>
          <w:lang w:val="en-US"/>
        </w:rPr>
        <w:t>higher</w:t>
      </w:r>
      <w:r w:rsidR="00614C64" w:rsidRPr="00026AF4">
        <w:rPr>
          <w:rFonts w:asciiTheme="minorHAnsi" w:hAnsiTheme="minorHAnsi"/>
          <w:lang w:val="en-US"/>
        </w:rPr>
        <w:t xml:space="preserve"> in the</w:t>
      </w:r>
      <w:r w:rsidR="00937372" w:rsidRPr="00026AF4">
        <w:rPr>
          <w:rFonts w:asciiTheme="minorHAnsi" w:hAnsiTheme="minorHAnsi"/>
          <w:lang w:val="en-US"/>
        </w:rPr>
        <w:t xml:space="preserve"> </w:t>
      </w:r>
      <w:r w:rsidR="00CF720C" w:rsidRPr="00026AF4">
        <w:rPr>
          <w:rFonts w:asciiTheme="minorHAnsi" w:hAnsiTheme="minorHAnsi"/>
          <w:lang w:val="en-US"/>
        </w:rPr>
        <w:t>control</w:t>
      </w:r>
      <w:r w:rsidR="00614C64" w:rsidRPr="00026AF4">
        <w:rPr>
          <w:rFonts w:asciiTheme="minorHAnsi" w:hAnsiTheme="minorHAnsi"/>
          <w:lang w:val="en-US"/>
        </w:rPr>
        <w:t xml:space="preserve"> group than in the SRP group (46.3% vs. 33.8%, p=0.005), as well as the median number of pack-years </w:t>
      </w:r>
      <w:r w:rsidR="00202C01" w:rsidRPr="00026AF4">
        <w:rPr>
          <w:rFonts w:asciiTheme="minorHAnsi" w:hAnsiTheme="minorHAnsi"/>
          <w:lang w:val="en-US"/>
        </w:rPr>
        <w:t xml:space="preserve">smoked </w:t>
      </w:r>
      <w:r w:rsidR="00614C64" w:rsidRPr="00026AF4">
        <w:rPr>
          <w:rFonts w:asciiTheme="minorHAnsi" w:hAnsiTheme="minorHAnsi"/>
          <w:lang w:val="en-US"/>
        </w:rPr>
        <w:t xml:space="preserve">(15 vs. 8, p&lt;0.0001). </w:t>
      </w:r>
    </w:p>
    <w:p w14:paraId="6653EEAE" w14:textId="77777777" w:rsidR="006324FE" w:rsidRPr="00026AF4" w:rsidRDefault="001F7A21" w:rsidP="00712250">
      <w:pPr>
        <w:jc w:val="both"/>
        <w:rPr>
          <w:rFonts w:asciiTheme="minorHAnsi" w:hAnsiTheme="minorHAnsi"/>
          <w:lang w:val="en-US"/>
        </w:rPr>
      </w:pPr>
      <w:r w:rsidRPr="00026AF4">
        <w:rPr>
          <w:rFonts w:asciiTheme="minorHAnsi" w:hAnsiTheme="minorHAnsi"/>
          <w:lang w:val="en-US"/>
        </w:rPr>
        <w:t>The median a</w:t>
      </w:r>
      <w:r w:rsidR="006324FE" w:rsidRPr="00026AF4">
        <w:rPr>
          <w:rFonts w:asciiTheme="minorHAnsi" w:hAnsiTheme="minorHAnsi"/>
          <w:lang w:val="en-US"/>
        </w:rPr>
        <w:t>ge at last contact or death</w:t>
      </w:r>
      <w:r w:rsidR="004D1958" w:rsidRPr="00026AF4">
        <w:rPr>
          <w:rFonts w:asciiTheme="minorHAnsi" w:hAnsiTheme="minorHAnsi"/>
          <w:lang w:val="en-US"/>
        </w:rPr>
        <w:t xml:space="preserve"> was </w:t>
      </w:r>
      <w:r w:rsidR="006324FE" w:rsidRPr="00026AF4">
        <w:rPr>
          <w:rFonts w:asciiTheme="minorHAnsi" w:hAnsiTheme="minorHAnsi"/>
          <w:lang w:val="en-US"/>
        </w:rPr>
        <w:t xml:space="preserve">34.5 </w:t>
      </w:r>
      <w:r w:rsidR="004D1958" w:rsidRPr="00026AF4">
        <w:rPr>
          <w:rFonts w:asciiTheme="minorHAnsi" w:hAnsiTheme="minorHAnsi"/>
          <w:lang w:val="en-US"/>
        </w:rPr>
        <w:t xml:space="preserve">years </w:t>
      </w:r>
      <w:r w:rsidR="006324FE" w:rsidRPr="00026AF4">
        <w:rPr>
          <w:rFonts w:asciiTheme="minorHAnsi" w:hAnsiTheme="minorHAnsi"/>
          <w:lang w:val="en-US"/>
        </w:rPr>
        <w:t xml:space="preserve">(24.4-48.3) </w:t>
      </w:r>
      <w:r w:rsidR="004D1958" w:rsidRPr="00026AF4">
        <w:rPr>
          <w:rFonts w:asciiTheme="minorHAnsi" w:hAnsiTheme="minorHAnsi"/>
          <w:lang w:val="en-US"/>
        </w:rPr>
        <w:t xml:space="preserve">in the SRP group </w:t>
      </w:r>
      <w:r w:rsidR="006324FE" w:rsidRPr="00026AF4">
        <w:rPr>
          <w:rFonts w:asciiTheme="minorHAnsi" w:hAnsiTheme="minorHAnsi"/>
          <w:lang w:val="en-US"/>
        </w:rPr>
        <w:t xml:space="preserve">versus 50.1 years (34.9-61.5) </w:t>
      </w:r>
      <w:r w:rsidR="004D1958" w:rsidRPr="00026AF4">
        <w:rPr>
          <w:rFonts w:asciiTheme="minorHAnsi" w:hAnsiTheme="minorHAnsi"/>
          <w:lang w:val="en-US"/>
        </w:rPr>
        <w:t>in controls.</w:t>
      </w:r>
    </w:p>
    <w:p w14:paraId="3CF883DE" w14:textId="77777777" w:rsidR="004D1958" w:rsidRPr="00026AF4" w:rsidRDefault="004D1958" w:rsidP="00712250">
      <w:pPr>
        <w:jc w:val="both"/>
        <w:rPr>
          <w:rFonts w:asciiTheme="minorHAnsi" w:hAnsiTheme="minorHAnsi"/>
          <w:lang w:val="en-US"/>
        </w:rPr>
      </w:pPr>
    </w:p>
    <w:p w14:paraId="24E7C2C0" w14:textId="77777777" w:rsidR="00614C64" w:rsidRPr="00026AF4" w:rsidRDefault="001D0105" w:rsidP="00712250">
      <w:pPr>
        <w:jc w:val="both"/>
        <w:rPr>
          <w:rFonts w:asciiTheme="minorHAnsi" w:hAnsiTheme="minorHAnsi"/>
          <w:b/>
          <w:lang w:val="en-US"/>
        </w:rPr>
      </w:pPr>
      <w:r w:rsidRPr="00026AF4">
        <w:rPr>
          <w:rFonts w:asciiTheme="minorHAnsi" w:hAnsiTheme="minorHAnsi"/>
          <w:b/>
          <w:lang w:val="en-US"/>
        </w:rPr>
        <w:t>Genetic</w:t>
      </w:r>
      <w:r w:rsidR="004D6DC1" w:rsidRPr="00026AF4">
        <w:rPr>
          <w:rFonts w:asciiTheme="minorHAnsi" w:hAnsiTheme="minorHAnsi"/>
          <w:b/>
          <w:lang w:val="en-US"/>
        </w:rPr>
        <w:t xml:space="preserve"> characteristic</w:t>
      </w:r>
    </w:p>
    <w:p w14:paraId="6A271730" w14:textId="77777777" w:rsidR="001D0105" w:rsidRPr="00026AF4" w:rsidRDefault="00202C01" w:rsidP="00712250">
      <w:pPr>
        <w:jc w:val="both"/>
        <w:rPr>
          <w:rFonts w:asciiTheme="minorHAnsi" w:hAnsiTheme="minorHAnsi"/>
          <w:b/>
          <w:lang w:val="en-US"/>
        </w:rPr>
      </w:pPr>
      <w:r w:rsidRPr="00026AF4">
        <w:rPr>
          <w:rFonts w:asciiTheme="minorHAnsi" w:hAnsiTheme="minorHAnsi"/>
          <w:lang w:val="en-US"/>
        </w:rPr>
        <w:t>Within the SRP group, m</w:t>
      </w:r>
      <w:r w:rsidR="001D0105" w:rsidRPr="00026AF4">
        <w:rPr>
          <w:rFonts w:asciiTheme="minorHAnsi" w:hAnsiTheme="minorHAnsi"/>
          <w:lang w:val="en-US"/>
        </w:rPr>
        <w:t>ost patients had miss</w:t>
      </w:r>
      <w:r w:rsidRPr="00026AF4">
        <w:rPr>
          <w:rFonts w:asciiTheme="minorHAnsi" w:hAnsiTheme="minorHAnsi"/>
          <w:lang w:val="en-US"/>
        </w:rPr>
        <w:t>ense mutations (200/209, 95.</w:t>
      </w:r>
      <w:r w:rsidR="00C1300D" w:rsidRPr="00026AF4">
        <w:rPr>
          <w:rFonts w:asciiTheme="minorHAnsi" w:hAnsiTheme="minorHAnsi"/>
          <w:lang w:val="en-US"/>
        </w:rPr>
        <w:t>7</w:t>
      </w:r>
      <w:r w:rsidRPr="00026AF4">
        <w:rPr>
          <w:rFonts w:asciiTheme="minorHAnsi" w:hAnsiTheme="minorHAnsi"/>
          <w:lang w:val="en-US"/>
        </w:rPr>
        <w:t>%) and</w:t>
      </w:r>
      <w:r w:rsidR="001D0105" w:rsidRPr="00026AF4">
        <w:rPr>
          <w:rFonts w:asciiTheme="minorHAnsi" w:hAnsiTheme="minorHAnsi"/>
          <w:lang w:val="en-US"/>
        </w:rPr>
        <w:t xml:space="preserve"> 6 patients had deletions (2.</w:t>
      </w:r>
      <w:r w:rsidR="00C1300D" w:rsidRPr="00026AF4">
        <w:rPr>
          <w:rFonts w:asciiTheme="minorHAnsi" w:hAnsiTheme="minorHAnsi"/>
          <w:lang w:val="en-US"/>
        </w:rPr>
        <w:t>9</w:t>
      </w:r>
      <w:r w:rsidR="001D0105" w:rsidRPr="00026AF4">
        <w:rPr>
          <w:rFonts w:asciiTheme="minorHAnsi" w:hAnsiTheme="minorHAnsi"/>
          <w:lang w:val="en-US"/>
        </w:rPr>
        <w:t xml:space="preserve">%). Finally, 3 patients (1.4%) had nonsense mutations due to </w:t>
      </w:r>
      <w:proofErr w:type="spellStart"/>
      <w:r w:rsidR="001D0105" w:rsidRPr="00026AF4">
        <w:rPr>
          <w:rFonts w:asciiTheme="minorHAnsi" w:hAnsiTheme="minorHAnsi"/>
          <w:lang w:val="en-US"/>
        </w:rPr>
        <w:t>frameshift</w:t>
      </w:r>
      <w:proofErr w:type="spellEnd"/>
      <w:r w:rsidR="001D0105" w:rsidRPr="00026AF4">
        <w:rPr>
          <w:rFonts w:asciiTheme="minorHAnsi" w:hAnsiTheme="minorHAnsi"/>
          <w:lang w:val="en-US"/>
        </w:rPr>
        <w:t xml:space="preserve">, including 2 unrelated patients who had a previously </w:t>
      </w:r>
      <w:proofErr w:type="spellStart"/>
      <w:r w:rsidR="001D0105" w:rsidRPr="00026AF4">
        <w:rPr>
          <w:rFonts w:asciiTheme="minorHAnsi" w:hAnsiTheme="minorHAnsi"/>
          <w:lang w:val="en-US"/>
        </w:rPr>
        <w:t>undescribed</w:t>
      </w:r>
      <w:proofErr w:type="spellEnd"/>
      <w:r w:rsidR="001D0105" w:rsidRPr="00026AF4">
        <w:rPr>
          <w:rFonts w:asciiTheme="minorHAnsi" w:hAnsiTheme="minorHAnsi"/>
          <w:lang w:val="en-US"/>
        </w:rPr>
        <w:t xml:space="preserve"> exon 3 mutation (p.C61FfsX2).</w:t>
      </w:r>
    </w:p>
    <w:p w14:paraId="78B18BAA" w14:textId="1FCB76CF" w:rsidR="004D6DC1" w:rsidRPr="00026AF4" w:rsidRDefault="001D0105" w:rsidP="00712250">
      <w:pPr>
        <w:jc w:val="both"/>
        <w:rPr>
          <w:rFonts w:asciiTheme="minorHAnsi" w:hAnsiTheme="minorHAnsi"/>
          <w:lang w:val="en-US"/>
        </w:rPr>
      </w:pPr>
      <w:r w:rsidRPr="00026AF4">
        <w:rPr>
          <w:rFonts w:asciiTheme="minorHAnsi" w:hAnsiTheme="minorHAnsi"/>
          <w:lang w:val="en-US"/>
        </w:rPr>
        <w:t xml:space="preserve">Of the </w:t>
      </w:r>
      <w:r w:rsidR="00E93DAD" w:rsidRPr="00026AF4">
        <w:rPr>
          <w:rFonts w:asciiTheme="minorHAnsi" w:hAnsiTheme="minorHAnsi"/>
          <w:lang w:val="en-US"/>
        </w:rPr>
        <w:t xml:space="preserve">200 </w:t>
      </w:r>
      <w:r w:rsidRPr="00026AF4">
        <w:rPr>
          <w:rFonts w:asciiTheme="minorHAnsi" w:hAnsiTheme="minorHAnsi"/>
          <w:lang w:val="en-US"/>
        </w:rPr>
        <w:t>patients with specific missense mutations, exon 1 was</w:t>
      </w:r>
      <w:r w:rsidR="00E93DAD" w:rsidRPr="00026AF4">
        <w:rPr>
          <w:rFonts w:asciiTheme="minorHAnsi" w:hAnsiTheme="minorHAnsi"/>
          <w:lang w:val="en-US"/>
        </w:rPr>
        <w:t xml:space="preserve"> involved in 4 patients (2</w:t>
      </w:r>
      <w:r w:rsidRPr="00026AF4">
        <w:rPr>
          <w:rFonts w:asciiTheme="minorHAnsi" w:hAnsiTheme="minorHAnsi"/>
          <w:lang w:val="en-US"/>
        </w:rPr>
        <w:t>%), exon 3 in 182 patients (</w:t>
      </w:r>
      <w:r w:rsidR="00E93DAD" w:rsidRPr="00026AF4">
        <w:rPr>
          <w:rFonts w:asciiTheme="minorHAnsi" w:hAnsiTheme="minorHAnsi"/>
          <w:lang w:val="en-US"/>
        </w:rPr>
        <w:t>91</w:t>
      </w:r>
      <w:r w:rsidRPr="00026AF4">
        <w:rPr>
          <w:rFonts w:asciiTheme="minorHAnsi" w:hAnsiTheme="minorHAnsi"/>
          <w:lang w:val="en-US"/>
        </w:rPr>
        <w:t>%), exon 4 in 5 patients (</w:t>
      </w:r>
      <w:r w:rsidR="00E93DAD" w:rsidRPr="00026AF4">
        <w:rPr>
          <w:rFonts w:asciiTheme="minorHAnsi" w:hAnsiTheme="minorHAnsi"/>
          <w:lang w:val="en-US"/>
        </w:rPr>
        <w:t>2.5</w:t>
      </w:r>
      <w:r w:rsidRPr="00026AF4">
        <w:rPr>
          <w:rFonts w:asciiTheme="minorHAnsi" w:hAnsiTheme="minorHAnsi"/>
          <w:lang w:val="en-US"/>
        </w:rPr>
        <w:t xml:space="preserve">%), intron 2 in 3 patients </w:t>
      </w:r>
      <w:r w:rsidR="00E93DAD" w:rsidRPr="00026AF4">
        <w:rPr>
          <w:rFonts w:asciiTheme="minorHAnsi" w:hAnsiTheme="minorHAnsi"/>
          <w:lang w:val="en-US"/>
        </w:rPr>
        <w:t>(1.5</w:t>
      </w:r>
      <w:r w:rsidRPr="00026AF4">
        <w:rPr>
          <w:rFonts w:asciiTheme="minorHAnsi" w:hAnsiTheme="minorHAnsi"/>
          <w:lang w:val="en-US"/>
        </w:rPr>
        <w:t>%)</w:t>
      </w:r>
      <w:r w:rsidR="00E93DAD" w:rsidRPr="00026AF4">
        <w:rPr>
          <w:rFonts w:asciiTheme="minorHAnsi" w:hAnsiTheme="minorHAnsi"/>
          <w:lang w:val="en-US"/>
        </w:rPr>
        <w:t>, intro</w:t>
      </w:r>
      <w:r w:rsidR="00985568" w:rsidRPr="00026AF4">
        <w:rPr>
          <w:rFonts w:asciiTheme="minorHAnsi" w:hAnsiTheme="minorHAnsi"/>
          <w:lang w:val="en-US"/>
        </w:rPr>
        <w:t>n</w:t>
      </w:r>
      <w:r w:rsidR="00E93DAD" w:rsidRPr="00026AF4">
        <w:rPr>
          <w:rFonts w:asciiTheme="minorHAnsi" w:hAnsiTheme="minorHAnsi"/>
          <w:lang w:val="en-US"/>
        </w:rPr>
        <w:t xml:space="preserve"> 3 in 1</w:t>
      </w:r>
      <w:r w:rsidR="004245CC" w:rsidRPr="00026AF4">
        <w:rPr>
          <w:rFonts w:asciiTheme="minorHAnsi" w:hAnsiTheme="minorHAnsi"/>
          <w:lang w:val="en-US"/>
        </w:rPr>
        <w:t>0 patients (5 %</w:t>
      </w:r>
      <w:r w:rsidR="00E93DAD" w:rsidRPr="00026AF4">
        <w:rPr>
          <w:rFonts w:asciiTheme="minorHAnsi" w:hAnsiTheme="minorHAnsi"/>
          <w:lang w:val="en-US"/>
        </w:rPr>
        <w:t xml:space="preserve">). Among them, 5 had compound heterozygous mutations. The most frequent </w:t>
      </w:r>
      <w:r w:rsidR="00202C01" w:rsidRPr="00026AF4">
        <w:rPr>
          <w:rFonts w:asciiTheme="minorHAnsi" w:hAnsiTheme="minorHAnsi"/>
          <w:lang w:val="en-US"/>
        </w:rPr>
        <w:t xml:space="preserve">specific </w:t>
      </w:r>
      <w:r w:rsidR="00E93DAD" w:rsidRPr="00026AF4">
        <w:rPr>
          <w:rFonts w:asciiTheme="minorHAnsi" w:hAnsiTheme="minorHAnsi"/>
          <w:lang w:val="en-US"/>
        </w:rPr>
        <w:t xml:space="preserve">mutation was </w:t>
      </w:r>
      <w:r w:rsidR="004911F9" w:rsidRPr="00026AF4">
        <w:rPr>
          <w:rFonts w:asciiTheme="minorHAnsi" w:hAnsiTheme="minorHAnsi"/>
          <w:lang w:val="en-US"/>
        </w:rPr>
        <w:t>p.N34S</w:t>
      </w:r>
      <w:r w:rsidR="00D23FF8" w:rsidRPr="00026AF4">
        <w:rPr>
          <w:rFonts w:asciiTheme="minorHAnsi" w:hAnsiTheme="minorHAnsi"/>
          <w:lang w:val="en-US"/>
        </w:rPr>
        <w:t xml:space="preserve"> (exon 3)</w:t>
      </w:r>
      <w:r w:rsidR="00E93DAD" w:rsidRPr="00026AF4">
        <w:rPr>
          <w:rFonts w:asciiTheme="minorHAnsi" w:hAnsiTheme="minorHAnsi"/>
          <w:lang w:val="en-US"/>
        </w:rPr>
        <w:t>, which was heterozygous or homozygous in 15</w:t>
      </w:r>
      <w:r w:rsidR="004245CC" w:rsidRPr="00026AF4">
        <w:rPr>
          <w:rFonts w:asciiTheme="minorHAnsi" w:hAnsiTheme="minorHAnsi"/>
          <w:lang w:val="en-US"/>
        </w:rPr>
        <w:t xml:space="preserve">9 </w:t>
      </w:r>
      <w:r w:rsidR="00E93DAD" w:rsidRPr="00026AF4">
        <w:rPr>
          <w:rFonts w:asciiTheme="minorHAnsi" w:hAnsiTheme="minorHAnsi"/>
          <w:lang w:val="en-US"/>
        </w:rPr>
        <w:t>patients and 22 patients, respectively (</w:t>
      </w:r>
      <w:r w:rsidR="004245CC" w:rsidRPr="00026AF4">
        <w:rPr>
          <w:rFonts w:asciiTheme="minorHAnsi" w:hAnsiTheme="minorHAnsi"/>
          <w:lang w:val="en-US"/>
        </w:rPr>
        <w:t xml:space="preserve">79.5% </w:t>
      </w:r>
      <w:r w:rsidR="00E93DAD" w:rsidRPr="00026AF4">
        <w:rPr>
          <w:rFonts w:asciiTheme="minorHAnsi" w:hAnsiTheme="minorHAnsi"/>
          <w:lang w:val="en-US"/>
        </w:rPr>
        <w:t>and 10.5%).</w:t>
      </w:r>
      <w:r w:rsidR="00087B34" w:rsidRPr="00026AF4">
        <w:rPr>
          <w:rFonts w:asciiTheme="minorHAnsi" w:hAnsiTheme="minorHAnsi"/>
          <w:lang w:val="en-US"/>
        </w:rPr>
        <w:t xml:space="preserve"> One patient had a previously </w:t>
      </w:r>
      <w:proofErr w:type="spellStart"/>
      <w:r w:rsidR="00087B34" w:rsidRPr="00026AF4">
        <w:rPr>
          <w:rFonts w:asciiTheme="minorHAnsi" w:hAnsiTheme="minorHAnsi"/>
          <w:lang w:val="en-US"/>
        </w:rPr>
        <w:t>undescribed</w:t>
      </w:r>
      <w:proofErr w:type="spellEnd"/>
      <w:r w:rsidR="00087B34" w:rsidRPr="00026AF4">
        <w:rPr>
          <w:rFonts w:asciiTheme="minorHAnsi" w:hAnsiTheme="minorHAnsi"/>
          <w:lang w:val="en-US"/>
        </w:rPr>
        <w:t xml:space="preserve"> exon </w:t>
      </w:r>
      <w:r w:rsidR="004245CC" w:rsidRPr="00026AF4">
        <w:rPr>
          <w:rFonts w:asciiTheme="minorHAnsi" w:hAnsiTheme="minorHAnsi"/>
          <w:lang w:val="en-US"/>
        </w:rPr>
        <w:t xml:space="preserve">1 </w:t>
      </w:r>
      <w:r w:rsidR="00087B34" w:rsidRPr="00026AF4">
        <w:rPr>
          <w:rFonts w:asciiTheme="minorHAnsi" w:hAnsiTheme="minorHAnsi"/>
          <w:lang w:val="en-US"/>
        </w:rPr>
        <w:t>mutation (</w:t>
      </w:r>
      <w:r w:rsidR="00520D06" w:rsidRPr="00026AF4">
        <w:rPr>
          <w:rFonts w:asciiTheme="minorHAnsi" w:hAnsiTheme="minorHAnsi"/>
          <w:lang w:val="en-US"/>
        </w:rPr>
        <w:t>p.</w:t>
      </w:r>
      <w:r w:rsidR="00087B34" w:rsidRPr="00026AF4">
        <w:rPr>
          <w:rFonts w:asciiTheme="minorHAnsi" w:hAnsiTheme="minorHAnsi"/>
          <w:lang w:val="en-US"/>
        </w:rPr>
        <w:t>S16R).</w:t>
      </w:r>
      <w:r w:rsidR="00AA69FD" w:rsidRPr="00026AF4">
        <w:rPr>
          <w:rFonts w:asciiTheme="minorHAnsi" w:hAnsiTheme="minorHAnsi"/>
          <w:lang w:val="en-US"/>
        </w:rPr>
        <w:t xml:space="preserve"> Other mutations, less frequent, were found in 28 patients. </w:t>
      </w:r>
      <w:r w:rsidR="008142B8" w:rsidRPr="00026AF4">
        <w:rPr>
          <w:rFonts w:asciiTheme="minorHAnsi" w:hAnsiTheme="minorHAnsi"/>
          <w:lang w:val="en-US"/>
        </w:rPr>
        <w:t xml:space="preserve">All data are showed in the supplementary data section, </w:t>
      </w:r>
      <w:r w:rsidR="008142B8" w:rsidRPr="00026AF4">
        <w:rPr>
          <w:rFonts w:asciiTheme="minorHAnsi" w:hAnsiTheme="minorHAnsi"/>
          <w:b/>
          <w:lang w:val="en-US"/>
        </w:rPr>
        <w:t>table 2</w:t>
      </w:r>
      <w:r w:rsidR="008142B8" w:rsidRPr="00026AF4">
        <w:rPr>
          <w:rFonts w:asciiTheme="minorHAnsi" w:hAnsiTheme="minorHAnsi"/>
          <w:lang w:val="en-US"/>
        </w:rPr>
        <w:t>.</w:t>
      </w:r>
    </w:p>
    <w:p w14:paraId="36D9AD23" w14:textId="35E16494" w:rsidR="004F43A6" w:rsidRPr="00026AF4" w:rsidRDefault="00F0189B" w:rsidP="00712250">
      <w:pPr>
        <w:jc w:val="both"/>
        <w:rPr>
          <w:rFonts w:asciiTheme="minorHAnsi" w:hAnsiTheme="minorHAnsi"/>
          <w:lang w:val="en-US"/>
        </w:rPr>
      </w:pPr>
      <w:r w:rsidRPr="00026AF4">
        <w:rPr>
          <w:rFonts w:asciiTheme="minorHAnsi" w:hAnsiTheme="minorHAnsi"/>
          <w:lang w:val="en-US"/>
        </w:rPr>
        <w:t xml:space="preserve">Of the 209 SRP patients only 207 and 55 patients were tested for </w:t>
      </w:r>
      <w:r w:rsidRPr="00026AF4">
        <w:rPr>
          <w:rFonts w:asciiTheme="minorHAnsi" w:hAnsiTheme="minorHAnsi"/>
          <w:i/>
          <w:lang w:val="en-US"/>
        </w:rPr>
        <w:t>CFTR</w:t>
      </w:r>
      <w:r w:rsidRPr="00026AF4">
        <w:rPr>
          <w:rFonts w:asciiTheme="minorHAnsi" w:hAnsiTheme="minorHAnsi"/>
          <w:lang w:val="en-US"/>
        </w:rPr>
        <w:t xml:space="preserve"> and </w:t>
      </w:r>
      <w:r w:rsidRPr="00026AF4">
        <w:rPr>
          <w:rFonts w:asciiTheme="minorHAnsi" w:hAnsiTheme="minorHAnsi"/>
          <w:i/>
          <w:lang w:val="en-US"/>
        </w:rPr>
        <w:t>CTRC</w:t>
      </w:r>
      <w:r w:rsidRPr="00026AF4">
        <w:rPr>
          <w:rFonts w:asciiTheme="minorHAnsi" w:hAnsiTheme="minorHAnsi"/>
          <w:lang w:val="en-US"/>
        </w:rPr>
        <w:t xml:space="preserve"> mutations respectively. </w:t>
      </w:r>
      <w:r w:rsidR="00AA69FD" w:rsidRPr="00026AF4">
        <w:rPr>
          <w:rFonts w:asciiTheme="minorHAnsi" w:hAnsiTheme="minorHAnsi"/>
          <w:lang w:val="en-US"/>
        </w:rPr>
        <w:t xml:space="preserve">A </w:t>
      </w:r>
      <w:r w:rsidR="00AA69FD" w:rsidRPr="00026AF4">
        <w:rPr>
          <w:rFonts w:asciiTheme="minorHAnsi" w:hAnsiTheme="minorHAnsi"/>
          <w:i/>
          <w:lang w:val="en-US"/>
        </w:rPr>
        <w:t>CFTR</w:t>
      </w:r>
      <w:r w:rsidR="00AA69FD" w:rsidRPr="00026AF4">
        <w:rPr>
          <w:rFonts w:asciiTheme="minorHAnsi" w:hAnsiTheme="minorHAnsi"/>
          <w:lang w:val="en-US"/>
        </w:rPr>
        <w:t xml:space="preserve"> or </w:t>
      </w:r>
      <w:r w:rsidR="00AA69FD" w:rsidRPr="00026AF4">
        <w:rPr>
          <w:rFonts w:asciiTheme="minorHAnsi" w:hAnsiTheme="minorHAnsi"/>
          <w:i/>
          <w:lang w:val="en-US"/>
        </w:rPr>
        <w:t>CTRC</w:t>
      </w:r>
      <w:r w:rsidR="00AA69FD" w:rsidRPr="00026AF4">
        <w:rPr>
          <w:rFonts w:asciiTheme="minorHAnsi" w:hAnsiTheme="minorHAnsi"/>
          <w:lang w:val="en-US"/>
        </w:rPr>
        <w:t xml:space="preserve"> mutation was found in 44 (21.</w:t>
      </w:r>
      <w:r w:rsidRPr="00026AF4">
        <w:rPr>
          <w:rFonts w:asciiTheme="minorHAnsi" w:hAnsiTheme="minorHAnsi"/>
          <w:lang w:val="en-US"/>
        </w:rPr>
        <w:t>3</w:t>
      </w:r>
      <w:r w:rsidR="00AA69FD" w:rsidRPr="00026AF4">
        <w:rPr>
          <w:rFonts w:asciiTheme="minorHAnsi" w:hAnsiTheme="minorHAnsi"/>
          <w:lang w:val="en-US"/>
        </w:rPr>
        <w:t>%) and 5 (</w:t>
      </w:r>
      <w:r w:rsidRPr="00026AF4">
        <w:rPr>
          <w:rFonts w:asciiTheme="minorHAnsi" w:hAnsiTheme="minorHAnsi"/>
          <w:lang w:val="en-US"/>
        </w:rPr>
        <w:t>9.1</w:t>
      </w:r>
      <w:r w:rsidR="00AA69FD" w:rsidRPr="00026AF4">
        <w:rPr>
          <w:rFonts w:asciiTheme="minorHAnsi" w:hAnsiTheme="minorHAnsi"/>
          <w:lang w:val="en-US"/>
        </w:rPr>
        <w:t>%) patients</w:t>
      </w:r>
      <w:r w:rsidR="00BD38A6" w:rsidRPr="00026AF4">
        <w:rPr>
          <w:rFonts w:asciiTheme="minorHAnsi" w:hAnsiTheme="minorHAnsi"/>
          <w:lang w:val="en-US"/>
        </w:rPr>
        <w:t xml:space="preserve"> respectively</w:t>
      </w:r>
      <w:r w:rsidR="00AA69FD" w:rsidRPr="00026AF4">
        <w:rPr>
          <w:rFonts w:asciiTheme="minorHAnsi" w:hAnsiTheme="minorHAnsi"/>
          <w:lang w:val="en-US"/>
        </w:rPr>
        <w:t xml:space="preserve">. Of note, 2 patients </w:t>
      </w:r>
      <w:r w:rsidR="004245CC" w:rsidRPr="00026AF4">
        <w:rPr>
          <w:rFonts w:asciiTheme="minorHAnsi" w:hAnsiTheme="minorHAnsi"/>
          <w:lang w:val="en-US"/>
        </w:rPr>
        <w:t xml:space="preserve">from a same family (mother and son) </w:t>
      </w:r>
      <w:r w:rsidR="00AA69FD" w:rsidRPr="00026AF4">
        <w:rPr>
          <w:rFonts w:asciiTheme="minorHAnsi" w:hAnsiTheme="minorHAnsi"/>
          <w:lang w:val="en-US"/>
        </w:rPr>
        <w:t xml:space="preserve">had </w:t>
      </w:r>
      <w:r w:rsidR="004D6DC1" w:rsidRPr="00026AF4">
        <w:rPr>
          <w:rFonts w:asciiTheme="minorHAnsi" w:hAnsiTheme="minorHAnsi"/>
          <w:lang w:val="en-US"/>
        </w:rPr>
        <w:t xml:space="preserve">a </w:t>
      </w:r>
      <w:r w:rsidR="00AA69FD" w:rsidRPr="00026AF4">
        <w:rPr>
          <w:rFonts w:asciiTheme="minorHAnsi" w:hAnsiTheme="minorHAnsi"/>
          <w:lang w:val="en-US"/>
        </w:rPr>
        <w:t xml:space="preserve">triple </w:t>
      </w:r>
      <w:r w:rsidR="00AA69FD" w:rsidRPr="00026AF4">
        <w:rPr>
          <w:rFonts w:asciiTheme="minorHAnsi" w:hAnsiTheme="minorHAnsi"/>
          <w:i/>
          <w:lang w:val="en-US"/>
        </w:rPr>
        <w:t>SPINK1</w:t>
      </w:r>
      <w:r w:rsidR="00AA69FD" w:rsidRPr="00026AF4">
        <w:rPr>
          <w:rFonts w:asciiTheme="minorHAnsi" w:hAnsiTheme="minorHAnsi"/>
          <w:lang w:val="en-US"/>
        </w:rPr>
        <w:t>-</w:t>
      </w:r>
      <w:r w:rsidR="00AA69FD" w:rsidRPr="00026AF4">
        <w:rPr>
          <w:rFonts w:asciiTheme="minorHAnsi" w:hAnsiTheme="minorHAnsi"/>
          <w:i/>
          <w:lang w:val="en-US"/>
        </w:rPr>
        <w:t>CFTR</w:t>
      </w:r>
      <w:r w:rsidR="00AA69FD" w:rsidRPr="00026AF4">
        <w:rPr>
          <w:rFonts w:asciiTheme="minorHAnsi" w:hAnsiTheme="minorHAnsi"/>
          <w:lang w:val="en-US"/>
        </w:rPr>
        <w:t>-</w:t>
      </w:r>
      <w:r w:rsidR="00AA69FD" w:rsidRPr="00026AF4">
        <w:rPr>
          <w:rFonts w:asciiTheme="minorHAnsi" w:hAnsiTheme="minorHAnsi"/>
          <w:i/>
          <w:lang w:val="en-US"/>
        </w:rPr>
        <w:t>CTRC</w:t>
      </w:r>
      <w:r w:rsidR="00AA69FD" w:rsidRPr="00026AF4">
        <w:rPr>
          <w:rFonts w:asciiTheme="minorHAnsi" w:hAnsiTheme="minorHAnsi"/>
          <w:lang w:val="en-US"/>
        </w:rPr>
        <w:t xml:space="preserve"> mutation.</w:t>
      </w:r>
      <w:r w:rsidR="008142B8" w:rsidRPr="00026AF4">
        <w:rPr>
          <w:rFonts w:asciiTheme="minorHAnsi" w:hAnsiTheme="minorHAnsi"/>
          <w:lang w:val="en-US"/>
        </w:rPr>
        <w:t xml:space="preserve"> Among patients with </w:t>
      </w:r>
      <w:r w:rsidR="008142B8" w:rsidRPr="00026AF4">
        <w:rPr>
          <w:rFonts w:asciiTheme="minorHAnsi" w:hAnsiTheme="minorHAnsi"/>
          <w:i/>
          <w:lang w:val="en-US"/>
        </w:rPr>
        <w:t>CFTR</w:t>
      </w:r>
      <w:r w:rsidR="008142B8" w:rsidRPr="00026AF4">
        <w:rPr>
          <w:rFonts w:asciiTheme="minorHAnsi" w:hAnsiTheme="minorHAnsi"/>
          <w:lang w:val="en-US"/>
        </w:rPr>
        <w:t xml:space="preserve"> mutations, mutations were mild (n=17), severe (n=6), </w:t>
      </w:r>
      <w:r w:rsidR="00B7605F" w:rsidRPr="00026AF4">
        <w:rPr>
          <w:rFonts w:asciiTheme="minorHAnsi" w:hAnsiTheme="minorHAnsi"/>
          <w:lang w:val="en-US"/>
        </w:rPr>
        <w:t>composite heterozygote</w:t>
      </w:r>
      <w:r w:rsidR="008142B8" w:rsidRPr="00026AF4">
        <w:rPr>
          <w:rFonts w:asciiTheme="minorHAnsi" w:hAnsiTheme="minorHAnsi"/>
          <w:lang w:val="en-US"/>
        </w:rPr>
        <w:t xml:space="preserve"> severe /mild </w:t>
      </w:r>
      <w:r w:rsidR="00B7605F" w:rsidRPr="00026AF4">
        <w:rPr>
          <w:rFonts w:asciiTheme="minorHAnsi" w:hAnsiTheme="minorHAnsi"/>
          <w:lang w:val="en-US"/>
        </w:rPr>
        <w:t xml:space="preserve">(n=3), </w:t>
      </w:r>
      <w:r w:rsidR="008142B8" w:rsidRPr="00026AF4">
        <w:rPr>
          <w:rFonts w:asciiTheme="minorHAnsi" w:hAnsiTheme="minorHAnsi"/>
          <w:lang w:val="en-US"/>
        </w:rPr>
        <w:t xml:space="preserve">composite </w:t>
      </w:r>
      <w:r w:rsidR="00B7605F" w:rsidRPr="00026AF4">
        <w:rPr>
          <w:rFonts w:asciiTheme="minorHAnsi" w:hAnsiTheme="minorHAnsi"/>
          <w:lang w:val="en-US"/>
        </w:rPr>
        <w:t>heterozygote with</w:t>
      </w:r>
      <w:r w:rsidR="008142B8" w:rsidRPr="00026AF4">
        <w:rPr>
          <w:rFonts w:asciiTheme="minorHAnsi" w:hAnsiTheme="minorHAnsi"/>
          <w:lang w:val="en-US"/>
        </w:rPr>
        <w:t xml:space="preserve"> 2 severe mutation</w:t>
      </w:r>
      <w:r w:rsidR="00B7605F" w:rsidRPr="00026AF4">
        <w:rPr>
          <w:rFonts w:asciiTheme="minorHAnsi" w:hAnsiTheme="minorHAnsi"/>
          <w:lang w:val="en-US"/>
        </w:rPr>
        <w:t xml:space="preserve">s (n=1), </w:t>
      </w:r>
      <w:r w:rsidR="008142B8" w:rsidRPr="00026AF4">
        <w:rPr>
          <w:rFonts w:asciiTheme="minorHAnsi" w:hAnsiTheme="minorHAnsi"/>
          <w:lang w:val="en-US"/>
        </w:rPr>
        <w:t>uncertain</w:t>
      </w:r>
      <w:r w:rsidR="00B7605F" w:rsidRPr="00026AF4">
        <w:rPr>
          <w:rFonts w:asciiTheme="minorHAnsi" w:hAnsiTheme="minorHAnsi"/>
          <w:lang w:val="en-US"/>
        </w:rPr>
        <w:t xml:space="preserve"> (n=2).</w:t>
      </w:r>
    </w:p>
    <w:p w14:paraId="489C792C" w14:textId="77777777" w:rsidR="00B7605F" w:rsidRPr="00026AF4" w:rsidRDefault="00B7605F" w:rsidP="00712250">
      <w:pPr>
        <w:jc w:val="both"/>
        <w:rPr>
          <w:rFonts w:asciiTheme="minorHAnsi" w:hAnsiTheme="minorHAnsi"/>
          <w:lang w:val="en-US"/>
        </w:rPr>
      </w:pPr>
    </w:p>
    <w:p w14:paraId="57D3E809" w14:textId="77777777" w:rsidR="0074738F" w:rsidRPr="00026AF4" w:rsidRDefault="0074738F" w:rsidP="00712250">
      <w:pPr>
        <w:jc w:val="both"/>
        <w:rPr>
          <w:rFonts w:asciiTheme="minorHAnsi" w:hAnsiTheme="minorHAnsi"/>
          <w:b/>
          <w:i/>
          <w:lang w:val="en-US"/>
        </w:rPr>
      </w:pPr>
      <w:r w:rsidRPr="00026AF4">
        <w:rPr>
          <w:rFonts w:asciiTheme="minorHAnsi" w:hAnsiTheme="minorHAnsi"/>
          <w:b/>
          <w:i/>
          <w:lang w:val="en-US"/>
        </w:rPr>
        <w:t>Onset of symptoms</w:t>
      </w:r>
    </w:p>
    <w:p w14:paraId="777996AE" w14:textId="77777777" w:rsidR="00937372" w:rsidRPr="00026AF4" w:rsidRDefault="000745E4" w:rsidP="00712250">
      <w:pPr>
        <w:jc w:val="both"/>
        <w:rPr>
          <w:rFonts w:asciiTheme="minorHAnsi" w:hAnsiTheme="minorHAnsi"/>
          <w:lang w:val="en-US"/>
        </w:rPr>
      </w:pPr>
      <w:r w:rsidRPr="00026AF4">
        <w:rPr>
          <w:rFonts w:asciiTheme="minorHAnsi" w:hAnsiTheme="minorHAnsi"/>
          <w:lang w:val="en-US"/>
        </w:rPr>
        <w:t xml:space="preserve">The median age at onset of symptoms </w:t>
      </w:r>
      <w:r w:rsidR="00B55ADC" w:rsidRPr="00026AF4">
        <w:rPr>
          <w:rFonts w:asciiTheme="minorHAnsi" w:hAnsiTheme="minorHAnsi"/>
          <w:lang w:val="en-US"/>
        </w:rPr>
        <w:t>was 20.1 years (</w:t>
      </w:r>
      <w:r w:rsidR="008A6531" w:rsidRPr="00026AF4">
        <w:rPr>
          <w:rFonts w:asciiTheme="minorHAnsi" w:hAnsiTheme="minorHAnsi"/>
          <w:lang w:val="en-US"/>
        </w:rPr>
        <w:t>95% CI, 17.5-22.8</w:t>
      </w:r>
      <w:r w:rsidRPr="00026AF4">
        <w:rPr>
          <w:rFonts w:asciiTheme="minorHAnsi" w:hAnsiTheme="minorHAnsi"/>
          <w:lang w:val="en-US"/>
        </w:rPr>
        <w:t>) in the SRP group and 41.2 years (</w:t>
      </w:r>
      <w:r w:rsidR="008A6531" w:rsidRPr="00026AF4">
        <w:rPr>
          <w:rFonts w:asciiTheme="minorHAnsi" w:hAnsiTheme="minorHAnsi"/>
          <w:lang w:val="en-US"/>
        </w:rPr>
        <w:t>95% CI, 35.2-45.2</w:t>
      </w:r>
      <w:r w:rsidR="006C416A" w:rsidRPr="00026AF4">
        <w:rPr>
          <w:rFonts w:asciiTheme="minorHAnsi" w:hAnsiTheme="minorHAnsi"/>
          <w:lang w:val="en-US"/>
        </w:rPr>
        <w:t>) in the I</w:t>
      </w:r>
      <w:r w:rsidR="00202C01" w:rsidRPr="00026AF4">
        <w:rPr>
          <w:rFonts w:asciiTheme="minorHAnsi" w:hAnsiTheme="minorHAnsi"/>
          <w:lang w:val="en-US"/>
        </w:rPr>
        <w:t xml:space="preserve">P group (p&lt; 0.001). </w:t>
      </w:r>
      <w:r w:rsidR="00075671" w:rsidRPr="00026AF4">
        <w:rPr>
          <w:rFonts w:asciiTheme="minorHAnsi" w:hAnsiTheme="minorHAnsi"/>
          <w:lang w:val="en-US"/>
        </w:rPr>
        <w:t>In the SRP group, the proportion of symptomatic patients</w:t>
      </w:r>
      <w:r w:rsidR="00AB2AF6" w:rsidRPr="00026AF4">
        <w:rPr>
          <w:rFonts w:asciiTheme="minorHAnsi" w:hAnsiTheme="minorHAnsi"/>
          <w:lang w:val="en-US"/>
        </w:rPr>
        <w:t xml:space="preserve"> (i.e. pancreatic pain, </w:t>
      </w:r>
      <w:proofErr w:type="spellStart"/>
      <w:r w:rsidR="00AB2AF6" w:rsidRPr="00026AF4">
        <w:rPr>
          <w:rFonts w:asciiTheme="minorHAnsi" w:hAnsiTheme="minorHAnsi"/>
          <w:lang w:val="en-US"/>
        </w:rPr>
        <w:t>steatorrhea</w:t>
      </w:r>
      <w:proofErr w:type="spellEnd"/>
      <w:r w:rsidR="00F0189B" w:rsidRPr="00026AF4">
        <w:rPr>
          <w:rFonts w:asciiTheme="minorHAnsi" w:hAnsiTheme="minorHAnsi"/>
          <w:lang w:val="en-US"/>
        </w:rPr>
        <w:t xml:space="preserve"> </w:t>
      </w:r>
      <w:proofErr w:type="spellStart"/>
      <w:r w:rsidR="00F0189B" w:rsidRPr="00026AF4">
        <w:rPr>
          <w:rFonts w:asciiTheme="minorHAnsi" w:hAnsiTheme="minorHAnsi"/>
          <w:lang w:val="en-US"/>
        </w:rPr>
        <w:t>etc</w:t>
      </w:r>
      <w:proofErr w:type="spellEnd"/>
      <w:r w:rsidR="00AB2AF6" w:rsidRPr="00026AF4">
        <w:rPr>
          <w:rFonts w:asciiTheme="minorHAnsi" w:hAnsiTheme="minorHAnsi"/>
          <w:lang w:val="en-US"/>
        </w:rPr>
        <w:t xml:space="preserve">) </w:t>
      </w:r>
      <w:r w:rsidR="00075671" w:rsidRPr="00026AF4">
        <w:rPr>
          <w:rFonts w:asciiTheme="minorHAnsi" w:hAnsiTheme="minorHAnsi"/>
          <w:lang w:val="en-US"/>
        </w:rPr>
        <w:t>was 49.8% at 20 years, 71.1% at 30 years, 85.1% at 40 years and 92.0% at 50 years (</w:t>
      </w:r>
      <w:r w:rsidR="00075671" w:rsidRPr="00026AF4">
        <w:rPr>
          <w:rFonts w:asciiTheme="minorHAnsi" w:hAnsiTheme="minorHAnsi"/>
          <w:b/>
          <w:lang w:val="en-US"/>
        </w:rPr>
        <w:t>Figure 1</w:t>
      </w:r>
      <w:r w:rsidR="00075671" w:rsidRPr="00026AF4">
        <w:rPr>
          <w:rFonts w:asciiTheme="minorHAnsi" w:hAnsiTheme="minorHAnsi"/>
          <w:lang w:val="en-US"/>
        </w:rPr>
        <w:t xml:space="preserve">). The median delay between the onset of symptoms and the diagnosis of </w:t>
      </w:r>
      <w:r w:rsidR="00075671" w:rsidRPr="00026AF4">
        <w:rPr>
          <w:rFonts w:asciiTheme="minorHAnsi" w:hAnsiTheme="minorHAnsi"/>
          <w:i/>
          <w:lang w:val="en-US"/>
        </w:rPr>
        <w:t>SPINK1</w:t>
      </w:r>
      <w:r w:rsidR="00075671" w:rsidRPr="00026AF4">
        <w:rPr>
          <w:rFonts w:asciiTheme="minorHAnsi" w:hAnsiTheme="minorHAnsi"/>
          <w:lang w:val="en-US"/>
        </w:rPr>
        <w:t xml:space="preserve"> mutation was 3.7 years (1-11.3). </w:t>
      </w:r>
    </w:p>
    <w:p w14:paraId="0E968341" w14:textId="77777777" w:rsidR="00075671" w:rsidRPr="00026AF4" w:rsidRDefault="00075671" w:rsidP="00712250">
      <w:pPr>
        <w:jc w:val="both"/>
        <w:rPr>
          <w:rFonts w:asciiTheme="minorHAnsi" w:hAnsiTheme="minorHAnsi"/>
          <w:lang w:val="en-US"/>
        </w:rPr>
      </w:pPr>
    </w:p>
    <w:p w14:paraId="3F3619C6" w14:textId="77777777" w:rsidR="00614C64" w:rsidRPr="00026AF4" w:rsidRDefault="00202C01" w:rsidP="00712250">
      <w:pPr>
        <w:jc w:val="both"/>
        <w:rPr>
          <w:rFonts w:asciiTheme="minorHAnsi" w:hAnsiTheme="minorHAnsi"/>
          <w:lang w:val="en-US"/>
        </w:rPr>
      </w:pPr>
      <w:r w:rsidRPr="00026AF4">
        <w:rPr>
          <w:rFonts w:asciiTheme="minorHAnsi" w:hAnsiTheme="minorHAnsi"/>
          <w:lang w:val="en-US"/>
        </w:rPr>
        <w:t>Among the SRP patients, t</w:t>
      </w:r>
      <w:r w:rsidR="00614C64" w:rsidRPr="00026AF4">
        <w:rPr>
          <w:rFonts w:asciiTheme="minorHAnsi" w:hAnsiTheme="minorHAnsi"/>
          <w:lang w:val="en-US"/>
        </w:rPr>
        <w:t xml:space="preserve">he </w:t>
      </w:r>
      <w:r w:rsidRPr="00026AF4">
        <w:rPr>
          <w:rFonts w:asciiTheme="minorHAnsi" w:hAnsiTheme="minorHAnsi"/>
          <w:lang w:val="en-US"/>
        </w:rPr>
        <w:t xml:space="preserve">existence of a </w:t>
      </w:r>
      <w:r w:rsidR="004911F9" w:rsidRPr="00026AF4">
        <w:rPr>
          <w:rFonts w:asciiTheme="minorHAnsi" w:hAnsiTheme="minorHAnsi"/>
          <w:lang w:val="en-US"/>
        </w:rPr>
        <w:t>p.N34S</w:t>
      </w:r>
      <w:r w:rsidR="00614C64" w:rsidRPr="00026AF4">
        <w:rPr>
          <w:rFonts w:asciiTheme="minorHAnsi" w:hAnsiTheme="minorHAnsi"/>
          <w:lang w:val="en-US"/>
        </w:rPr>
        <w:t xml:space="preserve"> homozygous mutation was associated with a statistically non-significant </w:t>
      </w:r>
      <w:r w:rsidR="00CE710A" w:rsidRPr="00026AF4">
        <w:rPr>
          <w:rFonts w:asciiTheme="minorHAnsi" w:hAnsiTheme="minorHAnsi"/>
          <w:lang w:val="en-US"/>
        </w:rPr>
        <w:t>tendency</w:t>
      </w:r>
      <w:r w:rsidR="00614C64" w:rsidRPr="00026AF4">
        <w:rPr>
          <w:rFonts w:asciiTheme="minorHAnsi" w:hAnsiTheme="minorHAnsi"/>
          <w:lang w:val="en-US"/>
        </w:rPr>
        <w:t xml:space="preserve"> for earlier onset of symptoms compared to </w:t>
      </w:r>
      <w:r w:rsidR="004911F9" w:rsidRPr="00026AF4">
        <w:rPr>
          <w:rFonts w:asciiTheme="minorHAnsi" w:hAnsiTheme="minorHAnsi"/>
          <w:lang w:val="en-US"/>
        </w:rPr>
        <w:t>p.N34S</w:t>
      </w:r>
      <w:r w:rsidR="00614C64" w:rsidRPr="00026AF4">
        <w:rPr>
          <w:rFonts w:asciiTheme="minorHAnsi" w:hAnsiTheme="minorHAnsi"/>
          <w:lang w:val="en-US"/>
        </w:rPr>
        <w:t xml:space="preserve"> heterozygous mutation (HR=1.47, 95% CI [0.93-2.33], p=0.10).</w:t>
      </w:r>
      <w:r w:rsidR="008C1442" w:rsidRPr="00026AF4">
        <w:rPr>
          <w:rFonts w:asciiTheme="minorHAnsi" w:hAnsiTheme="minorHAnsi"/>
          <w:lang w:val="en-US"/>
        </w:rPr>
        <w:t xml:space="preserve"> Among the group of </w:t>
      </w:r>
      <w:r w:rsidR="004911F9" w:rsidRPr="00026AF4">
        <w:rPr>
          <w:rFonts w:asciiTheme="minorHAnsi" w:hAnsiTheme="minorHAnsi"/>
          <w:lang w:val="en-US"/>
        </w:rPr>
        <w:t>p.N34S</w:t>
      </w:r>
      <w:r w:rsidR="008C1442" w:rsidRPr="00026AF4">
        <w:rPr>
          <w:rFonts w:asciiTheme="minorHAnsi" w:hAnsiTheme="minorHAnsi"/>
          <w:lang w:val="en-US"/>
        </w:rPr>
        <w:t xml:space="preserve"> heterozygous patients, the existence of a co-mutation </w:t>
      </w:r>
      <w:r w:rsidR="00DD2313" w:rsidRPr="00026AF4">
        <w:rPr>
          <w:rFonts w:asciiTheme="minorHAnsi" w:hAnsiTheme="minorHAnsi"/>
          <w:lang w:val="en-US"/>
        </w:rPr>
        <w:t xml:space="preserve">on the </w:t>
      </w:r>
      <w:r w:rsidR="00DD2313" w:rsidRPr="00026AF4">
        <w:rPr>
          <w:rFonts w:asciiTheme="minorHAnsi" w:hAnsiTheme="minorHAnsi"/>
          <w:i/>
          <w:lang w:val="en-US"/>
        </w:rPr>
        <w:t xml:space="preserve">CFTR </w:t>
      </w:r>
      <w:r w:rsidR="00DD2313" w:rsidRPr="00026AF4">
        <w:rPr>
          <w:rFonts w:asciiTheme="minorHAnsi" w:hAnsiTheme="minorHAnsi"/>
          <w:lang w:val="en-US"/>
        </w:rPr>
        <w:t xml:space="preserve">or </w:t>
      </w:r>
      <w:r w:rsidR="00DD2313" w:rsidRPr="00026AF4">
        <w:rPr>
          <w:rFonts w:asciiTheme="minorHAnsi" w:hAnsiTheme="minorHAnsi"/>
          <w:i/>
          <w:lang w:val="en-US"/>
        </w:rPr>
        <w:t>CTRC</w:t>
      </w:r>
      <w:r w:rsidR="00DD2313" w:rsidRPr="00026AF4">
        <w:rPr>
          <w:rFonts w:asciiTheme="minorHAnsi" w:hAnsiTheme="minorHAnsi"/>
          <w:lang w:val="en-US"/>
        </w:rPr>
        <w:t xml:space="preserve"> genes </w:t>
      </w:r>
      <w:r w:rsidR="008C1442" w:rsidRPr="00026AF4">
        <w:rPr>
          <w:rFonts w:asciiTheme="minorHAnsi" w:hAnsiTheme="minorHAnsi"/>
          <w:lang w:val="en-US"/>
        </w:rPr>
        <w:t>tended to be associated with a younger age at onset of symptoms (HR=1.31, 95% IC [0.89-1.92], p=0.18).</w:t>
      </w:r>
    </w:p>
    <w:p w14:paraId="19878D82" w14:textId="77777777" w:rsidR="00CF3FA9" w:rsidRPr="00026AF4" w:rsidRDefault="00CF3FA9" w:rsidP="00712250">
      <w:pPr>
        <w:jc w:val="both"/>
        <w:rPr>
          <w:rFonts w:asciiTheme="minorHAnsi" w:hAnsiTheme="minorHAnsi"/>
          <w:lang w:val="en-US"/>
        </w:rPr>
      </w:pPr>
    </w:p>
    <w:p w14:paraId="004C8022" w14:textId="77777777" w:rsidR="004F516D" w:rsidRPr="00026AF4" w:rsidRDefault="004F516D" w:rsidP="00712250">
      <w:pPr>
        <w:jc w:val="both"/>
        <w:rPr>
          <w:rFonts w:asciiTheme="minorHAnsi" w:hAnsiTheme="minorHAnsi"/>
          <w:b/>
          <w:i/>
          <w:lang w:val="en-US"/>
        </w:rPr>
      </w:pPr>
      <w:r w:rsidRPr="00026AF4">
        <w:rPr>
          <w:rFonts w:asciiTheme="minorHAnsi" w:hAnsiTheme="minorHAnsi"/>
          <w:b/>
          <w:i/>
          <w:lang w:val="en-US"/>
        </w:rPr>
        <w:t>Acute pancreatitis and pancreatic pain</w:t>
      </w:r>
    </w:p>
    <w:p w14:paraId="11DC4BE8" w14:textId="4B72A175" w:rsidR="000A63BE" w:rsidRPr="00026AF4" w:rsidRDefault="00543199" w:rsidP="00712250">
      <w:pPr>
        <w:jc w:val="both"/>
        <w:rPr>
          <w:rFonts w:asciiTheme="minorHAnsi" w:hAnsiTheme="minorHAnsi"/>
          <w:lang w:val="en-US"/>
        </w:rPr>
      </w:pPr>
      <w:r w:rsidRPr="00026AF4">
        <w:rPr>
          <w:rFonts w:asciiTheme="minorHAnsi" w:hAnsiTheme="minorHAnsi"/>
          <w:lang w:val="en-US"/>
        </w:rPr>
        <w:t>Regarding the presentation of pancreatitis, the proportion of patients who had at least one</w:t>
      </w:r>
      <w:r w:rsidR="0020574F" w:rsidRPr="00026AF4">
        <w:rPr>
          <w:rFonts w:asciiTheme="minorHAnsi" w:hAnsiTheme="minorHAnsi"/>
          <w:lang w:val="en-GB"/>
        </w:rPr>
        <w:t xml:space="preserve"> episode of</w:t>
      </w:r>
      <w:r w:rsidRPr="00026AF4">
        <w:rPr>
          <w:rFonts w:asciiTheme="minorHAnsi" w:hAnsiTheme="minorHAnsi"/>
          <w:lang w:val="en-US"/>
        </w:rPr>
        <w:t xml:space="preserve"> acute pancreatitis was similar in both groups, although the median number of </w:t>
      </w:r>
      <w:r w:rsidR="0020574F" w:rsidRPr="00026AF4">
        <w:rPr>
          <w:rFonts w:asciiTheme="minorHAnsi" w:hAnsiTheme="minorHAnsi"/>
          <w:lang w:val="en-US"/>
        </w:rPr>
        <w:t>acute pancreatitis episodes</w:t>
      </w:r>
      <w:r w:rsidR="008E049A" w:rsidRPr="00026AF4">
        <w:rPr>
          <w:rFonts w:asciiTheme="minorHAnsi" w:hAnsiTheme="minorHAnsi"/>
          <w:lang w:val="en-US"/>
        </w:rPr>
        <w:t xml:space="preserve"> </w:t>
      </w:r>
      <w:r w:rsidRPr="00026AF4">
        <w:rPr>
          <w:rFonts w:asciiTheme="minorHAnsi" w:hAnsiTheme="minorHAnsi"/>
          <w:lang w:val="en-US"/>
        </w:rPr>
        <w:t xml:space="preserve">was higher in the SRP group, with no </w:t>
      </w:r>
      <w:r w:rsidR="00F82A84" w:rsidRPr="00026AF4">
        <w:rPr>
          <w:rFonts w:asciiTheme="minorHAnsi" w:hAnsiTheme="minorHAnsi"/>
          <w:lang w:val="en-US"/>
        </w:rPr>
        <w:t>difference in terms of severity (</w:t>
      </w:r>
      <w:r w:rsidR="00506AA4" w:rsidRPr="00026AF4">
        <w:rPr>
          <w:rFonts w:asciiTheme="minorHAnsi" w:hAnsiTheme="minorHAnsi"/>
          <w:b/>
          <w:lang w:val="en-US"/>
        </w:rPr>
        <w:t>Table 1</w:t>
      </w:r>
      <w:r w:rsidR="00F82A84" w:rsidRPr="00026AF4">
        <w:rPr>
          <w:rFonts w:asciiTheme="minorHAnsi" w:hAnsiTheme="minorHAnsi"/>
          <w:lang w:val="en-US"/>
        </w:rPr>
        <w:t>).</w:t>
      </w:r>
    </w:p>
    <w:p w14:paraId="4B58B58F" w14:textId="76E5C99C" w:rsidR="000A63BE" w:rsidRPr="00026AF4" w:rsidRDefault="000A63BE" w:rsidP="00712250">
      <w:pPr>
        <w:jc w:val="both"/>
        <w:rPr>
          <w:rFonts w:asciiTheme="minorHAnsi" w:hAnsiTheme="minorHAnsi"/>
          <w:lang w:val="en-US"/>
        </w:rPr>
      </w:pPr>
      <w:r w:rsidRPr="00026AF4">
        <w:rPr>
          <w:rFonts w:asciiTheme="minorHAnsi" w:hAnsiTheme="minorHAnsi"/>
          <w:lang w:val="en-US"/>
        </w:rPr>
        <w:t>The proportion of patients with pancreatic pain was higher in the SRP group than in the IP group (79.8% vs. 62.6%, p&lt;0.001), but there was no difference regarding the type of pain</w:t>
      </w:r>
      <w:r w:rsidR="0074738F" w:rsidRPr="00026AF4">
        <w:rPr>
          <w:rFonts w:asciiTheme="minorHAnsi" w:hAnsiTheme="minorHAnsi"/>
          <w:lang w:val="en-US"/>
        </w:rPr>
        <w:t>, i.e., epis</w:t>
      </w:r>
      <w:r w:rsidRPr="00026AF4">
        <w:rPr>
          <w:rFonts w:asciiTheme="minorHAnsi" w:hAnsiTheme="minorHAnsi"/>
          <w:lang w:val="en-US"/>
        </w:rPr>
        <w:t>odic vs. continuous</w:t>
      </w:r>
      <w:r w:rsidR="00F82A84" w:rsidRPr="00026AF4">
        <w:rPr>
          <w:rFonts w:asciiTheme="minorHAnsi" w:hAnsiTheme="minorHAnsi"/>
          <w:lang w:val="en-US"/>
        </w:rPr>
        <w:t xml:space="preserve"> (</w:t>
      </w:r>
      <w:r w:rsidR="00F82A84" w:rsidRPr="00026AF4">
        <w:rPr>
          <w:rFonts w:asciiTheme="minorHAnsi" w:hAnsiTheme="minorHAnsi"/>
          <w:b/>
          <w:lang w:val="en-US"/>
        </w:rPr>
        <w:t xml:space="preserve">Table </w:t>
      </w:r>
      <w:r w:rsidR="00506AA4" w:rsidRPr="00026AF4">
        <w:rPr>
          <w:rFonts w:asciiTheme="minorHAnsi" w:hAnsiTheme="minorHAnsi"/>
          <w:b/>
          <w:lang w:val="en-US"/>
        </w:rPr>
        <w:t>1</w:t>
      </w:r>
      <w:r w:rsidR="00F82A84" w:rsidRPr="00026AF4">
        <w:rPr>
          <w:rFonts w:asciiTheme="minorHAnsi" w:hAnsiTheme="minorHAnsi"/>
          <w:lang w:val="en-US"/>
        </w:rPr>
        <w:t>).</w:t>
      </w:r>
      <w:r w:rsidRPr="00026AF4">
        <w:rPr>
          <w:rFonts w:asciiTheme="minorHAnsi" w:hAnsiTheme="minorHAnsi"/>
          <w:lang w:val="en-US"/>
        </w:rPr>
        <w:t xml:space="preserve"> </w:t>
      </w:r>
    </w:p>
    <w:p w14:paraId="253A1296" w14:textId="77777777" w:rsidR="004F516D" w:rsidRPr="00026AF4" w:rsidRDefault="004F516D" w:rsidP="00712250">
      <w:pPr>
        <w:jc w:val="both"/>
        <w:rPr>
          <w:rFonts w:asciiTheme="minorHAnsi" w:hAnsiTheme="minorHAnsi"/>
          <w:lang w:val="en-US"/>
        </w:rPr>
      </w:pPr>
    </w:p>
    <w:p w14:paraId="3FE7D62A" w14:textId="77777777" w:rsidR="004F516D" w:rsidRPr="00026AF4" w:rsidRDefault="004F516D" w:rsidP="00712250">
      <w:pPr>
        <w:jc w:val="both"/>
        <w:rPr>
          <w:rFonts w:asciiTheme="minorHAnsi" w:hAnsiTheme="minorHAnsi"/>
          <w:b/>
          <w:i/>
          <w:lang w:val="en-US"/>
        </w:rPr>
      </w:pPr>
      <w:r w:rsidRPr="00026AF4">
        <w:rPr>
          <w:rFonts w:asciiTheme="minorHAnsi" w:hAnsiTheme="minorHAnsi"/>
          <w:b/>
          <w:i/>
          <w:lang w:val="en-US"/>
        </w:rPr>
        <w:t>Chronic pancreatitis</w:t>
      </w:r>
    </w:p>
    <w:p w14:paraId="3C0FE2A6" w14:textId="77777777" w:rsidR="004F516D" w:rsidRPr="00026AF4" w:rsidRDefault="000A63BE" w:rsidP="00712250">
      <w:pPr>
        <w:jc w:val="both"/>
        <w:rPr>
          <w:rFonts w:asciiTheme="minorHAnsi" w:hAnsiTheme="minorHAnsi"/>
          <w:lang w:val="en-US"/>
        </w:rPr>
      </w:pPr>
      <w:r w:rsidRPr="00026AF4">
        <w:rPr>
          <w:rFonts w:asciiTheme="minorHAnsi" w:hAnsiTheme="minorHAnsi"/>
          <w:lang w:val="en-US"/>
        </w:rPr>
        <w:lastRenderedPageBreak/>
        <w:t xml:space="preserve">About 70% of SRP patients had </w:t>
      </w:r>
      <w:r w:rsidR="00DD2313" w:rsidRPr="00026AF4">
        <w:rPr>
          <w:rFonts w:asciiTheme="minorHAnsi" w:hAnsiTheme="minorHAnsi"/>
          <w:lang w:val="en-US"/>
        </w:rPr>
        <w:t xml:space="preserve">signs </w:t>
      </w:r>
      <w:r w:rsidRPr="00026AF4">
        <w:rPr>
          <w:rFonts w:asciiTheme="minorHAnsi" w:hAnsiTheme="minorHAnsi"/>
          <w:lang w:val="en-US"/>
        </w:rPr>
        <w:t>of CP, versus 54% in the IP group (p&lt;0.001).</w:t>
      </w:r>
      <w:r w:rsidR="001A5F54" w:rsidRPr="00026AF4">
        <w:rPr>
          <w:rFonts w:asciiTheme="minorHAnsi" w:hAnsiTheme="minorHAnsi"/>
          <w:lang w:val="en-US"/>
        </w:rPr>
        <w:t xml:space="preserve"> </w:t>
      </w:r>
      <w:r w:rsidR="00727DC1" w:rsidRPr="00026AF4">
        <w:rPr>
          <w:rFonts w:asciiTheme="minorHAnsi" w:hAnsiTheme="minorHAnsi"/>
          <w:lang w:val="en-US"/>
        </w:rPr>
        <w:t xml:space="preserve">The </w:t>
      </w:r>
      <w:r w:rsidR="001A5F54" w:rsidRPr="00026AF4">
        <w:rPr>
          <w:rFonts w:asciiTheme="minorHAnsi" w:hAnsiTheme="minorHAnsi"/>
          <w:lang w:val="en-US"/>
        </w:rPr>
        <w:t xml:space="preserve">SRP </w:t>
      </w:r>
      <w:r w:rsidR="00BE52CA" w:rsidRPr="00026AF4">
        <w:rPr>
          <w:rFonts w:asciiTheme="minorHAnsi" w:hAnsiTheme="minorHAnsi"/>
          <w:lang w:val="en-US"/>
        </w:rPr>
        <w:t>patients more</w:t>
      </w:r>
      <w:r w:rsidR="001A5F54" w:rsidRPr="00026AF4">
        <w:rPr>
          <w:rFonts w:asciiTheme="minorHAnsi" w:hAnsiTheme="minorHAnsi"/>
          <w:lang w:val="en-US"/>
        </w:rPr>
        <w:t xml:space="preserve"> frequent</w:t>
      </w:r>
      <w:r w:rsidR="0020574F" w:rsidRPr="00026AF4">
        <w:rPr>
          <w:rFonts w:asciiTheme="minorHAnsi" w:hAnsiTheme="minorHAnsi"/>
          <w:lang w:val="en-US"/>
        </w:rPr>
        <w:t>ly developed</w:t>
      </w:r>
      <w:r w:rsidR="001A5F54" w:rsidRPr="00026AF4">
        <w:rPr>
          <w:rFonts w:asciiTheme="minorHAnsi" w:hAnsiTheme="minorHAnsi"/>
          <w:lang w:val="en-US"/>
        </w:rPr>
        <w:t xml:space="preserve"> ductal abnormalities (72.5% vs. 48.6%, p&lt;0.001)</w:t>
      </w:r>
      <w:r w:rsidR="00727DC1" w:rsidRPr="00026AF4">
        <w:rPr>
          <w:rFonts w:asciiTheme="minorHAnsi" w:hAnsiTheme="minorHAnsi"/>
          <w:lang w:val="en-US"/>
        </w:rPr>
        <w:t xml:space="preserve"> and</w:t>
      </w:r>
      <w:r w:rsidR="00DD2313" w:rsidRPr="00026AF4">
        <w:rPr>
          <w:rFonts w:asciiTheme="minorHAnsi" w:hAnsiTheme="minorHAnsi"/>
          <w:lang w:val="en-US"/>
        </w:rPr>
        <w:t xml:space="preserve"> pancreatic </w:t>
      </w:r>
      <w:r w:rsidR="00727DC1" w:rsidRPr="00026AF4">
        <w:rPr>
          <w:rFonts w:asciiTheme="minorHAnsi" w:hAnsiTheme="minorHAnsi"/>
          <w:lang w:val="en-US"/>
        </w:rPr>
        <w:t xml:space="preserve">calcifications (74.3% </w:t>
      </w:r>
      <w:proofErr w:type="spellStart"/>
      <w:r w:rsidR="00727DC1" w:rsidRPr="00026AF4">
        <w:rPr>
          <w:rFonts w:asciiTheme="minorHAnsi" w:hAnsiTheme="minorHAnsi"/>
          <w:lang w:val="en-US"/>
        </w:rPr>
        <w:t>vs</w:t>
      </w:r>
      <w:proofErr w:type="spellEnd"/>
      <w:r w:rsidR="00727DC1" w:rsidRPr="00026AF4">
        <w:rPr>
          <w:rFonts w:asciiTheme="minorHAnsi" w:hAnsiTheme="minorHAnsi"/>
          <w:lang w:val="en-US"/>
        </w:rPr>
        <w:t xml:space="preserve"> 64.8 %) but this result</w:t>
      </w:r>
      <w:r w:rsidR="00F0189B" w:rsidRPr="00026AF4">
        <w:rPr>
          <w:rFonts w:asciiTheme="minorHAnsi" w:hAnsiTheme="minorHAnsi"/>
          <w:lang w:val="en-US"/>
        </w:rPr>
        <w:t xml:space="preserve"> didn’t reach statistical significance</w:t>
      </w:r>
      <w:r w:rsidR="00727DC1" w:rsidRPr="00026AF4">
        <w:rPr>
          <w:rFonts w:asciiTheme="minorHAnsi" w:hAnsiTheme="minorHAnsi"/>
          <w:lang w:val="en-US"/>
        </w:rPr>
        <w:t xml:space="preserve"> (p=0.07). </w:t>
      </w:r>
      <w:r w:rsidR="001A5F54" w:rsidRPr="00026AF4">
        <w:rPr>
          <w:rFonts w:asciiTheme="minorHAnsi" w:hAnsiTheme="minorHAnsi"/>
          <w:lang w:val="en-US"/>
        </w:rPr>
        <w:t>T</w:t>
      </w:r>
      <w:r w:rsidRPr="00026AF4">
        <w:rPr>
          <w:rFonts w:asciiTheme="minorHAnsi" w:hAnsiTheme="minorHAnsi"/>
          <w:lang w:val="en-US"/>
        </w:rPr>
        <w:t xml:space="preserve">he </w:t>
      </w:r>
      <w:r w:rsidR="003A1E1D" w:rsidRPr="00026AF4">
        <w:rPr>
          <w:rFonts w:asciiTheme="minorHAnsi" w:hAnsiTheme="minorHAnsi"/>
          <w:lang w:val="en-US"/>
        </w:rPr>
        <w:t xml:space="preserve">median </w:t>
      </w:r>
      <w:r w:rsidRPr="00026AF4">
        <w:rPr>
          <w:rFonts w:asciiTheme="minorHAnsi" w:hAnsiTheme="minorHAnsi"/>
          <w:lang w:val="en-US"/>
        </w:rPr>
        <w:t xml:space="preserve">age of </w:t>
      </w:r>
      <w:r w:rsidR="0094348E" w:rsidRPr="00026AF4">
        <w:rPr>
          <w:rFonts w:asciiTheme="minorHAnsi" w:hAnsiTheme="minorHAnsi"/>
          <w:lang w:val="en-US"/>
        </w:rPr>
        <w:t>CP</w:t>
      </w:r>
      <w:r w:rsidRPr="00026AF4">
        <w:rPr>
          <w:rFonts w:asciiTheme="minorHAnsi" w:hAnsiTheme="minorHAnsi"/>
          <w:lang w:val="en-US"/>
        </w:rPr>
        <w:t xml:space="preserve"> </w:t>
      </w:r>
      <w:r w:rsidR="00DD2313" w:rsidRPr="00026AF4">
        <w:rPr>
          <w:rFonts w:asciiTheme="minorHAnsi" w:hAnsiTheme="minorHAnsi"/>
          <w:lang w:val="en-US"/>
        </w:rPr>
        <w:t xml:space="preserve">diagnosis </w:t>
      </w:r>
      <w:r w:rsidRPr="00026AF4">
        <w:rPr>
          <w:rFonts w:asciiTheme="minorHAnsi" w:hAnsiTheme="minorHAnsi"/>
          <w:lang w:val="en-US"/>
        </w:rPr>
        <w:t>was younger</w:t>
      </w:r>
      <w:r w:rsidR="00F0189B" w:rsidRPr="00026AF4">
        <w:rPr>
          <w:rFonts w:asciiTheme="minorHAnsi" w:hAnsiTheme="minorHAnsi"/>
          <w:lang w:val="en-US"/>
        </w:rPr>
        <w:t>,</w:t>
      </w:r>
      <w:r w:rsidRPr="00026AF4">
        <w:rPr>
          <w:rFonts w:asciiTheme="minorHAnsi" w:hAnsiTheme="minorHAnsi"/>
          <w:lang w:val="en-US"/>
        </w:rPr>
        <w:t xml:space="preserve"> </w:t>
      </w:r>
      <w:r w:rsidR="0004784D" w:rsidRPr="00026AF4">
        <w:rPr>
          <w:rFonts w:asciiTheme="minorHAnsi" w:hAnsiTheme="minorHAnsi"/>
          <w:lang w:val="en-US"/>
        </w:rPr>
        <w:t>of</w:t>
      </w:r>
      <w:r w:rsidR="003A1E1D" w:rsidRPr="00026AF4">
        <w:rPr>
          <w:rFonts w:asciiTheme="minorHAnsi" w:hAnsiTheme="minorHAnsi"/>
          <w:lang w:val="en-US"/>
        </w:rPr>
        <w:t xml:space="preserve"> approximately 20 years </w:t>
      </w:r>
      <w:r w:rsidRPr="00026AF4">
        <w:rPr>
          <w:rFonts w:asciiTheme="minorHAnsi" w:hAnsiTheme="minorHAnsi"/>
          <w:lang w:val="en-US"/>
        </w:rPr>
        <w:t xml:space="preserve">in the </w:t>
      </w:r>
      <w:r w:rsidR="0094348E" w:rsidRPr="00026AF4">
        <w:rPr>
          <w:rFonts w:asciiTheme="minorHAnsi" w:hAnsiTheme="minorHAnsi"/>
          <w:lang w:val="en-US"/>
        </w:rPr>
        <w:t>SRP</w:t>
      </w:r>
      <w:r w:rsidR="008E1A30" w:rsidRPr="00026AF4">
        <w:rPr>
          <w:rFonts w:asciiTheme="minorHAnsi" w:hAnsiTheme="minorHAnsi"/>
          <w:lang w:val="en-US"/>
        </w:rPr>
        <w:t xml:space="preserve"> group </w:t>
      </w:r>
      <w:r w:rsidR="00E57E6F" w:rsidRPr="00026AF4">
        <w:rPr>
          <w:rFonts w:asciiTheme="minorHAnsi" w:hAnsiTheme="minorHAnsi"/>
          <w:lang w:val="en-US"/>
        </w:rPr>
        <w:t>[</w:t>
      </w:r>
      <w:r w:rsidR="008E1A30" w:rsidRPr="00026AF4">
        <w:rPr>
          <w:rFonts w:asciiTheme="minorHAnsi" w:hAnsiTheme="minorHAnsi"/>
          <w:lang w:val="en-US"/>
        </w:rPr>
        <w:t xml:space="preserve">34.3 (95% CI, 30.8-37.8) </w:t>
      </w:r>
      <w:r w:rsidR="00075671" w:rsidRPr="00026AF4">
        <w:rPr>
          <w:rFonts w:asciiTheme="minorHAnsi" w:hAnsiTheme="minorHAnsi"/>
          <w:lang w:val="en-US"/>
        </w:rPr>
        <w:t xml:space="preserve">years </w:t>
      </w:r>
      <w:r w:rsidR="008E1A30" w:rsidRPr="00026AF4">
        <w:rPr>
          <w:rFonts w:asciiTheme="minorHAnsi" w:hAnsiTheme="minorHAnsi"/>
          <w:lang w:val="en-US"/>
        </w:rPr>
        <w:t>vs. 57.3 (95% CI, 53.7-60.9)</w:t>
      </w:r>
      <w:r w:rsidR="00075671" w:rsidRPr="00026AF4">
        <w:rPr>
          <w:rFonts w:asciiTheme="minorHAnsi" w:hAnsiTheme="minorHAnsi"/>
          <w:lang w:val="en-US"/>
        </w:rPr>
        <w:t xml:space="preserve"> years</w:t>
      </w:r>
      <w:r w:rsidRPr="00026AF4">
        <w:rPr>
          <w:rFonts w:asciiTheme="minorHAnsi" w:hAnsiTheme="minorHAnsi"/>
          <w:lang w:val="en-US"/>
        </w:rPr>
        <w:t>, p&lt;0.</w:t>
      </w:r>
      <w:r w:rsidR="003A1E1D" w:rsidRPr="00026AF4">
        <w:rPr>
          <w:rFonts w:asciiTheme="minorHAnsi" w:hAnsiTheme="minorHAnsi"/>
          <w:lang w:val="en-US"/>
        </w:rPr>
        <w:t>001</w:t>
      </w:r>
      <w:r w:rsidR="00E57E6F" w:rsidRPr="00026AF4">
        <w:rPr>
          <w:rFonts w:asciiTheme="minorHAnsi" w:hAnsiTheme="minorHAnsi"/>
          <w:lang w:val="en-US"/>
        </w:rPr>
        <w:t>]</w:t>
      </w:r>
      <w:r w:rsidR="004F516D" w:rsidRPr="00026AF4">
        <w:rPr>
          <w:rFonts w:asciiTheme="minorHAnsi" w:hAnsiTheme="minorHAnsi"/>
          <w:lang w:val="en-US"/>
        </w:rPr>
        <w:t xml:space="preserve">. The </w:t>
      </w:r>
      <w:r w:rsidR="006324FE" w:rsidRPr="00026AF4">
        <w:rPr>
          <w:rFonts w:asciiTheme="minorHAnsi" w:hAnsiTheme="minorHAnsi"/>
          <w:lang w:val="en-US"/>
        </w:rPr>
        <w:t xml:space="preserve">cumulative incidence of CP signs </w:t>
      </w:r>
      <w:r w:rsidR="00BE52CA" w:rsidRPr="00026AF4">
        <w:rPr>
          <w:rFonts w:asciiTheme="minorHAnsi" w:hAnsiTheme="minorHAnsi"/>
          <w:lang w:val="en-US"/>
        </w:rPr>
        <w:t>in SRP</w:t>
      </w:r>
      <w:r w:rsidR="004F516D" w:rsidRPr="00026AF4">
        <w:rPr>
          <w:rFonts w:asciiTheme="minorHAnsi" w:hAnsiTheme="minorHAnsi"/>
          <w:lang w:val="en-US"/>
        </w:rPr>
        <w:t xml:space="preserve"> patients was 16.1% at 20 years, 38.5% at 30 years, 56.7% at 40 years and 76.0% at 50 years (</w:t>
      </w:r>
      <w:r w:rsidR="004F516D" w:rsidRPr="00026AF4">
        <w:rPr>
          <w:rFonts w:asciiTheme="minorHAnsi" w:hAnsiTheme="minorHAnsi"/>
          <w:b/>
          <w:lang w:val="en-US"/>
        </w:rPr>
        <w:t>Figure 2a</w:t>
      </w:r>
      <w:r w:rsidR="004F516D" w:rsidRPr="00026AF4">
        <w:rPr>
          <w:rFonts w:asciiTheme="minorHAnsi" w:hAnsiTheme="minorHAnsi"/>
          <w:lang w:val="en-US"/>
        </w:rPr>
        <w:t xml:space="preserve">). </w:t>
      </w:r>
    </w:p>
    <w:p w14:paraId="4876C888" w14:textId="51CBD2D9" w:rsidR="000A63BE" w:rsidRPr="00026AF4" w:rsidRDefault="004F516D" w:rsidP="00712250">
      <w:pPr>
        <w:jc w:val="both"/>
        <w:rPr>
          <w:rFonts w:asciiTheme="minorHAnsi" w:hAnsiTheme="minorHAnsi"/>
          <w:lang w:val="en-US"/>
        </w:rPr>
      </w:pPr>
      <w:r w:rsidRPr="00026AF4">
        <w:rPr>
          <w:rFonts w:asciiTheme="minorHAnsi" w:hAnsiTheme="minorHAnsi"/>
          <w:lang w:val="en-US"/>
        </w:rPr>
        <w:t>T</w:t>
      </w:r>
      <w:r w:rsidR="000A63BE" w:rsidRPr="00026AF4">
        <w:rPr>
          <w:rFonts w:asciiTheme="minorHAnsi" w:hAnsiTheme="minorHAnsi"/>
          <w:lang w:val="en-US"/>
        </w:rPr>
        <w:t xml:space="preserve">he median delay between the first symptoms and the diagnosis of </w:t>
      </w:r>
      <w:r w:rsidR="00E57E6F" w:rsidRPr="00026AF4">
        <w:rPr>
          <w:rFonts w:asciiTheme="minorHAnsi" w:hAnsiTheme="minorHAnsi"/>
          <w:lang w:val="en-US"/>
        </w:rPr>
        <w:t>CP</w:t>
      </w:r>
      <w:r w:rsidR="000A63BE" w:rsidRPr="00026AF4">
        <w:rPr>
          <w:rFonts w:asciiTheme="minorHAnsi" w:hAnsiTheme="minorHAnsi"/>
          <w:lang w:val="en-US"/>
        </w:rPr>
        <w:t xml:space="preserve"> was similar in both groups</w:t>
      </w:r>
      <w:r w:rsidRPr="00026AF4">
        <w:rPr>
          <w:rFonts w:asciiTheme="minorHAnsi" w:hAnsiTheme="minorHAnsi"/>
          <w:lang w:val="en-US"/>
        </w:rPr>
        <w:t xml:space="preserve"> </w:t>
      </w:r>
      <w:r w:rsidR="0004784D" w:rsidRPr="00026AF4">
        <w:rPr>
          <w:rFonts w:asciiTheme="minorHAnsi" w:hAnsiTheme="minorHAnsi"/>
          <w:lang w:val="en-US"/>
        </w:rPr>
        <w:t>[</w:t>
      </w:r>
      <w:r w:rsidR="008E1A30" w:rsidRPr="00026AF4">
        <w:rPr>
          <w:rFonts w:asciiTheme="minorHAnsi" w:hAnsiTheme="minorHAnsi"/>
          <w:lang w:val="en-US"/>
        </w:rPr>
        <w:t>6.9 years in the SRP group (95% CI, 4.5-9.3) vs. 5.9 years (95% CI 4.2-7.6) years in the IP group</w:t>
      </w:r>
      <w:r w:rsidR="0004784D" w:rsidRPr="00026AF4">
        <w:rPr>
          <w:rFonts w:asciiTheme="minorHAnsi" w:hAnsiTheme="minorHAnsi"/>
          <w:lang w:val="en-US"/>
        </w:rPr>
        <w:t>]</w:t>
      </w:r>
      <w:r w:rsidR="000A63BE" w:rsidRPr="00026AF4">
        <w:rPr>
          <w:rFonts w:asciiTheme="minorHAnsi" w:hAnsiTheme="minorHAnsi"/>
          <w:lang w:val="en-US"/>
        </w:rPr>
        <w:t xml:space="preserve">. </w:t>
      </w:r>
      <w:r w:rsidR="00D23FF8" w:rsidRPr="00026AF4">
        <w:rPr>
          <w:rFonts w:asciiTheme="minorHAnsi" w:hAnsiTheme="minorHAnsi"/>
          <w:lang w:val="en-US"/>
        </w:rPr>
        <w:t>C</w:t>
      </w:r>
      <w:r w:rsidRPr="00026AF4">
        <w:rPr>
          <w:rFonts w:asciiTheme="minorHAnsi" w:hAnsiTheme="minorHAnsi"/>
          <w:lang w:val="en-US"/>
        </w:rPr>
        <w:t>onversely to the IP group, tobacco consumption</w:t>
      </w:r>
      <w:r w:rsidR="00E57E6F" w:rsidRPr="00026AF4">
        <w:rPr>
          <w:rFonts w:asciiTheme="minorHAnsi" w:hAnsiTheme="minorHAnsi"/>
          <w:lang w:val="en-US"/>
        </w:rPr>
        <w:t xml:space="preserve"> in SRP group</w:t>
      </w:r>
      <w:r w:rsidRPr="00026AF4">
        <w:rPr>
          <w:rFonts w:asciiTheme="minorHAnsi" w:hAnsiTheme="minorHAnsi"/>
          <w:lang w:val="en-US"/>
        </w:rPr>
        <w:t xml:space="preserve"> was not associated with earlier </w:t>
      </w:r>
      <w:r w:rsidR="00E57E6F" w:rsidRPr="00026AF4">
        <w:rPr>
          <w:rFonts w:asciiTheme="minorHAnsi" w:hAnsiTheme="minorHAnsi"/>
          <w:lang w:val="en-US"/>
        </w:rPr>
        <w:t>CP</w:t>
      </w:r>
      <w:r w:rsidRPr="00026AF4">
        <w:rPr>
          <w:rFonts w:asciiTheme="minorHAnsi" w:hAnsiTheme="minorHAnsi"/>
          <w:lang w:val="en-US"/>
        </w:rPr>
        <w:t xml:space="preserve"> </w:t>
      </w:r>
      <w:r w:rsidR="008F5333" w:rsidRPr="00026AF4">
        <w:rPr>
          <w:rFonts w:asciiTheme="minorHAnsi" w:hAnsiTheme="minorHAnsi"/>
          <w:lang w:val="en-US"/>
        </w:rPr>
        <w:t xml:space="preserve">diagnosis </w:t>
      </w:r>
      <w:r w:rsidRPr="00026AF4">
        <w:rPr>
          <w:rFonts w:asciiTheme="minorHAnsi" w:hAnsiTheme="minorHAnsi"/>
          <w:lang w:val="en-US"/>
        </w:rPr>
        <w:t>(</w:t>
      </w:r>
      <w:r w:rsidRPr="00026AF4">
        <w:rPr>
          <w:rFonts w:asciiTheme="minorHAnsi" w:hAnsiTheme="minorHAnsi"/>
          <w:b/>
          <w:lang w:val="en-US"/>
        </w:rPr>
        <w:t>Figure 2b</w:t>
      </w:r>
      <w:r w:rsidRPr="00026AF4">
        <w:rPr>
          <w:rFonts w:asciiTheme="minorHAnsi" w:hAnsiTheme="minorHAnsi"/>
          <w:lang w:val="en-US"/>
        </w:rPr>
        <w:t>).</w:t>
      </w:r>
      <w:r w:rsidR="001A5F54" w:rsidRPr="00026AF4">
        <w:rPr>
          <w:rFonts w:asciiTheme="minorHAnsi" w:hAnsiTheme="minorHAnsi"/>
          <w:lang w:val="en-US"/>
        </w:rPr>
        <w:t xml:space="preserve"> </w:t>
      </w:r>
      <w:r w:rsidR="000A63BE" w:rsidRPr="00026AF4">
        <w:rPr>
          <w:rFonts w:asciiTheme="minorHAnsi" w:hAnsiTheme="minorHAnsi"/>
          <w:lang w:val="en-US"/>
        </w:rPr>
        <w:t>The proportion of patients with intra</w:t>
      </w:r>
      <w:r w:rsidR="003A1E1D" w:rsidRPr="00026AF4">
        <w:rPr>
          <w:rFonts w:asciiTheme="minorHAnsi" w:hAnsiTheme="minorHAnsi"/>
          <w:lang w:val="en-US"/>
        </w:rPr>
        <w:t>-</w:t>
      </w:r>
      <w:r w:rsidR="000A63BE" w:rsidRPr="00026AF4">
        <w:rPr>
          <w:rFonts w:asciiTheme="minorHAnsi" w:hAnsiTheme="minorHAnsi"/>
          <w:lang w:val="en-US"/>
        </w:rPr>
        <w:t xml:space="preserve">abdominal </w:t>
      </w:r>
      <w:proofErr w:type="spellStart"/>
      <w:r w:rsidR="008F5333" w:rsidRPr="00026AF4">
        <w:rPr>
          <w:rFonts w:asciiTheme="minorHAnsi" w:hAnsiTheme="minorHAnsi"/>
          <w:lang w:val="en-US"/>
        </w:rPr>
        <w:t>spleno</w:t>
      </w:r>
      <w:proofErr w:type="spellEnd"/>
      <w:r w:rsidR="008F5333" w:rsidRPr="00026AF4">
        <w:rPr>
          <w:rFonts w:asciiTheme="minorHAnsi" w:hAnsiTheme="minorHAnsi"/>
          <w:lang w:val="en-US"/>
        </w:rPr>
        <w:t xml:space="preserve">-portal venous </w:t>
      </w:r>
      <w:r w:rsidR="000A63BE" w:rsidRPr="00026AF4">
        <w:rPr>
          <w:rFonts w:asciiTheme="minorHAnsi" w:hAnsiTheme="minorHAnsi"/>
          <w:lang w:val="en-US"/>
        </w:rPr>
        <w:t xml:space="preserve">thrombosis and/or </w:t>
      </w:r>
      <w:proofErr w:type="spellStart"/>
      <w:r w:rsidR="000A63BE" w:rsidRPr="00026AF4">
        <w:rPr>
          <w:rFonts w:asciiTheme="minorHAnsi" w:hAnsiTheme="minorHAnsi"/>
          <w:lang w:val="en-US"/>
        </w:rPr>
        <w:t>pseudocysts</w:t>
      </w:r>
      <w:proofErr w:type="spellEnd"/>
      <w:r w:rsidR="000A63BE" w:rsidRPr="00026AF4">
        <w:rPr>
          <w:rFonts w:asciiTheme="minorHAnsi" w:hAnsiTheme="minorHAnsi"/>
          <w:lang w:val="en-US"/>
        </w:rPr>
        <w:t xml:space="preserve"> was similar</w:t>
      </w:r>
      <w:r w:rsidR="008E1A30" w:rsidRPr="00026AF4">
        <w:rPr>
          <w:rFonts w:asciiTheme="minorHAnsi" w:hAnsiTheme="minorHAnsi"/>
          <w:lang w:val="en-US"/>
        </w:rPr>
        <w:t xml:space="preserve"> (</w:t>
      </w:r>
      <w:r w:rsidR="008E1A30" w:rsidRPr="00026AF4">
        <w:rPr>
          <w:rFonts w:asciiTheme="minorHAnsi" w:hAnsiTheme="minorHAnsi"/>
          <w:b/>
          <w:lang w:val="en-US"/>
        </w:rPr>
        <w:t xml:space="preserve">Table </w:t>
      </w:r>
      <w:r w:rsidR="00506AA4" w:rsidRPr="00026AF4">
        <w:rPr>
          <w:rFonts w:asciiTheme="minorHAnsi" w:hAnsiTheme="minorHAnsi"/>
          <w:b/>
          <w:lang w:val="en-US"/>
        </w:rPr>
        <w:t>1</w:t>
      </w:r>
      <w:r w:rsidR="008E1A30" w:rsidRPr="00026AF4">
        <w:rPr>
          <w:rFonts w:asciiTheme="minorHAnsi" w:hAnsiTheme="minorHAnsi"/>
          <w:lang w:val="en-US"/>
        </w:rPr>
        <w:t>)</w:t>
      </w:r>
      <w:r w:rsidR="000A63BE" w:rsidRPr="00026AF4">
        <w:rPr>
          <w:rFonts w:asciiTheme="minorHAnsi" w:hAnsiTheme="minorHAnsi"/>
          <w:lang w:val="en-US"/>
        </w:rPr>
        <w:t xml:space="preserve">. </w:t>
      </w:r>
    </w:p>
    <w:p w14:paraId="0FF7D529" w14:textId="77777777" w:rsidR="0054538F" w:rsidRPr="00026AF4" w:rsidRDefault="008A6531" w:rsidP="00712250">
      <w:pPr>
        <w:jc w:val="both"/>
        <w:rPr>
          <w:rFonts w:asciiTheme="minorHAnsi" w:hAnsiTheme="minorHAnsi"/>
          <w:lang w:val="en-US"/>
        </w:rPr>
      </w:pPr>
      <w:r w:rsidRPr="00026AF4">
        <w:rPr>
          <w:rFonts w:asciiTheme="minorHAnsi" w:hAnsiTheme="minorHAnsi"/>
          <w:lang w:val="en-US"/>
        </w:rPr>
        <w:t>The median age at</w:t>
      </w:r>
      <w:r w:rsidR="00E57E6F" w:rsidRPr="00026AF4">
        <w:rPr>
          <w:rFonts w:asciiTheme="minorHAnsi" w:hAnsiTheme="minorHAnsi"/>
          <w:lang w:val="en-US"/>
        </w:rPr>
        <w:t xml:space="preserve"> which</w:t>
      </w:r>
      <w:r w:rsidRPr="00026AF4">
        <w:rPr>
          <w:rFonts w:asciiTheme="minorHAnsi" w:hAnsiTheme="minorHAnsi"/>
          <w:lang w:val="en-US"/>
        </w:rPr>
        <w:t xml:space="preserve"> CP</w:t>
      </w:r>
      <w:r w:rsidR="00E57E6F" w:rsidRPr="00026AF4">
        <w:rPr>
          <w:rFonts w:asciiTheme="minorHAnsi" w:hAnsiTheme="minorHAnsi"/>
          <w:lang w:val="en-US"/>
        </w:rPr>
        <w:t xml:space="preserve"> was</w:t>
      </w:r>
      <w:r w:rsidRPr="00026AF4">
        <w:rPr>
          <w:rFonts w:asciiTheme="minorHAnsi" w:hAnsiTheme="minorHAnsi"/>
          <w:lang w:val="en-US"/>
        </w:rPr>
        <w:t xml:space="preserve"> </w:t>
      </w:r>
      <w:r w:rsidR="008F5333" w:rsidRPr="00026AF4">
        <w:rPr>
          <w:rFonts w:asciiTheme="minorHAnsi" w:hAnsiTheme="minorHAnsi"/>
          <w:lang w:val="en-US"/>
        </w:rPr>
        <w:t>diagnos</w:t>
      </w:r>
      <w:r w:rsidR="00E57E6F" w:rsidRPr="00026AF4">
        <w:rPr>
          <w:rFonts w:asciiTheme="minorHAnsi" w:hAnsiTheme="minorHAnsi"/>
          <w:lang w:val="en-US"/>
        </w:rPr>
        <w:t>ed</w:t>
      </w:r>
      <w:r w:rsidR="008F5333" w:rsidRPr="00026AF4">
        <w:rPr>
          <w:rFonts w:asciiTheme="minorHAnsi" w:hAnsiTheme="minorHAnsi"/>
          <w:lang w:val="en-US"/>
        </w:rPr>
        <w:t xml:space="preserve"> </w:t>
      </w:r>
      <w:r w:rsidRPr="00026AF4">
        <w:rPr>
          <w:rFonts w:asciiTheme="minorHAnsi" w:hAnsiTheme="minorHAnsi"/>
          <w:lang w:val="en-US"/>
        </w:rPr>
        <w:t>was 34.6 years</w:t>
      </w:r>
      <w:r w:rsidR="006E18AC" w:rsidRPr="00026AF4">
        <w:rPr>
          <w:rFonts w:asciiTheme="minorHAnsi" w:hAnsiTheme="minorHAnsi"/>
          <w:lang w:val="en-US"/>
        </w:rPr>
        <w:t xml:space="preserve"> (95% CI, 31.7-37.4)</w:t>
      </w:r>
      <w:r w:rsidRPr="00026AF4">
        <w:rPr>
          <w:rFonts w:asciiTheme="minorHAnsi" w:hAnsiTheme="minorHAnsi"/>
          <w:lang w:val="en-US"/>
        </w:rPr>
        <w:t xml:space="preserve"> </w:t>
      </w:r>
      <w:r w:rsidR="006E18AC" w:rsidRPr="00026AF4">
        <w:rPr>
          <w:rFonts w:asciiTheme="minorHAnsi" w:hAnsiTheme="minorHAnsi"/>
          <w:lang w:val="en-US"/>
        </w:rPr>
        <w:t>and 28.7</w:t>
      </w:r>
      <w:r w:rsidR="0004784D" w:rsidRPr="00026AF4">
        <w:rPr>
          <w:rFonts w:asciiTheme="minorHAnsi" w:hAnsiTheme="minorHAnsi"/>
          <w:lang w:val="en-US"/>
        </w:rPr>
        <w:t xml:space="preserve"> years</w:t>
      </w:r>
      <w:r w:rsidR="006E18AC" w:rsidRPr="00026AF4">
        <w:rPr>
          <w:rFonts w:asciiTheme="minorHAnsi" w:hAnsiTheme="minorHAnsi"/>
          <w:lang w:val="en-US"/>
        </w:rPr>
        <w:t xml:space="preserve"> (95% CI, 12.4-45.0) </w:t>
      </w:r>
      <w:r w:rsidRPr="00026AF4">
        <w:rPr>
          <w:rFonts w:asciiTheme="minorHAnsi" w:hAnsiTheme="minorHAnsi"/>
          <w:lang w:val="en-US"/>
        </w:rPr>
        <w:t xml:space="preserve">in heterozygous and </w:t>
      </w:r>
      <w:r w:rsidR="006E18AC" w:rsidRPr="00026AF4">
        <w:rPr>
          <w:rFonts w:asciiTheme="minorHAnsi" w:hAnsiTheme="minorHAnsi"/>
          <w:lang w:val="en-US"/>
        </w:rPr>
        <w:t xml:space="preserve">homozygous </w:t>
      </w:r>
      <w:r w:rsidR="004911F9" w:rsidRPr="00026AF4">
        <w:rPr>
          <w:rFonts w:asciiTheme="minorHAnsi" w:hAnsiTheme="minorHAnsi"/>
          <w:lang w:val="en-US"/>
        </w:rPr>
        <w:t>p.N34S</w:t>
      </w:r>
      <w:r w:rsidRPr="00026AF4">
        <w:rPr>
          <w:rFonts w:asciiTheme="minorHAnsi" w:hAnsiTheme="minorHAnsi"/>
          <w:lang w:val="en-US"/>
        </w:rPr>
        <w:t xml:space="preserve"> patients</w:t>
      </w:r>
      <w:r w:rsidR="006E18AC" w:rsidRPr="00026AF4">
        <w:rPr>
          <w:rFonts w:asciiTheme="minorHAnsi" w:hAnsiTheme="minorHAnsi"/>
          <w:lang w:val="en-US"/>
        </w:rPr>
        <w:t>, respectively (HR=1.50</w:t>
      </w:r>
      <w:r w:rsidRPr="00026AF4">
        <w:rPr>
          <w:rFonts w:asciiTheme="minorHAnsi" w:hAnsiTheme="minorHAnsi"/>
          <w:lang w:val="en-US"/>
        </w:rPr>
        <w:t>, 95% CI [</w:t>
      </w:r>
      <w:r w:rsidR="006E18AC" w:rsidRPr="00026AF4">
        <w:rPr>
          <w:rFonts w:asciiTheme="minorHAnsi" w:hAnsiTheme="minorHAnsi"/>
          <w:lang w:val="en-US"/>
        </w:rPr>
        <w:t>0.89-2.52], p=0.13</w:t>
      </w:r>
      <w:r w:rsidRPr="00026AF4">
        <w:rPr>
          <w:rFonts w:asciiTheme="minorHAnsi" w:hAnsiTheme="minorHAnsi"/>
          <w:lang w:val="en-US"/>
        </w:rPr>
        <w:t xml:space="preserve">). </w:t>
      </w:r>
      <w:r w:rsidR="00DB3AC7" w:rsidRPr="00026AF4">
        <w:rPr>
          <w:rFonts w:asciiTheme="minorHAnsi" w:hAnsiTheme="minorHAnsi"/>
          <w:lang w:val="en-US"/>
        </w:rPr>
        <w:t xml:space="preserve">Among the </w:t>
      </w:r>
      <w:r w:rsidR="004911F9" w:rsidRPr="00026AF4">
        <w:rPr>
          <w:rFonts w:asciiTheme="minorHAnsi" w:hAnsiTheme="minorHAnsi"/>
          <w:lang w:val="en-US"/>
        </w:rPr>
        <w:t>p.N34S</w:t>
      </w:r>
      <w:r w:rsidR="00DB3AC7" w:rsidRPr="00026AF4">
        <w:rPr>
          <w:rFonts w:asciiTheme="minorHAnsi" w:hAnsiTheme="minorHAnsi"/>
          <w:lang w:val="en-US"/>
        </w:rPr>
        <w:t xml:space="preserve"> heterozygous patients, t</w:t>
      </w:r>
      <w:r w:rsidR="0054538F" w:rsidRPr="00026AF4">
        <w:rPr>
          <w:rFonts w:asciiTheme="minorHAnsi" w:hAnsiTheme="minorHAnsi"/>
          <w:lang w:val="en-US"/>
        </w:rPr>
        <w:t xml:space="preserve">he presence of co-mutations did not influence the occurrence of </w:t>
      </w:r>
      <w:r w:rsidR="00E57E6F" w:rsidRPr="00026AF4">
        <w:rPr>
          <w:rFonts w:asciiTheme="minorHAnsi" w:hAnsiTheme="minorHAnsi"/>
          <w:lang w:val="en-US"/>
        </w:rPr>
        <w:t>CP</w:t>
      </w:r>
      <w:r w:rsidR="0054538F" w:rsidRPr="00026AF4">
        <w:rPr>
          <w:rFonts w:asciiTheme="minorHAnsi" w:hAnsiTheme="minorHAnsi"/>
          <w:lang w:val="en-US"/>
        </w:rPr>
        <w:t xml:space="preserve"> (HR=1.25, 95% IC [0.78-2.0], p=0.36). </w:t>
      </w:r>
    </w:p>
    <w:p w14:paraId="31B951DF" w14:textId="77777777" w:rsidR="00075671" w:rsidRPr="00026AF4" w:rsidRDefault="00075671" w:rsidP="00712250">
      <w:pPr>
        <w:jc w:val="both"/>
        <w:rPr>
          <w:rFonts w:asciiTheme="minorHAnsi" w:hAnsiTheme="minorHAnsi"/>
          <w:lang w:val="en-US"/>
        </w:rPr>
      </w:pPr>
    </w:p>
    <w:p w14:paraId="2D86B8E5" w14:textId="77777777" w:rsidR="00727DC1" w:rsidRPr="00026AF4" w:rsidRDefault="008F5333" w:rsidP="00712250">
      <w:pPr>
        <w:jc w:val="both"/>
        <w:rPr>
          <w:rFonts w:asciiTheme="minorHAnsi" w:hAnsiTheme="minorHAnsi"/>
          <w:b/>
          <w:i/>
          <w:lang w:val="en-US"/>
        </w:rPr>
      </w:pPr>
      <w:r w:rsidRPr="00026AF4">
        <w:rPr>
          <w:rFonts w:asciiTheme="minorHAnsi" w:hAnsiTheme="minorHAnsi"/>
          <w:b/>
          <w:i/>
          <w:lang w:val="en-US"/>
        </w:rPr>
        <w:t xml:space="preserve">Exocrine pancreatic insufficiency </w:t>
      </w:r>
    </w:p>
    <w:p w14:paraId="246FFDB6" w14:textId="77777777" w:rsidR="000A63BE" w:rsidRPr="00026AF4" w:rsidRDefault="000A63BE" w:rsidP="00712250">
      <w:pPr>
        <w:jc w:val="both"/>
        <w:rPr>
          <w:rFonts w:asciiTheme="minorHAnsi" w:hAnsiTheme="minorHAnsi"/>
          <w:b/>
          <w:i/>
          <w:lang w:val="en-US"/>
        </w:rPr>
      </w:pPr>
      <w:r w:rsidRPr="00026AF4">
        <w:rPr>
          <w:rFonts w:asciiTheme="minorHAnsi" w:hAnsiTheme="minorHAnsi"/>
          <w:lang w:val="en-US"/>
        </w:rPr>
        <w:t xml:space="preserve">At the end </w:t>
      </w:r>
      <w:r w:rsidR="008E049A" w:rsidRPr="00026AF4">
        <w:rPr>
          <w:rFonts w:asciiTheme="minorHAnsi" w:hAnsiTheme="minorHAnsi"/>
          <w:lang w:val="en-US"/>
        </w:rPr>
        <w:t>point</w:t>
      </w:r>
      <w:r w:rsidRPr="00026AF4">
        <w:rPr>
          <w:rFonts w:asciiTheme="minorHAnsi" w:hAnsiTheme="minorHAnsi"/>
          <w:lang w:val="en-US"/>
        </w:rPr>
        <w:t xml:space="preserve">, the proportion of patients with </w:t>
      </w:r>
      <w:proofErr w:type="spellStart"/>
      <w:r w:rsidRPr="00026AF4">
        <w:rPr>
          <w:rFonts w:asciiTheme="minorHAnsi" w:hAnsiTheme="minorHAnsi"/>
          <w:lang w:val="en-US"/>
        </w:rPr>
        <w:t>steatorrhea</w:t>
      </w:r>
      <w:proofErr w:type="spellEnd"/>
      <w:r w:rsidRPr="00026AF4">
        <w:rPr>
          <w:rFonts w:asciiTheme="minorHAnsi" w:hAnsiTheme="minorHAnsi"/>
          <w:lang w:val="en-US"/>
        </w:rPr>
        <w:t xml:space="preserve"> was s</w:t>
      </w:r>
      <w:r w:rsidR="003A1E1D" w:rsidRPr="00026AF4">
        <w:rPr>
          <w:rFonts w:asciiTheme="minorHAnsi" w:hAnsiTheme="minorHAnsi"/>
          <w:lang w:val="en-US"/>
        </w:rPr>
        <w:t xml:space="preserve">imilar in both groups. </w:t>
      </w:r>
      <w:r w:rsidR="004A1A5F" w:rsidRPr="00026AF4">
        <w:rPr>
          <w:rFonts w:asciiTheme="minorHAnsi" w:hAnsiTheme="minorHAnsi"/>
          <w:lang w:val="en-US"/>
        </w:rPr>
        <w:t xml:space="preserve">The median delay between the first symptoms and the diagnosis of </w:t>
      </w:r>
      <w:r w:rsidR="008F5333" w:rsidRPr="00026AF4">
        <w:rPr>
          <w:rFonts w:asciiTheme="minorHAnsi" w:hAnsiTheme="minorHAnsi"/>
          <w:lang w:val="en-US"/>
        </w:rPr>
        <w:t xml:space="preserve">EPI </w:t>
      </w:r>
      <w:r w:rsidR="004A1A5F" w:rsidRPr="00026AF4">
        <w:rPr>
          <w:rFonts w:asciiTheme="minorHAnsi" w:hAnsiTheme="minorHAnsi"/>
          <w:lang w:val="en-US"/>
        </w:rPr>
        <w:t xml:space="preserve">was longer in the SRP </w:t>
      </w:r>
      <w:r w:rsidR="00D05678" w:rsidRPr="00026AF4">
        <w:rPr>
          <w:rFonts w:asciiTheme="minorHAnsi" w:hAnsiTheme="minorHAnsi"/>
          <w:lang w:val="en-US"/>
        </w:rPr>
        <w:t xml:space="preserve">group than in the </w:t>
      </w:r>
      <w:r w:rsidR="00937372" w:rsidRPr="00026AF4">
        <w:rPr>
          <w:rFonts w:asciiTheme="minorHAnsi" w:hAnsiTheme="minorHAnsi"/>
          <w:lang w:val="en-US"/>
        </w:rPr>
        <w:t xml:space="preserve">control </w:t>
      </w:r>
      <w:r w:rsidR="00D05678" w:rsidRPr="00026AF4">
        <w:rPr>
          <w:rFonts w:asciiTheme="minorHAnsi" w:hAnsiTheme="minorHAnsi"/>
          <w:lang w:val="en-US"/>
        </w:rPr>
        <w:t xml:space="preserve">group </w:t>
      </w:r>
      <w:r w:rsidR="001505FC" w:rsidRPr="00026AF4">
        <w:rPr>
          <w:rFonts w:asciiTheme="minorHAnsi" w:hAnsiTheme="minorHAnsi"/>
          <w:lang w:val="en-US"/>
        </w:rPr>
        <w:t>[</w:t>
      </w:r>
      <w:r w:rsidR="00D05678" w:rsidRPr="00026AF4">
        <w:rPr>
          <w:rFonts w:asciiTheme="minorHAnsi" w:hAnsiTheme="minorHAnsi"/>
          <w:lang w:val="en-US"/>
        </w:rPr>
        <w:t xml:space="preserve">25.0 (95% IC, 20.2-29.8) years </w:t>
      </w:r>
      <w:r w:rsidR="004A1A5F" w:rsidRPr="00026AF4">
        <w:rPr>
          <w:rFonts w:asciiTheme="minorHAnsi" w:hAnsiTheme="minorHAnsi"/>
          <w:lang w:val="en-US"/>
        </w:rPr>
        <w:t>vs</w:t>
      </w:r>
      <w:r w:rsidR="00D05678" w:rsidRPr="00026AF4">
        <w:rPr>
          <w:rFonts w:asciiTheme="minorHAnsi" w:hAnsiTheme="minorHAnsi"/>
          <w:lang w:val="en-US"/>
        </w:rPr>
        <w:t>.</w:t>
      </w:r>
      <w:r w:rsidR="004A1A5F" w:rsidRPr="00026AF4">
        <w:rPr>
          <w:rFonts w:asciiTheme="minorHAnsi" w:hAnsiTheme="minorHAnsi"/>
          <w:lang w:val="en-US"/>
        </w:rPr>
        <w:t xml:space="preserve"> 15.0 </w:t>
      </w:r>
      <w:r w:rsidR="00D05678" w:rsidRPr="00026AF4">
        <w:rPr>
          <w:rFonts w:asciiTheme="minorHAnsi" w:hAnsiTheme="minorHAnsi"/>
          <w:lang w:val="en-US"/>
        </w:rPr>
        <w:t xml:space="preserve">(95% IC, 10.3-19.7) </w:t>
      </w:r>
      <w:r w:rsidR="004A1A5F" w:rsidRPr="00026AF4">
        <w:rPr>
          <w:rFonts w:asciiTheme="minorHAnsi" w:hAnsiTheme="minorHAnsi"/>
          <w:lang w:val="en-US"/>
        </w:rPr>
        <w:t>years, p=0.007</w:t>
      </w:r>
      <w:r w:rsidR="001505FC" w:rsidRPr="00026AF4">
        <w:rPr>
          <w:rFonts w:asciiTheme="minorHAnsi" w:hAnsiTheme="minorHAnsi"/>
          <w:lang w:val="en-US"/>
        </w:rPr>
        <w:t>]</w:t>
      </w:r>
      <w:r w:rsidR="004A1A5F" w:rsidRPr="00026AF4">
        <w:rPr>
          <w:rFonts w:asciiTheme="minorHAnsi" w:hAnsiTheme="minorHAnsi"/>
          <w:lang w:val="en-US"/>
        </w:rPr>
        <w:t xml:space="preserve"> However, t</w:t>
      </w:r>
      <w:r w:rsidR="003A1E1D" w:rsidRPr="00026AF4">
        <w:rPr>
          <w:rFonts w:asciiTheme="minorHAnsi" w:hAnsiTheme="minorHAnsi"/>
          <w:lang w:val="en-US"/>
        </w:rPr>
        <w:t xml:space="preserve">he age of onset of </w:t>
      </w:r>
      <w:r w:rsidR="008F5333" w:rsidRPr="00026AF4">
        <w:rPr>
          <w:rFonts w:asciiTheme="minorHAnsi" w:hAnsiTheme="minorHAnsi"/>
          <w:lang w:val="en-US"/>
        </w:rPr>
        <w:t xml:space="preserve">EPI </w:t>
      </w:r>
      <w:r w:rsidR="003A1E1D" w:rsidRPr="00026AF4">
        <w:rPr>
          <w:rFonts w:asciiTheme="minorHAnsi" w:hAnsiTheme="minorHAnsi"/>
          <w:lang w:val="en-US"/>
        </w:rPr>
        <w:t xml:space="preserve">in the SRP group was about 15 years younger than in the </w:t>
      </w:r>
      <w:r w:rsidR="00937372" w:rsidRPr="00026AF4">
        <w:rPr>
          <w:rFonts w:asciiTheme="minorHAnsi" w:hAnsiTheme="minorHAnsi"/>
          <w:lang w:val="en-US"/>
        </w:rPr>
        <w:t xml:space="preserve">control </w:t>
      </w:r>
      <w:r w:rsidR="003A1E1D" w:rsidRPr="00026AF4">
        <w:rPr>
          <w:rFonts w:asciiTheme="minorHAnsi" w:hAnsiTheme="minorHAnsi"/>
          <w:lang w:val="en-US"/>
        </w:rPr>
        <w:t>group</w:t>
      </w:r>
      <w:r w:rsidRPr="00026AF4">
        <w:rPr>
          <w:rFonts w:asciiTheme="minorHAnsi" w:hAnsiTheme="minorHAnsi"/>
          <w:lang w:val="en-US"/>
        </w:rPr>
        <w:t xml:space="preserve"> </w:t>
      </w:r>
      <w:r w:rsidR="001505FC" w:rsidRPr="00026AF4">
        <w:rPr>
          <w:rFonts w:asciiTheme="minorHAnsi" w:hAnsiTheme="minorHAnsi"/>
          <w:lang w:val="en-US"/>
        </w:rPr>
        <w:t>[</w:t>
      </w:r>
      <w:r w:rsidR="00D05678" w:rsidRPr="00026AF4">
        <w:rPr>
          <w:rFonts w:asciiTheme="minorHAnsi" w:hAnsiTheme="minorHAnsi"/>
          <w:lang w:val="en-US"/>
        </w:rPr>
        <w:t>median age, 49.5 (95% IC, 44.5-54.6)</w:t>
      </w:r>
      <w:r w:rsidRPr="00026AF4">
        <w:rPr>
          <w:rFonts w:asciiTheme="minorHAnsi" w:hAnsiTheme="minorHAnsi"/>
          <w:lang w:val="en-US"/>
        </w:rPr>
        <w:t xml:space="preserve"> </w:t>
      </w:r>
      <w:r w:rsidR="00D05678" w:rsidRPr="00026AF4">
        <w:rPr>
          <w:rFonts w:asciiTheme="minorHAnsi" w:hAnsiTheme="minorHAnsi"/>
          <w:lang w:val="en-US"/>
        </w:rPr>
        <w:t>years vs. 65.2 (95% IC, 62.1-68.3) years</w:t>
      </w:r>
      <w:r w:rsidRPr="00026AF4">
        <w:rPr>
          <w:rFonts w:asciiTheme="minorHAnsi" w:hAnsiTheme="minorHAnsi"/>
          <w:lang w:val="en-US"/>
        </w:rPr>
        <w:t>, p&lt;0.001</w:t>
      </w:r>
      <w:r w:rsidR="001505FC" w:rsidRPr="00026AF4">
        <w:rPr>
          <w:rFonts w:asciiTheme="minorHAnsi" w:hAnsiTheme="minorHAnsi"/>
          <w:lang w:val="en-US"/>
        </w:rPr>
        <w:t>]</w:t>
      </w:r>
      <w:r w:rsidRPr="00026AF4">
        <w:rPr>
          <w:rFonts w:asciiTheme="minorHAnsi" w:hAnsiTheme="minorHAnsi"/>
          <w:lang w:val="en-US"/>
        </w:rPr>
        <w:t xml:space="preserve">. As shown in </w:t>
      </w:r>
      <w:r w:rsidR="00595792" w:rsidRPr="00026AF4">
        <w:rPr>
          <w:rFonts w:asciiTheme="minorHAnsi" w:hAnsiTheme="minorHAnsi"/>
          <w:b/>
          <w:lang w:val="en-US"/>
        </w:rPr>
        <w:t xml:space="preserve">Figure </w:t>
      </w:r>
      <w:r w:rsidR="001A5F54" w:rsidRPr="00026AF4">
        <w:rPr>
          <w:rFonts w:asciiTheme="minorHAnsi" w:hAnsiTheme="minorHAnsi"/>
          <w:b/>
          <w:lang w:val="en-US"/>
        </w:rPr>
        <w:t>3a</w:t>
      </w:r>
      <w:r w:rsidRPr="00026AF4">
        <w:rPr>
          <w:rFonts w:asciiTheme="minorHAnsi" w:hAnsiTheme="minorHAnsi"/>
          <w:lang w:val="en-US"/>
        </w:rPr>
        <w:t xml:space="preserve">, </w:t>
      </w:r>
      <w:r w:rsidR="003A1E1D" w:rsidRPr="00026AF4">
        <w:rPr>
          <w:rFonts w:asciiTheme="minorHAnsi" w:hAnsiTheme="minorHAnsi"/>
          <w:lang w:val="en-US"/>
        </w:rPr>
        <w:t>t</w:t>
      </w:r>
      <w:r w:rsidR="001A5F54" w:rsidRPr="00026AF4">
        <w:rPr>
          <w:rFonts w:asciiTheme="minorHAnsi" w:hAnsiTheme="minorHAnsi"/>
          <w:lang w:val="en-US"/>
        </w:rPr>
        <w:t xml:space="preserve">he proportion of SRP patients with </w:t>
      </w:r>
      <w:r w:rsidR="008F5333" w:rsidRPr="00026AF4">
        <w:rPr>
          <w:rFonts w:asciiTheme="minorHAnsi" w:hAnsiTheme="minorHAnsi"/>
          <w:lang w:val="en-US"/>
        </w:rPr>
        <w:t xml:space="preserve">EPI </w:t>
      </w:r>
      <w:r w:rsidR="001A5F54" w:rsidRPr="00026AF4">
        <w:rPr>
          <w:rFonts w:asciiTheme="minorHAnsi" w:hAnsiTheme="minorHAnsi"/>
          <w:lang w:val="en-US"/>
        </w:rPr>
        <w:t>was 5.3% at 20 years, 14.7% at 30 years, 28.3% at 40 years and 52.4% at 50 years.</w:t>
      </w:r>
    </w:p>
    <w:p w14:paraId="776504C2" w14:textId="77777777" w:rsidR="001A5F54" w:rsidRPr="00026AF4" w:rsidRDefault="001A5F54" w:rsidP="00712250">
      <w:pPr>
        <w:jc w:val="both"/>
        <w:rPr>
          <w:rFonts w:asciiTheme="minorHAnsi" w:hAnsiTheme="minorHAnsi"/>
          <w:lang w:val="en-US"/>
        </w:rPr>
      </w:pPr>
      <w:r w:rsidRPr="00026AF4">
        <w:rPr>
          <w:rFonts w:asciiTheme="minorHAnsi" w:hAnsiTheme="minorHAnsi"/>
          <w:lang w:val="en-US"/>
        </w:rPr>
        <w:t xml:space="preserve">Conversely to the </w:t>
      </w:r>
      <w:r w:rsidR="00937372" w:rsidRPr="00026AF4">
        <w:rPr>
          <w:rFonts w:asciiTheme="minorHAnsi" w:hAnsiTheme="minorHAnsi"/>
          <w:lang w:val="en-US"/>
        </w:rPr>
        <w:t xml:space="preserve">control </w:t>
      </w:r>
      <w:r w:rsidRPr="00026AF4">
        <w:rPr>
          <w:rFonts w:asciiTheme="minorHAnsi" w:hAnsiTheme="minorHAnsi"/>
          <w:lang w:val="en-US"/>
        </w:rPr>
        <w:t>group, tobacco consumption</w:t>
      </w:r>
      <w:r w:rsidR="001C3AC3" w:rsidRPr="00026AF4">
        <w:rPr>
          <w:rFonts w:asciiTheme="minorHAnsi" w:hAnsiTheme="minorHAnsi"/>
          <w:lang w:val="en-US"/>
        </w:rPr>
        <w:t xml:space="preserve"> in SRP group</w:t>
      </w:r>
      <w:r w:rsidRPr="00026AF4">
        <w:rPr>
          <w:rFonts w:asciiTheme="minorHAnsi" w:hAnsiTheme="minorHAnsi"/>
          <w:lang w:val="en-US"/>
        </w:rPr>
        <w:t xml:space="preserve"> was not associated with earlier onset of </w:t>
      </w:r>
      <w:r w:rsidR="008F5333" w:rsidRPr="00026AF4">
        <w:rPr>
          <w:rFonts w:asciiTheme="minorHAnsi" w:hAnsiTheme="minorHAnsi"/>
          <w:lang w:val="en-US"/>
        </w:rPr>
        <w:t xml:space="preserve">EPI </w:t>
      </w:r>
      <w:r w:rsidRPr="00026AF4">
        <w:rPr>
          <w:rFonts w:asciiTheme="minorHAnsi" w:hAnsiTheme="minorHAnsi"/>
          <w:lang w:val="en-US"/>
        </w:rPr>
        <w:t>(</w:t>
      </w:r>
      <w:r w:rsidRPr="00026AF4">
        <w:rPr>
          <w:rFonts w:asciiTheme="minorHAnsi" w:hAnsiTheme="minorHAnsi"/>
          <w:b/>
          <w:lang w:val="en-US"/>
        </w:rPr>
        <w:t>Figure 3b</w:t>
      </w:r>
      <w:r w:rsidRPr="00026AF4">
        <w:rPr>
          <w:rFonts w:asciiTheme="minorHAnsi" w:hAnsiTheme="minorHAnsi"/>
          <w:lang w:val="en-US"/>
        </w:rPr>
        <w:t>).</w:t>
      </w:r>
    </w:p>
    <w:p w14:paraId="797477EA" w14:textId="77777777" w:rsidR="006E18AC" w:rsidRPr="00026AF4" w:rsidRDefault="006E18AC" w:rsidP="00712250">
      <w:pPr>
        <w:jc w:val="both"/>
        <w:rPr>
          <w:rFonts w:asciiTheme="minorHAnsi" w:hAnsiTheme="minorHAnsi"/>
          <w:lang w:val="en-US"/>
        </w:rPr>
      </w:pPr>
      <w:r w:rsidRPr="00026AF4">
        <w:rPr>
          <w:rFonts w:asciiTheme="minorHAnsi" w:hAnsiTheme="minorHAnsi"/>
          <w:lang w:val="en-US"/>
        </w:rPr>
        <w:t xml:space="preserve">The median age at </w:t>
      </w:r>
      <w:r w:rsidR="008F5333" w:rsidRPr="00026AF4">
        <w:rPr>
          <w:rFonts w:asciiTheme="minorHAnsi" w:hAnsiTheme="minorHAnsi"/>
          <w:lang w:val="en-US"/>
        </w:rPr>
        <w:t xml:space="preserve">EPI </w:t>
      </w:r>
      <w:r w:rsidRPr="00026AF4">
        <w:rPr>
          <w:rFonts w:asciiTheme="minorHAnsi" w:hAnsiTheme="minorHAnsi"/>
          <w:lang w:val="en-US"/>
        </w:rPr>
        <w:t xml:space="preserve">onset was similar in heterozygous and homozygous </w:t>
      </w:r>
      <w:r w:rsidR="004911F9" w:rsidRPr="00026AF4">
        <w:rPr>
          <w:rFonts w:asciiTheme="minorHAnsi" w:hAnsiTheme="minorHAnsi"/>
          <w:lang w:val="en-US"/>
        </w:rPr>
        <w:t>p.N34S</w:t>
      </w:r>
      <w:r w:rsidRPr="00026AF4">
        <w:rPr>
          <w:rFonts w:asciiTheme="minorHAnsi" w:hAnsiTheme="minorHAnsi"/>
          <w:lang w:val="en-US"/>
        </w:rPr>
        <w:t xml:space="preserve"> patients (HR=1.08, 95% CI [0.51-2.29], p=0.84). </w:t>
      </w:r>
      <w:r w:rsidR="00624942" w:rsidRPr="00026AF4">
        <w:rPr>
          <w:rFonts w:asciiTheme="minorHAnsi" w:hAnsiTheme="minorHAnsi"/>
          <w:lang w:val="en-US"/>
        </w:rPr>
        <w:t xml:space="preserve">No difference was observed </w:t>
      </w:r>
      <w:r w:rsidR="001C3AC3" w:rsidRPr="00026AF4">
        <w:rPr>
          <w:rFonts w:asciiTheme="minorHAnsi" w:hAnsiTheme="minorHAnsi"/>
          <w:lang w:val="en-US"/>
        </w:rPr>
        <w:t>due</w:t>
      </w:r>
      <w:r w:rsidR="00624942" w:rsidRPr="00026AF4">
        <w:rPr>
          <w:rFonts w:asciiTheme="minorHAnsi" w:hAnsiTheme="minorHAnsi"/>
          <w:lang w:val="en-US"/>
        </w:rPr>
        <w:t xml:space="preserve"> to</w:t>
      </w:r>
      <w:r w:rsidR="001C3AC3" w:rsidRPr="00026AF4">
        <w:rPr>
          <w:rFonts w:asciiTheme="minorHAnsi" w:hAnsiTheme="minorHAnsi"/>
          <w:lang w:val="en-US"/>
        </w:rPr>
        <w:t xml:space="preserve"> concomitant</w:t>
      </w:r>
      <w:r w:rsidR="00624942" w:rsidRPr="00026AF4">
        <w:rPr>
          <w:rFonts w:asciiTheme="minorHAnsi" w:hAnsiTheme="minorHAnsi"/>
          <w:lang w:val="en-US"/>
        </w:rPr>
        <w:t xml:space="preserve"> mutations </w:t>
      </w:r>
      <w:r w:rsidR="001C3AC3" w:rsidRPr="00026AF4">
        <w:rPr>
          <w:rFonts w:asciiTheme="minorHAnsi" w:hAnsiTheme="minorHAnsi"/>
          <w:lang w:val="en-US"/>
        </w:rPr>
        <w:t>in</w:t>
      </w:r>
      <w:r w:rsidR="00595792" w:rsidRPr="00026AF4">
        <w:rPr>
          <w:rFonts w:asciiTheme="minorHAnsi" w:hAnsiTheme="minorHAnsi"/>
          <w:lang w:val="en-US"/>
        </w:rPr>
        <w:t xml:space="preserve"> </w:t>
      </w:r>
      <w:r w:rsidR="00624942" w:rsidRPr="00026AF4">
        <w:rPr>
          <w:rFonts w:asciiTheme="minorHAnsi" w:hAnsiTheme="minorHAnsi"/>
          <w:i/>
          <w:lang w:val="en-US"/>
        </w:rPr>
        <w:t>CFTR</w:t>
      </w:r>
      <w:r w:rsidR="00624942" w:rsidRPr="00026AF4">
        <w:rPr>
          <w:rFonts w:asciiTheme="minorHAnsi" w:hAnsiTheme="minorHAnsi"/>
          <w:lang w:val="en-US"/>
        </w:rPr>
        <w:t xml:space="preserve"> or </w:t>
      </w:r>
      <w:r w:rsidR="00624942" w:rsidRPr="00026AF4">
        <w:rPr>
          <w:rFonts w:asciiTheme="minorHAnsi" w:hAnsiTheme="minorHAnsi"/>
          <w:i/>
          <w:lang w:val="en-US"/>
        </w:rPr>
        <w:t>CTRC</w:t>
      </w:r>
      <w:r w:rsidR="001C3AC3" w:rsidRPr="00026AF4">
        <w:rPr>
          <w:rFonts w:asciiTheme="minorHAnsi" w:hAnsiTheme="minorHAnsi"/>
          <w:lang w:val="en-US"/>
        </w:rPr>
        <w:t xml:space="preserve"> genes.</w:t>
      </w:r>
    </w:p>
    <w:p w14:paraId="04294C84" w14:textId="77777777" w:rsidR="00543199" w:rsidRPr="00026AF4" w:rsidRDefault="00543199" w:rsidP="00712250">
      <w:pPr>
        <w:jc w:val="both"/>
        <w:rPr>
          <w:rFonts w:asciiTheme="minorHAnsi" w:hAnsiTheme="minorHAnsi"/>
          <w:lang w:val="en-US"/>
        </w:rPr>
      </w:pPr>
    </w:p>
    <w:p w14:paraId="3F6904D9" w14:textId="77777777" w:rsidR="0094348E" w:rsidRPr="00026AF4" w:rsidRDefault="0094348E" w:rsidP="00712250">
      <w:pPr>
        <w:jc w:val="both"/>
        <w:rPr>
          <w:rFonts w:asciiTheme="minorHAnsi" w:hAnsiTheme="minorHAnsi"/>
          <w:b/>
          <w:i/>
          <w:lang w:val="en-US"/>
        </w:rPr>
      </w:pPr>
      <w:r w:rsidRPr="00026AF4">
        <w:rPr>
          <w:rFonts w:asciiTheme="minorHAnsi" w:hAnsiTheme="minorHAnsi"/>
          <w:b/>
          <w:i/>
          <w:lang w:val="en-US"/>
        </w:rPr>
        <w:t>Diabetes mellitus (DM)</w:t>
      </w:r>
      <w:r w:rsidR="008F5333" w:rsidRPr="00026AF4">
        <w:rPr>
          <w:rFonts w:asciiTheme="minorHAnsi" w:hAnsiTheme="minorHAnsi"/>
          <w:b/>
          <w:i/>
          <w:lang w:val="en-US"/>
        </w:rPr>
        <w:t xml:space="preserve"> </w:t>
      </w:r>
    </w:p>
    <w:p w14:paraId="3AEBC8B5" w14:textId="1690CCB4" w:rsidR="0094348E" w:rsidRPr="00026AF4" w:rsidRDefault="0094348E" w:rsidP="00712250">
      <w:pPr>
        <w:jc w:val="both"/>
        <w:rPr>
          <w:rFonts w:asciiTheme="minorHAnsi" w:hAnsiTheme="minorHAnsi"/>
          <w:lang w:val="en-US"/>
        </w:rPr>
      </w:pPr>
      <w:r w:rsidRPr="00026AF4">
        <w:rPr>
          <w:rFonts w:asciiTheme="minorHAnsi" w:hAnsiTheme="minorHAnsi"/>
          <w:lang w:val="en-US"/>
        </w:rPr>
        <w:t xml:space="preserve">At the end of follow-up, there </w:t>
      </w:r>
      <w:proofErr w:type="gramStart"/>
      <w:r w:rsidRPr="00026AF4">
        <w:rPr>
          <w:rFonts w:asciiTheme="minorHAnsi" w:hAnsiTheme="minorHAnsi"/>
          <w:lang w:val="en-US"/>
        </w:rPr>
        <w:t>was</w:t>
      </w:r>
      <w:proofErr w:type="gramEnd"/>
      <w:r w:rsidRPr="00026AF4">
        <w:rPr>
          <w:rFonts w:asciiTheme="minorHAnsi" w:hAnsiTheme="minorHAnsi"/>
          <w:lang w:val="en-US"/>
        </w:rPr>
        <w:t xml:space="preserve"> a similar proportion of patients with DM in the SRP (17.3%) and in the IP (23%) groups (</w:t>
      </w:r>
      <w:r w:rsidRPr="00026AF4">
        <w:rPr>
          <w:rFonts w:asciiTheme="minorHAnsi" w:hAnsiTheme="minorHAnsi"/>
          <w:b/>
          <w:lang w:val="en-US"/>
        </w:rPr>
        <w:t xml:space="preserve">Table </w:t>
      </w:r>
      <w:r w:rsidR="00506AA4" w:rsidRPr="00026AF4">
        <w:rPr>
          <w:rFonts w:asciiTheme="minorHAnsi" w:hAnsiTheme="minorHAnsi"/>
          <w:b/>
          <w:lang w:val="en-US"/>
        </w:rPr>
        <w:t>1</w:t>
      </w:r>
      <w:r w:rsidRPr="00026AF4">
        <w:rPr>
          <w:rFonts w:asciiTheme="minorHAnsi" w:hAnsiTheme="minorHAnsi"/>
          <w:lang w:val="en-US"/>
        </w:rPr>
        <w:t xml:space="preserve">). The severity of DM was similar, with a comparable </w:t>
      </w:r>
      <w:r w:rsidR="001C3AC3" w:rsidRPr="00026AF4">
        <w:rPr>
          <w:rFonts w:asciiTheme="minorHAnsi" w:hAnsiTheme="minorHAnsi"/>
          <w:lang w:val="en-US"/>
        </w:rPr>
        <w:t>proportion</w:t>
      </w:r>
      <w:r w:rsidRPr="00026AF4">
        <w:rPr>
          <w:rFonts w:asciiTheme="minorHAnsi" w:hAnsiTheme="minorHAnsi"/>
          <w:lang w:val="en-US"/>
        </w:rPr>
        <w:t xml:space="preserve"> of patients</w:t>
      </w:r>
      <w:r w:rsidR="001C3AC3" w:rsidRPr="00026AF4">
        <w:rPr>
          <w:rFonts w:asciiTheme="minorHAnsi" w:hAnsiTheme="minorHAnsi"/>
          <w:lang w:val="en-US"/>
        </w:rPr>
        <w:t xml:space="preserve"> requiring</w:t>
      </w:r>
      <w:r w:rsidRPr="00026AF4">
        <w:rPr>
          <w:rFonts w:asciiTheme="minorHAnsi" w:hAnsiTheme="minorHAnsi"/>
          <w:lang w:val="en-US"/>
        </w:rPr>
        <w:t xml:space="preserve"> insulin. </w:t>
      </w:r>
    </w:p>
    <w:p w14:paraId="027F935C" w14:textId="77777777" w:rsidR="0094348E" w:rsidRPr="00026AF4" w:rsidRDefault="003A1E1D" w:rsidP="00712250">
      <w:pPr>
        <w:jc w:val="both"/>
        <w:rPr>
          <w:rFonts w:asciiTheme="minorHAnsi" w:hAnsiTheme="minorHAnsi"/>
          <w:lang w:val="en-US"/>
        </w:rPr>
      </w:pPr>
      <w:r w:rsidRPr="00026AF4">
        <w:rPr>
          <w:rFonts w:asciiTheme="minorHAnsi" w:hAnsiTheme="minorHAnsi"/>
          <w:lang w:val="en-US"/>
        </w:rPr>
        <w:t xml:space="preserve">DM occurred after a median delay of 37.7 </w:t>
      </w:r>
      <w:r w:rsidR="00726B66" w:rsidRPr="00026AF4">
        <w:rPr>
          <w:rFonts w:asciiTheme="minorHAnsi" w:hAnsiTheme="minorHAnsi"/>
          <w:lang w:val="en-US"/>
        </w:rPr>
        <w:t xml:space="preserve">(95% IC, 33.3-42.1) </w:t>
      </w:r>
      <w:r w:rsidRPr="00026AF4">
        <w:rPr>
          <w:rFonts w:asciiTheme="minorHAnsi" w:hAnsiTheme="minorHAnsi"/>
          <w:lang w:val="en-US"/>
        </w:rPr>
        <w:t xml:space="preserve">years </w:t>
      </w:r>
      <w:r w:rsidR="001C3AC3" w:rsidRPr="00026AF4">
        <w:rPr>
          <w:rFonts w:asciiTheme="minorHAnsi" w:hAnsiTheme="minorHAnsi"/>
          <w:lang w:val="en-US"/>
        </w:rPr>
        <w:t>following the onset of</w:t>
      </w:r>
      <w:r w:rsidRPr="00026AF4">
        <w:rPr>
          <w:rFonts w:asciiTheme="minorHAnsi" w:hAnsiTheme="minorHAnsi"/>
          <w:lang w:val="en-US"/>
        </w:rPr>
        <w:t xml:space="preserve"> sym</w:t>
      </w:r>
      <w:r w:rsidR="00726B66" w:rsidRPr="00026AF4">
        <w:rPr>
          <w:rFonts w:asciiTheme="minorHAnsi" w:hAnsiTheme="minorHAnsi"/>
          <w:lang w:val="en-US"/>
        </w:rPr>
        <w:t xml:space="preserve">ptoms in the SRP group vs. 30.6 (95% IC, 17.3-43.8) </w:t>
      </w:r>
      <w:r w:rsidRPr="00026AF4">
        <w:rPr>
          <w:rFonts w:asciiTheme="minorHAnsi" w:hAnsiTheme="minorHAnsi"/>
          <w:lang w:val="en-US"/>
        </w:rPr>
        <w:t>years in the IP group</w:t>
      </w:r>
      <w:r w:rsidR="00255B3D" w:rsidRPr="00026AF4">
        <w:rPr>
          <w:rFonts w:asciiTheme="minorHAnsi" w:hAnsiTheme="minorHAnsi"/>
          <w:lang w:val="en-US"/>
        </w:rPr>
        <w:t xml:space="preserve"> </w:t>
      </w:r>
      <w:r w:rsidR="001C3AC3" w:rsidRPr="00026AF4">
        <w:rPr>
          <w:rFonts w:asciiTheme="minorHAnsi" w:hAnsiTheme="minorHAnsi"/>
          <w:lang w:val="en-US"/>
        </w:rPr>
        <w:t>(</w:t>
      </w:r>
      <w:r w:rsidRPr="00026AF4">
        <w:rPr>
          <w:rFonts w:asciiTheme="minorHAnsi" w:hAnsiTheme="minorHAnsi"/>
          <w:lang w:val="en-US"/>
        </w:rPr>
        <w:t xml:space="preserve">p=0.002). </w:t>
      </w:r>
      <w:r w:rsidR="0094348E" w:rsidRPr="00026AF4">
        <w:rPr>
          <w:rFonts w:asciiTheme="minorHAnsi" w:hAnsiTheme="minorHAnsi"/>
          <w:lang w:val="en-US"/>
        </w:rPr>
        <w:t xml:space="preserve">The age of DM onset was </w:t>
      </w:r>
      <w:r w:rsidRPr="00026AF4">
        <w:rPr>
          <w:rFonts w:asciiTheme="minorHAnsi" w:hAnsiTheme="minorHAnsi"/>
          <w:lang w:val="en-US"/>
        </w:rPr>
        <w:t xml:space="preserve">approximately 15 years </w:t>
      </w:r>
      <w:r w:rsidR="0094348E" w:rsidRPr="00026AF4">
        <w:rPr>
          <w:rFonts w:asciiTheme="minorHAnsi" w:hAnsiTheme="minorHAnsi"/>
          <w:lang w:val="en-US"/>
        </w:rPr>
        <w:t xml:space="preserve">younger in the SRP group </w:t>
      </w:r>
      <w:r w:rsidRPr="00026AF4">
        <w:rPr>
          <w:rFonts w:asciiTheme="minorHAnsi" w:hAnsiTheme="minorHAnsi"/>
          <w:lang w:val="en-US"/>
        </w:rPr>
        <w:t xml:space="preserve">than in the </w:t>
      </w:r>
      <w:r w:rsidR="00937372" w:rsidRPr="00026AF4">
        <w:rPr>
          <w:rFonts w:asciiTheme="minorHAnsi" w:hAnsiTheme="minorHAnsi"/>
          <w:lang w:val="en-US"/>
        </w:rPr>
        <w:t xml:space="preserve">control </w:t>
      </w:r>
      <w:r w:rsidRPr="00026AF4">
        <w:rPr>
          <w:rFonts w:asciiTheme="minorHAnsi" w:hAnsiTheme="minorHAnsi"/>
          <w:lang w:val="en-US"/>
        </w:rPr>
        <w:t xml:space="preserve">group </w:t>
      </w:r>
      <w:r w:rsidR="001C3AC3" w:rsidRPr="00026AF4">
        <w:rPr>
          <w:rFonts w:asciiTheme="minorHAnsi" w:hAnsiTheme="minorHAnsi"/>
          <w:lang w:val="en-US"/>
        </w:rPr>
        <w:t>[</w:t>
      </w:r>
      <w:r w:rsidR="00726B66" w:rsidRPr="00026AF4">
        <w:rPr>
          <w:rFonts w:asciiTheme="minorHAnsi" w:hAnsiTheme="minorHAnsi"/>
          <w:lang w:val="en-US"/>
        </w:rPr>
        <w:t xml:space="preserve">68.5 (95% </w:t>
      </w:r>
      <w:r w:rsidR="001C3AC3" w:rsidRPr="00026AF4">
        <w:rPr>
          <w:rFonts w:asciiTheme="minorHAnsi" w:hAnsiTheme="minorHAnsi"/>
          <w:lang w:val="en-US"/>
        </w:rPr>
        <w:t>CI</w:t>
      </w:r>
      <w:r w:rsidR="00726B66" w:rsidRPr="00026AF4">
        <w:rPr>
          <w:rFonts w:asciiTheme="minorHAnsi" w:hAnsiTheme="minorHAnsi"/>
          <w:lang w:val="en-US"/>
        </w:rPr>
        <w:t xml:space="preserve">, 56.2-80.7) </w:t>
      </w:r>
      <w:r w:rsidRPr="00026AF4">
        <w:rPr>
          <w:rFonts w:asciiTheme="minorHAnsi" w:hAnsiTheme="minorHAnsi"/>
          <w:lang w:val="en-US"/>
        </w:rPr>
        <w:t>vs. 82.3</w:t>
      </w:r>
      <w:r w:rsidR="00726B66" w:rsidRPr="00026AF4">
        <w:rPr>
          <w:rFonts w:asciiTheme="minorHAnsi" w:hAnsiTheme="minorHAnsi"/>
          <w:lang w:val="en-US"/>
        </w:rPr>
        <w:t xml:space="preserve"> (95% IC, 68.4-96.2)</w:t>
      </w:r>
      <w:r w:rsidRPr="00026AF4">
        <w:rPr>
          <w:rFonts w:asciiTheme="minorHAnsi" w:hAnsiTheme="minorHAnsi"/>
          <w:lang w:val="en-US"/>
        </w:rPr>
        <w:t>, p=</w:t>
      </w:r>
      <w:r w:rsidR="0094348E" w:rsidRPr="00026AF4">
        <w:rPr>
          <w:rFonts w:asciiTheme="minorHAnsi" w:hAnsiTheme="minorHAnsi"/>
          <w:lang w:val="en-US"/>
        </w:rPr>
        <w:t>0.</w:t>
      </w:r>
      <w:r w:rsidRPr="00026AF4">
        <w:rPr>
          <w:rFonts w:asciiTheme="minorHAnsi" w:hAnsiTheme="minorHAnsi"/>
          <w:lang w:val="en-US"/>
        </w:rPr>
        <w:t>018</w:t>
      </w:r>
      <w:r w:rsidR="001C3AC3" w:rsidRPr="00026AF4">
        <w:rPr>
          <w:rFonts w:asciiTheme="minorHAnsi" w:hAnsiTheme="minorHAnsi"/>
          <w:lang w:val="en-US"/>
        </w:rPr>
        <w:t>]</w:t>
      </w:r>
      <w:r w:rsidR="0094348E" w:rsidRPr="00026AF4">
        <w:rPr>
          <w:rFonts w:asciiTheme="minorHAnsi" w:hAnsiTheme="minorHAnsi"/>
          <w:lang w:val="en-US"/>
        </w:rPr>
        <w:t xml:space="preserve">. The proportion of SRP patients with </w:t>
      </w:r>
      <w:r w:rsidRPr="00026AF4">
        <w:rPr>
          <w:rFonts w:asciiTheme="minorHAnsi" w:hAnsiTheme="minorHAnsi"/>
          <w:lang w:val="en-US"/>
        </w:rPr>
        <w:t>DM was</w:t>
      </w:r>
      <w:r w:rsidR="0094348E" w:rsidRPr="00026AF4">
        <w:rPr>
          <w:rFonts w:asciiTheme="minorHAnsi" w:hAnsiTheme="minorHAnsi"/>
          <w:lang w:val="en-US"/>
        </w:rPr>
        <w:t xml:space="preserve"> </w:t>
      </w:r>
      <w:r w:rsidRPr="00026AF4">
        <w:rPr>
          <w:rFonts w:asciiTheme="minorHAnsi" w:hAnsiTheme="minorHAnsi"/>
          <w:lang w:val="en-US"/>
        </w:rPr>
        <w:t>7.8</w:t>
      </w:r>
      <w:r w:rsidR="0094348E" w:rsidRPr="00026AF4">
        <w:rPr>
          <w:rFonts w:asciiTheme="minorHAnsi" w:hAnsiTheme="minorHAnsi"/>
          <w:lang w:val="en-US"/>
        </w:rPr>
        <w:t xml:space="preserve">% at 30 years, </w:t>
      </w:r>
      <w:r w:rsidRPr="00026AF4">
        <w:rPr>
          <w:rFonts w:asciiTheme="minorHAnsi" w:hAnsiTheme="minorHAnsi"/>
          <w:lang w:val="en-US"/>
        </w:rPr>
        <w:t>13.4% at 40 years, 26.3</w:t>
      </w:r>
      <w:r w:rsidR="0094348E" w:rsidRPr="00026AF4">
        <w:rPr>
          <w:rFonts w:asciiTheme="minorHAnsi" w:hAnsiTheme="minorHAnsi"/>
          <w:lang w:val="en-US"/>
        </w:rPr>
        <w:t>% at 50 years</w:t>
      </w:r>
      <w:r w:rsidRPr="00026AF4">
        <w:rPr>
          <w:rFonts w:asciiTheme="minorHAnsi" w:hAnsiTheme="minorHAnsi"/>
          <w:lang w:val="en-US"/>
        </w:rPr>
        <w:t xml:space="preserve"> and 43.4% at 60 years</w:t>
      </w:r>
      <w:r w:rsidR="0094348E" w:rsidRPr="00026AF4">
        <w:rPr>
          <w:rFonts w:asciiTheme="minorHAnsi" w:hAnsiTheme="minorHAnsi"/>
          <w:lang w:val="en-US"/>
        </w:rPr>
        <w:t xml:space="preserve"> (</w:t>
      </w:r>
      <w:r w:rsidR="0094348E" w:rsidRPr="00026AF4">
        <w:rPr>
          <w:rFonts w:asciiTheme="minorHAnsi" w:hAnsiTheme="minorHAnsi"/>
          <w:b/>
          <w:lang w:val="en-US"/>
        </w:rPr>
        <w:t xml:space="preserve">Figure </w:t>
      </w:r>
      <w:r w:rsidRPr="00026AF4">
        <w:rPr>
          <w:rFonts w:asciiTheme="minorHAnsi" w:hAnsiTheme="minorHAnsi"/>
          <w:b/>
          <w:lang w:val="en-US"/>
        </w:rPr>
        <w:t>4</w:t>
      </w:r>
      <w:r w:rsidR="0094348E" w:rsidRPr="00026AF4">
        <w:rPr>
          <w:rFonts w:asciiTheme="minorHAnsi" w:hAnsiTheme="minorHAnsi"/>
          <w:b/>
          <w:lang w:val="en-US"/>
        </w:rPr>
        <w:t>a</w:t>
      </w:r>
      <w:r w:rsidR="0094348E" w:rsidRPr="00026AF4">
        <w:rPr>
          <w:rFonts w:asciiTheme="minorHAnsi" w:hAnsiTheme="minorHAnsi"/>
          <w:lang w:val="en-US"/>
        </w:rPr>
        <w:t xml:space="preserve">). </w:t>
      </w:r>
    </w:p>
    <w:p w14:paraId="7344EE76" w14:textId="77777777" w:rsidR="00207AE8" w:rsidRPr="00026AF4" w:rsidRDefault="003A1E1D" w:rsidP="00712250">
      <w:pPr>
        <w:jc w:val="both"/>
        <w:rPr>
          <w:rFonts w:asciiTheme="minorHAnsi" w:hAnsiTheme="minorHAnsi"/>
          <w:lang w:val="en-US"/>
        </w:rPr>
      </w:pPr>
      <w:r w:rsidRPr="00026AF4">
        <w:rPr>
          <w:rFonts w:asciiTheme="minorHAnsi" w:hAnsiTheme="minorHAnsi"/>
          <w:lang w:val="en-US"/>
        </w:rPr>
        <w:t>C</w:t>
      </w:r>
      <w:r w:rsidR="0094348E" w:rsidRPr="00026AF4">
        <w:rPr>
          <w:rFonts w:asciiTheme="minorHAnsi" w:hAnsiTheme="minorHAnsi"/>
          <w:lang w:val="en-US"/>
        </w:rPr>
        <w:t xml:space="preserve">onversely to the </w:t>
      </w:r>
      <w:r w:rsidR="00937372" w:rsidRPr="00026AF4">
        <w:rPr>
          <w:rFonts w:asciiTheme="minorHAnsi" w:hAnsiTheme="minorHAnsi"/>
          <w:lang w:val="en-US"/>
        </w:rPr>
        <w:t xml:space="preserve">control </w:t>
      </w:r>
      <w:r w:rsidR="0094348E" w:rsidRPr="00026AF4">
        <w:rPr>
          <w:rFonts w:asciiTheme="minorHAnsi" w:hAnsiTheme="minorHAnsi"/>
          <w:lang w:val="en-US"/>
        </w:rPr>
        <w:t>group, tobacco consumption</w:t>
      </w:r>
      <w:r w:rsidR="001C3AC3" w:rsidRPr="00026AF4">
        <w:rPr>
          <w:rFonts w:asciiTheme="minorHAnsi" w:hAnsiTheme="minorHAnsi"/>
          <w:lang w:val="en-US"/>
        </w:rPr>
        <w:t xml:space="preserve"> in the SRP group</w:t>
      </w:r>
      <w:r w:rsidR="0094348E" w:rsidRPr="00026AF4">
        <w:rPr>
          <w:rFonts w:asciiTheme="minorHAnsi" w:hAnsiTheme="minorHAnsi"/>
          <w:lang w:val="en-US"/>
        </w:rPr>
        <w:t xml:space="preserve"> was not associated with earlier </w:t>
      </w:r>
      <w:r w:rsidR="004A1A5F" w:rsidRPr="00026AF4">
        <w:rPr>
          <w:rFonts w:asciiTheme="minorHAnsi" w:hAnsiTheme="minorHAnsi"/>
          <w:lang w:val="en-US"/>
        </w:rPr>
        <w:t>DM</w:t>
      </w:r>
      <w:r w:rsidR="0094348E" w:rsidRPr="00026AF4">
        <w:rPr>
          <w:rFonts w:asciiTheme="minorHAnsi" w:hAnsiTheme="minorHAnsi"/>
          <w:lang w:val="en-US"/>
        </w:rPr>
        <w:t xml:space="preserve"> onset (</w:t>
      </w:r>
      <w:r w:rsidR="0074738F" w:rsidRPr="00026AF4">
        <w:rPr>
          <w:rFonts w:asciiTheme="minorHAnsi" w:hAnsiTheme="minorHAnsi"/>
          <w:b/>
          <w:lang w:val="en-US"/>
        </w:rPr>
        <w:t>Figure 4</w:t>
      </w:r>
      <w:r w:rsidR="0094348E" w:rsidRPr="00026AF4">
        <w:rPr>
          <w:rFonts w:asciiTheme="minorHAnsi" w:hAnsiTheme="minorHAnsi"/>
          <w:b/>
          <w:lang w:val="en-US"/>
        </w:rPr>
        <w:t>b</w:t>
      </w:r>
      <w:r w:rsidR="0094348E" w:rsidRPr="00026AF4">
        <w:rPr>
          <w:rFonts w:asciiTheme="minorHAnsi" w:hAnsiTheme="minorHAnsi"/>
          <w:lang w:val="en-US"/>
        </w:rPr>
        <w:t>).</w:t>
      </w:r>
      <w:r w:rsidR="00DF3141" w:rsidRPr="00026AF4">
        <w:rPr>
          <w:rFonts w:asciiTheme="minorHAnsi" w:hAnsiTheme="minorHAnsi"/>
          <w:lang w:val="en-US"/>
        </w:rPr>
        <w:t xml:space="preserve"> </w:t>
      </w:r>
      <w:r w:rsidR="006E18AC" w:rsidRPr="00026AF4">
        <w:rPr>
          <w:rFonts w:asciiTheme="minorHAnsi" w:hAnsiTheme="minorHAnsi"/>
          <w:lang w:val="en-US"/>
        </w:rPr>
        <w:t>Homozygous</w:t>
      </w:r>
      <w:r w:rsidR="003B29E0" w:rsidRPr="00026AF4">
        <w:rPr>
          <w:rFonts w:asciiTheme="minorHAnsi" w:hAnsiTheme="minorHAnsi"/>
          <w:lang w:val="en-US"/>
        </w:rPr>
        <w:t xml:space="preserve"> carriers for</w:t>
      </w:r>
      <w:r w:rsidR="006E18AC" w:rsidRPr="00026AF4">
        <w:rPr>
          <w:rFonts w:asciiTheme="minorHAnsi" w:hAnsiTheme="minorHAnsi"/>
          <w:lang w:val="en-US"/>
        </w:rPr>
        <w:t xml:space="preserve"> </w:t>
      </w:r>
      <w:proofErr w:type="gramStart"/>
      <w:r w:rsidR="004911F9" w:rsidRPr="00026AF4">
        <w:rPr>
          <w:rFonts w:asciiTheme="minorHAnsi" w:hAnsiTheme="minorHAnsi"/>
          <w:lang w:val="en-US"/>
        </w:rPr>
        <w:t>p.N34S</w:t>
      </w:r>
      <w:proofErr w:type="gramEnd"/>
      <w:r w:rsidR="006E18AC" w:rsidRPr="00026AF4">
        <w:rPr>
          <w:rFonts w:asciiTheme="minorHAnsi" w:hAnsiTheme="minorHAnsi"/>
          <w:lang w:val="en-US"/>
        </w:rPr>
        <w:t xml:space="preserve"> mutation </w:t>
      </w:r>
      <w:r w:rsidR="00DF3141" w:rsidRPr="00026AF4">
        <w:rPr>
          <w:rFonts w:asciiTheme="minorHAnsi" w:hAnsiTheme="minorHAnsi"/>
          <w:lang w:val="en-US"/>
        </w:rPr>
        <w:t>did</w:t>
      </w:r>
      <w:r w:rsidR="003B29E0" w:rsidRPr="00026AF4">
        <w:rPr>
          <w:rFonts w:asciiTheme="minorHAnsi" w:hAnsiTheme="minorHAnsi"/>
          <w:lang w:val="en-US"/>
        </w:rPr>
        <w:t xml:space="preserve"> not appear to be at increased risk</w:t>
      </w:r>
      <w:r w:rsidR="00DF3141" w:rsidRPr="00026AF4">
        <w:rPr>
          <w:rFonts w:asciiTheme="minorHAnsi" w:hAnsiTheme="minorHAnsi"/>
          <w:lang w:val="en-US"/>
        </w:rPr>
        <w:t xml:space="preserve">  of </w:t>
      </w:r>
      <w:r w:rsidR="006E18AC" w:rsidRPr="00026AF4">
        <w:rPr>
          <w:rFonts w:asciiTheme="minorHAnsi" w:hAnsiTheme="minorHAnsi"/>
          <w:lang w:val="en-US"/>
        </w:rPr>
        <w:t>diabetes, in comparison with heterozygous</w:t>
      </w:r>
      <w:r w:rsidR="003B29E0" w:rsidRPr="00026AF4">
        <w:rPr>
          <w:rFonts w:asciiTheme="minorHAnsi" w:hAnsiTheme="minorHAnsi"/>
          <w:lang w:val="en-US"/>
        </w:rPr>
        <w:t xml:space="preserve"> carriers for</w:t>
      </w:r>
      <w:r w:rsidR="006E18AC" w:rsidRPr="00026AF4">
        <w:rPr>
          <w:rFonts w:asciiTheme="minorHAnsi" w:hAnsiTheme="minorHAnsi"/>
          <w:lang w:val="en-US"/>
        </w:rPr>
        <w:t xml:space="preserve"> </w:t>
      </w:r>
      <w:r w:rsidR="004911F9" w:rsidRPr="00026AF4">
        <w:rPr>
          <w:rFonts w:asciiTheme="minorHAnsi" w:hAnsiTheme="minorHAnsi"/>
          <w:lang w:val="en-US"/>
        </w:rPr>
        <w:t>p.N34S</w:t>
      </w:r>
      <w:r w:rsidR="006E18AC" w:rsidRPr="00026AF4">
        <w:rPr>
          <w:rFonts w:asciiTheme="minorHAnsi" w:hAnsiTheme="minorHAnsi"/>
          <w:lang w:val="en-US"/>
        </w:rPr>
        <w:t xml:space="preserve"> mutation (HR=0.27, 95% CI [0.04-2.02], p=0.20).</w:t>
      </w:r>
      <w:r w:rsidR="00207AE8" w:rsidRPr="00026AF4">
        <w:rPr>
          <w:rFonts w:asciiTheme="minorHAnsi" w:hAnsiTheme="minorHAnsi"/>
          <w:lang w:val="en-US"/>
        </w:rPr>
        <w:t xml:space="preserve"> Among heterozygous </w:t>
      </w:r>
      <w:r w:rsidR="004911F9" w:rsidRPr="00026AF4">
        <w:rPr>
          <w:rFonts w:asciiTheme="minorHAnsi" w:hAnsiTheme="minorHAnsi"/>
          <w:lang w:val="en-US"/>
        </w:rPr>
        <w:t>p.N34S</w:t>
      </w:r>
      <w:r w:rsidR="00207AE8" w:rsidRPr="00026AF4">
        <w:rPr>
          <w:rFonts w:asciiTheme="minorHAnsi" w:hAnsiTheme="minorHAnsi"/>
          <w:lang w:val="en-US"/>
        </w:rPr>
        <w:t xml:space="preserve"> patients, the presence of c</w:t>
      </w:r>
      <w:r w:rsidR="003B29E0" w:rsidRPr="00026AF4">
        <w:rPr>
          <w:rFonts w:asciiTheme="minorHAnsi" w:hAnsiTheme="minorHAnsi"/>
          <w:lang w:val="en-US"/>
        </w:rPr>
        <w:t>oncomitant</w:t>
      </w:r>
      <w:r w:rsidR="00DC2ED2" w:rsidRPr="00026AF4">
        <w:rPr>
          <w:rFonts w:asciiTheme="minorHAnsi" w:hAnsiTheme="minorHAnsi"/>
          <w:lang w:val="en-US"/>
        </w:rPr>
        <w:t xml:space="preserve"> </w:t>
      </w:r>
      <w:r w:rsidR="00207AE8" w:rsidRPr="00026AF4">
        <w:rPr>
          <w:rFonts w:asciiTheme="minorHAnsi" w:hAnsiTheme="minorHAnsi"/>
          <w:lang w:val="en-US"/>
        </w:rPr>
        <w:t>mutations</w:t>
      </w:r>
      <w:r w:rsidR="003B29E0" w:rsidRPr="00026AF4">
        <w:rPr>
          <w:rFonts w:asciiTheme="minorHAnsi" w:hAnsiTheme="minorHAnsi"/>
          <w:lang w:val="en-US"/>
        </w:rPr>
        <w:t xml:space="preserve"> in </w:t>
      </w:r>
      <w:r w:rsidR="003B29E0" w:rsidRPr="00026AF4">
        <w:rPr>
          <w:rFonts w:asciiTheme="minorHAnsi" w:hAnsiTheme="minorHAnsi"/>
          <w:i/>
          <w:lang w:val="en-US"/>
        </w:rPr>
        <w:t>CFTR</w:t>
      </w:r>
      <w:r w:rsidR="003B29E0" w:rsidRPr="00026AF4">
        <w:rPr>
          <w:rFonts w:asciiTheme="minorHAnsi" w:hAnsiTheme="minorHAnsi"/>
          <w:lang w:val="en-US"/>
        </w:rPr>
        <w:t xml:space="preserve"> or </w:t>
      </w:r>
      <w:r w:rsidR="003B29E0" w:rsidRPr="00026AF4">
        <w:rPr>
          <w:rFonts w:asciiTheme="minorHAnsi" w:hAnsiTheme="minorHAnsi"/>
          <w:i/>
          <w:lang w:val="en-US"/>
        </w:rPr>
        <w:t>CTRC</w:t>
      </w:r>
      <w:r w:rsidR="003B29E0" w:rsidRPr="00026AF4">
        <w:rPr>
          <w:rFonts w:asciiTheme="minorHAnsi" w:hAnsiTheme="minorHAnsi"/>
          <w:lang w:val="en-US"/>
        </w:rPr>
        <w:t xml:space="preserve"> genes</w:t>
      </w:r>
      <w:r w:rsidR="00207AE8" w:rsidRPr="00026AF4">
        <w:rPr>
          <w:rFonts w:asciiTheme="minorHAnsi" w:hAnsiTheme="minorHAnsi"/>
          <w:lang w:val="en-US"/>
        </w:rPr>
        <w:t xml:space="preserve"> did not influence the </w:t>
      </w:r>
      <w:r w:rsidR="00FC6F6B" w:rsidRPr="00026AF4">
        <w:rPr>
          <w:rFonts w:asciiTheme="minorHAnsi" w:hAnsiTheme="minorHAnsi"/>
          <w:lang w:val="en-US"/>
        </w:rPr>
        <w:t>occurrence of</w:t>
      </w:r>
      <w:r w:rsidR="00DB3AC7" w:rsidRPr="00026AF4">
        <w:rPr>
          <w:rFonts w:asciiTheme="minorHAnsi" w:hAnsiTheme="minorHAnsi"/>
          <w:lang w:val="en-US"/>
        </w:rPr>
        <w:t xml:space="preserve"> </w:t>
      </w:r>
      <w:r w:rsidR="00207AE8" w:rsidRPr="00026AF4">
        <w:rPr>
          <w:rFonts w:asciiTheme="minorHAnsi" w:hAnsiTheme="minorHAnsi"/>
          <w:lang w:val="en-US"/>
        </w:rPr>
        <w:t>diabetes</w:t>
      </w:r>
      <w:r w:rsidR="003B29E0" w:rsidRPr="00026AF4">
        <w:rPr>
          <w:rFonts w:asciiTheme="minorHAnsi" w:hAnsiTheme="minorHAnsi"/>
          <w:lang w:val="en-US"/>
        </w:rPr>
        <w:t xml:space="preserve"> either</w:t>
      </w:r>
      <w:r w:rsidR="00207AE8" w:rsidRPr="00026AF4">
        <w:rPr>
          <w:rFonts w:asciiTheme="minorHAnsi" w:hAnsiTheme="minorHAnsi"/>
          <w:lang w:val="en-US"/>
        </w:rPr>
        <w:t xml:space="preserve"> (HR=1.56, 95% IC [0.60-4.04], p=0.36). </w:t>
      </w:r>
    </w:p>
    <w:p w14:paraId="367D0DFF" w14:textId="77777777" w:rsidR="0094348E" w:rsidRPr="00026AF4" w:rsidRDefault="0094348E" w:rsidP="00712250">
      <w:pPr>
        <w:jc w:val="both"/>
        <w:rPr>
          <w:rFonts w:asciiTheme="minorHAnsi" w:hAnsiTheme="minorHAnsi"/>
          <w:lang w:val="en-US"/>
        </w:rPr>
      </w:pPr>
    </w:p>
    <w:p w14:paraId="768EB40B" w14:textId="77777777" w:rsidR="0074738F" w:rsidRPr="00026AF4" w:rsidRDefault="0074738F" w:rsidP="00712250">
      <w:pPr>
        <w:jc w:val="both"/>
        <w:rPr>
          <w:rFonts w:asciiTheme="minorHAnsi" w:hAnsiTheme="minorHAnsi"/>
          <w:b/>
          <w:i/>
          <w:lang w:val="en-US"/>
        </w:rPr>
      </w:pPr>
      <w:r w:rsidRPr="00026AF4">
        <w:rPr>
          <w:rFonts w:asciiTheme="minorHAnsi" w:hAnsiTheme="minorHAnsi"/>
          <w:b/>
          <w:i/>
          <w:lang w:val="en-US"/>
        </w:rPr>
        <w:t>Pancreatic ductal adenocarcinoma</w:t>
      </w:r>
    </w:p>
    <w:p w14:paraId="5B9E03FA" w14:textId="77777777" w:rsidR="0074738F" w:rsidRPr="00026AF4" w:rsidRDefault="00A34E34" w:rsidP="00712250">
      <w:pPr>
        <w:jc w:val="both"/>
        <w:rPr>
          <w:rFonts w:asciiTheme="minorHAnsi" w:hAnsiTheme="minorHAnsi"/>
          <w:lang w:val="en-US"/>
        </w:rPr>
      </w:pPr>
      <w:r w:rsidRPr="00026AF4">
        <w:rPr>
          <w:rFonts w:asciiTheme="minorHAnsi" w:hAnsiTheme="minorHAnsi"/>
          <w:lang w:val="en-US"/>
        </w:rPr>
        <w:t>Seven</w:t>
      </w:r>
      <w:r w:rsidR="0074738F" w:rsidRPr="00026AF4">
        <w:rPr>
          <w:rFonts w:asciiTheme="minorHAnsi" w:hAnsiTheme="minorHAnsi"/>
          <w:lang w:val="en-US"/>
        </w:rPr>
        <w:t xml:space="preserve"> patients </w:t>
      </w:r>
      <w:r w:rsidR="00C73CCD" w:rsidRPr="00026AF4">
        <w:rPr>
          <w:rFonts w:asciiTheme="minorHAnsi" w:hAnsiTheme="minorHAnsi"/>
          <w:lang w:val="en-US"/>
        </w:rPr>
        <w:t>(3.3</w:t>
      </w:r>
      <w:r w:rsidR="0074738F" w:rsidRPr="00026AF4">
        <w:rPr>
          <w:rFonts w:asciiTheme="minorHAnsi" w:hAnsiTheme="minorHAnsi"/>
          <w:lang w:val="en-US"/>
        </w:rPr>
        <w:t>%) and 3 patients (0.99%) developed PDAC in the SRP and IP groups</w:t>
      </w:r>
      <w:r w:rsidR="00D502F7" w:rsidRPr="00026AF4">
        <w:rPr>
          <w:rFonts w:asciiTheme="minorHAnsi" w:hAnsiTheme="minorHAnsi"/>
          <w:lang w:val="en-US"/>
        </w:rPr>
        <w:t xml:space="preserve"> </w:t>
      </w:r>
      <w:r w:rsidR="0074738F" w:rsidRPr="00026AF4">
        <w:rPr>
          <w:rFonts w:asciiTheme="minorHAnsi" w:hAnsiTheme="minorHAnsi"/>
          <w:lang w:val="en-US"/>
        </w:rPr>
        <w:t>respectively</w:t>
      </w:r>
      <w:r w:rsidR="00390CC3" w:rsidRPr="00026AF4">
        <w:rPr>
          <w:rFonts w:asciiTheme="minorHAnsi" w:hAnsiTheme="minorHAnsi"/>
          <w:lang w:val="en-US"/>
        </w:rPr>
        <w:t xml:space="preserve"> (p=0.1)</w:t>
      </w:r>
      <w:r w:rsidR="009A66C4" w:rsidRPr="00026AF4">
        <w:rPr>
          <w:rFonts w:asciiTheme="minorHAnsi" w:hAnsiTheme="minorHAnsi"/>
          <w:lang w:val="en-US"/>
        </w:rPr>
        <w:t>, at a median age of</w:t>
      </w:r>
      <w:r w:rsidR="00C73CCD" w:rsidRPr="00026AF4">
        <w:rPr>
          <w:rFonts w:asciiTheme="minorHAnsi" w:hAnsiTheme="minorHAnsi"/>
          <w:lang w:val="en-US"/>
        </w:rPr>
        <w:t xml:space="preserve"> 60 </w:t>
      </w:r>
      <w:proofErr w:type="spellStart"/>
      <w:r w:rsidR="00C73CCD" w:rsidRPr="00026AF4">
        <w:rPr>
          <w:rFonts w:asciiTheme="minorHAnsi" w:hAnsiTheme="minorHAnsi"/>
          <w:lang w:val="en-US"/>
        </w:rPr>
        <w:t>vs</w:t>
      </w:r>
      <w:proofErr w:type="spellEnd"/>
      <w:r w:rsidR="00C73CCD" w:rsidRPr="00026AF4">
        <w:rPr>
          <w:rFonts w:asciiTheme="minorHAnsi" w:hAnsiTheme="minorHAnsi"/>
          <w:lang w:val="en-US"/>
        </w:rPr>
        <w:t xml:space="preserve"> 66 years</w:t>
      </w:r>
      <w:r w:rsidR="00937372" w:rsidRPr="00026AF4">
        <w:rPr>
          <w:rFonts w:asciiTheme="minorHAnsi" w:hAnsiTheme="minorHAnsi"/>
          <w:lang w:val="en-US"/>
        </w:rPr>
        <w:t xml:space="preserve">. </w:t>
      </w:r>
      <w:r w:rsidR="00631D9A" w:rsidRPr="00026AF4">
        <w:rPr>
          <w:rFonts w:asciiTheme="minorHAnsi" w:hAnsiTheme="minorHAnsi"/>
          <w:lang w:val="en-US"/>
        </w:rPr>
        <w:t xml:space="preserve">In both groups, all patients with PDAC had morphological signs of chronic pancreatitis (missing data for one patient in each group). All but one patient had calcifications (one missing data) in the SRP group, none in the </w:t>
      </w:r>
      <w:r w:rsidR="00937372" w:rsidRPr="00026AF4">
        <w:rPr>
          <w:rFonts w:asciiTheme="minorHAnsi" w:hAnsiTheme="minorHAnsi"/>
          <w:lang w:val="en-US"/>
        </w:rPr>
        <w:t xml:space="preserve">control </w:t>
      </w:r>
      <w:r w:rsidR="00631D9A" w:rsidRPr="00026AF4">
        <w:rPr>
          <w:rFonts w:asciiTheme="minorHAnsi" w:hAnsiTheme="minorHAnsi"/>
          <w:lang w:val="en-US"/>
        </w:rPr>
        <w:t xml:space="preserve">group. </w:t>
      </w:r>
      <w:r w:rsidR="008E1377" w:rsidRPr="00026AF4">
        <w:rPr>
          <w:rFonts w:asciiTheme="minorHAnsi" w:hAnsiTheme="minorHAnsi"/>
          <w:lang w:val="en-US"/>
        </w:rPr>
        <w:t xml:space="preserve">All patients in the </w:t>
      </w:r>
      <w:r w:rsidR="008E1377" w:rsidRPr="00026AF4">
        <w:rPr>
          <w:rFonts w:asciiTheme="minorHAnsi" w:hAnsiTheme="minorHAnsi"/>
          <w:lang w:val="en-US"/>
        </w:rPr>
        <w:lastRenderedPageBreak/>
        <w:t>control group were smoker</w:t>
      </w:r>
      <w:r w:rsidR="00933979" w:rsidRPr="00026AF4">
        <w:rPr>
          <w:rFonts w:asciiTheme="minorHAnsi" w:hAnsiTheme="minorHAnsi"/>
          <w:lang w:val="en-US"/>
        </w:rPr>
        <w:t>s (3/3) versus 5/7</w:t>
      </w:r>
      <w:r w:rsidR="00C37129" w:rsidRPr="00026AF4">
        <w:rPr>
          <w:rFonts w:asciiTheme="minorHAnsi" w:hAnsiTheme="minorHAnsi"/>
          <w:lang w:val="en-US"/>
        </w:rPr>
        <w:t xml:space="preserve"> in SRP group</w:t>
      </w:r>
      <w:r w:rsidR="00933979" w:rsidRPr="00026AF4">
        <w:rPr>
          <w:rFonts w:asciiTheme="minorHAnsi" w:hAnsiTheme="minorHAnsi"/>
          <w:lang w:val="en-US"/>
        </w:rPr>
        <w:t>. I</w:t>
      </w:r>
      <w:r w:rsidR="00324A72" w:rsidRPr="00026AF4">
        <w:rPr>
          <w:rFonts w:asciiTheme="minorHAnsi" w:hAnsiTheme="minorHAnsi"/>
          <w:lang w:val="en-US"/>
        </w:rPr>
        <w:t>n the SRP group</w:t>
      </w:r>
      <w:r w:rsidR="00933979" w:rsidRPr="00026AF4">
        <w:rPr>
          <w:rFonts w:asciiTheme="minorHAnsi" w:hAnsiTheme="minorHAnsi"/>
          <w:lang w:val="en-US"/>
        </w:rPr>
        <w:t>,</w:t>
      </w:r>
      <w:r w:rsidR="00CE710A" w:rsidRPr="00026AF4">
        <w:rPr>
          <w:rFonts w:asciiTheme="minorHAnsi" w:hAnsiTheme="minorHAnsi"/>
          <w:lang w:val="en-US"/>
        </w:rPr>
        <w:t xml:space="preserve"> </w:t>
      </w:r>
      <w:r w:rsidR="00933979" w:rsidRPr="00026AF4">
        <w:rPr>
          <w:rFonts w:asciiTheme="minorHAnsi" w:hAnsiTheme="minorHAnsi"/>
          <w:lang w:val="en-US"/>
        </w:rPr>
        <w:t>t</w:t>
      </w:r>
      <w:r w:rsidR="00324A72" w:rsidRPr="00026AF4">
        <w:rPr>
          <w:rFonts w:asciiTheme="minorHAnsi" w:hAnsiTheme="minorHAnsi"/>
          <w:lang w:val="en-US"/>
        </w:rPr>
        <w:t xml:space="preserve">he median tobacco consumption was higher in patients with PDAC (15 pack-years) than in the whole group (8 pack years). </w:t>
      </w:r>
      <w:r w:rsidR="0074738F" w:rsidRPr="00026AF4">
        <w:rPr>
          <w:rFonts w:asciiTheme="minorHAnsi" w:hAnsiTheme="minorHAnsi"/>
          <w:lang w:val="en-US"/>
        </w:rPr>
        <w:t xml:space="preserve">The actuarial risk of developing PDAC </w:t>
      </w:r>
      <w:r w:rsidR="00453777" w:rsidRPr="00026AF4">
        <w:rPr>
          <w:rFonts w:asciiTheme="minorHAnsi" w:hAnsiTheme="minorHAnsi"/>
          <w:lang w:val="en-US"/>
        </w:rPr>
        <w:t>was 0.8% before 50 years, 11.9% at 60 years, 27.7% at</w:t>
      </w:r>
      <w:r w:rsidR="00AA69FD" w:rsidRPr="00026AF4">
        <w:rPr>
          <w:rFonts w:asciiTheme="minorHAnsi" w:hAnsiTheme="minorHAnsi"/>
          <w:lang w:val="en-US"/>
        </w:rPr>
        <w:t xml:space="preserve"> 70 years and 51.8% at 80 years</w:t>
      </w:r>
      <w:r w:rsidR="00B92609" w:rsidRPr="00026AF4">
        <w:rPr>
          <w:rFonts w:asciiTheme="minorHAnsi" w:hAnsiTheme="minorHAnsi"/>
          <w:lang w:val="en-US"/>
        </w:rPr>
        <w:t xml:space="preserve"> in the SRP </w:t>
      </w:r>
      <w:r w:rsidR="00324A72" w:rsidRPr="00026AF4">
        <w:rPr>
          <w:rFonts w:asciiTheme="minorHAnsi" w:hAnsiTheme="minorHAnsi"/>
          <w:lang w:val="en-US"/>
        </w:rPr>
        <w:t>group and</w:t>
      </w:r>
      <w:r w:rsidR="00B92609" w:rsidRPr="00026AF4">
        <w:rPr>
          <w:rFonts w:asciiTheme="minorHAnsi" w:hAnsiTheme="minorHAnsi"/>
          <w:lang w:val="en-US"/>
        </w:rPr>
        <w:t xml:space="preserve"> was significantly higher than in the </w:t>
      </w:r>
      <w:r w:rsidR="00937372" w:rsidRPr="00026AF4">
        <w:rPr>
          <w:rFonts w:asciiTheme="minorHAnsi" w:hAnsiTheme="minorHAnsi"/>
          <w:lang w:val="en-US"/>
        </w:rPr>
        <w:t xml:space="preserve">control </w:t>
      </w:r>
      <w:r w:rsidR="00B92609" w:rsidRPr="00026AF4">
        <w:rPr>
          <w:rFonts w:asciiTheme="minorHAnsi" w:hAnsiTheme="minorHAnsi"/>
          <w:lang w:val="en-US"/>
        </w:rPr>
        <w:t>group (p&lt;0.001) (</w:t>
      </w:r>
      <w:r w:rsidR="00726B66" w:rsidRPr="00026AF4">
        <w:rPr>
          <w:rFonts w:asciiTheme="minorHAnsi" w:hAnsiTheme="minorHAnsi"/>
          <w:b/>
          <w:lang w:val="en-US"/>
        </w:rPr>
        <w:t>F</w:t>
      </w:r>
      <w:r w:rsidR="00B92609" w:rsidRPr="00026AF4">
        <w:rPr>
          <w:rFonts w:asciiTheme="minorHAnsi" w:hAnsiTheme="minorHAnsi"/>
          <w:b/>
          <w:lang w:val="en-US"/>
        </w:rPr>
        <w:t>igure 5</w:t>
      </w:r>
      <w:r w:rsidR="00B92609" w:rsidRPr="00026AF4">
        <w:rPr>
          <w:rFonts w:asciiTheme="minorHAnsi" w:hAnsiTheme="minorHAnsi"/>
          <w:lang w:val="en-US"/>
        </w:rPr>
        <w:t>).</w:t>
      </w:r>
      <w:r w:rsidR="00BE5C45" w:rsidRPr="00026AF4">
        <w:rPr>
          <w:rFonts w:asciiTheme="minorHAnsi" w:hAnsiTheme="minorHAnsi"/>
          <w:lang w:val="en-US"/>
        </w:rPr>
        <w:t xml:space="preserve"> Patients in the SRP group had a risk of developing PDAC 12 times higher than the patients in the </w:t>
      </w:r>
      <w:r w:rsidR="00937372" w:rsidRPr="00026AF4">
        <w:rPr>
          <w:rFonts w:asciiTheme="minorHAnsi" w:hAnsiTheme="minorHAnsi"/>
          <w:lang w:val="en-US"/>
        </w:rPr>
        <w:t xml:space="preserve">control </w:t>
      </w:r>
      <w:r w:rsidR="00BE5C45" w:rsidRPr="00026AF4">
        <w:rPr>
          <w:rFonts w:asciiTheme="minorHAnsi" w:hAnsiTheme="minorHAnsi"/>
          <w:lang w:val="en-US"/>
        </w:rPr>
        <w:t xml:space="preserve">group (Cox HR 12.0 (3.0-47.8), p&lt;0.001). </w:t>
      </w:r>
    </w:p>
    <w:p w14:paraId="580B82EF" w14:textId="77777777" w:rsidR="00AA69FD" w:rsidRPr="00026AF4" w:rsidRDefault="00AA69FD" w:rsidP="00712250">
      <w:pPr>
        <w:jc w:val="both"/>
        <w:rPr>
          <w:rFonts w:asciiTheme="minorHAnsi" w:hAnsiTheme="minorHAnsi"/>
          <w:lang w:val="en-US"/>
        </w:rPr>
      </w:pPr>
      <w:r w:rsidRPr="00026AF4">
        <w:rPr>
          <w:rFonts w:asciiTheme="minorHAnsi" w:hAnsiTheme="minorHAnsi"/>
          <w:lang w:val="en-US"/>
        </w:rPr>
        <w:t>Among t</w:t>
      </w:r>
      <w:r w:rsidR="002C2CBF" w:rsidRPr="00026AF4">
        <w:rPr>
          <w:rFonts w:asciiTheme="minorHAnsi" w:hAnsiTheme="minorHAnsi"/>
          <w:lang w:val="en-US"/>
        </w:rPr>
        <w:t>he SRP</w:t>
      </w:r>
      <w:r w:rsidR="00876FCF" w:rsidRPr="00026AF4">
        <w:rPr>
          <w:rFonts w:asciiTheme="minorHAnsi" w:hAnsiTheme="minorHAnsi"/>
          <w:lang w:val="en-US"/>
        </w:rPr>
        <w:t xml:space="preserve"> with PDAC, 5</w:t>
      </w:r>
      <w:r w:rsidRPr="00026AF4">
        <w:rPr>
          <w:rFonts w:asciiTheme="minorHAnsi" w:hAnsiTheme="minorHAnsi"/>
          <w:lang w:val="en-US"/>
        </w:rPr>
        <w:t xml:space="preserve"> had </w:t>
      </w:r>
      <w:r w:rsidR="004911F9" w:rsidRPr="00026AF4">
        <w:rPr>
          <w:rFonts w:asciiTheme="minorHAnsi" w:hAnsiTheme="minorHAnsi"/>
          <w:lang w:val="en-US"/>
        </w:rPr>
        <w:t>p.N34S</w:t>
      </w:r>
      <w:r w:rsidRPr="00026AF4">
        <w:rPr>
          <w:rFonts w:asciiTheme="minorHAnsi" w:hAnsiTheme="minorHAnsi"/>
          <w:lang w:val="en-US"/>
        </w:rPr>
        <w:t xml:space="preserve"> heterozygous mutation (including one with</w:t>
      </w:r>
      <w:r w:rsidRPr="00026AF4">
        <w:rPr>
          <w:rFonts w:asciiTheme="minorHAnsi" w:hAnsiTheme="minorHAnsi"/>
          <w:i/>
          <w:lang w:val="en-US"/>
        </w:rPr>
        <w:t xml:space="preserve"> CTRC</w:t>
      </w:r>
      <w:r w:rsidRPr="00026AF4">
        <w:rPr>
          <w:rFonts w:asciiTheme="minorHAnsi" w:hAnsiTheme="minorHAnsi"/>
          <w:lang w:val="en-US"/>
        </w:rPr>
        <w:t xml:space="preserve"> and </w:t>
      </w:r>
      <w:r w:rsidRPr="00026AF4">
        <w:rPr>
          <w:rFonts w:asciiTheme="minorHAnsi" w:hAnsiTheme="minorHAnsi"/>
          <w:i/>
          <w:lang w:val="en-US"/>
        </w:rPr>
        <w:t>CFTR</w:t>
      </w:r>
      <w:r w:rsidRPr="00026AF4">
        <w:rPr>
          <w:rFonts w:asciiTheme="minorHAnsi" w:hAnsiTheme="minorHAnsi"/>
          <w:lang w:val="en-US"/>
        </w:rPr>
        <w:t xml:space="preserve"> co-mutations) and 2 had a </w:t>
      </w:r>
      <w:r w:rsidRPr="00026AF4">
        <w:rPr>
          <w:rFonts w:asciiTheme="minorHAnsi" w:hAnsiTheme="minorHAnsi"/>
          <w:i/>
          <w:lang w:val="en-US"/>
        </w:rPr>
        <w:t>SPINK1</w:t>
      </w:r>
      <w:r w:rsidRPr="00026AF4">
        <w:rPr>
          <w:rFonts w:asciiTheme="minorHAnsi" w:hAnsiTheme="minorHAnsi"/>
          <w:lang w:val="en-US"/>
        </w:rPr>
        <w:t xml:space="preserve"> deletion. </w:t>
      </w:r>
    </w:p>
    <w:p w14:paraId="4CAAE0FE" w14:textId="77777777" w:rsidR="00A60BEC" w:rsidRPr="00026AF4" w:rsidRDefault="00207AE8" w:rsidP="00712250">
      <w:pPr>
        <w:jc w:val="both"/>
        <w:rPr>
          <w:rFonts w:asciiTheme="minorHAnsi" w:hAnsiTheme="minorHAnsi"/>
          <w:lang w:val="en-US"/>
        </w:rPr>
      </w:pPr>
      <w:r w:rsidRPr="00026AF4">
        <w:rPr>
          <w:rFonts w:asciiTheme="minorHAnsi" w:hAnsiTheme="minorHAnsi"/>
          <w:lang w:val="en-US"/>
        </w:rPr>
        <w:t xml:space="preserve">The presence of co-mutations did not influence the occurrence of PDAC (HR=1.56, 95% IC [0.60-4.04], p=0.36). </w:t>
      </w:r>
    </w:p>
    <w:p w14:paraId="528645C4" w14:textId="77777777" w:rsidR="00A60BEC" w:rsidRPr="00026AF4" w:rsidRDefault="00A60BEC" w:rsidP="00712250">
      <w:pPr>
        <w:jc w:val="both"/>
        <w:rPr>
          <w:rFonts w:asciiTheme="minorHAnsi" w:hAnsiTheme="minorHAnsi"/>
          <w:lang w:val="en-US"/>
        </w:rPr>
      </w:pPr>
    </w:p>
    <w:p w14:paraId="042F53B6" w14:textId="77777777" w:rsidR="00A57F47" w:rsidRPr="00026AF4" w:rsidRDefault="00A57F47" w:rsidP="00712250">
      <w:pPr>
        <w:jc w:val="both"/>
        <w:rPr>
          <w:rFonts w:asciiTheme="minorHAnsi" w:hAnsiTheme="minorHAnsi"/>
          <w:lang w:val="en-US"/>
        </w:rPr>
      </w:pPr>
      <w:r w:rsidRPr="00026AF4">
        <w:rPr>
          <w:rFonts w:asciiTheme="minorHAnsi" w:hAnsiTheme="minorHAnsi"/>
          <w:b/>
          <w:bCs/>
          <w:i/>
          <w:iCs/>
          <w:lang w:val="en-US"/>
        </w:rPr>
        <w:t>Death</w:t>
      </w:r>
    </w:p>
    <w:p w14:paraId="26AB28FD" w14:textId="77777777" w:rsidR="00876FCF" w:rsidRPr="00026AF4" w:rsidRDefault="00A60BEC" w:rsidP="00712250">
      <w:pPr>
        <w:jc w:val="both"/>
        <w:rPr>
          <w:rFonts w:asciiTheme="minorHAnsi" w:hAnsiTheme="minorHAnsi"/>
          <w:lang w:val="en-US"/>
        </w:rPr>
      </w:pPr>
      <w:r w:rsidRPr="00026AF4">
        <w:rPr>
          <w:rFonts w:asciiTheme="minorHAnsi" w:hAnsiTheme="minorHAnsi"/>
          <w:lang w:val="en-US"/>
        </w:rPr>
        <w:t xml:space="preserve">Seven patients died in SRP group (4 of PDAC, one of cardiac amyloidosis, 2 of unknown </w:t>
      </w:r>
      <w:r w:rsidR="00050C33" w:rsidRPr="00026AF4">
        <w:rPr>
          <w:rFonts w:asciiTheme="minorHAnsi" w:hAnsiTheme="minorHAnsi"/>
          <w:lang w:val="en-US"/>
        </w:rPr>
        <w:t xml:space="preserve">cause) and 20 in the </w:t>
      </w:r>
      <w:r w:rsidR="00937372" w:rsidRPr="00026AF4">
        <w:rPr>
          <w:rFonts w:asciiTheme="minorHAnsi" w:hAnsiTheme="minorHAnsi"/>
          <w:lang w:val="en-US"/>
        </w:rPr>
        <w:t xml:space="preserve">control </w:t>
      </w:r>
      <w:r w:rsidR="00050C33" w:rsidRPr="00026AF4">
        <w:rPr>
          <w:rFonts w:asciiTheme="minorHAnsi" w:hAnsiTheme="minorHAnsi"/>
          <w:lang w:val="en-US"/>
        </w:rPr>
        <w:t>group</w:t>
      </w:r>
      <w:r w:rsidRPr="00026AF4">
        <w:rPr>
          <w:rFonts w:asciiTheme="minorHAnsi" w:hAnsiTheme="minorHAnsi"/>
          <w:lang w:val="en-US"/>
        </w:rPr>
        <w:t xml:space="preserve">. </w:t>
      </w:r>
      <w:r w:rsidR="00050C33" w:rsidRPr="00026AF4">
        <w:rPr>
          <w:rFonts w:asciiTheme="minorHAnsi" w:hAnsiTheme="minorHAnsi"/>
          <w:lang w:val="en-US"/>
        </w:rPr>
        <w:t xml:space="preserve">There was no increased risk of death from any cause among the SRP patients (HR=0.48, 95% CI [0.19-1.18], p=0.11). </w:t>
      </w:r>
    </w:p>
    <w:p w14:paraId="0F502A69" w14:textId="77777777" w:rsidR="00A60BEC" w:rsidRPr="00026AF4" w:rsidRDefault="00A60BEC" w:rsidP="00712250">
      <w:pPr>
        <w:jc w:val="both"/>
        <w:rPr>
          <w:rFonts w:asciiTheme="minorHAnsi" w:hAnsiTheme="minorHAnsi"/>
          <w:b/>
          <w:sz w:val="28"/>
          <w:szCs w:val="28"/>
          <w:lang w:val="en-US"/>
        </w:rPr>
      </w:pPr>
    </w:p>
    <w:p w14:paraId="1177AFFA" w14:textId="77777777" w:rsidR="00742FB6" w:rsidRPr="00026AF4" w:rsidRDefault="00742FB6" w:rsidP="00742FB6">
      <w:pPr>
        <w:jc w:val="both"/>
        <w:rPr>
          <w:rFonts w:asciiTheme="minorHAnsi" w:hAnsiTheme="minorHAnsi"/>
          <w:b/>
          <w:sz w:val="28"/>
          <w:szCs w:val="28"/>
          <w:lang w:val="en-US"/>
        </w:rPr>
      </w:pPr>
      <w:r w:rsidRPr="00026AF4">
        <w:rPr>
          <w:rFonts w:asciiTheme="minorHAnsi" w:hAnsiTheme="minorHAnsi"/>
          <w:b/>
          <w:sz w:val="28"/>
          <w:szCs w:val="28"/>
          <w:lang w:val="en-US"/>
        </w:rPr>
        <w:br w:type="page"/>
      </w:r>
    </w:p>
    <w:p w14:paraId="37A6B548" w14:textId="77777777" w:rsidR="00B31C74" w:rsidRPr="00026AF4" w:rsidRDefault="00FC6F6B" w:rsidP="00712250">
      <w:pPr>
        <w:jc w:val="both"/>
        <w:rPr>
          <w:rFonts w:asciiTheme="minorHAnsi" w:hAnsiTheme="minorHAnsi"/>
          <w:b/>
          <w:sz w:val="28"/>
          <w:szCs w:val="28"/>
          <w:lang w:val="en-US"/>
        </w:rPr>
      </w:pPr>
      <w:r w:rsidRPr="00026AF4">
        <w:rPr>
          <w:rFonts w:asciiTheme="minorHAnsi" w:hAnsiTheme="minorHAnsi"/>
          <w:b/>
          <w:sz w:val="28"/>
          <w:szCs w:val="28"/>
          <w:lang w:val="en-US"/>
        </w:rPr>
        <w:lastRenderedPageBreak/>
        <w:t>Discussion</w:t>
      </w:r>
    </w:p>
    <w:p w14:paraId="11854C1F" w14:textId="77777777" w:rsidR="00742FB6" w:rsidRPr="00026AF4" w:rsidRDefault="00742FB6" w:rsidP="00712250">
      <w:pPr>
        <w:jc w:val="both"/>
        <w:rPr>
          <w:rFonts w:asciiTheme="minorHAnsi" w:hAnsiTheme="minorHAnsi"/>
          <w:b/>
          <w:sz w:val="28"/>
          <w:szCs w:val="28"/>
          <w:lang w:val="en-US"/>
        </w:rPr>
      </w:pPr>
    </w:p>
    <w:p w14:paraId="19FE94FB" w14:textId="38D546C5" w:rsidR="00B02FFD" w:rsidRPr="00026AF4" w:rsidRDefault="00FC6F6B" w:rsidP="00712250">
      <w:pPr>
        <w:jc w:val="both"/>
        <w:rPr>
          <w:rFonts w:asciiTheme="minorHAnsi" w:hAnsiTheme="minorHAnsi"/>
          <w:lang w:val="en-GB"/>
        </w:rPr>
      </w:pPr>
      <w:r w:rsidRPr="00026AF4">
        <w:rPr>
          <w:rFonts w:asciiTheme="minorHAnsi" w:hAnsiTheme="minorHAnsi"/>
          <w:lang w:val="en-US"/>
        </w:rPr>
        <w:t>We describe</w:t>
      </w:r>
      <w:r w:rsidR="00F8166C" w:rsidRPr="00026AF4">
        <w:rPr>
          <w:rFonts w:asciiTheme="minorHAnsi" w:hAnsiTheme="minorHAnsi"/>
          <w:lang w:val="en-US"/>
        </w:rPr>
        <w:t>d</w:t>
      </w:r>
      <w:r w:rsidR="000E323B" w:rsidRPr="00026AF4">
        <w:rPr>
          <w:rFonts w:asciiTheme="minorHAnsi" w:hAnsiTheme="minorHAnsi"/>
          <w:lang w:val="en-US"/>
        </w:rPr>
        <w:t xml:space="preserve"> herein</w:t>
      </w:r>
      <w:r w:rsidRPr="00026AF4">
        <w:rPr>
          <w:rFonts w:asciiTheme="minorHAnsi" w:hAnsiTheme="minorHAnsi"/>
          <w:lang w:val="en-US"/>
        </w:rPr>
        <w:t xml:space="preserve"> </w:t>
      </w:r>
      <w:r w:rsidR="00F8166C" w:rsidRPr="00026AF4">
        <w:rPr>
          <w:rFonts w:asciiTheme="minorHAnsi" w:hAnsiTheme="minorHAnsi"/>
          <w:lang w:val="en-US"/>
        </w:rPr>
        <w:t xml:space="preserve">one of the largest </w:t>
      </w:r>
      <w:r w:rsidR="00CE710A" w:rsidRPr="00026AF4">
        <w:rPr>
          <w:rFonts w:asciiTheme="minorHAnsi" w:hAnsiTheme="minorHAnsi"/>
          <w:lang w:val="en-US"/>
        </w:rPr>
        <w:t>cohorts</w:t>
      </w:r>
      <w:r w:rsidRPr="00026AF4">
        <w:rPr>
          <w:rFonts w:asciiTheme="minorHAnsi" w:hAnsiTheme="minorHAnsi"/>
          <w:lang w:val="en-US"/>
        </w:rPr>
        <w:t xml:space="preserve"> of patients with </w:t>
      </w:r>
      <w:r w:rsidR="000E323B" w:rsidRPr="00026AF4">
        <w:rPr>
          <w:rFonts w:asciiTheme="minorHAnsi" w:hAnsiTheme="minorHAnsi"/>
          <w:lang w:val="en-US"/>
        </w:rPr>
        <w:t>SRP</w:t>
      </w:r>
      <w:r w:rsidRPr="00026AF4">
        <w:rPr>
          <w:rFonts w:asciiTheme="minorHAnsi" w:hAnsiTheme="minorHAnsi"/>
          <w:lang w:val="en-US"/>
        </w:rPr>
        <w:t xml:space="preserve">. </w:t>
      </w:r>
      <w:r w:rsidR="008E24BF" w:rsidRPr="00026AF4">
        <w:rPr>
          <w:rFonts w:asciiTheme="minorHAnsi" w:hAnsiTheme="minorHAnsi"/>
          <w:lang w:val="en-US"/>
        </w:rPr>
        <w:t xml:space="preserve">By the age of 50 years old, 76% of patients with SRP had morphological signs of CP, 52.4% had </w:t>
      </w:r>
      <w:r w:rsidR="00E35299" w:rsidRPr="00026AF4">
        <w:rPr>
          <w:rFonts w:asciiTheme="minorHAnsi" w:hAnsiTheme="minorHAnsi"/>
          <w:lang w:val="en-US"/>
        </w:rPr>
        <w:t xml:space="preserve">EPI </w:t>
      </w:r>
      <w:r w:rsidR="008E24BF" w:rsidRPr="00026AF4">
        <w:rPr>
          <w:rFonts w:asciiTheme="minorHAnsi" w:hAnsiTheme="minorHAnsi"/>
          <w:lang w:val="en-US"/>
        </w:rPr>
        <w:t xml:space="preserve">and 26.3% had DM. </w:t>
      </w:r>
      <w:r w:rsidR="00DE180E" w:rsidRPr="00026AF4">
        <w:rPr>
          <w:rFonts w:asciiTheme="minorHAnsi" w:hAnsiTheme="minorHAnsi"/>
          <w:lang w:val="en-US"/>
        </w:rPr>
        <w:t xml:space="preserve">In </w:t>
      </w:r>
      <w:r w:rsidR="000E323B" w:rsidRPr="00026AF4">
        <w:rPr>
          <w:rFonts w:asciiTheme="minorHAnsi" w:hAnsiTheme="minorHAnsi"/>
          <w:lang w:val="en-US"/>
        </w:rPr>
        <w:t>comparison with patients</w:t>
      </w:r>
      <w:r w:rsidR="005C73F2" w:rsidRPr="00026AF4">
        <w:rPr>
          <w:rFonts w:asciiTheme="minorHAnsi" w:hAnsiTheme="minorHAnsi"/>
          <w:lang w:val="en-US"/>
        </w:rPr>
        <w:t xml:space="preserve"> with idiopathic pancreatitis</w:t>
      </w:r>
      <w:r w:rsidR="009A66C4" w:rsidRPr="00026AF4">
        <w:rPr>
          <w:rFonts w:asciiTheme="minorHAnsi" w:hAnsiTheme="minorHAnsi"/>
          <w:lang w:val="en-US"/>
        </w:rPr>
        <w:t xml:space="preserve">, </w:t>
      </w:r>
      <w:r w:rsidR="009137F7" w:rsidRPr="00026AF4">
        <w:rPr>
          <w:rFonts w:asciiTheme="minorHAnsi" w:hAnsiTheme="minorHAnsi"/>
          <w:lang w:val="en-US"/>
        </w:rPr>
        <w:t>patients in the SRP group presented</w:t>
      </w:r>
      <w:r w:rsidR="00C37129" w:rsidRPr="00026AF4">
        <w:rPr>
          <w:rFonts w:asciiTheme="minorHAnsi" w:hAnsiTheme="minorHAnsi"/>
          <w:lang w:val="en-US"/>
        </w:rPr>
        <w:t xml:space="preserve"> with</w:t>
      </w:r>
      <w:r w:rsidR="009137F7" w:rsidRPr="00026AF4">
        <w:rPr>
          <w:rFonts w:asciiTheme="minorHAnsi" w:hAnsiTheme="minorHAnsi"/>
          <w:lang w:val="en-US"/>
        </w:rPr>
        <w:t xml:space="preserve"> more episodes of acute pancreatitis, more pancreatic </w:t>
      </w:r>
      <w:proofErr w:type="gramStart"/>
      <w:r w:rsidR="009137F7" w:rsidRPr="00026AF4">
        <w:rPr>
          <w:rFonts w:asciiTheme="minorHAnsi" w:hAnsiTheme="minorHAnsi"/>
          <w:lang w:val="en-US"/>
        </w:rPr>
        <w:t>pain,</w:t>
      </w:r>
      <w:proofErr w:type="gramEnd"/>
      <w:r w:rsidR="009137F7" w:rsidRPr="00026AF4">
        <w:rPr>
          <w:rFonts w:asciiTheme="minorHAnsi" w:hAnsiTheme="minorHAnsi"/>
          <w:lang w:val="en-US"/>
        </w:rPr>
        <w:t xml:space="preserve"> had more frequent morphologic signs of CP. In addition, they had a significantly</w:t>
      </w:r>
      <w:r w:rsidR="00C37129" w:rsidRPr="00026AF4">
        <w:rPr>
          <w:rFonts w:asciiTheme="minorHAnsi" w:hAnsiTheme="minorHAnsi"/>
          <w:lang w:val="en-US"/>
        </w:rPr>
        <w:t xml:space="preserve"> higher</w:t>
      </w:r>
      <w:r w:rsidR="009137F7" w:rsidRPr="00026AF4">
        <w:rPr>
          <w:rFonts w:asciiTheme="minorHAnsi" w:hAnsiTheme="minorHAnsi"/>
          <w:lang w:val="en-US"/>
        </w:rPr>
        <w:t xml:space="preserve"> </w:t>
      </w:r>
      <w:r w:rsidR="00E73EF2" w:rsidRPr="00026AF4">
        <w:rPr>
          <w:rFonts w:asciiTheme="minorHAnsi" w:hAnsiTheme="minorHAnsi"/>
          <w:lang w:val="en-US"/>
        </w:rPr>
        <w:t xml:space="preserve">actuarial risk of developing </w:t>
      </w:r>
      <w:r w:rsidR="00F8166C" w:rsidRPr="00026AF4">
        <w:rPr>
          <w:rFonts w:asciiTheme="minorHAnsi" w:hAnsiTheme="minorHAnsi"/>
          <w:lang w:val="en-US"/>
        </w:rPr>
        <w:t xml:space="preserve">chronic pancreatitis </w:t>
      </w:r>
      <w:r w:rsidR="00BE5C45" w:rsidRPr="00026AF4">
        <w:rPr>
          <w:rFonts w:asciiTheme="minorHAnsi" w:hAnsiTheme="minorHAnsi"/>
          <w:lang w:val="en-US"/>
        </w:rPr>
        <w:t>(</w:t>
      </w:r>
      <w:r w:rsidR="00BE5C45" w:rsidRPr="00026AF4">
        <w:rPr>
          <w:rFonts w:asciiTheme="minorHAnsi" w:hAnsiTheme="minorHAnsi"/>
          <w:b/>
          <w:lang w:val="en-US"/>
        </w:rPr>
        <w:t>Figure 2a</w:t>
      </w:r>
      <w:r w:rsidR="00BE5C45" w:rsidRPr="00026AF4">
        <w:rPr>
          <w:rFonts w:asciiTheme="minorHAnsi" w:hAnsiTheme="minorHAnsi"/>
          <w:lang w:val="en-US"/>
        </w:rPr>
        <w:t xml:space="preserve">), </w:t>
      </w:r>
      <w:r w:rsidR="00E35299" w:rsidRPr="00026AF4">
        <w:rPr>
          <w:rFonts w:asciiTheme="minorHAnsi" w:hAnsiTheme="minorHAnsi"/>
          <w:lang w:val="en-US"/>
        </w:rPr>
        <w:t xml:space="preserve">EPI </w:t>
      </w:r>
      <w:r w:rsidR="00BE5C45" w:rsidRPr="00026AF4">
        <w:rPr>
          <w:rFonts w:asciiTheme="minorHAnsi" w:hAnsiTheme="minorHAnsi"/>
          <w:lang w:val="en-US"/>
        </w:rPr>
        <w:t>(</w:t>
      </w:r>
      <w:r w:rsidR="00BE5C45" w:rsidRPr="00026AF4">
        <w:rPr>
          <w:rFonts w:asciiTheme="minorHAnsi" w:hAnsiTheme="minorHAnsi"/>
          <w:b/>
          <w:lang w:val="en-US"/>
        </w:rPr>
        <w:t>F</w:t>
      </w:r>
      <w:r w:rsidR="009137F7" w:rsidRPr="00026AF4">
        <w:rPr>
          <w:rFonts w:asciiTheme="minorHAnsi" w:hAnsiTheme="minorHAnsi"/>
          <w:b/>
          <w:lang w:val="en-US"/>
        </w:rPr>
        <w:t>igure</w:t>
      </w:r>
      <w:r w:rsidR="00BE5C45" w:rsidRPr="00026AF4">
        <w:rPr>
          <w:rFonts w:asciiTheme="minorHAnsi" w:hAnsiTheme="minorHAnsi"/>
          <w:b/>
          <w:lang w:val="en-US"/>
        </w:rPr>
        <w:t xml:space="preserve"> 3a</w:t>
      </w:r>
      <w:r w:rsidR="00BE5C45" w:rsidRPr="00026AF4">
        <w:rPr>
          <w:rFonts w:asciiTheme="minorHAnsi" w:hAnsiTheme="minorHAnsi"/>
          <w:lang w:val="en-US"/>
        </w:rPr>
        <w:t>), DM (</w:t>
      </w:r>
      <w:r w:rsidR="00BE5C45" w:rsidRPr="00026AF4">
        <w:rPr>
          <w:rFonts w:asciiTheme="minorHAnsi" w:hAnsiTheme="minorHAnsi"/>
          <w:b/>
          <w:lang w:val="en-US"/>
        </w:rPr>
        <w:t>F</w:t>
      </w:r>
      <w:r w:rsidR="009137F7" w:rsidRPr="00026AF4">
        <w:rPr>
          <w:rFonts w:asciiTheme="minorHAnsi" w:hAnsiTheme="minorHAnsi"/>
          <w:b/>
          <w:lang w:val="en-US"/>
        </w:rPr>
        <w:t>igure</w:t>
      </w:r>
      <w:r w:rsidR="00BE5C45" w:rsidRPr="00026AF4">
        <w:rPr>
          <w:rFonts w:asciiTheme="minorHAnsi" w:hAnsiTheme="minorHAnsi"/>
          <w:b/>
          <w:lang w:val="en-US"/>
        </w:rPr>
        <w:t xml:space="preserve"> 4a</w:t>
      </w:r>
      <w:r w:rsidR="009137F7" w:rsidRPr="00026AF4">
        <w:rPr>
          <w:rFonts w:asciiTheme="minorHAnsi" w:hAnsiTheme="minorHAnsi"/>
          <w:lang w:val="en-US"/>
        </w:rPr>
        <w:t>) and PDAC</w:t>
      </w:r>
      <w:r w:rsidR="00BE5C45" w:rsidRPr="00026AF4">
        <w:rPr>
          <w:rFonts w:asciiTheme="minorHAnsi" w:hAnsiTheme="minorHAnsi"/>
          <w:lang w:val="en-US"/>
        </w:rPr>
        <w:t xml:space="preserve"> (</w:t>
      </w:r>
      <w:r w:rsidR="00BE5C45" w:rsidRPr="00026AF4">
        <w:rPr>
          <w:rFonts w:asciiTheme="minorHAnsi" w:hAnsiTheme="minorHAnsi"/>
          <w:b/>
          <w:lang w:val="en-US"/>
        </w:rPr>
        <w:t>Figure 5)</w:t>
      </w:r>
      <w:r w:rsidR="009137F7" w:rsidRPr="00026AF4">
        <w:rPr>
          <w:rFonts w:asciiTheme="minorHAnsi" w:hAnsiTheme="minorHAnsi"/>
          <w:b/>
          <w:lang w:val="en-US"/>
        </w:rPr>
        <w:t xml:space="preserve">. </w:t>
      </w:r>
      <w:r w:rsidR="000E323B" w:rsidRPr="00026AF4">
        <w:rPr>
          <w:rFonts w:asciiTheme="minorHAnsi" w:hAnsiTheme="minorHAnsi"/>
          <w:lang w:val="en-US"/>
        </w:rPr>
        <w:t>These results might have been influenced by the longer follow-up in the SRP group</w:t>
      </w:r>
      <w:r w:rsidR="00B02FFD" w:rsidRPr="00026AF4">
        <w:rPr>
          <w:rFonts w:asciiTheme="minorHAnsi" w:hAnsiTheme="minorHAnsi"/>
          <w:lang w:val="en-GB"/>
        </w:rPr>
        <w:t xml:space="preserve"> and by the mismatch of disease proportions between the two groups</w:t>
      </w:r>
      <w:r w:rsidR="000E323B" w:rsidRPr="00026AF4">
        <w:rPr>
          <w:rFonts w:asciiTheme="minorHAnsi" w:hAnsiTheme="minorHAnsi"/>
          <w:lang w:val="en-US"/>
        </w:rPr>
        <w:t>.</w:t>
      </w:r>
      <w:r w:rsidR="008E24BF" w:rsidRPr="00026AF4">
        <w:rPr>
          <w:rFonts w:asciiTheme="minorHAnsi" w:hAnsiTheme="minorHAnsi"/>
          <w:lang w:val="en-US"/>
        </w:rPr>
        <w:t xml:space="preserve"> </w:t>
      </w:r>
      <w:r w:rsidR="00B02FFD" w:rsidRPr="00026AF4">
        <w:rPr>
          <w:rFonts w:asciiTheme="minorHAnsi" w:hAnsiTheme="minorHAnsi"/>
          <w:lang w:val="en-US"/>
        </w:rPr>
        <w:t xml:space="preserve">The presence of </w:t>
      </w:r>
      <w:r w:rsidR="00B02FFD" w:rsidRPr="00026AF4">
        <w:rPr>
          <w:rFonts w:asciiTheme="minorHAnsi" w:hAnsiTheme="minorHAnsi"/>
          <w:lang w:val="en-GB"/>
        </w:rPr>
        <w:t xml:space="preserve">more patients with chronic pancreatitis in the SPINK1 related-pancreatitis group should have lead to an increased incidence of pancreatic insufficiencies and cancer. </w:t>
      </w:r>
      <w:r w:rsidR="008E24BF" w:rsidRPr="00026AF4">
        <w:rPr>
          <w:rFonts w:asciiTheme="minorHAnsi" w:hAnsiTheme="minorHAnsi"/>
          <w:lang w:val="en-US"/>
        </w:rPr>
        <w:t>However, t</w:t>
      </w:r>
      <w:r w:rsidR="000E323B" w:rsidRPr="00026AF4">
        <w:rPr>
          <w:rFonts w:asciiTheme="minorHAnsi" w:hAnsiTheme="minorHAnsi"/>
          <w:lang w:val="en-US"/>
        </w:rPr>
        <w:t>hese clinical complications, except</w:t>
      </w:r>
      <w:r w:rsidR="00C37129" w:rsidRPr="00026AF4">
        <w:rPr>
          <w:rFonts w:asciiTheme="minorHAnsi" w:hAnsiTheme="minorHAnsi"/>
          <w:lang w:val="en-US"/>
        </w:rPr>
        <w:t xml:space="preserve"> from</w:t>
      </w:r>
      <w:r w:rsidR="009A66C4" w:rsidRPr="00026AF4">
        <w:rPr>
          <w:rFonts w:asciiTheme="minorHAnsi" w:hAnsiTheme="minorHAnsi"/>
          <w:lang w:val="en-US"/>
        </w:rPr>
        <w:t xml:space="preserve"> PDAC, systematically occurred from 15 to 20 ye</w:t>
      </w:r>
      <w:r w:rsidR="000E323B" w:rsidRPr="00026AF4">
        <w:rPr>
          <w:rFonts w:asciiTheme="minorHAnsi" w:hAnsiTheme="minorHAnsi"/>
          <w:lang w:val="en-US"/>
        </w:rPr>
        <w:t>ars earlier in the SRP group than</w:t>
      </w:r>
      <w:r w:rsidR="009A66C4" w:rsidRPr="00026AF4">
        <w:rPr>
          <w:rFonts w:asciiTheme="minorHAnsi" w:hAnsiTheme="minorHAnsi"/>
          <w:lang w:val="en-US"/>
        </w:rPr>
        <w:t xml:space="preserve"> in the </w:t>
      </w:r>
      <w:r w:rsidR="005C73F2" w:rsidRPr="00026AF4">
        <w:rPr>
          <w:rFonts w:asciiTheme="minorHAnsi" w:hAnsiTheme="minorHAnsi"/>
          <w:lang w:val="en-US"/>
        </w:rPr>
        <w:t xml:space="preserve">control </w:t>
      </w:r>
      <w:r w:rsidR="009A66C4" w:rsidRPr="00026AF4">
        <w:rPr>
          <w:rFonts w:asciiTheme="minorHAnsi" w:hAnsiTheme="minorHAnsi"/>
          <w:lang w:val="en-US"/>
        </w:rPr>
        <w:t xml:space="preserve">group. </w:t>
      </w:r>
      <w:r w:rsidR="00C37129" w:rsidRPr="00026AF4">
        <w:rPr>
          <w:rFonts w:asciiTheme="minorHAnsi" w:hAnsiTheme="minorHAnsi"/>
          <w:lang w:val="en-US"/>
        </w:rPr>
        <w:t>However,</w:t>
      </w:r>
      <w:r w:rsidR="000F69A7" w:rsidRPr="00026AF4">
        <w:rPr>
          <w:rFonts w:asciiTheme="minorHAnsi" w:hAnsiTheme="minorHAnsi"/>
          <w:lang w:val="en-US"/>
        </w:rPr>
        <w:t xml:space="preserve"> some authors</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{"citationID":"GaD9yWui","properties":{"formattedCitation":"\\super 6,8\\nosupersub{}","plainCitation":"6,8","noteIndex":0},"citationItems":[{"id":159,"uris":["http://zotero.org/users/1090946/items/PW5KBZPM"],"uri":["http://zotero.org/users/1090946/items/PW5KBZPM"],"itemData":{"id":159,"type":"article-journal","title":"Mutations of the serine protease inhibitor, Kazal type 1 gene, in patients with idiopathic chronic pancreatitis","container-title":"The American Journal of Gastroenterology","page":"1133-1137","volume":"97","issue":"5","source":"PubMed","abstract":"OBJECTIVE: The pathogenesis of chronic pancreatitis (CP) is poorly understood. Genetic studies revealed mutations in the cationic trypsinogen gene and an increased frequency of cystic fibrosis gene mutations in patients with CP. Recently, a point mutation (N34S) in the gene encoding the serine protease inhibitor, Kazal type 1 (SPINK1), was found in approximately 20% of patients with CP. The aim of our study was to determine the frequency of the N34S SPINKI gene mutation in a well-defined patient cohort with idiopathic CP (ICP) and to compare the incidence with healthy controls. In addition, we investigated the impact of this mutation on the long-term course of CP.\nMETHODS: Fourteen patients with early-onset and four patients with late-onset CP of our well-defined pancreatitis cohort were enrolled in the present study, and 397 healthy individuals served as a control population. Coding exonic and the flanking intronic sequences of SPINK1 were investigated by direct DNA sequencing. The mutations found were confirmed by melting curve analysis. In addition, the N34S mutation was detected by analyzing the DNA fragments generated by digestion with restriction enzyme TspR I. Clinical data of patients with the N34S mutation were compared with those without mutations.\nRESULTS: The N34S mutation was detected in six of 14 (43%) patients with early-onset ICP. One patient was homozygous, and five patients were heterozygous for this mutation. The N34S mutation in a heterozygous state was found in four of 397 healthy controls (1.0%). The different allele frequency observed (seven of 28 vs four of 794) was significant (odds ratio = 66, 95% CI = 18-242, p &lt; 0.0001). The clinical course was similar in patients with a mutation compared with those without a mutation. No other SPINKI mutations were detected. The N34S mutation was not found in patients with late-onset ICP.\nCONCLUSIONS: Our results indicate that the N34S mutation in the SPINKI gene is strongly associated with ICP, especially with the early-onset type. The natural course is similar in patients with mutations compared with SPINK1 mutation-negative patients. The N34S mutation may easily be screened for by restriction digestion with TspR I.","DOI":"10.1111/j.1572-0241.2002.05673.x","ISSN":"0002-9270","note":"PMID: 12014716","journalAbbreviation":"Am. J. Gastroenterol.","language":"eng","author":[{"family":"Truninger","given":"Kaspar"},{"family":"Witt","given":"Heiko"},{"family":"Köck","given":"J."},{"family":"Kage","given":"Andreas"},{"family":"Seifert","given":"B."},{"family":"Ammann","given":"Rudolf W."},{"family":"Blum","given":"Hubert E."},{"family":"Becker","given":"Michael"}],"issued":{"date-parts":[["2002",5]]}}},{"id":435,"uris":["http://zotero.org/users/1090946/items/MSQJGK8K"],"uri":["http://zotero.org/users/1090946/items/MSQJGK8K"],"itemData":{"id":435,"type":"article-journal","title":"Idiopathic chronic pancreatitis in India: phenotypic characterisation and strong genetic susceptibility due to SPINK1 and CFTR gene mutations","container-title":"Gut","page":"800-807","volume":"59","issue":"6","source":"Crossref","abstract":"Objective To study the genetic predisposition, phenotype and prognosis of idiopathic chronic pancreatitis (CP). Design Prospective observational and caseecontrol study. Setting Tertiary care academic centre. Patients Consecutive patients with CP. Interventions Detailed mutational analysis was done for the cationic trypsinogen, SPINK1 and CFTR genes with single-strand conformational polymorphism or restricted fragment length polymorphism, and sequencing. Clinical and disease characteristics of idiopathic versus alcoholic CP, and early onset versus late onset idiopathic CP were compared. Response to multimodality treatment (medical, endoscopic and/or surgical) and prognosis were analysed. Main outcome measures Genetic mutations, phenotypic characterisation and prognosis of idiopathic CP.\nResults Of the 411 patients with CP, 242 had idiopathic aetiology (age 27.50611.85 years; 154 men). Malnutrition and cassava were not risk factors. SPINK1 N34S mutation was present in 42% of patients with idiopathic CP (vs 4% controls, p&lt;0.001) and 17% of patients with alcoholic CP (p¼0.016 compared with controls). In the CFTR gene, nine patients with idiopathic CP had mutations and 41 patients had polymorphisms (50% vs 10% controls, p&lt;0.001). Diabetes developed in 35.53% of patients with idiopathic CP. About 85% of patients had signiﬁcant pain relief with therapy. The probability of surviving for 35 years after onset of idiopathic CP was 83%. The typical features of tropical calciﬁc pancreatitis were seen only in 5.8% of patients.\nConclusion Strong genetic susceptibility due to SPINK1 and CFTR gene mutations, and comparative phenotype of idiopathic CP in India suggest that the term ‘tropical calciﬁc pancreatitis’ is a misnomer.","DOI":"10.1136/gut.2009.191239","ISSN":"0017-5749","shortTitle":"Idiopathic chronic pancreatitis in India","language":"en","author":[{"family":"Midha","given":"S."},{"family":"Khajuria","given":"R."},{"family":"Shastri","given":"S."},{"family":"Kabra","given":"M."},{"family":"Garg","given":"P. K."}],"issued":{"date-parts":[["2010",6,1]]}}}],"schema":"https://github.com/citation-style-language/schema/raw/master/csl-citation.json"}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6,8</w:t>
      </w:r>
      <w:r w:rsidR="000955DB" w:rsidRPr="00026AF4">
        <w:rPr>
          <w:rFonts w:asciiTheme="minorHAnsi" w:hAnsiTheme="minorHAnsi"/>
          <w:lang w:val="en-US"/>
        </w:rPr>
        <w:fldChar w:fldCharType="end"/>
      </w:r>
      <w:r w:rsidR="000F69A7" w:rsidRPr="00026AF4">
        <w:rPr>
          <w:rFonts w:asciiTheme="minorHAnsi" w:hAnsiTheme="minorHAnsi"/>
          <w:lang w:val="en-US"/>
        </w:rPr>
        <w:t xml:space="preserve"> </w:t>
      </w:r>
      <w:r w:rsidR="00C37129" w:rsidRPr="00026AF4">
        <w:rPr>
          <w:rFonts w:asciiTheme="minorHAnsi" w:hAnsiTheme="minorHAnsi"/>
          <w:lang w:val="en-US"/>
        </w:rPr>
        <w:t xml:space="preserve">previously </w:t>
      </w:r>
      <w:r w:rsidR="000F69A7" w:rsidRPr="00026AF4">
        <w:rPr>
          <w:rFonts w:asciiTheme="minorHAnsi" w:hAnsiTheme="minorHAnsi"/>
          <w:lang w:val="en-US"/>
        </w:rPr>
        <w:t>reported no clinical or morphological difference between patients with SRP and patients with ICP</w:t>
      </w:r>
      <w:r w:rsidR="00325412" w:rsidRPr="00026AF4">
        <w:rPr>
          <w:rFonts w:asciiTheme="minorHAnsi" w:hAnsiTheme="minorHAnsi"/>
          <w:lang w:val="en-US"/>
        </w:rPr>
        <w:t>.</w:t>
      </w:r>
      <w:r w:rsidR="000F69A7" w:rsidRPr="00026AF4">
        <w:rPr>
          <w:rFonts w:asciiTheme="minorHAnsi" w:hAnsiTheme="minorHAnsi"/>
          <w:lang w:val="en-US"/>
        </w:rPr>
        <w:t xml:space="preserve"> </w:t>
      </w:r>
      <w:proofErr w:type="spellStart"/>
      <w:r w:rsidR="000F69A7" w:rsidRPr="00026AF4">
        <w:rPr>
          <w:rFonts w:asciiTheme="minorHAnsi" w:hAnsiTheme="minorHAnsi"/>
          <w:lang w:val="en-US"/>
        </w:rPr>
        <w:t>Sandhu</w:t>
      </w:r>
      <w:proofErr w:type="spellEnd"/>
      <w:r w:rsidR="000F69A7" w:rsidRPr="00026AF4">
        <w:rPr>
          <w:rFonts w:asciiTheme="minorHAnsi" w:hAnsiTheme="minorHAnsi"/>
          <w:lang w:val="en-US"/>
        </w:rPr>
        <w:t xml:space="preserve"> et al.</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{"citationID":"Fm8cnFL6","properties":{"formattedCitation":"\\super 9\\nosupersub{}","plainCitation":"9","noteIndex":0},"citationItems":[{"id":430,"uris":["http://zotero.org/users/1090946/items/CHBACXYL"],"uri":["http://zotero.org/users/1090946/items/CHBACXYL"],"itemData":{"id":430,"type":"article-journal","title":"Presence of SPINK-1 variant alters the course of chronic pancreatitis","container-title":"Journal of Gastroenterology and Hepatology","page":"965-969","volume":"26","issue":"6","source":"PubMed","abstract":"BACKGROUND AND AIMS: There is growing evidence that genetic mutations/variants increase susceptibility to the development and progression of chronic pancreatitis (CP). Several mutations have been identified that have a direct and indirect role in events leading to CP. Mutations in the serine protease inhibitor, Kazal type-1 (SPINK-1) gene have been reported to lower the threshold for pancreatitis in the presence of other genetic or environmental factors. The prevalence and impact of SPINK-1 mutations on the clinical course and outcomes of CP remains unclear. This study was conducted to assess the prevalence of the SPINK-1/N34S variant in patients with CP, and to understand the impact of the SPINK-1 mutation on the natural history of CP.\nMETHODS: A retrospective-prospective analysis of 239 patients with CP was performed. A detailed history, including duration of symptoms, type of pain (intermittent flares or chronic continuous pain), number of flares requiring hospital admission, alcohol and smoking history, and family history was obtained. The baseline morphological stage of CP was categorized by Cambridge classification. Clinical outcome variables included frequency and severity of pain episodes, presence of exocrine failure (defined by presence of steatorrhea and/or fecal elastase &lt; 200 ug/g), and diabetes. The genetic tests included the cationic trypsinogen gene-1 mutation, cystic fibrosis gene mutations (Genzyme assay), and the SPINK-1/N34S mutation.\nRESULTS: Of the 239 patients with CP, 13 (5.4%) were positive for the SPINK-1/N34S mutation. There were 35 (14.6%) patients with idiopathic pancreatitis (IP) in this cohort. Most of the patients who were positive for the SPINK-1/N34S mutation had IP and were Caucasian (69.2%). The patients with the SPINK-1/N34S mutation had a younger age of onset (32.9 ± 10.2 vs 40.1 ± 13.6 years; P = 0.108) than those with IP and no mutation. Over a median follow up of 9.6 years, the patients with the SPINK-1/N34S mutation had a significantly greater number of acute flares each year, as compared to those without the mutation (11.8 ± 1.5 vs 4 ± 0.98; P = 0.0001).\nCONCLUSIONS: The prevalence of the SPINK-1/N34S mutation in patients with CP is 5.4%, and is approximately 37.1% in patients with IP. These mutations are more prevalent in Caucasian patients with CP. The SPINK-1/N34S mutation predisposes to early onset IP and more frequent acute flares of pancreatitis that might ultimately lead to pancreatic insufficiency. The patients with IP and borderline alcohol history should be considered for testing for genetic analysis, including SPINK-1 mutations, initially restricted to clinical trials.","DOI":"10.1111/j.1440-1746.2011.06713.x","ISSN":"1440-1746","note":"PMID: 21375584","journalAbbreviation":"J. Gastroenterol. Hepatol.","language":"eng","author":[{"family":"Sandhu","given":"Bimaljit"},{"family":"Vitazka","given":"Patrik"},{"family":"Ferreira-Gonzalez","given":"Andrea"},{"family":"Pandya","given":"Arti"},{"family":"Vachhani","given":"Ravi"},{"family":"Bouhaidar","given":"Doumit"},{"family":"Zfass","given":"Alvin"},{"family":"Sanyal","given":"Arun"}],"issued":{"date-parts":[["2011",6]]}}}],"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9</w:t>
      </w:r>
      <w:r w:rsidR="000955DB" w:rsidRPr="00026AF4">
        <w:rPr>
          <w:rFonts w:asciiTheme="minorHAnsi" w:hAnsiTheme="minorHAnsi"/>
          <w:lang w:val="en-US"/>
        </w:rPr>
        <w:fldChar w:fldCharType="end"/>
      </w:r>
      <w:r w:rsidR="000F69A7" w:rsidRPr="00026AF4">
        <w:rPr>
          <w:rFonts w:asciiTheme="minorHAnsi" w:hAnsiTheme="minorHAnsi"/>
          <w:lang w:val="en-US"/>
        </w:rPr>
        <w:t xml:space="preserve"> reported an earlier onset and more frequent acute </w:t>
      </w:r>
      <w:r w:rsidR="00F8166C" w:rsidRPr="00026AF4">
        <w:rPr>
          <w:rFonts w:asciiTheme="minorHAnsi" w:hAnsiTheme="minorHAnsi"/>
          <w:lang w:val="en-US"/>
        </w:rPr>
        <w:t xml:space="preserve">bouts </w:t>
      </w:r>
      <w:r w:rsidR="000F69A7" w:rsidRPr="00026AF4">
        <w:rPr>
          <w:rFonts w:asciiTheme="minorHAnsi" w:hAnsiTheme="minorHAnsi"/>
          <w:lang w:val="en-US"/>
        </w:rPr>
        <w:t xml:space="preserve">of pancreatitis in 13 patients with SRP compared to 35 patients with ICP. However, these studies included limited populations and SRP patients frequently had other causes of CP. </w:t>
      </w:r>
      <w:r w:rsidR="00B02FFD" w:rsidRPr="00026AF4">
        <w:rPr>
          <w:rFonts w:asciiTheme="minorHAnsi" w:hAnsiTheme="minorHAnsi"/>
          <w:lang w:val="en-US"/>
        </w:rPr>
        <w:t xml:space="preserve"> </w:t>
      </w:r>
    </w:p>
    <w:p w14:paraId="6510C863" w14:textId="77777777" w:rsidR="00BB5634" w:rsidRPr="00026AF4" w:rsidRDefault="00BB5634" w:rsidP="00712250">
      <w:pPr>
        <w:jc w:val="both"/>
        <w:rPr>
          <w:rFonts w:asciiTheme="minorHAnsi" w:hAnsiTheme="minorHAnsi"/>
          <w:lang w:val="en-US"/>
        </w:rPr>
      </w:pPr>
    </w:p>
    <w:p w14:paraId="4FE46943" w14:textId="77777777" w:rsidR="00756D02" w:rsidRPr="00026AF4" w:rsidRDefault="00BB5634" w:rsidP="00FA69FA">
      <w:pPr>
        <w:jc w:val="both"/>
        <w:rPr>
          <w:rFonts w:asciiTheme="minorHAnsi" w:hAnsiTheme="minorHAnsi"/>
          <w:lang w:val="en-GB"/>
        </w:rPr>
      </w:pPr>
      <w:r w:rsidRPr="00026AF4">
        <w:rPr>
          <w:rFonts w:asciiTheme="minorHAnsi" w:hAnsiTheme="minorHAnsi"/>
          <w:lang w:val="en-GB"/>
        </w:rPr>
        <w:t xml:space="preserve">Recently, a </w:t>
      </w:r>
      <w:r w:rsidR="00FA69FA" w:rsidRPr="00026AF4">
        <w:rPr>
          <w:rFonts w:asciiTheme="minorHAnsi" w:hAnsiTheme="minorHAnsi"/>
          <w:lang w:val="en-GB"/>
        </w:rPr>
        <w:t>large C</w:t>
      </w:r>
      <w:r w:rsidRPr="00026AF4">
        <w:rPr>
          <w:rFonts w:asciiTheme="minorHAnsi" w:hAnsiTheme="minorHAnsi"/>
          <w:lang w:val="en-GB"/>
        </w:rPr>
        <w:t xml:space="preserve">hinese series </w:t>
      </w:r>
      <w:r w:rsidR="00FA69FA" w:rsidRPr="00026AF4">
        <w:rPr>
          <w:rFonts w:asciiTheme="minorHAnsi" w:hAnsiTheme="minorHAnsi"/>
          <w:lang w:val="en-GB"/>
        </w:rPr>
        <w:t xml:space="preserve">aimed to assess the risk of chronic pancreatitis and complications in case of rare pathogenic variants in </w:t>
      </w:r>
      <w:r w:rsidR="00FA69FA" w:rsidRPr="00026AF4">
        <w:rPr>
          <w:rFonts w:asciiTheme="minorHAnsi" w:hAnsiTheme="minorHAnsi"/>
          <w:i/>
          <w:lang w:val="en-GB"/>
        </w:rPr>
        <w:t>the CFTR, SPINK1, PRSS1</w:t>
      </w:r>
      <w:r w:rsidR="00FA69FA" w:rsidRPr="00026AF4">
        <w:rPr>
          <w:rFonts w:asciiTheme="minorHAnsi" w:hAnsiTheme="minorHAnsi"/>
          <w:lang w:val="en-GB"/>
        </w:rPr>
        <w:t xml:space="preserve"> and </w:t>
      </w:r>
      <w:r w:rsidR="00FA69FA" w:rsidRPr="00026AF4">
        <w:rPr>
          <w:rFonts w:asciiTheme="minorHAnsi" w:hAnsiTheme="minorHAnsi"/>
          <w:i/>
          <w:lang w:val="en-GB"/>
        </w:rPr>
        <w:t>CTRC</w:t>
      </w:r>
      <w:r w:rsidR="00FA69FA" w:rsidRPr="00026AF4">
        <w:rPr>
          <w:rFonts w:asciiTheme="minorHAnsi" w:hAnsiTheme="minorHAnsi"/>
          <w:lang w:val="en-GB"/>
        </w:rPr>
        <w:t xml:space="preserve"> genes. Authors included 1061 Chinese CP patients divided into three subgroups </w:t>
      </w:r>
      <w:r w:rsidR="00970EC7" w:rsidRPr="00026AF4">
        <w:rPr>
          <w:rFonts w:asciiTheme="minorHAnsi" w:hAnsiTheme="minorHAnsi"/>
          <w:lang w:val="en-GB"/>
        </w:rPr>
        <w:t xml:space="preserve">(idiopathic CP, alcoholic CP and tobacco related CP) </w:t>
      </w:r>
      <w:r w:rsidR="00FA69FA" w:rsidRPr="00026AF4">
        <w:rPr>
          <w:rFonts w:asciiTheme="minorHAnsi" w:hAnsiTheme="minorHAnsi"/>
          <w:lang w:val="en-GB"/>
        </w:rPr>
        <w:t xml:space="preserve">and 1196 controls. </w:t>
      </w:r>
      <w:r w:rsidR="00970EC7" w:rsidRPr="00026AF4">
        <w:rPr>
          <w:rFonts w:asciiTheme="minorHAnsi" w:hAnsiTheme="minorHAnsi"/>
          <w:lang w:val="en-GB"/>
        </w:rPr>
        <w:t xml:space="preserve">Mutation-positive patients had earlier median ages at disease onset and at diagnosis of diabetes mellitus and </w:t>
      </w:r>
      <w:proofErr w:type="spellStart"/>
      <w:r w:rsidR="00970EC7" w:rsidRPr="00026AF4">
        <w:rPr>
          <w:rFonts w:asciiTheme="minorHAnsi" w:hAnsiTheme="minorHAnsi"/>
          <w:lang w:val="en-GB"/>
        </w:rPr>
        <w:t>steatorrhea</w:t>
      </w:r>
      <w:proofErr w:type="spellEnd"/>
      <w:r w:rsidR="00970EC7" w:rsidRPr="00026AF4">
        <w:rPr>
          <w:rFonts w:asciiTheme="minorHAnsi" w:hAnsiTheme="minorHAnsi"/>
          <w:lang w:val="en-GB"/>
        </w:rPr>
        <w:t xml:space="preserve"> than mutation-negative IP patients. Pathogenic variants were present in 57.1, 39.8, and 32.1% of the </w:t>
      </w:r>
      <w:r w:rsidR="00756D02" w:rsidRPr="00026AF4">
        <w:rPr>
          <w:rFonts w:asciiTheme="minorHAnsi" w:hAnsiTheme="minorHAnsi"/>
          <w:lang w:val="en-GB"/>
        </w:rPr>
        <w:t xml:space="preserve">following </w:t>
      </w:r>
      <w:r w:rsidR="005838A7" w:rsidRPr="00026AF4">
        <w:rPr>
          <w:rFonts w:asciiTheme="minorHAnsi" w:hAnsiTheme="minorHAnsi"/>
          <w:lang w:val="en-GB"/>
        </w:rPr>
        <w:t>subgroups</w:t>
      </w:r>
      <w:r w:rsidR="00970EC7" w:rsidRPr="00026AF4">
        <w:rPr>
          <w:rFonts w:asciiTheme="minorHAnsi" w:hAnsiTheme="minorHAnsi"/>
          <w:lang w:val="en-GB"/>
        </w:rPr>
        <w:t xml:space="preserve">: idiopathic, alcohol and tobacco. </w:t>
      </w:r>
      <w:r w:rsidR="005838A7" w:rsidRPr="00026AF4">
        <w:rPr>
          <w:rFonts w:asciiTheme="minorHAnsi" w:hAnsiTheme="minorHAnsi"/>
          <w:lang w:val="en-GB"/>
        </w:rPr>
        <w:t xml:space="preserve">Even if this cohort is large and well explored by genetic testing, </w:t>
      </w:r>
      <w:r w:rsidR="00756D02" w:rsidRPr="00026AF4">
        <w:rPr>
          <w:rFonts w:asciiTheme="minorHAnsi" w:hAnsiTheme="minorHAnsi"/>
          <w:lang w:val="en-GB"/>
        </w:rPr>
        <w:t>some</w:t>
      </w:r>
      <w:r w:rsidR="005838A7" w:rsidRPr="00026AF4">
        <w:rPr>
          <w:rFonts w:asciiTheme="minorHAnsi" w:hAnsiTheme="minorHAnsi"/>
          <w:lang w:val="en-GB"/>
        </w:rPr>
        <w:t xml:space="preserve"> issues have to be addressed. The definitions of the subgroups can be debated. A CP was considered as tobacco related if the intake was up to 2 pack-years; tobacco intake was not excluded in the alcohol group and patients with </w:t>
      </w:r>
      <w:r w:rsidR="00756D02" w:rsidRPr="00026AF4">
        <w:rPr>
          <w:rFonts w:asciiTheme="minorHAnsi" w:hAnsiTheme="minorHAnsi"/>
          <w:lang w:val="en-GB"/>
        </w:rPr>
        <w:t xml:space="preserve">idiopathic pancreatitis could have alcohol consumption under 80g/day. No specific analysis was performed according to the genetic type and for patients with </w:t>
      </w:r>
      <w:r w:rsidR="00756D02" w:rsidRPr="00026AF4">
        <w:rPr>
          <w:rFonts w:asciiTheme="minorHAnsi" w:hAnsiTheme="minorHAnsi"/>
          <w:i/>
          <w:lang w:val="en-GB"/>
        </w:rPr>
        <w:t>SPINK1</w:t>
      </w:r>
      <w:r w:rsidR="00756D02" w:rsidRPr="00026AF4">
        <w:rPr>
          <w:rFonts w:asciiTheme="minorHAnsi" w:hAnsiTheme="minorHAnsi"/>
          <w:lang w:val="en-GB"/>
        </w:rPr>
        <w:t xml:space="preserve"> variants especially. In our study, we had very selective criteria to obtain the more characterized populations</w:t>
      </w:r>
      <w:r w:rsidR="005E1D8E" w:rsidRPr="00026AF4">
        <w:rPr>
          <w:rFonts w:asciiTheme="minorHAnsi" w:hAnsiTheme="minorHAnsi"/>
          <w:lang w:val="en-GB"/>
        </w:rPr>
        <w:t xml:space="preserve"> with no potential cofounded factors as alcohol intake for example</w:t>
      </w:r>
      <w:r w:rsidR="004245CC" w:rsidRPr="00026AF4">
        <w:rPr>
          <w:rFonts w:asciiTheme="minorHAnsi" w:hAnsiTheme="minorHAnsi"/>
          <w:lang w:val="en-GB"/>
        </w:rPr>
        <w:t>.</w:t>
      </w:r>
      <w:r w:rsidR="004245CC" w:rsidRPr="00026AF4">
        <w:rPr>
          <w:rFonts w:asciiTheme="minorHAnsi" w:hAnsiTheme="minorHAnsi"/>
          <w:vertAlign w:val="superscript"/>
          <w:lang w:val="en-US"/>
        </w:rPr>
        <w:t>17</w:t>
      </w:r>
    </w:p>
    <w:p w14:paraId="08A70D61" w14:textId="77777777" w:rsidR="005E1D8E" w:rsidRPr="00026AF4" w:rsidRDefault="005E1D8E" w:rsidP="00712250">
      <w:pPr>
        <w:jc w:val="both"/>
        <w:rPr>
          <w:rFonts w:asciiTheme="minorHAnsi" w:hAnsiTheme="minorHAnsi"/>
          <w:lang w:val="en-US"/>
        </w:rPr>
      </w:pPr>
    </w:p>
    <w:p w14:paraId="0BB8F425" w14:textId="77777777" w:rsidR="0032448F" w:rsidRPr="00026AF4" w:rsidRDefault="009C0131" w:rsidP="00712250">
      <w:pPr>
        <w:jc w:val="both"/>
        <w:rPr>
          <w:rFonts w:asciiTheme="minorHAnsi" w:hAnsiTheme="minorHAnsi"/>
          <w:lang w:val="en-US"/>
        </w:rPr>
      </w:pPr>
      <w:r w:rsidRPr="00026AF4">
        <w:rPr>
          <w:rFonts w:asciiTheme="minorHAnsi" w:hAnsiTheme="minorHAnsi"/>
          <w:lang w:val="en-US"/>
        </w:rPr>
        <w:t xml:space="preserve">We found limited genotype-phenotype correlations. </w:t>
      </w:r>
      <w:r w:rsidR="00E35299" w:rsidRPr="00026AF4">
        <w:rPr>
          <w:rFonts w:asciiTheme="minorHAnsi" w:hAnsiTheme="minorHAnsi"/>
          <w:lang w:val="en-US"/>
        </w:rPr>
        <w:t>T</w:t>
      </w:r>
      <w:r w:rsidR="00DE180E" w:rsidRPr="00026AF4">
        <w:rPr>
          <w:rFonts w:asciiTheme="minorHAnsi" w:hAnsiTheme="minorHAnsi"/>
          <w:lang w:val="en-US"/>
        </w:rPr>
        <w:t xml:space="preserve">here was no influence of </w:t>
      </w:r>
      <w:r w:rsidR="000E323B" w:rsidRPr="00026AF4">
        <w:rPr>
          <w:rFonts w:asciiTheme="minorHAnsi" w:hAnsiTheme="minorHAnsi"/>
          <w:lang w:val="en-US"/>
        </w:rPr>
        <w:t xml:space="preserve">the genetic alterations (homozygous </w:t>
      </w:r>
      <w:proofErr w:type="spellStart"/>
      <w:r w:rsidR="00E35299" w:rsidRPr="00026AF4">
        <w:rPr>
          <w:rFonts w:asciiTheme="minorHAnsi" w:hAnsiTheme="minorHAnsi"/>
          <w:lang w:val="en-US"/>
        </w:rPr>
        <w:t>vs</w:t>
      </w:r>
      <w:proofErr w:type="spellEnd"/>
      <w:r w:rsidR="00E35299" w:rsidRPr="00026AF4">
        <w:rPr>
          <w:rFonts w:asciiTheme="minorHAnsi" w:hAnsiTheme="minorHAnsi"/>
          <w:lang w:val="en-US"/>
        </w:rPr>
        <w:t xml:space="preserve"> </w:t>
      </w:r>
      <w:r w:rsidR="000E323B" w:rsidRPr="00026AF4">
        <w:rPr>
          <w:rFonts w:asciiTheme="minorHAnsi" w:hAnsiTheme="minorHAnsi"/>
          <w:lang w:val="en-US"/>
        </w:rPr>
        <w:t xml:space="preserve">heterozygous </w:t>
      </w:r>
      <w:r w:rsidR="004911F9" w:rsidRPr="00026AF4">
        <w:rPr>
          <w:rFonts w:asciiTheme="minorHAnsi" w:hAnsiTheme="minorHAnsi"/>
          <w:lang w:val="en-US"/>
        </w:rPr>
        <w:t>p.N34S</w:t>
      </w:r>
      <w:r w:rsidR="000E323B" w:rsidRPr="00026AF4">
        <w:rPr>
          <w:rFonts w:asciiTheme="minorHAnsi" w:hAnsiTheme="minorHAnsi"/>
          <w:lang w:val="en-US"/>
        </w:rPr>
        <w:t xml:space="preserve"> mutations, </w:t>
      </w:r>
      <w:r w:rsidR="00DE180E" w:rsidRPr="00026AF4">
        <w:rPr>
          <w:rFonts w:asciiTheme="minorHAnsi" w:hAnsiTheme="minorHAnsi"/>
          <w:lang w:val="en-US"/>
        </w:rPr>
        <w:t>presence of co-mutations</w:t>
      </w:r>
      <w:r w:rsidR="000E323B" w:rsidRPr="00026AF4">
        <w:rPr>
          <w:rFonts w:asciiTheme="minorHAnsi" w:hAnsiTheme="minorHAnsi"/>
          <w:lang w:val="en-US"/>
        </w:rPr>
        <w:t>)</w:t>
      </w:r>
      <w:r w:rsidR="00DE180E" w:rsidRPr="00026AF4">
        <w:rPr>
          <w:rFonts w:asciiTheme="minorHAnsi" w:hAnsiTheme="minorHAnsi"/>
          <w:lang w:val="en-US"/>
        </w:rPr>
        <w:t xml:space="preserve"> on </w:t>
      </w:r>
      <w:r w:rsidR="00714171" w:rsidRPr="00026AF4">
        <w:rPr>
          <w:rFonts w:asciiTheme="minorHAnsi" w:hAnsiTheme="minorHAnsi"/>
          <w:lang w:val="en-US"/>
        </w:rPr>
        <w:t xml:space="preserve">the </w:t>
      </w:r>
      <w:r w:rsidR="00DE180E" w:rsidRPr="00026AF4">
        <w:rPr>
          <w:rFonts w:asciiTheme="minorHAnsi" w:hAnsiTheme="minorHAnsi"/>
          <w:lang w:val="en-US"/>
        </w:rPr>
        <w:t xml:space="preserve">age of onset </w:t>
      </w:r>
      <w:r w:rsidR="00694652" w:rsidRPr="00026AF4">
        <w:rPr>
          <w:rFonts w:asciiTheme="minorHAnsi" w:hAnsiTheme="minorHAnsi"/>
          <w:lang w:val="en-US"/>
        </w:rPr>
        <w:t xml:space="preserve">of </w:t>
      </w:r>
      <w:r w:rsidR="000E323B" w:rsidRPr="00026AF4">
        <w:rPr>
          <w:rFonts w:asciiTheme="minorHAnsi" w:hAnsiTheme="minorHAnsi"/>
          <w:lang w:val="en-US"/>
        </w:rPr>
        <w:t>pancreatic complications</w:t>
      </w:r>
      <w:r w:rsidR="00DE180E" w:rsidRPr="00026AF4">
        <w:rPr>
          <w:rFonts w:asciiTheme="minorHAnsi" w:hAnsiTheme="minorHAnsi"/>
          <w:lang w:val="en-US"/>
        </w:rPr>
        <w:t xml:space="preserve"> </w:t>
      </w:r>
      <w:r w:rsidRPr="00026AF4">
        <w:rPr>
          <w:rFonts w:asciiTheme="minorHAnsi" w:hAnsiTheme="minorHAnsi"/>
          <w:lang w:val="en-US"/>
        </w:rPr>
        <w:t>although</w:t>
      </w:r>
      <w:r w:rsidR="00DE180E" w:rsidRPr="00026AF4">
        <w:rPr>
          <w:rFonts w:asciiTheme="minorHAnsi" w:hAnsiTheme="minorHAnsi"/>
          <w:lang w:val="en-US"/>
        </w:rPr>
        <w:t xml:space="preserve"> </w:t>
      </w:r>
      <w:r w:rsidR="000E323B" w:rsidRPr="00026AF4">
        <w:rPr>
          <w:rFonts w:asciiTheme="minorHAnsi" w:hAnsiTheme="minorHAnsi"/>
          <w:lang w:val="en-US"/>
        </w:rPr>
        <w:t xml:space="preserve">there was </w:t>
      </w:r>
      <w:r w:rsidR="00714171" w:rsidRPr="00026AF4">
        <w:rPr>
          <w:rFonts w:asciiTheme="minorHAnsi" w:hAnsiTheme="minorHAnsi"/>
          <w:lang w:val="en-US"/>
        </w:rPr>
        <w:t>stati</w:t>
      </w:r>
      <w:r w:rsidR="000E323B" w:rsidRPr="00026AF4">
        <w:rPr>
          <w:rFonts w:asciiTheme="minorHAnsi" w:hAnsiTheme="minorHAnsi"/>
          <w:lang w:val="en-US"/>
        </w:rPr>
        <w:t>stical</w:t>
      </w:r>
      <w:r w:rsidR="00694652" w:rsidRPr="00026AF4">
        <w:rPr>
          <w:rFonts w:asciiTheme="minorHAnsi" w:hAnsiTheme="minorHAnsi"/>
          <w:lang w:val="en-US"/>
        </w:rPr>
        <w:t xml:space="preserve"> </w:t>
      </w:r>
      <w:r w:rsidR="006E10F6" w:rsidRPr="00026AF4">
        <w:rPr>
          <w:rFonts w:asciiTheme="minorHAnsi" w:hAnsiTheme="minorHAnsi"/>
          <w:lang w:val="en-US"/>
        </w:rPr>
        <w:t>tende</w:t>
      </w:r>
      <w:r w:rsidR="00694652" w:rsidRPr="00026AF4">
        <w:rPr>
          <w:rFonts w:asciiTheme="minorHAnsi" w:hAnsiTheme="minorHAnsi"/>
          <w:lang w:val="en-US"/>
        </w:rPr>
        <w:t>ncy for</w:t>
      </w:r>
      <w:r w:rsidR="000E323B" w:rsidRPr="00026AF4">
        <w:rPr>
          <w:rFonts w:asciiTheme="minorHAnsi" w:hAnsiTheme="minorHAnsi"/>
          <w:lang w:val="en-US"/>
        </w:rPr>
        <w:t xml:space="preserve"> earlier onset of symptoms in patients with homozygous </w:t>
      </w:r>
      <w:r w:rsidR="004911F9" w:rsidRPr="00026AF4">
        <w:rPr>
          <w:rFonts w:asciiTheme="minorHAnsi" w:hAnsiTheme="minorHAnsi"/>
          <w:lang w:val="en-US"/>
        </w:rPr>
        <w:t>p.N34S</w:t>
      </w:r>
      <w:r w:rsidR="000E323B" w:rsidRPr="00026AF4">
        <w:rPr>
          <w:rFonts w:asciiTheme="minorHAnsi" w:hAnsiTheme="minorHAnsi"/>
          <w:lang w:val="en-US"/>
        </w:rPr>
        <w:t xml:space="preserve"> mutation or co-mutations (</w:t>
      </w:r>
      <w:r w:rsidR="00694652" w:rsidRPr="00026AF4">
        <w:rPr>
          <w:rFonts w:asciiTheme="minorHAnsi" w:hAnsiTheme="minorHAnsi"/>
          <w:i/>
          <w:lang w:val="en-US"/>
        </w:rPr>
        <w:t>CFTR</w:t>
      </w:r>
      <w:r w:rsidR="00694652" w:rsidRPr="00026AF4">
        <w:rPr>
          <w:rFonts w:asciiTheme="minorHAnsi" w:hAnsiTheme="minorHAnsi"/>
          <w:lang w:val="en-US"/>
        </w:rPr>
        <w:t xml:space="preserve"> and </w:t>
      </w:r>
      <w:r w:rsidR="00694652" w:rsidRPr="00026AF4">
        <w:rPr>
          <w:rFonts w:asciiTheme="minorHAnsi" w:hAnsiTheme="minorHAnsi"/>
          <w:i/>
          <w:lang w:val="en-US"/>
        </w:rPr>
        <w:t>CTRC</w:t>
      </w:r>
      <w:r w:rsidR="00694652" w:rsidRPr="00026AF4">
        <w:rPr>
          <w:rFonts w:asciiTheme="minorHAnsi" w:hAnsiTheme="minorHAnsi"/>
          <w:lang w:val="en-US"/>
        </w:rPr>
        <w:t xml:space="preserve"> </w:t>
      </w:r>
      <w:r w:rsidR="000E323B" w:rsidRPr="00026AF4">
        <w:rPr>
          <w:rFonts w:asciiTheme="minorHAnsi" w:hAnsiTheme="minorHAnsi"/>
          <w:lang w:val="en-US"/>
        </w:rPr>
        <w:t xml:space="preserve">in addition to </w:t>
      </w:r>
      <w:r w:rsidR="000E323B" w:rsidRPr="00026AF4">
        <w:rPr>
          <w:rFonts w:asciiTheme="minorHAnsi" w:hAnsiTheme="minorHAnsi"/>
          <w:i/>
          <w:lang w:val="en-US"/>
        </w:rPr>
        <w:t>SPINK1</w:t>
      </w:r>
      <w:r w:rsidR="000E323B" w:rsidRPr="00026AF4">
        <w:rPr>
          <w:rFonts w:asciiTheme="minorHAnsi" w:hAnsiTheme="minorHAnsi"/>
          <w:lang w:val="en-US"/>
        </w:rPr>
        <w:t>)</w:t>
      </w:r>
      <w:r w:rsidR="00694652" w:rsidRPr="00026AF4">
        <w:rPr>
          <w:rFonts w:asciiTheme="minorHAnsi" w:hAnsiTheme="minorHAnsi"/>
          <w:lang w:val="en-US"/>
        </w:rPr>
        <w:t>.</w:t>
      </w:r>
      <w:r w:rsidR="00881B1B" w:rsidRPr="00026AF4">
        <w:rPr>
          <w:rFonts w:asciiTheme="minorHAnsi" w:hAnsiTheme="minorHAnsi"/>
          <w:lang w:val="en-US"/>
        </w:rPr>
        <w:t xml:space="preserve"> </w:t>
      </w:r>
      <w:r w:rsidR="000E323B" w:rsidRPr="00026AF4">
        <w:rPr>
          <w:rFonts w:asciiTheme="minorHAnsi" w:hAnsiTheme="minorHAnsi"/>
          <w:lang w:val="en-US"/>
        </w:rPr>
        <w:t xml:space="preserve">This result is consistent with </w:t>
      </w:r>
      <w:r w:rsidR="00C96784" w:rsidRPr="00026AF4">
        <w:rPr>
          <w:rFonts w:asciiTheme="minorHAnsi" w:hAnsiTheme="minorHAnsi"/>
          <w:lang w:val="en-US"/>
        </w:rPr>
        <w:t xml:space="preserve">those </w:t>
      </w:r>
      <w:r w:rsidR="000E323B" w:rsidRPr="00026AF4">
        <w:rPr>
          <w:rFonts w:asciiTheme="minorHAnsi" w:hAnsiTheme="minorHAnsi"/>
          <w:lang w:val="en-US"/>
        </w:rPr>
        <w:t xml:space="preserve">reported by </w:t>
      </w:r>
      <w:proofErr w:type="spellStart"/>
      <w:r w:rsidR="000E323B" w:rsidRPr="00026AF4">
        <w:rPr>
          <w:rFonts w:asciiTheme="minorHAnsi" w:hAnsiTheme="minorHAnsi"/>
          <w:lang w:val="en-US"/>
        </w:rPr>
        <w:t>Drenth</w:t>
      </w:r>
      <w:proofErr w:type="spellEnd"/>
      <w:r w:rsidR="000E323B" w:rsidRPr="00026AF4">
        <w:rPr>
          <w:rFonts w:asciiTheme="minorHAnsi" w:hAnsiTheme="minorHAnsi"/>
          <w:lang w:val="en-US"/>
        </w:rPr>
        <w:t xml:space="preserve"> </w:t>
      </w:r>
      <w:r w:rsidR="000E323B" w:rsidRPr="00026AF4">
        <w:rPr>
          <w:rFonts w:asciiTheme="minorHAnsi" w:hAnsiTheme="minorHAnsi"/>
          <w:i/>
          <w:lang w:val="en-US"/>
        </w:rPr>
        <w:t>et al</w:t>
      </w:r>
      <w:r w:rsidR="000E323B" w:rsidRPr="00026AF4">
        <w:rPr>
          <w:rFonts w:asciiTheme="minorHAnsi" w:hAnsiTheme="minorHAnsi"/>
          <w:lang w:val="en-US"/>
        </w:rPr>
        <w:t xml:space="preserve"> </w:t>
      </w:r>
      <w:r w:rsidR="004245CC" w:rsidRPr="00026AF4">
        <w:rPr>
          <w:rFonts w:asciiTheme="minorHAnsi" w:hAnsiTheme="minorHAnsi"/>
          <w:vertAlign w:val="superscript"/>
          <w:lang w:val="en-US"/>
        </w:rPr>
        <w:t>18</w:t>
      </w:r>
      <w:r w:rsidR="002B5894" w:rsidRPr="00026AF4">
        <w:rPr>
          <w:rFonts w:asciiTheme="minorHAnsi" w:hAnsiTheme="minorHAnsi"/>
          <w:lang w:val="en-US"/>
        </w:rPr>
        <w:t xml:space="preserve"> </w:t>
      </w:r>
      <w:r w:rsidR="000E323B" w:rsidRPr="00026AF4">
        <w:rPr>
          <w:rFonts w:asciiTheme="minorHAnsi" w:hAnsiTheme="minorHAnsi"/>
          <w:lang w:val="en-US"/>
        </w:rPr>
        <w:t xml:space="preserve">describing a population of 14 </w:t>
      </w:r>
      <w:r w:rsidR="000E323B" w:rsidRPr="00026AF4">
        <w:rPr>
          <w:rFonts w:asciiTheme="minorHAnsi" w:hAnsiTheme="minorHAnsi"/>
          <w:i/>
          <w:lang w:val="en-US"/>
        </w:rPr>
        <w:t>SPINK1</w:t>
      </w:r>
      <w:r w:rsidR="000E323B" w:rsidRPr="00026AF4">
        <w:rPr>
          <w:rFonts w:asciiTheme="minorHAnsi" w:hAnsiTheme="minorHAnsi"/>
          <w:lang w:val="en-US"/>
        </w:rPr>
        <w:t xml:space="preserve"> mutation</w:t>
      </w:r>
      <w:r w:rsidR="00C96784" w:rsidRPr="00026AF4">
        <w:rPr>
          <w:rFonts w:asciiTheme="minorHAnsi" w:hAnsiTheme="minorHAnsi"/>
          <w:lang w:val="en-US"/>
        </w:rPr>
        <w:t xml:space="preserve"> </w:t>
      </w:r>
      <w:r w:rsidR="000E323B" w:rsidRPr="00026AF4">
        <w:rPr>
          <w:rFonts w:asciiTheme="minorHAnsi" w:hAnsiTheme="minorHAnsi"/>
          <w:lang w:val="en-US"/>
        </w:rPr>
        <w:t xml:space="preserve">carriers including two patients with homozygous </w:t>
      </w:r>
      <w:r w:rsidR="004911F9" w:rsidRPr="00026AF4">
        <w:rPr>
          <w:rFonts w:asciiTheme="minorHAnsi" w:hAnsiTheme="minorHAnsi"/>
          <w:lang w:val="en-US"/>
        </w:rPr>
        <w:t>p.N34S</w:t>
      </w:r>
      <w:r w:rsidR="000E323B" w:rsidRPr="00026AF4">
        <w:rPr>
          <w:rFonts w:asciiTheme="minorHAnsi" w:hAnsiTheme="minorHAnsi"/>
          <w:lang w:val="en-US"/>
        </w:rPr>
        <w:t xml:space="preserve"> mutation.</w:t>
      </w:r>
      <w:r w:rsidR="009A3974" w:rsidRPr="00026AF4">
        <w:rPr>
          <w:rFonts w:asciiTheme="minorHAnsi" w:hAnsiTheme="minorHAnsi"/>
          <w:lang w:val="en-US"/>
        </w:rPr>
        <w:t xml:space="preserve"> </w:t>
      </w:r>
    </w:p>
    <w:p w14:paraId="517AE1DE" w14:textId="77777777" w:rsidR="00C44262" w:rsidRPr="00026AF4" w:rsidRDefault="00C96784" w:rsidP="00712250">
      <w:pPr>
        <w:jc w:val="both"/>
        <w:rPr>
          <w:rFonts w:asciiTheme="minorHAnsi" w:hAnsiTheme="minorHAnsi"/>
          <w:lang w:val="en-US"/>
        </w:rPr>
      </w:pPr>
      <w:r w:rsidRPr="00026AF4">
        <w:rPr>
          <w:rFonts w:asciiTheme="minorHAnsi" w:hAnsiTheme="minorHAnsi"/>
          <w:lang w:val="en-US"/>
        </w:rPr>
        <w:t>T</w:t>
      </w:r>
      <w:r w:rsidR="009C0131" w:rsidRPr="00026AF4">
        <w:rPr>
          <w:rFonts w:asciiTheme="minorHAnsi" w:hAnsiTheme="minorHAnsi"/>
          <w:lang w:val="en-US"/>
        </w:rPr>
        <w:t xml:space="preserve">he patients included in </w:t>
      </w:r>
      <w:r w:rsidRPr="00026AF4">
        <w:rPr>
          <w:rFonts w:asciiTheme="minorHAnsi" w:hAnsiTheme="minorHAnsi"/>
          <w:lang w:val="en-US"/>
        </w:rPr>
        <w:t xml:space="preserve">this </w:t>
      </w:r>
      <w:r w:rsidR="009C0131" w:rsidRPr="00026AF4">
        <w:rPr>
          <w:rFonts w:asciiTheme="minorHAnsi" w:hAnsiTheme="minorHAnsi"/>
          <w:lang w:val="en-US"/>
        </w:rPr>
        <w:t xml:space="preserve">SRP cohort had no other known causes of pancreatic disease (especially we excluded patients with a consumption of alcohol greater than </w:t>
      </w:r>
      <w:r w:rsidR="004C38DE" w:rsidRPr="00026AF4">
        <w:rPr>
          <w:rFonts w:asciiTheme="minorHAnsi" w:hAnsiTheme="minorHAnsi"/>
          <w:lang w:val="en-US"/>
        </w:rPr>
        <w:t>3 units</w:t>
      </w:r>
      <w:r w:rsidR="009C0131" w:rsidRPr="00026AF4">
        <w:rPr>
          <w:rFonts w:asciiTheme="minorHAnsi" w:hAnsiTheme="minorHAnsi"/>
          <w:lang w:val="en-US"/>
        </w:rPr>
        <w:t xml:space="preserve"> per day), which strongly suggests that their pancreatic disease were related to the </w:t>
      </w:r>
      <w:r w:rsidR="009C0131" w:rsidRPr="00026AF4">
        <w:rPr>
          <w:rFonts w:asciiTheme="minorHAnsi" w:hAnsiTheme="minorHAnsi"/>
          <w:i/>
          <w:lang w:val="en-US"/>
        </w:rPr>
        <w:t>SPINK1</w:t>
      </w:r>
      <w:r w:rsidR="009C0131" w:rsidRPr="00026AF4">
        <w:rPr>
          <w:rFonts w:asciiTheme="minorHAnsi" w:hAnsiTheme="minorHAnsi"/>
          <w:lang w:val="en-US"/>
        </w:rPr>
        <w:t xml:space="preserve"> mutations. </w:t>
      </w:r>
      <w:r w:rsidR="009319EE" w:rsidRPr="00026AF4">
        <w:rPr>
          <w:rFonts w:asciiTheme="minorHAnsi" w:hAnsiTheme="minorHAnsi"/>
          <w:lang w:val="en-US"/>
        </w:rPr>
        <w:t xml:space="preserve">This is </w:t>
      </w:r>
      <w:r w:rsidR="004C38DE" w:rsidRPr="00026AF4">
        <w:rPr>
          <w:rFonts w:asciiTheme="minorHAnsi" w:hAnsiTheme="minorHAnsi"/>
          <w:lang w:val="en-US"/>
        </w:rPr>
        <w:t>consistent</w:t>
      </w:r>
      <w:r w:rsidR="009319EE" w:rsidRPr="00026AF4">
        <w:rPr>
          <w:rFonts w:asciiTheme="minorHAnsi" w:hAnsiTheme="minorHAnsi"/>
          <w:lang w:val="en-US"/>
        </w:rPr>
        <w:t xml:space="preserve"> with a recent Italian meta-analysis </w:t>
      </w:r>
      <w:r w:rsidRPr="00026AF4">
        <w:rPr>
          <w:rFonts w:asciiTheme="minorHAnsi" w:hAnsiTheme="minorHAnsi"/>
          <w:lang w:val="en-US"/>
        </w:rPr>
        <w:t xml:space="preserve">which </w:t>
      </w:r>
      <w:r w:rsidR="009319EE" w:rsidRPr="00026AF4">
        <w:rPr>
          <w:rFonts w:asciiTheme="minorHAnsi" w:hAnsiTheme="minorHAnsi"/>
          <w:lang w:val="en-US"/>
        </w:rPr>
        <w:t xml:space="preserve">reported that the presence of </w:t>
      </w:r>
      <w:r w:rsidR="004911F9" w:rsidRPr="00026AF4">
        <w:rPr>
          <w:rFonts w:asciiTheme="minorHAnsi" w:hAnsiTheme="minorHAnsi"/>
          <w:lang w:val="en-US"/>
        </w:rPr>
        <w:t>p.N34S</w:t>
      </w:r>
      <w:r w:rsidR="009319EE" w:rsidRPr="00026AF4">
        <w:rPr>
          <w:rFonts w:asciiTheme="minorHAnsi" w:hAnsiTheme="minorHAnsi"/>
          <w:lang w:val="en-US"/>
        </w:rPr>
        <w:t xml:space="preserve"> mutation increases nine times the overall CP risk in a European population (OR 9.7, 95% CI [7.9-11.9])</w:t>
      </w:r>
      <w:r w:rsidR="004245CC" w:rsidRPr="00026AF4">
        <w:rPr>
          <w:rFonts w:asciiTheme="minorHAnsi" w:hAnsiTheme="minorHAnsi"/>
          <w:vertAlign w:val="superscript"/>
          <w:lang w:val="en-US"/>
        </w:rPr>
        <w:t>19</w:t>
      </w:r>
      <w:r w:rsidR="009319EE" w:rsidRPr="00026AF4">
        <w:rPr>
          <w:rFonts w:asciiTheme="minorHAnsi" w:hAnsiTheme="minorHAnsi"/>
          <w:lang w:val="en-US"/>
        </w:rPr>
        <w:t xml:space="preserve">. </w:t>
      </w:r>
    </w:p>
    <w:p w14:paraId="7237E4DA" w14:textId="77777777" w:rsidR="008E799B" w:rsidRPr="00026AF4" w:rsidRDefault="008E799B" w:rsidP="00712250">
      <w:pPr>
        <w:jc w:val="both"/>
        <w:rPr>
          <w:rFonts w:asciiTheme="minorHAnsi" w:hAnsiTheme="minorHAnsi"/>
          <w:lang w:val="en-US"/>
        </w:rPr>
      </w:pPr>
    </w:p>
    <w:p w14:paraId="65536BEA" w14:textId="77777777" w:rsidR="00881B1B" w:rsidRPr="00026AF4" w:rsidRDefault="009C0131" w:rsidP="00712250">
      <w:pPr>
        <w:jc w:val="both"/>
        <w:rPr>
          <w:rFonts w:asciiTheme="minorHAnsi" w:hAnsiTheme="minorHAnsi"/>
          <w:lang w:val="en-US"/>
        </w:rPr>
      </w:pPr>
      <w:r w:rsidRPr="00026AF4">
        <w:rPr>
          <w:rFonts w:asciiTheme="minorHAnsi" w:hAnsiTheme="minorHAnsi"/>
          <w:lang w:val="en-US"/>
        </w:rPr>
        <w:t>However,</w:t>
      </w:r>
      <w:r w:rsidRPr="00026AF4">
        <w:rPr>
          <w:rFonts w:asciiTheme="minorHAnsi" w:hAnsiTheme="minorHAnsi"/>
          <w:i/>
          <w:lang w:val="en-US"/>
        </w:rPr>
        <w:t xml:space="preserve"> </w:t>
      </w:r>
      <w:r w:rsidR="00AD0EDA" w:rsidRPr="00026AF4">
        <w:rPr>
          <w:rFonts w:asciiTheme="minorHAnsi" w:hAnsiTheme="minorHAnsi"/>
          <w:i/>
          <w:lang w:val="en-US"/>
        </w:rPr>
        <w:t>SPINK1</w:t>
      </w:r>
      <w:r w:rsidR="00AD0EDA" w:rsidRPr="00026AF4">
        <w:rPr>
          <w:rFonts w:asciiTheme="minorHAnsi" w:hAnsiTheme="minorHAnsi"/>
          <w:lang w:val="en-US"/>
        </w:rPr>
        <w:t xml:space="preserve"> mutations are frequent in the general population (1-2%) but </w:t>
      </w:r>
      <w:r w:rsidR="00444C98" w:rsidRPr="00026AF4">
        <w:rPr>
          <w:rFonts w:asciiTheme="minorHAnsi" w:hAnsiTheme="minorHAnsi"/>
          <w:lang w:val="en-US"/>
        </w:rPr>
        <w:t>not constantly</w:t>
      </w:r>
      <w:r w:rsidR="00AD0EDA" w:rsidRPr="00026AF4">
        <w:rPr>
          <w:rFonts w:asciiTheme="minorHAnsi" w:hAnsiTheme="minorHAnsi"/>
          <w:lang w:val="en-US"/>
        </w:rPr>
        <w:t xml:space="preserve"> associated with pa</w:t>
      </w:r>
      <w:r w:rsidR="002812A3" w:rsidRPr="00026AF4">
        <w:rPr>
          <w:rFonts w:asciiTheme="minorHAnsi" w:hAnsiTheme="minorHAnsi"/>
          <w:lang w:val="en-US"/>
        </w:rPr>
        <w:t>ncreatit</w:t>
      </w:r>
      <w:r w:rsidR="00BB3730" w:rsidRPr="00026AF4">
        <w:rPr>
          <w:rFonts w:asciiTheme="minorHAnsi" w:hAnsiTheme="minorHAnsi"/>
          <w:lang w:val="en-US"/>
        </w:rPr>
        <w:t>is</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{"citationID":"o7PFRHjo","properties":{"formattedCitation":"\\super 4\\nosupersub{}","plainCitation":"4","noteIndex":0},"citationItems":[{"id":134,"uris":["http://zotero.org/users/1090946/items/99WTTH8K"],"uri":["http://zotero.org/users/1090946/items/99WTTH8K"],"itemData":{"id":134,"type":"article-journal","title":"SPINK1/PSTI polymorphisms act as disease modifiers in familial and idiopathic chronic pancreatitis","container-title":"Gastroenterology","page":"615-623","volume":"119","issue":"3","source":"PubMed","abstract":"BACKGROUND &amp; AIMS: Gain-of-function trypsin mutations cause acute pancreatitis and chronic pancreatitis. Loss of trypsin inhibitor function may have similar effects. We investigated the prevalence of SPINK1 (PSTI) mutations in familial pancreatitis, idiopathic chronic pancreatitis, and controls.\nMETHODS: Genetic-linkage studies were performed in 5 familial pancreatitis families. The entire SPINK1 gene was sequenced in 112 affected individuals and 95 control DNA samples, and exon 3 was sequenced in 95 additional controls. X-ray crystallography-based model building and statistical studies were performed.\nRESULTS: Significant linkage between pancreatitis and 5q31.1-2 was excluded. Novel SPINK1 mutations, one D50E mutation, one IVS3+125 C&gt;A, and five IVS3+184 T&gt;A intronic polymorphisms were identified. The N34S and P55S mutations were observed in 29 of 112 patients (25%) as N34S/N34S (n = 7), N34S/wt (n = 19), N34S/P55S (n = 2), and N34S/D50E (n = 1). Three hundred eighty control alleles revealed 3 N34S (0.77%), 2 P55S (0.53%), and no D50E mutations. Age of disease onset and severity were similar between homozygous and heterozygous patients. Structural modeling revealed several possible pathophysiologic mechanisms for the N34S mutation.\nCONCLUSIONS: SPINK1 mutations are common in the population (approximately 2%), but are clearly associated with pancreatitis. The mutation-associated risk is low. Modeling and familial clustering suggest that SPINK1 mutations are disease modifying, possibly by lowering the threshold for pancreatitis from other genetic or environmental factors, but by themselves do not cause disease.","ISSN":"0016-5085","note":"PMID: 10982753","journalAbbreviation":"Gastroenterology","language":"eng","author":[{"family":"Pfützer","given":"R. H."},{"family":"Barmada","given":"M. M."},{"family":"Brunskill","given":"A. P."},{"family":"Finch","given":"R."},{"family":"Hart","given":"P. S."},{"family":"Neoptolemos","given":"J."},{"family":"Furey","given":"W. F."},{"family":"Whitcomb","given":"D. C."}],"issued":{"date-parts":[["2000",9]]}}}],"schema":"https://github.com/citation-style-language/schema/raw/master/csl-citation.json"}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4</w:t>
      </w:r>
      <w:r w:rsidR="000955DB" w:rsidRPr="00026AF4">
        <w:rPr>
          <w:rFonts w:asciiTheme="minorHAnsi" w:hAnsiTheme="minorHAnsi"/>
          <w:lang w:val="en-US"/>
        </w:rPr>
        <w:fldChar w:fldCharType="end"/>
      </w:r>
      <w:r w:rsidR="00AD0EDA" w:rsidRPr="00026AF4">
        <w:rPr>
          <w:rFonts w:asciiTheme="minorHAnsi" w:hAnsiTheme="minorHAnsi"/>
          <w:lang w:val="en-US"/>
        </w:rPr>
        <w:t>.</w:t>
      </w:r>
      <w:r w:rsidR="00444C98" w:rsidRPr="00026AF4">
        <w:rPr>
          <w:rFonts w:asciiTheme="minorHAnsi" w:hAnsiTheme="minorHAnsi"/>
          <w:lang w:val="en-US"/>
        </w:rPr>
        <w:t xml:space="preserve"> T</w:t>
      </w:r>
      <w:r w:rsidR="00BB3730" w:rsidRPr="00026AF4">
        <w:rPr>
          <w:rFonts w:asciiTheme="minorHAnsi" w:hAnsiTheme="minorHAnsi"/>
          <w:lang w:val="en-US"/>
        </w:rPr>
        <w:t>he pattern of inheritance and t</w:t>
      </w:r>
      <w:r w:rsidR="00AD0EDA" w:rsidRPr="00026AF4">
        <w:rPr>
          <w:rFonts w:asciiTheme="minorHAnsi" w:hAnsiTheme="minorHAnsi"/>
          <w:lang w:val="en-US"/>
        </w:rPr>
        <w:t xml:space="preserve">he reasons explaining the development of </w:t>
      </w:r>
      <w:r w:rsidRPr="00026AF4">
        <w:rPr>
          <w:rFonts w:asciiTheme="minorHAnsi" w:hAnsiTheme="minorHAnsi"/>
          <w:lang w:val="en-US"/>
        </w:rPr>
        <w:t>SRP</w:t>
      </w:r>
      <w:r w:rsidR="00AD0EDA" w:rsidRPr="00026AF4">
        <w:rPr>
          <w:rFonts w:asciiTheme="minorHAnsi" w:hAnsiTheme="minorHAnsi"/>
          <w:lang w:val="en-US"/>
        </w:rPr>
        <w:t xml:space="preserve"> </w:t>
      </w:r>
      <w:r w:rsidR="0065117F" w:rsidRPr="00026AF4">
        <w:rPr>
          <w:rFonts w:asciiTheme="minorHAnsi" w:hAnsiTheme="minorHAnsi"/>
          <w:lang w:val="en-US"/>
        </w:rPr>
        <w:t xml:space="preserve">in only a </w:t>
      </w:r>
      <w:r w:rsidR="00B36FD5" w:rsidRPr="00026AF4">
        <w:rPr>
          <w:rFonts w:asciiTheme="minorHAnsi" w:hAnsiTheme="minorHAnsi"/>
          <w:lang w:val="en-US"/>
        </w:rPr>
        <w:t>small</w:t>
      </w:r>
      <w:r w:rsidR="00BB3730" w:rsidRPr="00026AF4">
        <w:rPr>
          <w:rFonts w:asciiTheme="minorHAnsi" w:hAnsiTheme="minorHAnsi"/>
          <w:lang w:val="en-US"/>
        </w:rPr>
        <w:t xml:space="preserve"> </w:t>
      </w:r>
      <w:r w:rsidR="00C96784" w:rsidRPr="00026AF4">
        <w:rPr>
          <w:rFonts w:asciiTheme="minorHAnsi" w:hAnsiTheme="minorHAnsi"/>
          <w:lang w:val="en-US"/>
        </w:rPr>
        <w:t xml:space="preserve">proportion of </w:t>
      </w:r>
      <w:r w:rsidRPr="00026AF4">
        <w:rPr>
          <w:rFonts w:asciiTheme="minorHAnsi" w:hAnsiTheme="minorHAnsi"/>
          <w:i/>
          <w:lang w:val="en-US"/>
        </w:rPr>
        <w:t>SPINK1</w:t>
      </w:r>
      <w:r w:rsidRPr="00026AF4">
        <w:rPr>
          <w:rFonts w:asciiTheme="minorHAnsi" w:hAnsiTheme="minorHAnsi"/>
          <w:lang w:val="en-US"/>
        </w:rPr>
        <w:t xml:space="preserve"> mutation carriers </w:t>
      </w:r>
      <w:r w:rsidR="009A758F" w:rsidRPr="00026AF4">
        <w:rPr>
          <w:rFonts w:asciiTheme="minorHAnsi" w:hAnsiTheme="minorHAnsi"/>
          <w:lang w:val="en-US"/>
        </w:rPr>
        <w:t>is</w:t>
      </w:r>
      <w:r w:rsidR="0065117F" w:rsidRPr="00026AF4">
        <w:rPr>
          <w:rFonts w:asciiTheme="minorHAnsi" w:hAnsiTheme="minorHAnsi"/>
          <w:lang w:val="en-US"/>
        </w:rPr>
        <w:t xml:space="preserve"> </w:t>
      </w:r>
      <w:r w:rsidR="00FF34C9" w:rsidRPr="00026AF4">
        <w:rPr>
          <w:rFonts w:asciiTheme="minorHAnsi" w:hAnsiTheme="minorHAnsi"/>
          <w:lang w:val="en-US"/>
        </w:rPr>
        <w:t>unclear</w:t>
      </w:r>
      <w:r w:rsidRPr="00026AF4">
        <w:rPr>
          <w:rFonts w:asciiTheme="minorHAnsi" w:hAnsiTheme="minorHAnsi"/>
          <w:lang w:val="en-US"/>
        </w:rPr>
        <w:t>.</w:t>
      </w:r>
      <w:r w:rsidR="00FF34C9" w:rsidRPr="00026AF4">
        <w:rPr>
          <w:rFonts w:asciiTheme="minorHAnsi" w:hAnsiTheme="minorHAnsi"/>
          <w:lang w:val="en-US"/>
        </w:rPr>
        <w:t xml:space="preserve"> </w:t>
      </w:r>
      <w:r w:rsidR="00444C98" w:rsidRPr="00026AF4">
        <w:rPr>
          <w:rFonts w:asciiTheme="minorHAnsi" w:hAnsiTheme="minorHAnsi"/>
          <w:lang w:val="en-US"/>
        </w:rPr>
        <w:t xml:space="preserve">This is also underlined by the fact that the </w:t>
      </w:r>
      <w:r w:rsidR="004911F9" w:rsidRPr="00026AF4">
        <w:rPr>
          <w:rFonts w:asciiTheme="minorHAnsi" w:hAnsiTheme="minorHAnsi"/>
          <w:lang w:val="en-US"/>
        </w:rPr>
        <w:t>p.N34S</w:t>
      </w:r>
      <w:r w:rsidR="00444C98" w:rsidRPr="00026AF4">
        <w:rPr>
          <w:rFonts w:asciiTheme="minorHAnsi" w:hAnsiTheme="minorHAnsi"/>
          <w:lang w:val="en-US"/>
        </w:rPr>
        <w:t xml:space="preserve"> mutation may not have functional consequences in </w:t>
      </w:r>
      <w:r w:rsidR="002B5894" w:rsidRPr="00026AF4">
        <w:rPr>
          <w:rFonts w:asciiTheme="minorHAnsi" w:hAnsiTheme="minorHAnsi"/>
          <w:lang w:val="en-US"/>
        </w:rPr>
        <w:t>vitro</w:t>
      </w:r>
      <w:r w:rsidR="004245CC" w:rsidRPr="00026AF4">
        <w:rPr>
          <w:rFonts w:asciiTheme="minorHAnsi" w:hAnsiTheme="minorHAnsi"/>
          <w:vertAlign w:val="superscript"/>
          <w:lang w:val="en-US"/>
        </w:rPr>
        <w:t>20</w:t>
      </w:r>
      <w:r w:rsidR="00444C98" w:rsidRPr="00026AF4">
        <w:rPr>
          <w:rFonts w:asciiTheme="minorHAnsi" w:hAnsiTheme="minorHAnsi"/>
          <w:lang w:val="en-US"/>
        </w:rPr>
        <w:t>. Hence, y</w:t>
      </w:r>
      <w:r w:rsidRPr="00026AF4">
        <w:rPr>
          <w:rFonts w:asciiTheme="minorHAnsi" w:hAnsiTheme="minorHAnsi"/>
          <w:lang w:val="en-US"/>
        </w:rPr>
        <w:t>et unidentified environmental or genet</w:t>
      </w:r>
      <w:r w:rsidR="009A758F" w:rsidRPr="00026AF4">
        <w:rPr>
          <w:rFonts w:asciiTheme="minorHAnsi" w:hAnsiTheme="minorHAnsi"/>
          <w:lang w:val="en-US"/>
        </w:rPr>
        <w:t>ic</w:t>
      </w:r>
      <w:r w:rsidRPr="00026AF4">
        <w:rPr>
          <w:rFonts w:asciiTheme="minorHAnsi" w:hAnsiTheme="minorHAnsi"/>
          <w:lang w:val="en-US"/>
        </w:rPr>
        <w:t xml:space="preserve"> factors </w:t>
      </w:r>
      <w:r w:rsidR="00444C98" w:rsidRPr="00026AF4">
        <w:rPr>
          <w:rFonts w:asciiTheme="minorHAnsi" w:hAnsiTheme="minorHAnsi"/>
          <w:lang w:val="en-US"/>
        </w:rPr>
        <w:t>are likely</w:t>
      </w:r>
      <w:r w:rsidRPr="00026AF4">
        <w:rPr>
          <w:rFonts w:asciiTheme="minorHAnsi" w:hAnsiTheme="minorHAnsi"/>
          <w:lang w:val="en-US"/>
        </w:rPr>
        <w:t xml:space="preserve"> to be associated </w:t>
      </w:r>
      <w:r w:rsidR="00444C98" w:rsidRPr="00026AF4">
        <w:rPr>
          <w:rFonts w:asciiTheme="minorHAnsi" w:hAnsiTheme="minorHAnsi"/>
          <w:lang w:val="en-US"/>
        </w:rPr>
        <w:t xml:space="preserve">with </w:t>
      </w:r>
      <w:r w:rsidR="00444C98" w:rsidRPr="00026AF4">
        <w:rPr>
          <w:rFonts w:asciiTheme="minorHAnsi" w:hAnsiTheme="minorHAnsi"/>
          <w:i/>
          <w:lang w:val="en-US"/>
        </w:rPr>
        <w:t>SPINK1</w:t>
      </w:r>
      <w:r w:rsidR="00444C98" w:rsidRPr="00026AF4">
        <w:rPr>
          <w:rFonts w:asciiTheme="minorHAnsi" w:hAnsiTheme="minorHAnsi"/>
          <w:lang w:val="en-US"/>
        </w:rPr>
        <w:t xml:space="preserve"> mutations </w:t>
      </w:r>
      <w:r w:rsidRPr="00026AF4">
        <w:rPr>
          <w:rFonts w:asciiTheme="minorHAnsi" w:hAnsiTheme="minorHAnsi"/>
          <w:lang w:val="en-US"/>
        </w:rPr>
        <w:t xml:space="preserve">for the development of pancreatic symptoms. </w:t>
      </w:r>
      <w:r w:rsidR="00C44262" w:rsidRPr="00026AF4">
        <w:rPr>
          <w:rFonts w:asciiTheme="minorHAnsi" w:hAnsiTheme="minorHAnsi"/>
          <w:lang w:val="en-US"/>
        </w:rPr>
        <w:t xml:space="preserve">Among the patients in </w:t>
      </w:r>
      <w:r w:rsidR="00711009" w:rsidRPr="00026AF4">
        <w:rPr>
          <w:rFonts w:asciiTheme="minorHAnsi" w:hAnsiTheme="minorHAnsi"/>
          <w:lang w:val="en-US"/>
        </w:rPr>
        <w:t xml:space="preserve">the </w:t>
      </w:r>
      <w:r w:rsidR="00C44262" w:rsidRPr="00026AF4">
        <w:rPr>
          <w:rFonts w:asciiTheme="minorHAnsi" w:hAnsiTheme="minorHAnsi"/>
          <w:lang w:val="en-US"/>
        </w:rPr>
        <w:t xml:space="preserve">SRP group, 21.3% and 9.1% had a co-mutation involving </w:t>
      </w:r>
      <w:r w:rsidR="00C44262" w:rsidRPr="00026AF4">
        <w:rPr>
          <w:rFonts w:asciiTheme="minorHAnsi" w:hAnsiTheme="minorHAnsi"/>
          <w:i/>
          <w:lang w:val="en-US"/>
        </w:rPr>
        <w:t>CFTR</w:t>
      </w:r>
      <w:r w:rsidR="00C44262" w:rsidRPr="00026AF4">
        <w:rPr>
          <w:rFonts w:asciiTheme="minorHAnsi" w:hAnsiTheme="minorHAnsi"/>
          <w:lang w:val="en-US"/>
        </w:rPr>
        <w:t xml:space="preserve"> or </w:t>
      </w:r>
      <w:r w:rsidR="00C44262" w:rsidRPr="00026AF4">
        <w:rPr>
          <w:rFonts w:asciiTheme="minorHAnsi" w:hAnsiTheme="minorHAnsi"/>
          <w:i/>
          <w:lang w:val="en-US"/>
        </w:rPr>
        <w:t>CTRC</w:t>
      </w:r>
      <w:r w:rsidR="00C44262" w:rsidRPr="00026AF4">
        <w:rPr>
          <w:rFonts w:asciiTheme="minorHAnsi" w:hAnsiTheme="minorHAnsi"/>
          <w:lang w:val="en-US"/>
        </w:rPr>
        <w:t xml:space="preserve">, which are well recognized causative </w:t>
      </w:r>
      <w:r w:rsidR="00711009" w:rsidRPr="00026AF4">
        <w:rPr>
          <w:rFonts w:asciiTheme="minorHAnsi" w:hAnsiTheme="minorHAnsi"/>
          <w:lang w:val="en-US"/>
        </w:rPr>
        <w:t xml:space="preserve">or facilitating </w:t>
      </w:r>
      <w:r w:rsidR="00C44262" w:rsidRPr="00026AF4">
        <w:rPr>
          <w:rFonts w:asciiTheme="minorHAnsi" w:hAnsiTheme="minorHAnsi"/>
          <w:lang w:val="en-US"/>
        </w:rPr>
        <w:t xml:space="preserve">mutations </w:t>
      </w:r>
      <w:r w:rsidR="00C44262" w:rsidRPr="00026AF4">
        <w:rPr>
          <w:rFonts w:asciiTheme="minorHAnsi" w:hAnsiTheme="minorHAnsi"/>
          <w:lang w:val="en-US"/>
        </w:rPr>
        <w:lastRenderedPageBreak/>
        <w:t xml:space="preserve">for the development of </w:t>
      </w:r>
      <w:r w:rsidR="00711009" w:rsidRPr="00026AF4">
        <w:rPr>
          <w:rFonts w:asciiTheme="minorHAnsi" w:hAnsiTheme="minorHAnsi"/>
          <w:lang w:val="en-US"/>
        </w:rPr>
        <w:t>CP</w:t>
      </w:r>
      <w:r w:rsidR="004245CC" w:rsidRPr="00026AF4">
        <w:rPr>
          <w:rFonts w:asciiTheme="minorHAnsi" w:hAnsiTheme="minorHAnsi"/>
          <w:vertAlign w:val="superscript"/>
          <w:lang w:val="en-US"/>
        </w:rPr>
        <w:t>21</w:t>
      </w:r>
      <w:proofErr w:type="gramStart"/>
      <w:r w:rsidR="004245CC" w:rsidRPr="00026AF4">
        <w:rPr>
          <w:rFonts w:asciiTheme="minorHAnsi" w:hAnsiTheme="minorHAnsi"/>
          <w:vertAlign w:val="superscript"/>
          <w:lang w:val="en-US"/>
        </w:rPr>
        <w:t>,22</w:t>
      </w:r>
      <w:proofErr w:type="gramEnd"/>
      <w:r w:rsidR="00C44262" w:rsidRPr="00026AF4">
        <w:rPr>
          <w:rFonts w:asciiTheme="minorHAnsi" w:hAnsiTheme="minorHAnsi"/>
          <w:lang w:val="en-US"/>
        </w:rPr>
        <w:t xml:space="preserve">. These rates are much higher than in the general population (4% for </w:t>
      </w:r>
      <w:r w:rsidR="00C44262" w:rsidRPr="00026AF4">
        <w:rPr>
          <w:rFonts w:asciiTheme="minorHAnsi" w:hAnsiTheme="minorHAnsi"/>
          <w:i/>
          <w:lang w:val="en-US"/>
        </w:rPr>
        <w:t>CFTR</w:t>
      </w:r>
      <w:r w:rsidR="00BE5C45" w:rsidRPr="00026AF4">
        <w:rPr>
          <w:rFonts w:asciiTheme="minorHAnsi" w:hAnsiTheme="minorHAnsi"/>
          <w:lang w:val="en-US"/>
        </w:rPr>
        <w:t>)</w:t>
      </w:r>
      <w:r w:rsidR="00C44262" w:rsidRPr="00026AF4">
        <w:rPr>
          <w:rFonts w:asciiTheme="minorHAnsi" w:hAnsiTheme="minorHAnsi"/>
          <w:lang w:val="en-US"/>
        </w:rPr>
        <w:t xml:space="preserve">. This advocates that mutations in the </w:t>
      </w:r>
      <w:r w:rsidR="003F10FC" w:rsidRPr="00026AF4">
        <w:rPr>
          <w:rFonts w:asciiTheme="minorHAnsi" w:hAnsiTheme="minorHAnsi"/>
          <w:i/>
          <w:lang w:val="en-US"/>
        </w:rPr>
        <w:t>SPINK1</w:t>
      </w:r>
      <w:r w:rsidR="003F10FC" w:rsidRPr="00026AF4">
        <w:rPr>
          <w:rFonts w:asciiTheme="minorHAnsi" w:hAnsiTheme="minorHAnsi"/>
          <w:lang w:val="en-US"/>
        </w:rPr>
        <w:t xml:space="preserve"> </w:t>
      </w:r>
      <w:r w:rsidR="00C44262" w:rsidRPr="00026AF4">
        <w:rPr>
          <w:rFonts w:asciiTheme="minorHAnsi" w:hAnsiTheme="minorHAnsi"/>
          <w:lang w:val="en-US"/>
        </w:rPr>
        <w:t xml:space="preserve">gene might facilitate – rather than cause – </w:t>
      </w:r>
      <w:r w:rsidR="00584E0D" w:rsidRPr="00026AF4">
        <w:rPr>
          <w:rFonts w:asciiTheme="minorHAnsi" w:hAnsiTheme="minorHAnsi"/>
          <w:lang w:val="en-US"/>
        </w:rPr>
        <w:t>pancreatic disease</w:t>
      </w:r>
      <w:r w:rsidR="00C44262" w:rsidRPr="00026AF4">
        <w:rPr>
          <w:rFonts w:asciiTheme="minorHAnsi" w:hAnsiTheme="minorHAnsi"/>
          <w:lang w:val="en-US"/>
        </w:rPr>
        <w:t>,</w:t>
      </w:r>
      <w:r w:rsidR="00584E0D" w:rsidRPr="00026AF4">
        <w:rPr>
          <w:rFonts w:asciiTheme="minorHAnsi" w:hAnsiTheme="minorHAnsi"/>
          <w:lang w:val="en-US"/>
        </w:rPr>
        <w:t xml:space="preserve"> </w:t>
      </w:r>
      <w:r w:rsidR="00C44262" w:rsidRPr="00026AF4">
        <w:rPr>
          <w:rFonts w:asciiTheme="minorHAnsi" w:hAnsiTheme="minorHAnsi"/>
          <w:lang w:val="en-US"/>
        </w:rPr>
        <w:t>when associated with</w:t>
      </w:r>
      <w:r w:rsidR="003F10FC" w:rsidRPr="00026AF4">
        <w:rPr>
          <w:rFonts w:asciiTheme="minorHAnsi" w:hAnsiTheme="minorHAnsi"/>
          <w:lang w:val="en-US"/>
        </w:rPr>
        <w:t xml:space="preserve"> other cofactors, some of them being still unidentified.</w:t>
      </w:r>
      <w:r w:rsidR="00584E0D" w:rsidRPr="00026AF4">
        <w:rPr>
          <w:rFonts w:asciiTheme="minorHAnsi" w:hAnsiTheme="minorHAnsi"/>
          <w:lang w:val="en-US"/>
        </w:rPr>
        <w:t xml:space="preserve"> </w:t>
      </w:r>
      <w:r w:rsidR="00C44262" w:rsidRPr="00026AF4">
        <w:rPr>
          <w:rFonts w:asciiTheme="minorHAnsi" w:hAnsiTheme="minorHAnsi"/>
          <w:lang w:val="en-US"/>
        </w:rPr>
        <w:t>Similarly</w:t>
      </w:r>
      <w:r w:rsidR="000D672A" w:rsidRPr="00026AF4">
        <w:rPr>
          <w:rFonts w:asciiTheme="minorHAnsi" w:hAnsiTheme="minorHAnsi"/>
          <w:lang w:val="en-US"/>
        </w:rPr>
        <w:t xml:space="preserve">, </w:t>
      </w:r>
      <w:r w:rsidR="009E68F0" w:rsidRPr="00026AF4">
        <w:rPr>
          <w:rFonts w:asciiTheme="minorHAnsi" w:hAnsiTheme="minorHAnsi"/>
          <w:lang w:val="en-US"/>
        </w:rPr>
        <w:t>S</w:t>
      </w:r>
      <w:r w:rsidR="00584E0D" w:rsidRPr="00026AF4">
        <w:rPr>
          <w:rFonts w:asciiTheme="minorHAnsi" w:hAnsiTheme="minorHAnsi"/>
          <w:lang w:val="en-US"/>
        </w:rPr>
        <w:t xml:space="preserve">ofia </w:t>
      </w:r>
      <w:r w:rsidR="009E68F0" w:rsidRPr="00026AF4">
        <w:rPr>
          <w:rFonts w:asciiTheme="minorHAnsi" w:hAnsiTheme="minorHAnsi"/>
          <w:lang w:val="en-US"/>
        </w:rPr>
        <w:t>et al</w:t>
      </w:r>
      <w:r w:rsidR="00C44262" w:rsidRPr="00026AF4">
        <w:rPr>
          <w:rFonts w:asciiTheme="minorHAnsi" w:hAnsiTheme="minorHAnsi"/>
          <w:lang w:val="en-US"/>
        </w:rPr>
        <w:t>.</w:t>
      </w:r>
      <w:r w:rsidR="000955DB" w:rsidRPr="00026AF4">
        <w:rPr>
          <w:rFonts w:asciiTheme="minorHAnsi" w:hAnsiTheme="minorHAnsi"/>
          <w:lang w:val="en-US"/>
        </w:rPr>
        <w:fldChar w:fldCharType="begin"/>
      </w:r>
      <w:r w:rsidR="00CE710A" w:rsidRPr="00026AF4">
        <w:rPr>
          <w:rFonts w:asciiTheme="minorHAnsi" w:hAnsiTheme="minorHAnsi"/>
          <w:lang w:val="en-US"/>
        </w:rPr>
        <w:instrText xml:space="preserve"> ADDIN ZOTERO_ITEM CSL_CITATION {"citationID":"xEtStCtB","properties":{"formattedCitation":"\\super 10\\nosupersub{}","plainCitation":"10","noteIndex":0},"citationItems":[{"id":458,"uris":["http://zotero.org/users/1090946/items/MCKEVBE6"],"uri":["http://zotero.org/users/1090946/items/MCKEVBE6"],"itemData":{"id":458,"type":"article-journal","title":"Trans-heterozygosity for mutations enhances the risk of recurrent/chronic pancreatitis in patients with Cystic Fibrosis","container-title":"Molecular Medicine (Cambridge, Mass.)","page":"38","volume":"24","issue":"1","source":"PubMed","abstract":"BACKGROUND: Recurrent (RP) and chronic pancreatitis (CP) may complicate Cystic Fibrosis (CF). It is still unknown if mutations in genes involved in the intrapancreatic activation of trypsin (IPAT) or in the pancreatic secretion pathway (PSP) may enhance the risk for RP/CP in patients with CF.\nMETHODS: We enrolled: 48 patients affected by CF complicated by RP/CP and, as controls 35 patients with CF without pancreatitis and 80 unrelated healthy subjects. We tested a panel of 8 genes involved in the IPAT, i.e. PRSS1, PRSS2, SPINK1, CTRC, CASR, CFTR, CTSB and KRT8 and 23 additional genes implicated in the PSP.\nRESULTS: We found 14/48 patients (29.2%) with mutations in genes involved in IPAT in the group of CF patients with RP/CP, while mutations in such genes were found in 2/35 (5.7%) patients with CF without pancreatitis and in 3/80 (3.8%) healthy subjects (p &lt; 0.001). Thus, we found mutations in 12 genes of the PSP in 11/48 (22.9%) patients with CF and RP/CP. Overall, 19/48 (39.6%) patients with CF and RP/CP showed one or more mutations in the genes involved in the IPAT and in the PSP while such figure was 4/35 (11.4%) for patients with CF without pancreatitis and 11/80 (13.7%) for healthy controls (p &lt; 0.001).\nCONCLUSIONS: The trans-heterozygous association between CFTR mutations in genes involved in the pathways of pancreatic enzyme activation and the pancreatic secretion may be risk factors for the development of recurrent or chronic pancreatitis in patients with CF.","DOI":"10.1186/s10020-018-0041-6","ISSN":"1528-3658","note":"PMID: 30134826\nPMCID: PMC6062922","journalAbbreviation":"Mol. Med.","language":"eng","author":[{"family":"Sofia","given":"Valentina Maria"},{"family":"Surace","given":"Cecilia"},{"family":"Terlizzi","given":"Vito"},{"family":"Da Sacco","given":"Letizia"},{"family":"Alghisi","given":"Federico"},{"family":"Angiolillo","given":"Antonella"},{"family":"Braggion","given":"Cesare"},{"family":"Cirilli","given":"Natalia"},{"family":"Colombo","given":"Carla"},{"family":"Di Lullo","given":"Antonella"},{"family":"Padoan","given":"Rita"},{"family":"Quattrucci","given":"Serena"},{"family":"Raia","given":"Valeria"},{"family":"Tuccio","given":"Giuseppe"},{"family":"Zarrilli","given":"Federica"},{"family":"Tomaiuolo","given":"Anna Cristina"},{"family":"Novelli","given":"Antonio"},{"family":"Lucidi","given":"Vincenzina"},{"family":"Lucarelli","given":"Marco"},{"family":"Castaldo","given":"Giuseppe"},{"family":"Angioni","given":"Adriano"}],"issued":{"date-parts":[["2018",7,27]]}}}],"schema":"https://github.com/citation-style-language/schema/raw/master/csl-citation.json"} </w:instrText>
      </w:r>
      <w:r w:rsidR="000955DB" w:rsidRPr="00026AF4">
        <w:rPr>
          <w:rFonts w:asciiTheme="minorHAnsi" w:hAnsiTheme="minorHAnsi"/>
          <w:lang w:val="en-US"/>
        </w:rPr>
        <w:fldChar w:fldCharType="separate"/>
      </w:r>
      <w:r w:rsidR="00CE710A" w:rsidRPr="00026AF4">
        <w:rPr>
          <w:rFonts w:hAnsiTheme="minorHAnsi"/>
          <w:vertAlign w:val="superscript"/>
          <w:lang w:val="en-US"/>
        </w:rPr>
        <w:t>10</w:t>
      </w:r>
      <w:r w:rsidR="000955DB" w:rsidRPr="00026AF4">
        <w:rPr>
          <w:rFonts w:asciiTheme="minorHAnsi" w:hAnsiTheme="minorHAnsi"/>
          <w:lang w:val="en-US"/>
        </w:rPr>
        <w:fldChar w:fldCharType="end"/>
      </w:r>
      <w:r w:rsidR="00C44262" w:rsidRPr="00026AF4">
        <w:rPr>
          <w:rFonts w:asciiTheme="minorHAnsi" w:hAnsiTheme="minorHAnsi"/>
          <w:lang w:val="en-US"/>
        </w:rPr>
        <w:t xml:space="preserve"> recently reported </w:t>
      </w:r>
      <w:r w:rsidR="007025E8" w:rsidRPr="00026AF4">
        <w:rPr>
          <w:rFonts w:asciiTheme="minorHAnsi" w:hAnsiTheme="minorHAnsi"/>
          <w:lang w:val="en-US"/>
        </w:rPr>
        <w:t xml:space="preserve">compound </w:t>
      </w:r>
      <w:proofErr w:type="spellStart"/>
      <w:r w:rsidR="009E68F0" w:rsidRPr="00026AF4">
        <w:rPr>
          <w:rFonts w:asciiTheme="minorHAnsi" w:hAnsiTheme="minorHAnsi"/>
          <w:lang w:val="en-US"/>
        </w:rPr>
        <w:t>heterozygosity</w:t>
      </w:r>
      <w:proofErr w:type="spellEnd"/>
      <w:r w:rsidR="00C44262" w:rsidRPr="00026AF4">
        <w:rPr>
          <w:rFonts w:asciiTheme="minorHAnsi" w:hAnsiTheme="minorHAnsi"/>
          <w:lang w:val="en-US"/>
        </w:rPr>
        <w:t xml:space="preserve">, involving various genes including </w:t>
      </w:r>
      <w:r w:rsidR="009E68F0" w:rsidRPr="00026AF4">
        <w:rPr>
          <w:rFonts w:asciiTheme="minorHAnsi" w:hAnsiTheme="minorHAnsi"/>
          <w:i/>
          <w:lang w:val="en-US"/>
        </w:rPr>
        <w:t>SPINK1</w:t>
      </w:r>
      <w:r w:rsidR="007025E8" w:rsidRPr="00026AF4">
        <w:rPr>
          <w:rFonts w:asciiTheme="minorHAnsi" w:hAnsiTheme="minorHAnsi"/>
          <w:lang w:val="en-US"/>
        </w:rPr>
        <w:t>, enhanced</w:t>
      </w:r>
      <w:r w:rsidR="009E68F0" w:rsidRPr="00026AF4">
        <w:rPr>
          <w:rFonts w:asciiTheme="minorHAnsi" w:hAnsiTheme="minorHAnsi"/>
          <w:lang w:val="en-US"/>
        </w:rPr>
        <w:t xml:space="preserve"> the risk for </w:t>
      </w:r>
      <w:r w:rsidR="00C44262" w:rsidRPr="00026AF4">
        <w:rPr>
          <w:rFonts w:asciiTheme="minorHAnsi" w:hAnsiTheme="minorHAnsi"/>
          <w:lang w:val="en-US"/>
        </w:rPr>
        <w:t>CP</w:t>
      </w:r>
      <w:r w:rsidR="009E68F0" w:rsidRPr="00026AF4">
        <w:rPr>
          <w:rFonts w:asciiTheme="minorHAnsi" w:hAnsiTheme="minorHAnsi"/>
          <w:lang w:val="en-US"/>
        </w:rPr>
        <w:t xml:space="preserve"> in patients with cystic fibrosis</w:t>
      </w:r>
      <w:r w:rsidR="00584E0D" w:rsidRPr="00026AF4">
        <w:rPr>
          <w:rFonts w:asciiTheme="minorHAnsi" w:hAnsiTheme="minorHAnsi"/>
          <w:lang w:val="en-US"/>
        </w:rPr>
        <w:t xml:space="preserve">. </w:t>
      </w:r>
    </w:p>
    <w:p w14:paraId="4C5FDF6D" w14:textId="77777777" w:rsidR="008E799B" w:rsidRPr="00026AF4" w:rsidRDefault="008E799B" w:rsidP="00712250">
      <w:pPr>
        <w:jc w:val="both"/>
        <w:rPr>
          <w:rFonts w:asciiTheme="minorHAnsi" w:hAnsiTheme="minorHAnsi"/>
          <w:lang w:val="en-US"/>
        </w:rPr>
      </w:pPr>
    </w:p>
    <w:p w14:paraId="150B3643" w14:textId="77777777" w:rsidR="001F19CD" w:rsidRPr="00026AF4" w:rsidRDefault="001F19CD" w:rsidP="00712250">
      <w:pPr>
        <w:jc w:val="both"/>
        <w:rPr>
          <w:rFonts w:asciiTheme="minorHAnsi" w:hAnsiTheme="minorHAnsi"/>
          <w:lang w:val="en-US"/>
        </w:rPr>
      </w:pPr>
      <w:r w:rsidRPr="00026AF4">
        <w:rPr>
          <w:rFonts w:asciiTheme="minorHAnsi" w:hAnsiTheme="minorHAnsi"/>
          <w:lang w:val="en-US"/>
        </w:rPr>
        <w:t xml:space="preserve">Surprisingly, tobacco consumption was not associated with an earlier onset of CP, </w:t>
      </w:r>
      <w:r w:rsidR="00711009" w:rsidRPr="00026AF4">
        <w:rPr>
          <w:rFonts w:asciiTheme="minorHAnsi" w:hAnsiTheme="minorHAnsi"/>
          <w:lang w:val="en-US"/>
        </w:rPr>
        <w:t xml:space="preserve">EPI </w:t>
      </w:r>
      <w:r w:rsidRPr="00026AF4">
        <w:rPr>
          <w:rFonts w:asciiTheme="minorHAnsi" w:hAnsiTheme="minorHAnsi"/>
          <w:lang w:val="en-US"/>
        </w:rPr>
        <w:t xml:space="preserve">or </w:t>
      </w:r>
      <w:r w:rsidR="00711009" w:rsidRPr="00026AF4">
        <w:rPr>
          <w:rFonts w:asciiTheme="minorHAnsi" w:hAnsiTheme="minorHAnsi"/>
          <w:lang w:val="en-US"/>
        </w:rPr>
        <w:t>DM</w:t>
      </w:r>
      <w:r w:rsidRPr="00026AF4">
        <w:rPr>
          <w:rFonts w:asciiTheme="minorHAnsi" w:hAnsiTheme="minorHAnsi"/>
          <w:lang w:val="en-US"/>
        </w:rPr>
        <w:t xml:space="preserve"> in the SRP group in comparison with the </w:t>
      </w:r>
      <w:r w:rsidR="005C73F2" w:rsidRPr="00026AF4">
        <w:rPr>
          <w:rFonts w:asciiTheme="minorHAnsi" w:hAnsiTheme="minorHAnsi"/>
          <w:lang w:val="en-US"/>
        </w:rPr>
        <w:t xml:space="preserve">control </w:t>
      </w:r>
      <w:r w:rsidRPr="00026AF4">
        <w:rPr>
          <w:rFonts w:asciiTheme="minorHAnsi" w:hAnsiTheme="minorHAnsi"/>
          <w:lang w:val="en-US"/>
        </w:rPr>
        <w:t xml:space="preserve">group. One explanation could be that there was quantitatively and qualitatively significantly less smokers in the SRP group than in the </w:t>
      </w:r>
      <w:r w:rsidR="005C73F2" w:rsidRPr="00026AF4">
        <w:rPr>
          <w:rFonts w:asciiTheme="minorHAnsi" w:hAnsiTheme="minorHAnsi"/>
          <w:lang w:val="en-US"/>
        </w:rPr>
        <w:t xml:space="preserve">control </w:t>
      </w:r>
      <w:r w:rsidRPr="00026AF4">
        <w:rPr>
          <w:rFonts w:asciiTheme="minorHAnsi" w:hAnsiTheme="minorHAnsi"/>
          <w:lang w:val="en-US"/>
        </w:rPr>
        <w:t>group. Moreover, the influence of tobacco exposure on the onset of the first symptoms could not be evaluated. Indeed, one could imagine that following SRP diagnosis, patients with medical follow</w:t>
      </w:r>
      <w:r w:rsidR="00711009" w:rsidRPr="00026AF4">
        <w:rPr>
          <w:rFonts w:asciiTheme="minorHAnsi" w:hAnsiTheme="minorHAnsi"/>
          <w:lang w:val="en-US"/>
        </w:rPr>
        <w:t>-</w:t>
      </w:r>
      <w:r w:rsidRPr="00026AF4">
        <w:rPr>
          <w:rFonts w:asciiTheme="minorHAnsi" w:hAnsiTheme="minorHAnsi"/>
          <w:lang w:val="en-US"/>
        </w:rPr>
        <w:t xml:space="preserve">up </w:t>
      </w:r>
      <w:r w:rsidR="002D648C" w:rsidRPr="00026AF4">
        <w:rPr>
          <w:rFonts w:asciiTheme="minorHAnsi" w:hAnsiTheme="minorHAnsi"/>
          <w:lang w:val="en-US"/>
        </w:rPr>
        <w:t>were most</w:t>
      </w:r>
      <w:r w:rsidRPr="00026AF4">
        <w:rPr>
          <w:rFonts w:asciiTheme="minorHAnsi" w:hAnsiTheme="minorHAnsi"/>
          <w:lang w:val="en-US"/>
        </w:rPr>
        <w:t xml:space="preserve"> likely</w:t>
      </w:r>
      <w:r w:rsidR="002D648C" w:rsidRPr="00026AF4">
        <w:rPr>
          <w:rFonts w:asciiTheme="minorHAnsi" w:hAnsiTheme="minorHAnsi"/>
          <w:lang w:val="en-US"/>
        </w:rPr>
        <w:t xml:space="preserve"> strongly advised</w:t>
      </w:r>
      <w:r w:rsidRPr="00026AF4">
        <w:rPr>
          <w:rFonts w:asciiTheme="minorHAnsi" w:hAnsiTheme="minorHAnsi"/>
          <w:lang w:val="en-US"/>
        </w:rPr>
        <w:t xml:space="preserve"> to quit smoking which finally ends up in a better natural history of the disease. Tobacco then falsely appears as a protective factor. </w:t>
      </w:r>
    </w:p>
    <w:p w14:paraId="6A2D5DC3" w14:textId="77777777" w:rsidR="000D672A" w:rsidRPr="00026AF4" w:rsidRDefault="000D672A" w:rsidP="00712250">
      <w:pPr>
        <w:jc w:val="both"/>
        <w:rPr>
          <w:rFonts w:asciiTheme="minorHAnsi" w:hAnsiTheme="minorHAnsi"/>
          <w:lang w:val="en-US"/>
        </w:rPr>
      </w:pPr>
    </w:p>
    <w:p w14:paraId="6972EF3C" w14:textId="77777777" w:rsidR="000D7ADB" w:rsidRPr="00026AF4" w:rsidRDefault="0032485C" w:rsidP="00712250">
      <w:pPr>
        <w:jc w:val="both"/>
        <w:rPr>
          <w:rFonts w:asciiTheme="minorHAnsi" w:hAnsiTheme="minorHAnsi"/>
          <w:lang w:val="en-US"/>
        </w:rPr>
      </w:pPr>
      <w:r w:rsidRPr="00026AF4">
        <w:rPr>
          <w:rFonts w:asciiTheme="minorHAnsi" w:hAnsiTheme="minorHAnsi"/>
          <w:lang w:val="en-US"/>
        </w:rPr>
        <w:t xml:space="preserve">Conversely to PRSS1 mutations, for which the risk of PDAC is now clearly </w:t>
      </w:r>
      <w:r w:rsidR="00390CC3" w:rsidRPr="00026AF4">
        <w:rPr>
          <w:rFonts w:asciiTheme="minorHAnsi" w:hAnsiTheme="minorHAnsi"/>
          <w:lang w:val="en-US"/>
        </w:rPr>
        <w:t>identified</w:t>
      </w:r>
      <w:r w:rsidR="004245CC" w:rsidRPr="00026AF4">
        <w:rPr>
          <w:rFonts w:asciiTheme="minorHAnsi" w:hAnsiTheme="minorHAnsi"/>
          <w:vertAlign w:val="superscript"/>
          <w:lang w:val="en-US"/>
        </w:rPr>
        <w:t>1</w:t>
      </w:r>
      <w:proofErr w:type="gramStart"/>
      <w:r w:rsidR="004245CC" w:rsidRPr="00026AF4">
        <w:rPr>
          <w:rFonts w:asciiTheme="minorHAnsi" w:hAnsiTheme="minorHAnsi"/>
          <w:vertAlign w:val="superscript"/>
          <w:lang w:val="en-US"/>
        </w:rPr>
        <w:t>,23</w:t>
      </w:r>
      <w:proofErr w:type="gramEnd"/>
      <w:r w:rsidRPr="00026AF4">
        <w:rPr>
          <w:rFonts w:asciiTheme="minorHAnsi" w:hAnsiTheme="minorHAnsi"/>
          <w:lang w:val="en-US"/>
        </w:rPr>
        <w:t xml:space="preserve">, the association between the presence of a </w:t>
      </w:r>
      <w:r w:rsidRPr="00026AF4">
        <w:rPr>
          <w:rFonts w:asciiTheme="minorHAnsi" w:hAnsiTheme="minorHAnsi"/>
          <w:i/>
          <w:lang w:val="en-US"/>
        </w:rPr>
        <w:t>SPINK1</w:t>
      </w:r>
      <w:r w:rsidRPr="00026AF4">
        <w:rPr>
          <w:rFonts w:asciiTheme="minorHAnsi" w:hAnsiTheme="minorHAnsi"/>
          <w:lang w:val="en-US"/>
        </w:rPr>
        <w:t xml:space="preserve"> mutation and the development of PDAC </w:t>
      </w:r>
      <w:r w:rsidR="000D7ADB" w:rsidRPr="00026AF4">
        <w:rPr>
          <w:rFonts w:asciiTheme="minorHAnsi" w:hAnsiTheme="minorHAnsi"/>
          <w:lang w:val="en-US"/>
        </w:rPr>
        <w:t>has been</w:t>
      </w:r>
      <w:r w:rsidRPr="00026AF4">
        <w:rPr>
          <w:rFonts w:asciiTheme="minorHAnsi" w:hAnsiTheme="minorHAnsi"/>
          <w:lang w:val="en-US"/>
        </w:rPr>
        <w:t xml:space="preserve"> controversial.</w:t>
      </w:r>
      <w:r w:rsidR="00390CC3" w:rsidRPr="00026AF4">
        <w:rPr>
          <w:rFonts w:asciiTheme="minorHAnsi" w:hAnsiTheme="minorHAnsi"/>
          <w:lang w:val="en-US"/>
        </w:rPr>
        <w:t xml:space="preserve"> </w:t>
      </w:r>
      <w:r w:rsidR="009137F7" w:rsidRPr="00026AF4">
        <w:rPr>
          <w:rFonts w:asciiTheme="minorHAnsi" w:hAnsiTheme="minorHAnsi"/>
          <w:lang w:val="en-US"/>
        </w:rPr>
        <w:t xml:space="preserve">Several studies reported that </w:t>
      </w:r>
      <w:r w:rsidR="009137F7" w:rsidRPr="00026AF4">
        <w:rPr>
          <w:rFonts w:asciiTheme="minorHAnsi" w:hAnsiTheme="minorHAnsi"/>
          <w:i/>
          <w:lang w:val="en-US"/>
        </w:rPr>
        <w:t>SPINK</w:t>
      </w:r>
      <w:r w:rsidR="009137F7" w:rsidRPr="00026AF4">
        <w:rPr>
          <w:rFonts w:asciiTheme="minorHAnsi" w:hAnsiTheme="minorHAnsi"/>
          <w:lang w:val="en-US"/>
        </w:rPr>
        <w:t xml:space="preserve"> 1 did not significantly increase the risk of PDAC</w:t>
      </w:r>
      <w:r w:rsidR="004245CC" w:rsidRPr="00026AF4">
        <w:rPr>
          <w:rFonts w:asciiTheme="minorHAnsi" w:hAnsiTheme="minorHAnsi"/>
          <w:vertAlign w:val="superscript"/>
          <w:lang w:val="en-US"/>
        </w:rPr>
        <w:t>24-26</w:t>
      </w:r>
      <w:r w:rsidR="009137F7" w:rsidRPr="00026AF4">
        <w:rPr>
          <w:rFonts w:asciiTheme="minorHAnsi" w:hAnsiTheme="minorHAnsi"/>
          <w:lang w:val="en-US"/>
        </w:rPr>
        <w:t xml:space="preserve">. Nevertheless, those studies did not have the sufficient statistical power </w:t>
      </w:r>
      <w:proofErr w:type="gramStart"/>
      <w:r w:rsidR="009137F7" w:rsidRPr="00026AF4">
        <w:rPr>
          <w:rFonts w:asciiTheme="minorHAnsi" w:hAnsiTheme="minorHAnsi"/>
          <w:lang w:val="en-US"/>
        </w:rPr>
        <w:t>nor</w:t>
      </w:r>
      <w:proofErr w:type="gramEnd"/>
      <w:r w:rsidR="009137F7" w:rsidRPr="00026AF4">
        <w:rPr>
          <w:rFonts w:asciiTheme="minorHAnsi" w:hAnsiTheme="minorHAnsi"/>
          <w:lang w:val="en-US"/>
        </w:rPr>
        <w:t xml:space="preserve"> follow-up to estimate life-long actuarial risk. In the present study, </w:t>
      </w:r>
      <w:r w:rsidR="000D7ADB" w:rsidRPr="00026AF4">
        <w:rPr>
          <w:rFonts w:asciiTheme="minorHAnsi" w:hAnsiTheme="minorHAnsi"/>
          <w:lang w:val="en-US"/>
        </w:rPr>
        <w:t>the risk of PDAC was</w:t>
      </w:r>
      <w:r w:rsidR="00BE5C45" w:rsidRPr="00026AF4">
        <w:rPr>
          <w:rFonts w:asciiTheme="minorHAnsi" w:hAnsiTheme="minorHAnsi"/>
          <w:lang w:val="en-US"/>
        </w:rPr>
        <w:t xml:space="preserve"> 12 times </w:t>
      </w:r>
      <w:r w:rsidR="000D7ADB" w:rsidRPr="00026AF4">
        <w:rPr>
          <w:rFonts w:asciiTheme="minorHAnsi" w:hAnsiTheme="minorHAnsi"/>
          <w:lang w:val="en-US"/>
        </w:rPr>
        <w:t xml:space="preserve">higher in the SRP patients than in the IP patients </w:t>
      </w:r>
      <w:r w:rsidR="00BE5C45" w:rsidRPr="00026AF4">
        <w:rPr>
          <w:rFonts w:asciiTheme="minorHAnsi" w:hAnsiTheme="minorHAnsi"/>
          <w:lang w:val="en-US"/>
        </w:rPr>
        <w:t xml:space="preserve">and the actuarial risk of PDAC was also higher in the SRP patients than in the IP patients </w:t>
      </w:r>
      <w:r w:rsidR="000D7ADB" w:rsidRPr="00026AF4">
        <w:rPr>
          <w:rFonts w:asciiTheme="minorHAnsi" w:hAnsiTheme="minorHAnsi"/>
          <w:lang w:val="en-US"/>
        </w:rPr>
        <w:t xml:space="preserve">(p&lt;0.001, </w:t>
      </w:r>
      <w:r w:rsidR="000D7ADB" w:rsidRPr="00026AF4">
        <w:rPr>
          <w:rFonts w:asciiTheme="minorHAnsi" w:hAnsiTheme="minorHAnsi"/>
          <w:b/>
          <w:lang w:val="en-US"/>
        </w:rPr>
        <w:t>figure 5b</w:t>
      </w:r>
      <w:r w:rsidR="009137F7" w:rsidRPr="00026AF4">
        <w:rPr>
          <w:rFonts w:asciiTheme="minorHAnsi" w:hAnsiTheme="minorHAnsi"/>
          <w:lang w:val="en-US"/>
        </w:rPr>
        <w:t>)</w:t>
      </w:r>
      <w:r w:rsidR="004C38DE" w:rsidRPr="00026AF4">
        <w:rPr>
          <w:rFonts w:asciiTheme="minorHAnsi" w:hAnsiTheme="minorHAnsi"/>
          <w:lang w:val="en-US"/>
        </w:rPr>
        <w:t>. A</w:t>
      </w:r>
      <w:r w:rsidR="009137F7" w:rsidRPr="00026AF4">
        <w:rPr>
          <w:rFonts w:asciiTheme="minorHAnsi" w:hAnsiTheme="minorHAnsi"/>
          <w:lang w:val="en-US"/>
        </w:rPr>
        <w:t>lthough this estimation</w:t>
      </w:r>
      <w:r w:rsidR="000D7ADB" w:rsidRPr="00026AF4">
        <w:rPr>
          <w:rFonts w:asciiTheme="minorHAnsi" w:hAnsiTheme="minorHAnsi"/>
          <w:lang w:val="en-US"/>
        </w:rPr>
        <w:t xml:space="preserve"> relied on a low number of PDAC</w:t>
      </w:r>
      <w:r w:rsidR="004C38DE" w:rsidRPr="00026AF4">
        <w:rPr>
          <w:rFonts w:asciiTheme="minorHAnsi" w:hAnsiTheme="minorHAnsi"/>
          <w:lang w:val="en-US"/>
        </w:rPr>
        <w:t xml:space="preserve">, </w:t>
      </w:r>
      <w:r w:rsidR="004C38DE" w:rsidRPr="00026AF4">
        <w:rPr>
          <w:lang w:val="en-US"/>
        </w:rPr>
        <w:t>it may well be that p.N34S is associated with cancer</w:t>
      </w:r>
      <w:r w:rsidR="000D7ADB" w:rsidRPr="00026AF4">
        <w:rPr>
          <w:rFonts w:asciiTheme="minorHAnsi" w:hAnsiTheme="minorHAnsi"/>
          <w:lang w:val="en-US"/>
        </w:rPr>
        <w:t>.</w:t>
      </w:r>
    </w:p>
    <w:p w14:paraId="7950B220" w14:textId="77777777" w:rsidR="005B47CB" w:rsidRPr="00026AF4" w:rsidRDefault="005B47CB" w:rsidP="00712250">
      <w:pPr>
        <w:jc w:val="both"/>
        <w:rPr>
          <w:rFonts w:asciiTheme="minorHAnsi" w:hAnsiTheme="minorHAnsi"/>
          <w:lang w:val="en-US"/>
        </w:rPr>
      </w:pPr>
    </w:p>
    <w:p w14:paraId="27CE73F5" w14:textId="77777777" w:rsidR="008E799B" w:rsidRPr="00026AF4" w:rsidRDefault="0049191F" w:rsidP="00712250">
      <w:pPr>
        <w:jc w:val="both"/>
        <w:rPr>
          <w:rFonts w:asciiTheme="minorHAnsi" w:hAnsiTheme="minorHAnsi"/>
          <w:lang w:val="en-US"/>
        </w:rPr>
      </w:pPr>
      <w:r w:rsidRPr="00026AF4">
        <w:rPr>
          <w:rFonts w:asciiTheme="minorHAnsi" w:hAnsiTheme="minorHAnsi"/>
          <w:lang w:val="en-US"/>
        </w:rPr>
        <w:t xml:space="preserve"> </w:t>
      </w:r>
      <w:r w:rsidR="00B90327" w:rsidRPr="00026AF4">
        <w:rPr>
          <w:rFonts w:asciiTheme="minorHAnsi" w:hAnsiTheme="minorHAnsi"/>
          <w:lang w:val="en-US"/>
        </w:rPr>
        <w:t xml:space="preserve">This study has several limitations, such as its retrospective design. Moreover as the role of </w:t>
      </w:r>
      <w:r w:rsidR="00B90327" w:rsidRPr="00026AF4">
        <w:rPr>
          <w:rFonts w:asciiTheme="minorHAnsi" w:hAnsiTheme="minorHAnsi"/>
          <w:i/>
          <w:lang w:val="en-US"/>
        </w:rPr>
        <w:t xml:space="preserve">SPINK1 </w:t>
      </w:r>
      <w:r w:rsidR="00B90327" w:rsidRPr="00026AF4">
        <w:rPr>
          <w:rFonts w:asciiTheme="minorHAnsi" w:hAnsiTheme="minorHAnsi"/>
          <w:lang w:val="en-US"/>
        </w:rPr>
        <w:t>mutations in pancreatitis is controversial (facilitating gene more than causative) it would have been interesting to test other susceptibility genes (</w:t>
      </w:r>
      <w:proofErr w:type="spellStart"/>
      <w:r w:rsidRPr="00026AF4">
        <w:rPr>
          <w:rFonts w:asciiTheme="minorHAnsi" w:hAnsiTheme="minorHAnsi"/>
          <w:lang w:val="en-US"/>
        </w:rPr>
        <w:t>i</w:t>
      </w:r>
      <w:r w:rsidR="00B90327" w:rsidRPr="00026AF4">
        <w:rPr>
          <w:rFonts w:asciiTheme="minorHAnsi" w:hAnsiTheme="minorHAnsi"/>
          <w:lang w:val="en-US"/>
        </w:rPr>
        <w:t>e</w:t>
      </w:r>
      <w:proofErr w:type="spellEnd"/>
      <w:r w:rsidR="00B90327" w:rsidRPr="00026AF4">
        <w:rPr>
          <w:rFonts w:asciiTheme="minorHAnsi" w:hAnsiTheme="minorHAnsi"/>
          <w:lang w:val="en-US"/>
        </w:rPr>
        <w:t>: CEL-HYB, CTRB</w:t>
      </w:r>
      <w:r w:rsidR="00EB3818" w:rsidRPr="00026AF4">
        <w:rPr>
          <w:rFonts w:asciiTheme="minorHAnsi" w:hAnsiTheme="minorHAnsi"/>
          <w:vertAlign w:val="superscript"/>
          <w:lang w:val="en-US"/>
        </w:rPr>
        <w:t>27</w:t>
      </w:r>
      <w:proofErr w:type="gramStart"/>
      <w:r w:rsidR="00EB3818" w:rsidRPr="00026AF4">
        <w:rPr>
          <w:rFonts w:asciiTheme="minorHAnsi" w:hAnsiTheme="minorHAnsi"/>
          <w:vertAlign w:val="superscript"/>
          <w:lang w:val="en-US"/>
        </w:rPr>
        <w:t>,28</w:t>
      </w:r>
      <w:proofErr w:type="gramEnd"/>
      <w:r w:rsidR="00B90327" w:rsidRPr="00026AF4">
        <w:rPr>
          <w:rFonts w:asciiTheme="minorHAnsi" w:hAnsiTheme="minorHAnsi"/>
          <w:lang w:val="en-US"/>
        </w:rPr>
        <w:t>)</w:t>
      </w:r>
      <w:r w:rsidRPr="00026AF4">
        <w:rPr>
          <w:rFonts w:asciiTheme="minorHAnsi" w:hAnsiTheme="minorHAnsi"/>
          <w:lang w:val="en-US"/>
        </w:rPr>
        <w:t xml:space="preserve"> which was impossible in this retrospective study. </w:t>
      </w:r>
      <w:r w:rsidR="00B90327" w:rsidRPr="00026AF4">
        <w:rPr>
          <w:rFonts w:asciiTheme="minorHAnsi" w:hAnsiTheme="minorHAnsi"/>
          <w:lang w:val="en-US"/>
        </w:rPr>
        <w:t xml:space="preserve"> </w:t>
      </w:r>
    </w:p>
    <w:p w14:paraId="36433B12" w14:textId="77777777" w:rsidR="00AA628C" w:rsidRPr="00026AF4" w:rsidRDefault="00AA628C" w:rsidP="00712250">
      <w:pPr>
        <w:jc w:val="both"/>
        <w:rPr>
          <w:rFonts w:asciiTheme="minorHAnsi" w:hAnsiTheme="minorHAnsi"/>
          <w:lang w:val="en-US"/>
        </w:rPr>
      </w:pPr>
      <w:r w:rsidRPr="00026AF4">
        <w:rPr>
          <w:rFonts w:asciiTheme="minorHAnsi" w:hAnsiTheme="minorHAnsi"/>
          <w:lang w:val="en-US"/>
        </w:rPr>
        <w:t xml:space="preserve">We were unable to explain why the number of deaths was higher in the control group than in the SRP group because causes of deaths in the first group were not known. </w:t>
      </w:r>
    </w:p>
    <w:p w14:paraId="4C3DFCCD" w14:textId="77777777" w:rsidR="0049191F" w:rsidRPr="00026AF4" w:rsidRDefault="0049191F" w:rsidP="00712250">
      <w:pPr>
        <w:jc w:val="both"/>
        <w:rPr>
          <w:rFonts w:asciiTheme="minorHAnsi" w:hAnsiTheme="minorHAnsi"/>
          <w:lang w:val="en-US"/>
        </w:rPr>
      </w:pPr>
    </w:p>
    <w:p w14:paraId="01182775" w14:textId="77777777" w:rsidR="004B42CB" w:rsidRPr="00026AF4" w:rsidRDefault="00715A2E" w:rsidP="00712250">
      <w:pPr>
        <w:jc w:val="both"/>
        <w:rPr>
          <w:rFonts w:asciiTheme="minorHAnsi" w:hAnsiTheme="minorHAnsi"/>
          <w:lang w:val="en-US"/>
        </w:rPr>
      </w:pPr>
      <w:r w:rsidRPr="00026AF4">
        <w:rPr>
          <w:rFonts w:asciiTheme="minorHAnsi" w:hAnsiTheme="minorHAnsi"/>
          <w:i/>
          <w:lang w:val="en-US"/>
        </w:rPr>
        <w:t>SPINK1</w:t>
      </w:r>
      <w:r w:rsidRPr="00026AF4">
        <w:rPr>
          <w:rFonts w:asciiTheme="minorHAnsi" w:hAnsiTheme="minorHAnsi"/>
          <w:lang w:val="en-US"/>
        </w:rPr>
        <w:t xml:space="preserve"> mutations are considered as strong candidates for contributing to the pathogenesis of tropical calcific pancreatitis</w:t>
      </w:r>
      <w:r w:rsidR="00AE55DF" w:rsidRPr="00026AF4">
        <w:rPr>
          <w:rFonts w:asciiTheme="minorHAnsi" w:hAnsiTheme="minorHAnsi"/>
          <w:vertAlign w:val="superscript"/>
          <w:lang w:val="en-US"/>
        </w:rPr>
        <w:t>29</w:t>
      </w:r>
      <w:r w:rsidRPr="00026AF4">
        <w:rPr>
          <w:rFonts w:asciiTheme="minorHAnsi" w:hAnsiTheme="minorHAnsi"/>
          <w:lang w:val="en-US"/>
        </w:rPr>
        <w:t xml:space="preserve">, an entity for which the risk of </w:t>
      </w:r>
      <w:r w:rsidR="00617FA1" w:rsidRPr="00026AF4">
        <w:rPr>
          <w:rFonts w:asciiTheme="minorHAnsi" w:hAnsiTheme="minorHAnsi"/>
          <w:lang w:val="en-US"/>
        </w:rPr>
        <w:t>PDAC</w:t>
      </w:r>
      <w:r w:rsidRPr="00026AF4">
        <w:rPr>
          <w:rFonts w:asciiTheme="minorHAnsi" w:hAnsiTheme="minorHAnsi"/>
          <w:lang w:val="en-US"/>
        </w:rPr>
        <w:t xml:space="preserve"> is considered elevated </w:t>
      </w:r>
      <w:r w:rsidR="00AE55DF" w:rsidRPr="00026AF4">
        <w:rPr>
          <w:rFonts w:asciiTheme="minorHAnsi" w:hAnsiTheme="minorHAnsi"/>
          <w:vertAlign w:val="superscript"/>
          <w:lang w:val="en-US"/>
        </w:rPr>
        <w:t>30,31</w:t>
      </w:r>
      <w:r w:rsidRPr="00026AF4">
        <w:rPr>
          <w:rFonts w:asciiTheme="minorHAnsi" w:hAnsiTheme="minorHAnsi"/>
          <w:lang w:val="en-US"/>
        </w:rPr>
        <w:t xml:space="preserve">. </w:t>
      </w:r>
      <w:r w:rsidR="009137F7" w:rsidRPr="00026AF4">
        <w:rPr>
          <w:rFonts w:asciiTheme="minorHAnsi" w:hAnsiTheme="minorHAnsi"/>
          <w:lang w:val="en-US"/>
        </w:rPr>
        <w:t>In our study t</w:t>
      </w:r>
      <w:r w:rsidRPr="00026AF4">
        <w:rPr>
          <w:rFonts w:asciiTheme="minorHAnsi" w:hAnsiTheme="minorHAnsi"/>
          <w:lang w:val="en-US"/>
        </w:rPr>
        <w:t xml:space="preserve">he identification of risk factors for the development of PDAC was </w:t>
      </w:r>
      <w:r w:rsidR="009137F7" w:rsidRPr="00026AF4">
        <w:rPr>
          <w:rFonts w:asciiTheme="minorHAnsi" w:hAnsiTheme="minorHAnsi"/>
          <w:lang w:val="en-US"/>
        </w:rPr>
        <w:t xml:space="preserve">not </w:t>
      </w:r>
      <w:r w:rsidR="008479C6" w:rsidRPr="00026AF4">
        <w:rPr>
          <w:rFonts w:asciiTheme="minorHAnsi" w:hAnsiTheme="minorHAnsi"/>
          <w:lang w:val="en-US"/>
        </w:rPr>
        <w:t>possible</w:t>
      </w:r>
      <w:r w:rsidR="00D770C3" w:rsidRPr="00026AF4">
        <w:rPr>
          <w:rFonts w:asciiTheme="minorHAnsi" w:hAnsiTheme="minorHAnsi"/>
          <w:lang w:val="en-US"/>
        </w:rPr>
        <w:t xml:space="preserve"> because </w:t>
      </w:r>
      <w:r w:rsidR="008479C6" w:rsidRPr="00026AF4">
        <w:rPr>
          <w:rFonts w:asciiTheme="minorHAnsi" w:hAnsiTheme="minorHAnsi"/>
          <w:lang w:val="en-US"/>
        </w:rPr>
        <w:t xml:space="preserve">of a </w:t>
      </w:r>
      <w:r w:rsidR="009137F7" w:rsidRPr="00026AF4">
        <w:rPr>
          <w:rFonts w:asciiTheme="minorHAnsi" w:hAnsiTheme="minorHAnsi"/>
          <w:lang w:val="en-US"/>
        </w:rPr>
        <w:t>limited number</w:t>
      </w:r>
      <w:r w:rsidR="008479C6" w:rsidRPr="00026AF4">
        <w:rPr>
          <w:rFonts w:asciiTheme="minorHAnsi" w:hAnsiTheme="minorHAnsi"/>
          <w:lang w:val="en-US"/>
        </w:rPr>
        <w:t xml:space="preserve"> of patients with PDAC</w:t>
      </w:r>
      <w:r w:rsidR="00D770C3" w:rsidRPr="00026AF4">
        <w:rPr>
          <w:rFonts w:asciiTheme="minorHAnsi" w:hAnsiTheme="minorHAnsi"/>
          <w:lang w:val="en-US"/>
        </w:rPr>
        <w:t xml:space="preserve">. However, we observed that all the patients who developed PDAC had morphological signs of </w:t>
      </w:r>
      <w:r w:rsidR="009E707D" w:rsidRPr="00026AF4">
        <w:rPr>
          <w:rFonts w:asciiTheme="minorHAnsi" w:hAnsiTheme="minorHAnsi"/>
          <w:lang w:val="en-US"/>
        </w:rPr>
        <w:t>CP</w:t>
      </w:r>
      <w:r w:rsidR="00D770C3" w:rsidRPr="00026AF4">
        <w:rPr>
          <w:rFonts w:asciiTheme="minorHAnsi" w:hAnsiTheme="minorHAnsi"/>
          <w:lang w:val="en-US"/>
        </w:rPr>
        <w:t xml:space="preserve"> </w:t>
      </w:r>
      <w:r w:rsidR="008F6D6A" w:rsidRPr="00026AF4">
        <w:rPr>
          <w:rFonts w:asciiTheme="minorHAnsi" w:hAnsiTheme="minorHAnsi"/>
          <w:lang w:val="en-US"/>
        </w:rPr>
        <w:t xml:space="preserve">and a heavy smoking consumption (median 15 pack-years), </w:t>
      </w:r>
      <w:r w:rsidR="00D770C3" w:rsidRPr="00026AF4">
        <w:rPr>
          <w:rFonts w:asciiTheme="minorHAnsi" w:hAnsiTheme="minorHAnsi"/>
          <w:lang w:val="en-US"/>
        </w:rPr>
        <w:t xml:space="preserve">which </w:t>
      </w:r>
      <w:r w:rsidR="008F6D6A" w:rsidRPr="00026AF4">
        <w:rPr>
          <w:rFonts w:asciiTheme="minorHAnsi" w:hAnsiTheme="minorHAnsi"/>
          <w:lang w:val="en-US"/>
        </w:rPr>
        <w:t>are two major</w:t>
      </w:r>
      <w:r w:rsidR="00D770C3" w:rsidRPr="00026AF4">
        <w:rPr>
          <w:rFonts w:asciiTheme="minorHAnsi" w:hAnsiTheme="minorHAnsi"/>
          <w:lang w:val="en-US"/>
        </w:rPr>
        <w:t xml:space="preserve"> risk </w:t>
      </w:r>
      <w:r w:rsidR="00D0324C" w:rsidRPr="00026AF4">
        <w:rPr>
          <w:rFonts w:asciiTheme="minorHAnsi" w:hAnsiTheme="minorHAnsi"/>
          <w:lang w:val="en-US"/>
        </w:rPr>
        <w:t>factors</w:t>
      </w:r>
      <w:r w:rsidR="00D770C3" w:rsidRPr="00026AF4">
        <w:rPr>
          <w:rFonts w:asciiTheme="minorHAnsi" w:hAnsiTheme="minorHAnsi"/>
          <w:lang w:val="en-US"/>
        </w:rPr>
        <w:t xml:space="preserve"> of </w:t>
      </w:r>
      <w:r w:rsidR="009137F7" w:rsidRPr="00026AF4">
        <w:rPr>
          <w:rFonts w:asciiTheme="minorHAnsi" w:hAnsiTheme="minorHAnsi"/>
          <w:lang w:val="en-US"/>
        </w:rPr>
        <w:t>PDAC</w:t>
      </w:r>
      <w:r w:rsidR="00D770C3" w:rsidRPr="00026AF4">
        <w:rPr>
          <w:rFonts w:asciiTheme="minorHAnsi" w:hAnsiTheme="minorHAnsi"/>
          <w:lang w:val="en-US"/>
        </w:rPr>
        <w:t>.</w:t>
      </w:r>
      <w:r w:rsidR="009B5A86" w:rsidRPr="00026AF4">
        <w:rPr>
          <w:rFonts w:asciiTheme="minorHAnsi" w:hAnsiTheme="minorHAnsi"/>
          <w:lang w:val="en-US"/>
        </w:rPr>
        <w:t xml:space="preserve"> </w:t>
      </w:r>
      <w:r w:rsidR="002742E8" w:rsidRPr="00026AF4">
        <w:rPr>
          <w:rFonts w:asciiTheme="minorHAnsi" w:hAnsiTheme="minorHAnsi"/>
          <w:lang w:val="en-US"/>
        </w:rPr>
        <w:t>Finally,</w:t>
      </w:r>
      <w:r w:rsidR="005B055E" w:rsidRPr="00026AF4">
        <w:rPr>
          <w:rFonts w:asciiTheme="minorHAnsi" w:hAnsiTheme="minorHAnsi"/>
          <w:lang w:val="en-US"/>
        </w:rPr>
        <w:t xml:space="preserve"> the only patient who developed PDAC before 50 years had a first-degree familial history of </w:t>
      </w:r>
      <w:r w:rsidR="008F6D6A" w:rsidRPr="00026AF4">
        <w:rPr>
          <w:rFonts w:asciiTheme="minorHAnsi" w:hAnsiTheme="minorHAnsi"/>
          <w:lang w:val="en-US"/>
        </w:rPr>
        <w:t>PDAC. Large</w:t>
      </w:r>
      <w:r w:rsidR="00D0324C" w:rsidRPr="00026AF4">
        <w:rPr>
          <w:rFonts w:asciiTheme="minorHAnsi" w:hAnsiTheme="minorHAnsi"/>
          <w:lang w:val="en-US"/>
        </w:rPr>
        <w:t xml:space="preserve"> prospective cohorts </w:t>
      </w:r>
      <w:r w:rsidR="008F6D6A" w:rsidRPr="00026AF4">
        <w:rPr>
          <w:rFonts w:asciiTheme="minorHAnsi" w:hAnsiTheme="minorHAnsi"/>
          <w:lang w:val="en-US"/>
        </w:rPr>
        <w:t>would</w:t>
      </w:r>
      <w:r w:rsidR="00D0324C" w:rsidRPr="00026AF4">
        <w:rPr>
          <w:rFonts w:asciiTheme="minorHAnsi" w:hAnsiTheme="minorHAnsi"/>
          <w:lang w:val="en-US"/>
        </w:rPr>
        <w:t xml:space="preserve"> be </w:t>
      </w:r>
      <w:r w:rsidR="008F6D6A" w:rsidRPr="00026AF4">
        <w:rPr>
          <w:rFonts w:asciiTheme="minorHAnsi" w:hAnsiTheme="minorHAnsi"/>
          <w:lang w:val="en-US"/>
        </w:rPr>
        <w:t>necessary</w:t>
      </w:r>
      <w:r w:rsidR="00D0324C" w:rsidRPr="00026AF4">
        <w:rPr>
          <w:rFonts w:asciiTheme="minorHAnsi" w:hAnsiTheme="minorHAnsi"/>
          <w:lang w:val="en-US"/>
        </w:rPr>
        <w:t xml:space="preserve"> to </w:t>
      </w:r>
      <w:r w:rsidR="004C20B3" w:rsidRPr="00026AF4">
        <w:rPr>
          <w:rFonts w:asciiTheme="minorHAnsi" w:hAnsiTheme="minorHAnsi"/>
          <w:lang w:val="en-US"/>
        </w:rPr>
        <w:t xml:space="preserve">be </w:t>
      </w:r>
      <w:r w:rsidR="00D0324C" w:rsidRPr="00026AF4">
        <w:rPr>
          <w:rFonts w:asciiTheme="minorHAnsi" w:hAnsiTheme="minorHAnsi"/>
          <w:lang w:val="en-US"/>
        </w:rPr>
        <w:t xml:space="preserve">precise, in the </w:t>
      </w:r>
      <w:r w:rsidR="008F6D6A" w:rsidRPr="00026AF4">
        <w:rPr>
          <w:rFonts w:asciiTheme="minorHAnsi" w:hAnsiTheme="minorHAnsi"/>
          <w:lang w:val="en-US"/>
        </w:rPr>
        <w:t xml:space="preserve">population of </w:t>
      </w:r>
      <w:r w:rsidR="00D0324C" w:rsidRPr="00026AF4">
        <w:rPr>
          <w:rFonts w:asciiTheme="minorHAnsi" w:hAnsiTheme="minorHAnsi"/>
          <w:i/>
          <w:lang w:val="en-US"/>
        </w:rPr>
        <w:t>SPINK1</w:t>
      </w:r>
      <w:r w:rsidR="008F6D6A" w:rsidRPr="00026AF4">
        <w:rPr>
          <w:rFonts w:asciiTheme="minorHAnsi" w:hAnsiTheme="minorHAnsi"/>
          <w:lang w:val="en-US"/>
        </w:rPr>
        <w:t xml:space="preserve"> mutation carriers</w:t>
      </w:r>
      <w:r w:rsidR="00D0324C" w:rsidRPr="00026AF4">
        <w:rPr>
          <w:rFonts w:asciiTheme="minorHAnsi" w:hAnsiTheme="minorHAnsi"/>
          <w:lang w:val="en-US"/>
        </w:rPr>
        <w:t xml:space="preserve">, the </w:t>
      </w:r>
      <w:r w:rsidR="008F6D6A" w:rsidRPr="00026AF4">
        <w:rPr>
          <w:rFonts w:asciiTheme="minorHAnsi" w:hAnsiTheme="minorHAnsi"/>
          <w:lang w:val="en-US"/>
        </w:rPr>
        <w:t xml:space="preserve">risk factors </w:t>
      </w:r>
      <w:r w:rsidR="00617FA1" w:rsidRPr="00026AF4">
        <w:rPr>
          <w:rFonts w:asciiTheme="minorHAnsi" w:hAnsiTheme="minorHAnsi"/>
          <w:lang w:val="en-US"/>
        </w:rPr>
        <w:t xml:space="preserve">for </w:t>
      </w:r>
      <w:r w:rsidR="00D0324C" w:rsidRPr="00026AF4">
        <w:rPr>
          <w:rFonts w:asciiTheme="minorHAnsi" w:hAnsiTheme="minorHAnsi"/>
          <w:lang w:val="en-US"/>
        </w:rPr>
        <w:t xml:space="preserve">PDAC </w:t>
      </w:r>
      <w:r w:rsidR="008F6D6A" w:rsidRPr="00026AF4">
        <w:rPr>
          <w:rFonts w:asciiTheme="minorHAnsi" w:hAnsiTheme="minorHAnsi"/>
          <w:lang w:val="en-US"/>
        </w:rPr>
        <w:t>in order to identify a sub</w:t>
      </w:r>
      <w:r w:rsidR="00D0324C" w:rsidRPr="00026AF4">
        <w:rPr>
          <w:rFonts w:asciiTheme="minorHAnsi" w:hAnsiTheme="minorHAnsi"/>
          <w:lang w:val="en-US"/>
        </w:rPr>
        <w:t xml:space="preserve">group of patients </w:t>
      </w:r>
      <w:r w:rsidR="008F6D6A" w:rsidRPr="00026AF4">
        <w:rPr>
          <w:rFonts w:asciiTheme="minorHAnsi" w:hAnsiTheme="minorHAnsi"/>
          <w:lang w:val="en-US"/>
        </w:rPr>
        <w:t>who could benefit from</w:t>
      </w:r>
      <w:r w:rsidR="00D0324C" w:rsidRPr="00026AF4">
        <w:rPr>
          <w:rFonts w:asciiTheme="minorHAnsi" w:hAnsiTheme="minorHAnsi"/>
          <w:lang w:val="en-US"/>
        </w:rPr>
        <w:t xml:space="preserve"> PDAC screening. </w:t>
      </w:r>
      <w:r w:rsidR="009B5A86" w:rsidRPr="00026AF4">
        <w:rPr>
          <w:rFonts w:asciiTheme="minorHAnsi" w:hAnsiTheme="minorHAnsi"/>
          <w:lang w:val="en-US"/>
        </w:rPr>
        <w:t xml:space="preserve">It is highly possible that the development of PDAC is a consequence of pancreatic inflammation (partly assessed by the presence of calcifications) rather than the SPINK1 mutation itself. </w:t>
      </w:r>
    </w:p>
    <w:p w14:paraId="16AE64F6" w14:textId="77777777" w:rsidR="00D0324C" w:rsidRPr="00026AF4" w:rsidRDefault="00D0324C" w:rsidP="00712250">
      <w:pPr>
        <w:jc w:val="both"/>
        <w:rPr>
          <w:rFonts w:asciiTheme="minorHAnsi" w:hAnsiTheme="minorHAnsi"/>
          <w:lang w:val="en-US"/>
        </w:rPr>
      </w:pPr>
      <w:r w:rsidRPr="00026AF4">
        <w:rPr>
          <w:rFonts w:asciiTheme="minorHAnsi" w:hAnsiTheme="minorHAnsi"/>
          <w:lang w:val="en-US"/>
        </w:rPr>
        <w:t xml:space="preserve">Given the results of this study we would propose a close surveillance of patients over 50 year old, smokers, with morphological signs of </w:t>
      </w:r>
      <w:r w:rsidR="008F6D6A" w:rsidRPr="00026AF4">
        <w:rPr>
          <w:rFonts w:asciiTheme="minorHAnsi" w:hAnsiTheme="minorHAnsi"/>
          <w:lang w:val="en-US"/>
        </w:rPr>
        <w:t xml:space="preserve">severe CP, or in any patients with a </w:t>
      </w:r>
      <w:r w:rsidRPr="00026AF4">
        <w:rPr>
          <w:rFonts w:asciiTheme="minorHAnsi" w:hAnsiTheme="minorHAnsi"/>
          <w:lang w:val="en-US"/>
        </w:rPr>
        <w:t xml:space="preserve">familial history of </w:t>
      </w:r>
      <w:r w:rsidR="008F6D6A" w:rsidRPr="00026AF4">
        <w:rPr>
          <w:rFonts w:asciiTheme="minorHAnsi" w:hAnsiTheme="minorHAnsi"/>
          <w:lang w:val="en-US"/>
        </w:rPr>
        <w:t xml:space="preserve">PDAC, as for other </w:t>
      </w:r>
      <w:proofErr w:type="spellStart"/>
      <w:r w:rsidR="008F6D6A" w:rsidRPr="00026AF4">
        <w:rPr>
          <w:rFonts w:asciiTheme="minorHAnsi" w:hAnsiTheme="minorHAnsi"/>
          <w:lang w:val="en-US"/>
        </w:rPr>
        <w:t>germline</w:t>
      </w:r>
      <w:proofErr w:type="spellEnd"/>
      <w:r w:rsidR="008F6D6A" w:rsidRPr="00026AF4">
        <w:rPr>
          <w:rFonts w:asciiTheme="minorHAnsi" w:hAnsiTheme="minorHAnsi"/>
          <w:lang w:val="en-US"/>
        </w:rPr>
        <w:t xml:space="preserve"> mutations predisposing to PDAC</w:t>
      </w:r>
      <w:r w:rsidRPr="00026AF4">
        <w:rPr>
          <w:rFonts w:asciiTheme="minorHAnsi" w:hAnsiTheme="minorHAnsi"/>
          <w:lang w:val="en-US"/>
        </w:rPr>
        <w:t>. The modalities of such a screening is yet</w:t>
      </w:r>
      <w:r w:rsidR="008F6D6A" w:rsidRPr="00026AF4">
        <w:rPr>
          <w:rFonts w:asciiTheme="minorHAnsi" w:hAnsiTheme="minorHAnsi"/>
          <w:lang w:val="en-US"/>
        </w:rPr>
        <w:t xml:space="preserve"> to be determined but should be performed accordingly to the </w:t>
      </w:r>
      <w:r w:rsidR="00BA488E" w:rsidRPr="00026AF4">
        <w:rPr>
          <w:rFonts w:asciiTheme="minorHAnsi" w:hAnsiTheme="minorHAnsi"/>
          <w:lang w:val="en-US"/>
        </w:rPr>
        <w:t>International Cancer of the Pancreas Screening (</w:t>
      </w:r>
      <w:r w:rsidR="00770BEA" w:rsidRPr="00026AF4">
        <w:rPr>
          <w:rFonts w:asciiTheme="minorHAnsi" w:hAnsiTheme="minorHAnsi"/>
          <w:lang w:val="en-US"/>
        </w:rPr>
        <w:t>CAPS</w:t>
      </w:r>
      <w:r w:rsidR="00BA488E" w:rsidRPr="00026AF4">
        <w:rPr>
          <w:rFonts w:asciiTheme="minorHAnsi" w:hAnsiTheme="minorHAnsi"/>
          <w:lang w:val="en-US"/>
        </w:rPr>
        <w:t>)</w:t>
      </w:r>
      <w:r w:rsidR="00770BEA" w:rsidRPr="00026AF4">
        <w:rPr>
          <w:rFonts w:asciiTheme="minorHAnsi" w:hAnsiTheme="minorHAnsi"/>
          <w:lang w:val="en-US"/>
        </w:rPr>
        <w:t xml:space="preserve"> guidelines </w:t>
      </w:r>
      <w:r w:rsidR="00AE55DF" w:rsidRPr="00026AF4">
        <w:rPr>
          <w:rFonts w:asciiTheme="minorHAnsi" w:hAnsiTheme="minorHAnsi"/>
          <w:vertAlign w:val="superscript"/>
          <w:lang w:val="en-US"/>
        </w:rPr>
        <w:t>32</w:t>
      </w:r>
      <w:r w:rsidR="00770BEA" w:rsidRPr="00026AF4">
        <w:rPr>
          <w:rFonts w:asciiTheme="minorHAnsi" w:hAnsiTheme="minorHAnsi"/>
          <w:lang w:val="en-US"/>
        </w:rPr>
        <w:t>.</w:t>
      </w:r>
    </w:p>
    <w:p w14:paraId="3B63E059" w14:textId="77777777" w:rsidR="008E799B" w:rsidRPr="00026AF4" w:rsidRDefault="008E799B" w:rsidP="00712250">
      <w:pPr>
        <w:jc w:val="both"/>
        <w:rPr>
          <w:rFonts w:asciiTheme="minorHAnsi" w:hAnsiTheme="minorHAnsi"/>
          <w:lang w:val="en-US"/>
        </w:rPr>
      </w:pPr>
    </w:p>
    <w:p w14:paraId="01A29768" w14:textId="77777777" w:rsidR="00324A72" w:rsidRPr="00026AF4" w:rsidRDefault="00324A72" w:rsidP="00712250">
      <w:pPr>
        <w:jc w:val="both"/>
        <w:rPr>
          <w:rFonts w:asciiTheme="minorHAnsi" w:hAnsiTheme="minorHAnsi"/>
          <w:b/>
          <w:lang w:val="en-US"/>
        </w:rPr>
      </w:pPr>
    </w:p>
    <w:p w14:paraId="55971D23" w14:textId="77777777" w:rsidR="00324A72" w:rsidRPr="00026AF4" w:rsidRDefault="00324A72" w:rsidP="00712250">
      <w:pPr>
        <w:jc w:val="both"/>
        <w:rPr>
          <w:rFonts w:asciiTheme="minorHAnsi" w:hAnsiTheme="minorHAnsi"/>
          <w:b/>
          <w:lang w:val="en-US"/>
        </w:rPr>
      </w:pPr>
    </w:p>
    <w:p w14:paraId="2145B5F0" w14:textId="77777777" w:rsidR="00324A72" w:rsidRPr="00026AF4" w:rsidRDefault="00324A72" w:rsidP="00712250">
      <w:pPr>
        <w:jc w:val="both"/>
        <w:rPr>
          <w:rFonts w:asciiTheme="minorHAnsi" w:hAnsiTheme="minorHAnsi"/>
          <w:b/>
          <w:lang w:val="en-US"/>
        </w:rPr>
      </w:pPr>
    </w:p>
    <w:p w14:paraId="0A617E8C" w14:textId="77777777" w:rsidR="00324A72" w:rsidRPr="00026AF4" w:rsidRDefault="00324A72" w:rsidP="00712250">
      <w:pPr>
        <w:jc w:val="both"/>
        <w:rPr>
          <w:rFonts w:asciiTheme="minorHAnsi" w:hAnsiTheme="minorHAnsi"/>
          <w:b/>
          <w:lang w:val="en-US"/>
        </w:rPr>
      </w:pPr>
    </w:p>
    <w:p w14:paraId="594089D7" w14:textId="77777777" w:rsidR="00324A72" w:rsidRPr="00026AF4" w:rsidRDefault="00324A72" w:rsidP="00712250">
      <w:pPr>
        <w:jc w:val="both"/>
        <w:rPr>
          <w:rFonts w:asciiTheme="minorHAnsi" w:hAnsiTheme="minorHAnsi"/>
          <w:b/>
          <w:lang w:val="en-US"/>
        </w:rPr>
      </w:pPr>
    </w:p>
    <w:p w14:paraId="1BF4D3CD" w14:textId="77777777" w:rsidR="00324A72" w:rsidRPr="00026AF4" w:rsidRDefault="00324A72" w:rsidP="00712250">
      <w:pPr>
        <w:jc w:val="both"/>
        <w:rPr>
          <w:rFonts w:asciiTheme="minorHAnsi" w:hAnsiTheme="minorHAnsi"/>
          <w:b/>
          <w:lang w:val="en-US"/>
        </w:rPr>
      </w:pPr>
    </w:p>
    <w:p w14:paraId="1A6E1905" w14:textId="77777777" w:rsidR="00324A72" w:rsidRPr="00026AF4" w:rsidRDefault="00324A72" w:rsidP="00712250">
      <w:pPr>
        <w:jc w:val="both"/>
        <w:rPr>
          <w:rFonts w:asciiTheme="minorHAnsi" w:hAnsiTheme="minorHAnsi"/>
          <w:b/>
          <w:lang w:val="en-US"/>
        </w:rPr>
      </w:pPr>
    </w:p>
    <w:p w14:paraId="0CC29B7A" w14:textId="77777777" w:rsidR="00324A72" w:rsidRPr="00026AF4" w:rsidRDefault="00324A72" w:rsidP="00712250">
      <w:pPr>
        <w:jc w:val="both"/>
        <w:rPr>
          <w:rFonts w:asciiTheme="minorHAnsi" w:hAnsiTheme="minorHAnsi"/>
          <w:b/>
          <w:lang w:val="en-US"/>
        </w:rPr>
      </w:pPr>
    </w:p>
    <w:p w14:paraId="689513C3" w14:textId="77777777" w:rsidR="009A5DB1" w:rsidRPr="00026AF4" w:rsidRDefault="009A5DB1" w:rsidP="009A5DB1">
      <w:pPr>
        <w:jc w:val="both"/>
        <w:rPr>
          <w:rFonts w:asciiTheme="minorHAnsi" w:hAnsiTheme="minorHAnsi"/>
          <w:b/>
          <w:lang w:val="en-US"/>
        </w:rPr>
      </w:pPr>
      <w:r w:rsidRPr="00026AF4">
        <w:rPr>
          <w:rFonts w:asciiTheme="minorHAnsi" w:hAnsiTheme="minorHAnsi"/>
          <w:b/>
          <w:lang w:val="en-US"/>
        </w:rPr>
        <w:t>Grant support: none</w:t>
      </w:r>
    </w:p>
    <w:p w14:paraId="3A241B3F" w14:textId="77777777" w:rsidR="009A5DB1" w:rsidRPr="00026AF4" w:rsidRDefault="009A5DB1" w:rsidP="009A5DB1">
      <w:pPr>
        <w:jc w:val="both"/>
        <w:rPr>
          <w:rFonts w:asciiTheme="minorHAnsi" w:hAnsiTheme="minorHAnsi"/>
          <w:b/>
          <w:lang w:val="en-US"/>
        </w:rPr>
      </w:pPr>
    </w:p>
    <w:p w14:paraId="451FF260" w14:textId="313EF92D" w:rsidR="009A5DB1" w:rsidRPr="00026AF4" w:rsidRDefault="009A5DB1" w:rsidP="009A5DB1">
      <w:pPr>
        <w:jc w:val="both"/>
        <w:rPr>
          <w:rFonts w:asciiTheme="minorHAnsi" w:hAnsiTheme="minorHAnsi"/>
          <w:b/>
          <w:lang w:val="en-US"/>
        </w:rPr>
      </w:pPr>
      <w:r w:rsidRPr="00026AF4">
        <w:rPr>
          <w:rFonts w:asciiTheme="minorHAnsi" w:hAnsiTheme="minorHAnsi"/>
          <w:b/>
          <w:lang w:val="en-US"/>
        </w:rPr>
        <w:t>Declaration of interest: No conflicts of interest exist</w:t>
      </w:r>
    </w:p>
    <w:p w14:paraId="77C3B4DF" w14:textId="77777777" w:rsidR="009A5DB1" w:rsidRPr="00026AF4" w:rsidRDefault="009A5DB1" w:rsidP="009A5DB1">
      <w:pPr>
        <w:jc w:val="both"/>
        <w:rPr>
          <w:rFonts w:asciiTheme="minorHAnsi" w:hAnsiTheme="minorHAnsi"/>
          <w:b/>
          <w:lang w:val="en-US"/>
        </w:rPr>
      </w:pPr>
    </w:p>
    <w:p w14:paraId="29FEB930" w14:textId="77777777" w:rsidR="009A5DB1" w:rsidRPr="00026AF4" w:rsidRDefault="009A5DB1" w:rsidP="009A5DB1">
      <w:pPr>
        <w:jc w:val="both"/>
        <w:rPr>
          <w:rFonts w:asciiTheme="minorHAnsi" w:hAnsiTheme="minorHAnsi"/>
          <w:b/>
          <w:lang w:val="en-US"/>
        </w:rPr>
      </w:pPr>
      <w:r w:rsidRPr="00026AF4">
        <w:rPr>
          <w:rFonts w:asciiTheme="minorHAnsi" w:hAnsiTheme="minorHAnsi"/>
          <w:b/>
          <w:lang w:val="en-US"/>
        </w:rPr>
        <w:t>Authors’ contribution</w:t>
      </w:r>
    </w:p>
    <w:p w14:paraId="2C1328C0" w14:textId="77777777" w:rsidR="009A5DB1" w:rsidRPr="00026AF4" w:rsidRDefault="009A5DB1" w:rsidP="009A5DB1">
      <w:pPr>
        <w:jc w:val="both"/>
        <w:rPr>
          <w:rFonts w:asciiTheme="minorHAnsi" w:hAnsiTheme="minorHAnsi"/>
          <w:lang w:val="en-US"/>
        </w:rPr>
      </w:pPr>
      <w:r w:rsidRPr="00026AF4">
        <w:rPr>
          <w:rFonts w:asciiTheme="minorHAnsi" w:hAnsiTheme="minorHAnsi"/>
          <w:lang w:val="en-US"/>
        </w:rPr>
        <w:t xml:space="preserve">Nelly Muller and </w:t>
      </w:r>
      <w:proofErr w:type="spellStart"/>
      <w:r w:rsidRPr="00026AF4">
        <w:rPr>
          <w:rFonts w:asciiTheme="minorHAnsi" w:hAnsiTheme="minorHAnsi"/>
          <w:lang w:val="en-US"/>
        </w:rPr>
        <w:t>Vinciane</w:t>
      </w:r>
      <w:proofErr w:type="spellEnd"/>
      <w:r w:rsidRPr="00026AF4">
        <w:rPr>
          <w:rFonts w:asciiTheme="minorHAnsi" w:hAnsiTheme="minorHAnsi"/>
          <w:lang w:val="en-US"/>
        </w:rPr>
        <w:t xml:space="preserve"> </w:t>
      </w:r>
      <w:proofErr w:type="spellStart"/>
      <w:r w:rsidRPr="00026AF4">
        <w:rPr>
          <w:rFonts w:asciiTheme="minorHAnsi" w:hAnsiTheme="minorHAnsi"/>
          <w:lang w:val="en-US"/>
        </w:rPr>
        <w:t>Rebours</w:t>
      </w:r>
      <w:proofErr w:type="spellEnd"/>
      <w:r w:rsidRPr="00026AF4">
        <w:rPr>
          <w:rFonts w:asciiTheme="minorHAnsi" w:hAnsiTheme="minorHAnsi"/>
          <w:lang w:val="en-US"/>
        </w:rPr>
        <w:t>: Study design and concept, data acquisition, data analysis, statistical analysis, and manuscript drafting.</w:t>
      </w:r>
    </w:p>
    <w:p w14:paraId="760F1E12" w14:textId="77777777" w:rsidR="009A5DB1" w:rsidRPr="00026AF4" w:rsidRDefault="009A5DB1" w:rsidP="009A5DB1">
      <w:pPr>
        <w:jc w:val="both"/>
        <w:rPr>
          <w:rFonts w:asciiTheme="minorHAnsi" w:hAnsiTheme="minorHAnsi"/>
          <w:lang w:val="en-US"/>
        </w:rPr>
      </w:pPr>
      <w:r w:rsidRPr="00026AF4">
        <w:rPr>
          <w:rFonts w:asciiTheme="minorHAnsi" w:hAnsiTheme="minorHAnsi"/>
          <w:lang w:val="en-US"/>
        </w:rPr>
        <w:t xml:space="preserve">Louis de </w:t>
      </w:r>
      <w:proofErr w:type="spellStart"/>
      <w:r w:rsidRPr="00026AF4">
        <w:rPr>
          <w:rFonts w:asciiTheme="minorHAnsi" w:hAnsiTheme="minorHAnsi"/>
          <w:lang w:val="en-US"/>
        </w:rPr>
        <w:t>Mestier</w:t>
      </w:r>
      <w:proofErr w:type="spellEnd"/>
      <w:r w:rsidRPr="00026AF4">
        <w:rPr>
          <w:rFonts w:asciiTheme="minorHAnsi" w:hAnsiTheme="minorHAnsi"/>
          <w:lang w:val="en-US"/>
        </w:rPr>
        <w:t xml:space="preserve">, </w:t>
      </w:r>
      <w:proofErr w:type="spellStart"/>
      <w:r w:rsidRPr="00026AF4">
        <w:rPr>
          <w:rFonts w:asciiTheme="minorHAnsi" w:hAnsiTheme="minorHAnsi"/>
          <w:lang w:val="en-US"/>
        </w:rPr>
        <w:t>Ioannis</w:t>
      </w:r>
      <w:proofErr w:type="spellEnd"/>
      <w:r w:rsidRPr="00026AF4">
        <w:rPr>
          <w:rFonts w:asciiTheme="minorHAnsi" w:hAnsiTheme="minorHAnsi"/>
          <w:lang w:val="en-US"/>
        </w:rPr>
        <w:t xml:space="preserve"> </w:t>
      </w:r>
      <w:proofErr w:type="spellStart"/>
      <w:r w:rsidRPr="00026AF4">
        <w:rPr>
          <w:rFonts w:asciiTheme="minorHAnsi" w:hAnsiTheme="minorHAnsi"/>
          <w:lang w:val="en-US"/>
        </w:rPr>
        <w:t>Sarantitis</w:t>
      </w:r>
      <w:proofErr w:type="spellEnd"/>
      <w:r w:rsidRPr="00026AF4">
        <w:rPr>
          <w:rFonts w:asciiTheme="minorHAnsi" w:hAnsiTheme="minorHAnsi"/>
          <w:lang w:val="en-US"/>
        </w:rPr>
        <w:t xml:space="preserve"> Christopher Halloran and William </w:t>
      </w:r>
      <w:proofErr w:type="spellStart"/>
      <w:r w:rsidRPr="00026AF4">
        <w:rPr>
          <w:rFonts w:asciiTheme="minorHAnsi" w:hAnsiTheme="minorHAnsi"/>
          <w:lang w:val="en-US"/>
        </w:rPr>
        <w:t>Greenhalf</w:t>
      </w:r>
      <w:proofErr w:type="spellEnd"/>
      <w:r w:rsidRPr="00026AF4">
        <w:rPr>
          <w:rFonts w:asciiTheme="minorHAnsi" w:hAnsiTheme="minorHAnsi"/>
          <w:lang w:val="en-US"/>
        </w:rPr>
        <w:t>: data analysis, statistical analysis, and manuscript drafting.</w:t>
      </w:r>
    </w:p>
    <w:p w14:paraId="3D018DF4" w14:textId="77777777" w:rsidR="009A5DB1" w:rsidRPr="00026AF4" w:rsidRDefault="009A5DB1" w:rsidP="009A5DB1">
      <w:pPr>
        <w:jc w:val="both"/>
        <w:rPr>
          <w:rFonts w:asciiTheme="minorHAnsi" w:hAnsiTheme="minorHAnsi"/>
          <w:lang w:val="en-US"/>
        </w:rPr>
      </w:pPr>
      <w:r w:rsidRPr="00026AF4">
        <w:rPr>
          <w:rFonts w:asciiTheme="minorHAnsi" w:hAnsiTheme="minorHAnsi"/>
          <w:lang w:val="en-US"/>
        </w:rPr>
        <w:t xml:space="preserve">Marie </w:t>
      </w:r>
      <w:proofErr w:type="spellStart"/>
      <w:r w:rsidRPr="00026AF4">
        <w:rPr>
          <w:rFonts w:asciiTheme="minorHAnsi" w:hAnsiTheme="minorHAnsi"/>
          <w:lang w:val="en-US"/>
        </w:rPr>
        <w:t>Rouanet</w:t>
      </w:r>
      <w:proofErr w:type="spellEnd"/>
      <w:r w:rsidRPr="00026AF4">
        <w:rPr>
          <w:rFonts w:asciiTheme="minorHAnsi" w:hAnsiTheme="minorHAnsi"/>
          <w:lang w:val="en-US"/>
        </w:rPr>
        <w:t xml:space="preserve">, Claude </w:t>
      </w:r>
      <w:proofErr w:type="spellStart"/>
      <w:r w:rsidRPr="00026AF4">
        <w:rPr>
          <w:rFonts w:asciiTheme="minorHAnsi" w:hAnsiTheme="minorHAnsi"/>
          <w:lang w:val="en-US"/>
        </w:rPr>
        <w:t>Férec</w:t>
      </w:r>
      <w:proofErr w:type="spellEnd"/>
      <w:r w:rsidRPr="00026AF4">
        <w:rPr>
          <w:rFonts w:asciiTheme="minorHAnsi" w:hAnsiTheme="minorHAnsi"/>
          <w:lang w:val="en-US"/>
        </w:rPr>
        <w:t xml:space="preserve">, </w:t>
      </w:r>
      <w:proofErr w:type="spellStart"/>
      <w:r w:rsidRPr="00026AF4">
        <w:rPr>
          <w:rFonts w:asciiTheme="minorHAnsi" w:hAnsiTheme="minorHAnsi"/>
          <w:lang w:val="en-US"/>
        </w:rPr>
        <w:t>Emmanulle</w:t>
      </w:r>
      <w:proofErr w:type="spellEnd"/>
      <w:r w:rsidRPr="00026AF4">
        <w:rPr>
          <w:rFonts w:asciiTheme="minorHAnsi" w:hAnsiTheme="minorHAnsi"/>
          <w:lang w:val="en-US"/>
        </w:rPr>
        <w:t xml:space="preserve"> Masson, Philippe </w:t>
      </w:r>
      <w:proofErr w:type="spellStart"/>
      <w:r w:rsidRPr="00026AF4">
        <w:rPr>
          <w:rFonts w:asciiTheme="minorHAnsi" w:hAnsiTheme="minorHAnsi"/>
          <w:lang w:val="en-US"/>
        </w:rPr>
        <w:t>Ruszniewski</w:t>
      </w:r>
      <w:proofErr w:type="spellEnd"/>
      <w:r w:rsidRPr="00026AF4">
        <w:rPr>
          <w:rFonts w:asciiTheme="minorHAnsi" w:hAnsiTheme="minorHAnsi"/>
          <w:lang w:val="en-US"/>
        </w:rPr>
        <w:t xml:space="preserve">, Philippe </w:t>
      </w:r>
      <w:proofErr w:type="spellStart"/>
      <w:r w:rsidRPr="00026AF4">
        <w:rPr>
          <w:rFonts w:asciiTheme="minorHAnsi" w:hAnsiTheme="minorHAnsi"/>
          <w:lang w:val="en-US"/>
        </w:rPr>
        <w:t>Lévy</w:t>
      </w:r>
      <w:proofErr w:type="spellEnd"/>
      <w:r w:rsidRPr="00026AF4">
        <w:rPr>
          <w:rFonts w:asciiTheme="minorHAnsi" w:hAnsiTheme="minorHAnsi"/>
          <w:lang w:val="en-US"/>
        </w:rPr>
        <w:t xml:space="preserve">, John </w:t>
      </w:r>
      <w:proofErr w:type="spellStart"/>
      <w:r w:rsidRPr="00026AF4">
        <w:rPr>
          <w:rFonts w:asciiTheme="minorHAnsi" w:hAnsiTheme="minorHAnsi"/>
          <w:lang w:val="en-US"/>
        </w:rPr>
        <w:t>Neoptolemos</w:t>
      </w:r>
      <w:proofErr w:type="spellEnd"/>
      <w:r w:rsidRPr="00026AF4">
        <w:rPr>
          <w:rFonts w:asciiTheme="minorHAnsi" w:hAnsiTheme="minorHAnsi"/>
          <w:lang w:val="en-US"/>
        </w:rPr>
        <w:t xml:space="preserve"> and Louis </w:t>
      </w:r>
      <w:proofErr w:type="spellStart"/>
      <w:r w:rsidRPr="00026AF4">
        <w:rPr>
          <w:rFonts w:asciiTheme="minorHAnsi" w:hAnsiTheme="minorHAnsi"/>
          <w:lang w:val="en-US"/>
        </w:rPr>
        <w:t>Buscail</w:t>
      </w:r>
      <w:proofErr w:type="spellEnd"/>
      <w:r w:rsidRPr="00026AF4">
        <w:rPr>
          <w:rFonts w:asciiTheme="minorHAnsi" w:hAnsiTheme="minorHAnsi"/>
          <w:lang w:val="en-US"/>
        </w:rPr>
        <w:t xml:space="preserve">: data acquisition and Critical revision. </w:t>
      </w:r>
    </w:p>
    <w:p w14:paraId="20D355D0" w14:textId="77777777" w:rsidR="00324A72" w:rsidRPr="00026AF4" w:rsidRDefault="00324A72" w:rsidP="00712250">
      <w:pPr>
        <w:jc w:val="both"/>
        <w:rPr>
          <w:rFonts w:asciiTheme="minorHAnsi" w:hAnsiTheme="minorHAnsi"/>
          <w:b/>
          <w:lang w:val="en-US"/>
        </w:rPr>
      </w:pPr>
    </w:p>
    <w:p w14:paraId="668FD2C5" w14:textId="77777777" w:rsidR="00324A72" w:rsidRPr="00026AF4" w:rsidRDefault="00324A72" w:rsidP="00712250">
      <w:pPr>
        <w:jc w:val="both"/>
        <w:rPr>
          <w:rFonts w:asciiTheme="minorHAnsi" w:hAnsiTheme="minorHAnsi"/>
          <w:b/>
          <w:lang w:val="en-US"/>
        </w:rPr>
      </w:pPr>
    </w:p>
    <w:p w14:paraId="3695B0F9" w14:textId="77777777" w:rsidR="00324A72" w:rsidRPr="00026AF4" w:rsidRDefault="00324A72" w:rsidP="00712250">
      <w:pPr>
        <w:jc w:val="both"/>
        <w:rPr>
          <w:rFonts w:asciiTheme="minorHAnsi" w:hAnsiTheme="minorHAnsi"/>
          <w:b/>
          <w:lang w:val="en-US"/>
        </w:rPr>
      </w:pPr>
    </w:p>
    <w:p w14:paraId="27B31F65" w14:textId="77777777" w:rsidR="00324A72" w:rsidRPr="00026AF4" w:rsidRDefault="00324A72" w:rsidP="00712250">
      <w:pPr>
        <w:jc w:val="both"/>
        <w:rPr>
          <w:rFonts w:asciiTheme="minorHAnsi" w:hAnsiTheme="minorHAnsi"/>
          <w:b/>
          <w:lang w:val="en-US"/>
        </w:rPr>
      </w:pPr>
    </w:p>
    <w:p w14:paraId="1DC81E7D" w14:textId="77777777" w:rsidR="00395A6D" w:rsidRPr="00026AF4" w:rsidRDefault="00395A6D" w:rsidP="00712250">
      <w:pPr>
        <w:jc w:val="both"/>
        <w:rPr>
          <w:rFonts w:asciiTheme="minorHAnsi" w:hAnsiTheme="minorHAnsi"/>
          <w:b/>
          <w:lang w:val="en-US"/>
        </w:rPr>
      </w:pPr>
    </w:p>
    <w:p w14:paraId="21466F1D" w14:textId="77777777" w:rsidR="00395A6D" w:rsidRPr="00026AF4" w:rsidRDefault="00395A6D" w:rsidP="00712250">
      <w:pPr>
        <w:rPr>
          <w:rFonts w:asciiTheme="minorHAnsi" w:hAnsiTheme="minorHAnsi"/>
          <w:lang w:val="en-US"/>
        </w:rPr>
      </w:pPr>
    </w:p>
    <w:p w14:paraId="26216CE0" w14:textId="77777777" w:rsidR="00742FB6" w:rsidRPr="00026AF4" w:rsidRDefault="00742FB6">
      <w:pPr>
        <w:spacing w:after="200" w:line="276" w:lineRule="auto"/>
        <w:rPr>
          <w:rFonts w:asciiTheme="minorHAnsi" w:hAnsiTheme="minorHAnsi"/>
          <w:noProof/>
          <w:lang w:val="en-US"/>
        </w:rPr>
      </w:pPr>
      <w:r w:rsidRPr="00026AF4">
        <w:rPr>
          <w:rFonts w:asciiTheme="minorHAnsi" w:hAnsiTheme="minorHAnsi"/>
          <w:noProof/>
          <w:lang w:val="en-US"/>
        </w:rPr>
        <w:br w:type="page"/>
      </w:r>
    </w:p>
    <w:p w14:paraId="6B5A8FD6" w14:textId="77777777" w:rsidR="00742FB6" w:rsidRPr="00026AF4" w:rsidRDefault="00742FB6" w:rsidP="00742FB6">
      <w:pPr>
        <w:widowControl w:val="0"/>
        <w:autoSpaceDE w:val="0"/>
        <w:autoSpaceDN w:val="0"/>
        <w:adjustRightInd w:val="0"/>
        <w:rPr>
          <w:rFonts w:asciiTheme="minorHAnsi" w:hAnsiTheme="minorHAnsi"/>
          <w:b/>
          <w:noProof/>
          <w:sz w:val="24"/>
          <w:lang w:val="en-US"/>
        </w:rPr>
      </w:pPr>
      <w:r w:rsidRPr="00026AF4">
        <w:rPr>
          <w:rFonts w:asciiTheme="minorHAnsi" w:hAnsiTheme="minorHAnsi"/>
          <w:b/>
          <w:noProof/>
          <w:sz w:val="24"/>
          <w:lang w:val="en-US"/>
        </w:rPr>
        <w:lastRenderedPageBreak/>
        <w:t>References</w:t>
      </w:r>
    </w:p>
    <w:p w14:paraId="0C4CE301" w14:textId="77777777" w:rsidR="00742FB6" w:rsidRPr="00026AF4" w:rsidRDefault="00742FB6" w:rsidP="002921DA">
      <w:pPr>
        <w:widowControl w:val="0"/>
        <w:autoSpaceDE w:val="0"/>
        <w:autoSpaceDN w:val="0"/>
        <w:adjustRightInd w:val="0"/>
        <w:jc w:val="both"/>
        <w:rPr>
          <w:rFonts w:asciiTheme="minorHAnsi" w:hAnsiTheme="minorHAnsi"/>
          <w:noProof/>
          <w:lang w:val="en-US"/>
        </w:rPr>
      </w:pPr>
    </w:p>
    <w:p w14:paraId="7CAD6451" w14:textId="77777777" w:rsidR="00742FB6" w:rsidRPr="00026AF4" w:rsidRDefault="00742FB6" w:rsidP="002921DA">
      <w:pPr>
        <w:widowControl w:val="0"/>
        <w:autoSpaceDE w:val="0"/>
        <w:autoSpaceDN w:val="0"/>
        <w:adjustRightInd w:val="0"/>
        <w:jc w:val="both"/>
        <w:rPr>
          <w:rFonts w:asciiTheme="minorHAnsi" w:hAnsiTheme="minorHAnsi"/>
          <w:noProof/>
          <w:lang w:val="en-US"/>
        </w:rPr>
      </w:pPr>
    </w:p>
    <w:p w14:paraId="22EE7828" w14:textId="77777777" w:rsidR="00CE710A" w:rsidRPr="00026AF4" w:rsidRDefault="000955DB" w:rsidP="00CE710A">
      <w:pPr>
        <w:widowControl w:val="0"/>
        <w:autoSpaceDE w:val="0"/>
        <w:autoSpaceDN w:val="0"/>
        <w:adjustRightInd w:val="0"/>
        <w:rPr>
          <w:rFonts w:hAnsiTheme="minorHAnsi"/>
          <w:lang w:val="en-US"/>
        </w:rPr>
      </w:pPr>
      <w:r w:rsidRPr="00026AF4">
        <w:rPr>
          <w:rFonts w:asciiTheme="minorHAnsi" w:hAnsiTheme="minorHAnsi"/>
          <w:noProof/>
          <w:lang w:val="en-US"/>
        </w:rPr>
        <w:fldChar w:fldCharType="begin"/>
      </w:r>
      <w:r w:rsidR="00AD0EDA" w:rsidRPr="00026AF4">
        <w:rPr>
          <w:rFonts w:asciiTheme="minorHAnsi" w:hAnsiTheme="minorHAnsi"/>
          <w:lang w:val="en-US"/>
        </w:rPr>
        <w:instrText xml:space="preserve"> ADDIN ZOTERO_BIBL {"uncited":[],"omitted":[],"custom":[]} CSL_BIBLIOGRAPHY </w:instrText>
      </w:r>
      <w:r w:rsidRPr="00026AF4">
        <w:rPr>
          <w:rFonts w:asciiTheme="minorHAnsi" w:hAnsiTheme="minorHAnsi"/>
          <w:noProof/>
          <w:lang w:val="en-US"/>
        </w:rPr>
        <w:fldChar w:fldCharType="separate"/>
      </w:r>
      <w:r w:rsidR="00CE710A" w:rsidRPr="00026AF4">
        <w:rPr>
          <w:rFonts w:hAnsiTheme="minorHAnsi"/>
          <w:lang w:val="en-US"/>
        </w:rPr>
        <w:t>1.</w:t>
      </w:r>
      <w:r w:rsidR="00CE710A" w:rsidRPr="00026AF4">
        <w:rPr>
          <w:rFonts w:hAnsiTheme="minorHAnsi"/>
          <w:lang w:val="en-US"/>
        </w:rPr>
        <w:tab/>
        <w:t xml:space="preserve">Rebours, V. </w:t>
      </w:r>
      <w:r w:rsidR="00CE710A" w:rsidRPr="00026AF4">
        <w:rPr>
          <w:rFonts w:hAnsiTheme="minorHAnsi"/>
          <w:i/>
          <w:iCs/>
          <w:lang w:val="en-US"/>
        </w:rPr>
        <w:t>et al.</w:t>
      </w:r>
      <w:r w:rsidR="00CE710A" w:rsidRPr="00026AF4">
        <w:rPr>
          <w:rFonts w:hAnsiTheme="minorHAnsi"/>
          <w:lang w:val="en-US"/>
        </w:rPr>
        <w:t xml:space="preserve"> The natural history of hereditary pancreatitis: a national series. </w:t>
      </w:r>
      <w:r w:rsidR="00CE710A" w:rsidRPr="00026AF4">
        <w:rPr>
          <w:rFonts w:hAnsiTheme="minorHAnsi"/>
          <w:i/>
          <w:iCs/>
          <w:lang w:val="en-US"/>
        </w:rPr>
        <w:t>Gut</w:t>
      </w:r>
      <w:r w:rsidR="00CE710A" w:rsidRPr="00026AF4">
        <w:rPr>
          <w:rFonts w:hAnsiTheme="minorHAnsi"/>
          <w:lang w:val="en-US"/>
        </w:rPr>
        <w:t xml:space="preserve"> </w:t>
      </w:r>
      <w:r w:rsidR="00CE710A" w:rsidRPr="00026AF4">
        <w:rPr>
          <w:rFonts w:hAnsiTheme="minorHAnsi"/>
          <w:b/>
          <w:bCs/>
          <w:lang w:val="en-US"/>
        </w:rPr>
        <w:t>58,</w:t>
      </w:r>
      <w:r w:rsidR="00CE710A" w:rsidRPr="00026AF4">
        <w:rPr>
          <w:rFonts w:hAnsiTheme="minorHAnsi"/>
          <w:lang w:val="en-US"/>
        </w:rPr>
        <w:t xml:space="preserve"> 97–103 (2009).</w:t>
      </w:r>
    </w:p>
    <w:p w14:paraId="31844C68"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2.</w:t>
      </w:r>
      <w:r w:rsidRPr="00026AF4">
        <w:rPr>
          <w:rFonts w:hAnsiTheme="minorHAnsi"/>
          <w:lang w:val="en-US"/>
        </w:rPr>
        <w:tab/>
        <w:t xml:space="preserve">Laskowski, M. &amp; Kato, I. Protein inhibitors of proteinases. </w:t>
      </w:r>
      <w:r w:rsidRPr="00026AF4">
        <w:rPr>
          <w:rFonts w:hAnsiTheme="minorHAnsi"/>
          <w:i/>
          <w:iCs/>
          <w:lang w:val="en-US"/>
        </w:rPr>
        <w:t>Annu. Rev. Biochem.</w:t>
      </w:r>
      <w:r w:rsidRPr="00026AF4">
        <w:rPr>
          <w:rFonts w:hAnsiTheme="minorHAnsi"/>
          <w:lang w:val="en-US"/>
        </w:rPr>
        <w:t xml:space="preserve"> </w:t>
      </w:r>
      <w:r w:rsidRPr="00026AF4">
        <w:rPr>
          <w:rFonts w:hAnsiTheme="minorHAnsi"/>
          <w:b/>
          <w:bCs/>
          <w:lang w:val="en-US"/>
        </w:rPr>
        <w:t>49,</w:t>
      </w:r>
      <w:r w:rsidRPr="00026AF4">
        <w:rPr>
          <w:rFonts w:hAnsiTheme="minorHAnsi"/>
          <w:lang w:val="en-US"/>
        </w:rPr>
        <w:t xml:space="preserve"> 593–626 (1980).</w:t>
      </w:r>
    </w:p>
    <w:p w14:paraId="3B73FC43"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3.</w:t>
      </w:r>
      <w:r w:rsidRPr="00026AF4">
        <w:rPr>
          <w:rFonts w:hAnsiTheme="minorHAnsi"/>
          <w:lang w:val="en-US"/>
        </w:rPr>
        <w:tab/>
        <w:t xml:space="preserve">Witt, H. </w:t>
      </w:r>
      <w:r w:rsidRPr="00026AF4">
        <w:rPr>
          <w:rFonts w:hAnsiTheme="minorHAnsi"/>
          <w:i/>
          <w:iCs/>
          <w:lang w:val="en-US"/>
        </w:rPr>
        <w:t>et al.</w:t>
      </w:r>
      <w:r w:rsidRPr="00026AF4">
        <w:rPr>
          <w:rFonts w:hAnsiTheme="minorHAnsi"/>
          <w:lang w:val="en-US"/>
        </w:rPr>
        <w:t xml:space="preserve"> Mutations in the gene encoding the serine protease inhibitor, Kazal type 1 are associated with chronic pancreatitis. </w:t>
      </w:r>
      <w:r w:rsidRPr="00026AF4">
        <w:rPr>
          <w:rFonts w:hAnsiTheme="minorHAnsi"/>
          <w:i/>
          <w:iCs/>
          <w:lang w:val="en-US"/>
        </w:rPr>
        <w:t>Nat. Genet.</w:t>
      </w:r>
      <w:r w:rsidRPr="00026AF4">
        <w:rPr>
          <w:rFonts w:hAnsiTheme="minorHAnsi"/>
          <w:lang w:val="en-US"/>
        </w:rPr>
        <w:t xml:space="preserve"> </w:t>
      </w:r>
      <w:r w:rsidRPr="00026AF4">
        <w:rPr>
          <w:rFonts w:hAnsiTheme="minorHAnsi"/>
          <w:b/>
          <w:bCs/>
          <w:lang w:val="en-US"/>
        </w:rPr>
        <w:t>25,</w:t>
      </w:r>
      <w:r w:rsidRPr="00026AF4">
        <w:rPr>
          <w:rFonts w:hAnsiTheme="minorHAnsi"/>
          <w:lang w:val="en-US"/>
        </w:rPr>
        <w:t xml:space="preserve"> 213–216 (2000).</w:t>
      </w:r>
    </w:p>
    <w:p w14:paraId="6BA15EF1"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4.</w:t>
      </w:r>
      <w:r w:rsidRPr="00026AF4">
        <w:rPr>
          <w:rFonts w:hAnsiTheme="minorHAnsi"/>
          <w:lang w:val="en-US"/>
        </w:rPr>
        <w:tab/>
        <w:t xml:space="preserve">Pfützer, R. H. </w:t>
      </w:r>
      <w:r w:rsidRPr="00026AF4">
        <w:rPr>
          <w:rFonts w:hAnsiTheme="minorHAnsi"/>
          <w:i/>
          <w:iCs/>
          <w:lang w:val="en-US"/>
        </w:rPr>
        <w:t>et al.</w:t>
      </w:r>
      <w:r w:rsidRPr="00026AF4">
        <w:rPr>
          <w:rFonts w:hAnsiTheme="minorHAnsi"/>
          <w:lang w:val="en-US"/>
        </w:rPr>
        <w:t xml:space="preserve"> SPINK1/PSTI polymorphisms act as disease modifiers in familial and idiopathic chronic pancreatitis. </w:t>
      </w:r>
      <w:r w:rsidRPr="00026AF4">
        <w:rPr>
          <w:rFonts w:hAnsiTheme="minorHAnsi"/>
          <w:i/>
          <w:iCs/>
          <w:lang w:val="en-US"/>
        </w:rPr>
        <w:t>Gastroenterology</w:t>
      </w:r>
      <w:r w:rsidRPr="00026AF4">
        <w:rPr>
          <w:rFonts w:hAnsiTheme="minorHAnsi"/>
          <w:lang w:val="en-US"/>
        </w:rPr>
        <w:t xml:space="preserve"> </w:t>
      </w:r>
      <w:r w:rsidRPr="00026AF4">
        <w:rPr>
          <w:rFonts w:hAnsiTheme="minorHAnsi"/>
          <w:b/>
          <w:bCs/>
          <w:lang w:val="en-US"/>
        </w:rPr>
        <w:t>119,</w:t>
      </w:r>
      <w:r w:rsidRPr="00026AF4">
        <w:rPr>
          <w:rFonts w:hAnsiTheme="minorHAnsi"/>
          <w:lang w:val="en-US"/>
        </w:rPr>
        <w:t xml:space="preserve"> 615–623 (2000).</w:t>
      </w:r>
    </w:p>
    <w:p w14:paraId="28C44421"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5.</w:t>
      </w:r>
      <w:r w:rsidRPr="00026AF4">
        <w:rPr>
          <w:rFonts w:hAnsiTheme="minorHAnsi"/>
          <w:lang w:val="en-US"/>
        </w:rPr>
        <w:tab/>
        <w:t xml:space="preserve">Threadgold, J. The </w:t>
      </w:r>
      <w:r w:rsidR="004911F9" w:rsidRPr="00026AF4">
        <w:rPr>
          <w:rFonts w:hAnsiTheme="minorHAnsi"/>
          <w:lang w:val="en-US"/>
        </w:rPr>
        <w:t>p.N34S</w:t>
      </w:r>
      <w:r w:rsidRPr="00026AF4">
        <w:rPr>
          <w:rFonts w:hAnsiTheme="minorHAnsi"/>
          <w:lang w:val="en-US"/>
        </w:rPr>
        <w:t xml:space="preserve"> mutation of SPINK1 (PSTI) is associated with a familial pattern of idiopathic chronic pancreatitis but does not cause the disease. </w:t>
      </w:r>
      <w:r w:rsidRPr="00026AF4">
        <w:rPr>
          <w:rFonts w:hAnsiTheme="minorHAnsi"/>
          <w:i/>
          <w:iCs/>
          <w:lang w:val="en-US"/>
        </w:rPr>
        <w:t>Gut</w:t>
      </w:r>
      <w:r w:rsidRPr="00026AF4">
        <w:rPr>
          <w:rFonts w:hAnsiTheme="minorHAnsi"/>
          <w:lang w:val="en-US"/>
        </w:rPr>
        <w:t xml:space="preserve"> </w:t>
      </w:r>
      <w:r w:rsidRPr="00026AF4">
        <w:rPr>
          <w:rFonts w:hAnsiTheme="minorHAnsi"/>
          <w:b/>
          <w:bCs/>
          <w:lang w:val="en-US"/>
        </w:rPr>
        <w:t>50,</w:t>
      </w:r>
      <w:r w:rsidRPr="00026AF4">
        <w:rPr>
          <w:rFonts w:hAnsiTheme="minorHAnsi"/>
          <w:lang w:val="en-US"/>
        </w:rPr>
        <w:t xml:space="preserve"> 675–681 (2002).</w:t>
      </w:r>
    </w:p>
    <w:p w14:paraId="0C767424"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6.</w:t>
      </w:r>
      <w:r w:rsidRPr="00026AF4">
        <w:rPr>
          <w:rFonts w:hAnsiTheme="minorHAnsi"/>
          <w:lang w:val="en-US"/>
        </w:rPr>
        <w:tab/>
        <w:t xml:space="preserve">Truninger, K. </w:t>
      </w:r>
      <w:r w:rsidRPr="00026AF4">
        <w:rPr>
          <w:rFonts w:hAnsiTheme="minorHAnsi"/>
          <w:i/>
          <w:iCs/>
          <w:lang w:val="en-US"/>
        </w:rPr>
        <w:t>et al.</w:t>
      </w:r>
      <w:r w:rsidRPr="00026AF4">
        <w:rPr>
          <w:rFonts w:hAnsiTheme="minorHAnsi"/>
          <w:lang w:val="en-US"/>
        </w:rPr>
        <w:t xml:space="preserve"> Mutations of the serine protease inhibitor, Kazal type 1 gene, in patients with idiopathic chronic pancreatitis. </w:t>
      </w:r>
      <w:r w:rsidRPr="00026AF4">
        <w:rPr>
          <w:rFonts w:hAnsiTheme="minorHAnsi"/>
          <w:i/>
          <w:iCs/>
          <w:lang w:val="en-US"/>
        </w:rPr>
        <w:t>Am. J. Gastroenterol.</w:t>
      </w:r>
      <w:r w:rsidRPr="00026AF4">
        <w:rPr>
          <w:rFonts w:hAnsiTheme="minorHAnsi"/>
          <w:lang w:val="en-US"/>
        </w:rPr>
        <w:t xml:space="preserve"> </w:t>
      </w:r>
      <w:r w:rsidRPr="00026AF4">
        <w:rPr>
          <w:rFonts w:hAnsiTheme="minorHAnsi"/>
          <w:b/>
          <w:bCs/>
          <w:lang w:val="en-US"/>
        </w:rPr>
        <w:t>97,</w:t>
      </w:r>
      <w:r w:rsidRPr="00026AF4">
        <w:rPr>
          <w:rFonts w:hAnsiTheme="minorHAnsi"/>
          <w:lang w:val="en-US"/>
        </w:rPr>
        <w:t xml:space="preserve"> 1133–1137 (2002).</w:t>
      </w:r>
    </w:p>
    <w:p w14:paraId="37524DDD"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7.</w:t>
      </w:r>
      <w:r w:rsidRPr="00026AF4">
        <w:rPr>
          <w:rFonts w:hAnsiTheme="minorHAnsi"/>
          <w:lang w:val="en-US"/>
        </w:rPr>
        <w:tab/>
        <w:t xml:space="preserve">Chen, J. M. </w:t>
      </w:r>
      <w:r w:rsidRPr="00026AF4">
        <w:rPr>
          <w:rFonts w:hAnsiTheme="minorHAnsi"/>
          <w:i/>
          <w:iCs/>
          <w:lang w:val="en-US"/>
        </w:rPr>
        <w:t>et al.</w:t>
      </w:r>
      <w:r w:rsidRPr="00026AF4">
        <w:rPr>
          <w:rFonts w:hAnsiTheme="minorHAnsi"/>
          <w:lang w:val="en-US"/>
        </w:rPr>
        <w:t xml:space="preserve"> Mutations of the pancreatic secretory trypsin inhibitor (PSTI) gene in idiopathic chronic pancreatitis. </w:t>
      </w:r>
      <w:r w:rsidRPr="00026AF4">
        <w:rPr>
          <w:rFonts w:hAnsiTheme="minorHAnsi"/>
          <w:i/>
          <w:iCs/>
          <w:lang w:val="en-US"/>
        </w:rPr>
        <w:t>Gastroenterology</w:t>
      </w:r>
      <w:r w:rsidRPr="00026AF4">
        <w:rPr>
          <w:rFonts w:hAnsiTheme="minorHAnsi"/>
          <w:lang w:val="en-US"/>
        </w:rPr>
        <w:t xml:space="preserve"> </w:t>
      </w:r>
      <w:r w:rsidRPr="00026AF4">
        <w:rPr>
          <w:rFonts w:hAnsiTheme="minorHAnsi"/>
          <w:b/>
          <w:bCs/>
          <w:lang w:val="en-US"/>
        </w:rPr>
        <w:t>120,</w:t>
      </w:r>
      <w:r w:rsidRPr="00026AF4">
        <w:rPr>
          <w:rFonts w:hAnsiTheme="minorHAnsi"/>
          <w:lang w:val="en-US"/>
        </w:rPr>
        <w:t xml:space="preserve"> 1061–1064 (2001).</w:t>
      </w:r>
    </w:p>
    <w:p w14:paraId="6B81E762"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8.</w:t>
      </w:r>
      <w:r w:rsidRPr="00026AF4">
        <w:rPr>
          <w:rFonts w:hAnsiTheme="minorHAnsi"/>
          <w:lang w:val="en-US"/>
        </w:rPr>
        <w:tab/>
        <w:t xml:space="preserve">Midha, S., Khajuria, R., Shastri, S., Kabra, M. &amp; Garg, P. K. Idiopathic chronic pancreatitis in India: phenotypic characterisation and strong genetic susceptibility due to SPINK1 and CFTR gene mutations. </w:t>
      </w:r>
      <w:r w:rsidRPr="00026AF4">
        <w:rPr>
          <w:rFonts w:hAnsiTheme="minorHAnsi"/>
          <w:i/>
          <w:iCs/>
          <w:lang w:val="en-US"/>
        </w:rPr>
        <w:t>Gut</w:t>
      </w:r>
      <w:r w:rsidRPr="00026AF4">
        <w:rPr>
          <w:rFonts w:hAnsiTheme="minorHAnsi"/>
          <w:lang w:val="en-US"/>
        </w:rPr>
        <w:t xml:space="preserve"> </w:t>
      </w:r>
      <w:r w:rsidRPr="00026AF4">
        <w:rPr>
          <w:rFonts w:hAnsiTheme="minorHAnsi"/>
          <w:b/>
          <w:bCs/>
          <w:lang w:val="en-US"/>
        </w:rPr>
        <w:t>59,</w:t>
      </w:r>
      <w:r w:rsidRPr="00026AF4">
        <w:rPr>
          <w:rFonts w:hAnsiTheme="minorHAnsi"/>
          <w:lang w:val="en-US"/>
        </w:rPr>
        <w:t xml:space="preserve"> 800–807 (2010).</w:t>
      </w:r>
    </w:p>
    <w:p w14:paraId="71967B1B"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9.</w:t>
      </w:r>
      <w:r w:rsidRPr="00026AF4">
        <w:rPr>
          <w:rFonts w:hAnsiTheme="minorHAnsi"/>
          <w:lang w:val="en-US"/>
        </w:rPr>
        <w:tab/>
        <w:t xml:space="preserve">Sandhu, B. </w:t>
      </w:r>
      <w:r w:rsidRPr="00026AF4">
        <w:rPr>
          <w:rFonts w:hAnsiTheme="minorHAnsi"/>
          <w:i/>
          <w:iCs/>
          <w:lang w:val="en-US"/>
        </w:rPr>
        <w:t>et al.</w:t>
      </w:r>
      <w:r w:rsidRPr="00026AF4">
        <w:rPr>
          <w:rFonts w:hAnsiTheme="minorHAnsi"/>
          <w:lang w:val="en-US"/>
        </w:rPr>
        <w:t xml:space="preserve"> Presence of SPINK-1 variant alters the course of chronic pancreatitis. </w:t>
      </w:r>
      <w:r w:rsidRPr="00026AF4">
        <w:rPr>
          <w:rFonts w:hAnsiTheme="minorHAnsi"/>
          <w:i/>
          <w:iCs/>
          <w:lang w:val="en-US"/>
        </w:rPr>
        <w:t>J. Gastroenterol. Hepatol.</w:t>
      </w:r>
      <w:r w:rsidRPr="00026AF4">
        <w:rPr>
          <w:rFonts w:hAnsiTheme="minorHAnsi"/>
          <w:lang w:val="en-US"/>
        </w:rPr>
        <w:t xml:space="preserve"> </w:t>
      </w:r>
      <w:r w:rsidRPr="00026AF4">
        <w:rPr>
          <w:rFonts w:hAnsiTheme="minorHAnsi"/>
          <w:b/>
          <w:bCs/>
          <w:lang w:val="en-US"/>
        </w:rPr>
        <w:t>26,</w:t>
      </w:r>
      <w:r w:rsidRPr="00026AF4">
        <w:rPr>
          <w:rFonts w:hAnsiTheme="minorHAnsi"/>
          <w:lang w:val="en-US"/>
        </w:rPr>
        <w:t xml:space="preserve"> 965–969 (2011).</w:t>
      </w:r>
    </w:p>
    <w:p w14:paraId="34FDB937"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10.</w:t>
      </w:r>
      <w:r w:rsidRPr="00026AF4">
        <w:rPr>
          <w:rFonts w:hAnsiTheme="minorHAnsi"/>
          <w:lang w:val="en-US"/>
        </w:rPr>
        <w:tab/>
        <w:t xml:space="preserve">Sofia, V. M. </w:t>
      </w:r>
      <w:r w:rsidRPr="00026AF4">
        <w:rPr>
          <w:rFonts w:hAnsiTheme="minorHAnsi"/>
          <w:i/>
          <w:iCs/>
          <w:lang w:val="en-US"/>
        </w:rPr>
        <w:t>et al.</w:t>
      </w:r>
      <w:r w:rsidRPr="00026AF4">
        <w:rPr>
          <w:rFonts w:hAnsiTheme="minorHAnsi"/>
          <w:lang w:val="en-US"/>
        </w:rPr>
        <w:t xml:space="preserve"> Trans-heterozygosity for mutations enhances the risk of recurrent/chronic pancreatitis in patients with Cystic Fibrosis. </w:t>
      </w:r>
      <w:r w:rsidRPr="00026AF4">
        <w:rPr>
          <w:rFonts w:hAnsiTheme="minorHAnsi"/>
          <w:i/>
          <w:iCs/>
          <w:lang w:val="en-US"/>
        </w:rPr>
        <w:t>Mol. Med. Camb. Mass</w:t>
      </w:r>
      <w:r w:rsidRPr="00026AF4">
        <w:rPr>
          <w:rFonts w:hAnsiTheme="minorHAnsi"/>
          <w:lang w:val="en-US"/>
        </w:rPr>
        <w:t xml:space="preserve"> </w:t>
      </w:r>
      <w:r w:rsidRPr="00026AF4">
        <w:rPr>
          <w:rFonts w:hAnsiTheme="minorHAnsi"/>
          <w:b/>
          <w:bCs/>
          <w:lang w:val="en-US"/>
        </w:rPr>
        <w:t>24,</w:t>
      </w:r>
      <w:r w:rsidRPr="00026AF4">
        <w:rPr>
          <w:rFonts w:hAnsiTheme="minorHAnsi"/>
          <w:lang w:val="en-US"/>
        </w:rPr>
        <w:t xml:space="preserve"> 38 (2018).</w:t>
      </w:r>
    </w:p>
    <w:p w14:paraId="04B736F2" w14:textId="77777777" w:rsidR="0020689D" w:rsidRPr="00026AF4" w:rsidRDefault="00CE710A" w:rsidP="00CE710A">
      <w:pPr>
        <w:widowControl w:val="0"/>
        <w:autoSpaceDE w:val="0"/>
        <w:autoSpaceDN w:val="0"/>
        <w:adjustRightInd w:val="0"/>
        <w:rPr>
          <w:rFonts w:hAnsiTheme="minorHAnsi"/>
          <w:lang w:val="en-US"/>
        </w:rPr>
      </w:pPr>
      <w:r w:rsidRPr="00026AF4">
        <w:rPr>
          <w:rFonts w:hAnsiTheme="minorHAnsi"/>
          <w:lang w:val="en-US"/>
        </w:rPr>
        <w:t>11.</w:t>
      </w:r>
      <w:r w:rsidRPr="00026AF4">
        <w:rPr>
          <w:rFonts w:hAnsiTheme="minorHAnsi"/>
          <w:lang w:val="en-US"/>
        </w:rPr>
        <w:tab/>
        <w:t xml:space="preserve">Banks, P. A. </w:t>
      </w:r>
      <w:r w:rsidRPr="00026AF4">
        <w:rPr>
          <w:rFonts w:hAnsiTheme="minorHAnsi"/>
          <w:i/>
          <w:iCs/>
          <w:lang w:val="en-US"/>
        </w:rPr>
        <w:t>et al.</w:t>
      </w:r>
      <w:r w:rsidRPr="00026AF4">
        <w:rPr>
          <w:rFonts w:hAnsiTheme="minorHAnsi"/>
          <w:lang w:val="en-US"/>
        </w:rPr>
        <w:t xml:space="preserve"> Classification of acute pancreatitis--2012: revision of the Atlanta classification and definitions by international consensus. </w:t>
      </w:r>
      <w:r w:rsidRPr="00026AF4">
        <w:rPr>
          <w:rFonts w:hAnsiTheme="minorHAnsi"/>
          <w:i/>
          <w:iCs/>
          <w:lang w:val="en-US"/>
        </w:rPr>
        <w:t>Gut</w:t>
      </w:r>
      <w:r w:rsidRPr="00026AF4">
        <w:rPr>
          <w:rFonts w:hAnsiTheme="minorHAnsi"/>
          <w:lang w:val="en-US"/>
        </w:rPr>
        <w:t xml:space="preserve"> </w:t>
      </w:r>
      <w:r w:rsidRPr="00026AF4">
        <w:rPr>
          <w:rFonts w:hAnsiTheme="minorHAnsi"/>
          <w:b/>
          <w:bCs/>
          <w:lang w:val="en-US"/>
        </w:rPr>
        <w:t>62,</w:t>
      </w:r>
      <w:r w:rsidRPr="00026AF4">
        <w:rPr>
          <w:rFonts w:hAnsiTheme="minorHAnsi"/>
          <w:lang w:val="en-US"/>
        </w:rPr>
        <w:t xml:space="preserve"> 102–111 (2013).</w:t>
      </w:r>
    </w:p>
    <w:p w14:paraId="03C38BBA" w14:textId="77777777" w:rsidR="00CE710A" w:rsidRPr="00026AF4" w:rsidRDefault="00CE710A" w:rsidP="00CE710A">
      <w:pPr>
        <w:widowControl w:val="0"/>
        <w:autoSpaceDE w:val="0"/>
        <w:autoSpaceDN w:val="0"/>
        <w:adjustRightInd w:val="0"/>
        <w:rPr>
          <w:rFonts w:hAnsiTheme="minorHAnsi"/>
          <w:lang w:val="en-US"/>
        </w:rPr>
      </w:pPr>
      <w:r w:rsidRPr="00026AF4">
        <w:rPr>
          <w:rFonts w:hAnsiTheme="minorHAnsi"/>
          <w:lang w:val="en-US"/>
        </w:rPr>
        <w:t>12.</w:t>
      </w:r>
      <w:r w:rsidRPr="00026AF4">
        <w:rPr>
          <w:rFonts w:hAnsiTheme="minorHAnsi"/>
          <w:lang w:val="en-US"/>
        </w:rPr>
        <w:tab/>
        <w:t xml:space="preserve">Le Maréchal, C. </w:t>
      </w:r>
      <w:r w:rsidRPr="00026AF4">
        <w:rPr>
          <w:rFonts w:hAnsiTheme="minorHAnsi"/>
          <w:i/>
          <w:iCs/>
          <w:lang w:val="en-US"/>
        </w:rPr>
        <w:t>et al.</w:t>
      </w:r>
      <w:r w:rsidRPr="00026AF4">
        <w:rPr>
          <w:rFonts w:hAnsiTheme="minorHAnsi"/>
          <w:lang w:val="en-US"/>
        </w:rPr>
        <w:t xml:space="preserve"> Two novel severe mutations in the pancreatic secretory trypsin inhibitor gene (SPINK1) cause familial and/or hereditary pancreatitis. </w:t>
      </w:r>
      <w:r w:rsidRPr="00026AF4">
        <w:rPr>
          <w:rFonts w:hAnsiTheme="minorHAnsi"/>
          <w:i/>
          <w:iCs/>
          <w:lang w:val="en-US"/>
        </w:rPr>
        <w:t>Hum. Mutat.</w:t>
      </w:r>
      <w:r w:rsidRPr="00026AF4">
        <w:rPr>
          <w:rFonts w:hAnsiTheme="minorHAnsi"/>
          <w:lang w:val="en-US"/>
        </w:rPr>
        <w:t xml:space="preserve"> </w:t>
      </w:r>
      <w:r w:rsidRPr="00026AF4">
        <w:rPr>
          <w:rFonts w:hAnsiTheme="minorHAnsi"/>
          <w:b/>
          <w:bCs/>
          <w:lang w:val="en-US"/>
        </w:rPr>
        <w:t>23,</w:t>
      </w:r>
      <w:r w:rsidRPr="00026AF4">
        <w:rPr>
          <w:rFonts w:hAnsiTheme="minorHAnsi"/>
          <w:lang w:val="en-US"/>
        </w:rPr>
        <w:t xml:space="preserve"> 205 (2004).</w:t>
      </w:r>
    </w:p>
    <w:p w14:paraId="7FD41FAE" w14:textId="77777777" w:rsidR="0020689D" w:rsidRPr="00026AF4" w:rsidRDefault="0020689D" w:rsidP="00CE710A">
      <w:pPr>
        <w:widowControl w:val="0"/>
        <w:autoSpaceDE w:val="0"/>
        <w:autoSpaceDN w:val="0"/>
        <w:adjustRightInd w:val="0"/>
        <w:rPr>
          <w:rFonts w:hAnsiTheme="minorHAnsi"/>
          <w:lang w:val="en-US"/>
        </w:rPr>
      </w:pPr>
      <w:r w:rsidRPr="00026AF4">
        <w:rPr>
          <w:rFonts w:hAnsiTheme="minorHAnsi"/>
          <w:lang w:val="en-US"/>
        </w:rPr>
        <w:t xml:space="preserve">13. </w:t>
      </w:r>
      <w:r w:rsidRPr="00026AF4">
        <w:rPr>
          <w:rFonts w:hAnsiTheme="minorHAnsi"/>
          <w:lang w:val="en-US"/>
        </w:rPr>
        <w:tab/>
        <w:t xml:space="preserve">Le Maréchal C </w:t>
      </w:r>
      <w:r w:rsidRPr="00026AF4">
        <w:rPr>
          <w:rFonts w:hAnsiTheme="minorHAnsi"/>
          <w:i/>
          <w:lang w:val="en-US"/>
        </w:rPr>
        <w:t>et al</w:t>
      </w:r>
      <w:r w:rsidRPr="00026AF4">
        <w:rPr>
          <w:rFonts w:hAnsiTheme="minorHAnsi"/>
          <w:lang w:val="en-US"/>
        </w:rPr>
        <w:t xml:space="preserve">. Identification of a novel pancreatitis-associated missense mutation, R116C, in the human cationic trypsinogen gene (PRSS1). </w:t>
      </w:r>
      <w:r w:rsidRPr="00026AF4">
        <w:rPr>
          <w:rFonts w:hAnsiTheme="minorHAnsi"/>
          <w:i/>
          <w:lang w:val="en-US"/>
        </w:rPr>
        <w:t>Mol. Genet. Metab</w:t>
      </w:r>
      <w:r w:rsidRPr="00026AF4">
        <w:rPr>
          <w:rFonts w:hAnsiTheme="minorHAnsi"/>
          <w:lang w:val="en-US"/>
        </w:rPr>
        <w:t xml:space="preserve"> </w:t>
      </w:r>
      <w:r w:rsidRPr="00026AF4">
        <w:rPr>
          <w:rFonts w:hAnsiTheme="minorHAnsi"/>
          <w:b/>
          <w:lang w:val="en-US"/>
        </w:rPr>
        <w:t>74</w:t>
      </w:r>
      <w:r w:rsidRPr="00026AF4">
        <w:rPr>
          <w:rFonts w:hAnsiTheme="minorHAnsi"/>
          <w:lang w:val="en-US"/>
        </w:rPr>
        <w:t>(3), 342-4 (2001)</w:t>
      </w:r>
    </w:p>
    <w:p w14:paraId="07D0507F" w14:textId="77777777" w:rsidR="0009385B" w:rsidRPr="00026AF4" w:rsidRDefault="0009385B" w:rsidP="00CE710A">
      <w:pPr>
        <w:widowControl w:val="0"/>
        <w:autoSpaceDE w:val="0"/>
        <w:autoSpaceDN w:val="0"/>
        <w:adjustRightInd w:val="0"/>
        <w:rPr>
          <w:rFonts w:hAnsiTheme="minorHAnsi"/>
          <w:lang w:val="en-US"/>
        </w:rPr>
      </w:pPr>
      <w:r w:rsidRPr="00026AF4">
        <w:rPr>
          <w:rFonts w:hAnsiTheme="minorHAnsi"/>
          <w:lang w:val="en-US"/>
        </w:rPr>
        <w:t>14.</w:t>
      </w:r>
      <w:r w:rsidRPr="00026AF4">
        <w:rPr>
          <w:rFonts w:hAnsiTheme="minorHAnsi"/>
          <w:lang w:val="en-US"/>
        </w:rPr>
        <w:tab/>
        <w:t xml:space="preserve">Le Marechal C et al. Complete and rapid scanning of the cystic fibrosis transmembrane conductance regulator (CFTR) gene by denaturing high-performance liquid chromatography (D-HPLC): major implications for genetic counselling. </w:t>
      </w:r>
      <w:r w:rsidRPr="00026AF4">
        <w:rPr>
          <w:rFonts w:hAnsiTheme="minorHAnsi"/>
          <w:i/>
          <w:lang w:val="en-US"/>
        </w:rPr>
        <w:t>Hum Genet</w:t>
      </w:r>
      <w:r w:rsidRPr="00026AF4">
        <w:rPr>
          <w:rFonts w:hAnsiTheme="minorHAnsi"/>
          <w:b/>
          <w:lang w:val="en-US"/>
        </w:rPr>
        <w:t xml:space="preserve"> 108</w:t>
      </w:r>
      <w:r w:rsidRPr="00026AF4">
        <w:rPr>
          <w:rFonts w:hAnsiTheme="minorHAnsi"/>
          <w:lang w:val="en-US"/>
        </w:rPr>
        <w:t>, 290–298 (2001)</w:t>
      </w:r>
    </w:p>
    <w:p w14:paraId="5DACDC65" w14:textId="77777777" w:rsidR="0009385B" w:rsidRPr="00026AF4" w:rsidRDefault="0009385B" w:rsidP="00CE710A">
      <w:pPr>
        <w:widowControl w:val="0"/>
        <w:autoSpaceDE w:val="0"/>
        <w:autoSpaceDN w:val="0"/>
        <w:adjustRightInd w:val="0"/>
        <w:rPr>
          <w:rFonts w:hAnsiTheme="minorHAnsi"/>
          <w:lang w:val="en-US"/>
        </w:rPr>
      </w:pPr>
      <w:r w:rsidRPr="00026AF4">
        <w:rPr>
          <w:rFonts w:hAnsiTheme="minorHAnsi"/>
          <w:lang w:val="en-US"/>
        </w:rPr>
        <w:t>15.</w:t>
      </w:r>
      <w:r w:rsidRPr="00026AF4">
        <w:rPr>
          <w:rFonts w:hAnsiTheme="minorHAnsi"/>
          <w:lang w:val="en-US"/>
        </w:rPr>
        <w:tab/>
        <w:t xml:space="preserve">Audrezet MP et al. Validation of high-resolution DNA melting analysis for mutation scanning of the cystic fibrosis transmembrane conductance regulator (CFTR) gene. </w:t>
      </w:r>
      <w:r w:rsidRPr="00026AF4">
        <w:rPr>
          <w:rFonts w:hAnsiTheme="minorHAnsi"/>
          <w:i/>
          <w:lang w:val="en-US"/>
        </w:rPr>
        <w:t>J. Mol. Diagn</w:t>
      </w:r>
      <w:r w:rsidRPr="00026AF4">
        <w:rPr>
          <w:rFonts w:hAnsiTheme="minorHAnsi"/>
          <w:lang w:val="en-US"/>
        </w:rPr>
        <w:t xml:space="preserve"> </w:t>
      </w:r>
      <w:r w:rsidRPr="00026AF4">
        <w:rPr>
          <w:rFonts w:hAnsiTheme="minorHAnsi"/>
          <w:b/>
          <w:lang w:val="en-US"/>
        </w:rPr>
        <w:t>10</w:t>
      </w:r>
      <w:r w:rsidRPr="00026AF4">
        <w:rPr>
          <w:rFonts w:hAnsiTheme="minorHAnsi"/>
          <w:lang w:val="en-US"/>
        </w:rPr>
        <w:t xml:space="preserve">, 424-434 </w:t>
      </w:r>
      <w:r w:rsidRPr="00026AF4">
        <w:rPr>
          <w:rFonts w:hAnsiTheme="minorHAnsi"/>
          <w:i/>
          <w:lang w:val="en-US"/>
        </w:rPr>
        <w:t xml:space="preserve"> </w:t>
      </w:r>
      <w:r w:rsidRPr="00026AF4">
        <w:rPr>
          <w:rFonts w:hAnsiTheme="minorHAnsi"/>
          <w:lang w:val="en-US"/>
        </w:rPr>
        <w:t>(2008)</w:t>
      </w:r>
    </w:p>
    <w:p w14:paraId="4B8FFABD" w14:textId="77777777" w:rsidR="0009385B" w:rsidRPr="00026AF4" w:rsidRDefault="0009385B" w:rsidP="0009385B">
      <w:pPr>
        <w:autoSpaceDE w:val="0"/>
        <w:autoSpaceDN w:val="0"/>
        <w:adjustRightInd w:val="0"/>
        <w:spacing w:line="360" w:lineRule="auto"/>
        <w:jc w:val="both"/>
        <w:rPr>
          <w:rFonts w:ascii="Times New Roman" w:hAnsi="Times New Roman"/>
          <w:sz w:val="24"/>
          <w:szCs w:val="24"/>
          <w:lang w:val="en-US"/>
        </w:rPr>
      </w:pPr>
      <w:r w:rsidRPr="00026AF4">
        <w:rPr>
          <w:rFonts w:hAnsiTheme="minorHAnsi"/>
          <w:lang w:val="en-US"/>
        </w:rPr>
        <w:t>16.</w:t>
      </w:r>
      <w:r w:rsidRPr="00026AF4">
        <w:rPr>
          <w:rFonts w:hAnsiTheme="minorHAnsi"/>
          <w:lang w:val="en-US"/>
        </w:rPr>
        <w:tab/>
        <w:t xml:space="preserve">Masson E </w:t>
      </w:r>
      <w:r w:rsidRPr="00026AF4">
        <w:rPr>
          <w:rFonts w:hAnsiTheme="minorHAnsi"/>
          <w:i/>
          <w:lang w:val="en-US"/>
        </w:rPr>
        <w:t>et al</w:t>
      </w:r>
      <w:r w:rsidRPr="00026AF4">
        <w:rPr>
          <w:rFonts w:hAnsiTheme="minorHAnsi"/>
          <w:lang w:val="en-US"/>
        </w:rPr>
        <w:t xml:space="preserve">. </w:t>
      </w:r>
      <w:r w:rsidRPr="00026AF4">
        <w:rPr>
          <w:rFonts w:hAnsiTheme="minorHAnsi"/>
          <w:i/>
          <w:lang w:val="en-US"/>
        </w:rPr>
        <w:t>Hum Genet</w:t>
      </w:r>
      <w:r w:rsidRPr="00026AF4">
        <w:rPr>
          <w:rFonts w:hAnsiTheme="minorHAnsi"/>
          <w:b/>
          <w:lang w:val="en-US"/>
        </w:rPr>
        <w:t xml:space="preserve"> 123</w:t>
      </w:r>
      <w:r w:rsidRPr="00026AF4">
        <w:rPr>
          <w:rFonts w:hAnsiTheme="minorHAnsi"/>
          <w:lang w:val="en-US"/>
        </w:rPr>
        <w:t>, 83-91(2008)</w:t>
      </w:r>
    </w:p>
    <w:p w14:paraId="6D92FBA6" w14:textId="77777777" w:rsidR="00A87222" w:rsidRPr="00026AF4" w:rsidRDefault="004245CC" w:rsidP="00A87222">
      <w:pPr>
        <w:rPr>
          <w:rFonts w:ascii="Times" w:eastAsia="Times New Roman" w:hAnsi="Times"/>
          <w:sz w:val="20"/>
          <w:szCs w:val="20"/>
          <w:lang w:val="en-US"/>
        </w:rPr>
      </w:pPr>
      <w:r w:rsidRPr="00026AF4">
        <w:rPr>
          <w:rFonts w:hAnsiTheme="minorHAnsi"/>
          <w:lang w:val="en-US"/>
        </w:rPr>
        <w:t>17</w:t>
      </w:r>
      <w:r w:rsidR="00CE710A" w:rsidRPr="00026AF4">
        <w:rPr>
          <w:rFonts w:hAnsiTheme="minorHAnsi"/>
          <w:lang w:val="en-US"/>
        </w:rPr>
        <w:t>.</w:t>
      </w:r>
      <w:r w:rsidR="00CE710A" w:rsidRPr="00026AF4">
        <w:rPr>
          <w:rFonts w:hAnsiTheme="minorHAnsi"/>
          <w:lang w:val="en-US"/>
        </w:rPr>
        <w:tab/>
      </w:r>
      <w:r w:rsidR="002B5894" w:rsidRPr="00026AF4">
        <w:rPr>
          <w:rFonts w:eastAsia="Times New Roman"/>
          <w:color w:val="000000"/>
          <w:szCs w:val="18"/>
          <w:lang w:val="en-US"/>
        </w:rPr>
        <w:t xml:space="preserve">Zou, W.B. </w:t>
      </w:r>
      <w:r w:rsidR="002B5894" w:rsidRPr="00026AF4">
        <w:rPr>
          <w:rFonts w:eastAsia="Times New Roman"/>
          <w:i/>
          <w:color w:val="000000"/>
          <w:szCs w:val="18"/>
          <w:lang w:val="en-US"/>
        </w:rPr>
        <w:t xml:space="preserve">et al. </w:t>
      </w:r>
      <w:r w:rsidR="00A87222" w:rsidRPr="00026AF4">
        <w:rPr>
          <w:rFonts w:eastAsia="Times New Roman"/>
          <w:color w:val="000000"/>
          <w:szCs w:val="18"/>
          <w:lang w:val="en-US"/>
        </w:rPr>
        <w:t>SPINK1, PRSS1, CTRC, and CFTR Genotypes Influence Disease Onset and Clinical Ou</w:t>
      </w:r>
      <w:r w:rsidR="002B5894" w:rsidRPr="00026AF4">
        <w:rPr>
          <w:rFonts w:eastAsia="Times New Roman"/>
          <w:color w:val="000000"/>
          <w:szCs w:val="18"/>
          <w:lang w:val="en-US"/>
        </w:rPr>
        <w:t xml:space="preserve">tcomes in Chronic Pancreatitis. </w:t>
      </w:r>
      <w:r w:rsidR="00A87222" w:rsidRPr="00026AF4">
        <w:rPr>
          <w:rFonts w:eastAsia="Times New Roman"/>
          <w:color w:val="000000"/>
          <w:szCs w:val="18"/>
          <w:lang w:val="en-US"/>
        </w:rPr>
        <w:t>Clin Transl Gastroenterol. 2018 Nov 12;9(11):204.</w:t>
      </w:r>
    </w:p>
    <w:p w14:paraId="3ACD0B16" w14:textId="77777777" w:rsidR="00CE710A" w:rsidRPr="00026AF4" w:rsidRDefault="00A87222" w:rsidP="00CE710A">
      <w:pPr>
        <w:widowControl w:val="0"/>
        <w:autoSpaceDE w:val="0"/>
        <w:autoSpaceDN w:val="0"/>
        <w:adjustRightInd w:val="0"/>
        <w:rPr>
          <w:rFonts w:hAnsiTheme="minorHAnsi"/>
          <w:lang w:val="en-US"/>
        </w:rPr>
      </w:pPr>
      <w:r w:rsidRPr="00026AF4">
        <w:rPr>
          <w:rFonts w:hAnsiTheme="minorHAnsi"/>
          <w:lang w:val="en-US"/>
        </w:rPr>
        <w:t>1</w:t>
      </w:r>
      <w:r w:rsidR="004245CC" w:rsidRPr="00026AF4">
        <w:rPr>
          <w:rFonts w:hAnsiTheme="minorHAnsi"/>
          <w:lang w:val="en-US"/>
        </w:rPr>
        <w:t>8</w:t>
      </w:r>
      <w:r w:rsidRPr="00026AF4">
        <w:rPr>
          <w:rFonts w:hAnsiTheme="minorHAnsi"/>
          <w:lang w:val="en-US"/>
        </w:rPr>
        <w:t>.</w:t>
      </w:r>
      <w:r w:rsidRPr="00026AF4">
        <w:rPr>
          <w:rFonts w:hAnsiTheme="minorHAnsi"/>
          <w:lang w:val="en-US"/>
        </w:rPr>
        <w:tab/>
      </w:r>
      <w:r w:rsidR="00CE710A" w:rsidRPr="00026AF4">
        <w:rPr>
          <w:rFonts w:hAnsiTheme="minorHAnsi"/>
          <w:lang w:val="en-US"/>
        </w:rPr>
        <w:t xml:space="preserve">Drenth, J. P. H. Mutations in serine protease inhibitor Kazal type 1 are strongly associated with chronic pancreatitis. </w:t>
      </w:r>
      <w:r w:rsidR="00CE710A" w:rsidRPr="00026AF4">
        <w:rPr>
          <w:rFonts w:hAnsiTheme="minorHAnsi"/>
          <w:i/>
          <w:iCs/>
          <w:lang w:val="en-US"/>
        </w:rPr>
        <w:t>Gut</w:t>
      </w:r>
      <w:r w:rsidR="00CE710A" w:rsidRPr="00026AF4">
        <w:rPr>
          <w:rFonts w:hAnsiTheme="minorHAnsi"/>
          <w:lang w:val="en-US"/>
        </w:rPr>
        <w:t xml:space="preserve"> </w:t>
      </w:r>
      <w:r w:rsidR="00CE710A" w:rsidRPr="00026AF4">
        <w:rPr>
          <w:rFonts w:hAnsiTheme="minorHAnsi"/>
          <w:b/>
          <w:bCs/>
          <w:lang w:val="en-US"/>
        </w:rPr>
        <w:t>50,</w:t>
      </w:r>
      <w:r w:rsidR="00CE710A" w:rsidRPr="00026AF4">
        <w:rPr>
          <w:rFonts w:hAnsiTheme="minorHAnsi"/>
          <w:lang w:val="en-US"/>
        </w:rPr>
        <w:t xml:space="preserve"> 687–692 (2002).</w:t>
      </w:r>
    </w:p>
    <w:p w14:paraId="672F2787" w14:textId="77777777" w:rsidR="00CE710A" w:rsidRPr="00026AF4" w:rsidRDefault="00A87222" w:rsidP="00CE710A">
      <w:pPr>
        <w:widowControl w:val="0"/>
        <w:autoSpaceDE w:val="0"/>
        <w:autoSpaceDN w:val="0"/>
        <w:adjustRightInd w:val="0"/>
        <w:rPr>
          <w:rFonts w:hAnsiTheme="minorHAnsi"/>
          <w:lang w:val="en-US"/>
        </w:rPr>
      </w:pPr>
      <w:r w:rsidRPr="00026AF4">
        <w:rPr>
          <w:rFonts w:hAnsiTheme="minorHAnsi"/>
        </w:rPr>
        <w:t>1</w:t>
      </w:r>
      <w:r w:rsidR="004245CC" w:rsidRPr="00026AF4">
        <w:rPr>
          <w:rFonts w:hAnsiTheme="minorHAnsi"/>
        </w:rPr>
        <w:t>9</w:t>
      </w:r>
      <w:r w:rsidR="00CE710A" w:rsidRPr="00026AF4">
        <w:rPr>
          <w:rFonts w:hAnsiTheme="minorHAnsi"/>
        </w:rPr>
        <w:t>.</w:t>
      </w:r>
      <w:r w:rsidR="00CE710A" w:rsidRPr="00026AF4">
        <w:rPr>
          <w:rFonts w:hAnsiTheme="minorHAnsi"/>
        </w:rPr>
        <w:tab/>
        <w:t xml:space="preserve">Di Leo, M. </w:t>
      </w:r>
      <w:r w:rsidR="00CE710A" w:rsidRPr="00026AF4">
        <w:rPr>
          <w:rFonts w:hAnsiTheme="minorHAnsi"/>
          <w:i/>
          <w:iCs/>
        </w:rPr>
        <w:t>et al.</w:t>
      </w:r>
      <w:r w:rsidR="00CE710A" w:rsidRPr="00026AF4">
        <w:rPr>
          <w:rFonts w:hAnsiTheme="minorHAnsi"/>
        </w:rPr>
        <w:t xml:space="preserve"> </w:t>
      </w:r>
      <w:r w:rsidR="00CE710A" w:rsidRPr="00026AF4">
        <w:rPr>
          <w:rFonts w:hAnsiTheme="minorHAnsi"/>
          <w:lang w:val="en-US"/>
        </w:rPr>
        <w:t>Meta-analysis of the impact of SPINK1 p.</w:t>
      </w:r>
      <w:r w:rsidR="004911F9" w:rsidRPr="00026AF4">
        <w:rPr>
          <w:rFonts w:hAnsiTheme="minorHAnsi"/>
          <w:lang w:val="en-US"/>
        </w:rPr>
        <w:t>p.N34S</w:t>
      </w:r>
      <w:r w:rsidR="00CE710A" w:rsidRPr="00026AF4">
        <w:rPr>
          <w:rFonts w:hAnsiTheme="minorHAnsi"/>
          <w:lang w:val="en-US"/>
        </w:rPr>
        <w:t xml:space="preserve"> gene variation in Caucasic patients with chronic pancreatitis. An update. </w:t>
      </w:r>
      <w:r w:rsidR="00CE710A" w:rsidRPr="00026AF4">
        <w:rPr>
          <w:rFonts w:hAnsiTheme="minorHAnsi"/>
          <w:i/>
          <w:iCs/>
          <w:lang w:val="en-US"/>
        </w:rPr>
        <w:t>Dig. Liver Dis. Off. J. Ital. Soc. Gastroenterol. Ital. Assoc. Study Liver</w:t>
      </w:r>
      <w:r w:rsidR="00CE710A" w:rsidRPr="00026AF4">
        <w:rPr>
          <w:rFonts w:hAnsiTheme="minorHAnsi"/>
          <w:lang w:val="en-US"/>
        </w:rPr>
        <w:t xml:space="preserve"> (2017). doi:10.1016/j.dld.2017.04.023</w:t>
      </w:r>
    </w:p>
    <w:p w14:paraId="170C4C66" w14:textId="77777777" w:rsidR="00CE710A" w:rsidRPr="00026AF4" w:rsidRDefault="004245CC" w:rsidP="00CE710A">
      <w:pPr>
        <w:widowControl w:val="0"/>
        <w:autoSpaceDE w:val="0"/>
        <w:autoSpaceDN w:val="0"/>
        <w:adjustRightInd w:val="0"/>
        <w:rPr>
          <w:rFonts w:hAnsiTheme="minorHAnsi"/>
          <w:lang w:val="en-US"/>
        </w:rPr>
      </w:pPr>
      <w:r w:rsidRPr="00026AF4">
        <w:rPr>
          <w:rFonts w:hAnsiTheme="minorHAnsi"/>
          <w:lang w:val="en-US"/>
        </w:rPr>
        <w:t>20</w:t>
      </w:r>
      <w:r w:rsidR="00CE710A" w:rsidRPr="00026AF4">
        <w:rPr>
          <w:rFonts w:hAnsiTheme="minorHAnsi"/>
          <w:lang w:val="en-US"/>
        </w:rPr>
        <w:t>.</w:t>
      </w:r>
      <w:r w:rsidR="00CE710A" w:rsidRPr="00026AF4">
        <w:rPr>
          <w:rFonts w:hAnsiTheme="minorHAnsi"/>
          <w:lang w:val="en-US"/>
        </w:rPr>
        <w:tab/>
        <w:t xml:space="preserve">Kereszturi, E., Király, O. &amp; Sahin-Tóth, M. Minigene analysis of intronic variants in common SPINK1 haplotypes associated with chronic pancreatitis. </w:t>
      </w:r>
      <w:r w:rsidR="00CE710A" w:rsidRPr="00026AF4">
        <w:rPr>
          <w:rFonts w:hAnsiTheme="minorHAnsi"/>
          <w:i/>
          <w:iCs/>
          <w:lang w:val="en-US"/>
        </w:rPr>
        <w:t>Gut</w:t>
      </w:r>
      <w:r w:rsidR="00CE710A" w:rsidRPr="00026AF4">
        <w:rPr>
          <w:rFonts w:hAnsiTheme="minorHAnsi"/>
          <w:lang w:val="en-US"/>
        </w:rPr>
        <w:t xml:space="preserve"> </w:t>
      </w:r>
      <w:r w:rsidR="00CE710A" w:rsidRPr="00026AF4">
        <w:rPr>
          <w:rFonts w:hAnsiTheme="minorHAnsi"/>
          <w:b/>
          <w:bCs/>
          <w:lang w:val="en-US"/>
        </w:rPr>
        <w:t>58,</w:t>
      </w:r>
      <w:r w:rsidR="00CE710A" w:rsidRPr="00026AF4">
        <w:rPr>
          <w:rFonts w:hAnsiTheme="minorHAnsi"/>
          <w:lang w:val="en-US"/>
        </w:rPr>
        <w:t xml:space="preserve"> 545–549 (2009).</w:t>
      </w:r>
    </w:p>
    <w:p w14:paraId="4DDB9D2D" w14:textId="77777777" w:rsidR="00CE710A" w:rsidRPr="00026AF4" w:rsidRDefault="004245CC" w:rsidP="00CE710A">
      <w:pPr>
        <w:widowControl w:val="0"/>
        <w:autoSpaceDE w:val="0"/>
        <w:autoSpaceDN w:val="0"/>
        <w:adjustRightInd w:val="0"/>
        <w:rPr>
          <w:rFonts w:hAnsiTheme="minorHAnsi"/>
          <w:lang w:val="en-US"/>
        </w:rPr>
      </w:pPr>
      <w:r w:rsidRPr="00026AF4">
        <w:rPr>
          <w:rFonts w:hAnsiTheme="minorHAnsi"/>
          <w:lang w:val="en-US"/>
        </w:rPr>
        <w:t>21</w:t>
      </w:r>
      <w:r w:rsidR="00CE710A" w:rsidRPr="00026AF4">
        <w:rPr>
          <w:rFonts w:hAnsiTheme="minorHAnsi"/>
          <w:lang w:val="en-US"/>
        </w:rPr>
        <w:t>.</w:t>
      </w:r>
      <w:r w:rsidR="00CE710A" w:rsidRPr="00026AF4">
        <w:rPr>
          <w:rFonts w:hAnsiTheme="minorHAnsi"/>
          <w:lang w:val="en-US"/>
        </w:rPr>
        <w:tab/>
        <w:t xml:space="preserve">Castellani, C. </w:t>
      </w:r>
      <w:r w:rsidR="00CE710A" w:rsidRPr="00026AF4">
        <w:rPr>
          <w:rFonts w:hAnsiTheme="minorHAnsi"/>
          <w:i/>
          <w:iCs/>
          <w:lang w:val="en-US"/>
        </w:rPr>
        <w:t>et al.</w:t>
      </w:r>
      <w:r w:rsidR="00CE710A" w:rsidRPr="00026AF4">
        <w:rPr>
          <w:rFonts w:hAnsiTheme="minorHAnsi"/>
          <w:lang w:val="en-US"/>
        </w:rPr>
        <w:t xml:space="preserve"> Consensus on the use and interpretation of cystic fibrosis mutation analysis in clinical practice. </w:t>
      </w:r>
      <w:r w:rsidR="00CE710A" w:rsidRPr="00026AF4">
        <w:rPr>
          <w:rFonts w:hAnsiTheme="minorHAnsi"/>
          <w:i/>
          <w:iCs/>
          <w:lang w:val="en-US"/>
        </w:rPr>
        <w:t>J. Cyst. Fibros.</w:t>
      </w:r>
      <w:r w:rsidR="00CE710A" w:rsidRPr="00026AF4">
        <w:rPr>
          <w:rFonts w:hAnsiTheme="minorHAnsi"/>
          <w:lang w:val="en-US"/>
        </w:rPr>
        <w:t xml:space="preserve"> </w:t>
      </w:r>
      <w:r w:rsidR="00CE710A" w:rsidRPr="00026AF4">
        <w:rPr>
          <w:rFonts w:hAnsiTheme="minorHAnsi"/>
          <w:b/>
          <w:bCs/>
          <w:lang w:val="en-US"/>
        </w:rPr>
        <w:t>7,</w:t>
      </w:r>
      <w:r w:rsidR="00CE710A" w:rsidRPr="00026AF4">
        <w:rPr>
          <w:rFonts w:hAnsiTheme="minorHAnsi"/>
          <w:lang w:val="en-US"/>
        </w:rPr>
        <w:t xml:space="preserve"> 179–196 (2008).</w:t>
      </w:r>
    </w:p>
    <w:p w14:paraId="7D29A30E" w14:textId="77777777" w:rsidR="00CE710A" w:rsidRPr="00026AF4" w:rsidRDefault="004245CC" w:rsidP="00CE710A">
      <w:pPr>
        <w:widowControl w:val="0"/>
        <w:autoSpaceDE w:val="0"/>
        <w:autoSpaceDN w:val="0"/>
        <w:adjustRightInd w:val="0"/>
        <w:rPr>
          <w:rFonts w:hAnsiTheme="minorHAnsi"/>
          <w:lang w:val="en-US"/>
        </w:rPr>
      </w:pPr>
      <w:r w:rsidRPr="00026AF4">
        <w:rPr>
          <w:rFonts w:hAnsiTheme="minorHAnsi"/>
          <w:lang w:val="en-US"/>
        </w:rPr>
        <w:t>22</w:t>
      </w:r>
      <w:r w:rsidR="00CE710A" w:rsidRPr="00026AF4">
        <w:rPr>
          <w:rFonts w:hAnsiTheme="minorHAnsi"/>
          <w:lang w:val="en-US"/>
        </w:rPr>
        <w:t>.</w:t>
      </w:r>
      <w:r w:rsidR="00CE710A" w:rsidRPr="00026AF4">
        <w:rPr>
          <w:rFonts w:hAnsiTheme="minorHAnsi"/>
          <w:lang w:val="en-US"/>
        </w:rPr>
        <w:tab/>
        <w:t xml:space="preserve">Szmola, R. &amp; Sahin-Toth, M. Chymotrypsin C (caldecrin) promotes degradation of human cationic trypsin: Identity with Rinderknecht’s enzyme Y. </w:t>
      </w:r>
      <w:r w:rsidR="00CE710A" w:rsidRPr="00026AF4">
        <w:rPr>
          <w:rFonts w:hAnsiTheme="minorHAnsi"/>
          <w:i/>
          <w:iCs/>
          <w:lang w:val="en-US"/>
        </w:rPr>
        <w:t>Proc. Natl. Acad. Sci.</w:t>
      </w:r>
      <w:r w:rsidR="00CE710A" w:rsidRPr="00026AF4">
        <w:rPr>
          <w:rFonts w:hAnsiTheme="minorHAnsi"/>
          <w:lang w:val="en-US"/>
        </w:rPr>
        <w:t xml:space="preserve"> </w:t>
      </w:r>
      <w:r w:rsidR="00CE710A" w:rsidRPr="00026AF4">
        <w:rPr>
          <w:rFonts w:hAnsiTheme="minorHAnsi"/>
          <w:b/>
          <w:bCs/>
          <w:lang w:val="en-US"/>
        </w:rPr>
        <w:t>104,</w:t>
      </w:r>
      <w:r w:rsidR="00CE710A" w:rsidRPr="00026AF4">
        <w:rPr>
          <w:rFonts w:hAnsiTheme="minorHAnsi"/>
          <w:lang w:val="en-US"/>
        </w:rPr>
        <w:t xml:space="preserve"> 11227–11232 (2007).</w:t>
      </w:r>
    </w:p>
    <w:p w14:paraId="41615CE0" w14:textId="77777777" w:rsidR="00CE710A" w:rsidRPr="00026AF4" w:rsidRDefault="004245CC" w:rsidP="00CE710A">
      <w:pPr>
        <w:widowControl w:val="0"/>
        <w:autoSpaceDE w:val="0"/>
        <w:autoSpaceDN w:val="0"/>
        <w:adjustRightInd w:val="0"/>
        <w:rPr>
          <w:rFonts w:hAnsiTheme="minorHAnsi"/>
          <w:lang w:val="en-US"/>
        </w:rPr>
      </w:pPr>
      <w:r w:rsidRPr="00026AF4">
        <w:rPr>
          <w:rFonts w:hAnsiTheme="minorHAnsi"/>
          <w:lang w:val="en-US"/>
        </w:rPr>
        <w:lastRenderedPageBreak/>
        <w:t>23</w:t>
      </w:r>
      <w:r w:rsidR="00CE710A" w:rsidRPr="00026AF4">
        <w:rPr>
          <w:rFonts w:hAnsiTheme="minorHAnsi"/>
          <w:lang w:val="en-US"/>
        </w:rPr>
        <w:t>.</w:t>
      </w:r>
      <w:r w:rsidR="00CE710A" w:rsidRPr="00026AF4">
        <w:rPr>
          <w:rFonts w:hAnsiTheme="minorHAnsi"/>
          <w:lang w:val="en-US"/>
        </w:rPr>
        <w:tab/>
        <w:t xml:space="preserve">Howes, N. </w:t>
      </w:r>
      <w:r w:rsidR="00CE710A" w:rsidRPr="00026AF4">
        <w:rPr>
          <w:rFonts w:hAnsiTheme="minorHAnsi"/>
          <w:i/>
          <w:iCs/>
          <w:lang w:val="en-US"/>
        </w:rPr>
        <w:t>et al.</w:t>
      </w:r>
      <w:r w:rsidR="00CE710A" w:rsidRPr="00026AF4">
        <w:rPr>
          <w:rFonts w:hAnsiTheme="minorHAnsi"/>
          <w:lang w:val="en-US"/>
        </w:rPr>
        <w:t xml:space="preserve"> Clinical and genetic characteristics of hereditary pancreatitis in Europe. </w:t>
      </w:r>
      <w:r w:rsidR="00CE710A" w:rsidRPr="00026AF4">
        <w:rPr>
          <w:rFonts w:hAnsiTheme="minorHAnsi"/>
          <w:i/>
          <w:iCs/>
          <w:lang w:val="en-US"/>
        </w:rPr>
        <w:t>Clin. Gastroenterol. Hepatol. Off. Clin. Pract. J. Am. Gastroenterol. Assoc.</w:t>
      </w:r>
      <w:r w:rsidR="00CE710A" w:rsidRPr="00026AF4">
        <w:rPr>
          <w:rFonts w:hAnsiTheme="minorHAnsi"/>
          <w:lang w:val="en-US"/>
        </w:rPr>
        <w:t xml:space="preserve"> </w:t>
      </w:r>
      <w:r w:rsidR="00CE710A" w:rsidRPr="00026AF4">
        <w:rPr>
          <w:rFonts w:hAnsiTheme="minorHAnsi"/>
          <w:b/>
          <w:bCs/>
          <w:lang w:val="en-US"/>
        </w:rPr>
        <w:t>2,</w:t>
      </w:r>
      <w:r w:rsidR="00CE710A" w:rsidRPr="00026AF4">
        <w:rPr>
          <w:rFonts w:hAnsiTheme="minorHAnsi"/>
          <w:lang w:val="en-US"/>
        </w:rPr>
        <w:t xml:space="preserve"> 252–261 (2004).</w:t>
      </w:r>
    </w:p>
    <w:p w14:paraId="4F34E2E7" w14:textId="77777777" w:rsidR="00CE710A" w:rsidRPr="00026AF4" w:rsidRDefault="004245CC" w:rsidP="00CE710A">
      <w:pPr>
        <w:widowControl w:val="0"/>
        <w:autoSpaceDE w:val="0"/>
        <w:autoSpaceDN w:val="0"/>
        <w:adjustRightInd w:val="0"/>
        <w:rPr>
          <w:rFonts w:hAnsiTheme="minorHAnsi"/>
          <w:lang w:val="en-US"/>
        </w:rPr>
      </w:pPr>
      <w:r w:rsidRPr="00026AF4">
        <w:rPr>
          <w:rFonts w:hAnsiTheme="minorHAnsi"/>
          <w:lang w:val="en-US"/>
        </w:rPr>
        <w:t>24</w:t>
      </w:r>
      <w:r w:rsidR="00CE710A" w:rsidRPr="00026AF4">
        <w:rPr>
          <w:rFonts w:hAnsiTheme="minorHAnsi"/>
          <w:lang w:val="en-US"/>
        </w:rPr>
        <w:t>.</w:t>
      </w:r>
      <w:r w:rsidR="00CE710A" w:rsidRPr="00026AF4">
        <w:rPr>
          <w:rFonts w:hAnsiTheme="minorHAnsi"/>
          <w:lang w:val="en-US"/>
        </w:rPr>
        <w:tab/>
        <w:t xml:space="preserve">Schubert, S. </w:t>
      </w:r>
      <w:r w:rsidR="00CE710A" w:rsidRPr="00026AF4">
        <w:rPr>
          <w:rFonts w:hAnsiTheme="minorHAnsi"/>
          <w:i/>
          <w:iCs/>
          <w:lang w:val="en-US"/>
        </w:rPr>
        <w:t>et al.</w:t>
      </w:r>
      <w:r w:rsidR="00CE710A" w:rsidRPr="00026AF4">
        <w:rPr>
          <w:rFonts w:hAnsiTheme="minorHAnsi"/>
          <w:lang w:val="en-US"/>
        </w:rPr>
        <w:t xml:space="preserve"> CFTR, SPINK1, PRSS1, and CTRC mutations are not associated with pancreatic cancer in German patients. </w:t>
      </w:r>
      <w:r w:rsidR="00CE710A" w:rsidRPr="00026AF4">
        <w:rPr>
          <w:rFonts w:hAnsiTheme="minorHAnsi"/>
          <w:i/>
          <w:iCs/>
          <w:lang w:val="en-US"/>
        </w:rPr>
        <w:t>Pancreas</w:t>
      </w:r>
      <w:r w:rsidR="00CE710A" w:rsidRPr="00026AF4">
        <w:rPr>
          <w:rFonts w:hAnsiTheme="minorHAnsi"/>
          <w:lang w:val="en-US"/>
        </w:rPr>
        <w:t xml:space="preserve"> </w:t>
      </w:r>
      <w:r w:rsidR="00CE710A" w:rsidRPr="00026AF4">
        <w:rPr>
          <w:rFonts w:hAnsiTheme="minorHAnsi"/>
          <w:b/>
          <w:bCs/>
          <w:lang w:val="en-US"/>
        </w:rPr>
        <w:t>43,</w:t>
      </w:r>
      <w:r w:rsidR="00CE710A" w:rsidRPr="00026AF4">
        <w:rPr>
          <w:rFonts w:hAnsiTheme="minorHAnsi"/>
          <w:lang w:val="en-US"/>
        </w:rPr>
        <w:t xml:space="preserve"> 1078–1082 (2014).</w:t>
      </w:r>
    </w:p>
    <w:p w14:paraId="3AF1967A" w14:textId="77777777" w:rsidR="00CE710A" w:rsidRPr="00026AF4" w:rsidRDefault="00A87222" w:rsidP="00CE710A">
      <w:pPr>
        <w:widowControl w:val="0"/>
        <w:autoSpaceDE w:val="0"/>
        <w:autoSpaceDN w:val="0"/>
        <w:adjustRightInd w:val="0"/>
        <w:rPr>
          <w:rFonts w:hAnsiTheme="minorHAnsi"/>
          <w:lang w:val="en-US"/>
        </w:rPr>
      </w:pPr>
      <w:r w:rsidRPr="00026AF4">
        <w:rPr>
          <w:rFonts w:hAnsiTheme="minorHAnsi"/>
          <w:lang w:val="en-US"/>
        </w:rPr>
        <w:t>2</w:t>
      </w:r>
      <w:r w:rsidR="004245CC" w:rsidRPr="00026AF4">
        <w:rPr>
          <w:rFonts w:hAnsiTheme="minorHAnsi"/>
          <w:lang w:val="en-US"/>
        </w:rPr>
        <w:t>5</w:t>
      </w:r>
      <w:r w:rsidR="00CE710A" w:rsidRPr="00026AF4">
        <w:rPr>
          <w:rFonts w:hAnsiTheme="minorHAnsi"/>
          <w:lang w:val="en-US"/>
        </w:rPr>
        <w:t>.</w:t>
      </w:r>
      <w:r w:rsidR="00CE710A" w:rsidRPr="00026AF4">
        <w:rPr>
          <w:rFonts w:hAnsiTheme="minorHAnsi"/>
          <w:lang w:val="en-US"/>
        </w:rPr>
        <w:tab/>
        <w:t xml:space="preserve">Piepoli, A. </w:t>
      </w:r>
      <w:r w:rsidR="00CE710A" w:rsidRPr="00026AF4">
        <w:rPr>
          <w:rFonts w:hAnsiTheme="minorHAnsi"/>
          <w:i/>
          <w:iCs/>
          <w:lang w:val="en-US"/>
        </w:rPr>
        <w:t>et al.</w:t>
      </w:r>
      <w:r w:rsidR="00CE710A" w:rsidRPr="00026AF4">
        <w:rPr>
          <w:rFonts w:hAnsiTheme="minorHAnsi"/>
          <w:lang w:val="en-US"/>
        </w:rPr>
        <w:t xml:space="preserve"> Lack of association between UGT1A7, UGT1A9, ARP, SPINK1 and CFTR gene polymorphisms and pancreatic cancer in Italian patients. </w:t>
      </w:r>
      <w:r w:rsidR="00CE710A" w:rsidRPr="00026AF4">
        <w:rPr>
          <w:rFonts w:hAnsiTheme="minorHAnsi"/>
          <w:i/>
          <w:iCs/>
          <w:lang w:val="en-US"/>
        </w:rPr>
        <w:t>World J. Gastroenterol.</w:t>
      </w:r>
      <w:r w:rsidR="00CE710A" w:rsidRPr="00026AF4">
        <w:rPr>
          <w:rFonts w:hAnsiTheme="minorHAnsi"/>
          <w:lang w:val="en-US"/>
        </w:rPr>
        <w:t xml:space="preserve"> </w:t>
      </w:r>
      <w:r w:rsidR="00CE710A" w:rsidRPr="00026AF4">
        <w:rPr>
          <w:rFonts w:hAnsiTheme="minorHAnsi"/>
          <w:b/>
          <w:bCs/>
          <w:lang w:val="en-US"/>
        </w:rPr>
        <w:t>12,</w:t>
      </w:r>
      <w:r w:rsidR="00CE710A" w:rsidRPr="00026AF4">
        <w:rPr>
          <w:rFonts w:hAnsiTheme="minorHAnsi"/>
          <w:lang w:val="en-US"/>
        </w:rPr>
        <w:t xml:space="preserve"> 6343–6348 (2006).</w:t>
      </w:r>
    </w:p>
    <w:p w14:paraId="6126A900" w14:textId="77777777" w:rsidR="00CE710A" w:rsidRPr="00026AF4" w:rsidRDefault="00A87222" w:rsidP="00CE710A">
      <w:pPr>
        <w:widowControl w:val="0"/>
        <w:autoSpaceDE w:val="0"/>
        <w:autoSpaceDN w:val="0"/>
        <w:adjustRightInd w:val="0"/>
        <w:rPr>
          <w:rFonts w:hAnsiTheme="minorHAnsi"/>
          <w:lang w:val="en-US"/>
        </w:rPr>
      </w:pPr>
      <w:r w:rsidRPr="00026AF4">
        <w:rPr>
          <w:rFonts w:hAnsiTheme="minorHAnsi"/>
          <w:lang w:val="en-US"/>
        </w:rPr>
        <w:t>2</w:t>
      </w:r>
      <w:r w:rsidR="004245CC" w:rsidRPr="00026AF4">
        <w:rPr>
          <w:rFonts w:hAnsiTheme="minorHAnsi"/>
          <w:lang w:val="en-US"/>
        </w:rPr>
        <w:t>6</w:t>
      </w:r>
      <w:r w:rsidR="00CE710A" w:rsidRPr="00026AF4">
        <w:rPr>
          <w:rFonts w:hAnsiTheme="minorHAnsi"/>
          <w:lang w:val="en-US"/>
        </w:rPr>
        <w:t>.</w:t>
      </w:r>
      <w:r w:rsidR="00CE710A" w:rsidRPr="00026AF4">
        <w:rPr>
          <w:rFonts w:hAnsiTheme="minorHAnsi"/>
          <w:lang w:val="en-US"/>
        </w:rPr>
        <w:tab/>
        <w:t xml:space="preserve">Matsubayashi, H. </w:t>
      </w:r>
      <w:r w:rsidR="00CE710A" w:rsidRPr="00026AF4">
        <w:rPr>
          <w:rFonts w:hAnsiTheme="minorHAnsi"/>
          <w:i/>
          <w:iCs/>
          <w:lang w:val="en-US"/>
        </w:rPr>
        <w:t>et al.</w:t>
      </w:r>
      <w:r w:rsidR="00CE710A" w:rsidRPr="00026AF4">
        <w:rPr>
          <w:rFonts w:hAnsiTheme="minorHAnsi"/>
          <w:lang w:val="en-US"/>
        </w:rPr>
        <w:t xml:space="preserve"> Polymorphisms of SPINK1 </w:t>
      </w:r>
      <w:r w:rsidR="004911F9" w:rsidRPr="00026AF4">
        <w:rPr>
          <w:rFonts w:hAnsiTheme="minorHAnsi"/>
          <w:lang w:val="en-US"/>
        </w:rPr>
        <w:t>p.N34S</w:t>
      </w:r>
      <w:r w:rsidR="00CE710A" w:rsidRPr="00026AF4">
        <w:rPr>
          <w:rFonts w:hAnsiTheme="minorHAnsi"/>
          <w:lang w:val="en-US"/>
        </w:rPr>
        <w:t xml:space="preserve"> and CFTR in patients with sporadic and familial pancreatic cancer. </w:t>
      </w:r>
      <w:r w:rsidR="00CE710A" w:rsidRPr="00026AF4">
        <w:rPr>
          <w:rFonts w:hAnsiTheme="minorHAnsi"/>
          <w:i/>
          <w:iCs/>
          <w:lang w:val="en-US"/>
        </w:rPr>
        <w:t>Cancer Biol. Ther.</w:t>
      </w:r>
      <w:r w:rsidR="00CE710A" w:rsidRPr="00026AF4">
        <w:rPr>
          <w:rFonts w:hAnsiTheme="minorHAnsi"/>
          <w:lang w:val="en-US"/>
        </w:rPr>
        <w:t xml:space="preserve"> </w:t>
      </w:r>
      <w:r w:rsidR="00CE710A" w:rsidRPr="00026AF4">
        <w:rPr>
          <w:rFonts w:hAnsiTheme="minorHAnsi"/>
          <w:b/>
          <w:bCs/>
          <w:lang w:val="en-US"/>
        </w:rPr>
        <w:t>2,</w:t>
      </w:r>
      <w:r w:rsidR="00CE710A" w:rsidRPr="00026AF4">
        <w:rPr>
          <w:rFonts w:hAnsiTheme="minorHAnsi"/>
          <w:lang w:val="en-US"/>
        </w:rPr>
        <w:t xml:space="preserve"> 652–655 (2003).</w:t>
      </w:r>
    </w:p>
    <w:p w14:paraId="232E474F" w14:textId="77777777" w:rsidR="00EB3818" w:rsidRPr="00026AF4" w:rsidRDefault="00EB3818" w:rsidP="00EB3818">
      <w:pPr>
        <w:widowControl w:val="0"/>
        <w:autoSpaceDE w:val="0"/>
        <w:autoSpaceDN w:val="0"/>
        <w:adjustRightInd w:val="0"/>
        <w:rPr>
          <w:rFonts w:hAnsiTheme="minorHAnsi"/>
          <w:lang w:val="en-US"/>
        </w:rPr>
      </w:pPr>
      <w:r w:rsidRPr="00026AF4">
        <w:rPr>
          <w:rFonts w:hAnsiTheme="minorHAnsi"/>
          <w:lang w:val="en-US"/>
        </w:rPr>
        <w:t>27</w:t>
      </w:r>
      <w:r w:rsidRPr="00026AF4">
        <w:rPr>
          <w:rFonts w:hAnsiTheme="minorHAnsi"/>
          <w:lang w:val="en-US"/>
        </w:rPr>
        <w:tab/>
      </w:r>
      <w:hyperlink r:id="rId10" w:history="1">
        <w:r w:rsidRPr="00026AF4">
          <w:rPr>
            <w:rFonts w:hAnsiTheme="minorHAnsi"/>
            <w:lang w:val="en-US"/>
          </w:rPr>
          <w:t>Johansson, BB</w:t>
        </w:r>
      </w:hyperlink>
      <w:r w:rsidRPr="00026AF4">
        <w:rPr>
          <w:rFonts w:hAnsiTheme="minorHAnsi"/>
          <w:lang w:val="en-US"/>
        </w:rPr>
        <w:t xml:space="preserve">. </w:t>
      </w:r>
      <w:r w:rsidRPr="00026AF4">
        <w:rPr>
          <w:rFonts w:hAnsiTheme="minorHAnsi"/>
          <w:i/>
          <w:lang w:val="en-US"/>
        </w:rPr>
        <w:t xml:space="preserve">et al. </w:t>
      </w:r>
      <w:r w:rsidRPr="00026AF4">
        <w:rPr>
          <w:rFonts w:hAnsiTheme="minorHAnsi"/>
          <w:lang w:val="en-US"/>
        </w:rPr>
        <w:t xml:space="preserve">The role of the carboxyl ester lipase (CEL) gene in pancreatic disease. </w:t>
      </w:r>
      <w:hyperlink r:id="rId11" w:tooltip="Pancreatology : official journal of the International Association of Pancreatology (IAP) ... [et al.]." w:history="1">
        <w:r w:rsidRPr="00026AF4">
          <w:rPr>
            <w:rFonts w:hAnsiTheme="minorHAnsi"/>
            <w:i/>
            <w:lang w:val="en-US"/>
          </w:rPr>
          <w:t xml:space="preserve">Pancreatology </w:t>
        </w:r>
      </w:hyperlink>
      <w:r w:rsidRPr="00026AF4">
        <w:rPr>
          <w:rFonts w:hAnsiTheme="minorHAnsi"/>
          <w:b/>
          <w:lang w:val="en-US"/>
        </w:rPr>
        <w:t xml:space="preserve">18, </w:t>
      </w:r>
      <w:r w:rsidRPr="00026AF4">
        <w:rPr>
          <w:rFonts w:hAnsiTheme="minorHAnsi"/>
          <w:lang w:val="en-US"/>
        </w:rPr>
        <w:t xml:space="preserve">12-19 (2018). </w:t>
      </w:r>
    </w:p>
    <w:p w14:paraId="4172612A" w14:textId="77777777" w:rsidR="00EB3818" w:rsidRPr="00026AF4" w:rsidRDefault="00EB3818" w:rsidP="00EB3818">
      <w:pPr>
        <w:widowControl w:val="0"/>
        <w:autoSpaceDE w:val="0"/>
        <w:autoSpaceDN w:val="0"/>
        <w:adjustRightInd w:val="0"/>
        <w:rPr>
          <w:rFonts w:hAnsiTheme="minorHAnsi"/>
          <w:lang w:val="en-US"/>
        </w:rPr>
      </w:pPr>
      <w:r w:rsidRPr="00026AF4">
        <w:rPr>
          <w:rFonts w:hAnsiTheme="minorHAnsi"/>
          <w:lang w:val="en-US"/>
        </w:rPr>
        <w:t>28</w:t>
      </w:r>
      <w:r w:rsidRPr="00026AF4">
        <w:rPr>
          <w:rFonts w:hAnsiTheme="minorHAnsi"/>
          <w:lang w:val="en-US"/>
        </w:rPr>
        <w:tab/>
      </w:r>
      <w:hyperlink r:id="rId12" w:history="1">
        <w:r w:rsidRPr="00026AF4">
          <w:rPr>
            <w:rFonts w:hAnsiTheme="minorHAnsi"/>
            <w:lang w:val="en-US"/>
          </w:rPr>
          <w:t>Rosendahl, J</w:t>
        </w:r>
      </w:hyperlink>
      <w:r w:rsidRPr="00026AF4">
        <w:rPr>
          <w:rFonts w:hAnsiTheme="minorHAnsi"/>
          <w:lang w:val="en-US"/>
        </w:rPr>
        <w:t xml:space="preserve">. </w:t>
      </w:r>
      <w:r w:rsidRPr="00026AF4">
        <w:rPr>
          <w:rFonts w:hAnsiTheme="minorHAnsi"/>
          <w:i/>
          <w:lang w:val="en-US"/>
        </w:rPr>
        <w:t>et al.</w:t>
      </w:r>
      <w:r w:rsidRPr="00026AF4">
        <w:rPr>
          <w:rFonts w:hAnsiTheme="minorHAnsi"/>
          <w:lang w:val="en-US"/>
        </w:rPr>
        <w:t xml:space="preserve"> Genome-wide association study identifies inversion in the CTRB1-CTRB2 locus to modify risk for alcoholic and non-alcoholic chronic pancreatitis. </w:t>
      </w:r>
      <w:hyperlink r:id="rId13" w:tooltip="Gut." w:history="1">
        <w:r w:rsidRPr="00026AF4">
          <w:rPr>
            <w:rFonts w:hAnsiTheme="minorHAnsi"/>
            <w:i/>
            <w:lang w:val="en-US"/>
          </w:rPr>
          <w:t>Gut</w:t>
        </w:r>
      </w:hyperlink>
      <w:r w:rsidRPr="00026AF4">
        <w:rPr>
          <w:rFonts w:hAnsiTheme="minorHAnsi"/>
          <w:lang w:val="en-US"/>
        </w:rPr>
        <w:t xml:space="preserve"> </w:t>
      </w:r>
      <w:r w:rsidRPr="00026AF4">
        <w:rPr>
          <w:rFonts w:hAnsiTheme="minorHAnsi"/>
          <w:b/>
          <w:lang w:val="en-US"/>
        </w:rPr>
        <w:t xml:space="preserve">67, </w:t>
      </w:r>
      <w:r w:rsidRPr="00026AF4">
        <w:rPr>
          <w:rFonts w:hAnsiTheme="minorHAnsi"/>
          <w:lang w:val="en-US"/>
        </w:rPr>
        <w:t xml:space="preserve">1855-1863 (2018). </w:t>
      </w:r>
    </w:p>
    <w:p w14:paraId="5C065C53" w14:textId="77777777" w:rsidR="00CE710A" w:rsidRPr="00026AF4" w:rsidRDefault="00A87222" w:rsidP="00CE710A">
      <w:pPr>
        <w:widowControl w:val="0"/>
        <w:autoSpaceDE w:val="0"/>
        <w:autoSpaceDN w:val="0"/>
        <w:adjustRightInd w:val="0"/>
        <w:rPr>
          <w:rFonts w:hAnsiTheme="minorHAnsi"/>
          <w:lang w:val="en-US"/>
        </w:rPr>
      </w:pPr>
      <w:r w:rsidRPr="00026AF4">
        <w:rPr>
          <w:rFonts w:hAnsiTheme="minorHAnsi"/>
          <w:lang w:val="en-US"/>
        </w:rPr>
        <w:t>2</w:t>
      </w:r>
      <w:r w:rsidR="00AE55DF" w:rsidRPr="00026AF4">
        <w:rPr>
          <w:rFonts w:hAnsiTheme="minorHAnsi"/>
          <w:lang w:val="en-US"/>
        </w:rPr>
        <w:t>9</w:t>
      </w:r>
      <w:r w:rsidR="00CE710A" w:rsidRPr="00026AF4">
        <w:rPr>
          <w:rFonts w:hAnsiTheme="minorHAnsi"/>
          <w:lang w:val="en-US"/>
        </w:rPr>
        <w:t>.</w:t>
      </w:r>
      <w:r w:rsidR="00CE710A" w:rsidRPr="00026AF4">
        <w:rPr>
          <w:rFonts w:hAnsiTheme="minorHAnsi"/>
          <w:lang w:val="en-US"/>
        </w:rPr>
        <w:tab/>
        <w:t xml:space="preserve">Paliwal, S. Genetic and phenotypic heterogeneity in tropical calcific pancreatitis. </w:t>
      </w:r>
      <w:r w:rsidR="00CE710A" w:rsidRPr="00026AF4">
        <w:rPr>
          <w:rFonts w:hAnsiTheme="minorHAnsi"/>
          <w:i/>
          <w:iCs/>
          <w:lang w:val="en-US"/>
        </w:rPr>
        <w:t>World J. Gastroenterol.</w:t>
      </w:r>
      <w:r w:rsidR="00CE710A" w:rsidRPr="00026AF4">
        <w:rPr>
          <w:rFonts w:hAnsiTheme="minorHAnsi"/>
          <w:lang w:val="en-US"/>
        </w:rPr>
        <w:t xml:space="preserve"> </w:t>
      </w:r>
      <w:r w:rsidR="00CE710A" w:rsidRPr="00026AF4">
        <w:rPr>
          <w:rFonts w:hAnsiTheme="minorHAnsi"/>
          <w:b/>
          <w:bCs/>
          <w:lang w:val="en-US"/>
        </w:rPr>
        <w:t>20,</w:t>
      </w:r>
      <w:r w:rsidR="00CE710A" w:rsidRPr="00026AF4">
        <w:rPr>
          <w:rFonts w:hAnsiTheme="minorHAnsi"/>
          <w:lang w:val="en-US"/>
        </w:rPr>
        <w:t xml:space="preserve"> 17314 (2014).</w:t>
      </w:r>
    </w:p>
    <w:p w14:paraId="7B10D4B5" w14:textId="77777777" w:rsidR="00CE710A" w:rsidRPr="00026AF4" w:rsidRDefault="00AE55DF" w:rsidP="00CE710A">
      <w:pPr>
        <w:widowControl w:val="0"/>
        <w:autoSpaceDE w:val="0"/>
        <w:autoSpaceDN w:val="0"/>
        <w:adjustRightInd w:val="0"/>
        <w:rPr>
          <w:rFonts w:hAnsiTheme="minorHAnsi"/>
          <w:lang w:val="en-US"/>
        </w:rPr>
      </w:pPr>
      <w:r w:rsidRPr="00026AF4">
        <w:rPr>
          <w:rFonts w:hAnsiTheme="minorHAnsi"/>
        </w:rPr>
        <w:t>30</w:t>
      </w:r>
      <w:r w:rsidR="00CE710A" w:rsidRPr="00026AF4">
        <w:rPr>
          <w:rFonts w:hAnsiTheme="minorHAnsi"/>
        </w:rPr>
        <w:t>.</w:t>
      </w:r>
      <w:r w:rsidR="00CE710A" w:rsidRPr="00026AF4">
        <w:rPr>
          <w:rFonts w:hAnsiTheme="minorHAnsi"/>
        </w:rPr>
        <w:tab/>
        <w:t xml:space="preserve">Chari, S. T. </w:t>
      </w:r>
      <w:r w:rsidR="00CE710A" w:rsidRPr="00026AF4">
        <w:rPr>
          <w:rFonts w:hAnsiTheme="minorHAnsi"/>
          <w:i/>
          <w:iCs/>
        </w:rPr>
        <w:t>et al.</w:t>
      </w:r>
      <w:r w:rsidR="00CE710A" w:rsidRPr="00026AF4">
        <w:rPr>
          <w:rFonts w:hAnsiTheme="minorHAnsi"/>
        </w:rPr>
        <w:t xml:space="preserve"> </w:t>
      </w:r>
      <w:r w:rsidR="00CE710A" w:rsidRPr="00026AF4">
        <w:rPr>
          <w:rFonts w:hAnsiTheme="minorHAnsi"/>
          <w:lang w:val="en-US"/>
        </w:rPr>
        <w:t xml:space="preserve">Risk of pancreatic carcinoma in tropical calcifying pancreatitis: an epidemiologic study. </w:t>
      </w:r>
      <w:r w:rsidR="00CE710A" w:rsidRPr="00026AF4">
        <w:rPr>
          <w:rFonts w:hAnsiTheme="minorHAnsi"/>
          <w:i/>
          <w:iCs/>
          <w:lang w:val="en-US"/>
        </w:rPr>
        <w:t>Pancreas</w:t>
      </w:r>
      <w:r w:rsidR="00CE710A" w:rsidRPr="00026AF4">
        <w:rPr>
          <w:rFonts w:hAnsiTheme="minorHAnsi"/>
          <w:lang w:val="en-US"/>
        </w:rPr>
        <w:t xml:space="preserve"> </w:t>
      </w:r>
      <w:r w:rsidR="00CE710A" w:rsidRPr="00026AF4">
        <w:rPr>
          <w:rFonts w:hAnsiTheme="minorHAnsi"/>
          <w:b/>
          <w:bCs/>
          <w:lang w:val="en-US"/>
        </w:rPr>
        <w:t>9,</w:t>
      </w:r>
      <w:r w:rsidR="00CE710A" w:rsidRPr="00026AF4">
        <w:rPr>
          <w:rFonts w:hAnsiTheme="minorHAnsi"/>
          <w:lang w:val="en-US"/>
        </w:rPr>
        <w:t xml:space="preserve"> 62–66 (1994).</w:t>
      </w:r>
    </w:p>
    <w:p w14:paraId="4FBD2DEC" w14:textId="77777777" w:rsidR="00CE710A" w:rsidRPr="00026AF4" w:rsidRDefault="00AE55DF" w:rsidP="00CE710A">
      <w:pPr>
        <w:widowControl w:val="0"/>
        <w:autoSpaceDE w:val="0"/>
        <w:autoSpaceDN w:val="0"/>
        <w:adjustRightInd w:val="0"/>
        <w:rPr>
          <w:rFonts w:hAnsiTheme="minorHAnsi"/>
          <w:lang w:val="en-US"/>
        </w:rPr>
      </w:pPr>
      <w:r w:rsidRPr="00026AF4">
        <w:rPr>
          <w:rFonts w:hAnsiTheme="minorHAnsi"/>
          <w:lang w:val="en-US"/>
        </w:rPr>
        <w:t>31</w:t>
      </w:r>
      <w:r w:rsidR="00CE710A" w:rsidRPr="00026AF4">
        <w:rPr>
          <w:rFonts w:hAnsiTheme="minorHAnsi"/>
          <w:lang w:val="en-US"/>
        </w:rPr>
        <w:t>.</w:t>
      </w:r>
      <w:r w:rsidR="00CE710A" w:rsidRPr="00026AF4">
        <w:rPr>
          <w:rFonts w:hAnsiTheme="minorHAnsi"/>
          <w:lang w:val="en-US"/>
        </w:rPr>
        <w:tab/>
        <w:t xml:space="preserve">Ramesh, H. &amp; Augustine, P. Surgery in tropical pancreatitis: analysis of risk factors. </w:t>
      </w:r>
      <w:r w:rsidR="00CE710A" w:rsidRPr="00026AF4">
        <w:rPr>
          <w:rFonts w:hAnsiTheme="minorHAnsi"/>
          <w:i/>
          <w:iCs/>
          <w:lang w:val="en-US"/>
        </w:rPr>
        <w:t>Br. J. Surg.</w:t>
      </w:r>
      <w:r w:rsidR="00CE710A" w:rsidRPr="00026AF4">
        <w:rPr>
          <w:rFonts w:hAnsiTheme="minorHAnsi"/>
          <w:lang w:val="en-US"/>
        </w:rPr>
        <w:t xml:space="preserve"> </w:t>
      </w:r>
      <w:r w:rsidR="00CE710A" w:rsidRPr="00026AF4">
        <w:rPr>
          <w:rFonts w:hAnsiTheme="minorHAnsi"/>
          <w:b/>
          <w:bCs/>
          <w:lang w:val="en-US"/>
        </w:rPr>
        <w:t>79,</w:t>
      </w:r>
      <w:r w:rsidR="00CE710A" w:rsidRPr="00026AF4">
        <w:rPr>
          <w:rFonts w:hAnsiTheme="minorHAnsi"/>
          <w:lang w:val="en-US"/>
        </w:rPr>
        <w:t xml:space="preserve"> 544–549 (1992).</w:t>
      </w:r>
    </w:p>
    <w:p w14:paraId="27978E7A" w14:textId="77777777" w:rsidR="00CE710A" w:rsidRPr="00026AF4" w:rsidRDefault="00AE55DF" w:rsidP="00CE710A">
      <w:pPr>
        <w:widowControl w:val="0"/>
        <w:autoSpaceDE w:val="0"/>
        <w:autoSpaceDN w:val="0"/>
        <w:adjustRightInd w:val="0"/>
        <w:rPr>
          <w:rFonts w:hAnsiTheme="minorHAnsi"/>
          <w:lang w:val="en-US"/>
        </w:rPr>
      </w:pPr>
      <w:r w:rsidRPr="00026AF4">
        <w:rPr>
          <w:rFonts w:hAnsiTheme="minorHAnsi"/>
        </w:rPr>
        <w:t>32</w:t>
      </w:r>
      <w:r w:rsidR="00CE710A" w:rsidRPr="00026AF4">
        <w:rPr>
          <w:rFonts w:hAnsiTheme="minorHAnsi"/>
        </w:rPr>
        <w:t>.</w:t>
      </w:r>
      <w:r w:rsidR="00CE710A" w:rsidRPr="00026AF4">
        <w:rPr>
          <w:rFonts w:hAnsiTheme="minorHAnsi"/>
        </w:rPr>
        <w:tab/>
        <w:t xml:space="preserve">Canto, M. I. </w:t>
      </w:r>
      <w:r w:rsidR="00CE710A" w:rsidRPr="00026AF4">
        <w:rPr>
          <w:rFonts w:hAnsiTheme="minorHAnsi"/>
          <w:i/>
          <w:iCs/>
        </w:rPr>
        <w:t>et al.</w:t>
      </w:r>
      <w:r w:rsidR="00CE710A" w:rsidRPr="00026AF4">
        <w:rPr>
          <w:rFonts w:hAnsiTheme="minorHAnsi"/>
        </w:rPr>
        <w:t xml:space="preserve"> </w:t>
      </w:r>
      <w:r w:rsidR="00CE710A" w:rsidRPr="00026AF4">
        <w:rPr>
          <w:rFonts w:hAnsiTheme="minorHAnsi"/>
          <w:lang w:val="en-US"/>
        </w:rPr>
        <w:t xml:space="preserve">International Cancer of the Pancreas Screening (CAPS) Consortium summit on the management of patients with increased risk for familial pancreatic cancer. </w:t>
      </w:r>
      <w:r w:rsidR="00CE710A" w:rsidRPr="00026AF4">
        <w:rPr>
          <w:rFonts w:hAnsiTheme="minorHAnsi"/>
          <w:i/>
          <w:iCs/>
          <w:lang w:val="en-US"/>
        </w:rPr>
        <w:t>Gut</w:t>
      </w:r>
      <w:r w:rsidR="00CE710A" w:rsidRPr="00026AF4">
        <w:rPr>
          <w:rFonts w:hAnsiTheme="minorHAnsi"/>
          <w:lang w:val="en-US"/>
        </w:rPr>
        <w:t xml:space="preserve"> </w:t>
      </w:r>
      <w:r w:rsidR="00CE710A" w:rsidRPr="00026AF4">
        <w:rPr>
          <w:rFonts w:hAnsiTheme="minorHAnsi"/>
          <w:b/>
          <w:bCs/>
          <w:lang w:val="en-US"/>
        </w:rPr>
        <w:t>62,</w:t>
      </w:r>
      <w:r w:rsidR="00CE710A" w:rsidRPr="00026AF4">
        <w:rPr>
          <w:rFonts w:hAnsiTheme="minorHAnsi"/>
          <w:lang w:val="en-US"/>
        </w:rPr>
        <w:t xml:space="preserve"> 339–347 (2013).</w:t>
      </w:r>
    </w:p>
    <w:p w14:paraId="7C41ACB1" w14:textId="77777777" w:rsidR="00324A72" w:rsidRPr="00026AF4" w:rsidRDefault="000955DB" w:rsidP="002921DA">
      <w:pPr>
        <w:jc w:val="both"/>
        <w:rPr>
          <w:rFonts w:asciiTheme="minorHAnsi" w:hAnsiTheme="minorHAnsi"/>
          <w:lang w:val="en-US"/>
        </w:rPr>
      </w:pPr>
      <w:r w:rsidRPr="00026AF4">
        <w:rPr>
          <w:rFonts w:asciiTheme="minorHAnsi" w:hAnsiTheme="minorHAnsi"/>
          <w:lang w:val="en-US"/>
        </w:rPr>
        <w:fldChar w:fldCharType="end"/>
      </w:r>
    </w:p>
    <w:p w14:paraId="7E8B025A" w14:textId="77777777" w:rsidR="00324A72" w:rsidRPr="00026AF4" w:rsidRDefault="00324A72" w:rsidP="002921DA">
      <w:pPr>
        <w:jc w:val="both"/>
        <w:rPr>
          <w:rFonts w:asciiTheme="minorHAnsi" w:hAnsiTheme="minorHAnsi"/>
          <w:lang w:val="en-US"/>
        </w:rPr>
      </w:pPr>
    </w:p>
    <w:p w14:paraId="35E620DF" w14:textId="77777777" w:rsidR="00324A72" w:rsidRPr="00026AF4" w:rsidRDefault="00324A72" w:rsidP="002921DA">
      <w:pPr>
        <w:jc w:val="both"/>
        <w:rPr>
          <w:rFonts w:asciiTheme="minorHAnsi" w:hAnsiTheme="minorHAnsi"/>
          <w:lang w:val="en-US"/>
        </w:rPr>
      </w:pPr>
    </w:p>
    <w:p w14:paraId="5887CD52" w14:textId="77777777" w:rsidR="0041651D" w:rsidRPr="00026AF4" w:rsidRDefault="0041651D" w:rsidP="0041651D">
      <w:pPr>
        <w:spacing w:after="200" w:line="276" w:lineRule="auto"/>
        <w:jc w:val="both"/>
        <w:rPr>
          <w:rFonts w:asciiTheme="minorHAnsi" w:hAnsiTheme="minorHAnsi"/>
          <w:b/>
          <w:lang w:val="en-US"/>
        </w:rPr>
      </w:pPr>
    </w:p>
    <w:p w14:paraId="6CDCB979" w14:textId="77777777" w:rsidR="0041651D" w:rsidRPr="00026AF4" w:rsidRDefault="0041651D" w:rsidP="0041651D">
      <w:pPr>
        <w:spacing w:after="200" w:line="276" w:lineRule="auto"/>
        <w:jc w:val="both"/>
        <w:rPr>
          <w:rFonts w:asciiTheme="minorHAnsi" w:hAnsiTheme="minorHAnsi"/>
          <w:b/>
          <w:lang w:val="en-US"/>
        </w:rPr>
      </w:pPr>
    </w:p>
    <w:p w14:paraId="6AC44C5E" w14:textId="77777777" w:rsidR="0041651D" w:rsidRPr="00026AF4" w:rsidRDefault="0041651D" w:rsidP="0041651D">
      <w:pPr>
        <w:spacing w:after="200" w:line="276" w:lineRule="auto"/>
        <w:jc w:val="both"/>
        <w:rPr>
          <w:rFonts w:asciiTheme="minorHAnsi" w:hAnsiTheme="minorHAnsi"/>
          <w:b/>
          <w:lang w:val="en-US"/>
        </w:rPr>
      </w:pPr>
    </w:p>
    <w:p w14:paraId="07B2A445" w14:textId="77777777" w:rsidR="0041651D" w:rsidRPr="00026AF4" w:rsidRDefault="0041651D" w:rsidP="0041651D">
      <w:pPr>
        <w:spacing w:after="200" w:line="276" w:lineRule="auto"/>
        <w:jc w:val="both"/>
        <w:rPr>
          <w:rFonts w:asciiTheme="minorHAnsi" w:hAnsiTheme="minorHAnsi"/>
          <w:b/>
          <w:lang w:val="en-US"/>
        </w:rPr>
      </w:pPr>
    </w:p>
    <w:p w14:paraId="6B5490C1" w14:textId="77777777" w:rsidR="0041651D" w:rsidRPr="00026AF4" w:rsidRDefault="0041651D" w:rsidP="0041651D">
      <w:pPr>
        <w:spacing w:after="200" w:line="276" w:lineRule="auto"/>
        <w:jc w:val="both"/>
        <w:rPr>
          <w:rFonts w:asciiTheme="minorHAnsi" w:hAnsiTheme="minorHAnsi"/>
          <w:b/>
          <w:lang w:val="en-US"/>
        </w:rPr>
      </w:pPr>
    </w:p>
    <w:p w14:paraId="264223F7" w14:textId="77777777" w:rsidR="0041651D" w:rsidRPr="00026AF4" w:rsidRDefault="0041651D" w:rsidP="0041651D">
      <w:pPr>
        <w:spacing w:after="200" w:line="276" w:lineRule="auto"/>
        <w:jc w:val="both"/>
        <w:rPr>
          <w:rFonts w:asciiTheme="minorHAnsi" w:hAnsiTheme="minorHAnsi"/>
          <w:b/>
          <w:lang w:val="en-US"/>
        </w:rPr>
      </w:pPr>
    </w:p>
    <w:p w14:paraId="526A8B47" w14:textId="77777777" w:rsidR="0041651D" w:rsidRPr="00026AF4" w:rsidRDefault="0041651D" w:rsidP="0041651D">
      <w:pPr>
        <w:spacing w:after="200" w:line="276" w:lineRule="auto"/>
        <w:jc w:val="both"/>
        <w:rPr>
          <w:rFonts w:asciiTheme="minorHAnsi" w:hAnsiTheme="minorHAnsi"/>
          <w:b/>
          <w:lang w:val="en-US"/>
        </w:rPr>
      </w:pPr>
    </w:p>
    <w:p w14:paraId="5C6E06BF" w14:textId="77777777" w:rsidR="0041651D" w:rsidRPr="00026AF4" w:rsidRDefault="0041651D" w:rsidP="0041651D">
      <w:pPr>
        <w:spacing w:after="200" w:line="276" w:lineRule="auto"/>
        <w:jc w:val="both"/>
        <w:rPr>
          <w:rFonts w:asciiTheme="minorHAnsi" w:hAnsiTheme="minorHAnsi"/>
          <w:b/>
          <w:lang w:val="en-US"/>
        </w:rPr>
      </w:pPr>
    </w:p>
    <w:p w14:paraId="0405B312" w14:textId="77777777" w:rsidR="0041651D" w:rsidRPr="00026AF4" w:rsidRDefault="0041651D" w:rsidP="0041651D">
      <w:pPr>
        <w:spacing w:after="200" w:line="276" w:lineRule="auto"/>
        <w:jc w:val="both"/>
        <w:rPr>
          <w:rFonts w:asciiTheme="minorHAnsi" w:hAnsiTheme="minorHAnsi"/>
          <w:b/>
          <w:lang w:val="en-US"/>
        </w:rPr>
      </w:pPr>
    </w:p>
    <w:p w14:paraId="69B3594E" w14:textId="77777777" w:rsidR="0041651D" w:rsidRPr="00026AF4" w:rsidRDefault="0041651D" w:rsidP="0041651D">
      <w:pPr>
        <w:spacing w:after="200" w:line="276" w:lineRule="auto"/>
        <w:jc w:val="both"/>
        <w:rPr>
          <w:rFonts w:asciiTheme="minorHAnsi" w:hAnsiTheme="minorHAnsi"/>
          <w:b/>
          <w:lang w:val="en-US"/>
        </w:rPr>
      </w:pPr>
    </w:p>
    <w:p w14:paraId="20760624" w14:textId="77777777" w:rsidR="0041651D" w:rsidRPr="00026AF4" w:rsidRDefault="0041651D" w:rsidP="0041651D">
      <w:pPr>
        <w:spacing w:after="200" w:line="276" w:lineRule="auto"/>
        <w:jc w:val="both"/>
        <w:rPr>
          <w:rFonts w:asciiTheme="minorHAnsi" w:hAnsiTheme="minorHAnsi"/>
          <w:b/>
          <w:lang w:val="en-US"/>
        </w:rPr>
      </w:pPr>
    </w:p>
    <w:p w14:paraId="6AD64FC5" w14:textId="77777777" w:rsidR="0041651D" w:rsidRPr="00026AF4" w:rsidRDefault="0041651D" w:rsidP="0041651D">
      <w:pPr>
        <w:spacing w:after="200" w:line="276" w:lineRule="auto"/>
        <w:jc w:val="both"/>
        <w:rPr>
          <w:rFonts w:asciiTheme="minorHAnsi" w:hAnsiTheme="minorHAnsi"/>
          <w:b/>
          <w:lang w:val="en-US"/>
        </w:rPr>
      </w:pPr>
    </w:p>
    <w:p w14:paraId="3ABF175A" w14:textId="77777777" w:rsidR="0041651D" w:rsidRPr="00026AF4" w:rsidRDefault="0041651D" w:rsidP="0041651D">
      <w:pPr>
        <w:spacing w:after="200" w:line="276" w:lineRule="auto"/>
        <w:jc w:val="both"/>
        <w:rPr>
          <w:rFonts w:asciiTheme="minorHAnsi" w:hAnsiTheme="minorHAnsi"/>
          <w:b/>
          <w:lang w:val="en-US"/>
        </w:rPr>
      </w:pPr>
    </w:p>
    <w:p w14:paraId="4FEFA8FE" w14:textId="77777777" w:rsidR="0041651D" w:rsidRPr="00026AF4" w:rsidRDefault="0041651D" w:rsidP="0041651D">
      <w:pPr>
        <w:spacing w:after="200" w:line="276" w:lineRule="auto"/>
        <w:jc w:val="both"/>
        <w:rPr>
          <w:rFonts w:asciiTheme="minorHAnsi" w:hAnsiTheme="minorHAnsi"/>
          <w:b/>
          <w:lang w:val="en-US"/>
        </w:rPr>
      </w:pPr>
    </w:p>
    <w:p w14:paraId="3832F52F" w14:textId="77777777" w:rsidR="00324A72" w:rsidRPr="00026AF4" w:rsidRDefault="0041651D" w:rsidP="0041651D">
      <w:pPr>
        <w:spacing w:after="200" w:line="276" w:lineRule="auto"/>
        <w:jc w:val="both"/>
        <w:rPr>
          <w:rFonts w:asciiTheme="minorHAnsi" w:hAnsiTheme="minorHAnsi"/>
          <w:b/>
          <w:lang w:val="en-US"/>
        </w:rPr>
      </w:pPr>
      <w:r w:rsidRPr="00026AF4">
        <w:rPr>
          <w:rFonts w:asciiTheme="minorHAnsi" w:hAnsiTheme="minorHAnsi"/>
          <w:b/>
          <w:lang w:val="en-US"/>
        </w:rPr>
        <w:lastRenderedPageBreak/>
        <w:t>Table 1</w:t>
      </w:r>
      <w:r w:rsidR="0042173F" w:rsidRPr="00026AF4">
        <w:rPr>
          <w:rFonts w:asciiTheme="minorHAnsi" w:hAnsiTheme="minorHAnsi"/>
          <w:b/>
          <w:lang w:val="en-US"/>
        </w:rPr>
        <w:t>: Population characteristics and pancreatic complications in both group</w:t>
      </w:r>
      <w:r w:rsidR="00FD074B" w:rsidRPr="00026AF4">
        <w:rPr>
          <w:rFonts w:asciiTheme="minorHAnsi" w:hAnsiTheme="minorHAnsi"/>
          <w:b/>
          <w:lang w:val="en-US"/>
        </w:rPr>
        <w:t>s</w:t>
      </w:r>
    </w:p>
    <w:p w14:paraId="58CECDC2" w14:textId="495EF83B" w:rsidR="00323EC4" w:rsidRPr="00026AF4" w:rsidRDefault="009A5DB1" w:rsidP="00BA176C">
      <w:pPr>
        <w:spacing w:after="200" w:line="276" w:lineRule="auto"/>
        <w:rPr>
          <w:rFonts w:asciiTheme="minorHAnsi" w:hAnsiTheme="minorHAnsi"/>
          <w:b/>
          <w:sz w:val="24"/>
          <w:szCs w:val="28"/>
          <w:lang w:val="en-US"/>
        </w:rPr>
      </w:pPr>
      <w:r w:rsidRPr="00026AF4">
        <w:rPr>
          <w:rFonts w:asciiTheme="minorHAnsi" w:hAnsiTheme="minorHAnsi"/>
          <w:b/>
          <w:sz w:val="24"/>
          <w:szCs w:val="28"/>
          <w:lang w:val="en-US"/>
        </w:rPr>
        <w:t>Figure Legends</w:t>
      </w:r>
      <w:r w:rsidR="00323EC4" w:rsidRPr="00026AF4">
        <w:rPr>
          <w:rFonts w:asciiTheme="minorHAnsi" w:hAnsiTheme="minorHAnsi"/>
          <w:b/>
          <w:sz w:val="24"/>
          <w:szCs w:val="28"/>
          <w:lang w:val="en-US"/>
        </w:rPr>
        <w:t xml:space="preserve"> </w:t>
      </w:r>
    </w:p>
    <w:p w14:paraId="10B88025" w14:textId="77777777" w:rsidR="0042173F" w:rsidRPr="00026AF4" w:rsidRDefault="0042173F" w:rsidP="00712250">
      <w:pPr>
        <w:jc w:val="both"/>
        <w:rPr>
          <w:rFonts w:asciiTheme="minorHAnsi" w:hAnsiTheme="minorHAnsi"/>
          <w:b/>
          <w:sz w:val="24"/>
          <w:szCs w:val="28"/>
          <w:lang w:val="en-US"/>
        </w:rPr>
      </w:pPr>
    </w:p>
    <w:p w14:paraId="1118B7CD" w14:textId="77777777" w:rsidR="00324A72" w:rsidRPr="00026AF4" w:rsidRDefault="00324A72" w:rsidP="00712250">
      <w:pPr>
        <w:jc w:val="both"/>
        <w:rPr>
          <w:rFonts w:asciiTheme="minorHAnsi" w:hAnsiTheme="minorHAnsi"/>
          <w:szCs w:val="28"/>
          <w:lang w:val="en-US"/>
        </w:rPr>
      </w:pPr>
      <w:r w:rsidRPr="00026AF4">
        <w:rPr>
          <w:rFonts w:asciiTheme="minorHAnsi" w:hAnsiTheme="minorHAnsi"/>
          <w:b/>
          <w:szCs w:val="28"/>
          <w:lang w:val="en-US"/>
        </w:rPr>
        <w:t>Figure 1</w:t>
      </w:r>
      <w:r w:rsidRPr="00026AF4">
        <w:rPr>
          <w:rFonts w:asciiTheme="minorHAnsi" w:hAnsiTheme="minorHAnsi"/>
          <w:szCs w:val="28"/>
          <w:lang w:val="en-US"/>
        </w:rPr>
        <w:t>:</w:t>
      </w:r>
      <w:r w:rsidRPr="00026AF4">
        <w:rPr>
          <w:rFonts w:asciiTheme="minorHAnsi" w:eastAsiaTheme="minorEastAsia" w:hAnsiTheme="minorHAnsi" w:cstheme="minorBidi"/>
          <w:color w:val="000000" w:themeColor="text1"/>
          <w:kern w:val="24"/>
          <w:sz w:val="24"/>
          <w:szCs w:val="32"/>
          <w:lang w:val="en-US"/>
        </w:rPr>
        <w:t xml:space="preserve"> </w:t>
      </w:r>
      <w:r w:rsidR="00B17A40" w:rsidRPr="00026AF4">
        <w:rPr>
          <w:rFonts w:asciiTheme="minorHAnsi" w:hAnsiTheme="minorHAnsi"/>
          <w:szCs w:val="28"/>
          <w:lang w:val="en-US"/>
        </w:rPr>
        <w:t>Cumulative incidence</w:t>
      </w:r>
      <w:r w:rsidRPr="00026AF4">
        <w:rPr>
          <w:rFonts w:asciiTheme="minorHAnsi" w:hAnsiTheme="minorHAnsi"/>
          <w:szCs w:val="28"/>
          <w:lang w:val="en-US"/>
        </w:rPr>
        <w:t xml:space="preserve"> of symptoms depending on age</w:t>
      </w:r>
    </w:p>
    <w:p w14:paraId="7C4FFB53" w14:textId="77777777" w:rsidR="0042173F" w:rsidRPr="00026AF4" w:rsidRDefault="0042173F" w:rsidP="00712250">
      <w:pPr>
        <w:jc w:val="both"/>
        <w:rPr>
          <w:rFonts w:asciiTheme="minorHAnsi" w:hAnsiTheme="minorHAnsi"/>
          <w:szCs w:val="28"/>
          <w:lang w:val="en-US"/>
        </w:rPr>
      </w:pPr>
    </w:p>
    <w:p w14:paraId="2369A6C6" w14:textId="77777777" w:rsidR="00324A72" w:rsidRPr="00026AF4" w:rsidRDefault="00324A72" w:rsidP="00712250">
      <w:pPr>
        <w:jc w:val="both"/>
        <w:rPr>
          <w:rFonts w:asciiTheme="minorHAnsi" w:hAnsiTheme="minorHAnsi"/>
          <w:b/>
          <w:szCs w:val="28"/>
          <w:lang w:val="en-US"/>
        </w:rPr>
      </w:pPr>
      <w:r w:rsidRPr="00026AF4">
        <w:rPr>
          <w:rFonts w:asciiTheme="minorHAnsi" w:hAnsiTheme="minorHAnsi"/>
          <w:b/>
          <w:szCs w:val="28"/>
          <w:lang w:val="en-US"/>
        </w:rPr>
        <w:t xml:space="preserve">Figure 2: </w:t>
      </w:r>
      <w:r w:rsidR="00B17A40" w:rsidRPr="00026AF4">
        <w:rPr>
          <w:rFonts w:asciiTheme="minorHAnsi" w:hAnsiTheme="minorHAnsi"/>
          <w:szCs w:val="28"/>
          <w:lang w:val="en-US"/>
        </w:rPr>
        <w:t>Cumulative incidence of chronic pancreatitis depending on age (</w:t>
      </w:r>
      <w:r w:rsidR="00B17A40" w:rsidRPr="00026AF4">
        <w:rPr>
          <w:rFonts w:asciiTheme="minorHAnsi" w:hAnsiTheme="minorHAnsi"/>
          <w:b/>
          <w:szCs w:val="28"/>
          <w:lang w:val="en-US"/>
        </w:rPr>
        <w:t>2a</w:t>
      </w:r>
      <w:r w:rsidR="00B17A40" w:rsidRPr="00026AF4">
        <w:rPr>
          <w:rFonts w:asciiTheme="minorHAnsi" w:hAnsiTheme="minorHAnsi"/>
          <w:szCs w:val="28"/>
          <w:lang w:val="en-US"/>
        </w:rPr>
        <w:t>) and according to tobacco status (</w:t>
      </w:r>
      <w:r w:rsidR="00B17A40" w:rsidRPr="00026AF4">
        <w:rPr>
          <w:rFonts w:asciiTheme="minorHAnsi" w:hAnsiTheme="minorHAnsi"/>
          <w:b/>
          <w:szCs w:val="28"/>
          <w:lang w:val="en-US"/>
        </w:rPr>
        <w:t>2b</w:t>
      </w:r>
      <w:r w:rsidR="00B17A40" w:rsidRPr="00026AF4">
        <w:rPr>
          <w:rFonts w:asciiTheme="minorHAnsi" w:hAnsiTheme="minorHAnsi"/>
          <w:szCs w:val="28"/>
          <w:lang w:val="en-US"/>
        </w:rPr>
        <w:t>)</w:t>
      </w:r>
    </w:p>
    <w:p w14:paraId="272FCB14" w14:textId="77777777" w:rsidR="0042173F" w:rsidRPr="00026AF4" w:rsidRDefault="0042173F" w:rsidP="00712250">
      <w:pPr>
        <w:jc w:val="both"/>
        <w:rPr>
          <w:rFonts w:asciiTheme="minorHAnsi" w:hAnsiTheme="minorHAnsi"/>
          <w:szCs w:val="28"/>
          <w:lang w:val="en-US"/>
        </w:rPr>
      </w:pPr>
    </w:p>
    <w:p w14:paraId="6F8E8D3D" w14:textId="77777777" w:rsidR="00324A72" w:rsidRPr="00026AF4" w:rsidRDefault="00324A72" w:rsidP="00712250">
      <w:pPr>
        <w:jc w:val="both"/>
        <w:rPr>
          <w:rFonts w:asciiTheme="minorHAnsi" w:hAnsiTheme="minorHAnsi"/>
          <w:szCs w:val="28"/>
          <w:lang w:val="en-US"/>
        </w:rPr>
      </w:pPr>
      <w:r w:rsidRPr="00026AF4">
        <w:rPr>
          <w:rFonts w:asciiTheme="minorHAnsi" w:hAnsiTheme="minorHAnsi"/>
          <w:b/>
          <w:szCs w:val="28"/>
          <w:lang w:val="en-US"/>
        </w:rPr>
        <w:t>Figure 3:</w:t>
      </w:r>
      <w:r w:rsidR="00B17A40" w:rsidRPr="00026AF4">
        <w:rPr>
          <w:rFonts w:asciiTheme="minorHAnsi" w:hAnsiTheme="minorHAnsi"/>
          <w:b/>
          <w:szCs w:val="28"/>
          <w:lang w:val="en-US"/>
        </w:rPr>
        <w:t xml:space="preserve"> </w:t>
      </w:r>
      <w:r w:rsidR="00B17A40" w:rsidRPr="00026AF4">
        <w:rPr>
          <w:rFonts w:asciiTheme="minorHAnsi" w:hAnsiTheme="minorHAnsi"/>
          <w:szCs w:val="28"/>
          <w:lang w:val="en-US"/>
        </w:rPr>
        <w:t xml:space="preserve">Cumulative incidence </w:t>
      </w:r>
      <w:r w:rsidRPr="00026AF4">
        <w:rPr>
          <w:rFonts w:asciiTheme="minorHAnsi" w:hAnsiTheme="minorHAnsi"/>
          <w:szCs w:val="28"/>
          <w:lang w:val="en-US"/>
        </w:rPr>
        <w:t xml:space="preserve">of </w:t>
      </w:r>
      <w:proofErr w:type="spellStart"/>
      <w:r w:rsidRPr="00026AF4">
        <w:rPr>
          <w:rFonts w:asciiTheme="minorHAnsi" w:hAnsiTheme="minorHAnsi"/>
          <w:szCs w:val="28"/>
          <w:lang w:val="en-US"/>
        </w:rPr>
        <w:t>steatorrhea</w:t>
      </w:r>
      <w:proofErr w:type="spellEnd"/>
      <w:r w:rsidRPr="00026AF4">
        <w:rPr>
          <w:rFonts w:asciiTheme="minorHAnsi" w:hAnsiTheme="minorHAnsi"/>
          <w:szCs w:val="28"/>
          <w:lang w:val="en-US"/>
        </w:rPr>
        <w:t xml:space="preserve"> depending on age </w:t>
      </w:r>
      <w:r w:rsidR="00B17A40" w:rsidRPr="00026AF4">
        <w:rPr>
          <w:rFonts w:asciiTheme="minorHAnsi" w:hAnsiTheme="minorHAnsi"/>
          <w:szCs w:val="28"/>
          <w:lang w:val="en-US"/>
        </w:rPr>
        <w:t>(</w:t>
      </w:r>
      <w:r w:rsidR="00B17A40" w:rsidRPr="00026AF4">
        <w:rPr>
          <w:rFonts w:asciiTheme="minorHAnsi" w:hAnsiTheme="minorHAnsi"/>
          <w:b/>
          <w:szCs w:val="28"/>
          <w:lang w:val="en-US"/>
        </w:rPr>
        <w:t>3a</w:t>
      </w:r>
      <w:r w:rsidR="00B17A40" w:rsidRPr="00026AF4">
        <w:rPr>
          <w:rFonts w:asciiTheme="minorHAnsi" w:hAnsiTheme="minorHAnsi"/>
          <w:szCs w:val="28"/>
          <w:lang w:val="en-US"/>
        </w:rPr>
        <w:t>) and depending on tobacco status (</w:t>
      </w:r>
      <w:r w:rsidR="00B17A40" w:rsidRPr="00026AF4">
        <w:rPr>
          <w:rFonts w:asciiTheme="minorHAnsi" w:hAnsiTheme="minorHAnsi"/>
          <w:b/>
          <w:szCs w:val="28"/>
          <w:lang w:val="en-US"/>
        </w:rPr>
        <w:t>3b</w:t>
      </w:r>
      <w:r w:rsidR="00B17A40" w:rsidRPr="00026AF4">
        <w:rPr>
          <w:rFonts w:asciiTheme="minorHAnsi" w:hAnsiTheme="minorHAnsi"/>
          <w:szCs w:val="28"/>
          <w:lang w:val="en-US"/>
        </w:rPr>
        <w:t>)</w:t>
      </w:r>
    </w:p>
    <w:p w14:paraId="4ACD483B" w14:textId="77777777" w:rsidR="0042173F" w:rsidRPr="00026AF4" w:rsidRDefault="0042173F" w:rsidP="00712250">
      <w:pPr>
        <w:jc w:val="both"/>
        <w:rPr>
          <w:rFonts w:asciiTheme="minorHAnsi" w:hAnsiTheme="minorHAnsi"/>
          <w:szCs w:val="28"/>
          <w:lang w:val="en-US"/>
        </w:rPr>
      </w:pPr>
    </w:p>
    <w:p w14:paraId="4058EF01" w14:textId="77777777" w:rsidR="00324A72" w:rsidRPr="00026AF4" w:rsidRDefault="00324A72" w:rsidP="00712250">
      <w:pPr>
        <w:jc w:val="both"/>
        <w:rPr>
          <w:rFonts w:asciiTheme="minorHAnsi" w:hAnsiTheme="minorHAnsi"/>
          <w:b/>
          <w:szCs w:val="28"/>
          <w:lang w:val="en-US"/>
        </w:rPr>
      </w:pPr>
      <w:r w:rsidRPr="00026AF4">
        <w:rPr>
          <w:rFonts w:asciiTheme="minorHAnsi" w:hAnsiTheme="minorHAnsi"/>
          <w:b/>
          <w:szCs w:val="28"/>
          <w:lang w:val="en-US"/>
        </w:rPr>
        <w:t>Figure 4</w:t>
      </w:r>
      <w:r w:rsidR="00B17A40" w:rsidRPr="00026AF4">
        <w:rPr>
          <w:rFonts w:asciiTheme="minorHAnsi" w:hAnsiTheme="minorHAnsi"/>
          <w:b/>
          <w:szCs w:val="28"/>
          <w:lang w:val="en-US"/>
        </w:rPr>
        <w:t>:</w:t>
      </w:r>
      <w:r w:rsidR="00B17A40" w:rsidRPr="00026AF4">
        <w:rPr>
          <w:rFonts w:asciiTheme="minorHAnsi" w:hAnsiTheme="minorHAnsi"/>
          <w:szCs w:val="28"/>
          <w:lang w:val="en-US"/>
        </w:rPr>
        <w:t xml:space="preserve"> Cumulative incidence of mellitus diabetes depending on age (</w:t>
      </w:r>
      <w:r w:rsidR="00B17A40" w:rsidRPr="00026AF4">
        <w:rPr>
          <w:rFonts w:asciiTheme="minorHAnsi" w:hAnsiTheme="minorHAnsi"/>
          <w:b/>
          <w:szCs w:val="28"/>
          <w:lang w:val="en-US"/>
        </w:rPr>
        <w:t>4a</w:t>
      </w:r>
      <w:r w:rsidR="00B17A40" w:rsidRPr="00026AF4">
        <w:rPr>
          <w:rFonts w:asciiTheme="minorHAnsi" w:hAnsiTheme="minorHAnsi"/>
          <w:szCs w:val="28"/>
          <w:lang w:val="en-US"/>
        </w:rPr>
        <w:t>) and depending on tobacco status (</w:t>
      </w:r>
      <w:r w:rsidR="00B17A40" w:rsidRPr="00026AF4">
        <w:rPr>
          <w:rFonts w:asciiTheme="minorHAnsi" w:hAnsiTheme="minorHAnsi"/>
          <w:b/>
          <w:szCs w:val="28"/>
          <w:lang w:val="en-US"/>
        </w:rPr>
        <w:t>4b</w:t>
      </w:r>
      <w:r w:rsidR="00B17A40" w:rsidRPr="00026AF4">
        <w:rPr>
          <w:rFonts w:asciiTheme="minorHAnsi" w:hAnsiTheme="minorHAnsi"/>
          <w:szCs w:val="28"/>
          <w:lang w:val="en-US"/>
        </w:rPr>
        <w:t>)</w:t>
      </w:r>
    </w:p>
    <w:p w14:paraId="2ED5BE99" w14:textId="77777777" w:rsidR="0042173F" w:rsidRPr="00026AF4" w:rsidRDefault="0042173F" w:rsidP="00712250">
      <w:pPr>
        <w:jc w:val="both"/>
        <w:rPr>
          <w:rFonts w:asciiTheme="minorHAnsi" w:hAnsiTheme="minorHAnsi"/>
          <w:szCs w:val="28"/>
          <w:lang w:val="en-US"/>
        </w:rPr>
      </w:pPr>
    </w:p>
    <w:p w14:paraId="58FDC720" w14:textId="77777777" w:rsidR="00324A72" w:rsidRPr="00C359B8" w:rsidRDefault="00324A72" w:rsidP="00712250">
      <w:pPr>
        <w:jc w:val="both"/>
        <w:rPr>
          <w:rFonts w:asciiTheme="minorHAnsi" w:hAnsiTheme="minorHAnsi"/>
          <w:szCs w:val="28"/>
          <w:lang w:val="en-US"/>
        </w:rPr>
      </w:pPr>
      <w:r w:rsidRPr="00026AF4">
        <w:rPr>
          <w:rFonts w:asciiTheme="minorHAnsi" w:hAnsiTheme="minorHAnsi"/>
          <w:b/>
          <w:szCs w:val="28"/>
          <w:lang w:val="en-US"/>
        </w:rPr>
        <w:t>Figure 5:</w:t>
      </w:r>
      <w:r w:rsidRPr="00026AF4">
        <w:rPr>
          <w:rFonts w:asciiTheme="minorHAnsi" w:hAnsiTheme="minorHAnsi"/>
          <w:szCs w:val="28"/>
          <w:lang w:val="en-US"/>
        </w:rPr>
        <w:t xml:space="preserve"> </w:t>
      </w:r>
      <w:r w:rsidR="00B17A40" w:rsidRPr="00026AF4">
        <w:rPr>
          <w:rFonts w:asciiTheme="minorHAnsi" w:hAnsiTheme="minorHAnsi"/>
          <w:szCs w:val="28"/>
          <w:lang w:val="en-US"/>
        </w:rPr>
        <w:t xml:space="preserve">Cumulative incidence </w:t>
      </w:r>
      <w:r w:rsidRPr="00026AF4">
        <w:rPr>
          <w:rFonts w:asciiTheme="minorHAnsi" w:hAnsiTheme="minorHAnsi"/>
          <w:szCs w:val="28"/>
          <w:lang w:val="en-US"/>
        </w:rPr>
        <w:t>of pancreatic ductal adenocarcinoma cancer depending on age</w:t>
      </w:r>
      <w:bookmarkStart w:id="0" w:name="_GoBack"/>
      <w:bookmarkEnd w:id="0"/>
    </w:p>
    <w:p w14:paraId="1ACD04C6" w14:textId="77777777" w:rsidR="0041651D" w:rsidRPr="00C359B8" w:rsidRDefault="0041651D" w:rsidP="00712250">
      <w:pPr>
        <w:jc w:val="both"/>
        <w:rPr>
          <w:rFonts w:asciiTheme="minorHAnsi" w:hAnsiTheme="minorHAnsi"/>
          <w:szCs w:val="28"/>
          <w:lang w:val="en-US"/>
        </w:rPr>
      </w:pPr>
    </w:p>
    <w:p w14:paraId="463CD3DB" w14:textId="77777777" w:rsidR="0041651D" w:rsidRPr="00C359B8" w:rsidRDefault="0041651D" w:rsidP="00712250">
      <w:pPr>
        <w:jc w:val="both"/>
        <w:rPr>
          <w:rFonts w:asciiTheme="minorHAnsi" w:hAnsiTheme="minorHAnsi"/>
          <w:szCs w:val="28"/>
          <w:lang w:val="en-US"/>
        </w:rPr>
      </w:pPr>
    </w:p>
    <w:p w14:paraId="26984DAE" w14:textId="77777777" w:rsidR="0041651D" w:rsidRPr="00C359B8" w:rsidRDefault="0041651D" w:rsidP="00712250">
      <w:pPr>
        <w:jc w:val="both"/>
        <w:rPr>
          <w:rFonts w:asciiTheme="minorHAnsi" w:hAnsiTheme="minorHAnsi"/>
          <w:szCs w:val="28"/>
          <w:lang w:val="en-US"/>
        </w:rPr>
      </w:pPr>
    </w:p>
    <w:p w14:paraId="3BE8CCE0" w14:textId="77777777" w:rsidR="0041651D" w:rsidRPr="00C359B8" w:rsidRDefault="0041651D" w:rsidP="00712250">
      <w:pPr>
        <w:jc w:val="both"/>
        <w:rPr>
          <w:rFonts w:asciiTheme="minorHAnsi" w:hAnsiTheme="minorHAnsi"/>
          <w:szCs w:val="28"/>
          <w:lang w:val="en-US"/>
        </w:rPr>
      </w:pPr>
    </w:p>
    <w:p w14:paraId="6D087DD8" w14:textId="77777777" w:rsidR="0041651D" w:rsidRPr="00C359B8" w:rsidRDefault="0041651D" w:rsidP="00712250">
      <w:pPr>
        <w:jc w:val="both"/>
        <w:rPr>
          <w:rFonts w:asciiTheme="minorHAnsi" w:hAnsiTheme="minorHAnsi"/>
          <w:szCs w:val="28"/>
          <w:lang w:val="en-US"/>
        </w:rPr>
      </w:pPr>
    </w:p>
    <w:p w14:paraId="79D0CAD1" w14:textId="77777777" w:rsidR="0041651D" w:rsidRPr="00C359B8" w:rsidRDefault="0041651D" w:rsidP="00712250">
      <w:pPr>
        <w:jc w:val="both"/>
        <w:rPr>
          <w:rFonts w:asciiTheme="minorHAnsi" w:hAnsiTheme="minorHAnsi"/>
          <w:szCs w:val="28"/>
          <w:lang w:val="en-US"/>
        </w:rPr>
      </w:pPr>
    </w:p>
    <w:p w14:paraId="5A019DCC" w14:textId="77777777" w:rsidR="0041651D" w:rsidRPr="00C359B8" w:rsidRDefault="0041651D" w:rsidP="00712250">
      <w:pPr>
        <w:jc w:val="both"/>
        <w:rPr>
          <w:rFonts w:asciiTheme="minorHAnsi" w:hAnsiTheme="minorHAnsi"/>
          <w:szCs w:val="28"/>
          <w:lang w:val="en-US"/>
        </w:rPr>
      </w:pPr>
    </w:p>
    <w:p w14:paraId="0B0F8E47" w14:textId="77777777" w:rsidR="0041651D" w:rsidRPr="00C359B8" w:rsidRDefault="0041651D" w:rsidP="00712250">
      <w:pPr>
        <w:jc w:val="both"/>
        <w:rPr>
          <w:rFonts w:asciiTheme="minorHAnsi" w:hAnsiTheme="minorHAnsi"/>
          <w:szCs w:val="28"/>
          <w:lang w:val="en-US"/>
        </w:rPr>
      </w:pPr>
    </w:p>
    <w:p w14:paraId="6ED1F43C" w14:textId="77777777" w:rsidR="0041651D" w:rsidRPr="00C359B8" w:rsidRDefault="0041651D" w:rsidP="00712250">
      <w:pPr>
        <w:jc w:val="both"/>
        <w:rPr>
          <w:rFonts w:asciiTheme="minorHAnsi" w:hAnsiTheme="minorHAnsi"/>
          <w:szCs w:val="28"/>
          <w:lang w:val="en-US"/>
        </w:rPr>
      </w:pPr>
    </w:p>
    <w:p w14:paraId="079395B7" w14:textId="77777777" w:rsidR="0041651D" w:rsidRPr="00C359B8" w:rsidRDefault="0041651D" w:rsidP="00712250">
      <w:pPr>
        <w:jc w:val="both"/>
        <w:rPr>
          <w:rFonts w:asciiTheme="minorHAnsi" w:hAnsiTheme="minorHAnsi"/>
          <w:szCs w:val="28"/>
          <w:lang w:val="en-US"/>
        </w:rPr>
      </w:pPr>
    </w:p>
    <w:p w14:paraId="43E340F5" w14:textId="77777777" w:rsidR="0041651D" w:rsidRPr="00C359B8" w:rsidRDefault="0041651D" w:rsidP="00712250">
      <w:pPr>
        <w:jc w:val="both"/>
        <w:rPr>
          <w:rFonts w:asciiTheme="minorHAnsi" w:hAnsiTheme="minorHAnsi"/>
          <w:szCs w:val="28"/>
          <w:lang w:val="en-US"/>
        </w:rPr>
      </w:pPr>
    </w:p>
    <w:p w14:paraId="003FC8AE" w14:textId="77777777" w:rsidR="0041651D" w:rsidRPr="00C359B8" w:rsidRDefault="0041651D" w:rsidP="00712250">
      <w:pPr>
        <w:jc w:val="both"/>
        <w:rPr>
          <w:rFonts w:asciiTheme="minorHAnsi" w:hAnsiTheme="minorHAnsi"/>
          <w:szCs w:val="28"/>
          <w:lang w:val="en-US"/>
        </w:rPr>
      </w:pPr>
    </w:p>
    <w:p w14:paraId="2A026E3D" w14:textId="77777777" w:rsidR="0041651D" w:rsidRPr="00C359B8" w:rsidRDefault="0041651D" w:rsidP="00712250">
      <w:pPr>
        <w:jc w:val="both"/>
        <w:rPr>
          <w:rFonts w:asciiTheme="minorHAnsi" w:hAnsiTheme="minorHAnsi"/>
          <w:szCs w:val="28"/>
          <w:lang w:val="en-US"/>
        </w:rPr>
      </w:pPr>
    </w:p>
    <w:p w14:paraId="3A4BE863" w14:textId="77777777" w:rsidR="0041651D" w:rsidRPr="00C359B8" w:rsidRDefault="0041651D" w:rsidP="00712250">
      <w:pPr>
        <w:jc w:val="both"/>
        <w:rPr>
          <w:rFonts w:asciiTheme="minorHAnsi" w:hAnsiTheme="minorHAnsi"/>
          <w:szCs w:val="28"/>
          <w:lang w:val="en-US"/>
        </w:rPr>
      </w:pPr>
    </w:p>
    <w:p w14:paraId="0D1EF81B" w14:textId="77777777" w:rsidR="0041651D" w:rsidRPr="00C359B8" w:rsidRDefault="0041651D" w:rsidP="00712250">
      <w:pPr>
        <w:jc w:val="both"/>
        <w:rPr>
          <w:rFonts w:asciiTheme="minorHAnsi" w:hAnsiTheme="minorHAnsi"/>
          <w:szCs w:val="28"/>
          <w:lang w:val="en-US"/>
        </w:rPr>
      </w:pPr>
    </w:p>
    <w:p w14:paraId="7820EAFD" w14:textId="77777777" w:rsidR="0041651D" w:rsidRPr="00C359B8" w:rsidRDefault="0041651D" w:rsidP="00712250">
      <w:pPr>
        <w:jc w:val="both"/>
        <w:rPr>
          <w:rFonts w:asciiTheme="minorHAnsi" w:hAnsiTheme="minorHAnsi"/>
          <w:szCs w:val="28"/>
          <w:lang w:val="en-US"/>
        </w:rPr>
      </w:pPr>
    </w:p>
    <w:p w14:paraId="21E3DB2E" w14:textId="77777777" w:rsidR="0041651D" w:rsidRPr="00C359B8" w:rsidRDefault="0041651D" w:rsidP="00712250">
      <w:pPr>
        <w:jc w:val="both"/>
        <w:rPr>
          <w:rFonts w:asciiTheme="minorHAnsi" w:hAnsiTheme="minorHAnsi"/>
          <w:szCs w:val="28"/>
          <w:lang w:val="en-US"/>
        </w:rPr>
      </w:pPr>
    </w:p>
    <w:p w14:paraId="3D5C4383" w14:textId="77777777" w:rsidR="0041651D" w:rsidRPr="00C359B8" w:rsidRDefault="0041651D" w:rsidP="00712250">
      <w:pPr>
        <w:jc w:val="both"/>
        <w:rPr>
          <w:rFonts w:asciiTheme="minorHAnsi" w:hAnsiTheme="minorHAnsi"/>
          <w:szCs w:val="28"/>
          <w:lang w:val="en-US"/>
        </w:rPr>
      </w:pPr>
    </w:p>
    <w:p w14:paraId="1796BD3A" w14:textId="77777777" w:rsidR="0041651D" w:rsidRPr="00C359B8" w:rsidRDefault="0041651D" w:rsidP="00712250">
      <w:pPr>
        <w:jc w:val="both"/>
        <w:rPr>
          <w:rFonts w:asciiTheme="minorHAnsi" w:hAnsiTheme="minorHAnsi"/>
          <w:szCs w:val="28"/>
          <w:lang w:val="en-US"/>
        </w:rPr>
      </w:pPr>
    </w:p>
    <w:p w14:paraId="0CE61C3C" w14:textId="77777777" w:rsidR="0041651D" w:rsidRPr="00C359B8" w:rsidRDefault="0041651D" w:rsidP="00712250">
      <w:pPr>
        <w:jc w:val="both"/>
        <w:rPr>
          <w:rFonts w:asciiTheme="minorHAnsi" w:hAnsiTheme="minorHAnsi"/>
          <w:szCs w:val="28"/>
          <w:lang w:val="en-US"/>
        </w:rPr>
      </w:pPr>
    </w:p>
    <w:p w14:paraId="72D5EC2E" w14:textId="77777777" w:rsidR="0041651D" w:rsidRPr="00C359B8" w:rsidRDefault="0041651D" w:rsidP="00712250">
      <w:pPr>
        <w:jc w:val="both"/>
        <w:rPr>
          <w:rFonts w:asciiTheme="minorHAnsi" w:hAnsiTheme="minorHAnsi"/>
          <w:szCs w:val="28"/>
          <w:lang w:val="en-US"/>
        </w:rPr>
      </w:pPr>
    </w:p>
    <w:p w14:paraId="13D29E5E" w14:textId="77777777" w:rsidR="0041651D" w:rsidRPr="00C359B8" w:rsidRDefault="0041651D" w:rsidP="00712250">
      <w:pPr>
        <w:jc w:val="both"/>
        <w:rPr>
          <w:rFonts w:asciiTheme="minorHAnsi" w:hAnsiTheme="minorHAnsi"/>
          <w:szCs w:val="28"/>
          <w:lang w:val="en-US"/>
        </w:rPr>
      </w:pPr>
    </w:p>
    <w:p w14:paraId="12124728" w14:textId="77777777" w:rsidR="0041651D" w:rsidRPr="00C359B8" w:rsidRDefault="0041651D" w:rsidP="00712250">
      <w:pPr>
        <w:jc w:val="both"/>
        <w:rPr>
          <w:rFonts w:asciiTheme="minorHAnsi" w:hAnsiTheme="minorHAnsi"/>
          <w:szCs w:val="28"/>
          <w:lang w:val="en-US"/>
        </w:rPr>
      </w:pPr>
    </w:p>
    <w:p w14:paraId="62407630" w14:textId="77777777" w:rsidR="0041651D" w:rsidRPr="00C359B8" w:rsidRDefault="0041651D" w:rsidP="00712250">
      <w:pPr>
        <w:jc w:val="both"/>
        <w:rPr>
          <w:rFonts w:asciiTheme="minorHAnsi" w:hAnsiTheme="minorHAnsi"/>
          <w:szCs w:val="28"/>
          <w:lang w:val="en-US"/>
        </w:rPr>
      </w:pPr>
    </w:p>
    <w:p w14:paraId="5E02F32A" w14:textId="77777777" w:rsidR="0041651D" w:rsidRPr="00C359B8" w:rsidRDefault="0041651D" w:rsidP="00712250">
      <w:pPr>
        <w:jc w:val="both"/>
        <w:rPr>
          <w:rFonts w:asciiTheme="minorHAnsi" w:hAnsiTheme="minorHAnsi"/>
          <w:szCs w:val="28"/>
          <w:lang w:val="en-US"/>
        </w:rPr>
      </w:pPr>
    </w:p>
    <w:p w14:paraId="32378965" w14:textId="77777777" w:rsidR="0041651D" w:rsidRPr="00C359B8" w:rsidRDefault="0041651D" w:rsidP="00712250">
      <w:pPr>
        <w:jc w:val="both"/>
        <w:rPr>
          <w:rFonts w:asciiTheme="minorHAnsi" w:hAnsiTheme="minorHAnsi"/>
          <w:szCs w:val="28"/>
          <w:lang w:val="en-US"/>
        </w:rPr>
      </w:pPr>
    </w:p>
    <w:p w14:paraId="179EBA31" w14:textId="77777777" w:rsidR="0041651D" w:rsidRPr="00C359B8" w:rsidRDefault="0041651D" w:rsidP="00712250">
      <w:pPr>
        <w:jc w:val="both"/>
        <w:rPr>
          <w:rFonts w:asciiTheme="minorHAnsi" w:hAnsiTheme="minorHAnsi"/>
          <w:szCs w:val="28"/>
          <w:lang w:val="en-US"/>
        </w:rPr>
      </w:pPr>
    </w:p>
    <w:p w14:paraId="3F599CC1" w14:textId="77777777" w:rsidR="0041651D" w:rsidRPr="00C359B8" w:rsidRDefault="0041651D" w:rsidP="00712250">
      <w:pPr>
        <w:jc w:val="both"/>
        <w:rPr>
          <w:rFonts w:asciiTheme="minorHAnsi" w:hAnsiTheme="minorHAnsi"/>
          <w:szCs w:val="28"/>
          <w:lang w:val="en-US"/>
        </w:rPr>
      </w:pPr>
    </w:p>
    <w:p w14:paraId="6BDF5F5E" w14:textId="77777777" w:rsidR="0041651D" w:rsidRPr="00C359B8" w:rsidRDefault="0041651D" w:rsidP="00712250">
      <w:pPr>
        <w:jc w:val="both"/>
        <w:rPr>
          <w:rFonts w:asciiTheme="minorHAnsi" w:hAnsiTheme="minorHAnsi"/>
          <w:szCs w:val="28"/>
          <w:lang w:val="en-US"/>
        </w:rPr>
      </w:pPr>
    </w:p>
    <w:p w14:paraId="735A8F62" w14:textId="77777777" w:rsidR="0041651D" w:rsidRPr="00C359B8" w:rsidRDefault="0041651D" w:rsidP="00712250">
      <w:pPr>
        <w:jc w:val="both"/>
        <w:rPr>
          <w:rFonts w:asciiTheme="minorHAnsi" w:hAnsiTheme="minorHAnsi"/>
          <w:szCs w:val="28"/>
          <w:lang w:val="en-US"/>
        </w:rPr>
      </w:pPr>
    </w:p>
    <w:p w14:paraId="743B94B7" w14:textId="77777777" w:rsidR="0041651D" w:rsidRPr="00C359B8" w:rsidRDefault="0041651D" w:rsidP="00712250">
      <w:pPr>
        <w:jc w:val="both"/>
        <w:rPr>
          <w:rFonts w:asciiTheme="minorHAnsi" w:hAnsiTheme="minorHAnsi"/>
          <w:szCs w:val="28"/>
          <w:lang w:val="en-US"/>
        </w:rPr>
      </w:pPr>
    </w:p>
    <w:p w14:paraId="2CC522E6" w14:textId="77777777" w:rsidR="0041651D" w:rsidRPr="00C359B8" w:rsidRDefault="0041651D" w:rsidP="00712250">
      <w:pPr>
        <w:jc w:val="both"/>
        <w:rPr>
          <w:rFonts w:asciiTheme="minorHAnsi" w:hAnsiTheme="minorHAnsi"/>
          <w:szCs w:val="28"/>
          <w:lang w:val="en-US"/>
        </w:rPr>
      </w:pPr>
    </w:p>
    <w:p w14:paraId="21D8931E" w14:textId="77777777" w:rsidR="0041651D" w:rsidRPr="00C359B8" w:rsidRDefault="0041651D" w:rsidP="00712250">
      <w:pPr>
        <w:jc w:val="both"/>
        <w:rPr>
          <w:rFonts w:asciiTheme="minorHAnsi" w:hAnsiTheme="minorHAnsi"/>
          <w:szCs w:val="28"/>
          <w:lang w:val="en-US"/>
        </w:rPr>
      </w:pPr>
    </w:p>
    <w:p w14:paraId="0C90BD45" w14:textId="77777777" w:rsidR="0041651D" w:rsidRPr="00C359B8" w:rsidRDefault="0041651D" w:rsidP="00712250">
      <w:pPr>
        <w:jc w:val="both"/>
        <w:rPr>
          <w:rFonts w:asciiTheme="minorHAnsi" w:hAnsiTheme="minorHAnsi"/>
          <w:szCs w:val="28"/>
          <w:lang w:val="en-US"/>
        </w:rPr>
      </w:pPr>
    </w:p>
    <w:p w14:paraId="47D3BAD6" w14:textId="77777777" w:rsidR="00395A6D" w:rsidRPr="002715B4" w:rsidRDefault="00395A6D" w:rsidP="00712250">
      <w:pPr>
        <w:rPr>
          <w:rFonts w:asciiTheme="minorHAnsi" w:hAnsiTheme="minorHAnsi"/>
          <w:lang w:val="en-US"/>
        </w:rPr>
      </w:pPr>
    </w:p>
    <w:sectPr w:rsidR="00395A6D" w:rsidRPr="002715B4" w:rsidSect="000955D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9059A7" w15:done="0"/>
  <w15:commentEx w15:paraId="41020D7C" w15:done="0"/>
  <w15:commentEx w15:paraId="04DDBF7A" w15:done="0"/>
  <w15:commentEx w15:paraId="3D3D8491" w15:done="0"/>
  <w15:commentEx w15:paraId="34ADFE68" w15:done="0"/>
  <w15:commentEx w15:paraId="466CFF30" w15:done="0"/>
  <w15:commentEx w15:paraId="457A3F51" w15:done="0"/>
  <w15:commentEx w15:paraId="5B2FECB2" w15:done="0"/>
  <w15:commentEx w15:paraId="0CE33487" w15:done="0"/>
  <w15:commentEx w15:paraId="62F6725A" w15:done="0"/>
  <w15:commentEx w15:paraId="214787F0" w15:done="0"/>
  <w15:commentEx w15:paraId="68D5C4FE" w15:done="0"/>
  <w15:commentEx w15:paraId="1E9306EF" w15:done="0"/>
  <w15:commentEx w15:paraId="2EB33135" w15:done="0"/>
  <w15:commentEx w15:paraId="06C540AA" w15:done="0"/>
  <w15:commentEx w15:paraId="44652476" w15:done="0"/>
  <w15:commentEx w15:paraId="26A68E6F" w15:done="0"/>
  <w15:commentEx w15:paraId="101BE409" w15:done="0"/>
  <w15:commentEx w15:paraId="60DB0C65" w15:done="0"/>
  <w15:commentEx w15:paraId="5AAC64B6" w15:done="0"/>
  <w15:commentEx w15:paraId="51C1D935" w15:done="0"/>
  <w15:commentEx w15:paraId="388C28C2" w15:done="0"/>
  <w15:commentEx w15:paraId="31585E04" w15:done="0"/>
  <w15:commentEx w15:paraId="6B61C744" w15:done="0"/>
  <w15:commentEx w15:paraId="3F44B739" w15:done="0"/>
  <w15:commentEx w15:paraId="5DCE3463" w15:done="0"/>
  <w15:commentEx w15:paraId="7F8F872E" w15:done="0"/>
  <w15:commentEx w15:paraId="78C3F1C1" w15:done="0"/>
  <w15:commentEx w15:paraId="56438A9C" w15:done="0"/>
  <w15:commentEx w15:paraId="51D7FB33" w15:done="0"/>
  <w15:commentEx w15:paraId="19B90B14" w15:done="0"/>
  <w15:commentEx w15:paraId="2D406C87" w15:done="0"/>
  <w15:commentEx w15:paraId="71ED5235" w15:done="0"/>
  <w15:commentEx w15:paraId="35895A09" w15:done="0"/>
  <w15:commentEx w15:paraId="50A0AEF9" w15:done="0"/>
  <w15:commentEx w15:paraId="30E9287E" w15:done="0"/>
  <w15:commentEx w15:paraId="5DB9CA17" w15:done="0"/>
  <w15:commentEx w15:paraId="77D158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059A7" w16cid:durableId="1F674579"/>
  <w16cid:commentId w16cid:paraId="076D5C1E" w16cid:durableId="1F674553"/>
  <w16cid:commentId w16cid:paraId="03AEF247" w16cid:durableId="1F674554"/>
  <w16cid:commentId w16cid:paraId="41020D7C" w16cid:durableId="1F674555"/>
  <w16cid:commentId w16cid:paraId="3D3D8491" w16cid:durableId="1F674556"/>
  <w16cid:commentId w16cid:paraId="34ADFE68" w16cid:durableId="1F674557"/>
  <w16cid:commentId w16cid:paraId="466CFF30" w16cid:durableId="1F674558"/>
  <w16cid:commentId w16cid:paraId="5B2FECB2" w16cid:durableId="1F674559"/>
  <w16cid:commentId w16cid:paraId="0CE33487" w16cid:durableId="1F67455A"/>
  <w16cid:commentId w16cid:paraId="62F6725A" w16cid:durableId="1F67455B"/>
  <w16cid:commentId w16cid:paraId="214787F0" w16cid:durableId="1F67455C"/>
  <w16cid:commentId w16cid:paraId="1E9306EF" w16cid:durableId="1F67455D"/>
  <w16cid:commentId w16cid:paraId="2EB33135" w16cid:durableId="1F67455E"/>
  <w16cid:commentId w16cid:paraId="77B446F9" w16cid:durableId="1F67455F"/>
  <w16cid:commentId w16cid:paraId="745C86EF" w16cid:durableId="1F674560"/>
  <w16cid:commentId w16cid:paraId="44652476" w16cid:durableId="1F674561"/>
  <w16cid:commentId w16cid:paraId="26A68E6F" w16cid:durableId="1F674562"/>
  <w16cid:commentId w16cid:paraId="101BE409" w16cid:durableId="1F674563"/>
  <w16cid:commentId w16cid:paraId="60DB0C65" w16cid:durableId="1F674A50"/>
  <w16cid:commentId w16cid:paraId="5AAC64B6" w16cid:durableId="1F674AA8"/>
  <w16cid:commentId w16cid:paraId="51C1D935" w16cid:durableId="1F674564"/>
  <w16cid:commentId w16cid:paraId="7EBC2548" w16cid:durableId="1F674565"/>
  <w16cid:commentId w16cid:paraId="31585E04" w16cid:durableId="1F674566"/>
  <w16cid:commentId w16cid:paraId="3F44B739" w16cid:durableId="1F674567"/>
  <w16cid:commentId w16cid:paraId="3BE45EB1" w16cid:durableId="1F674568"/>
  <w16cid:commentId w16cid:paraId="00530B84" w16cid:durableId="1F674569"/>
  <w16cid:commentId w16cid:paraId="74EDFAFA" w16cid:durableId="1F67456A"/>
  <w16cid:commentId w16cid:paraId="6DE06EF6" w16cid:durableId="1F67456B"/>
  <w16cid:commentId w16cid:paraId="78C3F1C1" w16cid:durableId="1F67456C"/>
  <w16cid:commentId w16cid:paraId="50A0AEF9" w16cid:durableId="1F67456D"/>
  <w16cid:commentId w16cid:paraId="3BAA1E3E" w16cid:durableId="1F67456E"/>
  <w16cid:commentId w16cid:paraId="3B26F479" w16cid:durableId="1F67456F"/>
  <w16cid:commentId w16cid:paraId="5DB9CA17" w16cid:durableId="1F67457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A2987" w14:textId="77777777" w:rsidR="00C42D47" w:rsidRDefault="00C42D47" w:rsidP="00464E98">
      <w:r>
        <w:separator/>
      </w:r>
    </w:p>
  </w:endnote>
  <w:endnote w:type="continuationSeparator" w:id="0">
    <w:p w14:paraId="776D40B4" w14:textId="77777777" w:rsidR="00C42D47" w:rsidRDefault="00C42D47" w:rsidP="0046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8432A" w14:textId="77777777" w:rsidR="00C42D47" w:rsidRDefault="00C42D47" w:rsidP="00464E98">
      <w:r>
        <w:separator/>
      </w:r>
    </w:p>
  </w:footnote>
  <w:footnote w:type="continuationSeparator" w:id="0">
    <w:p w14:paraId="5A6E49C2" w14:textId="77777777" w:rsidR="00C42D47" w:rsidRDefault="00C42D47" w:rsidP="00464E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262"/>
    <w:multiLevelType w:val="hybridMultilevel"/>
    <w:tmpl w:val="949215E4"/>
    <w:lvl w:ilvl="0" w:tplc="9A7C10A2">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746FCD"/>
    <w:multiLevelType w:val="hybridMultilevel"/>
    <w:tmpl w:val="46360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5A379D"/>
    <w:multiLevelType w:val="hybridMultilevel"/>
    <w:tmpl w:val="C00E8744"/>
    <w:lvl w:ilvl="0" w:tplc="E8021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6B5F39"/>
    <w:multiLevelType w:val="hybridMultilevel"/>
    <w:tmpl w:val="ACA4AC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Sarantitis, Ioannis">
    <w15:presenceInfo w15:providerId="AD" w15:userId="S-1-5-21-137024685-2204166116-4157399963-366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0D"/>
    <w:rsid w:val="0001068C"/>
    <w:rsid w:val="000112DD"/>
    <w:rsid w:val="0001311D"/>
    <w:rsid w:val="00020A1E"/>
    <w:rsid w:val="00022A66"/>
    <w:rsid w:val="00023581"/>
    <w:rsid w:val="00026AF4"/>
    <w:rsid w:val="00030817"/>
    <w:rsid w:val="0004784D"/>
    <w:rsid w:val="00050C33"/>
    <w:rsid w:val="000745E4"/>
    <w:rsid w:val="00075671"/>
    <w:rsid w:val="00087B34"/>
    <w:rsid w:val="000910FB"/>
    <w:rsid w:val="0009385B"/>
    <w:rsid w:val="000945F2"/>
    <w:rsid w:val="000955DB"/>
    <w:rsid w:val="000A59B1"/>
    <w:rsid w:val="000A63BE"/>
    <w:rsid w:val="000B3E3A"/>
    <w:rsid w:val="000D2435"/>
    <w:rsid w:val="000D672A"/>
    <w:rsid w:val="000D7ADB"/>
    <w:rsid w:val="000E323B"/>
    <w:rsid w:val="000F0E02"/>
    <w:rsid w:val="000F5472"/>
    <w:rsid w:val="000F69A7"/>
    <w:rsid w:val="00110D34"/>
    <w:rsid w:val="00111BFD"/>
    <w:rsid w:val="0011325A"/>
    <w:rsid w:val="001153F3"/>
    <w:rsid w:val="00115DEB"/>
    <w:rsid w:val="00115F3A"/>
    <w:rsid w:val="001233C8"/>
    <w:rsid w:val="00123460"/>
    <w:rsid w:val="001234FE"/>
    <w:rsid w:val="00131D42"/>
    <w:rsid w:val="001459C0"/>
    <w:rsid w:val="001505FC"/>
    <w:rsid w:val="00172597"/>
    <w:rsid w:val="0017284D"/>
    <w:rsid w:val="00174FEB"/>
    <w:rsid w:val="001A083A"/>
    <w:rsid w:val="001A5F54"/>
    <w:rsid w:val="001A6272"/>
    <w:rsid w:val="001B53CA"/>
    <w:rsid w:val="001C1000"/>
    <w:rsid w:val="001C1BC0"/>
    <w:rsid w:val="001C3AC3"/>
    <w:rsid w:val="001D0105"/>
    <w:rsid w:val="001D1C4C"/>
    <w:rsid w:val="001D3030"/>
    <w:rsid w:val="001D64DF"/>
    <w:rsid w:val="001D72F3"/>
    <w:rsid w:val="001F19CD"/>
    <w:rsid w:val="001F7A21"/>
    <w:rsid w:val="00202C01"/>
    <w:rsid w:val="0020574F"/>
    <w:rsid w:val="0020689D"/>
    <w:rsid w:val="00207AE8"/>
    <w:rsid w:val="002140C4"/>
    <w:rsid w:val="00214992"/>
    <w:rsid w:val="00220604"/>
    <w:rsid w:val="00226052"/>
    <w:rsid w:val="0023405D"/>
    <w:rsid w:val="00236203"/>
    <w:rsid w:val="002444D2"/>
    <w:rsid w:val="002508F4"/>
    <w:rsid w:val="00255B3D"/>
    <w:rsid w:val="00266A6A"/>
    <w:rsid w:val="002715B4"/>
    <w:rsid w:val="002742E8"/>
    <w:rsid w:val="002757E1"/>
    <w:rsid w:val="00275C37"/>
    <w:rsid w:val="002812A3"/>
    <w:rsid w:val="0028563C"/>
    <w:rsid w:val="002876F9"/>
    <w:rsid w:val="002921DA"/>
    <w:rsid w:val="002A5035"/>
    <w:rsid w:val="002B2EAE"/>
    <w:rsid w:val="002B5894"/>
    <w:rsid w:val="002B7772"/>
    <w:rsid w:val="002C1CCE"/>
    <w:rsid w:val="002C2CBF"/>
    <w:rsid w:val="002D61E6"/>
    <w:rsid w:val="002D648C"/>
    <w:rsid w:val="002D70A1"/>
    <w:rsid w:val="002F2E6B"/>
    <w:rsid w:val="002F68A6"/>
    <w:rsid w:val="00302FEA"/>
    <w:rsid w:val="00307673"/>
    <w:rsid w:val="00313DAA"/>
    <w:rsid w:val="003169C4"/>
    <w:rsid w:val="00323EC4"/>
    <w:rsid w:val="0032448F"/>
    <w:rsid w:val="0032485C"/>
    <w:rsid w:val="00324A72"/>
    <w:rsid w:val="00325412"/>
    <w:rsid w:val="003442D1"/>
    <w:rsid w:val="00345E11"/>
    <w:rsid w:val="003463DF"/>
    <w:rsid w:val="00347121"/>
    <w:rsid w:val="003477C1"/>
    <w:rsid w:val="00347F54"/>
    <w:rsid w:val="0036088A"/>
    <w:rsid w:val="003849D8"/>
    <w:rsid w:val="003861D9"/>
    <w:rsid w:val="00390CC3"/>
    <w:rsid w:val="00395A6D"/>
    <w:rsid w:val="00396887"/>
    <w:rsid w:val="003A11D2"/>
    <w:rsid w:val="003A1E1D"/>
    <w:rsid w:val="003B29E0"/>
    <w:rsid w:val="003B408D"/>
    <w:rsid w:val="003B57B8"/>
    <w:rsid w:val="003B6690"/>
    <w:rsid w:val="003C5F46"/>
    <w:rsid w:val="003D455F"/>
    <w:rsid w:val="003E148F"/>
    <w:rsid w:val="003F10FC"/>
    <w:rsid w:val="0041651D"/>
    <w:rsid w:val="004170B6"/>
    <w:rsid w:val="0042173F"/>
    <w:rsid w:val="004245CC"/>
    <w:rsid w:val="00433345"/>
    <w:rsid w:val="004341B8"/>
    <w:rsid w:val="00444C98"/>
    <w:rsid w:val="004455CC"/>
    <w:rsid w:val="00453777"/>
    <w:rsid w:val="00453A2E"/>
    <w:rsid w:val="00454811"/>
    <w:rsid w:val="00454F4B"/>
    <w:rsid w:val="00456B83"/>
    <w:rsid w:val="00456C43"/>
    <w:rsid w:val="00464E98"/>
    <w:rsid w:val="0047149A"/>
    <w:rsid w:val="004911F9"/>
    <w:rsid w:val="0049191F"/>
    <w:rsid w:val="004A1A5F"/>
    <w:rsid w:val="004B42CB"/>
    <w:rsid w:val="004C19AC"/>
    <w:rsid w:val="004C20B3"/>
    <w:rsid w:val="004C38DE"/>
    <w:rsid w:val="004D1908"/>
    <w:rsid w:val="004D1958"/>
    <w:rsid w:val="004D3E80"/>
    <w:rsid w:val="004D6DC1"/>
    <w:rsid w:val="004E2AFA"/>
    <w:rsid w:val="004F43A6"/>
    <w:rsid w:val="004F516D"/>
    <w:rsid w:val="004F53F1"/>
    <w:rsid w:val="004F61E0"/>
    <w:rsid w:val="005009E8"/>
    <w:rsid w:val="00500E00"/>
    <w:rsid w:val="00505115"/>
    <w:rsid w:val="00506AA4"/>
    <w:rsid w:val="00506E4E"/>
    <w:rsid w:val="00516205"/>
    <w:rsid w:val="00520D06"/>
    <w:rsid w:val="0054228F"/>
    <w:rsid w:val="00543199"/>
    <w:rsid w:val="00543798"/>
    <w:rsid w:val="0054538F"/>
    <w:rsid w:val="00557620"/>
    <w:rsid w:val="00560144"/>
    <w:rsid w:val="00570101"/>
    <w:rsid w:val="00571729"/>
    <w:rsid w:val="005838A7"/>
    <w:rsid w:val="00584762"/>
    <w:rsid w:val="00584E0D"/>
    <w:rsid w:val="00585616"/>
    <w:rsid w:val="00585B4B"/>
    <w:rsid w:val="00595792"/>
    <w:rsid w:val="005965C1"/>
    <w:rsid w:val="005B055E"/>
    <w:rsid w:val="005B47CB"/>
    <w:rsid w:val="005B74CB"/>
    <w:rsid w:val="005C59CD"/>
    <w:rsid w:val="005C73F2"/>
    <w:rsid w:val="005E1D8E"/>
    <w:rsid w:val="005E2F20"/>
    <w:rsid w:val="005E4683"/>
    <w:rsid w:val="005F0820"/>
    <w:rsid w:val="005F16D5"/>
    <w:rsid w:val="006111CC"/>
    <w:rsid w:val="00614C64"/>
    <w:rsid w:val="00617FA1"/>
    <w:rsid w:val="00624942"/>
    <w:rsid w:val="00625814"/>
    <w:rsid w:val="00631D9A"/>
    <w:rsid w:val="006324FE"/>
    <w:rsid w:val="00640F86"/>
    <w:rsid w:val="00650549"/>
    <w:rsid w:val="0065117F"/>
    <w:rsid w:val="00657C66"/>
    <w:rsid w:val="00661C08"/>
    <w:rsid w:val="00665060"/>
    <w:rsid w:val="00675FFC"/>
    <w:rsid w:val="00694652"/>
    <w:rsid w:val="006A4D29"/>
    <w:rsid w:val="006B080E"/>
    <w:rsid w:val="006B3F1D"/>
    <w:rsid w:val="006C416A"/>
    <w:rsid w:val="006D5B2E"/>
    <w:rsid w:val="006D7C3A"/>
    <w:rsid w:val="006E0A6C"/>
    <w:rsid w:val="006E10F6"/>
    <w:rsid w:val="006E18AC"/>
    <w:rsid w:val="006F738E"/>
    <w:rsid w:val="007025E8"/>
    <w:rsid w:val="00711009"/>
    <w:rsid w:val="00712250"/>
    <w:rsid w:val="00714171"/>
    <w:rsid w:val="00715A2E"/>
    <w:rsid w:val="00716551"/>
    <w:rsid w:val="00726B66"/>
    <w:rsid w:val="00727DC1"/>
    <w:rsid w:val="007315E3"/>
    <w:rsid w:val="00733E1C"/>
    <w:rsid w:val="00737DC5"/>
    <w:rsid w:val="00742FB6"/>
    <w:rsid w:val="00745818"/>
    <w:rsid w:val="0074738F"/>
    <w:rsid w:val="00747499"/>
    <w:rsid w:val="0075175F"/>
    <w:rsid w:val="00754450"/>
    <w:rsid w:val="00755124"/>
    <w:rsid w:val="00756D02"/>
    <w:rsid w:val="00764259"/>
    <w:rsid w:val="00766490"/>
    <w:rsid w:val="007671F0"/>
    <w:rsid w:val="00770BEA"/>
    <w:rsid w:val="00790B51"/>
    <w:rsid w:val="00794D26"/>
    <w:rsid w:val="007A08B2"/>
    <w:rsid w:val="007A2F6E"/>
    <w:rsid w:val="007B79D1"/>
    <w:rsid w:val="007C064C"/>
    <w:rsid w:val="007C61AF"/>
    <w:rsid w:val="007C70F0"/>
    <w:rsid w:val="007D4949"/>
    <w:rsid w:val="007D608F"/>
    <w:rsid w:val="007E024E"/>
    <w:rsid w:val="007E163C"/>
    <w:rsid w:val="007F456A"/>
    <w:rsid w:val="00802D07"/>
    <w:rsid w:val="00804B0B"/>
    <w:rsid w:val="008059D8"/>
    <w:rsid w:val="0080783C"/>
    <w:rsid w:val="008142B8"/>
    <w:rsid w:val="00814C75"/>
    <w:rsid w:val="008169A0"/>
    <w:rsid w:val="00827ABF"/>
    <w:rsid w:val="00835083"/>
    <w:rsid w:val="0083698D"/>
    <w:rsid w:val="008438D8"/>
    <w:rsid w:val="00845BFE"/>
    <w:rsid w:val="008479C6"/>
    <w:rsid w:val="00853173"/>
    <w:rsid w:val="008558CF"/>
    <w:rsid w:val="00860469"/>
    <w:rsid w:val="00876FCF"/>
    <w:rsid w:val="0088173D"/>
    <w:rsid w:val="00881B1B"/>
    <w:rsid w:val="008863D1"/>
    <w:rsid w:val="00886B13"/>
    <w:rsid w:val="00893CD5"/>
    <w:rsid w:val="008955CA"/>
    <w:rsid w:val="008A084D"/>
    <w:rsid w:val="008A1EF7"/>
    <w:rsid w:val="008A5301"/>
    <w:rsid w:val="008A6531"/>
    <w:rsid w:val="008B4AAC"/>
    <w:rsid w:val="008C0FD8"/>
    <w:rsid w:val="008C1442"/>
    <w:rsid w:val="008D39C5"/>
    <w:rsid w:val="008E049A"/>
    <w:rsid w:val="008E1377"/>
    <w:rsid w:val="008E1A30"/>
    <w:rsid w:val="008E1EC0"/>
    <w:rsid w:val="008E24BF"/>
    <w:rsid w:val="008E460C"/>
    <w:rsid w:val="008E487D"/>
    <w:rsid w:val="008E799B"/>
    <w:rsid w:val="008F36BD"/>
    <w:rsid w:val="008F5333"/>
    <w:rsid w:val="008F6D6A"/>
    <w:rsid w:val="00904784"/>
    <w:rsid w:val="009137F7"/>
    <w:rsid w:val="00921136"/>
    <w:rsid w:val="00922826"/>
    <w:rsid w:val="009319EE"/>
    <w:rsid w:val="0093396E"/>
    <w:rsid w:val="00933979"/>
    <w:rsid w:val="00937372"/>
    <w:rsid w:val="0094348E"/>
    <w:rsid w:val="0094680D"/>
    <w:rsid w:val="0096441F"/>
    <w:rsid w:val="0096653B"/>
    <w:rsid w:val="00970EC7"/>
    <w:rsid w:val="00972EAE"/>
    <w:rsid w:val="00977C23"/>
    <w:rsid w:val="00981921"/>
    <w:rsid w:val="00985568"/>
    <w:rsid w:val="009A2EDC"/>
    <w:rsid w:val="009A3974"/>
    <w:rsid w:val="009A5DB1"/>
    <w:rsid w:val="009A66C4"/>
    <w:rsid w:val="009A758F"/>
    <w:rsid w:val="009B5A86"/>
    <w:rsid w:val="009B64E5"/>
    <w:rsid w:val="009B6A52"/>
    <w:rsid w:val="009C0131"/>
    <w:rsid w:val="009C5BA1"/>
    <w:rsid w:val="009C679F"/>
    <w:rsid w:val="009D0E92"/>
    <w:rsid w:val="009D3F0E"/>
    <w:rsid w:val="009D6FD0"/>
    <w:rsid w:val="009E68F0"/>
    <w:rsid w:val="009E707D"/>
    <w:rsid w:val="009F1538"/>
    <w:rsid w:val="009F1BAF"/>
    <w:rsid w:val="00A02A00"/>
    <w:rsid w:val="00A127AA"/>
    <w:rsid w:val="00A15144"/>
    <w:rsid w:val="00A339A7"/>
    <w:rsid w:val="00A34CDC"/>
    <w:rsid w:val="00A34E34"/>
    <w:rsid w:val="00A3732B"/>
    <w:rsid w:val="00A419D6"/>
    <w:rsid w:val="00A479E0"/>
    <w:rsid w:val="00A47F54"/>
    <w:rsid w:val="00A50EDF"/>
    <w:rsid w:val="00A5328B"/>
    <w:rsid w:val="00A57F47"/>
    <w:rsid w:val="00A60BEC"/>
    <w:rsid w:val="00A654EE"/>
    <w:rsid w:val="00A7313F"/>
    <w:rsid w:val="00A7368C"/>
    <w:rsid w:val="00A87222"/>
    <w:rsid w:val="00AA1B52"/>
    <w:rsid w:val="00AA29F1"/>
    <w:rsid w:val="00AA59A8"/>
    <w:rsid w:val="00AA628C"/>
    <w:rsid w:val="00AA69FD"/>
    <w:rsid w:val="00AB0DCE"/>
    <w:rsid w:val="00AB2582"/>
    <w:rsid w:val="00AB2AF6"/>
    <w:rsid w:val="00AC0CA9"/>
    <w:rsid w:val="00AC28F9"/>
    <w:rsid w:val="00AD0EDA"/>
    <w:rsid w:val="00AD5C82"/>
    <w:rsid w:val="00AE55DF"/>
    <w:rsid w:val="00AF4D17"/>
    <w:rsid w:val="00AF7E98"/>
    <w:rsid w:val="00B02FFD"/>
    <w:rsid w:val="00B0707B"/>
    <w:rsid w:val="00B16061"/>
    <w:rsid w:val="00B16A9A"/>
    <w:rsid w:val="00B17A40"/>
    <w:rsid w:val="00B213BC"/>
    <w:rsid w:val="00B21695"/>
    <w:rsid w:val="00B308A8"/>
    <w:rsid w:val="00B31C74"/>
    <w:rsid w:val="00B3532F"/>
    <w:rsid w:val="00B36FD5"/>
    <w:rsid w:val="00B403F2"/>
    <w:rsid w:val="00B4590A"/>
    <w:rsid w:val="00B55ADC"/>
    <w:rsid w:val="00B67B39"/>
    <w:rsid w:val="00B73420"/>
    <w:rsid w:val="00B74738"/>
    <w:rsid w:val="00B7605F"/>
    <w:rsid w:val="00B8104B"/>
    <w:rsid w:val="00B86A2B"/>
    <w:rsid w:val="00B90327"/>
    <w:rsid w:val="00B92609"/>
    <w:rsid w:val="00B94BAB"/>
    <w:rsid w:val="00BA176C"/>
    <w:rsid w:val="00BA3EC2"/>
    <w:rsid w:val="00BA488E"/>
    <w:rsid w:val="00BA4F6C"/>
    <w:rsid w:val="00BA6261"/>
    <w:rsid w:val="00BB3730"/>
    <w:rsid w:val="00BB5634"/>
    <w:rsid w:val="00BC6713"/>
    <w:rsid w:val="00BD27D5"/>
    <w:rsid w:val="00BD3754"/>
    <w:rsid w:val="00BD38A6"/>
    <w:rsid w:val="00BD3AE5"/>
    <w:rsid w:val="00BE101C"/>
    <w:rsid w:val="00BE52CA"/>
    <w:rsid w:val="00BE5C45"/>
    <w:rsid w:val="00BF1669"/>
    <w:rsid w:val="00BF2C06"/>
    <w:rsid w:val="00C029E5"/>
    <w:rsid w:val="00C06305"/>
    <w:rsid w:val="00C0669A"/>
    <w:rsid w:val="00C109F9"/>
    <w:rsid w:val="00C1300D"/>
    <w:rsid w:val="00C1429F"/>
    <w:rsid w:val="00C17330"/>
    <w:rsid w:val="00C30D3B"/>
    <w:rsid w:val="00C359B8"/>
    <w:rsid w:val="00C37129"/>
    <w:rsid w:val="00C42D47"/>
    <w:rsid w:val="00C44262"/>
    <w:rsid w:val="00C47074"/>
    <w:rsid w:val="00C50C04"/>
    <w:rsid w:val="00C60F62"/>
    <w:rsid w:val="00C72EF5"/>
    <w:rsid w:val="00C73CCD"/>
    <w:rsid w:val="00C74AC3"/>
    <w:rsid w:val="00C75DFC"/>
    <w:rsid w:val="00C93FBD"/>
    <w:rsid w:val="00C96784"/>
    <w:rsid w:val="00CA0083"/>
    <w:rsid w:val="00CA04CE"/>
    <w:rsid w:val="00CA33B7"/>
    <w:rsid w:val="00CB157B"/>
    <w:rsid w:val="00CB7F62"/>
    <w:rsid w:val="00CC2532"/>
    <w:rsid w:val="00CC3718"/>
    <w:rsid w:val="00CD678F"/>
    <w:rsid w:val="00CE3F98"/>
    <w:rsid w:val="00CE710A"/>
    <w:rsid w:val="00CF3FA9"/>
    <w:rsid w:val="00CF720C"/>
    <w:rsid w:val="00D02A12"/>
    <w:rsid w:val="00D0324C"/>
    <w:rsid w:val="00D05678"/>
    <w:rsid w:val="00D0756B"/>
    <w:rsid w:val="00D10856"/>
    <w:rsid w:val="00D15D03"/>
    <w:rsid w:val="00D2279D"/>
    <w:rsid w:val="00D233EA"/>
    <w:rsid w:val="00D23FF8"/>
    <w:rsid w:val="00D264A2"/>
    <w:rsid w:val="00D34EC2"/>
    <w:rsid w:val="00D438D9"/>
    <w:rsid w:val="00D43DFF"/>
    <w:rsid w:val="00D502F7"/>
    <w:rsid w:val="00D54EF6"/>
    <w:rsid w:val="00D613BC"/>
    <w:rsid w:val="00D770C3"/>
    <w:rsid w:val="00D80DE0"/>
    <w:rsid w:val="00D90609"/>
    <w:rsid w:val="00D90DAA"/>
    <w:rsid w:val="00D95601"/>
    <w:rsid w:val="00DA0250"/>
    <w:rsid w:val="00DA2984"/>
    <w:rsid w:val="00DB34B6"/>
    <w:rsid w:val="00DB3AC7"/>
    <w:rsid w:val="00DB43F5"/>
    <w:rsid w:val="00DC264A"/>
    <w:rsid w:val="00DC2ED2"/>
    <w:rsid w:val="00DD2313"/>
    <w:rsid w:val="00DD2F2B"/>
    <w:rsid w:val="00DE180E"/>
    <w:rsid w:val="00DF3141"/>
    <w:rsid w:val="00DF78D4"/>
    <w:rsid w:val="00E012BE"/>
    <w:rsid w:val="00E16BF8"/>
    <w:rsid w:val="00E35299"/>
    <w:rsid w:val="00E43534"/>
    <w:rsid w:val="00E4778B"/>
    <w:rsid w:val="00E57E6F"/>
    <w:rsid w:val="00E73EF2"/>
    <w:rsid w:val="00E74353"/>
    <w:rsid w:val="00E9161B"/>
    <w:rsid w:val="00E927E2"/>
    <w:rsid w:val="00E93DAD"/>
    <w:rsid w:val="00EA51B1"/>
    <w:rsid w:val="00EA5F14"/>
    <w:rsid w:val="00EB1A92"/>
    <w:rsid w:val="00EB3818"/>
    <w:rsid w:val="00EE2650"/>
    <w:rsid w:val="00EE648B"/>
    <w:rsid w:val="00EF625B"/>
    <w:rsid w:val="00F01789"/>
    <w:rsid w:val="00F0189B"/>
    <w:rsid w:val="00F138C5"/>
    <w:rsid w:val="00F17FBA"/>
    <w:rsid w:val="00F317BB"/>
    <w:rsid w:val="00F368AF"/>
    <w:rsid w:val="00F37160"/>
    <w:rsid w:val="00F404BF"/>
    <w:rsid w:val="00F454DC"/>
    <w:rsid w:val="00F474CF"/>
    <w:rsid w:val="00F60F45"/>
    <w:rsid w:val="00F63102"/>
    <w:rsid w:val="00F74D83"/>
    <w:rsid w:val="00F8166C"/>
    <w:rsid w:val="00F82A84"/>
    <w:rsid w:val="00F8370F"/>
    <w:rsid w:val="00F857B7"/>
    <w:rsid w:val="00F97642"/>
    <w:rsid w:val="00FA2FCB"/>
    <w:rsid w:val="00FA4E08"/>
    <w:rsid w:val="00FA69FA"/>
    <w:rsid w:val="00FA6D31"/>
    <w:rsid w:val="00FB0499"/>
    <w:rsid w:val="00FB07C0"/>
    <w:rsid w:val="00FB0A08"/>
    <w:rsid w:val="00FC165D"/>
    <w:rsid w:val="00FC194F"/>
    <w:rsid w:val="00FC19DC"/>
    <w:rsid w:val="00FC25F1"/>
    <w:rsid w:val="00FC6F6B"/>
    <w:rsid w:val="00FD06F9"/>
    <w:rsid w:val="00FD074B"/>
    <w:rsid w:val="00FD0987"/>
    <w:rsid w:val="00FD1C8C"/>
    <w:rsid w:val="00FD65BF"/>
    <w:rsid w:val="00FE66B8"/>
    <w:rsid w:val="00FF0F42"/>
    <w:rsid w:val="00FF34C9"/>
    <w:rsid w:val="00FF39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2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0D"/>
    <w:pPr>
      <w:spacing w:after="0" w:line="240" w:lineRule="auto"/>
    </w:pPr>
    <w:rPr>
      <w:rFonts w:ascii="Calibri" w:hAnsi="Calibri" w:cs="Times New Roman"/>
      <w:lang w:eastAsia="fr-FR"/>
    </w:rPr>
  </w:style>
  <w:style w:type="paragraph" w:styleId="Titre1">
    <w:name w:val="heading 1"/>
    <w:basedOn w:val="Normal"/>
    <w:link w:val="Titre1Car"/>
    <w:uiPriority w:val="9"/>
    <w:qFormat/>
    <w:rsid w:val="0020689D"/>
    <w:pPr>
      <w:spacing w:before="100" w:beforeAutospacing="1" w:after="100" w:afterAutospacing="1"/>
      <w:outlineLvl w:val="0"/>
    </w:pPr>
    <w:rPr>
      <w:rFonts w:ascii="Times New Roman" w:eastAsia="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689D"/>
    <w:rPr>
      <w:rFonts w:ascii="Times New Roman" w:eastAsia="Times New Roman" w:hAnsi="Times New Roman" w:cs="Times New Roman"/>
      <w:b/>
      <w:bCs/>
      <w:kern w:val="36"/>
      <w:sz w:val="48"/>
      <w:szCs w:val="48"/>
      <w:lang w:eastAsia="fr-FR"/>
    </w:rPr>
  </w:style>
  <w:style w:type="paragraph" w:styleId="Corpsdetexte">
    <w:name w:val="Body Text"/>
    <w:basedOn w:val="Normal"/>
    <w:link w:val="CorpsdetexteCar"/>
    <w:uiPriority w:val="99"/>
    <w:semiHidden/>
    <w:unhideWhenUsed/>
    <w:rsid w:val="0094680D"/>
    <w:pPr>
      <w:jc w:val="both"/>
    </w:pPr>
    <w:rPr>
      <w:rFonts w:ascii="Times New Roman" w:hAnsi="Times New Roman"/>
      <w:sz w:val="24"/>
      <w:szCs w:val="24"/>
    </w:rPr>
  </w:style>
  <w:style w:type="character" w:customStyle="1" w:styleId="CorpsdetexteCar">
    <w:name w:val="Corps de texte Car"/>
    <w:basedOn w:val="Policepardfaut"/>
    <w:link w:val="Corpsdetexte"/>
    <w:uiPriority w:val="99"/>
    <w:semiHidden/>
    <w:rsid w:val="0094680D"/>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680D"/>
    <w:rPr>
      <w:rFonts w:ascii="Tahoma" w:hAnsi="Tahoma" w:cs="Tahoma"/>
      <w:sz w:val="16"/>
      <w:szCs w:val="16"/>
    </w:rPr>
  </w:style>
  <w:style w:type="character" w:customStyle="1" w:styleId="TextedebullesCar">
    <w:name w:val="Texte de bulles Car"/>
    <w:basedOn w:val="Policepardfaut"/>
    <w:link w:val="Textedebulles"/>
    <w:uiPriority w:val="99"/>
    <w:semiHidden/>
    <w:rsid w:val="0094680D"/>
    <w:rPr>
      <w:rFonts w:ascii="Tahoma" w:hAnsi="Tahoma" w:cs="Tahoma"/>
      <w:sz w:val="16"/>
      <w:szCs w:val="16"/>
      <w:lang w:eastAsia="fr-FR"/>
    </w:rPr>
  </w:style>
  <w:style w:type="paragraph" w:styleId="Paragraphedeliste">
    <w:name w:val="List Paragraph"/>
    <w:basedOn w:val="Normal"/>
    <w:uiPriority w:val="34"/>
    <w:qFormat/>
    <w:rsid w:val="007D608F"/>
    <w:pPr>
      <w:ind w:left="720"/>
      <w:contextualSpacing/>
    </w:pPr>
  </w:style>
  <w:style w:type="paragraph" w:styleId="En-tte">
    <w:name w:val="header"/>
    <w:basedOn w:val="Normal"/>
    <w:link w:val="En-tteCar"/>
    <w:uiPriority w:val="99"/>
    <w:unhideWhenUsed/>
    <w:rsid w:val="00464E98"/>
    <w:pPr>
      <w:tabs>
        <w:tab w:val="center" w:pos="4536"/>
        <w:tab w:val="right" w:pos="9072"/>
      </w:tabs>
    </w:pPr>
  </w:style>
  <w:style w:type="character" w:customStyle="1" w:styleId="En-tteCar">
    <w:name w:val="En-tête Car"/>
    <w:basedOn w:val="Policepardfaut"/>
    <w:link w:val="En-tte"/>
    <w:uiPriority w:val="99"/>
    <w:rsid w:val="00464E98"/>
    <w:rPr>
      <w:rFonts w:ascii="Calibri" w:hAnsi="Calibri" w:cs="Times New Roman"/>
      <w:lang w:eastAsia="fr-FR"/>
    </w:rPr>
  </w:style>
  <w:style w:type="paragraph" w:styleId="Pieddepage">
    <w:name w:val="footer"/>
    <w:basedOn w:val="Normal"/>
    <w:link w:val="PieddepageCar"/>
    <w:uiPriority w:val="99"/>
    <w:unhideWhenUsed/>
    <w:rsid w:val="00464E98"/>
    <w:pPr>
      <w:tabs>
        <w:tab w:val="center" w:pos="4536"/>
        <w:tab w:val="right" w:pos="9072"/>
      </w:tabs>
    </w:pPr>
  </w:style>
  <w:style w:type="character" w:customStyle="1" w:styleId="PieddepageCar">
    <w:name w:val="Pied de page Car"/>
    <w:basedOn w:val="Policepardfaut"/>
    <w:link w:val="Pieddepage"/>
    <w:uiPriority w:val="99"/>
    <w:rsid w:val="00464E98"/>
    <w:rPr>
      <w:rFonts w:ascii="Calibri" w:hAnsi="Calibri" w:cs="Times New Roman"/>
      <w:lang w:eastAsia="fr-FR"/>
    </w:rPr>
  </w:style>
  <w:style w:type="paragraph" w:styleId="NormalWeb">
    <w:name w:val="Normal (Web)"/>
    <w:basedOn w:val="Normal"/>
    <w:uiPriority w:val="99"/>
    <w:semiHidden/>
    <w:unhideWhenUsed/>
    <w:rsid w:val="00395A6D"/>
    <w:pPr>
      <w:spacing w:before="100" w:beforeAutospacing="1" w:after="100" w:afterAutospacing="1"/>
    </w:pPr>
    <w:rPr>
      <w:rFonts w:ascii="Times New Roman" w:eastAsiaTheme="minorEastAsia" w:hAnsi="Times New Roman"/>
      <w:sz w:val="24"/>
      <w:szCs w:val="24"/>
    </w:rPr>
  </w:style>
  <w:style w:type="table" w:styleId="Grille">
    <w:name w:val="Table Grid"/>
    <w:basedOn w:val="TableauNormal"/>
    <w:uiPriority w:val="59"/>
    <w:rsid w:val="00585B4B"/>
    <w:pPr>
      <w:spacing w:after="0" w:line="240" w:lineRule="auto"/>
    </w:pPr>
    <w:rPr>
      <w:rFonts w:eastAsiaTheme="minorEastAsia"/>
      <w:sz w:val="24"/>
      <w:szCs w:val="24"/>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1">
    <w:name w:val="Bibliographie1"/>
    <w:basedOn w:val="Normal"/>
    <w:link w:val="BibliographyCar"/>
    <w:rsid w:val="00AD0EDA"/>
    <w:pPr>
      <w:tabs>
        <w:tab w:val="left" w:pos="260"/>
      </w:tabs>
      <w:spacing w:line="480" w:lineRule="auto"/>
      <w:ind w:left="264" w:hanging="264"/>
    </w:pPr>
    <w:rPr>
      <w:noProof/>
    </w:rPr>
  </w:style>
  <w:style w:type="character" w:customStyle="1" w:styleId="BibliographyCar">
    <w:name w:val="Bibliography Car"/>
    <w:basedOn w:val="Policepardfaut"/>
    <w:link w:val="Bibliographie1"/>
    <w:rsid w:val="00AD0EDA"/>
    <w:rPr>
      <w:rFonts w:ascii="Calibri" w:hAnsi="Calibri" w:cs="Times New Roman"/>
      <w:noProof/>
      <w:lang w:eastAsia="fr-FR"/>
    </w:rPr>
  </w:style>
  <w:style w:type="character" w:styleId="Marquedannotation">
    <w:name w:val="annotation reference"/>
    <w:basedOn w:val="Policepardfaut"/>
    <w:uiPriority w:val="99"/>
    <w:semiHidden/>
    <w:unhideWhenUsed/>
    <w:rsid w:val="00CB7F62"/>
    <w:rPr>
      <w:sz w:val="16"/>
      <w:szCs w:val="16"/>
    </w:rPr>
  </w:style>
  <w:style w:type="paragraph" w:styleId="Commentaire">
    <w:name w:val="annotation text"/>
    <w:basedOn w:val="Normal"/>
    <w:link w:val="CommentaireCar"/>
    <w:uiPriority w:val="99"/>
    <w:semiHidden/>
    <w:unhideWhenUsed/>
    <w:rsid w:val="00CB7F62"/>
    <w:rPr>
      <w:sz w:val="20"/>
      <w:szCs w:val="20"/>
    </w:rPr>
  </w:style>
  <w:style w:type="character" w:customStyle="1" w:styleId="CommentaireCar">
    <w:name w:val="Commentaire Car"/>
    <w:basedOn w:val="Policepardfaut"/>
    <w:link w:val="Commentaire"/>
    <w:uiPriority w:val="99"/>
    <w:semiHidden/>
    <w:rsid w:val="00CB7F6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7F62"/>
    <w:rPr>
      <w:b/>
      <w:bCs/>
    </w:rPr>
  </w:style>
  <w:style w:type="character" w:customStyle="1" w:styleId="ObjetducommentaireCar">
    <w:name w:val="Objet du commentaire Car"/>
    <w:basedOn w:val="CommentaireCar"/>
    <w:link w:val="Objetducommentaire"/>
    <w:uiPriority w:val="99"/>
    <w:semiHidden/>
    <w:rsid w:val="00CB7F62"/>
    <w:rPr>
      <w:rFonts w:ascii="Calibri" w:hAnsi="Calibri" w:cs="Times New Roman"/>
      <w:b/>
      <w:bCs/>
      <w:sz w:val="20"/>
      <w:szCs w:val="20"/>
      <w:lang w:eastAsia="fr-FR"/>
    </w:rPr>
  </w:style>
  <w:style w:type="paragraph" w:styleId="Retraitcorpsdetexte">
    <w:name w:val="Body Text Indent"/>
    <w:basedOn w:val="Normal"/>
    <w:link w:val="RetraitcorpsdetexteCar"/>
    <w:uiPriority w:val="99"/>
    <w:semiHidden/>
    <w:unhideWhenUsed/>
    <w:rsid w:val="002715B4"/>
    <w:pPr>
      <w:spacing w:after="120"/>
      <w:ind w:left="283"/>
    </w:pPr>
  </w:style>
  <w:style w:type="character" w:customStyle="1" w:styleId="RetraitcorpsdetexteCar">
    <w:name w:val="Retrait corps de texte Car"/>
    <w:basedOn w:val="Policepardfaut"/>
    <w:link w:val="Retraitcorpsdetexte"/>
    <w:uiPriority w:val="99"/>
    <w:semiHidden/>
    <w:rsid w:val="002715B4"/>
    <w:rPr>
      <w:rFonts w:ascii="Calibri" w:hAnsi="Calibri" w:cs="Times New Roman"/>
      <w:lang w:eastAsia="fr-FR"/>
    </w:rPr>
  </w:style>
  <w:style w:type="paragraph" w:styleId="Rvision">
    <w:name w:val="Revision"/>
    <w:hidden/>
    <w:uiPriority w:val="99"/>
    <w:semiHidden/>
    <w:rsid w:val="00853173"/>
    <w:pPr>
      <w:spacing w:after="0" w:line="240" w:lineRule="auto"/>
    </w:pPr>
    <w:rPr>
      <w:rFonts w:ascii="Calibri" w:hAnsi="Calibri" w:cs="Times New Roman"/>
      <w:lang w:eastAsia="fr-FR"/>
    </w:rPr>
  </w:style>
  <w:style w:type="character" w:styleId="Lienhypertexte">
    <w:name w:val="Hyperlink"/>
    <w:basedOn w:val="Policepardfaut"/>
    <w:uiPriority w:val="99"/>
    <w:unhideWhenUsed/>
    <w:rsid w:val="009A2EDC"/>
    <w:rPr>
      <w:color w:val="0000FF" w:themeColor="hyperlink"/>
      <w:u w:val="single"/>
    </w:rPr>
  </w:style>
  <w:style w:type="character" w:styleId="Accentuation">
    <w:name w:val="Emphasis"/>
    <w:basedOn w:val="Policepardfaut"/>
    <w:uiPriority w:val="20"/>
    <w:qFormat/>
    <w:rsid w:val="0020689D"/>
    <w:rPr>
      <w:i/>
      <w:iCs/>
    </w:rPr>
  </w:style>
  <w:style w:type="character" w:styleId="Lienhypertextesuivi">
    <w:name w:val="FollowedHyperlink"/>
    <w:basedOn w:val="Policepardfaut"/>
    <w:uiPriority w:val="99"/>
    <w:semiHidden/>
    <w:unhideWhenUsed/>
    <w:rsid w:val="009A5D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0D"/>
    <w:pPr>
      <w:spacing w:after="0" w:line="240" w:lineRule="auto"/>
    </w:pPr>
    <w:rPr>
      <w:rFonts w:ascii="Calibri" w:hAnsi="Calibri" w:cs="Times New Roman"/>
      <w:lang w:eastAsia="fr-FR"/>
    </w:rPr>
  </w:style>
  <w:style w:type="paragraph" w:styleId="Titre1">
    <w:name w:val="heading 1"/>
    <w:basedOn w:val="Normal"/>
    <w:link w:val="Titre1Car"/>
    <w:uiPriority w:val="9"/>
    <w:qFormat/>
    <w:rsid w:val="0020689D"/>
    <w:pPr>
      <w:spacing w:before="100" w:beforeAutospacing="1" w:after="100" w:afterAutospacing="1"/>
      <w:outlineLvl w:val="0"/>
    </w:pPr>
    <w:rPr>
      <w:rFonts w:ascii="Times New Roman" w:eastAsia="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689D"/>
    <w:rPr>
      <w:rFonts w:ascii="Times New Roman" w:eastAsia="Times New Roman" w:hAnsi="Times New Roman" w:cs="Times New Roman"/>
      <w:b/>
      <w:bCs/>
      <w:kern w:val="36"/>
      <w:sz w:val="48"/>
      <w:szCs w:val="48"/>
      <w:lang w:eastAsia="fr-FR"/>
    </w:rPr>
  </w:style>
  <w:style w:type="paragraph" w:styleId="Corpsdetexte">
    <w:name w:val="Body Text"/>
    <w:basedOn w:val="Normal"/>
    <w:link w:val="CorpsdetexteCar"/>
    <w:uiPriority w:val="99"/>
    <w:semiHidden/>
    <w:unhideWhenUsed/>
    <w:rsid w:val="0094680D"/>
    <w:pPr>
      <w:jc w:val="both"/>
    </w:pPr>
    <w:rPr>
      <w:rFonts w:ascii="Times New Roman" w:hAnsi="Times New Roman"/>
      <w:sz w:val="24"/>
      <w:szCs w:val="24"/>
    </w:rPr>
  </w:style>
  <w:style w:type="character" w:customStyle="1" w:styleId="CorpsdetexteCar">
    <w:name w:val="Corps de texte Car"/>
    <w:basedOn w:val="Policepardfaut"/>
    <w:link w:val="Corpsdetexte"/>
    <w:uiPriority w:val="99"/>
    <w:semiHidden/>
    <w:rsid w:val="0094680D"/>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680D"/>
    <w:rPr>
      <w:rFonts w:ascii="Tahoma" w:hAnsi="Tahoma" w:cs="Tahoma"/>
      <w:sz w:val="16"/>
      <w:szCs w:val="16"/>
    </w:rPr>
  </w:style>
  <w:style w:type="character" w:customStyle="1" w:styleId="TextedebullesCar">
    <w:name w:val="Texte de bulles Car"/>
    <w:basedOn w:val="Policepardfaut"/>
    <w:link w:val="Textedebulles"/>
    <w:uiPriority w:val="99"/>
    <w:semiHidden/>
    <w:rsid w:val="0094680D"/>
    <w:rPr>
      <w:rFonts w:ascii="Tahoma" w:hAnsi="Tahoma" w:cs="Tahoma"/>
      <w:sz w:val="16"/>
      <w:szCs w:val="16"/>
      <w:lang w:eastAsia="fr-FR"/>
    </w:rPr>
  </w:style>
  <w:style w:type="paragraph" w:styleId="Paragraphedeliste">
    <w:name w:val="List Paragraph"/>
    <w:basedOn w:val="Normal"/>
    <w:uiPriority w:val="34"/>
    <w:qFormat/>
    <w:rsid w:val="007D608F"/>
    <w:pPr>
      <w:ind w:left="720"/>
      <w:contextualSpacing/>
    </w:pPr>
  </w:style>
  <w:style w:type="paragraph" w:styleId="En-tte">
    <w:name w:val="header"/>
    <w:basedOn w:val="Normal"/>
    <w:link w:val="En-tteCar"/>
    <w:uiPriority w:val="99"/>
    <w:unhideWhenUsed/>
    <w:rsid w:val="00464E98"/>
    <w:pPr>
      <w:tabs>
        <w:tab w:val="center" w:pos="4536"/>
        <w:tab w:val="right" w:pos="9072"/>
      </w:tabs>
    </w:pPr>
  </w:style>
  <w:style w:type="character" w:customStyle="1" w:styleId="En-tteCar">
    <w:name w:val="En-tête Car"/>
    <w:basedOn w:val="Policepardfaut"/>
    <w:link w:val="En-tte"/>
    <w:uiPriority w:val="99"/>
    <w:rsid w:val="00464E98"/>
    <w:rPr>
      <w:rFonts w:ascii="Calibri" w:hAnsi="Calibri" w:cs="Times New Roman"/>
      <w:lang w:eastAsia="fr-FR"/>
    </w:rPr>
  </w:style>
  <w:style w:type="paragraph" w:styleId="Pieddepage">
    <w:name w:val="footer"/>
    <w:basedOn w:val="Normal"/>
    <w:link w:val="PieddepageCar"/>
    <w:uiPriority w:val="99"/>
    <w:unhideWhenUsed/>
    <w:rsid w:val="00464E98"/>
    <w:pPr>
      <w:tabs>
        <w:tab w:val="center" w:pos="4536"/>
        <w:tab w:val="right" w:pos="9072"/>
      </w:tabs>
    </w:pPr>
  </w:style>
  <w:style w:type="character" w:customStyle="1" w:styleId="PieddepageCar">
    <w:name w:val="Pied de page Car"/>
    <w:basedOn w:val="Policepardfaut"/>
    <w:link w:val="Pieddepage"/>
    <w:uiPriority w:val="99"/>
    <w:rsid w:val="00464E98"/>
    <w:rPr>
      <w:rFonts w:ascii="Calibri" w:hAnsi="Calibri" w:cs="Times New Roman"/>
      <w:lang w:eastAsia="fr-FR"/>
    </w:rPr>
  </w:style>
  <w:style w:type="paragraph" w:styleId="NormalWeb">
    <w:name w:val="Normal (Web)"/>
    <w:basedOn w:val="Normal"/>
    <w:uiPriority w:val="99"/>
    <w:semiHidden/>
    <w:unhideWhenUsed/>
    <w:rsid w:val="00395A6D"/>
    <w:pPr>
      <w:spacing w:before="100" w:beforeAutospacing="1" w:after="100" w:afterAutospacing="1"/>
    </w:pPr>
    <w:rPr>
      <w:rFonts w:ascii="Times New Roman" w:eastAsiaTheme="minorEastAsia" w:hAnsi="Times New Roman"/>
      <w:sz w:val="24"/>
      <w:szCs w:val="24"/>
    </w:rPr>
  </w:style>
  <w:style w:type="table" w:styleId="Grille">
    <w:name w:val="Table Grid"/>
    <w:basedOn w:val="TableauNormal"/>
    <w:uiPriority w:val="59"/>
    <w:rsid w:val="00585B4B"/>
    <w:pPr>
      <w:spacing w:after="0" w:line="240" w:lineRule="auto"/>
    </w:pPr>
    <w:rPr>
      <w:rFonts w:eastAsiaTheme="minorEastAsia"/>
      <w:sz w:val="24"/>
      <w:szCs w:val="24"/>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1">
    <w:name w:val="Bibliographie1"/>
    <w:basedOn w:val="Normal"/>
    <w:link w:val="BibliographyCar"/>
    <w:rsid w:val="00AD0EDA"/>
    <w:pPr>
      <w:tabs>
        <w:tab w:val="left" w:pos="260"/>
      </w:tabs>
      <w:spacing w:line="480" w:lineRule="auto"/>
      <w:ind w:left="264" w:hanging="264"/>
    </w:pPr>
    <w:rPr>
      <w:noProof/>
    </w:rPr>
  </w:style>
  <w:style w:type="character" w:customStyle="1" w:styleId="BibliographyCar">
    <w:name w:val="Bibliography Car"/>
    <w:basedOn w:val="Policepardfaut"/>
    <w:link w:val="Bibliographie1"/>
    <w:rsid w:val="00AD0EDA"/>
    <w:rPr>
      <w:rFonts w:ascii="Calibri" w:hAnsi="Calibri" w:cs="Times New Roman"/>
      <w:noProof/>
      <w:lang w:eastAsia="fr-FR"/>
    </w:rPr>
  </w:style>
  <w:style w:type="character" w:styleId="Marquedannotation">
    <w:name w:val="annotation reference"/>
    <w:basedOn w:val="Policepardfaut"/>
    <w:uiPriority w:val="99"/>
    <w:semiHidden/>
    <w:unhideWhenUsed/>
    <w:rsid w:val="00CB7F62"/>
    <w:rPr>
      <w:sz w:val="16"/>
      <w:szCs w:val="16"/>
    </w:rPr>
  </w:style>
  <w:style w:type="paragraph" w:styleId="Commentaire">
    <w:name w:val="annotation text"/>
    <w:basedOn w:val="Normal"/>
    <w:link w:val="CommentaireCar"/>
    <w:uiPriority w:val="99"/>
    <w:semiHidden/>
    <w:unhideWhenUsed/>
    <w:rsid w:val="00CB7F62"/>
    <w:rPr>
      <w:sz w:val="20"/>
      <w:szCs w:val="20"/>
    </w:rPr>
  </w:style>
  <w:style w:type="character" w:customStyle="1" w:styleId="CommentaireCar">
    <w:name w:val="Commentaire Car"/>
    <w:basedOn w:val="Policepardfaut"/>
    <w:link w:val="Commentaire"/>
    <w:uiPriority w:val="99"/>
    <w:semiHidden/>
    <w:rsid w:val="00CB7F6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7F62"/>
    <w:rPr>
      <w:b/>
      <w:bCs/>
    </w:rPr>
  </w:style>
  <w:style w:type="character" w:customStyle="1" w:styleId="ObjetducommentaireCar">
    <w:name w:val="Objet du commentaire Car"/>
    <w:basedOn w:val="CommentaireCar"/>
    <w:link w:val="Objetducommentaire"/>
    <w:uiPriority w:val="99"/>
    <w:semiHidden/>
    <w:rsid w:val="00CB7F62"/>
    <w:rPr>
      <w:rFonts w:ascii="Calibri" w:hAnsi="Calibri" w:cs="Times New Roman"/>
      <w:b/>
      <w:bCs/>
      <w:sz w:val="20"/>
      <w:szCs w:val="20"/>
      <w:lang w:eastAsia="fr-FR"/>
    </w:rPr>
  </w:style>
  <w:style w:type="paragraph" w:styleId="Retraitcorpsdetexte">
    <w:name w:val="Body Text Indent"/>
    <w:basedOn w:val="Normal"/>
    <w:link w:val="RetraitcorpsdetexteCar"/>
    <w:uiPriority w:val="99"/>
    <w:semiHidden/>
    <w:unhideWhenUsed/>
    <w:rsid w:val="002715B4"/>
    <w:pPr>
      <w:spacing w:after="120"/>
      <w:ind w:left="283"/>
    </w:pPr>
  </w:style>
  <w:style w:type="character" w:customStyle="1" w:styleId="RetraitcorpsdetexteCar">
    <w:name w:val="Retrait corps de texte Car"/>
    <w:basedOn w:val="Policepardfaut"/>
    <w:link w:val="Retraitcorpsdetexte"/>
    <w:uiPriority w:val="99"/>
    <w:semiHidden/>
    <w:rsid w:val="002715B4"/>
    <w:rPr>
      <w:rFonts w:ascii="Calibri" w:hAnsi="Calibri" w:cs="Times New Roman"/>
      <w:lang w:eastAsia="fr-FR"/>
    </w:rPr>
  </w:style>
  <w:style w:type="paragraph" w:styleId="Rvision">
    <w:name w:val="Revision"/>
    <w:hidden/>
    <w:uiPriority w:val="99"/>
    <w:semiHidden/>
    <w:rsid w:val="00853173"/>
    <w:pPr>
      <w:spacing w:after="0" w:line="240" w:lineRule="auto"/>
    </w:pPr>
    <w:rPr>
      <w:rFonts w:ascii="Calibri" w:hAnsi="Calibri" w:cs="Times New Roman"/>
      <w:lang w:eastAsia="fr-FR"/>
    </w:rPr>
  </w:style>
  <w:style w:type="character" w:styleId="Lienhypertexte">
    <w:name w:val="Hyperlink"/>
    <w:basedOn w:val="Policepardfaut"/>
    <w:uiPriority w:val="99"/>
    <w:unhideWhenUsed/>
    <w:rsid w:val="009A2EDC"/>
    <w:rPr>
      <w:color w:val="0000FF" w:themeColor="hyperlink"/>
      <w:u w:val="single"/>
    </w:rPr>
  </w:style>
  <w:style w:type="character" w:styleId="Accentuation">
    <w:name w:val="Emphasis"/>
    <w:basedOn w:val="Policepardfaut"/>
    <w:uiPriority w:val="20"/>
    <w:qFormat/>
    <w:rsid w:val="0020689D"/>
    <w:rPr>
      <w:i/>
      <w:iCs/>
    </w:rPr>
  </w:style>
  <w:style w:type="character" w:styleId="Lienhypertextesuivi">
    <w:name w:val="FollowedHyperlink"/>
    <w:basedOn w:val="Policepardfaut"/>
    <w:uiPriority w:val="99"/>
    <w:semiHidden/>
    <w:unhideWhenUsed/>
    <w:rsid w:val="009A5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6899">
      <w:bodyDiv w:val="1"/>
      <w:marLeft w:val="0"/>
      <w:marRight w:val="0"/>
      <w:marTop w:val="0"/>
      <w:marBottom w:val="0"/>
      <w:divBdr>
        <w:top w:val="none" w:sz="0" w:space="0" w:color="auto"/>
        <w:left w:val="none" w:sz="0" w:space="0" w:color="auto"/>
        <w:bottom w:val="none" w:sz="0" w:space="0" w:color="auto"/>
        <w:right w:val="none" w:sz="0" w:space="0" w:color="auto"/>
      </w:divBdr>
    </w:div>
    <w:div w:id="113716775">
      <w:bodyDiv w:val="1"/>
      <w:marLeft w:val="0"/>
      <w:marRight w:val="0"/>
      <w:marTop w:val="0"/>
      <w:marBottom w:val="0"/>
      <w:divBdr>
        <w:top w:val="none" w:sz="0" w:space="0" w:color="auto"/>
        <w:left w:val="none" w:sz="0" w:space="0" w:color="auto"/>
        <w:bottom w:val="none" w:sz="0" w:space="0" w:color="auto"/>
        <w:right w:val="none" w:sz="0" w:space="0" w:color="auto"/>
      </w:divBdr>
    </w:div>
    <w:div w:id="171727205">
      <w:bodyDiv w:val="1"/>
      <w:marLeft w:val="0"/>
      <w:marRight w:val="0"/>
      <w:marTop w:val="0"/>
      <w:marBottom w:val="0"/>
      <w:divBdr>
        <w:top w:val="none" w:sz="0" w:space="0" w:color="auto"/>
        <w:left w:val="none" w:sz="0" w:space="0" w:color="auto"/>
        <w:bottom w:val="none" w:sz="0" w:space="0" w:color="auto"/>
        <w:right w:val="none" w:sz="0" w:space="0" w:color="auto"/>
      </w:divBdr>
    </w:div>
    <w:div w:id="188955445">
      <w:bodyDiv w:val="1"/>
      <w:marLeft w:val="0"/>
      <w:marRight w:val="0"/>
      <w:marTop w:val="0"/>
      <w:marBottom w:val="0"/>
      <w:divBdr>
        <w:top w:val="none" w:sz="0" w:space="0" w:color="auto"/>
        <w:left w:val="none" w:sz="0" w:space="0" w:color="auto"/>
        <w:bottom w:val="none" w:sz="0" w:space="0" w:color="auto"/>
        <w:right w:val="none" w:sz="0" w:space="0" w:color="auto"/>
      </w:divBdr>
    </w:div>
    <w:div w:id="371809914">
      <w:bodyDiv w:val="1"/>
      <w:marLeft w:val="0"/>
      <w:marRight w:val="0"/>
      <w:marTop w:val="0"/>
      <w:marBottom w:val="0"/>
      <w:divBdr>
        <w:top w:val="none" w:sz="0" w:space="0" w:color="auto"/>
        <w:left w:val="none" w:sz="0" w:space="0" w:color="auto"/>
        <w:bottom w:val="none" w:sz="0" w:space="0" w:color="auto"/>
        <w:right w:val="none" w:sz="0" w:space="0" w:color="auto"/>
      </w:divBdr>
    </w:div>
    <w:div w:id="378556946">
      <w:bodyDiv w:val="1"/>
      <w:marLeft w:val="0"/>
      <w:marRight w:val="0"/>
      <w:marTop w:val="0"/>
      <w:marBottom w:val="0"/>
      <w:divBdr>
        <w:top w:val="none" w:sz="0" w:space="0" w:color="auto"/>
        <w:left w:val="none" w:sz="0" w:space="0" w:color="auto"/>
        <w:bottom w:val="none" w:sz="0" w:space="0" w:color="auto"/>
        <w:right w:val="none" w:sz="0" w:space="0" w:color="auto"/>
      </w:divBdr>
    </w:div>
    <w:div w:id="402459686">
      <w:bodyDiv w:val="1"/>
      <w:marLeft w:val="0"/>
      <w:marRight w:val="0"/>
      <w:marTop w:val="0"/>
      <w:marBottom w:val="0"/>
      <w:divBdr>
        <w:top w:val="none" w:sz="0" w:space="0" w:color="auto"/>
        <w:left w:val="none" w:sz="0" w:space="0" w:color="auto"/>
        <w:bottom w:val="none" w:sz="0" w:space="0" w:color="auto"/>
        <w:right w:val="none" w:sz="0" w:space="0" w:color="auto"/>
      </w:divBdr>
      <w:divsChild>
        <w:div w:id="427778262">
          <w:marLeft w:val="0"/>
          <w:marRight w:val="0"/>
          <w:marTop w:val="0"/>
          <w:marBottom w:val="0"/>
          <w:divBdr>
            <w:top w:val="none" w:sz="0" w:space="0" w:color="auto"/>
            <w:left w:val="none" w:sz="0" w:space="0" w:color="auto"/>
            <w:bottom w:val="none" w:sz="0" w:space="0" w:color="auto"/>
            <w:right w:val="none" w:sz="0" w:space="0" w:color="auto"/>
          </w:divBdr>
          <w:divsChild>
            <w:div w:id="1057627382">
              <w:marLeft w:val="0"/>
              <w:marRight w:val="0"/>
              <w:marTop w:val="0"/>
              <w:marBottom w:val="0"/>
              <w:divBdr>
                <w:top w:val="none" w:sz="0" w:space="0" w:color="auto"/>
                <w:left w:val="none" w:sz="0" w:space="0" w:color="auto"/>
                <w:bottom w:val="none" w:sz="0" w:space="0" w:color="auto"/>
                <w:right w:val="none" w:sz="0" w:space="0" w:color="auto"/>
              </w:divBdr>
              <w:divsChild>
                <w:div w:id="1344437398">
                  <w:marLeft w:val="0"/>
                  <w:marRight w:val="0"/>
                  <w:marTop w:val="0"/>
                  <w:marBottom w:val="0"/>
                  <w:divBdr>
                    <w:top w:val="none" w:sz="0" w:space="0" w:color="auto"/>
                    <w:left w:val="none" w:sz="0" w:space="0" w:color="auto"/>
                    <w:bottom w:val="none" w:sz="0" w:space="0" w:color="auto"/>
                    <w:right w:val="none" w:sz="0" w:space="0" w:color="auto"/>
                  </w:divBdr>
                  <w:divsChild>
                    <w:div w:id="14370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23137">
      <w:bodyDiv w:val="1"/>
      <w:marLeft w:val="0"/>
      <w:marRight w:val="0"/>
      <w:marTop w:val="0"/>
      <w:marBottom w:val="0"/>
      <w:divBdr>
        <w:top w:val="none" w:sz="0" w:space="0" w:color="auto"/>
        <w:left w:val="none" w:sz="0" w:space="0" w:color="auto"/>
        <w:bottom w:val="none" w:sz="0" w:space="0" w:color="auto"/>
        <w:right w:val="none" w:sz="0" w:space="0" w:color="auto"/>
      </w:divBdr>
      <w:divsChild>
        <w:div w:id="429619846">
          <w:marLeft w:val="0"/>
          <w:marRight w:val="0"/>
          <w:marTop w:val="0"/>
          <w:marBottom w:val="0"/>
          <w:divBdr>
            <w:top w:val="none" w:sz="0" w:space="0" w:color="auto"/>
            <w:left w:val="none" w:sz="0" w:space="0" w:color="auto"/>
            <w:bottom w:val="none" w:sz="0" w:space="0" w:color="auto"/>
            <w:right w:val="none" w:sz="0" w:space="0" w:color="auto"/>
          </w:divBdr>
        </w:div>
        <w:div w:id="518347803">
          <w:marLeft w:val="0"/>
          <w:marRight w:val="0"/>
          <w:marTop w:val="0"/>
          <w:marBottom w:val="0"/>
          <w:divBdr>
            <w:top w:val="none" w:sz="0" w:space="0" w:color="auto"/>
            <w:left w:val="none" w:sz="0" w:space="0" w:color="auto"/>
            <w:bottom w:val="none" w:sz="0" w:space="0" w:color="auto"/>
            <w:right w:val="none" w:sz="0" w:space="0" w:color="auto"/>
          </w:divBdr>
        </w:div>
      </w:divsChild>
    </w:div>
    <w:div w:id="414863366">
      <w:bodyDiv w:val="1"/>
      <w:marLeft w:val="0"/>
      <w:marRight w:val="0"/>
      <w:marTop w:val="0"/>
      <w:marBottom w:val="0"/>
      <w:divBdr>
        <w:top w:val="none" w:sz="0" w:space="0" w:color="auto"/>
        <w:left w:val="none" w:sz="0" w:space="0" w:color="auto"/>
        <w:bottom w:val="none" w:sz="0" w:space="0" w:color="auto"/>
        <w:right w:val="none" w:sz="0" w:space="0" w:color="auto"/>
      </w:divBdr>
    </w:div>
    <w:div w:id="446780673">
      <w:bodyDiv w:val="1"/>
      <w:marLeft w:val="0"/>
      <w:marRight w:val="0"/>
      <w:marTop w:val="0"/>
      <w:marBottom w:val="0"/>
      <w:divBdr>
        <w:top w:val="none" w:sz="0" w:space="0" w:color="auto"/>
        <w:left w:val="none" w:sz="0" w:space="0" w:color="auto"/>
        <w:bottom w:val="none" w:sz="0" w:space="0" w:color="auto"/>
        <w:right w:val="none" w:sz="0" w:space="0" w:color="auto"/>
      </w:divBdr>
    </w:div>
    <w:div w:id="549345100">
      <w:bodyDiv w:val="1"/>
      <w:marLeft w:val="0"/>
      <w:marRight w:val="0"/>
      <w:marTop w:val="0"/>
      <w:marBottom w:val="0"/>
      <w:divBdr>
        <w:top w:val="none" w:sz="0" w:space="0" w:color="auto"/>
        <w:left w:val="none" w:sz="0" w:space="0" w:color="auto"/>
        <w:bottom w:val="none" w:sz="0" w:space="0" w:color="auto"/>
        <w:right w:val="none" w:sz="0" w:space="0" w:color="auto"/>
      </w:divBdr>
    </w:div>
    <w:div w:id="572736070">
      <w:bodyDiv w:val="1"/>
      <w:marLeft w:val="0"/>
      <w:marRight w:val="0"/>
      <w:marTop w:val="0"/>
      <w:marBottom w:val="0"/>
      <w:divBdr>
        <w:top w:val="none" w:sz="0" w:space="0" w:color="auto"/>
        <w:left w:val="none" w:sz="0" w:space="0" w:color="auto"/>
        <w:bottom w:val="none" w:sz="0" w:space="0" w:color="auto"/>
        <w:right w:val="none" w:sz="0" w:space="0" w:color="auto"/>
      </w:divBdr>
      <w:divsChild>
        <w:div w:id="1581254864">
          <w:marLeft w:val="0"/>
          <w:marRight w:val="0"/>
          <w:marTop w:val="0"/>
          <w:marBottom w:val="0"/>
          <w:divBdr>
            <w:top w:val="none" w:sz="0" w:space="0" w:color="auto"/>
            <w:left w:val="none" w:sz="0" w:space="0" w:color="auto"/>
            <w:bottom w:val="none" w:sz="0" w:space="0" w:color="auto"/>
            <w:right w:val="none" w:sz="0" w:space="0" w:color="auto"/>
          </w:divBdr>
          <w:divsChild>
            <w:div w:id="1260913420">
              <w:marLeft w:val="0"/>
              <w:marRight w:val="0"/>
              <w:marTop w:val="0"/>
              <w:marBottom w:val="0"/>
              <w:divBdr>
                <w:top w:val="none" w:sz="0" w:space="0" w:color="auto"/>
                <w:left w:val="none" w:sz="0" w:space="0" w:color="auto"/>
                <w:bottom w:val="none" w:sz="0" w:space="0" w:color="auto"/>
                <w:right w:val="none" w:sz="0" w:space="0" w:color="auto"/>
              </w:divBdr>
              <w:divsChild>
                <w:div w:id="1456371442">
                  <w:marLeft w:val="0"/>
                  <w:marRight w:val="0"/>
                  <w:marTop w:val="0"/>
                  <w:marBottom w:val="0"/>
                  <w:divBdr>
                    <w:top w:val="none" w:sz="0" w:space="0" w:color="auto"/>
                    <w:left w:val="none" w:sz="0" w:space="0" w:color="auto"/>
                    <w:bottom w:val="none" w:sz="0" w:space="0" w:color="auto"/>
                    <w:right w:val="none" w:sz="0" w:space="0" w:color="auto"/>
                  </w:divBdr>
                  <w:divsChild>
                    <w:div w:id="20089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0547">
      <w:bodyDiv w:val="1"/>
      <w:marLeft w:val="0"/>
      <w:marRight w:val="0"/>
      <w:marTop w:val="0"/>
      <w:marBottom w:val="0"/>
      <w:divBdr>
        <w:top w:val="none" w:sz="0" w:space="0" w:color="auto"/>
        <w:left w:val="none" w:sz="0" w:space="0" w:color="auto"/>
        <w:bottom w:val="none" w:sz="0" w:space="0" w:color="auto"/>
        <w:right w:val="none" w:sz="0" w:space="0" w:color="auto"/>
      </w:divBdr>
      <w:divsChild>
        <w:div w:id="125126145">
          <w:marLeft w:val="0"/>
          <w:marRight w:val="0"/>
          <w:marTop w:val="0"/>
          <w:marBottom w:val="0"/>
          <w:divBdr>
            <w:top w:val="none" w:sz="0" w:space="0" w:color="auto"/>
            <w:left w:val="none" w:sz="0" w:space="0" w:color="auto"/>
            <w:bottom w:val="none" w:sz="0" w:space="0" w:color="auto"/>
            <w:right w:val="none" w:sz="0" w:space="0" w:color="auto"/>
          </w:divBdr>
          <w:divsChild>
            <w:div w:id="151678760">
              <w:marLeft w:val="0"/>
              <w:marRight w:val="0"/>
              <w:marTop w:val="0"/>
              <w:marBottom w:val="0"/>
              <w:divBdr>
                <w:top w:val="none" w:sz="0" w:space="0" w:color="auto"/>
                <w:left w:val="none" w:sz="0" w:space="0" w:color="auto"/>
                <w:bottom w:val="none" w:sz="0" w:space="0" w:color="auto"/>
                <w:right w:val="none" w:sz="0" w:space="0" w:color="auto"/>
              </w:divBdr>
              <w:divsChild>
                <w:div w:id="5542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6693">
      <w:bodyDiv w:val="1"/>
      <w:marLeft w:val="0"/>
      <w:marRight w:val="0"/>
      <w:marTop w:val="0"/>
      <w:marBottom w:val="0"/>
      <w:divBdr>
        <w:top w:val="none" w:sz="0" w:space="0" w:color="auto"/>
        <w:left w:val="none" w:sz="0" w:space="0" w:color="auto"/>
        <w:bottom w:val="none" w:sz="0" w:space="0" w:color="auto"/>
        <w:right w:val="none" w:sz="0" w:space="0" w:color="auto"/>
      </w:divBdr>
    </w:div>
    <w:div w:id="872183268">
      <w:bodyDiv w:val="1"/>
      <w:marLeft w:val="0"/>
      <w:marRight w:val="0"/>
      <w:marTop w:val="0"/>
      <w:marBottom w:val="0"/>
      <w:divBdr>
        <w:top w:val="none" w:sz="0" w:space="0" w:color="auto"/>
        <w:left w:val="none" w:sz="0" w:space="0" w:color="auto"/>
        <w:bottom w:val="none" w:sz="0" w:space="0" w:color="auto"/>
        <w:right w:val="none" w:sz="0" w:space="0" w:color="auto"/>
      </w:divBdr>
    </w:div>
    <w:div w:id="898631545">
      <w:bodyDiv w:val="1"/>
      <w:marLeft w:val="0"/>
      <w:marRight w:val="0"/>
      <w:marTop w:val="0"/>
      <w:marBottom w:val="0"/>
      <w:divBdr>
        <w:top w:val="none" w:sz="0" w:space="0" w:color="auto"/>
        <w:left w:val="none" w:sz="0" w:space="0" w:color="auto"/>
        <w:bottom w:val="none" w:sz="0" w:space="0" w:color="auto"/>
        <w:right w:val="none" w:sz="0" w:space="0" w:color="auto"/>
      </w:divBdr>
    </w:div>
    <w:div w:id="904530027">
      <w:bodyDiv w:val="1"/>
      <w:marLeft w:val="0"/>
      <w:marRight w:val="0"/>
      <w:marTop w:val="0"/>
      <w:marBottom w:val="0"/>
      <w:divBdr>
        <w:top w:val="none" w:sz="0" w:space="0" w:color="auto"/>
        <w:left w:val="none" w:sz="0" w:space="0" w:color="auto"/>
        <w:bottom w:val="none" w:sz="0" w:space="0" w:color="auto"/>
        <w:right w:val="none" w:sz="0" w:space="0" w:color="auto"/>
      </w:divBdr>
    </w:div>
    <w:div w:id="920869870">
      <w:bodyDiv w:val="1"/>
      <w:marLeft w:val="0"/>
      <w:marRight w:val="0"/>
      <w:marTop w:val="0"/>
      <w:marBottom w:val="0"/>
      <w:divBdr>
        <w:top w:val="none" w:sz="0" w:space="0" w:color="auto"/>
        <w:left w:val="none" w:sz="0" w:space="0" w:color="auto"/>
        <w:bottom w:val="none" w:sz="0" w:space="0" w:color="auto"/>
        <w:right w:val="none" w:sz="0" w:space="0" w:color="auto"/>
      </w:divBdr>
    </w:div>
    <w:div w:id="952437463">
      <w:bodyDiv w:val="1"/>
      <w:marLeft w:val="0"/>
      <w:marRight w:val="0"/>
      <w:marTop w:val="0"/>
      <w:marBottom w:val="0"/>
      <w:divBdr>
        <w:top w:val="none" w:sz="0" w:space="0" w:color="auto"/>
        <w:left w:val="none" w:sz="0" w:space="0" w:color="auto"/>
        <w:bottom w:val="none" w:sz="0" w:space="0" w:color="auto"/>
        <w:right w:val="none" w:sz="0" w:space="0" w:color="auto"/>
      </w:divBdr>
    </w:div>
    <w:div w:id="1062557534">
      <w:bodyDiv w:val="1"/>
      <w:marLeft w:val="0"/>
      <w:marRight w:val="0"/>
      <w:marTop w:val="0"/>
      <w:marBottom w:val="0"/>
      <w:divBdr>
        <w:top w:val="none" w:sz="0" w:space="0" w:color="auto"/>
        <w:left w:val="none" w:sz="0" w:space="0" w:color="auto"/>
        <w:bottom w:val="none" w:sz="0" w:space="0" w:color="auto"/>
        <w:right w:val="none" w:sz="0" w:space="0" w:color="auto"/>
      </w:divBdr>
      <w:divsChild>
        <w:div w:id="2058894295">
          <w:marLeft w:val="0"/>
          <w:marRight w:val="0"/>
          <w:marTop w:val="0"/>
          <w:marBottom w:val="0"/>
          <w:divBdr>
            <w:top w:val="none" w:sz="0" w:space="0" w:color="auto"/>
            <w:left w:val="none" w:sz="0" w:space="0" w:color="auto"/>
            <w:bottom w:val="none" w:sz="0" w:space="0" w:color="auto"/>
            <w:right w:val="none" w:sz="0" w:space="0" w:color="auto"/>
          </w:divBdr>
        </w:div>
      </w:divsChild>
    </w:div>
    <w:div w:id="1075663353">
      <w:bodyDiv w:val="1"/>
      <w:marLeft w:val="0"/>
      <w:marRight w:val="0"/>
      <w:marTop w:val="0"/>
      <w:marBottom w:val="0"/>
      <w:divBdr>
        <w:top w:val="none" w:sz="0" w:space="0" w:color="auto"/>
        <w:left w:val="none" w:sz="0" w:space="0" w:color="auto"/>
        <w:bottom w:val="none" w:sz="0" w:space="0" w:color="auto"/>
        <w:right w:val="none" w:sz="0" w:space="0" w:color="auto"/>
      </w:divBdr>
      <w:divsChild>
        <w:div w:id="1133711806">
          <w:marLeft w:val="0"/>
          <w:marRight w:val="0"/>
          <w:marTop w:val="0"/>
          <w:marBottom w:val="0"/>
          <w:divBdr>
            <w:top w:val="none" w:sz="0" w:space="0" w:color="auto"/>
            <w:left w:val="none" w:sz="0" w:space="0" w:color="auto"/>
            <w:bottom w:val="none" w:sz="0" w:space="0" w:color="auto"/>
            <w:right w:val="none" w:sz="0" w:space="0" w:color="auto"/>
          </w:divBdr>
          <w:divsChild>
            <w:div w:id="73015934">
              <w:marLeft w:val="0"/>
              <w:marRight w:val="0"/>
              <w:marTop w:val="0"/>
              <w:marBottom w:val="0"/>
              <w:divBdr>
                <w:top w:val="none" w:sz="0" w:space="0" w:color="auto"/>
                <w:left w:val="none" w:sz="0" w:space="0" w:color="auto"/>
                <w:bottom w:val="none" w:sz="0" w:space="0" w:color="auto"/>
                <w:right w:val="none" w:sz="0" w:space="0" w:color="auto"/>
              </w:divBdr>
              <w:divsChild>
                <w:div w:id="1625111967">
                  <w:marLeft w:val="0"/>
                  <w:marRight w:val="0"/>
                  <w:marTop w:val="0"/>
                  <w:marBottom w:val="0"/>
                  <w:divBdr>
                    <w:top w:val="none" w:sz="0" w:space="0" w:color="auto"/>
                    <w:left w:val="none" w:sz="0" w:space="0" w:color="auto"/>
                    <w:bottom w:val="none" w:sz="0" w:space="0" w:color="auto"/>
                    <w:right w:val="none" w:sz="0" w:space="0" w:color="auto"/>
                  </w:divBdr>
                  <w:divsChild>
                    <w:div w:id="7335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5603">
      <w:bodyDiv w:val="1"/>
      <w:marLeft w:val="0"/>
      <w:marRight w:val="0"/>
      <w:marTop w:val="0"/>
      <w:marBottom w:val="0"/>
      <w:divBdr>
        <w:top w:val="none" w:sz="0" w:space="0" w:color="auto"/>
        <w:left w:val="none" w:sz="0" w:space="0" w:color="auto"/>
        <w:bottom w:val="none" w:sz="0" w:space="0" w:color="auto"/>
        <w:right w:val="none" w:sz="0" w:space="0" w:color="auto"/>
      </w:divBdr>
      <w:divsChild>
        <w:div w:id="1845051895">
          <w:marLeft w:val="0"/>
          <w:marRight w:val="0"/>
          <w:marTop w:val="0"/>
          <w:marBottom w:val="0"/>
          <w:divBdr>
            <w:top w:val="none" w:sz="0" w:space="0" w:color="auto"/>
            <w:left w:val="none" w:sz="0" w:space="0" w:color="auto"/>
            <w:bottom w:val="none" w:sz="0" w:space="0" w:color="auto"/>
            <w:right w:val="none" w:sz="0" w:space="0" w:color="auto"/>
          </w:divBdr>
        </w:div>
        <w:div w:id="1125587975">
          <w:marLeft w:val="0"/>
          <w:marRight w:val="0"/>
          <w:marTop w:val="0"/>
          <w:marBottom w:val="0"/>
          <w:divBdr>
            <w:top w:val="none" w:sz="0" w:space="0" w:color="auto"/>
            <w:left w:val="none" w:sz="0" w:space="0" w:color="auto"/>
            <w:bottom w:val="none" w:sz="0" w:space="0" w:color="auto"/>
            <w:right w:val="none" w:sz="0" w:space="0" w:color="auto"/>
          </w:divBdr>
        </w:div>
      </w:divsChild>
    </w:div>
    <w:div w:id="1102845044">
      <w:bodyDiv w:val="1"/>
      <w:marLeft w:val="0"/>
      <w:marRight w:val="0"/>
      <w:marTop w:val="0"/>
      <w:marBottom w:val="0"/>
      <w:divBdr>
        <w:top w:val="none" w:sz="0" w:space="0" w:color="auto"/>
        <w:left w:val="none" w:sz="0" w:space="0" w:color="auto"/>
        <w:bottom w:val="none" w:sz="0" w:space="0" w:color="auto"/>
        <w:right w:val="none" w:sz="0" w:space="0" w:color="auto"/>
      </w:divBdr>
      <w:divsChild>
        <w:div w:id="704719910">
          <w:marLeft w:val="0"/>
          <w:marRight w:val="0"/>
          <w:marTop w:val="0"/>
          <w:marBottom w:val="0"/>
          <w:divBdr>
            <w:top w:val="none" w:sz="0" w:space="0" w:color="auto"/>
            <w:left w:val="none" w:sz="0" w:space="0" w:color="auto"/>
            <w:bottom w:val="none" w:sz="0" w:space="0" w:color="auto"/>
            <w:right w:val="none" w:sz="0" w:space="0" w:color="auto"/>
          </w:divBdr>
          <w:divsChild>
            <w:div w:id="85881254">
              <w:marLeft w:val="0"/>
              <w:marRight w:val="0"/>
              <w:marTop w:val="0"/>
              <w:marBottom w:val="0"/>
              <w:divBdr>
                <w:top w:val="none" w:sz="0" w:space="0" w:color="auto"/>
                <w:left w:val="none" w:sz="0" w:space="0" w:color="auto"/>
                <w:bottom w:val="none" w:sz="0" w:space="0" w:color="auto"/>
                <w:right w:val="none" w:sz="0" w:space="0" w:color="auto"/>
              </w:divBdr>
              <w:divsChild>
                <w:div w:id="261226719">
                  <w:marLeft w:val="0"/>
                  <w:marRight w:val="0"/>
                  <w:marTop w:val="0"/>
                  <w:marBottom w:val="0"/>
                  <w:divBdr>
                    <w:top w:val="none" w:sz="0" w:space="0" w:color="auto"/>
                    <w:left w:val="none" w:sz="0" w:space="0" w:color="auto"/>
                    <w:bottom w:val="none" w:sz="0" w:space="0" w:color="auto"/>
                    <w:right w:val="none" w:sz="0" w:space="0" w:color="auto"/>
                  </w:divBdr>
                  <w:divsChild>
                    <w:div w:id="14256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5607">
      <w:bodyDiv w:val="1"/>
      <w:marLeft w:val="0"/>
      <w:marRight w:val="0"/>
      <w:marTop w:val="0"/>
      <w:marBottom w:val="0"/>
      <w:divBdr>
        <w:top w:val="none" w:sz="0" w:space="0" w:color="auto"/>
        <w:left w:val="none" w:sz="0" w:space="0" w:color="auto"/>
        <w:bottom w:val="none" w:sz="0" w:space="0" w:color="auto"/>
        <w:right w:val="none" w:sz="0" w:space="0" w:color="auto"/>
      </w:divBdr>
    </w:div>
    <w:div w:id="1158497071">
      <w:bodyDiv w:val="1"/>
      <w:marLeft w:val="0"/>
      <w:marRight w:val="0"/>
      <w:marTop w:val="0"/>
      <w:marBottom w:val="0"/>
      <w:divBdr>
        <w:top w:val="none" w:sz="0" w:space="0" w:color="auto"/>
        <w:left w:val="none" w:sz="0" w:space="0" w:color="auto"/>
        <w:bottom w:val="none" w:sz="0" w:space="0" w:color="auto"/>
        <w:right w:val="none" w:sz="0" w:space="0" w:color="auto"/>
      </w:divBdr>
    </w:div>
    <w:div w:id="1168446097">
      <w:bodyDiv w:val="1"/>
      <w:marLeft w:val="0"/>
      <w:marRight w:val="0"/>
      <w:marTop w:val="0"/>
      <w:marBottom w:val="0"/>
      <w:divBdr>
        <w:top w:val="none" w:sz="0" w:space="0" w:color="auto"/>
        <w:left w:val="none" w:sz="0" w:space="0" w:color="auto"/>
        <w:bottom w:val="none" w:sz="0" w:space="0" w:color="auto"/>
        <w:right w:val="none" w:sz="0" w:space="0" w:color="auto"/>
      </w:divBdr>
    </w:div>
    <w:div w:id="1253709360">
      <w:bodyDiv w:val="1"/>
      <w:marLeft w:val="0"/>
      <w:marRight w:val="0"/>
      <w:marTop w:val="0"/>
      <w:marBottom w:val="0"/>
      <w:divBdr>
        <w:top w:val="none" w:sz="0" w:space="0" w:color="auto"/>
        <w:left w:val="none" w:sz="0" w:space="0" w:color="auto"/>
        <w:bottom w:val="none" w:sz="0" w:space="0" w:color="auto"/>
        <w:right w:val="none" w:sz="0" w:space="0" w:color="auto"/>
      </w:divBdr>
    </w:div>
    <w:div w:id="1329673655">
      <w:bodyDiv w:val="1"/>
      <w:marLeft w:val="0"/>
      <w:marRight w:val="0"/>
      <w:marTop w:val="0"/>
      <w:marBottom w:val="0"/>
      <w:divBdr>
        <w:top w:val="none" w:sz="0" w:space="0" w:color="auto"/>
        <w:left w:val="none" w:sz="0" w:space="0" w:color="auto"/>
        <w:bottom w:val="none" w:sz="0" w:space="0" w:color="auto"/>
        <w:right w:val="none" w:sz="0" w:space="0" w:color="auto"/>
      </w:divBdr>
    </w:div>
    <w:div w:id="1520974109">
      <w:bodyDiv w:val="1"/>
      <w:marLeft w:val="0"/>
      <w:marRight w:val="0"/>
      <w:marTop w:val="0"/>
      <w:marBottom w:val="0"/>
      <w:divBdr>
        <w:top w:val="none" w:sz="0" w:space="0" w:color="auto"/>
        <w:left w:val="none" w:sz="0" w:space="0" w:color="auto"/>
        <w:bottom w:val="none" w:sz="0" w:space="0" w:color="auto"/>
        <w:right w:val="none" w:sz="0" w:space="0" w:color="auto"/>
      </w:divBdr>
      <w:divsChild>
        <w:div w:id="839351530">
          <w:marLeft w:val="0"/>
          <w:marRight w:val="0"/>
          <w:marTop w:val="0"/>
          <w:marBottom w:val="0"/>
          <w:divBdr>
            <w:top w:val="none" w:sz="0" w:space="0" w:color="auto"/>
            <w:left w:val="none" w:sz="0" w:space="0" w:color="auto"/>
            <w:bottom w:val="none" w:sz="0" w:space="0" w:color="auto"/>
            <w:right w:val="none" w:sz="0" w:space="0" w:color="auto"/>
          </w:divBdr>
        </w:div>
        <w:div w:id="967855271">
          <w:marLeft w:val="0"/>
          <w:marRight w:val="0"/>
          <w:marTop w:val="0"/>
          <w:marBottom w:val="0"/>
          <w:divBdr>
            <w:top w:val="none" w:sz="0" w:space="0" w:color="auto"/>
            <w:left w:val="none" w:sz="0" w:space="0" w:color="auto"/>
            <w:bottom w:val="none" w:sz="0" w:space="0" w:color="auto"/>
            <w:right w:val="none" w:sz="0" w:space="0" w:color="auto"/>
          </w:divBdr>
        </w:div>
        <w:div w:id="1047946999">
          <w:marLeft w:val="0"/>
          <w:marRight w:val="0"/>
          <w:marTop w:val="0"/>
          <w:marBottom w:val="0"/>
          <w:divBdr>
            <w:top w:val="none" w:sz="0" w:space="0" w:color="auto"/>
            <w:left w:val="none" w:sz="0" w:space="0" w:color="auto"/>
            <w:bottom w:val="none" w:sz="0" w:space="0" w:color="auto"/>
            <w:right w:val="none" w:sz="0" w:space="0" w:color="auto"/>
          </w:divBdr>
        </w:div>
        <w:div w:id="1507942061">
          <w:marLeft w:val="0"/>
          <w:marRight w:val="0"/>
          <w:marTop w:val="0"/>
          <w:marBottom w:val="0"/>
          <w:divBdr>
            <w:top w:val="none" w:sz="0" w:space="0" w:color="auto"/>
            <w:left w:val="none" w:sz="0" w:space="0" w:color="auto"/>
            <w:bottom w:val="none" w:sz="0" w:space="0" w:color="auto"/>
            <w:right w:val="none" w:sz="0" w:space="0" w:color="auto"/>
          </w:divBdr>
        </w:div>
        <w:div w:id="1683043358">
          <w:marLeft w:val="0"/>
          <w:marRight w:val="0"/>
          <w:marTop w:val="0"/>
          <w:marBottom w:val="0"/>
          <w:divBdr>
            <w:top w:val="none" w:sz="0" w:space="0" w:color="auto"/>
            <w:left w:val="none" w:sz="0" w:space="0" w:color="auto"/>
            <w:bottom w:val="none" w:sz="0" w:space="0" w:color="auto"/>
            <w:right w:val="none" w:sz="0" w:space="0" w:color="auto"/>
          </w:divBdr>
        </w:div>
        <w:div w:id="1796823993">
          <w:marLeft w:val="0"/>
          <w:marRight w:val="0"/>
          <w:marTop w:val="0"/>
          <w:marBottom w:val="0"/>
          <w:divBdr>
            <w:top w:val="none" w:sz="0" w:space="0" w:color="auto"/>
            <w:left w:val="none" w:sz="0" w:space="0" w:color="auto"/>
            <w:bottom w:val="none" w:sz="0" w:space="0" w:color="auto"/>
            <w:right w:val="none" w:sz="0" w:space="0" w:color="auto"/>
          </w:divBdr>
        </w:div>
        <w:div w:id="2019429139">
          <w:marLeft w:val="0"/>
          <w:marRight w:val="0"/>
          <w:marTop w:val="0"/>
          <w:marBottom w:val="0"/>
          <w:divBdr>
            <w:top w:val="none" w:sz="0" w:space="0" w:color="auto"/>
            <w:left w:val="none" w:sz="0" w:space="0" w:color="auto"/>
            <w:bottom w:val="none" w:sz="0" w:space="0" w:color="auto"/>
            <w:right w:val="none" w:sz="0" w:space="0" w:color="auto"/>
          </w:divBdr>
        </w:div>
      </w:divsChild>
    </w:div>
    <w:div w:id="1695964247">
      <w:bodyDiv w:val="1"/>
      <w:marLeft w:val="0"/>
      <w:marRight w:val="0"/>
      <w:marTop w:val="0"/>
      <w:marBottom w:val="0"/>
      <w:divBdr>
        <w:top w:val="none" w:sz="0" w:space="0" w:color="auto"/>
        <w:left w:val="none" w:sz="0" w:space="0" w:color="auto"/>
        <w:bottom w:val="none" w:sz="0" w:space="0" w:color="auto"/>
        <w:right w:val="none" w:sz="0" w:space="0" w:color="auto"/>
      </w:divBdr>
      <w:divsChild>
        <w:div w:id="1955014645">
          <w:marLeft w:val="0"/>
          <w:marRight w:val="0"/>
          <w:marTop w:val="0"/>
          <w:marBottom w:val="0"/>
          <w:divBdr>
            <w:top w:val="none" w:sz="0" w:space="0" w:color="auto"/>
            <w:left w:val="none" w:sz="0" w:space="0" w:color="auto"/>
            <w:bottom w:val="none" w:sz="0" w:space="0" w:color="auto"/>
            <w:right w:val="none" w:sz="0" w:space="0" w:color="auto"/>
          </w:divBdr>
          <w:divsChild>
            <w:div w:id="1479036810">
              <w:marLeft w:val="0"/>
              <w:marRight w:val="0"/>
              <w:marTop w:val="0"/>
              <w:marBottom w:val="0"/>
              <w:divBdr>
                <w:top w:val="none" w:sz="0" w:space="0" w:color="auto"/>
                <w:left w:val="none" w:sz="0" w:space="0" w:color="auto"/>
                <w:bottom w:val="none" w:sz="0" w:space="0" w:color="auto"/>
                <w:right w:val="none" w:sz="0" w:space="0" w:color="auto"/>
              </w:divBdr>
              <w:divsChild>
                <w:div w:id="1708069321">
                  <w:marLeft w:val="0"/>
                  <w:marRight w:val="0"/>
                  <w:marTop w:val="0"/>
                  <w:marBottom w:val="0"/>
                  <w:divBdr>
                    <w:top w:val="none" w:sz="0" w:space="0" w:color="auto"/>
                    <w:left w:val="none" w:sz="0" w:space="0" w:color="auto"/>
                    <w:bottom w:val="none" w:sz="0" w:space="0" w:color="auto"/>
                    <w:right w:val="none" w:sz="0" w:space="0" w:color="auto"/>
                  </w:divBdr>
                  <w:divsChild>
                    <w:div w:id="12029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9262">
      <w:bodyDiv w:val="1"/>
      <w:marLeft w:val="0"/>
      <w:marRight w:val="0"/>
      <w:marTop w:val="0"/>
      <w:marBottom w:val="0"/>
      <w:divBdr>
        <w:top w:val="none" w:sz="0" w:space="0" w:color="auto"/>
        <w:left w:val="none" w:sz="0" w:space="0" w:color="auto"/>
        <w:bottom w:val="none" w:sz="0" w:space="0" w:color="auto"/>
        <w:right w:val="none" w:sz="0" w:space="0" w:color="auto"/>
      </w:divBdr>
    </w:div>
    <w:div w:id="1786345677">
      <w:bodyDiv w:val="1"/>
      <w:marLeft w:val="0"/>
      <w:marRight w:val="0"/>
      <w:marTop w:val="0"/>
      <w:marBottom w:val="0"/>
      <w:divBdr>
        <w:top w:val="none" w:sz="0" w:space="0" w:color="auto"/>
        <w:left w:val="none" w:sz="0" w:space="0" w:color="auto"/>
        <w:bottom w:val="none" w:sz="0" w:space="0" w:color="auto"/>
        <w:right w:val="none" w:sz="0" w:space="0" w:color="auto"/>
      </w:divBdr>
      <w:divsChild>
        <w:div w:id="233010533">
          <w:marLeft w:val="0"/>
          <w:marRight w:val="0"/>
          <w:marTop w:val="0"/>
          <w:marBottom w:val="0"/>
          <w:divBdr>
            <w:top w:val="none" w:sz="0" w:space="0" w:color="auto"/>
            <w:left w:val="none" w:sz="0" w:space="0" w:color="auto"/>
            <w:bottom w:val="none" w:sz="0" w:space="0" w:color="auto"/>
            <w:right w:val="none" w:sz="0" w:space="0" w:color="auto"/>
          </w:divBdr>
        </w:div>
        <w:div w:id="1090540192">
          <w:marLeft w:val="0"/>
          <w:marRight w:val="0"/>
          <w:marTop w:val="0"/>
          <w:marBottom w:val="0"/>
          <w:divBdr>
            <w:top w:val="none" w:sz="0" w:space="0" w:color="auto"/>
            <w:left w:val="none" w:sz="0" w:space="0" w:color="auto"/>
            <w:bottom w:val="none" w:sz="0" w:space="0" w:color="auto"/>
            <w:right w:val="none" w:sz="0" w:space="0" w:color="auto"/>
          </w:divBdr>
        </w:div>
        <w:div w:id="1368720098">
          <w:marLeft w:val="0"/>
          <w:marRight w:val="0"/>
          <w:marTop w:val="0"/>
          <w:marBottom w:val="0"/>
          <w:divBdr>
            <w:top w:val="none" w:sz="0" w:space="0" w:color="auto"/>
            <w:left w:val="none" w:sz="0" w:space="0" w:color="auto"/>
            <w:bottom w:val="none" w:sz="0" w:space="0" w:color="auto"/>
            <w:right w:val="none" w:sz="0" w:space="0" w:color="auto"/>
          </w:divBdr>
        </w:div>
        <w:div w:id="1543706925">
          <w:marLeft w:val="0"/>
          <w:marRight w:val="0"/>
          <w:marTop w:val="0"/>
          <w:marBottom w:val="0"/>
          <w:divBdr>
            <w:top w:val="none" w:sz="0" w:space="0" w:color="auto"/>
            <w:left w:val="none" w:sz="0" w:space="0" w:color="auto"/>
            <w:bottom w:val="none" w:sz="0" w:space="0" w:color="auto"/>
            <w:right w:val="none" w:sz="0" w:space="0" w:color="auto"/>
          </w:divBdr>
        </w:div>
      </w:divsChild>
    </w:div>
    <w:div w:id="1942251424">
      <w:bodyDiv w:val="1"/>
      <w:marLeft w:val="0"/>
      <w:marRight w:val="0"/>
      <w:marTop w:val="0"/>
      <w:marBottom w:val="0"/>
      <w:divBdr>
        <w:top w:val="none" w:sz="0" w:space="0" w:color="auto"/>
        <w:left w:val="none" w:sz="0" w:space="0" w:color="auto"/>
        <w:bottom w:val="none" w:sz="0" w:space="0" w:color="auto"/>
        <w:right w:val="none" w:sz="0" w:space="0" w:color="auto"/>
      </w:divBdr>
      <w:divsChild>
        <w:div w:id="418867272">
          <w:marLeft w:val="0"/>
          <w:marRight w:val="0"/>
          <w:marTop w:val="0"/>
          <w:marBottom w:val="0"/>
          <w:divBdr>
            <w:top w:val="none" w:sz="0" w:space="0" w:color="auto"/>
            <w:left w:val="none" w:sz="0" w:space="0" w:color="auto"/>
            <w:bottom w:val="none" w:sz="0" w:space="0" w:color="auto"/>
            <w:right w:val="none" w:sz="0" w:space="0" w:color="auto"/>
          </w:divBdr>
        </w:div>
        <w:div w:id="657729482">
          <w:marLeft w:val="0"/>
          <w:marRight w:val="0"/>
          <w:marTop w:val="0"/>
          <w:marBottom w:val="0"/>
          <w:divBdr>
            <w:top w:val="none" w:sz="0" w:space="0" w:color="auto"/>
            <w:left w:val="none" w:sz="0" w:space="0" w:color="auto"/>
            <w:bottom w:val="none" w:sz="0" w:space="0" w:color="auto"/>
            <w:right w:val="none" w:sz="0" w:space="0" w:color="auto"/>
          </w:divBdr>
        </w:div>
        <w:div w:id="745764014">
          <w:marLeft w:val="0"/>
          <w:marRight w:val="0"/>
          <w:marTop w:val="0"/>
          <w:marBottom w:val="0"/>
          <w:divBdr>
            <w:top w:val="none" w:sz="0" w:space="0" w:color="auto"/>
            <w:left w:val="none" w:sz="0" w:space="0" w:color="auto"/>
            <w:bottom w:val="none" w:sz="0" w:space="0" w:color="auto"/>
            <w:right w:val="none" w:sz="0" w:space="0" w:color="auto"/>
          </w:divBdr>
        </w:div>
        <w:div w:id="799345819">
          <w:marLeft w:val="0"/>
          <w:marRight w:val="0"/>
          <w:marTop w:val="0"/>
          <w:marBottom w:val="0"/>
          <w:divBdr>
            <w:top w:val="none" w:sz="0" w:space="0" w:color="auto"/>
            <w:left w:val="none" w:sz="0" w:space="0" w:color="auto"/>
            <w:bottom w:val="none" w:sz="0" w:space="0" w:color="auto"/>
            <w:right w:val="none" w:sz="0" w:space="0" w:color="auto"/>
          </w:divBdr>
        </w:div>
        <w:div w:id="1267616120">
          <w:marLeft w:val="0"/>
          <w:marRight w:val="0"/>
          <w:marTop w:val="0"/>
          <w:marBottom w:val="0"/>
          <w:divBdr>
            <w:top w:val="none" w:sz="0" w:space="0" w:color="auto"/>
            <w:left w:val="none" w:sz="0" w:space="0" w:color="auto"/>
            <w:bottom w:val="none" w:sz="0" w:space="0" w:color="auto"/>
            <w:right w:val="none" w:sz="0" w:space="0" w:color="auto"/>
          </w:divBdr>
        </w:div>
        <w:div w:id="1690908289">
          <w:marLeft w:val="0"/>
          <w:marRight w:val="0"/>
          <w:marTop w:val="0"/>
          <w:marBottom w:val="0"/>
          <w:divBdr>
            <w:top w:val="none" w:sz="0" w:space="0" w:color="auto"/>
            <w:left w:val="none" w:sz="0" w:space="0" w:color="auto"/>
            <w:bottom w:val="none" w:sz="0" w:space="0" w:color="auto"/>
            <w:right w:val="none" w:sz="0" w:space="0" w:color="auto"/>
          </w:divBdr>
        </w:div>
        <w:div w:id="1874078757">
          <w:marLeft w:val="0"/>
          <w:marRight w:val="0"/>
          <w:marTop w:val="0"/>
          <w:marBottom w:val="0"/>
          <w:divBdr>
            <w:top w:val="none" w:sz="0" w:space="0" w:color="auto"/>
            <w:left w:val="none" w:sz="0" w:space="0" w:color="auto"/>
            <w:bottom w:val="none" w:sz="0" w:space="0" w:color="auto"/>
            <w:right w:val="none" w:sz="0" w:space="0" w:color="auto"/>
          </w:divBdr>
        </w:div>
        <w:div w:id="2032103214">
          <w:marLeft w:val="0"/>
          <w:marRight w:val="0"/>
          <w:marTop w:val="0"/>
          <w:marBottom w:val="0"/>
          <w:divBdr>
            <w:top w:val="none" w:sz="0" w:space="0" w:color="auto"/>
            <w:left w:val="none" w:sz="0" w:space="0" w:color="auto"/>
            <w:bottom w:val="none" w:sz="0" w:space="0" w:color="auto"/>
            <w:right w:val="none" w:sz="0" w:space="0" w:color="auto"/>
          </w:divBdr>
        </w:div>
        <w:div w:id="2039770019">
          <w:marLeft w:val="0"/>
          <w:marRight w:val="0"/>
          <w:marTop w:val="0"/>
          <w:marBottom w:val="0"/>
          <w:divBdr>
            <w:top w:val="none" w:sz="0" w:space="0" w:color="auto"/>
            <w:left w:val="none" w:sz="0" w:space="0" w:color="auto"/>
            <w:bottom w:val="none" w:sz="0" w:space="0" w:color="auto"/>
            <w:right w:val="none" w:sz="0" w:space="0" w:color="auto"/>
          </w:divBdr>
        </w:div>
        <w:div w:id="2058428772">
          <w:marLeft w:val="0"/>
          <w:marRight w:val="0"/>
          <w:marTop w:val="0"/>
          <w:marBottom w:val="0"/>
          <w:divBdr>
            <w:top w:val="none" w:sz="0" w:space="0" w:color="auto"/>
            <w:left w:val="none" w:sz="0" w:space="0" w:color="auto"/>
            <w:bottom w:val="none" w:sz="0" w:space="0" w:color="auto"/>
            <w:right w:val="none" w:sz="0" w:space="0" w:color="auto"/>
          </w:divBdr>
        </w:div>
      </w:divsChild>
    </w:div>
    <w:div w:id="1985890736">
      <w:bodyDiv w:val="1"/>
      <w:marLeft w:val="0"/>
      <w:marRight w:val="0"/>
      <w:marTop w:val="0"/>
      <w:marBottom w:val="0"/>
      <w:divBdr>
        <w:top w:val="none" w:sz="0" w:space="0" w:color="auto"/>
        <w:left w:val="none" w:sz="0" w:space="0" w:color="auto"/>
        <w:bottom w:val="none" w:sz="0" w:space="0" w:color="auto"/>
        <w:right w:val="none" w:sz="0" w:space="0" w:color="auto"/>
      </w:divBdr>
    </w:div>
    <w:div w:id="2066902858">
      <w:bodyDiv w:val="1"/>
      <w:marLeft w:val="0"/>
      <w:marRight w:val="0"/>
      <w:marTop w:val="0"/>
      <w:marBottom w:val="0"/>
      <w:divBdr>
        <w:top w:val="none" w:sz="0" w:space="0" w:color="auto"/>
        <w:left w:val="none" w:sz="0" w:space="0" w:color="auto"/>
        <w:bottom w:val="none" w:sz="0" w:space="0" w:color="auto"/>
        <w:right w:val="none" w:sz="0" w:space="0" w:color="auto"/>
      </w:divBdr>
    </w:div>
    <w:div w:id="209415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29233499%5Buid%5D" TargetMode="External"/><Relationship Id="rId12" Type="http://schemas.openxmlformats.org/officeDocument/2006/relationships/hyperlink" Target="https://www.ncbi.nlm.nih.gov/pubmed/?term=Rosendahl%20J%5BAuthor%5D&amp;cauthor=true&amp;cauthor_uid=28754779" TargetMode="External"/><Relationship Id="rId13" Type="http://schemas.openxmlformats.org/officeDocument/2006/relationships/hyperlink" Target="https://www.ncbi.nlm.nih.gov/pubmed/?term=28754779"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nciane.rebours@aphp.fr" TargetMode="External"/><Relationship Id="rId10" Type="http://schemas.openxmlformats.org/officeDocument/2006/relationships/hyperlink" Target="https://www.ncbi.nlm.nih.gov/pubmed/?term=Johansson%20BB%5BAuthor%5D&amp;cauthor=true&amp;cauthor_uid=2923349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DE76-BD44-6847-8C3A-A2D3B38F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14609</Words>
  <Characters>80353</Characters>
  <Application>Microsoft Macintosh Word</Application>
  <DocSecurity>0</DocSecurity>
  <Lines>669</Lines>
  <Paragraphs>189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94773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dc:creator>
  <cp:lastModifiedBy>vinciane rebours</cp:lastModifiedBy>
  <cp:revision>2</cp:revision>
  <dcterms:created xsi:type="dcterms:W3CDTF">2019-09-26T21:20:00Z</dcterms:created>
  <dcterms:modified xsi:type="dcterms:W3CDTF">2019-09-26T21:20:00Z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id="EDO2TLGx"/&gt;&lt;style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