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1F0AB" w14:textId="375D5DBB" w:rsidR="00104A61" w:rsidRPr="00161810" w:rsidRDefault="000B1AFB" w:rsidP="00161810">
      <w:pPr>
        <w:pStyle w:val="NoSpacing"/>
        <w:rPr>
          <w:rFonts w:ascii="Arial" w:hAnsi="Arial" w:cs="Arial"/>
          <w:b/>
          <w:bCs/>
          <w:sz w:val="20"/>
          <w:szCs w:val="20"/>
        </w:rPr>
      </w:pPr>
      <w:r w:rsidRPr="00161810">
        <w:rPr>
          <w:rFonts w:ascii="Arial" w:hAnsi="Arial" w:cs="Arial"/>
          <w:b/>
          <w:bCs/>
          <w:sz w:val="20"/>
          <w:szCs w:val="20"/>
        </w:rPr>
        <w:t>I</w:t>
      </w:r>
      <w:r w:rsidR="000A1091" w:rsidRPr="00161810">
        <w:rPr>
          <w:rFonts w:ascii="Arial" w:hAnsi="Arial" w:cs="Arial"/>
          <w:b/>
          <w:bCs/>
          <w:sz w:val="20"/>
          <w:szCs w:val="20"/>
        </w:rPr>
        <w:t>ndicator of access to medicines from the identification of the importance and satisfaction of individuals in relation to the multiple dimensions of access</w:t>
      </w:r>
    </w:p>
    <w:p w14:paraId="2EA82FED" w14:textId="77777777" w:rsidR="00161810" w:rsidRDefault="00161810" w:rsidP="00161810">
      <w:pPr>
        <w:pStyle w:val="NoSpacing"/>
        <w:rPr>
          <w:rFonts w:ascii="Arial" w:hAnsi="Arial" w:cs="Arial"/>
          <w:sz w:val="20"/>
          <w:szCs w:val="20"/>
          <w:highlight w:val="white"/>
        </w:rPr>
      </w:pPr>
    </w:p>
    <w:p w14:paraId="314F6DEA" w14:textId="634023BF" w:rsidR="00161810" w:rsidRPr="00161810" w:rsidRDefault="00161810" w:rsidP="00161810">
      <w:pPr>
        <w:pStyle w:val="NoSpacing"/>
        <w:rPr>
          <w:rFonts w:ascii="Arial" w:hAnsi="Arial" w:cs="Arial"/>
          <w:sz w:val="20"/>
          <w:szCs w:val="20"/>
          <w:highlight w:val="white"/>
        </w:rPr>
      </w:pPr>
      <w:r w:rsidRPr="00161810">
        <w:rPr>
          <w:rFonts w:ascii="Arial" w:hAnsi="Arial" w:cs="Arial"/>
          <w:sz w:val="20"/>
          <w:szCs w:val="20"/>
          <w:highlight w:val="white"/>
        </w:rPr>
        <w:t>Marina Morgado Garcia</w:t>
      </w:r>
      <w:r w:rsidRPr="00161810">
        <w:rPr>
          <w:rFonts w:ascii="Arial" w:hAnsi="Arial" w:cs="Arial"/>
          <w:sz w:val="20"/>
          <w:szCs w:val="20"/>
          <w:highlight w:val="white"/>
          <w:vertAlign w:val="superscript"/>
        </w:rPr>
        <w:t>1</w:t>
      </w:r>
      <w:r w:rsidRPr="00161810">
        <w:rPr>
          <w:rFonts w:ascii="Arial" w:hAnsi="Arial" w:cs="Arial"/>
          <w:sz w:val="20"/>
          <w:szCs w:val="20"/>
          <w:highlight w:val="white"/>
        </w:rPr>
        <w:t>, Mariana Michel Barbosa</w:t>
      </w:r>
      <w:r w:rsidRPr="00161810">
        <w:rPr>
          <w:rFonts w:ascii="Arial" w:hAnsi="Arial" w:cs="Arial"/>
          <w:sz w:val="20"/>
          <w:szCs w:val="20"/>
          <w:highlight w:val="white"/>
          <w:vertAlign w:val="superscript"/>
        </w:rPr>
        <w:t>1</w:t>
      </w:r>
      <w:r w:rsidRPr="00161810">
        <w:rPr>
          <w:rFonts w:ascii="Arial" w:hAnsi="Arial" w:cs="Arial"/>
          <w:sz w:val="20"/>
          <w:szCs w:val="20"/>
          <w:highlight w:val="white"/>
        </w:rPr>
        <w:t>, Rondineli Mendes da Silva</w:t>
      </w:r>
      <w:r w:rsidRPr="00161810">
        <w:rPr>
          <w:rFonts w:ascii="Arial" w:hAnsi="Arial" w:cs="Arial"/>
          <w:sz w:val="20"/>
          <w:szCs w:val="20"/>
          <w:highlight w:val="white"/>
          <w:vertAlign w:val="superscript"/>
        </w:rPr>
        <w:t>2</w:t>
      </w:r>
      <w:r w:rsidRPr="00161810">
        <w:rPr>
          <w:rFonts w:ascii="Arial" w:hAnsi="Arial" w:cs="Arial"/>
          <w:sz w:val="20"/>
          <w:szCs w:val="20"/>
          <w:highlight w:val="white"/>
        </w:rPr>
        <w:t>, Edna Afonso Reis</w:t>
      </w:r>
      <w:r w:rsidRPr="00161810">
        <w:rPr>
          <w:rFonts w:ascii="Arial" w:hAnsi="Arial" w:cs="Arial"/>
          <w:sz w:val="20"/>
          <w:szCs w:val="20"/>
          <w:highlight w:val="white"/>
          <w:vertAlign w:val="superscript"/>
        </w:rPr>
        <w:t>3</w:t>
      </w:r>
      <w:r w:rsidRPr="00161810">
        <w:rPr>
          <w:rFonts w:ascii="Arial" w:hAnsi="Arial" w:cs="Arial"/>
          <w:sz w:val="20"/>
          <w:szCs w:val="20"/>
          <w:highlight w:val="white"/>
        </w:rPr>
        <w:t xml:space="preserve">, </w:t>
      </w:r>
      <w:r w:rsidRPr="00161810">
        <w:rPr>
          <w:rFonts w:ascii="Arial" w:hAnsi="Arial" w:cs="Arial"/>
          <w:sz w:val="20"/>
          <w:szCs w:val="20"/>
        </w:rPr>
        <w:t>Juliana Alvares</w:t>
      </w:r>
      <w:r w:rsidRPr="00161810">
        <w:rPr>
          <w:rFonts w:ascii="Arial" w:hAnsi="Arial" w:cs="Arial"/>
          <w:sz w:val="20"/>
          <w:szCs w:val="20"/>
          <w:vertAlign w:val="superscript"/>
        </w:rPr>
        <w:t>1</w:t>
      </w:r>
      <w:r w:rsidRPr="00161810">
        <w:rPr>
          <w:rFonts w:ascii="Arial" w:hAnsi="Arial" w:cs="Arial"/>
          <w:sz w:val="20"/>
          <w:szCs w:val="20"/>
        </w:rPr>
        <w:t>, Francisco de Assis Acurcio</w:t>
      </w:r>
      <w:r w:rsidRPr="00161810">
        <w:rPr>
          <w:rFonts w:ascii="Arial" w:hAnsi="Arial" w:cs="Arial"/>
          <w:sz w:val="20"/>
          <w:szCs w:val="20"/>
          <w:vertAlign w:val="superscript"/>
        </w:rPr>
        <w:t>1</w:t>
      </w:r>
      <w:r w:rsidRPr="00161810">
        <w:rPr>
          <w:rFonts w:ascii="Arial" w:hAnsi="Arial" w:cs="Arial"/>
          <w:sz w:val="20"/>
          <w:szCs w:val="20"/>
        </w:rPr>
        <w:t xml:space="preserve">, </w:t>
      </w:r>
      <w:r w:rsidRPr="00161810">
        <w:rPr>
          <w:rFonts w:ascii="Arial" w:hAnsi="Arial" w:cs="Arial"/>
          <w:sz w:val="20"/>
          <w:szCs w:val="20"/>
          <w:highlight w:val="white"/>
        </w:rPr>
        <w:t>Brian Godman</w:t>
      </w:r>
      <w:r w:rsidRPr="00161810">
        <w:rPr>
          <w:rFonts w:ascii="Arial" w:hAnsi="Arial" w:cs="Arial"/>
          <w:sz w:val="20"/>
          <w:szCs w:val="20"/>
          <w:highlight w:val="white"/>
          <w:vertAlign w:val="superscript"/>
        </w:rPr>
        <w:t>4,5,6,7</w:t>
      </w:r>
      <w:r w:rsidRPr="00161810">
        <w:rPr>
          <w:rFonts w:ascii="Arial" w:hAnsi="Arial" w:cs="Arial"/>
          <w:sz w:val="20"/>
          <w:szCs w:val="20"/>
          <w:highlight w:val="white"/>
        </w:rPr>
        <w:t>, Augusto Afonso Guerra Junior</w:t>
      </w:r>
      <w:r w:rsidRPr="00161810">
        <w:rPr>
          <w:rFonts w:ascii="Arial" w:hAnsi="Arial" w:cs="Arial"/>
          <w:sz w:val="20"/>
          <w:szCs w:val="20"/>
          <w:highlight w:val="white"/>
          <w:vertAlign w:val="superscript"/>
        </w:rPr>
        <w:t>1</w:t>
      </w:r>
    </w:p>
    <w:p w14:paraId="0570FE14" w14:textId="77777777" w:rsidR="00161810" w:rsidRPr="00161810" w:rsidRDefault="00161810" w:rsidP="00161810">
      <w:pPr>
        <w:pStyle w:val="NoSpacing"/>
        <w:rPr>
          <w:rFonts w:ascii="Arial" w:hAnsi="Arial" w:cs="Arial"/>
          <w:sz w:val="20"/>
          <w:szCs w:val="20"/>
          <w:highlight w:val="white"/>
        </w:rPr>
      </w:pPr>
    </w:p>
    <w:p w14:paraId="41922EEF" w14:textId="6FDC2C0A" w:rsidR="00161810" w:rsidRPr="00161810" w:rsidRDefault="00161810" w:rsidP="00161810">
      <w:pPr>
        <w:pStyle w:val="NoSpacing"/>
        <w:rPr>
          <w:rFonts w:ascii="Arial" w:hAnsi="Arial" w:cs="Arial"/>
          <w:sz w:val="20"/>
          <w:szCs w:val="20"/>
          <w:highlight w:val="white"/>
        </w:rPr>
      </w:pPr>
      <w:r w:rsidRPr="00161810">
        <w:rPr>
          <w:rFonts w:ascii="Arial" w:hAnsi="Arial" w:cs="Arial"/>
          <w:sz w:val="20"/>
          <w:szCs w:val="20"/>
          <w:highlight w:val="white"/>
          <w:vertAlign w:val="superscript"/>
        </w:rPr>
        <w:t>1</w:t>
      </w:r>
      <w:r w:rsidRPr="00161810">
        <w:rPr>
          <w:rFonts w:ascii="Arial" w:hAnsi="Arial" w:cs="Arial"/>
          <w:sz w:val="20"/>
          <w:szCs w:val="20"/>
          <w:highlight w:val="white"/>
        </w:rPr>
        <w:t xml:space="preserve">Department of Social Pharmacy, Federal University of Minas Gerais, </w:t>
      </w:r>
      <w:r w:rsidRPr="00161810">
        <w:rPr>
          <w:rFonts w:ascii="Arial" w:hAnsi="Arial" w:cs="Arial"/>
          <w:sz w:val="20"/>
          <w:szCs w:val="20"/>
          <w:highlight w:val="white"/>
          <w:lang w:val="pt-BR"/>
        </w:rPr>
        <w:t xml:space="preserve">Belo Horizonte, Minas Gerais, Brazil. </w:t>
      </w:r>
      <w:r w:rsidRPr="00161810">
        <w:rPr>
          <w:rFonts w:ascii="Arial" w:hAnsi="Arial" w:cs="Arial"/>
          <w:sz w:val="20"/>
          <w:szCs w:val="20"/>
          <w:highlight w:val="white"/>
        </w:rPr>
        <w:t xml:space="preserve">E-mail: </w:t>
      </w:r>
      <w:hyperlink r:id="rId8">
        <w:r w:rsidRPr="00161810">
          <w:rPr>
            <w:rFonts w:ascii="Arial" w:hAnsi="Arial" w:cs="Arial"/>
            <w:sz w:val="20"/>
            <w:szCs w:val="20"/>
            <w:highlight w:val="white"/>
          </w:rPr>
          <w:t>marinamorgarcia@gmail.com</w:t>
        </w:r>
      </w:hyperlink>
      <w:r w:rsidRPr="00161810">
        <w:rPr>
          <w:rFonts w:ascii="Arial" w:hAnsi="Arial" w:cs="Arial"/>
          <w:sz w:val="20"/>
          <w:szCs w:val="20"/>
          <w:highlight w:val="white"/>
        </w:rPr>
        <w:t xml:space="preserve">; </w:t>
      </w:r>
      <w:hyperlink r:id="rId9">
        <w:r w:rsidRPr="00161810">
          <w:rPr>
            <w:rFonts w:ascii="Arial" w:hAnsi="Arial" w:cs="Arial"/>
            <w:sz w:val="20"/>
            <w:szCs w:val="20"/>
            <w:highlight w:val="white"/>
          </w:rPr>
          <w:t>marianamichelbarbosa@gmail.com</w:t>
        </w:r>
      </w:hyperlink>
      <w:r w:rsidRPr="00161810">
        <w:rPr>
          <w:rFonts w:ascii="Arial" w:hAnsi="Arial" w:cs="Arial"/>
          <w:sz w:val="20"/>
          <w:szCs w:val="20"/>
          <w:highlight w:val="white"/>
        </w:rPr>
        <w:t xml:space="preserve">; </w:t>
      </w:r>
      <w:hyperlink r:id="rId10">
        <w:r w:rsidRPr="00161810">
          <w:rPr>
            <w:rFonts w:ascii="Arial" w:hAnsi="Arial" w:cs="Arial"/>
            <w:sz w:val="20"/>
            <w:szCs w:val="20"/>
          </w:rPr>
          <w:t>jualvares@gmail.com</w:t>
        </w:r>
      </w:hyperlink>
      <w:r w:rsidRPr="00161810">
        <w:rPr>
          <w:rFonts w:ascii="Arial" w:hAnsi="Arial" w:cs="Arial"/>
          <w:sz w:val="20"/>
          <w:szCs w:val="20"/>
        </w:rPr>
        <w:t xml:space="preserve">; </w:t>
      </w:r>
      <w:hyperlink r:id="rId11">
        <w:r w:rsidRPr="00161810">
          <w:rPr>
            <w:rFonts w:ascii="Arial" w:hAnsi="Arial" w:cs="Arial"/>
            <w:sz w:val="20"/>
            <w:szCs w:val="20"/>
          </w:rPr>
          <w:t>fracurcio@gmail.com</w:t>
        </w:r>
      </w:hyperlink>
      <w:r w:rsidRPr="00161810">
        <w:rPr>
          <w:rFonts w:ascii="Arial" w:hAnsi="Arial" w:cs="Arial"/>
          <w:sz w:val="20"/>
          <w:szCs w:val="20"/>
        </w:rPr>
        <w:t xml:space="preserve">; </w:t>
      </w:r>
      <w:hyperlink r:id="rId12">
        <w:r w:rsidRPr="00161810">
          <w:rPr>
            <w:rFonts w:ascii="Arial" w:hAnsi="Arial" w:cs="Arial"/>
            <w:sz w:val="20"/>
            <w:szCs w:val="20"/>
            <w:highlight w:val="white"/>
          </w:rPr>
          <w:t>augustoguerramg@gmail.com</w:t>
        </w:r>
      </w:hyperlink>
    </w:p>
    <w:p w14:paraId="09EA4D4F" w14:textId="2CD14D7C" w:rsidR="00161810" w:rsidRPr="00161810" w:rsidRDefault="00161810" w:rsidP="00161810">
      <w:pPr>
        <w:pStyle w:val="NoSpacing"/>
        <w:rPr>
          <w:rFonts w:ascii="Arial" w:hAnsi="Arial" w:cs="Arial"/>
          <w:sz w:val="20"/>
          <w:szCs w:val="20"/>
          <w:highlight w:val="white"/>
        </w:rPr>
      </w:pPr>
      <w:r w:rsidRPr="00161810">
        <w:rPr>
          <w:rFonts w:ascii="Arial" w:hAnsi="Arial" w:cs="Arial"/>
          <w:sz w:val="20"/>
          <w:szCs w:val="20"/>
          <w:highlight w:val="white"/>
          <w:vertAlign w:val="superscript"/>
        </w:rPr>
        <w:t>2</w:t>
      </w:r>
      <w:r w:rsidRPr="00161810">
        <w:rPr>
          <w:rFonts w:ascii="Arial" w:hAnsi="Arial" w:cs="Arial"/>
          <w:sz w:val="20"/>
          <w:szCs w:val="20"/>
          <w:highlight w:val="white"/>
        </w:rPr>
        <w:t>Department of Medicines Policy and Pharmaceutical Assistance - Department of Drug Policy and Pharmaceutical Assistance, Sérgio Arouca National School of Public Health of the Oswaldo Cruz Foundation</w:t>
      </w:r>
      <w:r w:rsidRPr="00161810">
        <w:rPr>
          <w:rFonts w:ascii="Arial" w:hAnsi="Arial" w:cs="Arial"/>
          <w:sz w:val="20"/>
          <w:szCs w:val="20"/>
          <w:highlight w:val="white"/>
          <w:lang w:val="pt-BR"/>
        </w:rPr>
        <w:t>, Rio de Janeiro, Brazil</w:t>
      </w:r>
      <w:r w:rsidRPr="00161810">
        <w:rPr>
          <w:rFonts w:ascii="Arial" w:hAnsi="Arial" w:cs="Arial"/>
          <w:sz w:val="20"/>
          <w:szCs w:val="20"/>
        </w:rPr>
        <w:t xml:space="preserve">. Email: </w:t>
      </w:r>
      <w:hyperlink r:id="rId13" w:history="1">
        <w:r w:rsidRPr="00161810">
          <w:rPr>
            <w:rStyle w:val="Hyperlink"/>
            <w:rFonts w:ascii="Arial" w:hAnsi="Arial" w:cs="Arial"/>
            <w:color w:val="auto"/>
            <w:sz w:val="20"/>
            <w:szCs w:val="20"/>
            <w:u w:val="none"/>
            <w:lang w:val="pt-BR"/>
          </w:rPr>
          <w:t>rondinelisilva@ensp.fiocruz.br</w:t>
        </w:r>
      </w:hyperlink>
    </w:p>
    <w:p w14:paraId="0B0AF14F" w14:textId="47FCCE12" w:rsidR="00161810" w:rsidRPr="00161810" w:rsidRDefault="00161810" w:rsidP="00161810">
      <w:pPr>
        <w:pStyle w:val="NoSpacing"/>
        <w:rPr>
          <w:rFonts w:ascii="Arial" w:hAnsi="Arial" w:cs="Arial"/>
          <w:sz w:val="20"/>
          <w:szCs w:val="20"/>
          <w:highlight w:val="white"/>
        </w:rPr>
      </w:pPr>
      <w:r w:rsidRPr="00161810">
        <w:rPr>
          <w:rFonts w:ascii="Arial" w:hAnsi="Arial" w:cs="Arial"/>
          <w:sz w:val="20"/>
          <w:szCs w:val="20"/>
          <w:highlight w:val="white"/>
          <w:vertAlign w:val="superscript"/>
        </w:rPr>
        <w:t>3</w:t>
      </w:r>
      <w:r w:rsidRPr="00161810">
        <w:rPr>
          <w:rFonts w:ascii="Arial" w:hAnsi="Arial" w:cs="Arial"/>
          <w:sz w:val="20"/>
          <w:szCs w:val="20"/>
          <w:highlight w:val="white"/>
        </w:rPr>
        <w:t xml:space="preserve">Department Institute of Exact Sciences, Federal University of Minas Gerais, </w:t>
      </w:r>
      <w:r w:rsidRPr="00161810">
        <w:rPr>
          <w:rFonts w:ascii="Arial" w:hAnsi="Arial" w:cs="Arial"/>
          <w:sz w:val="20"/>
          <w:szCs w:val="20"/>
          <w:highlight w:val="white"/>
          <w:lang w:val="pt-BR"/>
        </w:rPr>
        <w:t>Belo Horizonte, Minas Gerais, Brazil</w:t>
      </w:r>
      <w:r w:rsidRPr="00161810">
        <w:rPr>
          <w:rFonts w:ascii="Arial" w:hAnsi="Arial" w:cs="Arial"/>
          <w:sz w:val="20"/>
          <w:szCs w:val="20"/>
          <w:highlight w:val="white"/>
        </w:rPr>
        <w:t xml:space="preserve">. </w:t>
      </w:r>
      <w:r w:rsidRPr="00161810">
        <w:rPr>
          <w:rFonts w:ascii="Arial" w:hAnsi="Arial" w:cs="Arial"/>
          <w:sz w:val="20"/>
          <w:szCs w:val="20"/>
          <w:highlight w:val="white"/>
          <w:lang w:val="pt-BR"/>
        </w:rPr>
        <w:t xml:space="preserve">E-mail: </w:t>
      </w:r>
      <w:hyperlink r:id="rId14">
        <w:r w:rsidRPr="00161810">
          <w:rPr>
            <w:rFonts w:ascii="Arial" w:hAnsi="Arial" w:cs="Arial"/>
            <w:sz w:val="20"/>
            <w:szCs w:val="20"/>
            <w:highlight w:val="white"/>
            <w:lang w:val="pt-BR"/>
          </w:rPr>
          <w:t>edna@est.ufmg.br</w:t>
        </w:r>
      </w:hyperlink>
    </w:p>
    <w:p w14:paraId="463088B6" w14:textId="74966064" w:rsidR="00161810" w:rsidRPr="00161810" w:rsidRDefault="00161810" w:rsidP="00161810">
      <w:pPr>
        <w:pStyle w:val="NoSpacing"/>
        <w:rPr>
          <w:rFonts w:ascii="Arial" w:hAnsi="Arial" w:cs="Arial"/>
          <w:sz w:val="20"/>
          <w:szCs w:val="20"/>
          <w:highlight w:val="white"/>
        </w:rPr>
      </w:pPr>
      <w:r w:rsidRPr="00161810">
        <w:rPr>
          <w:rFonts w:ascii="Arial" w:hAnsi="Arial" w:cs="Arial"/>
          <w:sz w:val="20"/>
          <w:szCs w:val="20"/>
          <w:highlight w:val="white"/>
          <w:vertAlign w:val="superscript"/>
        </w:rPr>
        <w:t>4</w:t>
      </w:r>
      <w:r w:rsidRPr="00161810">
        <w:rPr>
          <w:rFonts w:ascii="Arial" w:hAnsi="Arial" w:cs="Arial"/>
          <w:sz w:val="20"/>
          <w:szCs w:val="20"/>
          <w:highlight w:val="white"/>
        </w:rPr>
        <w:t>Strathclyde Institute of Pharmacy and Biomedical Sciences, University of Strathclyde, Glasgow G4 0RE, United Kingdom.  Email: Brain.Godman@strath.ac.uk</w:t>
      </w:r>
    </w:p>
    <w:p w14:paraId="4EF979A5" w14:textId="487A5830" w:rsidR="00161810" w:rsidRPr="00161810" w:rsidRDefault="00161810" w:rsidP="00161810">
      <w:pPr>
        <w:pStyle w:val="NoSpacing"/>
        <w:rPr>
          <w:rFonts w:ascii="Arial" w:hAnsi="Arial" w:cs="Arial"/>
          <w:sz w:val="20"/>
          <w:szCs w:val="20"/>
          <w:highlight w:val="white"/>
        </w:rPr>
      </w:pPr>
      <w:r w:rsidRPr="00161810">
        <w:rPr>
          <w:rFonts w:ascii="Arial" w:hAnsi="Arial" w:cs="Arial"/>
          <w:sz w:val="20"/>
          <w:szCs w:val="20"/>
          <w:highlight w:val="white"/>
          <w:vertAlign w:val="superscript"/>
        </w:rPr>
        <w:t>5</w:t>
      </w:r>
      <w:r w:rsidRPr="00161810">
        <w:rPr>
          <w:rFonts w:ascii="Arial" w:hAnsi="Arial" w:cs="Arial"/>
          <w:sz w:val="20"/>
          <w:szCs w:val="20"/>
          <w:highlight w:val="white"/>
        </w:rPr>
        <w:t xml:space="preserve">Health Economics Centre, University of Liverpool Management School, Liverpool, UK. </w:t>
      </w:r>
    </w:p>
    <w:p w14:paraId="53BC8C60" w14:textId="79C88A40" w:rsidR="00161810" w:rsidRPr="00161810" w:rsidRDefault="00161810" w:rsidP="00161810">
      <w:pPr>
        <w:pStyle w:val="NoSpacing"/>
        <w:rPr>
          <w:rFonts w:ascii="Arial" w:hAnsi="Arial" w:cs="Arial"/>
          <w:sz w:val="20"/>
          <w:szCs w:val="20"/>
          <w:highlight w:val="white"/>
        </w:rPr>
      </w:pPr>
      <w:r w:rsidRPr="00161810">
        <w:rPr>
          <w:rFonts w:ascii="Arial" w:hAnsi="Arial" w:cs="Arial"/>
          <w:sz w:val="20"/>
          <w:szCs w:val="20"/>
          <w:highlight w:val="white"/>
          <w:vertAlign w:val="superscript"/>
        </w:rPr>
        <w:t>6</w:t>
      </w:r>
      <w:r w:rsidRPr="00161810">
        <w:rPr>
          <w:rFonts w:ascii="Arial" w:hAnsi="Arial" w:cs="Arial"/>
          <w:sz w:val="20"/>
          <w:szCs w:val="20"/>
          <w:highlight w:val="white"/>
        </w:rPr>
        <w:t xml:space="preserve">Division of Clinical Pharmacology, Karolinska Institute, Karolinska University Hospital Huddinge, SE-141 86, Stockholm, Sweden. Email: </w:t>
      </w:r>
      <w:hyperlink r:id="rId15">
        <w:r w:rsidRPr="00161810">
          <w:rPr>
            <w:rFonts w:ascii="Arial" w:hAnsi="Arial" w:cs="Arial"/>
            <w:sz w:val="20"/>
            <w:szCs w:val="20"/>
            <w:highlight w:val="white"/>
          </w:rPr>
          <w:t>Brian.Godman@ki.se</w:t>
        </w:r>
      </w:hyperlink>
    </w:p>
    <w:p w14:paraId="5370D3B1" w14:textId="34FBD30E" w:rsidR="00161810" w:rsidRPr="00161810" w:rsidRDefault="00161810" w:rsidP="00161810">
      <w:pPr>
        <w:pStyle w:val="NoSpacing"/>
        <w:rPr>
          <w:rFonts w:ascii="Arial" w:hAnsi="Arial" w:cs="Arial"/>
          <w:sz w:val="20"/>
          <w:szCs w:val="20"/>
          <w:highlight w:val="white"/>
        </w:rPr>
      </w:pPr>
      <w:r w:rsidRPr="00161810">
        <w:rPr>
          <w:rFonts w:ascii="Arial" w:hAnsi="Arial" w:cs="Arial"/>
          <w:sz w:val="20"/>
          <w:szCs w:val="20"/>
          <w:highlight w:val="white"/>
          <w:vertAlign w:val="superscript"/>
        </w:rPr>
        <w:t>7</w:t>
      </w:r>
      <w:r w:rsidRPr="00161810">
        <w:rPr>
          <w:rFonts w:ascii="Arial" w:hAnsi="Arial" w:cs="Arial"/>
          <w:sz w:val="20"/>
          <w:szCs w:val="20"/>
          <w:highlight w:val="white"/>
        </w:rPr>
        <w:t>School of Pharmacy, Sefako Makgatho Health Sciences University, Garankuwa, Pretoria, South Africa.</w:t>
      </w:r>
    </w:p>
    <w:p w14:paraId="4DE37E92" w14:textId="15F64E35" w:rsidR="00161810" w:rsidRPr="00161810" w:rsidRDefault="00161810" w:rsidP="00161810">
      <w:pPr>
        <w:pStyle w:val="NoSpacing"/>
        <w:rPr>
          <w:rFonts w:ascii="Arial" w:hAnsi="Arial" w:cs="Arial"/>
          <w:sz w:val="20"/>
          <w:szCs w:val="20"/>
        </w:rPr>
      </w:pPr>
    </w:p>
    <w:p w14:paraId="25230AEB" w14:textId="6E302DF0" w:rsidR="00161810" w:rsidRPr="00161810" w:rsidRDefault="00161810" w:rsidP="00161810">
      <w:pPr>
        <w:pStyle w:val="NoSpacing"/>
        <w:rPr>
          <w:rFonts w:ascii="Arial" w:hAnsi="Arial" w:cs="Arial"/>
          <w:sz w:val="20"/>
          <w:szCs w:val="20"/>
        </w:rPr>
      </w:pPr>
      <w:r w:rsidRPr="00161810">
        <w:rPr>
          <w:rFonts w:ascii="Arial" w:hAnsi="Arial" w:cs="Arial"/>
          <w:sz w:val="20"/>
          <w:szCs w:val="20"/>
        </w:rPr>
        <w:t xml:space="preserve">(Accepted for publication </w:t>
      </w:r>
      <w:r w:rsidRPr="00161810">
        <w:rPr>
          <w:rFonts w:ascii="Arial" w:hAnsi="Arial" w:cs="Arial"/>
          <w:sz w:val="20"/>
          <w:szCs w:val="20"/>
          <w:shd w:val="clear" w:color="auto" w:fill="FFFFFF"/>
        </w:rPr>
        <w:t>Journal of Comparative Effectiveness Research – Please keep Confidential)</w:t>
      </w:r>
    </w:p>
    <w:p w14:paraId="0B7C0EB7" w14:textId="77777777" w:rsidR="00161810" w:rsidRDefault="00161810" w:rsidP="00161810">
      <w:pPr>
        <w:pStyle w:val="NoSpacing"/>
        <w:rPr>
          <w:rFonts w:ascii="Arial" w:eastAsia="Arial" w:hAnsi="Arial" w:cs="Arial"/>
          <w:b/>
          <w:sz w:val="20"/>
          <w:szCs w:val="20"/>
        </w:rPr>
      </w:pPr>
    </w:p>
    <w:p w14:paraId="614086DA" w14:textId="3C89BF48" w:rsidR="003C70EE" w:rsidRPr="00161810" w:rsidRDefault="003C70EE" w:rsidP="00161810">
      <w:pPr>
        <w:pStyle w:val="NoSpacing"/>
        <w:rPr>
          <w:rFonts w:ascii="Arial" w:eastAsia="Arial" w:hAnsi="Arial" w:cs="Arial"/>
          <w:b/>
          <w:sz w:val="20"/>
          <w:szCs w:val="20"/>
        </w:rPr>
      </w:pPr>
      <w:r w:rsidRPr="00161810">
        <w:rPr>
          <w:rFonts w:ascii="Arial" w:eastAsia="Arial" w:hAnsi="Arial" w:cs="Arial"/>
          <w:b/>
          <w:sz w:val="20"/>
          <w:szCs w:val="20"/>
        </w:rPr>
        <w:t xml:space="preserve">Abstract </w:t>
      </w:r>
    </w:p>
    <w:p w14:paraId="7B3A55E1" w14:textId="5E25EBA7" w:rsidR="00141D3A" w:rsidRPr="00161810" w:rsidRDefault="00324A0A" w:rsidP="00161810">
      <w:pPr>
        <w:pStyle w:val="NoSpacing"/>
        <w:rPr>
          <w:rFonts w:ascii="Arial" w:eastAsia="Arial" w:hAnsi="Arial" w:cs="Arial"/>
          <w:sz w:val="20"/>
          <w:szCs w:val="20"/>
        </w:rPr>
      </w:pPr>
      <w:r w:rsidRPr="00161810">
        <w:rPr>
          <w:rFonts w:ascii="Arial" w:eastAsia="Arial" w:hAnsi="Arial" w:cs="Arial"/>
          <w:sz w:val="20"/>
          <w:szCs w:val="20"/>
        </w:rPr>
        <w:t>Aims</w:t>
      </w:r>
      <w:r w:rsidR="00141D3A" w:rsidRPr="00161810">
        <w:rPr>
          <w:rFonts w:ascii="Arial" w:eastAsia="Arial" w:hAnsi="Arial" w:cs="Arial"/>
          <w:sz w:val="20"/>
          <w:szCs w:val="20"/>
        </w:rPr>
        <w:t>: Creation of a single indicator of access to medicines. Methods: Data collection was performed with individuals who obtained their medication from either public and/or private pharmacies. A Likert scale was used to measure the importance and satisfaction in relation to various access dimensions. Results: A total of 580 individuals were interviewed. Overall, participants attributed very similar importance scores to the dimensions of access to medicines. The results of the mean score of each dimension showed a statistically significant difference according to the type of pharmacy that the participant visited. Conclusions: This developed indicator will enable a review of access to medicines, making comparisons possible as well as improving decision making about public policies in the field of Pharmaceutical Services.</w:t>
      </w:r>
    </w:p>
    <w:p w14:paraId="75D8F581" w14:textId="77777777" w:rsidR="00141D3A" w:rsidRPr="00161810" w:rsidRDefault="00141D3A" w:rsidP="00161810">
      <w:pPr>
        <w:pStyle w:val="NoSpacing"/>
        <w:rPr>
          <w:rFonts w:ascii="Arial" w:hAnsi="Arial" w:cs="Arial"/>
          <w:sz w:val="20"/>
          <w:szCs w:val="20"/>
        </w:rPr>
      </w:pPr>
    </w:p>
    <w:p w14:paraId="31683606" w14:textId="744594BA" w:rsidR="00104A61" w:rsidRPr="00161810" w:rsidRDefault="000A1091" w:rsidP="00161810">
      <w:pPr>
        <w:pStyle w:val="NoSpacing"/>
        <w:rPr>
          <w:rFonts w:ascii="Arial" w:hAnsi="Arial" w:cs="Arial"/>
          <w:sz w:val="20"/>
          <w:szCs w:val="20"/>
        </w:rPr>
      </w:pPr>
      <w:r w:rsidRPr="00161810">
        <w:rPr>
          <w:rFonts w:ascii="Arial" w:hAnsi="Arial" w:cs="Arial"/>
          <w:sz w:val="20"/>
          <w:szCs w:val="20"/>
        </w:rPr>
        <w:t xml:space="preserve">Keywords: Access; </w:t>
      </w:r>
      <w:r w:rsidR="009449B9" w:rsidRPr="00161810">
        <w:rPr>
          <w:rFonts w:ascii="Arial" w:hAnsi="Arial" w:cs="Arial"/>
          <w:sz w:val="20"/>
          <w:szCs w:val="20"/>
        </w:rPr>
        <w:t>essential medicines; indicator.</w:t>
      </w:r>
    </w:p>
    <w:p w14:paraId="1D64B074" w14:textId="77777777" w:rsidR="00774F99" w:rsidRPr="00161810" w:rsidRDefault="00774F99" w:rsidP="00161810">
      <w:pPr>
        <w:pStyle w:val="NoSpacing"/>
        <w:rPr>
          <w:rFonts w:ascii="Arial" w:hAnsi="Arial" w:cs="Arial"/>
          <w:sz w:val="20"/>
          <w:szCs w:val="20"/>
        </w:rPr>
      </w:pPr>
    </w:p>
    <w:p w14:paraId="65502125" w14:textId="04E17CFC" w:rsidR="00774F99" w:rsidRPr="00161810" w:rsidRDefault="00774F99" w:rsidP="00161810">
      <w:pPr>
        <w:pStyle w:val="NoSpacing"/>
        <w:rPr>
          <w:rFonts w:ascii="Arial" w:hAnsi="Arial" w:cs="Arial"/>
          <w:b/>
          <w:bCs/>
          <w:sz w:val="20"/>
          <w:szCs w:val="20"/>
        </w:rPr>
      </w:pPr>
      <w:r w:rsidRPr="00161810">
        <w:rPr>
          <w:rFonts w:ascii="Arial" w:hAnsi="Arial" w:cs="Arial"/>
          <w:b/>
          <w:bCs/>
          <w:sz w:val="20"/>
          <w:szCs w:val="20"/>
        </w:rPr>
        <w:t>Summary points</w:t>
      </w:r>
    </w:p>
    <w:p w14:paraId="06B5BB5C" w14:textId="122A65F4" w:rsidR="00774F99" w:rsidRPr="00161810" w:rsidRDefault="007401A5" w:rsidP="00161810">
      <w:pPr>
        <w:pStyle w:val="NoSpacing"/>
        <w:numPr>
          <w:ilvl w:val="0"/>
          <w:numId w:val="3"/>
        </w:numPr>
        <w:rPr>
          <w:rFonts w:ascii="Arial" w:hAnsi="Arial" w:cs="Arial"/>
          <w:sz w:val="20"/>
          <w:szCs w:val="20"/>
        </w:rPr>
      </w:pPr>
      <w:r w:rsidRPr="00161810">
        <w:rPr>
          <w:rFonts w:ascii="Arial" w:hAnsi="Arial" w:cs="Arial"/>
          <w:sz w:val="20"/>
          <w:szCs w:val="20"/>
        </w:rPr>
        <w:t>Access to at least essential medicines is a key indicator related to guaranteeing the right of patients to healthcare</w:t>
      </w:r>
      <w:r w:rsidR="00F27D16" w:rsidRPr="00161810">
        <w:rPr>
          <w:rFonts w:ascii="Arial" w:hAnsi="Arial" w:cs="Arial"/>
          <w:sz w:val="20"/>
          <w:szCs w:val="20"/>
        </w:rPr>
        <w:t>.</w:t>
      </w:r>
    </w:p>
    <w:p w14:paraId="78524345" w14:textId="19349AFC" w:rsidR="007401A5" w:rsidRPr="00161810" w:rsidRDefault="007401A5" w:rsidP="00161810">
      <w:pPr>
        <w:pStyle w:val="NoSpacing"/>
        <w:numPr>
          <w:ilvl w:val="0"/>
          <w:numId w:val="3"/>
        </w:numPr>
        <w:rPr>
          <w:rFonts w:ascii="Arial" w:hAnsi="Arial" w:cs="Arial"/>
          <w:sz w:val="20"/>
          <w:szCs w:val="20"/>
        </w:rPr>
      </w:pPr>
      <w:r w:rsidRPr="00161810">
        <w:rPr>
          <w:rFonts w:ascii="Arial" w:hAnsi="Arial" w:cs="Arial"/>
          <w:sz w:val="20"/>
          <w:szCs w:val="20"/>
        </w:rPr>
        <w:t>To date, there has not been one comprehensive indicator capturing all 5 dimensions of access which include availability, geographic accessibility, adequacy, affordability and acceptability</w:t>
      </w:r>
      <w:r w:rsidR="00F27D16" w:rsidRPr="00161810">
        <w:rPr>
          <w:rFonts w:ascii="Arial" w:hAnsi="Arial" w:cs="Arial"/>
          <w:sz w:val="20"/>
          <w:szCs w:val="20"/>
        </w:rPr>
        <w:t>.</w:t>
      </w:r>
    </w:p>
    <w:p w14:paraId="39DD526D" w14:textId="518FEAEE" w:rsidR="007401A5" w:rsidRPr="00161810" w:rsidRDefault="007401A5" w:rsidP="00161810">
      <w:pPr>
        <w:pStyle w:val="NoSpacing"/>
        <w:numPr>
          <w:ilvl w:val="0"/>
          <w:numId w:val="3"/>
        </w:numPr>
        <w:rPr>
          <w:rFonts w:ascii="Arial" w:hAnsi="Arial" w:cs="Arial"/>
          <w:sz w:val="20"/>
          <w:szCs w:val="20"/>
        </w:rPr>
      </w:pPr>
      <w:r w:rsidRPr="00161810">
        <w:rPr>
          <w:rFonts w:ascii="Arial" w:hAnsi="Arial" w:cs="Arial"/>
          <w:sz w:val="20"/>
          <w:szCs w:val="20"/>
        </w:rPr>
        <w:t>Research was undertaken in Brazil to assess medicine availability in a dual healthcare system (private and public) which includes private and public pharmacies to provide future guidance</w:t>
      </w:r>
      <w:r w:rsidR="00F27D16" w:rsidRPr="00161810">
        <w:rPr>
          <w:rFonts w:ascii="Arial" w:hAnsi="Arial" w:cs="Arial"/>
          <w:sz w:val="20"/>
          <w:szCs w:val="20"/>
        </w:rPr>
        <w:t>.</w:t>
      </w:r>
    </w:p>
    <w:p w14:paraId="0CD7A936" w14:textId="6EF65186" w:rsidR="007401A5" w:rsidRPr="00161810" w:rsidRDefault="007401A5" w:rsidP="00161810">
      <w:pPr>
        <w:pStyle w:val="NoSpacing"/>
        <w:numPr>
          <w:ilvl w:val="0"/>
          <w:numId w:val="3"/>
        </w:numPr>
        <w:rPr>
          <w:rFonts w:ascii="Arial" w:hAnsi="Arial" w:cs="Arial"/>
          <w:sz w:val="20"/>
          <w:szCs w:val="20"/>
        </w:rPr>
      </w:pPr>
      <w:r w:rsidRPr="00161810">
        <w:rPr>
          <w:rFonts w:ascii="Arial" w:hAnsi="Arial" w:cs="Arial"/>
          <w:sz w:val="20"/>
          <w:szCs w:val="20"/>
        </w:rPr>
        <w:t>All five dimensions of access were important in Brazil, although overall greater importance was</w:t>
      </w:r>
      <w:r w:rsidR="007B2D16" w:rsidRPr="00161810">
        <w:rPr>
          <w:rFonts w:ascii="Arial" w:hAnsi="Arial" w:cs="Arial"/>
          <w:sz w:val="20"/>
          <w:szCs w:val="20"/>
        </w:rPr>
        <w:t xml:space="preserve"> </w:t>
      </w:r>
      <w:r w:rsidRPr="00161810">
        <w:rPr>
          <w:rFonts w:ascii="Arial" w:hAnsi="Arial" w:cs="Arial"/>
          <w:sz w:val="20"/>
          <w:szCs w:val="20"/>
        </w:rPr>
        <w:t>given to availability followed by affordability, geographic accessibility, accommodation and finally acceptability</w:t>
      </w:r>
      <w:r w:rsidR="00F27D16" w:rsidRPr="00161810">
        <w:rPr>
          <w:rFonts w:ascii="Arial" w:hAnsi="Arial" w:cs="Arial"/>
          <w:sz w:val="20"/>
          <w:szCs w:val="20"/>
        </w:rPr>
        <w:t>.</w:t>
      </w:r>
    </w:p>
    <w:p w14:paraId="45B859D2" w14:textId="354B86AE" w:rsidR="007401A5" w:rsidRPr="00161810" w:rsidRDefault="007401A5" w:rsidP="00161810">
      <w:pPr>
        <w:pStyle w:val="NoSpacing"/>
        <w:numPr>
          <w:ilvl w:val="0"/>
          <w:numId w:val="3"/>
        </w:numPr>
        <w:rPr>
          <w:rFonts w:ascii="Arial" w:hAnsi="Arial" w:cs="Arial"/>
          <w:sz w:val="20"/>
          <w:szCs w:val="20"/>
        </w:rPr>
      </w:pPr>
      <w:r w:rsidRPr="00161810">
        <w:rPr>
          <w:rFonts w:ascii="Arial" w:hAnsi="Arial" w:cs="Arial"/>
          <w:sz w:val="20"/>
          <w:szCs w:val="20"/>
        </w:rPr>
        <w:t>However there were differences whether patients access just public pharmacies, private pharmacies or a mixture of both</w:t>
      </w:r>
      <w:r w:rsidR="00F27D16" w:rsidRPr="00161810">
        <w:rPr>
          <w:rFonts w:ascii="Arial" w:hAnsi="Arial" w:cs="Arial"/>
          <w:sz w:val="20"/>
          <w:szCs w:val="20"/>
        </w:rPr>
        <w:t>.</w:t>
      </w:r>
    </w:p>
    <w:p w14:paraId="0AF85529" w14:textId="5032509D" w:rsidR="00590214" w:rsidRPr="00161810" w:rsidRDefault="00590214" w:rsidP="00161810">
      <w:pPr>
        <w:pStyle w:val="NoSpacing"/>
        <w:numPr>
          <w:ilvl w:val="0"/>
          <w:numId w:val="3"/>
        </w:numPr>
        <w:rPr>
          <w:rFonts w:ascii="Arial" w:hAnsi="Arial" w:cs="Arial"/>
          <w:sz w:val="20"/>
          <w:szCs w:val="20"/>
        </w:rPr>
      </w:pPr>
      <w:r w:rsidRPr="00161810">
        <w:rPr>
          <w:rFonts w:ascii="Arial" w:hAnsi="Arial" w:cs="Arial"/>
          <w:sz w:val="20"/>
          <w:szCs w:val="20"/>
        </w:rPr>
        <w:t>There were also differences in gender as well as age, e.g. those aged 55 or older typically resort to public pharmacies to obtain their medicines with increases in healthcare spending</w:t>
      </w:r>
      <w:r w:rsidR="00F27D16" w:rsidRPr="00161810">
        <w:rPr>
          <w:rFonts w:ascii="Arial" w:hAnsi="Arial" w:cs="Arial"/>
          <w:sz w:val="20"/>
          <w:szCs w:val="20"/>
        </w:rPr>
        <w:t>.</w:t>
      </w:r>
    </w:p>
    <w:p w14:paraId="29CF605D" w14:textId="3BF20EE6" w:rsidR="007401A5" w:rsidRPr="00161810" w:rsidRDefault="007401A5" w:rsidP="00161810">
      <w:pPr>
        <w:pStyle w:val="NoSpacing"/>
        <w:numPr>
          <w:ilvl w:val="0"/>
          <w:numId w:val="3"/>
        </w:numPr>
        <w:rPr>
          <w:rFonts w:ascii="Arial" w:hAnsi="Arial" w:cs="Arial"/>
          <w:sz w:val="20"/>
          <w:szCs w:val="20"/>
        </w:rPr>
      </w:pPr>
      <w:r w:rsidRPr="00161810">
        <w:rPr>
          <w:rFonts w:ascii="Arial" w:hAnsi="Arial" w:cs="Arial"/>
          <w:sz w:val="20"/>
          <w:szCs w:val="20"/>
        </w:rPr>
        <w:t>Interviewees using exclusively private pharmacies considered availability a key dimension, higher than those using both public and private pharmacies</w:t>
      </w:r>
      <w:r w:rsidR="00F27D16" w:rsidRPr="00161810">
        <w:rPr>
          <w:rFonts w:ascii="Arial" w:hAnsi="Arial" w:cs="Arial"/>
          <w:sz w:val="20"/>
          <w:szCs w:val="20"/>
        </w:rPr>
        <w:t>.</w:t>
      </w:r>
      <w:r w:rsidRPr="00161810">
        <w:rPr>
          <w:rFonts w:ascii="Arial" w:hAnsi="Arial" w:cs="Arial"/>
          <w:sz w:val="20"/>
          <w:szCs w:val="20"/>
        </w:rPr>
        <w:t xml:space="preserve"> </w:t>
      </w:r>
    </w:p>
    <w:p w14:paraId="06194BC9" w14:textId="6D3C4363" w:rsidR="00590214" w:rsidRPr="00161810" w:rsidRDefault="00590214" w:rsidP="00161810">
      <w:pPr>
        <w:pStyle w:val="NoSpacing"/>
        <w:numPr>
          <w:ilvl w:val="0"/>
          <w:numId w:val="3"/>
        </w:numPr>
        <w:rPr>
          <w:rFonts w:ascii="Arial" w:hAnsi="Arial" w:cs="Arial"/>
          <w:sz w:val="20"/>
          <w:szCs w:val="20"/>
        </w:rPr>
      </w:pPr>
      <w:r w:rsidRPr="00161810">
        <w:rPr>
          <w:rFonts w:ascii="Arial" w:hAnsi="Arial" w:cs="Arial"/>
          <w:sz w:val="20"/>
          <w:szCs w:val="20"/>
        </w:rPr>
        <w:t>This newly developed indicator enables a greater consideration with analyzing access to medicines, which is important for countries in the future where access is a concern</w:t>
      </w:r>
      <w:r w:rsidR="00F27D16" w:rsidRPr="00161810">
        <w:rPr>
          <w:rFonts w:ascii="Arial" w:hAnsi="Arial" w:cs="Arial"/>
          <w:sz w:val="20"/>
          <w:szCs w:val="20"/>
        </w:rPr>
        <w:t>.</w:t>
      </w:r>
    </w:p>
    <w:p w14:paraId="4E148173" w14:textId="77777777" w:rsidR="00774F99" w:rsidRPr="00161810" w:rsidRDefault="00774F99" w:rsidP="00161810">
      <w:pPr>
        <w:pStyle w:val="NoSpacing"/>
        <w:rPr>
          <w:rFonts w:ascii="Arial" w:hAnsi="Arial" w:cs="Arial"/>
          <w:sz w:val="20"/>
          <w:szCs w:val="20"/>
        </w:rPr>
      </w:pPr>
    </w:p>
    <w:p w14:paraId="05ED5BDA" w14:textId="77777777" w:rsidR="00104A61" w:rsidRPr="00161810" w:rsidRDefault="000A1091" w:rsidP="00161810">
      <w:pPr>
        <w:pStyle w:val="NoSpacing"/>
        <w:rPr>
          <w:rFonts w:ascii="Arial" w:hAnsi="Arial" w:cs="Arial"/>
          <w:sz w:val="20"/>
          <w:szCs w:val="20"/>
        </w:rPr>
      </w:pPr>
      <w:r w:rsidRPr="00161810">
        <w:rPr>
          <w:rFonts w:ascii="Arial" w:hAnsi="Arial" w:cs="Arial"/>
          <w:b/>
          <w:sz w:val="20"/>
          <w:szCs w:val="20"/>
        </w:rPr>
        <w:lastRenderedPageBreak/>
        <w:t>1.Introduction</w:t>
      </w:r>
    </w:p>
    <w:p w14:paraId="69033492" w14:textId="77777777" w:rsidR="00161810" w:rsidRDefault="00161810" w:rsidP="00161810">
      <w:pPr>
        <w:pStyle w:val="NoSpacing"/>
        <w:rPr>
          <w:rFonts w:ascii="Arial" w:hAnsi="Arial" w:cs="Arial"/>
          <w:sz w:val="20"/>
          <w:szCs w:val="20"/>
        </w:rPr>
      </w:pPr>
    </w:p>
    <w:p w14:paraId="7DE95B3C" w14:textId="5913D5F0" w:rsidR="00104A61" w:rsidRPr="00161810" w:rsidRDefault="000A1091" w:rsidP="00161810">
      <w:pPr>
        <w:pStyle w:val="NoSpacing"/>
        <w:rPr>
          <w:rFonts w:ascii="Arial" w:hAnsi="Arial" w:cs="Arial"/>
          <w:sz w:val="20"/>
          <w:szCs w:val="20"/>
        </w:rPr>
      </w:pPr>
      <w:r w:rsidRPr="00161810">
        <w:rPr>
          <w:rFonts w:ascii="Arial" w:hAnsi="Arial" w:cs="Arial"/>
          <w:sz w:val="20"/>
          <w:szCs w:val="20"/>
        </w:rPr>
        <w:t>Access to essential medicines is one of the five indicators related to guaranteeing the right to health according to the United Nations, and one of the great challenges for public health across countries</w:t>
      </w:r>
      <w:r w:rsidR="004C755F" w:rsidRPr="00161810">
        <w:rPr>
          <w:rFonts w:ascii="Arial" w:hAnsi="Arial" w:cs="Arial"/>
          <w:sz w:val="20"/>
          <w:szCs w:val="20"/>
        </w:rPr>
        <w:t xml:space="preserve"> [1]</w:t>
      </w:r>
      <w:r w:rsidRPr="00161810">
        <w:rPr>
          <w:rFonts w:ascii="Arial" w:hAnsi="Arial" w:cs="Arial"/>
          <w:sz w:val="20"/>
          <w:szCs w:val="20"/>
        </w:rPr>
        <w:t xml:space="preserve">. Access to medicines is currently problematic in many </w:t>
      </w:r>
      <w:r w:rsidR="004C755F" w:rsidRPr="00161810">
        <w:rPr>
          <w:rFonts w:ascii="Arial" w:hAnsi="Arial" w:cs="Arial"/>
          <w:sz w:val="20"/>
          <w:szCs w:val="20"/>
        </w:rPr>
        <w:t>l</w:t>
      </w:r>
      <w:r w:rsidRPr="00161810">
        <w:rPr>
          <w:rFonts w:ascii="Arial" w:hAnsi="Arial" w:cs="Arial"/>
          <w:sz w:val="20"/>
          <w:szCs w:val="20"/>
        </w:rPr>
        <w:t xml:space="preserve">ower and </w:t>
      </w:r>
      <w:r w:rsidR="004C755F" w:rsidRPr="00161810">
        <w:rPr>
          <w:rFonts w:ascii="Arial" w:hAnsi="Arial" w:cs="Arial"/>
          <w:sz w:val="20"/>
          <w:szCs w:val="20"/>
        </w:rPr>
        <w:t>m</w:t>
      </w:r>
      <w:r w:rsidRPr="00161810">
        <w:rPr>
          <w:rFonts w:ascii="Arial" w:hAnsi="Arial" w:cs="Arial"/>
          <w:sz w:val="20"/>
          <w:szCs w:val="20"/>
        </w:rPr>
        <w:t xml:space="preserve">iddle </w:t>
      </w:r>
      <w:r w:rsidR="004C755F" w:rsidRPr="00161810">
        <w:rPr>
          <w:rFonts w:ascii="Arial" w:hAnsi="Arial" w:cs="Arial"/>
          <w:sz w:val="20"/>
          <w:szCs w:val="20"/>
        </w:rPr>
        <w:t>i</w:t>
      </w:r>
      <w:r w:rsidRPr="00161810">
        <w:rPr>
          <w:rFonts w:ascii="Arial" w:hAnsi="Arial" w:cs="Arial"/>
          <w:sz w:val="20"/>
          <w:szCs w:val="20"/>
        </w:rPr>
        <w:t xml:space="preserve">ncome </w:t>
      </w:r>
      <w:r w:rsidR="004C755F" w:rsidRPr="00161810">
        <w:rPr>
          <w:rFonts w:ascii="Arial" w:hAnsi="Arial" w:cs="Arial"/>
          <w:sz w:val="20"/>
          <w:szCs w:val="20"/>
        </w:rPr>
        <w:t>c</w:t>
      </w:r>
      <w:r w:rsidRPr="00161810">
        <w:rPr>
          <w:rFonts w:ascii="Arial" w:hAnsi="Arial" w:cs="Arial"/>
          <w:sz w:val="20"/>
          <w:szCs w:val="20"/>
        </w:rPr>
        <w:t>ountries (LMICs), with expenditure on medicines accounting for up to 70% of total healthcare expenditure, much of which is out of pocket</w:t>
      </w:r>
      <w:r w:rsidR="004C755F" w:rsidRPr="00161810">
        <w:rPr>
          <w:rFonts w:ascii="Arial" w:hAnsi="Arial" w:cs="Arial"/>
          <w:sz w:val="20"/>
          <w:szCs w:val="20"/>
        </w:rPr>
        <w:t xml:space="preserve"> [2,3]</w:t>
      </w:r>
      <w:r w:rsidRPr="00161810">
        <w:rPr>
          <w:rFonts w:ascii="Arial" w:hAnsi="Arial" w:cs="Arial"/>
          <w:sz w:val="20"/>
          <w:szCs w:val="20"/>
        </w:rPr>
        <w:t xml:space="preserve">. Consequently, family members becoming ill can potentially be catastrophic for the </w:t>
      </w:r>
      <w:r w:rsidR="004C755F" w:rsidRPr="00161810">
        <w:rPr>
          <w:rFonts w:ascii="Arial" w:hAnsi="Arial" w:cs="Arial"/>
          <w:sz w:val="20"/>
          <w:szCs w:val="20"/>
        </w:rPr>
        <w:t xml:space="preserve">rest of the </w:t>
      </w:r>
      <w:r w:rsidRPr="00161810">
        <w:rPr>
          <w:rFonts w:ascii="Arial" w:hAnsi="Arial" w:cs="Arial"/>
          <w:sz w:val="20"/>
          <w:szCs w:val="20"/>
        </w:rPr>
        <w:t>family</w:t>
      </w:r>
      <w:r w:rsidR="004C755F" w:rsidRPr="00161810">
        <w:rPr>
          <w:rFonts w:ascii="Arial" w:hAnsi="Arial" w:cs="Arial"/>
          <w:sz w:val="20"/>
          <w:szCs w:val="20"/>
        </w:rPr>
        <w:t xml:space="preserve"> [2-5]</w:t>
      </w:r>
      <w:r w:rsidRPr="00161810">
        <w:rPr>
          <w:rFonts w:ascii="Arial" w:hAnsi="Arial" w:cs="Arial"/>
          <w:sz w:val="20"/>
          <w:szCs w:val="20"/>
        </w:rPr>
        <w:t>. Access to medicines can also vary within a country and between sectors in a country</w:t>
      </w:r>
      <w:r w:rsidR="004C755F" w:rsidRPr="00161810">
        <w:rPr>
          <w:rFonts w:ascii="Arial" w:hAnsi="Arial" w:cs="Arial"/>
          <w:sz w:val="20"/>
          <w:szCs w:val="20"/>
        </w:rPr>
        <w:t xml:space="preserve"> [6,7]</w:t>
      </w:r>
      <w:r w:rsidRPr="00161810">
        <w:rPr>
          <w:rFonts w:ascii="Arial" w:hAnsi="Arial" w:cs="Arial"/>
          <w:sz w:val="20"/>
          <w:szCs w:val="20"/>
        </w:rPr>
        <w:t xml:space="preserve">, as well as be an issue among Central and Eastern European (CEE) countries where </w:t>
      </w:r>
      <w:r w:rsidR="003F0354" w:rsidRPr="00161810">
        <w:rPr>
          <w:rFonts w:ascii="Arial" w:hAnsi="Arial" w:cs="Arial"/>
          <w:sz w:val="20"/>
          <w:szCs w:val="20"/>
        </w:rPr>
        <w:t>despite</w:t>
      </w:r>
      <w:r w:rsidRPr="00161810">
        <w:rPr>
          <w:rFonts w:ascii="Arial" w:hAnsi="Arial" w:cs="Arial"/>
          <w:sz w:val="20"/>
          <w:szCs w:val="20"/>
        </w:rPr>
        <w:t xml:space="preserve"> typically universal healthcare </w:t>
      </w:r>
      <w:r w:rsidR="003F0354" w:rsidRPr="00161810">
        <w:rPr>
          <w:rFonts w:ascii="Arial" w:hAnsi="Arial" w:cs="Arial"/>
          <w:sz w:val="20"/>
          <w:szCs w:val="20"/>
        </w:rPr>
        <w:t xml:space="preserve">there are concerns with access to higher costs medicines </w:t>
      </w:r>
      <w:r w:rsidRPr="00161810">
        <w:rPr>
          <w:rFonts w:ascii="Arial" w:hAnsi="Arial" w:cs="Arial"/>
          <w:sz w:val="20"/>
          <w:szCs w:val="20"/>
        </w:rPr>
        <w:t xml:space="preserve">because of issues </w:t>
      </w:r>
      <w:r w:rsidR="003F0354" w:rsidRPr="00161810">
        <w:rPr>
          <w:rFonts w:ascii="Arial" w:hAnsi="Arial" w:cs="Arial"/>
          <w:sz w:val="20"/>
          <w:szCs w:val="20"/>
        </w:rPr>
        <w:t>such as</w:t>
      </w:r>
      <w:r w:rsidRPr="00161810">
        <w:rPr>
          <w:rFonts w:ascii="Arial" w:hAnsi="Arial" w:cs="Arial"/>
          <w:sz w:val="20"/>
          <w:szCs w:val="20"/>
        </w:rPr>
        <w:t xml:space="preserve"> affordability and co-payments</w:t>
      </w:r>
      <w:r w:rsidR="003F0354" w:rsidRPr="00161810">
        <w:rPr>
          <w:rFonts w:ascii="Arial" w:hAnsi="Arial" w:cs="Arial"/>
          <w:sz w:val="20"/>
          <w:szCs w:val="20"/>
        </w:rPr>
        <w:t xml:space="preserve"> [8,9]</w:t>
      </w:r>
      <w:r w:rsidRPr="00161810">
        <w:rPr>
          <w:rFonts w:ascii="Arial" w:hAnsi="Arial" w:cs="Arial"/>
          <w:sz w:val="20"/>
          <w:szCs w:val="20"/>
        </w:rPr>
        <w:t>. For instance, there has been limited utilization of biological medicines for rheumatoid arthritis and inflammatory bowel disease among many CEE countries due to differences in reimbursement criteria and high co-payments</w:t>
      </w:r>
      <w:r w:rsidR="003F0354" w:rsidRPr="00161810">
        <w:rPr>
          <w:rFonts w:ascii="Arial" w:hAnsi="Arial" w:cs="Arial"/>
          <w:sz w:val="20"/>
          <w:szCs w:val="20"/>
        </w:rPr>
        <w:t xml:space="preserve"> [8-10]</w:t>
      </w:r>
      <w:r w:rsidRPr="00161810">
        <w:rPr>
          <w:rFonts w:ascii="Arial" w:hAnsi="Arial" w:cs="Arial"/>
          <w:sz w:val="20"/>
          <w:szCs w:val="20"/>
        </w:rPr>
        <w:t>. A similar situation was seen among a number of CEE countries with the statins and proton pump inhibitors before widespread availability of low cost generics easing prescribing restrictions</w:t>
      </w:r>
      <w:r w:rsidR="003F0354" w:rsidRPr="00161810">
        <w:rPr>
          <w:rFonts w:ascii="Arial" w:hAnsi="Arial" w:cs="Arial"/>
          <w:sz w:val="20"/>
          <w:szCs w:val="20"/>
        </w:rPr>
        <w:t xml:space="preserve"> [11-13]</w:t>
      </w:r>
      <w:r w:rsidRPr="00161810">
        <w:rPr>
          <w:rFonts w:ascii="Arial" w:hAnsi="Arial" w:cs="Arial"/>
          <w:sz w:val="20"/>
          <w:szCs w:val="20"/>
        </w:rPr>
        <w:t>. There have also been concerns regarding access to medicines for orphan diseases and cancer across many countries enhanced by high prices</w:t>
      </w:r>
      <w:r w:rsidR="00BA547B" w:rsidRPr="00161810">
        <w:rPr>
          <w:rFonts w:ascii="Arial" w:hAnsi="Arial" w:cs="Arial"/>
          <w:sz w:val="20"/>
          <w:szCs w:val="20"/>
        </w:rPr>
        <w:t xml:space="preserve"> [14-19]</w:t>
      </w:r>
      <w:r w:rsidRPr="00161810">
        <w:rPr>
          <w:rFonts w:ascii="Arial" w:hAnsi="Arial" w:cs="Arial"/>
          <w:sz w:val="20"/>
          <w:szCs w:val="20"/>
        </w:rPr>
        <w:t xml:space="preserve">. However, limiting access to medicines can impact on morbidity, mortality and healthcare costs for patients </w:t>
      </w:r>
      <w:r w:rsidR="00BA547B" w:rsidRPr="00161810">
        <w:rPr>
          <w:rFonts w:ascii="Arial" w:hAnsi="Arial" w:cs="Arial"/>
          <w:sz w:val="20"/>
          <w:szCs w:val="20"/>
        </w:rPr>
        <w:t>with</w:t>
      </w:r>
      <w:r w:rsidRPr="00161810">
        <w:rPr>
          <w:rFonts w:ascii="Arial" w:hAnsi="Arial" w:cs="Arial"/>
          <w:sz w:val="20"/>
          <w:szCs w:val="20"/>
        </w:rPr>
        <w:t xml:space="preserve"> infectious and non-infectious diseases as well as healthcare system</w:t>
      </w:r>
      <w:r w:rsidR="00BA547B" w:rsidRPr="00161810">
        <w:rPr>
          <w:rFonts w:ascii="Arial" w:hAnsi="Arial" w:cs="Arial"/>
          <w:sz w:val="20"/>
          <w:szCs w:val="20"/>
        </w:rPr>
        <w:t>s [14,20-25]</w:t>
      </w:r>
      <w:r w:rsidRPr="00161810">
        <w:rPr>
          <w:rFonts w:ascii="Arial" w:hAnsi="Arial" w:cs="Arial"/>
          <w:sz w:val="20"/>
          <w:szCs w:val="20"/>
        </w:rPr>
        <w:t>. Access to medicines is also seen as a central component of social inclusion a</w:t>
      </w:r>
      <w:r w:rsidR="00BA547B" w:rsidRPr="00161810">
        <w:rPr>
          <w:rFonts w:ascii="Arial" w:hAnsi="Arial" w:cs="Arial"/>
          <w:sz w:val="20"/>
          <w:szCs w:val="20"/>
        </w:rPr>
        <w:t>s well as</w:t>
      </w:r>
      <w:r w:rsidRPr="00161810">
        <w:rPr>
          <w:rFonts w:ascii="Arial" w:hAnsi="Arial" w:cs="Arial"/>
          <w:sz w:val="20"/>
          <w:szCs w:val="20"/>
        </w:rPr>
        <w:t xml:space="preserve"> a component to seek equity and to strengthen health care systems. The possibility or not to have access to medicines is one of the clearest manifestations of inequality between countries, especially LMICs such as Brazil</w:t>
      </w:r>
      <w:r w:rsidR="00BA547B" w:rsidRPr="00161810">
        <w:rPr>
          <w:rFonts w:ascii="Arial" w:hAnsi="Arial" w:cs="Arial"/>
          <w:sz w:val="20"/>
          <w:szCs w:val="20"/>
        </w:rPr>
        <w:t xml:space="preserve"> [26]</w:t>
      </w:r>
      <w:r w:rsidRPr="00161810">
        <w:rPr>
          <w:rFonts w:ascii="Arial" w:hAnsi="Arial" w:cs="Arial"/>
          <w:sz w:val="20"/>
          <w:szCs w:val="20"/>
        </w:rPr>
        <w:t xml:space="preserve">. However, the legal system can be used in Brazil to enhance access to medicines that are not </w:t>
      </w:r>
      <w:r w:rsidR="00BA547B" w:rsidRPr="00161810">
        <w:rPr>
          <w:rFonts w:ascii="Arial" w:hAnsi="Arial" w:cs="Arial"/>
          <w:sz w:val="20"/>
          <w:szCs w:val="20"/>
        </w:rPr>
        <w:t>currently</w:t>
      </w:r>
      <w:r w:rsidRPr="00161810">
        <w:rPr>
          <w:rFonts w:ascii="Arial" w:hAnsi="Arial" w:cs="Arial"/>
          <w:sz w:val="20"/>
          <w:szCs w:val="20"/>
        </w:rPr>
        <w:t xml:space="preserve"> funded </w:t>
      </w:r>
      <w:r w:rsidR="00BA547B" w:rsidRPr="00161810">
        <w:rPr>
          <w:rFonts w:ascii="Arial" w:hAnsi="Arial" w:cs="Arial"/>
          <w:sz w:val="20"/>
          <w:szCs w:val="20"/>
        </w:rPr>
        <w:t xml:space="preserve">or available </w:t>
      </w:r>
      <w:r w:rsidRPr="00161810">
        <w:rPr>
          <w:rFonts w:ascii="Arial" w:hAnsi="Arial" w:cs="Arial"/>
          <w:sz w:val="20"/>
          <w:szCs w:val="20"/>
        </w:rPr>
        <w:t>within the healthcare system</w:t>
      </w:r>
      <w:r w:rsidR="00BA547B" w:rsidRPr="00161810">
        <w:rPr>
          <w:rFonts w:ascii="Arial" w:hAnsi="Arial" w:cs="Arial"/>
          <w:sz w:val="20"/>
          <w:szCs w:val="20"/>
        </w:rPr>
        <w:t xml:space="preserve"> [27-29]</w:t>
      </w:r>
      <w:r w:rsidRPr="00161810">
        <w:rPr>
          <w:rFonts w:ascii="Arial" w:hAnsi="Arial" w:cs="Arial"/>
          <w:sz w:val="20"/>
          <w:szCs w:val="20"/>
        </w:rPr>
        <w:t xml:space="preserve">. </w:t>
      </w:r>
    </w:p>
    <w:p w14:paraId="40D90FA7" w14:textId="77777777" w:rsidR="00161810" w:rsidRDefault="00161810" w:rsidP="00161810">
      <w:pPr>
        <w:pStyle w:val="NoSpacing"/>
        <w:rPr>
          <w:rFonts w:ascii="Arial" w:hAnsi="Arial" w:cs="Arial"/>
          <w:sz w:val="20"/>
          <w:szCs w:val="20"/>
        </w:rPr>
      </w:pPr>
    </w:p>
    <w:p w14:paraId="7C5E10F8" w14:textId="3B04C3D1" w:rsidR="00104A61" w:rsidRPr="00161810" w:rsidRDefault="000A1091" w:rsidP="00161810">
      <w:pPr>
        <w:pStyle w:val="NoSpacing"/>
        <w:rPr>
          <w:rFonts w:ascii="Arial" w:hAnsi="Arial" w:cs="Arial"/>
          <w:sz w:val="20"/>
          <w:szCs w:val="20"/>
        </w:rPr>
      </w:pPr>
      <w:r w:rsidRPr="00161810">
        <w:rPr>
          <w:rFonts w:ascii="Arial" w:hAnsi="Arial" w:cs="Arial"/>
          <w:sz w:val="20"/>
          <w:szCs w:val="20"/>
        </w:rPr>
        <w:t xml:space="preserve">Usually, medicines across countries are made available through a combination of public and private supply routes, and subject to regulations regarding their quality, safety and supply.  A number of determinants and barriers relating to access to medicines have been identified according to the health system perspective of each country </w:t>
      </w:r>
      <w:r w:rsidR="007B2D16" w:rsidRPr="00161810">
        <w:rPr>
          <w:rFonts w:ascii="Arial" w:hAnsi="Arial" w:cs="Arial"/>
          <w:sz w:val="20"/>
          <w:szCs w:val="20"/>
        </w:rPr>
        <w:t>to provide future guidance [30,</w:t>
      </w:r>
      <w:r w:rsidR="00BA547B" w:rsidRPr="00161810">
        <w:rPr>
          <w:rFonts w:ascii="Arial" w:hAnsi="Arial" w:cs="Arial"/>
          <w:sz w:val="20"/>
          <w:szCs w:val="20"/>
        </w:rPr>
        <w:t>31]</w:t>
      </w:r>
      <w:r w:rsidRPr="00161810">
        <w:rPr>
          <w:rFonts w:ascii="Arial" w:hAnsi="Arial" w:cs="Arial"/>
          <w:sz w:val="20"/>
          <w:szCs w:val="20"/>
        </w:rPr>
        <w:t xml:space="preserve">. There </w:t>
      </w:r>
      <w:r w:rsidR="00BA547B" w:rsidRPr="00161810">
        <w:rPr>
          <w:rFonts w:ascii="Arial" w:hAnsi="Arial" w:cs="Arial"/>
          <w:sz w:val="20"/>
          <w:szCs w:val="20"/>
        </w:rPr>
        <w:t>is</w:t>
      </w:r>
      <w:r w:rsidRPr="00161810">
        <w:rPr>
          <w:rFonts w:ascii="Arial" w:hAnsi="Arial" w:cs="Arial"/>
          <w:sz w:val="20"/>
          <w:szCs w:val="20"/>
        </w:rPr>
        <w:t xml:space="preserve"> also ongoing research surrounding the </w:t>
      </w:r>
      <w:r w:rsidR="00BA547B" w:rsidRPr="00161810">
        <w:rPr>
          <w:rFonts w:ascii="Arial" w:hAnsi="Arial" w:cs="Arial"/>
          <w:sz w:val="20"/>
          <w:szCs w:val="20"/>
        </w:rPr>
        <w:t>availability</w:t>
      </w:r>
      <w:r w:rsidRPr="00161810">
        <w:rPr>
          <w:rFonts w:ascii="Arial" w:hAnsi="Arial" w:cs="Arial"/>
          <w:sz w:val="20"/>
          <w:szCs w:val="20"/>
        </w:rPr>
        <w:t xml:space="preserve"> essential medicines which are part of EMLs (Essential Medicines Lists) as a starting point </w:t>
      </w:r>
      <w:r w:rsidR="00BA547B" w:rsidRPr="00161810">
        <w:rPr>
          <w:rFonts w:ascii="Arial" w:hAnsi="Arial" w:cs="Arial"/>
          <w:sz w:val="20"/>
          <w:szCs w:val="20"/>
        </w:rPr>
        <w:t>for appraising potential initiatives to enhance future access where concerns [27,32]</w:t>
      </w:r>
      <w:r w:rsidRPr="00161810">
        <w:rPr>
          <w:rFonts w:ascii="Arial" w:hAnsi="Arial" w:cs="Arial"/>
          <w:sz w:val="20"/>
          <w:szCs w:val="20"/>
        </w:rPr>
        <w:t>.</w:t>
      </w:r>
    </w:p>
    <w:p w14:paraId="72CD91F5" w14:textId="77777777" w:rsidR="00161810" w:rsidRDefault="00161810" w:rsidP="00161810">
      <w:pPr>
        <w:pStyle w:val="NoSpacing"/>
        <w:rPr>
          <w:rFonts w:ascii="Arial" w:hAnsi="Arial" w:cs="Arial"/>
          <w:sz w:val="20"/>
          <w:szCs w:val="20"/>
        </w:rPr>
      </w:pPr>
    </w:p>
    <w:p w14:paraId="3FBDE3D1" w14:textId="623A54A1" w:rsidR="00104A61" w:rsidRPr="00161810" w:rsidRDefault="000A1091" w:rsidP="00161810">
      <w:pPr>
        <w:pStyle w:val="NoSpacing"/>
        <w:rPr>
          <w:rFonts w:ascii="Arial" w:hAnsi="Arial" w:cs="Arial"/>
          <w:color w:val="843C0B"/>
          <w:sz w:val="20"/>
          <w:szCs w:val="20"/>
        </w:rPr>
      </w:pPr>
      <w:r w:rsidRPr="00161810">
        <w:rPr>
          <w:rFonts w:ascii="Arial" w:hAnsi="Arial" w:cs="Arial"/>
          <w:sz w:val="20"/>
          <w:szCs w:val="20"/>
        </w:rPr>
        <w:t>The World Health Organization defines access to medicines as the availability and the affordability, and to obtain those equitably</w:t>
      </w:r>
      <w:r w:rsidR="0005608B" w:rsidRPr="00161810">
        <w:rPr>
          <w:rFonts w:ascii="Arial" w:hAnsi="Arial" w:cs="Arial"/>
          <w:sz w:val="20"/>
          <w:szCs w:val="20"/>
        </w:rPr>
        <w:t xml:space="preserve"> [33]</w:t>
      </w:r>
      <w:r w:rsidRPr="00161810">
        <w:rPr>
          <w:rFonts w:ascii="Arial" w:hAnsi="Arial" w:cs="Arial"/>
          <w:sz w:val="20"/>
          <w:szCs w:val="20"/>
        </w:rPr>
        <w:t>. As mentioned, affordability is a key issue in LMICs, and we are now seeing access programmes growing across countries to seek to address this</w:t>
      </w:r>
      <w:r w:rsidR="0005608B" w:rsidRPr="00161810">
        <w:rPr>
          <w:rFonts w:ascii="Arial" w:hAnsi="Arial" w:cs="Arial"/>
          <w:sz w:val="20"/>
          <w:szCs w:val="20"/>
        </w:rPr>
        <w:t xml:space="preserve"> [34,35]</w:t>
      </w:r>
      <w:r w:rsidRPr="00161810">
        <w:rPr>
          <w:rFonts w:ascii="Arial" w:hAnsi="Arial" w:cs="Arial"/>
          <w:sz w:val="20"/>
          <w:szCs w:val="20"/>
        </w:rPr>
        <w:t xml:space="preserve">. However, such definitions do not necessarily take into account the complexity of access to medicines, which </w:t>
      </w:r>
      <w:r w:rsidR="0005608B" w:rsidRPr="00161810">
        <w:rPr>
          <w:rFonts w:ascii="Arial" w:hAnsi="Arial" w:cs="Arial"/>
          <w:sz w:val="20"/>
          <w:szCs w:val="20"/>
        </w:rPr>
        <w:t xml:space="preserve">can </w:t>
      </w:r>
      <w:r w:rsidRPr="00161810">
        <w:rPr>
          <w:rFonts w:ascii="Arial" w:hAnsi="Arial" w:cs="Arial"/>
          <w:sz w:val="20"/>
          <w:szCs w:val="20"/>
        </w:rPr>
        <w:t xml:space="preserve">exist in countries. Access typically involves a network of public and private actors, who play different roles taking account of the economic, political and social contexts within countries </w:t>
      </w:r>
      <w:r w:rsidR="0005608B" w:rsidRPr="00161810">
        <w:rPr>
          <w:rFonts w:ascii="Arial" w:hAnsi="Arial" w:cs="Arial"/>
          <w:sz w:val="20"/>
          <w:szCs w:val="20"/>
        </w:rPr>
        <w:t>[36]</w:t>
      </w:r>
      <w:r w:rsidRPr="00161810">
        <w:rPr>
          <w:rFonts w:ascii="Arial" w:hAnsi="Arial" w:cs="Arial"/>
          <w:sz w:val="20"/>
          <w:szCs w:val="20"/>
        </w:rPr>
        <w:t>.</w:t>
      </w:r>
    </w:p>
    <w:p w14:paraId="702D202E" w14:textId="77777777" w:rsidR="00161810" w:rsidRDefault="00161810" w:rsidP="00161810">
      <w:pPr>
        <w:pStyle w:val="NoSpacing"/>
        <w:rPr>
          <w:rFonts w:ascii="Arial" w:hAnsi="Arial" w:cs="Arial"/>
          <w:sz w:val="20"/>
          <w:szCs w:val="20"/>
        </w:rPr>
      </w:pPr>
    </w:p>
    <w:p w14:paraId="72D9AE27" w14:textId="53654C4E" w:rsidR="00104A61" w:rsidRPr="00161810" w:rsidRDefault="000A1091" w:rsidP="00161810">
      <w:pPr>
        <w:pStyle w:val="NoSpacing"/>
        <w:rPr>
          <w:rFonts w:ascii="Arial" w:hAnsi="Arial" w:cs="Arial"/>
          <w:color w:val="843C0B"/>
          <w:sz w:val="20"/>
          <w:szCs w:val="20"/>
        </w:rPr>
      </w:pPr>
      <w:r w:rsidRPr="00161810">
        <w:rPr>
          <w:rFonts w:ascii="Arial" w:hAnsi="Arial" w:cs="Arial"/>
          <w:sz w:val="20"/>
          <w:szCs w:val="20"/>
        </w:rPr>
        <w:t xml:space="preserve">Penchansky &amp; Thomas (1981) </w:t>
      </w:r>
      <w:r w:rsidR="0005608B" w:rsidRPr="00161810">
        <w:rPr>
          <w:rFonts w:ascii="Arial" w:hAnsi="Arial" w:cs="Arial"/>
          <w:sz w:val="20"/>
          <w:szCs w:val="20"/>
        </w:rPr>
        <w:t xml:space="preserve">[37] </w:t>
      </w:r>
      <w:r w:rsidRPr="00161810">
        <w:rPr>
          <w:rFonts w:ascii="Arial" w:hAnsi="Arial" w:cs="Arial"/>
          <w:sz w:val="20"/>
          <w:szCs w:val="20"/>
        </w:rPr>
        <w:t xml:space="preserve">and Aday &amp; Andersen (1975) </w:t>
      </w:r>
      <w:r w:rsidR="0005608B" w:rsidRPr="00161810">
        <w:rPr>
          <w:rFonts w:ascii="Arial" w:hAnsi="Arial" w:cs="Arial"/>
          <w:sz w:val="20"/>
          <w:szCs w:val="20"/>
        </w:rPr>
        <w:t xml:space="preserve">[38] </w:t>
      </w:r>
      <w:r w:rsidRPr="00161810">
        <w:rPr>
          <w:rFonts w:ascii="Arial" w:hAnsi="Arial" w:cs="Arial"/>
          <w:sz w:val="20"/>
          <w:szCs w:val="20"/>
        </w:rPr>
        <w:t>pointed out that the mere discussion of the availability of services and resources is insufficient to determine whether or not the population has guaranteed access. For Penchansky &amp; Thomas</w:t>
      </w:r>
      <w:r w:rsidR="0005608B" w:rsidRPr="00161810">
        <w:rPr>
          <w:rFonts w:ascii="Arial" w:hAnsi="Arial" w:cs="Arial"/>
          <w:sz w:val="20"/>
          <w:szCs w:val="20"/>
        </w:rPr>
        <w:t xml:space="preserve"> [37]</w:t>
      </w:r>
      <w:r w:rsidRPr="00161810">
        <w:rPr>
          <w:rFonts w:ascii="Arial" w:hAnsi="Arial" w:cs="Arial"/>
          <w:sz w:val="20"/>
          <w:szCs w:val="20"/>
        </w:rPr>
        <w:t xml:space="preserve">, access would be the search for health services by the population and to what extent the supply is adjusted to effectively meet their needs. As mentioned, access to medicines is a complex and multidimensional issue that must consider the structural elements of the health care system in addition to national, regional and international contexts as they can </w:t>
      </w:r>
      <w:r w:rsidR="0005608B" w:rsidRPr="00161810">
        <w:rPr>
          <w:rFonts w:ascii="Arial" w:hAnsi="Arial" w:cs="Arial"/>
          <w:sz w:val="20"/>
          <w:szCs w:val="20"/>
        </w:rPr>
        <w:t xml:space="preserve">all </w:t>
      </w:r>
      <w:r w:rsidRPr="00161810">
        <w:rPr>
          <w:rFonts w:ascii="Arial" w:hAnsi="Arial" w:cs="Arial"/>
          <w:sz w:val="20"/>
          <w:szCs w:val="20"/>
        </w:rPr>
        <w:t xml:space="preserve">interfere </w:t>
      </w:r>
      <w:r w:rsidR="0005608B" w:rsidRPr="00161810">
        <w:rPr>
          <w:rFonts w:ascii="Arial" w:hAnsi="Arial" w:cs="Arial"/>
          <w:sz w:val="20"/>
          <w:szCs w:val="20"/>
        </w:rPr>
        <w:t>with</w:t>
      </w:r>
      <w:r w:rsidRPr="00161810">
        <w:rPr>
          <w:rFonts w:ascii="Arial" w:hAnsi="Arial" w:cs="Arial"/>
          <w:sz w:val="20"/>
          <w:szCs w:val="20"/>
        </w:rPr>
        <w:t xml:space="preserve"> access </w:t>
      </w:r>
      <w:r w:rsidR="0005608B" w:rsidRPr="00161810">
        <w:rPr>
          <w:rFonts w:ascii="Arial" w:hAnsi="Arial" w:cs="Arial"/>
          <w:sz w:val="20"/>
          <w:szCs w:val="20"/>
        </w:rPr>
        <w:t>[39]</w:t>
      </w:r>
      <w:r w:rsidRPr="00161810">
        <w:rPr>
          <w:rFonts w:ascii="Arial" w:hAnsi="Arial" w:cs="Arial"/>
          <w:sz w:val="20"/>
          <w:szCs w:val="20"/>
        </w:rPr>
        <w:t xml:space="preserve">. </w:t>
      </w:r>
    </w:p>
    <w:p w14:paraId="23FAF738" w14:textId="76B2CC46" w:rsidR="00104A61" w:rsidRPr="00161810" w:rsidRDefault="000A1091" w:rsidP="00161810">
      <w:pPr>
        <w:pStyle w:val="NoSpacing"/>
        <w:rPr>
          <w:rFonts w:ascii="Arial" w:hAnsi="Arial" w:cs="Arial"/>
          <w:sz w:val="20"/>
          <w:szCs w:val="20"/>
        </w:rPr>
      </w:pPr>
      <w:r w:rsidRPr="00161810">
        <w:rPr>
          <w:rFonts w:ascii="Arial" w:hAnsi="Arial" w:cs="Arial"/>
          <w:sz w:val="20"/>
          <w:szCs w:val="20"/>
        </w:rPr>
        <w:t xml:space="preserve">Consequently, access is given by the set of dimensions that contemplate not only the availability, but also </w:t>
      </w:r>
      <w:r w:rsidR="00E8726F" w:rsidRPr="00161810">
        <w:rPr>
          <w:rFonts w:ascii="Arial" w:hAnsi="Arial" w:cs="Arial"/>
          <w:sz w:val="20"/>
          <w:szCs w:val="20"/>
        </w:rPr>
        <w:t xml:space="preserve">includes </w:t>
      </w:r>
      <w:r w:rsidRPr="00161810">
        <w:rPr>
          <w:rFonts w:ascii="Arial" w:hAnsi="Arial" w:cs="Arial"/>
          <w:sz w:val="20"/>
          <w:szCs w:val="20"/>
        </w:rPr>
        <w:t>affordability, geographical accessibility, and acceptability, as well as the convenience and adequacy of services</w:t>
      </w:r>
      <w:r w:rsidR="00E8726F" w:rsidRPr="00161810">
        <w:rPr>
          <w:rFonts w:ascii="Arial" w:hAnsi="Arial" w:cs="Arial"/>
          <w:sz w:val="20"/>
          <w:szCs w:val="20"/>
        </w:rPr>
        <w:t xml:space="preserve"> [37]</w:t>
      </w:r>
      <w:r w:rsidRPr="00161810">
        <w:rPr>
          <w:rFonts w:ascii="Arial" w:hAnsi="Arial" w:cs="Arial"/>
          <w:sz w:val="20"/>
          <w:szCs w:val="20"/>
        </w:rPr>
        <w:t xml:space="preserve">. </w:t>
      </w:r>
    </w:p>
    <w:p w14:paraId="2508A81B" w14:textId="77777777" w:rsidR="00161810" w:rsidRDefault="00161810" w:rsidP="00161810">
      <w:pPr>
        <w:pStyle w:val="NoSpacing"/>
        <w:rPr>
          <w:rFonts w:ascii="Arial" w:hAnsi="Arial" w:cs="Arial"/>
          <w:sz w:val="20"/>
          <w:szCs w:val="20"/>
        </w:rPr>
      </w:pPr>
    </w:p>
    <w:p w14:paraId="6DEAEC4B" w14:textId="0E38685E" w:rsidR="00104A61" w:rsidRPr="00161810" w:rsidRDefault="000A1091" w:rsidP="00161810">
      <w:pPr>
        <w:pStyle w:val="NoSpacing"/>
        <w:rPr>
          <w:rFonts w:ascii="Arial" w:hAnsi="Arial" w:cs="Arial"/>
          <w:sz w:val="20"/>
          <w:szCs w:val="20"/>
        </w:rPr>
      </w:pPr>
      <w:r w:rsidRPr="00161810">
        <w:rPr>
          <w:rFonts w:ascii="Arial" w:hAnsi="Arial" w:cs="Arial"/>
          <w:sz w:val="20"/>
          <w:szCs w:val="20"/>
        </w:rPr>
        <w:t xml:space="preserve">Due to the complexity and difficulty of measurement, studies involving all </w:t>
      </w:r>
      <w:r w:rsidR="00E8726F" w:rsidRPr="00161810">
        <w:rPr>
          <w:rFonts w:ascii="Arial" w:hAnsi="Arial" w:cs="Arial"/>
          <w:sz w:val="20"/>
          <w:szCs w:val="20"/>
        </w:rPr>
        <w:t xml:space="preserve">of </w:t>
      </w:r>
      <w:r w:rsidRPr="00161810">
        <w:rPr>
          <w:rFonts w:ascii="Arial" w:hAnsi="Arial" w:cs="Arial"/>
          <w:sz w:val="20"/>
          <w:szCs w:val="20"/>
        </w:rPr>
        <w:t xml:space="preserve">these dimensions of access to medicines are scarce, and they are often restricted to particular dimensions such as the provision of specific services and/or medicines or disease tracers. Some examples in Brazil include the study of Guerra </w:t>
      </w:r>
      <w:r w:rsidRPr="00161810">
        <w:rPr>
          <w:rFonts w:ascii="Arial" w:hAnsi="Arial" w:cs="Arial"/>
          <w:i/>
          <w:sz w:val="20"/>
          <w:szCs w:val="20"/>
        </w:rPr>
        <w:t>et</w:t>
      </w:r>
      <w:r w:rsidRPr="00161810">
        <w:rPr>
          <w:rFonts w:ascii="Arial" w:hAnsi="Arial" w:cs="Arial"/>
          <w:sz w:val="20"/>
          <w:szCs w:val="20"/>
        </w:rPr>
        <w:t xml:space="preserve"> al (2004)</w:t>
      </w:r>
      <w:r w:rsidR="00E8726F" w:rsidRPr="00161810">
        <w:rPr>
          <w:rFonts w:ascii="Arial" w:hAnsi="Arial" w:cs="Arial"/>
          <w:sz w:val="20"/>
          <w:szCs w:val="20"/>
        </w:rPr>
        <w:t xml:space="preserve"> [40]</w:t>
      </w:r>
      <w:r w:rsidRPr="00161810">
        <w:rPr>
          <w:rFonts w:ascii="Arial" w:hAnsi="Arial" w:cs="Arial"/>
          <w:sz w:val="20"/>
          <w:szCs w:val="20"/>
        </w:rPr>
        <w:t xml:space="preserve">, which evaluated the availability and affordability of medicines in Brazil, as well as other studies that </w:t>
      </w:r>
      <w:r w:rsidR="00E8726F" w:rsidRPr="00161810">
        <w:rPr>
          <w:rFonts w:ascii="Arial" w:hAnsi="Arial" w:cs="Arial"/>
          <w:sz w:val="20"/>
          <w:szCs w:val="20"/>
        </w:rPr>
        <w:t xml:space="preserve">have </w:t>
      </w:r>
      <w:r w:rsidRPr="00161810">
        <w:rPr>
          <w:rFonts w:ascii="Arial" w:hAnsi="Arial" w:cs="Arial"/>
          <w:sz w:val="20"/>
          <w:szCs w:val="20"/>
        </w:rPr>
        <w:t>evaluated only one of the dimensions of access</w:t>
      </w:r>
      <w:r w:rsidR="00E8726F" w:rsidRPr="00161810">
        <w:rPr>
          <w:rFonts w:ascii="Arial" w:hAnsi="Arial" w:cs="Arial"/>
          <w:sz w:val="20"/>
          <w:szCs w:val="20"/>
        </w:rPr>
        <w:t xml:space="preserve"> [41-43]</w:t>
      </w:r>
      <w:r w:rsidRPr="00161810">
        <w:rPr>
          <w:rFonts w:ascii="Arial" w:hAnsi="Arial" w:cs="Arial"/>
          <w:sz w:val="20"/>
          <w:szCs w:val="20"/>
        </w:rPr>
        <w:t xml:space="preserve">. Other authors have used different criteria to discuss and evaluate access to medicines in Brazil such as user satisfaction and the infrastructure of the pharmaceutical care </w:t>
      </w:r>
      <w:r w:rsidRPr="00161810">
        <w:rPr>
          <w:rFonts w:ascii="Arial" w:hAnsi="Arial" w:cs="Arial"/>
          <w:sz w:val="20"/>
          <w:szCs w:val="20"/>
        </w:rPr>
        <w:lastRenderedPageBreak/>
        <w:t>services</w:t>
      </w:r>
      <w:r w:rsidR="00E8726F" w:rsidRPr="00161810">
        <w:rPr>
          <w:rFonts w:ascii="Arial" w:hAnsi="Arial" w:cs="Arial"/>
          <w:sz w:val="20"/>
          <w:szCs w:val="20"/>
        </w:rPr>
        <w:t xml:space="preserve"> [44-46]</w:t>
      </w:r>
      <w:r w:rsidRPr="00161810">
        <w:rPr>
          <w:rFonts w:ascii="Arial" w:hAnsi="Arial" w:cs="Arial"/>
          <w:sz w:val="20"/>
          <w:szCs w:val="20"/>
        </w:rPr>
        <w:t>. Satisfaction to healthcare services has also been researched in other LMICs as this is seen as a key area to enhance adherence to medicines and their effectiveness</w:t>
      </w:r>
      <w:r w:rsidR="00E8726F" w:rsidRPr="00161810">
        <w:rPr>
          <w:rFonts w:ascii="Arial" w:hAnsi="Arial" w:cs="Arial"/>
          <w:sz w:val="20"/>
          <w:szCs w:val="20"/>
        </w:rPr>
        <w:t xml:space="preserve"> [47-49]</w:t>
      </w:r>
      <w:r w:rsidRPr="00161810">
        <w:rPr>
          <w:rFonts w:ascii="Arial" w:hAnsi="Arial" w:cs="Arial"/>
          <w:sz w:val="20"/>
          <w:szCs w:val="20"/>
        </w:rPr>
        <w:t>. Issues of access to medicines are different to drug shortages where there are available funds to cover the cost of medicines but they are just unavailable</w:t>
      </w:r>
      <w:r w:rsidR="00E8726F" w:rsidRPr="00161810">
        <w:rPr>
          <w:rFonts w:ascii="Arial" w:hAnsi="Arial" w:cs="Arial"/>
          <w:sz w:val="20"/>
          <w:szCs w:val="20"/>
        </w:rPr>
        <w:t xml:space="preserve"> [50]</w:t>
      </w:r>
      <w:r w:rsidRPr="00161810">
        <w:rPr>
          <w:rFonts w:ascii="Arial" w:hAnsi="Arial" w:cs="Arial"/>
          <w:sz w:val="20"/>
          <w:szCs w:val="20"/>
        </w:rPr>
        <w:t>. They are also different to issues of incentives and other factors to address concerns with shortages of medicines</w:t>
      </w:r>
      <w:r w:rsidR="00E8726F" w:rsidRPr="00161810">
        <w:rPr>
          <w:rFonts w:ascii="Arial" w:hAnsi="Arial" w:cs="Arial"/>
          <w:sz w:val="20"/>
          <w:szCs w:val="20"/>
        </w:rPr>
        <w:t xml:space="preserve"> [50,51]</w:t>
      </w:r>
      <w:r w:rsidRPr="00161810">
        <w:rPr>
          <w:rFonts w:ascii="Arial" w:hAnsi="Arial" w:cs="Arial"/>
          <w:sz w:val="20"/>
          <w:szCs w:val="20"/>
        </w:rPr>
        <w:t xml:space="preserve">. </w:t>
      </w:r>
    </w:p>
    <w:p w14:paraId="6877E7FD" w14:textId="277517EC" w:rsidR="00104A61" w:rsidRPr="00161810" w:rsidRDefault="000A1091" w:rsidP="00161810">
      <w:pPr>
        <w:pStyle w:val="NoSpacing"/>
        <w:rPr>
          <w:rFonts w:ascii="Arial" w:hAnsi="Arial" w:cs="Arial"/>
          <w:color w:val="000000"/>
          <w:sz w:val="20"/>
          <w:szCs w:val="20"/>
        </w:rPr>
      </w:pPr>
      <w:r w:rsidRPr="00161810">
        <w:rPr>
          <w:rFonts w:ascii="Arial" w:hAnsi="Arial" w:cs="Arial"/>
          <w:sz w:val="20"/>
          <w:szCs w:val="20"/>
        </w:rPr>
        <w:t>The definition and measurement of access to health, especially access to medicines, has been a subject of great interest. This is because these aspects are fundamental for the development of plans and investment in health, as well as a fundamental strategy to improve the quality of health care and subsequent patient outcomes</w:t>
      </w:r>
      <w:r w:rsidR="00E8726F" w:rsidRPr="00161810">
        <w:rPr>
          <w:rFonts w:ascii="Arial" w:hAnsi="Arial" w:cs="Arial"/>
          <w:sz w:val="20"/>
          <w:szCs w:val="20"/>
        </w:rPr>
        <w:t xml:space="preserve"> [52]</w:t>
      </w:r>
      <w:r w:rsidRPr="00161810">
        <w:rPr>
          <w:rFonts w:ascii="Arial" w:hAnsi="Arial" w:cs="Arial"/>
          <w:sz w:val="20"/>
          <w:szCs w:val="20"/>
        </w:rPr>
        <w:t>. We have seen LMICs such as South Africa address issues of access to medicines especially those for chronic diseases via a number of initiatives. These include the Central Chronic Medicines Dispensing and Distribution (CCMDD) programme whereby medicines are packaged and distributed free of charge to patients’ nearest pick-up point</w:t>
      </w:r>
      <w:r w:rsidR="00E8726F" w:rsidRPr="00161810">
        <w:rPr>
          <w:rFonts w:ascii="Arial" w:hAnsi="Arial" w:cs="Arial"/>
          <w:sz w:val="20"/>
          <w:szCs w:val="20"/>
        </w:rPr>
        <w:t xml:space="preserve"> [53]</w:t>
      </w:r>
      <w:r w:rsidRPr="00161810">
        <w:rPr>
          <w:rFonts w:ascii="Arial" w:hAnsi="Arial" w:cs="Arial"/>
          <w:color w:val="000000"/>
          <w:sz w:val="20"/>
          <w:szCs w:val="20"/>
        </w:rPr>
        <w:t>.</w:t>
      </w:r>
    </w:p>
    <w:p w14:paraId="3DF61AB3" w14:textId="77777777" w:rsidR="00161810" w:rsidRDefault="00161810" w:rsidP="00161810">
      <w:pPr>
        <w:pStyle w:val="NoSpacing"/>
        <w:rPr>
          <w:rFonts w:ascii="Arial" w:hAnsi="Arial" w:cs="Arial"/>
          <w:sz w:val="20"/>
          <w:szCs w:val="20"/>
        </w:rPr>
      </w:pPr>
    </w:p>
    <w:p w14:paraId="5B0BC0BB" w14:textId="5825D1FF" w:rsidR="00104A61" w:rsidRPr="00161810" w:rsidRDefault="000A1091" w:rsidP="00161810">
      <w:pPr>
        <w:pStyle w:val="NoSpacing"/>
        <w:rPr>
          <w:rFonts w:ascii="Arial" w:hAnsi="Arial" w:cs="Arial"/>
          <w:sz w:val="20"/>
          <w:szCs w:val="20"/>
        </w:rPr>
      </w:pPr>
      <w:r w:rsidRPr="00161810">
        <w:rPr>
          <w:rFonts w:ascii="Arial" w:hAnsi="Arial" w:cs="Arial"/>
          <w:sz w:val="20"/>
          <w:szCs w:val="20"/>
        </w:rPr>
        <w:t xml:space="preserve">One challenge and potential contribution to public policy would be the development of a unique access to medicines indicator that simultaneously addresses </w:t>
      </w:r>
      <w:r w:rsidR="00E8726F" w:rsidRPr="00161810">
        <w:rPr>
          <w:rFonts w:ascii="Arial" w:hAnsi="Arial" w:cs="Arial"/>
          <w:sz w:val="20"/>
          <w:szCs w:val="20"/>
        </w:rPr>
        <w:t xml:space="preserve">the </w:t>
      </w:r>
      <w:r w:rsidRPr="00161810">
        <w:rPr>
          <w:rFonts w:ascii="Arial" w:hAnsi="Arial" w:cs="Arial"/>
          <w:sz w:val="20"/>
          <w:szCs w:val="20"/>
        </w:rPr>
        <w:t>five dimensions as proposed by Penchansky &amp; Thomas</w:t>
      </w:r>
      <w:r w:rsidR="00E8726F" w:rsidRPr="00161810">
        <w:rPr>
          <w:rFonts w:ascii="Arial" w:hAnsi="Arial" w:cs="Arial"/>
          <w:sz w:val="20"/>
          <w:szCs w:val="20"/>
        </w:rPr>
        <w:t xml:space="preserve"> [37]</w:t>
      </w:r>
      <w:r w:rsidRPr="00161810">
        <w:rPr>
          <w:rFonts w:ascii="Arial" w:hAnsi="Arial" w:cs="Arial"/>
          <w:sz w:val="20"/>
          <w:szCs w:val="20"/>
        </w:rPr>
        <w:t xml:space="preserve">. In view of this, the research topic </w:t>
      </w:r>
      <w:r w:rsidR="00E8726F" w:rsidRPr="00161810">
        <w:rPr>
          <w:rFonts w:ascii="Arial" w:hAnsi="Arial" w:cs="Arial"/>
          <w:sz w:val="20"/>
          <w:szCs w:val="20"/>
        </w:rPr>
        <w:t>should be</w:t>
      </w:r>
      <w:r w:rsidRPr="00161810">
        <w:rPr>
          <w:rFonts w:ascii="Arial" w:hAnsi="Arial" w:cs="Arial"/>
          <w:sz w:val="20"/>
          <w:szCs w:val="20"/>
        </w:rPr>
        <w:t xml:space="preserve"> </w:t>
      </w:r>
      <w:r w:rsidR="00E8726F" w:rsidRPr="00161810">
        <w:rPr>
          <w:rFonts w:ascii="Arial" w:hAnsi="Arial" w:cs="Arial"/>
          <w:sz w:val="20"/>
          <w:szCs w:val="20"/>
        </w:rPr>
        <w:t>‘</w:t>
      </w:r>
      <w:r w:rsidRPr="00161810">
        <w:rPr>
          <w:rFonts w:ascii="Arial" w:hAnsi="Arial" w:cs="Arial"/>
          <w:sz w:val="20"/>
          <w:szCs w:val="20"/>
        </w:rPr>
        <w:t xml:space="preserve">would it be possible to simultaneously measure the score of each of the dimensions from the perspective of the individuals to whom public policies </w:t>
      </w:r>
      <w:r w:rsidR="00E8726F" w:rsidRPr="00161810">
        <w:rPr>
          <w:rFonts w:ascii="Arial" w:hAnsi="Arial" w:cs="Arial"/>
          <w:sz w:val="20"/>
          <w:szCs w:val="20"/>
        </w:rPr>
        <w:t xml:space="preserve">regarding medicines </w:t>
      </w:r>
      <w:r w:rsidRPr="00161810">
        <w:rPr>
          <w:rFonts w:ascii="Arial" w:hAnsi="Arial" w:cs="Arial"/>
          <w:sz w:val="20"/>
          <w:szCs w:val="20"/>
        </w:rPr>
        <w:t>are destined?</w:t>
      </w:r>
    </w:p>
    <w:p w14:paraId="1766F506" w14:textId="77777777" w:rsidR="00161810" w:rsidRDefault="00161810" w:rsidP="00161810">
      <w:pPr>
        <w:pStyle w:val="NoSpacing"/>
        <w:rPr>
          <w:rFonts w:ascii="Arial" w:hAnsi="Arial" w:cs="Arial"/>
          <w:sz w:val="20"/>
          <w:szCs w:val="20"/>
        </w:rPr>
      </w:pPr>
    </w:p>
    <w:p w14:paraId="6CEDAE62" w14:textId="256B108F" w:rsidR="00104A61" w:rsidRPr="00161810" w:rsidRDefault="000A1091" w:rsidP="00161810">
      <w:pPr>
        <w:pStyle w:val="NoSpacing"/>
        <w:rPr>
          <w:rFonts w:ascii="Arial" w:hAnsi="Arial" w:cs="Arial"/>
          <w:sz w:val="20"/>
          <w:szCs w:val="20"/>
        </w:rPr>
      </w:pPr>
      <w:r w:rsidRPr="00161810">
        <w:rPr>
          <w:rFonts w:ascii="Arial" w:hAnsi="Arial" w:cs="Arial"/>
          <w:sz w:val="20"/>
          <w:szCs w:val="20"/>
        </w:rPr>
        <w:t xml:space="preserve">Consequently, we sought to develop a method capable of grouping </w:t>
      </w:r>
      <w:r w:rsidR="00145466" w:rsidRPr="00161810">
        <w:rPr>
          <w:rFonts w:ascii="Arial" w:hAnsi="Arial" w:cs="Arial"/>
          <w:sz w:val="20"/>
          <w:szCs w:val="20"/>
        </w:rPr>
        <w:t xml:space="preserve">the </w:t>
      </w:r>
      <w:r w:rsidRPr="00161810">
        <w:rPr>
          <w:rFonts w:ascii="Arial" w:hAnsi="Arial" w:cs="Arial"/>
          <w:sz w:val="20"/>
          <w:szCs w:val="20"/>
        </w:rPr>
        <w:t>access to medicines dimensions proposed by Penchansky &amp; Thomas</w:t>
      </w:r>
      <w:r w:rsidR="00145466" w:rsidRPr="00161810">
        <w:rPr>
          <w:rFonts w:ascii="Arial" w:hAnsi="Arial" w:cs="Arial"/>
          <w:sz w:val="20"/>
          <w:szCs w:val="20"/>
        </w:rPr>
        <w:t xml:space="preserve"> [37</w:t>
      </w:r>
      <w:r w:rsidR="00BF669A" w:rsidRPr="00161810">
        <w:rPr>
          <w:rFonts w:ascii="Arial" w:hAnsi="Arial" w:cs="Arial"/>
          <w:sz w:val="20"/>
          <w:szCs w:val="20"/>
        </w:rPr>
        <w:t>]</w:t>
      </w:r>
      <w:r w:rsidRPr="00161810">
        <w:rPr>
          <w:rFonts w:ascii="Arial" w:hAnsi="Arial" w:cs="Arial"/>
          <w:sz w:val="20"/>
          <w:szCs w:val="20"/>
        </w:rPr>
        <w:t xml:space="preserve"> into a unique indicator from the user perspective. This includes the measurement of the values assigned by users to each of the </w:t>
      </w:r>
      <w:r w:rsidR="00145466" w:rsidRPr="00161810">
        <w:rPr>
          <w:rFonts w:ascii="Arial" w:hAnsi="Arial" w:cs="Arial"/>
          <w:sz w:val="20"/>
          <w:szCs w:val="20"/>
        </w:rPr>
        <w:t xml:space="preserve">five </w:t>
      </w:r>
      <w:r w:rsidRPr="00161810">
        <w:rPr>
          <w:rFonts w:ascii="Arial" w:hAnsi="Arial" w:cs="Arial"/>
          <w:sz w:val="20"/>
          <w:szCs w:val="20"/>
        </w:rPr>
        <w:t xml:space="preserve">dimensions </w:t>
      </w:r>
      <w:r w:rsidR="00145466" w:rsidRPr="00161810">
        <w:rPr>
          <w:rFonts w:ascii="Arial" w:hAnsi="Arial" w:cs="Arial"/>
          <w:sz w:val="20"/>
          <w:szCs w:val="20"/>
        </w:rPr>
        <w:t xml:space="preserve">including </w:t>
      </w:r>
      <w:r w:rsidRPr="00161810">
        <w:rPr>
          <w:rFonts w:ascii="Arial" w:hAnsi="Arial" w:cs="Arial"/>
          <w:sz w:val="20"/>
          <w:szCs w:val="20"/>
        </w:rPr>
        <w:t>access</w:t>
      </w:r>
      <w:r w:rsidR="00145466" w:rsidRPr="00161810">
        <w:rPr>
          <w:rFonts w:ascii="Arial" w:hAnsi="Arial" w:cs="Arial"/>
          <w:sz w:val="20"/>
          <w:szCs w:val="20"/>
        </w:rPr>
        <w:t>,</w:t>
      </w:r>
      <w:r w:rsidRPr="00161810">
        <w:rPr>
          <w:rFonts w:ascii="Arial" w:hAnsi="Arial" w:cs="Arial"/>
          <w:sz w:val="20"/>
          <w:szCs w:val="20"/>
        </w:rPr>
        <w:t xml:space="preserve"> geographical accessibility, availability, acceptability, accommodation/adequacy and affordability. </w:t>
      </w:r>
    </w:p>
    <w:p w14:paraId="246C6F36" w14:textId="77777777" w:rsidR="00161810" w:rsidRDefault="00161810" w:rsidP="00161810">
      <w:pPr>
        <w:pStyle w:val="NoSpacing"/>
        <w:rPr>
          <w:rFonts w:ascii="Arial" w:hAnsi="Arial" w:cs="Arial"/>
          <w:sz w:val="20"/>
          <w:szCs w:val="20"/>
        </w:rPr>
      </w:pPr>
    </w:p>
    <w:p w14:paraId="7547C761" w14:textId="00CAA567" w:rsidR="00104A61" w:rsidRPr="00161810" w:rsidRDefault="000A1091" w:rsidP="00161810">
      <w:pPr>
        <w:pStyle w:val="NoSpacing"/>
        <w:rPr>
          <w:rFonts w:ascii="Arial" w:hAnsi="Arial" w:cs="Arial"/>
          <w:sz w:val="20"/>
          <w:szCs w:val="20"/>
        </w:rPr>
      </w:pPr>
      <w:r w:rsidRPr="00161810">
        <w:rPr>
          <w:rFonts w:ascii="Arial" w:hAnsi="Arial" w:cs="Arial"/>
          <w:sz w:val="20"/>
          <w:szCs w:val="20"/>
        </w:rPr>
        <w:t xml:space="preserve">We believe this new indicator </w:t>
      </w:r>
      <w:r w:rsidR="00182CF5" w:rsidRPr="00161810">
        <w:rPr>
          <w:rFonts w:ascii="Arial" w:hAnsi="Arial" w:cs="Arial"/>
          <w:sz w:val="20"/>
          <w:szCs w:val="20"/>
        </w:rPr>
        <w:t>will</w:t>
      </w:r>
      <w:r w:rsidRPr="00161810">
        <w:rPr>
          <w:rFonts w:ascii="Arial" w:hAnsi="Arial" w:cs="Arial"/>
          <w:sz w:val="20"/>
          <w:szCs w:val="20"/>
        </w:rPr>
        <w:t xml:space="preserve"> make </w:t>
      </w:r>
      <w:r w:rsidR="00182CF5" w:rsidRPr="00161810">
        <w:rPr>
          <w:rFonts w:ascii="Arial" w:hAnsi="Arial" w:cs="Arial"/>
          <w:sz w:val="20"/>
          <w:szCs w:val="20"/>
        </w:rPr>
        <w:t xml:space="preserve">it </w:t>
      </w:r>
      <w:r w:rsidRPr="00161810">
        <w:rPr>
          <w:rFonts w:ascii="Arial" w:hAnsi="Arial" w:cs="Arial"/>
          <w:sz w:val="20"/>
          <w:szCs w:val="20"/>
        </w:rPr>
        <w:t>possible to measure and compare inequalities in access to medicines in different places and in different situations</w:t>
      </w:r>
      <w:r w:rsidR="00182CF5" w:rsidRPr="00161810">
        <w:rPr>
          <w:rFonts w:ascii="Arial" w:hAnsi="Arial" w:cs="Arial"/>
          <w:sz w:val="20"/>
          <w:szCs w:val="20"/>
        </w:rPr>
        <w:t>. As a result</w:t>
      </w:r>
      <w:r w:rsidR="00161810">
        <w:rPr>
          <w:rFonts w:ascii="Arial" w:hAnsi="Arial" w:cs="Arial"/>
          <w:sz w:val="20"/>
          <w:szCs w:val="20"/>
        </w:rPr>
        <w:t>,</w:t>
      </w:r>
      <w:r w:rsidR="00182CF5" w:rsidRPr="00161810">
        <w:rPr>
          <w:rFonts w:ascii="Arial" w:hAnsi="Arial" w:cs="Arial"/>
          <w:sz w:val="20"/>
          <w:szCs w:val="20"/>
        </w:rPr>
        <w:t xml:space="preserve"> potentially become </w:t>
      </w:r>
      <w:r w:rsidRPr="00161810">
        <w:rPr>
          <w:rFonts w:ascii="Arial" w:hAnsi="Arial" w:cs="Arial"/>
          <w:sz w:val="20"/>
          <w:szCs w:val="20"/>
        </w:rPr>
        <w:t>an important instrument that</w:t>
      </w:r>
      <w:r w:rsidR="00182CF5" w:rsidRPr="00161810">
        <w:rPr>
          <w:rFonts w:ascii="Arial" w:hAnsi="Arial" w:cs="Arial"/>
          <w:sz w:val="20"/>
          <w:szCs w:val="20"/>
        </w:rPr>
        <w:t xml:space="preserve"> could</w:t>
      </w:r>
      <w:r w:rsidRPr="00161810">
        <w:rPr>
          <w:rFonts w:ascii="Arial" w:hAnsi="Arial" w:cs="Arial"/>
          <w:sz w:val="20"/>
          <w:szCs w:val="20"/>
        </w:rPr>
        <w:t xml:space="preserve"> be used to direct future public health policies</w:t>
      </w:r>
      <w:r w:rsidR="00182CF5" w:rsidRPr="00161810">
        <w:rPr>
          <w:rFonts w:ascii="Arial" w:hAnsi="Arial" w:cs="Arial"/>
          <w:sz w:val="20"/>
          <w:szCs w:val="20"/>
        </w:rPr>
        <w:t xml:space="preserve"> to improve access</w:t>
      </w:r>
      <w:r w:rsidRPr="00161810">
        <w:rPr>
          <w:rFonts w:ascii="Arial" w:hAnsi="Arial" w:cs="Arial"/>
          <w:sz w:val="20"/>
          <w:szCs w:val="20"/>
        </w:rPr>
        <w:t xml:space="preserve">. To date, in Brazil, the orientation of public policies has been on availability and affordability as a priority. We have started with Brazil because </w:t>
      </w:r>
      <w:r w:rsidR="00607D8B" w:rsidRPr="00161810">
        <w:rPr>
          <w:rFonts w:ascii="Arial" w:hAnsi="Arial" w:cs="Arial"/>
          <w:sz w:val="20"/>
          <w:szCs w:val="20"/>
        </w:rPr>
        <w:t>this country has a</w:t>
      </w:r>
      <w:r w:rsidRPr="00161810">
        <w:rPr>
          <w:rFonts w:ascii="Arial" w:hAnsi="Arial" w:cs="Arial"/>
          <w:sz w:val="20"/>
          <w:szCs w:val="20"/>
        </w:rPr>
        <w:t xml:space="preserve"> </w:t>
      </w:r>
      <w:r w:rsidR="00182CF5" w:rsidRPr="00161810">
        <w:rPr>
          <w:rFonts w:ascii="Arial" w:hAnsi="Arial" w:cs="Arial"/>
          <w:sz w:val="20"/>
          <w:szCs w:val="20"/>
        </w:rPr>
        <w:t xml:space="preserve">dual </w:t>
      </w:r>
      <w:r w:rsidRPr="00161810">
        <w:rPr>
          <w:rFonts w:ascii="Arial" w:hAnsi="Arial" w:cs="Arial"/>
          <w:sz w:val="20"/>
          <w:szCs w:val="20"/>
        </w:rPr>
        <w:t xml:space="preserve">public and private </w:t>
      </w:r>
      <w:r w:rsidR="00182CF5" w:rsidRPr="00161810">
        <w:rPr>
          <w:rFonts w:ascii="Arial" w:hAnsi="Arial" w:cs="Arial"/>
          <w:sz w:val="20"/>
          <w:szCs w:val="20"/>
        </w:rPr>
        <w:t xml:space="preserve">healthcare system </w:t>
      </w:r>
      <w:r w:rsidRPr="00161810">
        <w:rPr>
          <w:rFonts w:ascii="Arial" w:hAnsi="Arial" w:cs="Arial"/>
          <w:sz w:val="20"/>
          <w:szCs w:val="20"/>
        </w:rPr>
        <w:t>allowing simultaneous research w</w:t>
      </w:r>
      <w:r w:rsidR="00182CF5" w:rsidRPr="00161810">
        <w:rPr>
          <w:rFonts w:ascii="Arial" w:hAnsi="Arial" w:cs="Arial"/>
          <w:sz w:val="20"/>
          <w:szCs w:val="20"/>
        </w:rPr>
        <w:t>ith</w:t>
      </w:r>
      <w:r w:rsidRPr="00161810">
        <w:rPr>
          <w:rFonts w:ascii="Arial" w:hAnsi="Arial" w:cs="Arial"/>
          <w:sz w:val="20"/>
          <w:szCs w:val="20"/>
        </w:rPr>
        <w:t xml:space="preserve"> some patients </w:t>
      </w:r>
      <w:r w:rsidR="00182CF5" w:rsidRPr="00161810">
        <w:rPr>
          <w:rFonts w:ascii="Arial" w:hAnsi="Arial" w:cs="Arial"/>
          <w:sz w:val="20"/>
          <w:szCs w:val="20"/>
        </w:rPr>
        <w:t xml:space="preserve">able to </w:t>
      </w:r>
      <w:r w:rsidRPr="00161810">
        <w:rPr>
          <w:rFonts w:ascii="Arial" w:hAnsi="Arial" w:cs="Arial"/>
          <w:sz w:val="20"/>
          <w:szCs w:val="20"/>
        </w:rPr>
        <w:t>can access both systems. The national healthcare system (</w:t>
      </w:r>
      <w:r w:rsidRPr="00161810">
        <w:rPr>
          <w:rFonts w:ascii="Arial" w:hAnsi="Arial" w:cs="Arial"/>
          <w:i/>
          <w:sz w:val="20"/>
          <w:szCs w:val="20"/>
        </w:rPr>
        <w:t xml:space="preserve">Sistema Único de Saúde - </w:t>
      </w:r>
      <w:r w:rsidRPr="00161810">
        <w:rPr>
          <w:rFonts w:ascii="Arial" w:hAnsi="Arial" w:cs="Arial"/>
          <w:sz w:val="20"/>
          <w:szCs w:val="20"/>
        </w:rPr>
        <w:t xml:space="preserve">SUS) provides free healthcare to patients for approved complex and/ or expensive technologies </w:t>
      </w:r>
      <w:r w:rsidR="00182CF5" w:rsidRPr="00161810">
        <w:rPr>
          <w:rFonts w:ascii="Arial" w:hAnsi="Arial" w:cs="Arial"/>
          <w:sz w:val="20"/>
          <w:szCs w:val="20"/>
        </w:rPr>
        <w:t>including</w:t>
      </w:r>
      <w:r w:rsidR="007A7B3D" w:rsidRPr="00161810">
        <w:rPr>
          <w:rFonts w:ascii="Arial" w:hAnsi="Arial" w:cs="Arial"/>
          <w:sz w:val="20"/>
          <w:szCs w:val="20"/>
        </w:rPr>
        <w:t xml:space="preserve"> </w:t>
      </w:r>
      <w:r w:rsidR="007B2D16" w:rsidRPr="00161810">
        <w:rPr>
          <w:rFonts w:ascii="Arial" w:hAnsi="Arial" w:cs="Arial"/>
          <w:sz w:val="20"/>
          <w:szCs w:val="20"/>
        </w:rPr>
        <w:t>medicines for Alzheimer's</w:t>
      </w:r>
      <w:r w:rsidRPr="00161810">
        <w:rPr>
          <w:rFonts w:ascii="Arial" w:hAnsi="Arial" w:cs="Arial"/>
          <w:sz w:val="20"/>
          <w:szCs w:val="20"/>
        </w:rPr>
        <w:t xml:space="preserve"> disease, biological medicines for rheumatoid arthritis as well as medicines for cancer, schizophrenia and multiple sclerosis</w:t>
      </w:r>
      <w:r w:rsidR="00182CF5" w:rsidRPr="00161810">
        <w:rPr>
          <w:rFonts w:ascii="Arial" w:hAnsi="Arial" w:cs="Arial"/>
          <w:sz w:val="20"/>
          <w:szCs w:val="20"/>
        </w:rPr>
        <w:t xml:space="preserve"> [27,29,54-60]</w:t>
      </w:r>
      <w:r w:rsidRPr="00161810">
        <w:rPr>
          <w:rFonts w:ascii="Arial" w:hAnsi="Arial" w:cs="Arial"/>
          <w:sz w:val="20"/>
          <w:szCs w:val="20"/>
        </w:rPr>
        <w:t xml:space="preserve">. In addition to this, there is also the Basic Component of Pharmaceutical Service in primary care </w:t>
      </w:r>
      <w:r w:rsidR="00182CF5" w:rsidRPr="00161810">
        <w:rPr>
          <w:rFonts w:ascii="Arial" w:hAnsi="Arial" w:cs="Arial"/>
          <w:sz w:val="20"/>
          <w:szCs w:val="20"/>
        </w:rPr>
        <w:t xml:space="preserve">which is </w:t>
      </w:r>
      <w:r w:rsidRPr="00161810">
        <w:rPr>
          <w:rFonts w:ascii="Arial" w:hAnsi="Arial" w:cs="Arial"/>
          <w:sz w:val="20"/>
          <w:szCs w:val="20"/>
        </w:rPr>
        <w:t>available to all citizens through primary healthcare centres and outpatient facilities</w:t>
      </w:r>
      <w:r w:rsidR="00182CF5" w:rsidRPr="00161810">
        <w:rPr>
          <w:rFonts w:ascii="Arial" w:hAnsi="Arial" w:cs="Arial"/>
          <w:sz w:val="20"/>
          <w:szCs w:val="20"/>
        </w:rPr>
        <w:t>. In this situation</w:t>
      </w:r>
      <w:r w:rsidRPr="00161810">
        <w:rPr>
          <w:rFonts w:ascii="Arial" w:hAnsi="Arial" w:cs="Arial"/>
          <w:sz w:val="20"/>
          <w:szCs w:val="20"/>
        </w:rPr>
        <w:t xml:space="preserve"> medicines for chronic diseases including </w:t>
      </w:r>
      <w:r w:rsidR="003728AE" w:rsidRPr="00161810">
        <w:rPr>
          <w:rFonts w:ascii="Arial" w:hAnsi="Arial" w:cs="Arial"/>
          <w:sz w:val="20"/>
          <w:szCs w:val="20"/>
        </w:rPr>
        <w:t xml:space="preserve">statins, </w:t>
      </w:r>
      <w:r w:rsidRPr="00161810">
        <w:rPr>
          <w:rFonts w:ascii="Arial" w:hAnsi="Arial" w:cs="Arial"/>
          <w:sz w:val="20"/>
          <w:szCs w:val="20"/>
        </w:rPr>
        <w:t>insulins, metformin and certain sulphonylureas</w:t>
      </w:r>
      <w:r w:rsidR="00F94224" w:rsidRPr="00161810">
        <w:rPr>
          <w:rFonts w:ascii="Arial" w:hAnsi="Arial" w:cs="Arial"/>
          <w:sz w:val="20"/>
          <w:szCs w:val="20"/>
        </w:rPr>
        <w:t>,</w:t>
      </w:r>
      <w:r w:rsidR="003728AE" w:rsidRPr="00161810">
        <w:rPr>
          <w:rFonts w:ascii="Arial" w:hAnsi="Arial" w:cs="Arial"/>
          <w:sz w:val="20"/>
          <w:szCs w:val="20"/>
        </w:rPr>
        <w:t xml:space="preserve"> are available free of charge</w:t>
      </w:r>
      <w:r w:rsidR="00182CF5" w:rsidRPr="00161810">
        <w:rPr>
          <w:rFonts w:ascii="Arial" w:hAnsi="Arial" w:cs="Arial"/>
          <w:sz w:val="20"/>
          <w:szCs w:val="20"/>
        </w:rPr>
        <w:t xml:space="preserve"> [58</w:t>
      </w:r>
      <w:r w:rsidR="007B2D16" w:rsidRPr="00161810">
        <w:rPr>
          <w:rFonts w:ascii="Arial" w:hAnsi="Arial" w:cs="Arial"/>
          <w:sz w:val="20"/>
          <w:szCs w:val="20"/>
        </w:rPr>
        <w:t>]</w:t>
      </w:r>
      <w:r w:rsidRPr="00161810">
        <w:rPr>
          <w:rFonts w:ascii="Arial" w:hAnsi="Arial" w:cs="Arial"/>
          <w:sz w:val="20"/>
          <w:szCs w:val="20"/>
        </w:rPr>
        <w:t xml:space="preserve">. </w:t>
      </w:r>
    </w:p>
    <w:p w14:paraId="7691132C" w14:textId="77777777" w:rsidR="00161810" w:rsidRDefault="00161810" w:rsidP="00161810">
      <w:pPr>
        <w:pStyle w:val="NoSpacing"/>
        <w:rPr>
          <w:rFonts w:ascii="Arial" w:hAnsi="Arial" w:cs="Arial"/>
          <w:sz w:val="20"/>
          <w:szCs w:val="20"/>
        </w:rPr>
      </w:pPr>
    </w:p>
    <w:p w14:paraId="479F6504" w14:textId="77777777" w:rsidR="007A515F" w:rsidRDefault="000A1091" w:rsidP="00161810">
      <w:pPr>
        <w:pStyle w:val="NoSpacing"/>
        <w:rPr>
          <w:rFonts w:ascii="Arial" w:hAnsi="Arial" w:cs="Arial"/>
          <w:sz w:val="20"/>
          <w:szCs w:val="20"/>
        </w:rPr>
      </w:pPr>
      <w:r w:rsidRPr="00161810">
        <w:rPr>
          <w:rFonts w:ascii="Arial" w:hAnsi="Arial" w:cs="Arial"/>
          <w:sz w:val="20"/>
          <w:szCs w:val="20"/>
        </w:rPr>
        <w:t xml:space="preserve">However, some patients may well go to private pharmacies </w:t>
      </w:r>
      <w:r w:rsidR="00187CFB" w:rsidRPr="00161810">
        <w:rPr>
          <w:rFonts w:ascii="Arial" w:hAnsi="Arial" w:cs="Arial"/>
          <w:sz w:val="20"/>
          <w:szCs w:val="20"/>
        </w:rPr>
        <w:t>to obtain</w:t>
      </w:r>
      <w:r w:rsidRPr="00161810">
        <w:rPr>
          <w:rFonts w:ascii="Arial" w:hAnsi="Arial" w:cs="Arial"/>
          <w:sz w:val="20"/>
          <w:szCs w:val="20"/>
        </w:rPr>
        <w:t xml:space="preserve"> their medicines in view of the ease of access enhanced if they purchase supplemental private health insurance; otherwise 100% co-payment</w:t>
      </w:r>
      <w:r w:rsidR="00187CFB" w:rsidRPr="00161810">
        <w:rPr>
          <w:rFonts w:ascii="Arial" w:hAnsi="Arial" w:cs="Arial"/>
          <w:sz w:val="20"/>
          <w:szCs w:val="20"/>
        </w:rPr>
        <w:t xml:space="preserve"> [57]</w:t>
      </w:r>
      <w:r w:rsidRPr="00161810">
        <w:rPr>
          <w:rFonts w:ascii="Arial" w:hAnsi="Arial" w:cs="Arial"/>
          <w:sz w:val="20"/>
          <w:szCs w:val="20"/>
        </w:rPr>
        <w:t>. This though can lead to issues of affordability if patients do not have private insurance. Overall, approximately 23% of citizens in Brazil have private insurance to help with access in ambulatory care whilst still having access to public healthcare facilities</w:t>
      </w:r>
      <w:r w:rsidR="00F94224" w:rsidRPr="00161810">
        <w:rPr>
          <w:rFonts w:ascii="Arial" w:hAnsi="Arial" w:cs="Arial"/>
          <w:sz w:val="20"/>
          <w:szCs w:val="20"/>
        </w:rPr>
        <w:t xml:space="preserve"> [59,60]</w:t>
      </w:r>
      <w:r w:rsidRPr="00161810">
        <w:rPr>
          <w:rFonts w:ascii="Arial" w:hAnsi="Arial" w:cs="Arial"/>
          <w:sz w:val="20"/>
          <w:szCs w:val="20"/>
        </w:rPr>
        <w:t xml:space="preserve">. This is very different to the situation in many LMICs where approximately 50% or more of revenues come from patient co-payments </w:t>
      </w:r>
      <w:r w:rsidR="00563825" w:rsidRPr="00161810">
        <w:rPr>
          <w:rFonts w:ascii="Arial" w:hAnsi="Arial" w:cs="Arial"/>
          <w:sz w:val="20"/>
          <w:szCs w:val="20"/>
        </w:rPr>
        <w:t xml:space="preserve">as typically no universal healthcare, appreciably </w:t>
      </w:r>
      <w:r w:rsidRPr="00161810">
        <w:rPr>
          <w:rFonts w:ascii="Arial" w:hAnsi="Arial" w:cs="Arial"/>
          <w:sz w:val="20"/>
          <w:szCs w:val="20"/>
        </w:rPr>
        <w:t xml:space="preserve">higher </w:t>
      </w:r>
      <w:r w:rsidR="00563825" w:rsidRPr="00161810">
        <w:rPr>
          <w:rFonts w:ascii="Arial" w:hAnsi="Arial" w:cs="Arial"/>
          <w:sz w:val="20"/>
          <w:szCs w:val="20"/>
        </w:rPr>
        <w:t>if</w:t>
      </w:r>
      <w:r w:rsidRPr="00161810">
        <w:rPr>
          <w:rFonts w:ascii="Arial" w:hAnsi="Arial" w:cs="Arial"/>
          <w:sz w:val="20"/>
          <w:szCs w:val="20"/>
        </w:rPr>
        <w:t xml:space="preserve"> the shadow economy</w:t>
      </w:r>
      <w:r w:rsidR="00563825" w:rsidRPr="00161810">
        <w:rPr>
          <w:rFonts w:ascii="Arial" w:hAnsi="Arial" w:cs="Arial"/>
          <w:sz w:val="20"/>
          <w:szCs w:val="20"/>
        </w:rPr>
        <w:t xml:space="preserve"> is taken into consideration [2,3,61]</w:t>
      </w:r>
      <w:r w:rsidRPr="00161810">
        <w:rPr>
          <w:rFonts w:ascii="Arial" w:hAnsi="Arial" w:cs="Arial"/>
          <w:sz w:val="20"/>
          <w:szCs w:val="20"/>
        </w:rPr>
        <w:t xml:space="preserve">. </w:t>
      </w:r>
    </w:p>
    <w:p w14:paraId="3245B413" w14:textId="77777777" w:rsidR="007A515F" w:rsidRDefault="007A515F" w:rsidP="00161810">
      <w:pPr>
        <w:pStyle w:val="NoSpacing"/>
        <w:rPr>
          <w:rFonts w:ascii="Arial" w:hAnsi="Arial" w:cs="Arial"/>
          <w:sz w:val="20"/>
          <w:szCs w:val="20"/>
        </w:rPr>
      </w:pPr>
    </w:p>
    <w:p w14:paraId="7C100969" w14:textId="77777777" w:rsidR="007A515F" w:rsidRDefault="000A1091" w:rsidP="00161810">
      <w:pPr>
        <w:pStyle w:val="NoSpacing"/>
        <w:rPr>
          <w:rFonts w:ascii="Arial" w:hAnsi="Arial" w:cs="Arial"/>
          <w:sz w:val="20"/>
          <w:szCs w:val="20"/>
        </w:rPr>
      </w:pPr>
      <w:r w:rsidRPr="00161810">
        <w:rPr>
          <w:rFonts w:ascii="Arial" w:hAnsi="Arial" w:cs="Arial"/>
          <w:sz w:val="20"/>
          <w:szCs w:val="20"/>
        </w:rPr>
        <w:t>S</w:t>
      </w:r>
      <w:r w:rsidR="00563825" w:rsidRPr="00161810">
        <w:rPr>
          <w:rFonts w:ascii="Arial" w:hAnsi="Arial" w:cs="Arial"/>
          <w:sz w:val="20"/>
          <w:szCs w:val="20"/>
        </w:rPr>
        <w:t>imilar to</w:t>
      </w:r>
      <w:r w:rsidRPr="00161810">
        <w:rPr>
          <w:rFonts w:ascii="Arial" w:hAnsi="Arial" w:cs="Arial"/>
          <w:sz w:val="20"/>
          <w:szCs w:val="20"/>
        </w:rPr>
        <w:t xml:space="preserve"> many countries with universal health</w:t>
      </w:r>
      <w:r w:rsidR="00563825" w:rsidRPr="00161810">
        <w:rPr>
          <w:rFonts w:ascii="Arial" w:hAnsi="Arial" w:cs="Arial"/>
          <w:sz w:val="20"/>
          <w:szCs w:val="20"/>
        </w:rPr>
        <w:t>care</w:t>
      </w:r>
      <w:r w:rsidRPr="00161810">
        <w:rPr>
          <w:rFonts w:ascii="Arial" w:hAnsi="Arial" w:cs="Arial"/>
          <w:sz w:val="20"/>
          <w:szCs w:val="20"/>
        </w:rPr>
        <w:t xml:space="preserve"> system</w:t>
      </w:r>
      <w:r w:rsidR="00563825" w:rsidRPr="00161810">
        <w:rPr>
          <w:rFonts w:ascii="Arial" w:hAnsi="Arial" w:cs="Arial"/>
          <w:sz w:val="20"/>
          <w:szCs w:val="20"/>
        </w:rPr>
        <w:t>s</w:t>
      </w:r>
      <w:r w:rsidRPr="00161810">
        <w:rPr>
          <w:rFonts w:ascii="Arial" w:hAnsi="Arial" w:cs="Arial"/>
          <w:sz w:val="20"/>
          <w:szCs w:val="20"/>
        </w:rPr>
        <w:t>, Brazil provide</w:t>
      </w:r>
      <w:r w:rsidR="00563825" w:rsidRPr="00161810">
        <w:rPr>
          <w:rFonts w:ascii="Arial" w:hAnsi="Arial" w:cs="Arial"/>
          <w:sz w:val="20"/>
          <w:szCs w:val="20"/>
        </w:rPr>
        <w:t>s</w:t>
      </w:r>
      <w:r w:rsidRPr="00161810">
        <w:rPr>
          <w:rFonts w:ascii="Arial" w:hAnsi="Arial" w:cs="Arial"/>
          <w:sz w:val="20"/>
          <w:szCs w:val="20"/>
        </w:rPr>
        <w:t xml:space="preserve"> access to medicines with public funding but the model is</w:t>
      </w:r>
      <w:r w:rsidR="00CC1B8E" w:rsidRPr="00161810">
        <w:rPr>
          <w:rFonts w:ascii="Arial" w:hAnsi="Arial" w:cs="Arial"/>
          <w:sz w:val="20"/>
          <w:szCs w:val="20"/>
        </w:rPr>
        <w:t xml:space="preserve"> </w:t>
      </w:r>
      <w:r w:rsidRPr="00161810">
        <w:rPr>
          <w:rFonts w:ascii="Arial" w:hAnsi="Arial" w:cs="Arial"/>
          <w:sz w:val="20"/>
          <w:szCs w:val="20"/>
        </w:rPr>
        <w:t>dual</w:t>
      </w:r>
      <w:r w:rsidR="00872527" w:rsidRPr="00161810">
        <w:rPr>
          <w:rFonts w:ascii="Arial" w:hAnsi="Arial" w:cs="Arial"/>
          <w:sz w:val="20"/>
          <w:szCs w:val="20"/>
        </w:rPr>
        <w:t xml:space="preserve">. There is </w:t>
      </w:r>
      <w:r w:rsidRPr="00161810">
        <w:rPr>
          <w:rFonts w:ascii="Arial" w:hAnsi="Arial" w:cs="Arial"/>
          <w:sz w:val="20"/>
          <w:szCs w:val="20"/>
        </w:rPr>
        <w:t>a public model, in which the government c</w:t>
      </w:r>
      <w:r w:rsidR="00563825" w:rsidRPr="00161810">
        <w:rPr>
          <w:rFonts w:ascii="Arial" w:hAnsi="Arial" w:cs="Arial"/>
          <w:sz w:val="20"/>
          <w:szCs w:val="20"/>
        </w:rPr>
        <w:t>urrently undertakes</w:t>
      </w:r>
      <w:r w:rsidRPr="00161810">
        <w:rPr>
          <w:rFonts w:ascii="Arial" w:hAnsi="Arial" w:cs="Arial"/>
          <w:sz w:val="20"/>
          <w:szCs w:val="20"/>
        </w:rPr>
        <w:t xml:space="preserve"> the entire logistic process and dispense medicines in its own pharmacies – called public pharmacies</w:t>
      </w:r>
      <w:r w:rsidR="00872527" w:rsidRPr="00161810">
        <w:rPr>
          <w:rFonts w:ascii="Arial" w:hAnsi="Arial" w:cs="Arial"/>
          <w:sz w:val="20"/>
          <w:szCs w:val="20"/>
        </w:rPr>
        <w:t>. In addition</w:t>
      </w:r>
      <w:r w:rsidR="007B2D16" w:rsidRPr="00161810">
        <w:rPr>
          <w:rFonts w:ascii="Arial" w:hAnsi="Arial" w:cs="Arial"/>
          <w:sz w:val="20"/>
          <w:szCs w:val="20"/>
        </w:rPr>
        <w:t>,</w:t>
      </w:r>
      <w:r w:rsidRPr="00161810">
        <w:rPr>
          <w:rFonts w:ascii="Arial" w:hAnsi="Arial" w:cs="Arial"/>
          <w:sz w:val="20"/>
          <w:szCs w:val="20"/>
        </w:rPr>
        <w:t xml:space="preserve"> </w:t>
      </w:r>
      <w:r w:rsidR="00563825" w:rsidRPr="00161810">
        <w:rPr>
          <w:rFonts w:ascii="Arial" w:hAnsi="Arial" w:cs="Arial"/>
          <w:sz w:val="20"/>
          <w:szCs w:val="20"/>
        </w:rPr>
        <w:t xml:space="preserve">there are </w:t>
      </w:r>
      <w:r w:rsidRPr="00161810">
        <w:rPr>
          <w:rFonts w:ascii="Arial" w:hAnsi="Arial" w:cs="Arial"/>
          <w:sz w:val="20"/>
          <w:szCs w:val="20"/>
        </w:rPr>
        <w:t xml:space="preserve">private community pharmacies </w:t>
      </w:r>
      <w:r w:rsidR="00872527" w:rsidRPr="00161810">
        <w:rPr>
          <w:rFonts w:ascii="Arial" w:hAnsi="Arial" w:cs="Arial"/>
          <w:sz w:val="20"/>
          <w:szCs w:val="20"/>
        </w:rPr>
        <w:t xml:space="preserve">accredited by the government </w:t>
      </w:r>
      <w:r w:rsidR="00563825" w:rsidRPr="00161810">
        <w:rPr>
          <w:rFonts w:ascii="Arial" w:hAnsi="Arial" w:cs="Arial"/>
          <w:sz w:val="20"/>
          <w:szCs w:val="20"/>
        </w:rPr>
        <w:t>under</w:t>
      </w:r>
      <w:r w:rsidR="00E571A4" w:rsidRPr="00161810">
        <w:rPr>
          <w:rFonts w:ascii="Arial" w:hAnsi="Arial" w:cs="Arial"/>
          <w:sz w:val="20"/>
          <w:szCs w:val="20"/>
        </w:rPr>
        <w:t xml:space="preserve"> </w:t>
      </w:r>
      <w:r w:rsidR="007B2D16" w:rsidRPr="00161810">
        <w:rPr>
          <w:rFonts w:ascii="Arial" w:hAnsi="Arial" w:cs="Arial"/>
          <w:sz w:val="20"/>
          <w:szCs w:val="20"/>
        </w:rPr>
        <w:t>”Aqui tem farmácia popular</w:t>
      </w:r>
      <w:r w:rsidRPr="00161810">
        <w:rPr>
          <w:rFonts w:ascii="Arial" w:hAnsi="Arial" w:cs="Arial"/>
          <w:sz w:val="20"/>
          <w:szCs w:val="20"/>
        </w:rPr>
        <w:t>”</w:t>
      </w:r>
      <w:r w:rsidR="00563825" w:rsidRPr="00161810">
        <w:rPr>
          <w:rFonts w:ascii="Arial" w:hAnsi="Arial" w:cs="Arial"/>
          <w:sz w:val="20"/>
          <w:szCs w:val="20"/>
        </w:rPr>
        <w:t>, introduced</w:t>
      </w:r>
      <w:r w:rsidR="00B95CE5" w:rsidRPr="00161810">
        <w:rPr>
          <w:rFonts w:ascii="Arial" w:hAnsi="Arial" w:cs="Arial"/>
          <w:sz w:val="20"/>
          <w:szCs w:val="20"/>
        </w:rPr>
        <w:t xml:space="preserve"> to improve </w:t>
      </w:r>
      <w:r w:rsidR="002947A3" w:rsidRPr="00161810">
        <w:rPr>
          <w:rFonts w:ascii="Arial" w:hAnsi="Arial" w:cs="Arial"/>
          <w:sz w:val="20"/>
          <w:szCs w:val="20"/>
        </w:rPr>
        <w:t xml:space="preserve">the Brazilian population's </w:t>
      </w:r>
      <w:r w:rsidR="00B95CE5" w:rsidRPr="00161810">
        <w:rPr>
          <w:rFonts w:ascii="Arial" w:hAnsi="Arial" w:cs="Arial"/>
          <w:sz w:val="20"/>
          <w:szCs w:val="20"/>
        </w:rPr>
        <w:t xml:space="preserve">access to medicines </w:t>
      </w:r>
      <w:r w:rsidR="00796488" w:rsidRPr="00161810">
        <w:rPr>
          <w:rFonts w:ascii="Arial" w:hAnsi="Arial" w:cs="Arial"/>
          <w:sz w:val="20"/>
          <w:szCs w:val="20"/>
        </w:rPr>
        <w:t xml:space="preserve">with </w:t>
      </w:r>
      <w:r w:rsidR="00563825" w:rsidRPr="00161810">
        <w:rPr>
          <w:rFonts w:ascii="Arial" w:hAnsi="Arial" w:cs="Arial"/>
          <w:sz w:val="20"/>
          <w:szCs w:val="20"/>
        </w:rPr>
        <w:t>associated</w:t>
      </w:r>
      <w:r w:rsidR="00796488" w:rsidRPr="00161810">
        <w:rPr>
          <w:rFonts w:ascii="Arial" w:hAnsi="Arial" w:cs="Arial"/>
          <w:sz w:val="20"/>
          <w:szCs w:val="20"/>
        </w:rPr>
        <w:t xml:space="preserve"> copayments</w:t>
      </w:r>
      <w:r w:rsidR="00B95CE5" w:rsidRPr="00161810">
        <w:rPr>
          <w:rFonts w:ascii="Arial" w:hAnsi="Arial" w:cs="Arial"/>
          <w:sz w:val="20"/>
          <w:szCs w:val="20"/>
        </w:rPr>
        <w:t xml:space="preserve">. </w:t>
      </w:r>
      <w:r w:rsidR="00563825" w:rsidRPr="00161810">
        <w:rPr>
          <w:rFonts w:ascii="Arial" w:hAnsi="Arial" w:cs="Arial"/>
          <w:sz w:val="20"/>
          <w:szCs w:val="20"/>
        </w:rPr>
        <w:t>T</w:t>
      </w:r>
      <w:r w:rsidR="00B95CE5" w:rsidRPr="00161810">
        <w:rPr>
          <w:rFonts w:ascii="Arial" w:hAnsi="Arial" w:cs="Arial"/>
          <w:sz w:val="20"/>
          <w:szCs w:val="20"/>
        </w:rPr>
        <w:t xml:space="preserve">here are </w:t>
      </w:r>
      <w:r w:rsidR="00563825" w:rsidRPr="00161810">
        <w:rPr>
          <w:rFonts w:ascii="Arial" w:hAnsi="Arial" w:cs="Arial"/>
          <w:sz w:val="20"/>
          <w:szCs w:val="20"/>
        </w:rPr>
        <w:t>also purely</w:t>
      </w:r>
      <w:r w:rsidRPr="00161810">
        <w:rPr>
          <w:rFonts w:ascii="Arial" w:hAnsi="Arial" w:cs="Arial"/>
          <w:sz w:val="20"/>
          <w:szCs w:val="20"/>
        </w:rPr>
        <w:t xml:space="preserve"> private pharmacies where people pay 100% the price of the medicines. Some people prefer to </w:t>
      </w:r>
      <w:r w:rsidR="00563825" w:rsidRPr="00161810">
        <w:rPr>
          <w:rFonts w:ascii="Arial" w:hAnsi="Arial" w:cs="Arial"/>
          <w:sz w:val="20"/>
          <w:szCs w:val="20"/>
        </w:rPr>
        <w:t>obtain</w:t>
      </w:r>
      <w:r w:rsidRPr="00161810">
        <w:rPr>
          <w:rFonts w:ascii="Arial" w:hAnsi="Arial" w:cs="Arial"/>
          <w:sz w:val="20"/>
          <w:szCs w:val="20"/>
        </w:rPr>
        <w:t xml:space="preserve"> their medicines in private pharmacies </w:t>
      </w:r>
      <w:r w:rsidR="00B95CE5" w:rsidRPr="00161810">
        <w:rPr>
          <w:rFonts w:ascii="Arial" w:hAnsi="Arial" w:cs="Arial"/>
          <w:sz w:val="20"/>
          <w:szCs w:val="20"/>
        </w:rPr>
        <w:t xml:space="preserve">or by means of </w:t>
      </w:r>
      <w:r w:rsidRPr="00161810">
        <w:rPr>
          <w:rFonts w:ascii="Arial" w:hAnsi="Arial" w:cs="Arial"/>
          <w:sz w:val="20"/>
          <w:szCs w:val="20"/>
        </w:rPr>
        <w:t>the program “Aqui tem farmácia popular” because th</w:t>
      </w:r>
      <w:r w:rsidR="00563825" w:rsidRPr="00161810">
        <w:rPr>
          <w:rFonts w:ascii="Arial" w:hAnsi="Arial" w:cs="Arial"/>
          <w:sz w:val="20"/>
          <w:szCs w:val="20"/>
        </w:rPr>
        <w:t>ese</w:t>
      </w:r>
      <w:r w:rsidRPr="00161810">
        <w:rPr>
          <w:rFonts w:ascii="Arial" w:hAnsi="Arial" w:cs="Arial"/>
          <w:sz w:val="20"/>
          <w:szCs w:val="20"/>
        </w:rPr>
        <w:t xml:space="preserve"> pharmacies </w:t>
      </w:r>
      <w:r w:rsidR="00563825" w:rsidRPr="00161810">
        <w:rPr>
          <w:rFonts w:ascii="Arial" w:hAnsi="Arial" w:cs="Arial"/>
          <w:sz w:val="20"/>
          <w:szCs w:val="20"/>
        </w:rPr>
        <w:t xml:space="preserve">typically </w:t>
      </w:r>
      <w:r w:rsidRPr="00161810">
        <w:rPr>
          <w:rFonts w:ascii="Arial" w:hAnsi="Arial" w:cs="Arial"/>
          <w:sz w:val="20"/>
          <w:szCs w:val="20"/>
        </w:rPr>
        <w:t>have</w:t>
      </w:r>
      <w:r w:rsidR="00563825" w:rsidRPr="00161810">
        <w:rPr>
          <w:rFonts w:ascii="Arial" w:hAnsi="Arial" w:cs="Arial"/>
          <w:sz w:val="20"/>
          <w:szCs w:val="20"/>
        </w:rPr>
        <w:t xml:space="preserve"> </w:t>
      </w:r>
      <w:r w:rsidRPr="00161810">
        <w:rPr>
          <w:rFonts w:ascii="Arial" w:hAnsi="Arial" w:cs="Arial"/>
          <w:sz w:val="20"/>
          <w:szCs w:val="20"/>
        </w:rPr>
        <w:t xml:space="preserve">better </w:t>
      </w:r>
      <w:r w:rsidR="00895437" w:rsidRPr="00161810">
        <w:rPr>
          <w:rFonts w:ascii="Arial" w:hAnsi="Arial" w:cs="Arial"/>
          <w:sz w:val="20"/>
          <w:szCs w:val="20"/>
        </w:rPr>
        <w:t>geographic accessibility and ex</w:t>
      </w:r>
      <w:r w:rsidR="00796488" w:rsidRPr="00161810">
        <w:rPr>
          <w:rFonts w:ascii="Arial" w:hAnsi="Arial" w:cs="Arial"/>
          <w:sz w:val="20"/>
          <w:szCs w:val="20"/>
        </w:rPr>
        <w:t xml:space="preserve">tended </w:t>
      </w:r>
      <w:r w:rsidR="00895437" w:rsidRPr="00161810">
        <w:rPr>
          <w:rFonts w:ascii="Arial" w:hAnsi="Arial" w:cs="Arial"/>
          <w:sz w:val="20"/>
          <w:szCs w:val="20"/>
        </w:rPr>
        <w:t>op</w:t>
      </w:r>
      <w:r w:rsidR="00563825" w:rsidRPr="00161810">
        <w:rPr>
          <w:rFonts w:ascii="Arial" w:hAnsi="Arial" w:cs="Arial"/>
          <w:sz w:val="20"/>
          <w:szCs w:val="20"/>
        </w:rPr>
        <w:t>ening</w:t>
      </w:r>
      <w:r w:rsidR="00895437" w:rsidRPr="00161810">
        <w:rPr>
          <w:rFonts w:ascii="Arial" w:hAnsi="Arial" w:cs="Arial"/>
          <w:sz w:val="20"/>
          <w:szCs w:val="20"/>
        </w:rPr>
        <w:t xml:space="preserve"> </w:t>
      </w:r>
      <w:r w:rsidRPr="00161810">
        <w:rPr>
          <w:rFonts w:ascii="Arial" w:hAnsi="Arial" w:cs="Arial"/>
          <w:sz w:val="20"/>
          <w:szCs w:val="20"/>
        </w:rPr>
        <w:t>time</w:t>
      </w:r>
      <w:r w:rsidR="00563825" w:rsidRPr="00161810">
        <w:rPr>
          <w:rFonts w:ascii="Arial" w:hAnsi="Arial" w:cs="Arial"/>
          <w:sz w:val="20"/>
          <w:szCs w:val="20"/>
        </w:rPr>
        <w:t>s</w:t>
      </w:r>
      <w:r w:rsidRPr="00161810">
        <w:rPr>
          <w:rFonts w:ascii="Arial" w:hAnsi="Arial" w:cs="Arial"/>
          <w:sz w:val="20"/>
          <w:szCs w:val="20"/>
        </w:rPr>
        <w:t xml:space="preserve">. </w:t>
      </w:r>
    </w:p>
    <w:p w14:paraId="2FA2DA03" w14:textId="77777777" w:rsidR="007A515F" w:rsidRDefault="007A515F" w:rsidP="00161810">
      <w:pPr>
        <w:pStyle w:val="NoSpacing"/>
        <w:rPr>
          <w:rFonts w:ascii="Arial" w:hAnsi="Arial" w:cs="Arial"/>
          <w:sz w:val="20"/>
          <w:szCs w:val="20"/>
        </w:rPr>
      </w:pPr>
    </w:p>
    <w:p w14:paraId="396B8118" w14:textId="0E4607B8" w:rsidR="00895437" w:rsidRPr="00161810" w:rsidRDefault="000A1091" w:rsidP="00161810">
      <w:pPr>
        <w:pStyle w:val="NoSpacing"/>
        <w:rPr>
          <w:rFonts w:ascii="Arial" w:hAnsi="Arial" w:cs="Arial"/>
          <w:sz w:val="20"/>
          <w:szCs w:val="20"/>
        </w:rPr>
      </w:pPr>
      <w:r w:rsidRPr="00161810">
        <w:rPr>
          <w:rFonts w:ascii="Arial" w:hAnsi="Arial" w:cs="Arial"/>
          <w:sz w:val="20"/>
          <w:szCs w:val="20"/>
        </w:rPr>
        <w:t>The dual system allows research into key issues of access to medicines among patients who have access to both systems to compare and contrast their perceptions.</w:t>
      </w:r>
      <w:r w:rsidR="00895437" w:rsidRPr="00161810">
        <w:rPr>
          <w:rFonts w:ascii="Arial" w:hAnsi="Arial" w:cs="Arial"/>
          <w:sz w:val="20"/>
          <w:szCs w:val="20"/>
        </w:rPr>
        <w:t xml:space="preserve"> This is important to </w:t>
      </w:r>
      <w:r w:rsidR="00563825" w:rsidRPr="00161810">
        <w:rPr>
          <w:rFonts w:ascii="Arial" w:hAnsi="Arial" w:cs="Arial"/>
          <w:sz w:val="20"/>
          <w:szCs w:val="20"/>
        </w:rPr>
        <w:t xml:space="preserve">help </w:t>
      </w:r>
      <w:r w:rsidR="00895437" w:rsidRPr="00161810">
        <w:rPr>
          <w:rFonts w:ascii="Arial" w:hAnsi="Arial" w:cs="Arial"/>
          <w:sz w:val="20"/>
          <w:szCs w:val="20"/>
        </w:rPr>
        <w:t>further develop public health polic</w:t>
      </w:r>
      <w:r w:rsidR="00563825" w:rsidRPr="00161810">
        <w:rPr>
          <w:rFonts w:ascii="Arial" w:hAnsi="Arial" w:cs="Arial"/>
          <w:sz w:val="20"/>
          <w:szCs w:val="20"/>
        </w:rPr>
        <w:t>ies</w:t>
      </w:r>
      <w:r w:rsidR="00895437" w:rsidRPr="00161810">
        <w:rPr>
          <w:rFonts w:ascii="Arial" w:hAnsi="Arial" w:cs="Arial"/>
          <w:sz w:val="20"/>
          <w:szCs w:val="20"/>
        </w:rPr>
        <w:t xml:space="preserve"> in Brazil</w:t>
      </w:r>
      <w:r w:rsidR="00563825" w:rsidRPr="00161810">
        <w:rPr>
          <w:rFonts w:ascii="Arial" w:hAnsi="Arial" w:cs="Arial"/>
          <w:sz w:val="20"/>
          <w:szCs w:val="20"/>
        </w:rPr>
        <w:t xml:space="preserve"> to improve access to medicines in the public system where there are concerns</w:t>
      </w:r>
      <w:r w:rsidR="00895437" w:rsidRPr="00161810">
        <w:rPr>
          <w:rFonts w:ascii="Arial" w:hAnsi="Arial" w:cs="Arial"/>
          <w:sz w:val="20"/>
          <w:szCs w:val="20"/>
        </w:rPr>
        <w:t>.</w:t>
      </w:r>
    </w:p>
    <w:p w14:paraId="5DB8D616" w14:textId="4948A9D7" w:rsidR="00104A61" w:rsidRPr="00161810" w:rsidRDefault="00104A61" w:rsidP="00161810">
      <w:pPr>
        <w:pStyle w:val="NoSpacing"/>
        <w:rPr>
          <w:rFonts w:ascii="Arial" w:hAnsi="Arial" w:cs="Arial"/>
          <w:sz w:val="20"/>
          <w:szCs w:val="20"/>
        </w:rPr>
      </w:pPr>
    </w:p>
    <w:p w14:paraId="16FA01F5" w14:textId="77777777" w:rsidR="00104A61" w:rsidRPr="007A515F" w:rsidRDefault="000A1091" w:rsidP="007A515F">
      <w:pPr>
        <w:pStyle w:val="NoSpacing"/>
        <w:rPr>
          <w:rFonts w:ascii="Arial" w:hAnsi="Arial" w:cs="Arial"/>
          <w:b/>
          <w:bCs/>
          <w:sz w:val="20"/>
          <w:szCs w:val="20"/>
        </w:rPr>
      </w:pPr>
      <w:r w:rsidRPr="007A515F">
        <w:rPr>
          <w:rFonts w:ascii="Arial" w:hAnsi="Arial" w:cs="Arial"/>
          <w:b/>
          <w:bCs/>
          <w:sz w:val="20"/>
          <w:szCs w:val="20"/>
        </w:rPr>
        <w:t>2. Methods</w:t>
      </w:r>
    </w:p>
    <w:p w14:paraId="52D53AC4" w14:textId="77777777" w:rsidR="007A515F" w:rsidRDefault="007A515F" w:rsidP="007A515F">
      <w:pPr>
        <w:pStyle w:val="NoSpacing"/>
        <w:rPr>
          <w:rFonts w:ascii="Arial" w:hAnsi="Arial" w:cs="Arial"/>
          <w:sz w:val="20"/>
          <w:szCs w:val="20"/>
        </w:rPr>
      </w:pPr>
    </w:p>
    <w:p w14:paraId="1029C011" w14:textId="31F3F508" w:rsidR="00104A61" w:rsidRPr="007A515F" w:rsidRDefault="007A515F" w:rsidP="007A515F">
      <w:pPr>
        <w:pStyle w:val="NoSpacing"/>
        <w:rPr>
          <w:rFonts w:ascii="Arial" w:hAnsi="Arial" w:cs="Arial"/>
          <w:b/>
          <w:bCs/>
          <w:i/>
          <w:iCs/>
          <w:sz w:val="20"/>
          <w:szCs w:val="20"/>
        </w:rPr>
      </w:pPr>
      <w:r w:rsidRPr="007A515F">
        <w:rPr>
          <w:rFonts w:ascii="Arial" w:hAnsi="Arial" w:cs="Arial"/>
          <w:b/>
          <w:bCs/>
          <w:i/>
          <w:iCs/>
          <w:sz w:val="20"/>
          <w:szCs w:val="20"/>
        </w:rPr>
        <w:t xml:space="preserve">2.1 </w:t>
      </w:r>
      <w:r w:rsidR="000A1091" w:rsidRPr="007A515F">
        <w:rPr>
          <w:rFonts w:ascii="Arial" w:hAnsi="Arial" w:cs="Arial"/>
          <w:b/>
          <w:bCs/>
          <w:i/>
          <w:iCs/>
          <w:sz w:val="20"/>
          <w:szCs w:val="20"/>
        </w:rPr>
        <w:t>Theoretical Framework</w:t>
      </w:r>
    </w:p>
    <w:p w14:paraId="2CB9F829" w14:textId="4E5587D0"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The study was designed by adapting methods documented in the literature to measure the importance and satisfaction of people </w:t>
      </w:r>
      <w:r w:rsidR="000934DD" w:rsidRPr="007A515F">
        <w:rPr>
          <w:rFonts w:ascii="Arial" w:hAnsi="Arial" w:cs="Arial"/>
          <w:sz w:val="20"/>
          <w:szCs w:val="20"/>
        </w:rPr>
        <w:t>regarding</w:t>
      </w:r>
      <w:r w:rsidRPr="007A515F">
        <w:rPr>
          <w:rFonts w:ascii="Arial" w:hAnsi="Arial" w:cs="Arial"/>
          <w:sz w:val="20"/>
          <w:szCs w:val="20"/>
        </w:rPr>
        <w:t xml:space="preserve"> situations that impact on their life</w:t>
      </w:r>
      <w:r w:rsidR="000934DD" w:rsidRPr="007A515F">
        <w:rPr>
          <w:rFonts w:ascii="Arial" w:hAnsi="Arial" w:cs="Arial"/>
          <w:sz w:val="20"/>
          <w:szCs w:val="20"/>
        </w:rPr>
        <w:t xml:space="preserve"> [62,63]</w:t>
      </w:r>
      <w:r w:rsidRPr="007A515F">
        <w:rPr>
          <w:rFonts w:ascii="Arial" w:hAnsi="Arial" w:cs="Arial"/>
          <w:sz w:val="20"/>
          <w:szCs w:val="20"/>
        </w:rPr>
        <w:t xml:space="preserve">. </w:t>
      </w:r>
    </w:p>
    <w:p w14:paraId="75720845" w14:textId="07877855" w:rsidR="00104A61" w:rsidRPr="007A515F" w:rsidRDefault="000A1091" w:rsidP="007A515F">
      <w:pPr>
        <w:pStyle w:val="NoSpacing"/>
        <w:rPr>
          <w:rFonts w:ascii="Arial" w:hAnsi="Arial" w:cs="Arial"/>
          <w:sz w:val="20"/>
          <w:szCs w:val="20"/>
        </w:rPr>
      </w:pPr>
      <w:r w:rsidRPr="007A515F">
        <w:rPr>
          <w:rFonts w:ascii="Arial" w:hAnsi="Arial" w:cs="Arial"/>
          <w:sz w:val="20"/>
          <w:szCs w:val="20"/>
        </w:rPr>
        <w:t>Access is an important and complex parameter in health policy and health services research since it is a concept that hasn't been defined or employed precisely. Some authors refer to "access" only as availability, while others include factors influencing the use of medicines including affordability</w:t>
      </w:r>
      <w:r w:rsidR="000934DD" w:rsidRPr="007A515F">
        <w:rPr>
          <w:rFonts w:ascii="Arial" w:hAnsi="Arial" w:cs="Arial"/>
          <w:sz w:val="20"/>
          <w:szCs w:val="20"/>
        </w:rPr>
        <w:t xml:space="preserve"> [62-66]</w:t>
      </w:r>
      <w:r w:rsidRPr="007A515F">
        <w:rPr>
          <w:rFonts w:ascii="Arial" w:hAnsi="Arial" w:cs="Arial"/>
          <w:sz w:val="20"/>
          <w:szCs w:val="20"/>
        </w:rPr>
        <w:t>. Consequently, in this study</w:t>
      </w:r>
      <w:r w:rsidR="007B2D16" w:rsidRPr="007A515F">
        <w:rPr>
          <w:rFonts w:ascii="Arial" w:hAnsi="Arial" w:cs="Arial"/>
          <w:sz w:val="20"/>
          <w:szCs w:val="20"/>
        </w:rPr>
        <w:t>,</w:t>
      </w:r>
      <w:r w:rsidRPr="007A515F">
        <w:rPr>
          <w:rFonts w:ascii="Arial" w:hAnsi="Arial" w:cs="Arial"/>
          <w:sz w:val="20"/>
          <w:szCs w:val="20"/>
        </w:rPr>
        <w:t xml:space="preserve"> we used Penchansky and Thomas</w:t>
      </w:r>
      <w:r w:rsidR="000934DD" w:rsidRPr="007A515F">
        <w:rPr>
          <w:rFonts w:ascii="Arial" w:hAnsi="Arial" w:cs="Arial"/>
          <w:sz w:val="20"/>
          <w:szCs w:val="20"/>
        </w:rPr>
        <w:t>’</w:t>
      </w:r>
      <w:r w:rsidRPr="007A515F">
        <w:rPr>
          <w:rFonts w:ascii="Arial" w:hAnsi="Arial" w:cs="Arial"/>
          <w:sz w:val="20"/>
          <w:szCs w:val="20"/>
        </w:rPr>
        <w:t xml:space="preserve"> concept </w:t>
      </w:r>
      <w:r w:rsidR="000934DD" w:rsidRPr="007A515F">
        <w:rPr>
          <w:rFonts w:ascii="Arial" w:hAnsi="Arial" w:cs="Arial"/>
          <w:sz w:val="20"/>
          <w:szCs w:val="20"/>
        </w:rPr>
        <w:t xml:space="preserve">[37] </w:t>
      </w:r>
      <w:r w:rsidRPr="007A515F">
        <w:rPr>
          <w:rFonts w:ascii="Arial" w:hAnsi="Arial" w:cs="Arial"/>
          <w:sz w:val="20"/>
          <w:szCs w:val="20"/>
        </w:rPr>
        <w:t xml:space="preserve">that access </w:t>
      </w:r>
      <w:r w:rsidR="000934DD" w:rsidRPr="007A515F">
        <w:rPr>
          <w:rFonts w:ascii="Arial" w:hAnsi="Arial" w:cs="Arial"/>
          <w:sz w:val="20"/>
          <w:szCs w:val="20"/>
        </w:rPr>
        <w:t>should be assessed using</w:t>
      </w:r>
      <w:r w:rsidRPr="007A515F">
        <w:rPr>
          <w:rFonts w:ascii="Arial" w:hAnsi="Arial" w:cs="Arial"/>
          <w:sz w:val="20"/>
          <w:szCs w:val="20"/>
        </w:rPr>
        <w:t xml:space="preserve"> a wide scope covering </w:t>
      </w:r>
      <w:r w:rsidR="000934DD" w:rsidRPr="007A515F">
        <w:rPr>
          <w:rFonts w:ascii="Arial" w:hAnsi="Arial" w:cs="Arial"/>
          <w:sz w:val="20"/>
          <w:szCs w:val="20"/>
        </w:rPr>
        <w:t xml:space="preserve">all </w:t>
      </w:r>
      <w:r w:rsidRPr="007A515F">
        <w:rPr>
          <w:rFonts w:ascii="Arial" w:hAnsi="Arial" w:cs="Arial"/>
          <w:sz w:val="20"/>
          <w:szCs w:val="20"/>
        </w:rPr>
        <w:t xml:space="preserve">five dimensions: </w:t>
      </w:r>
    </w:p>
    <w:p w14:paraId="32B434EE" w14:textId="6E3AD208" w:rsidR="00104A61" w:rsidRPr="007A515F" w:rsidRDefault="000A1091" w:rsidP="007A515F">
      <w:pPr>
        <w:pStyle w:val="NoSpacing"/>
        <w:numPr>
          <w:ilvl w:val="0"/>
          <w:numId w:val="4"/>
        </w:numPr>
        <w:rPr>
          <w:rFonts w:ascii="Arial" w:hAnsi="Arial" w:cs="Arial"/>
          <w:sz w:val="20"/>
          <w:szCs w:val="20"/>
        </w:rPr>
      </w:pPr>
      <w:r w:rsidRPr="007A515F">
        <w:rPr>
          <w:rFonts w:ascii="Arial" w:hAnsi="Arial" w:cs="Arial"/>
          <w:sz w:val="20"/>
          <w:szCs w:val="20"/>
          <w:u w:val="single"/>
        </w:rPr>
        <w:t>Availability:</w:t>
      </w:r>
      <w:r w:rsidRPr="007A515F">
        <w:rPr>
          <w:rFonts w:ascii="Arial" w:hAnsi="Arial" w:cs="Arial"/>
          <w:sz w:val="20"/>
          <w:szCs w:val="20"/>
        </w:rPr>
        <w:t xml:space="preserve"> pertinent medicines </w:t>
      </w:r>
      <w:r w:rsidR="00C827CB" w:rsidRPr="007A515F">
        <w:rPr>
          <w:rFonts w:ascii="Arial" w:hAnsi="Arial" w:cs="Arial"/>
          <w:sz w:val="20"/>
          <w:szCs w:val="20"/>
        </w:rPr>
        <w:t xml:space="preserve">are </w:t>
      </w:r>
      <w:r w:rsidRPr="007A515F">
        <w:rPr>
          <w:rFonts w:ascii="Arial" w:hAnsi="Arial" w:cs="Arial"/>
          <w:sz w:val="20"/>
          <w:szCs w:val="20"/>
        </w:rPr>
        <w:t xml:space="preserve">available from </w:t>
      </w:r>
      <w:r w:rsidR="00C827CB" w:rsidRPr="007A515F">
        <w:rPr>
          <w:rFonts w:ascii="Arial" w:hAnsi="Arial" w:cs="Arial"/>
          <w:sz w:val="20"/>
          <w:szCs w:val="20"/>
        </w:rPr>
        <w:t>current</w:t>
      </w:r>
      <w:r w:rsidRPr="007A515F">
        <w:rPr>
          <w:rFonts w:ascii="Arial" w:hAnsi="Arial" w:cs="Arial"/>
          <w:sz w:val="20"/>
          <w:szCs w:val="20"/>
        </w:rPr>
        <w:t xml:space="preserve"> pharmacy stock;</w:t>
      </w:r>
    </w:p>
    <w:p w14:paraId="465F5DA9" w14:textId="77777777" w:rsidR="00104A61" w:rsidRPr="007A515F" w:rsidRDefault="000A1091" w:rsidP="007A515F">
      <w:pPr>
        <w:pStyle w:val="NoSpacing"/>
        <w:numPr>
          <w:ilvl w:val="0"/>
          <w:numId w:val="4"/>
        </w:numPr>
        <w:rPr>
          <w:rFonts w:ascii="Arial" w:hAnsi="Arial" w:cs="Arial"/>
          <w:sz w:val="20"/>
          <w:szCs w:val="20"/>
        </w:rPr>
      </w:pPr>
      <w:r w:rsidRPr="007A515F">
        <w:rPr>
          <w:rFonts w:ascii="Arial" w:hAnsi="Arial" w:cs="Arial"/>
          <w:sz w:val="20"/>
          <w:szCs w:val="20"/>
          <w:u w:val="single"/>
        </w:rPr>
        <w:t>Geographic accessibility:</w:t>
      </w:r>
      <w:r w:rsidRPr="007A515F">
        <w:rPr>
          <w:rFonts w:ascii="Arial" w:hAnsi="Arial" w:cs="Arial"/>
          <w:sz w:val="20"/>
          <w:szCs w:val="20"/>
        </w:rPr>
        <w:t xml:space="preserve"> pharmacy with an accessible location (proximity and/or easiness to reach the place); </w:t>
      </w:r>
    </w:p>
    <w:p w14:paraId="5398F602" w14:textId="77777777" w:rsidR="00104A61" w:rsidRPr="007A515F" w:rsidRDefault="000A1091" w:rsidP="007A515F">
      <w:pPr>
        <w:pStyle w:val="NoSpacing"/>
        <w:numPr>
          <w:ilvl w:val="0"/>
          <w:numId w:val="4"/>
        </w:numPr>
        <w:rPr>
          <w:rFonts w:ascii="Arial" w:hAnsi="Arial" w:cs="Arial"/>
          <w:sz w:val="20"/>
          <w:szCs w:val="20"/>
        </w:rPr>
      </w:pPr>
      <w:r w:rsidRPr="007A515F">
        <w:rPr>
          <w:rFonts w:ascii="Arial" w:hAnsi="Arial" w:cs="Arial"/>
          <w:sz w:val="20"/>
          <w:szCs w:val="20"/>
          <w:u w:val="single"/>
        </w:rPr>
        <w:t>Accommodation/adequacy:</w:t>
      </w:r>
      <w:r w:rsidRPr="007A515F">
        <w:rPr>
          <w:rFonts w:ascii="Arial" w:hAnsi="Arial" w:cs="Arial"/>
          <w:sz w:val="20"/>
          <w:szCs w:val="20"/>
        </w:rPr>
        <w:t xml:space="preserve"> agility in the pharmacy service, comfortable, organized and quality service; </w:t>
      </w:r>
    </w:p>
    <w:p w14:paraId="2E228DDC" w14:textId="77777777" w:rsidR="00104A61" w:rsidRPr="007A515F" w:rsidRDefault="000A1091" w:rsidP="007A515F">
      <w:pPr>
        <w:pStyle w:val="NoSpacing"/>
        <w:numPr>
          <w:ilvl w:val="0"/>
          <w:numId w:val="4"/>
        </w:numPr>
        <w:rPr>
          <w:rFonts w:ascii="Arial" w:hAnsi="Arial" w:cs="Arial"/>
          <w:sz w:val="20"/>
          <w:szCs w:val="20"/>
        </w:rPr>
      </w:pPr>
      <w:r w:rsidRPr="007A515F">
        <w:rPr>
          <w:rFonts w:ascii="Arial" w:hAnsi="Arial" w:cs="Arial"/>
          <w:sz w:val="20"/>
          <w:szCs w:val="20"/>
          <w:u w:val="single"/>
        </w:rPr>
        <w:t>Affordability:</w:t>
      </w:r>
      <w:r w:rsidRPr="007A515F">
        <w:rPr>
          <w:rFonts w:ascii="Arial" w:hAnsi="Arial" w:cs="Arial"/>
          <w:sz w:val="20"/>
          <w:szCs w:val="20"/>
        </w:rPr>
        <w:t xml:space="preserve"> economic conditions to obtain the medicine at the pharmacy; </w:t>
      </w:r>
    </w:p>
    <w:p w14:paraId="7EA8F04F" w14:textId="77777777" w:rsidR="00104A61" w:rsidRPr="007A515F" w:rsidRDefault="000A1091" w:rsidP="007A515F">
      <w:pPr>
        <w:pStyle w:val="NoSpacing"/>
        <w:numPr>
          <w:ilvl w:val="0"/>
          <w:numId w:val="4"/>
        </w:numPr>
        <w:rPr>
          <w:rFonts w:ascii="Arial" w:hAnsi="Arial" w:cs="Arial"/>
          <w:sz w:val="20"/>
          <w:szCs w:val="20"/>
        </w:rPr>
      </w:pPr>
      <w:r w:rsidRPr="007A515F">
        <w:rPr>
          <w:rFonts w:ascii="Arial" w:hAnsi="Arial" w:cs="Arial"/>
          <w:sz w:val="20"/>
          <w:szCs w:val="20"/>
          <w:u w:val="single"/>
        </w:rPr>
        <w:t>Acceptability</w:t>
      </w:r>
      <w:r w:rsidRPr="007A515F">
        <w:rPr>
          <w:rFonts w:ascii="Arial" w:hAnsi="Arial" w:cs="Arial"/>
          <w:sz w:val="20"/>
          <w:szCs w:val="20"/>
        </w:rPr>
        <w:t>: pharmacy with a service that meets the habits, customs and expectations of users (with reference to other existing services considered acceptable).</w:t>
      </w:r>
    </w:p>
    <w:p w14:paraId="0125812E" w14:textId="77777777" w:rsidR="007A515F" w:rsidRDefault="007A515F" w:rsidP="007A515F">
      <w:pPr>
        <w:pStyle w:val="NoSpacing"/>
        <w:rPr>
          <w:rFonts w:ascii="Arial" w:hAnsi="Arial" w:cs="Arial"/>
          <w:sz w:val="20"/>
          <w:szCs w:val="20"/>
        </w:rPr>
      </w:pPr>
    </w:p>
    <w:p w14:paraId="3217FA2A" w14:textId="158C4346" w:rsidR="00104A61" w:rsidRPr="007A515F" w:rsidRDefault="007A515F" w:rsidP="007A515F">
      <w:pPr>
        <w:pStyle w:val="NoSpacing"/>
        <w:rPr>
          <w:rFonts w:ascii="Arial" w:hAnsi="Arial" w:cs="Arial"/>
          <w:b/>
          <w:bCs/>
          <w:i/>
          <w:iCs/>
          <w:sz w:val="20"/>
          <w:szCs w:val="20"/>
        </w:rPr>
      </w:pPr>
      <w:r w:rsidRPr="007A515F">
        <w:rPr>
          <w:rFonts w:ascii="Arial" w:hAnsi="Arial" w:cs="Arial"/>
          <w:b/>
          <w:bCs/>
          <w:i/>
          <w:iCs/>
          <w:sz w:val="20"/>
          <w:szCs w:val="20"/>
        </w:rPr>
        <w:t xml:space="preserve">2.2 </w:t>
      </w:r>
      <w:r w:rsidR="000A1091" w:rsidRPr="007A515F">
        <w:rPr>
          <w:rFonts w:ascii="Arial" w:hAnsi="Arial" w:cs="Arial"/>
          <w:b/>
          <w:bCs/>
          <w:i/>
          <w:iCs/>
          <w:sz w:val="20"/>
          <w:szCs w:val="20"/>
        </w:rPr>
        <w:t>Data Collection Instrument Design</w:t>
      </w:r>
    </w:p>
    <w:p w14:paraId="5CE4F3A6" w14:textId="5DD74C21" w:rsidR="00104A61" w:rsidRPr="007A515F" w:rsidRDefault="000A1091" w:rsidP="007A515F">
      <w:pPr>
        <w:pStyle w:val="NoSpacing"/>
        <w:rPr>
          <w:rFonts w:ascii="Arial" w:hAnsi="Arial" w:cs="Arial"/>
          <w:sz w:val="20"/>
          <w:szCs w:val="20"/>
          <w:highlight w:val="white"/>
        </w:rPr>
      </w:pPr>
      <w:r w:rsidRPr="007A515F">
        <w:rPr>
          <w:rFonts w:ascii="Arial" w:hAnsi="Arial" w:cs="Arial"/>
          <w:sz w:val="20"/>
          <w:szCs w:val="20"/>
        </w:rPr>
        <w:t xml:space="preserve">The </w:t>
      </w:r>
      <w:r w:rsidR="00C827CB" w:rsidRPr="007A515F">
        <w:rPr>
          <w:rFonts w:ascii="Arial" w:hAnsi="Arial" w:cs="Arial"/>
          <w:sz w:val="20"/>
          <w:szCs w:val="20"/>
        </w:rPr>
        <w:t xml:space="preserve">subsequent </w:t>
      </w:r>
      <w:r w:rsidRPr="007A515F">
        <w:rPr>
          <w:rFonts w:ascii="Arial" w:hAnsi="Arial" w:cs="Arial"/>
          <w:sz w:val="20"/>
          <w:szCs w:val="20"/>
        </w:rPr>
        <w:t>instrument was</w:t>
      </w:r>
      <w:r w:rsidR="00C827CB" w:rsidRPr="007A515F">
        <w:rPr>
          <w:rFonts w:ascii="Arial" w:hAnsi="Arial" w:cs="Arial"/>
          <w:sz w:val="20"/>
          <w:szCs w:val="20"/>
        </w:rPr>
        <w:t>, as mentioned,</w:t>
      </w:r>
      <w:r w:rsidRPr="007A515F">
        <w:rPr>
          <w:rFonts w:ascii="Arial" w:hAnsi="Arial" w:cs="Arial"/>
          <w:sz w:val="20"/>
          <w:szCs w:val="20"/>
        </w:rPr>
        <w:t xml:space="preserve"> developed from a literature review of studies in the field of psychology and health</w:t>
      </w:r>
      <w:r w:rsidR="00C827CB" w:rsidRPr="007A515F">
        <w:rPr>
          <w:rFonts w:ascii="Arial" w:hAnsi="Arial" w:cs="Arial"/>
          <w:sz w:val="20"/>
          <w:szCs w:val="20"/>
        </w:rPr>
        <w:t xml:space="preserve"> [62,63,66]</w:t>
      </w:r>
      <w:r w:rsidRPr="007A515F">
        <w:rPr>
          <w:rFonts w:ascii="Arial" w:hAnsi="Arial" w:cs="Arial"/>
          <w:sz w:val="20"/>
          <w:szCs w:val="20"/>
        </w:rPr>
        <w:t xml:space="preserve">. A research instrument with questions pertinent to each cited dimension was subsequently constructed </w:t>
      </w:r>
      <w:r w:rsidR="00C827CB" w:rsidRPr="007A515F">
        <w:rPr>
          <w:rFonts w:ascii="Arial" w:hAnsi="Arial" w:cs="Arial"/>
          <w:sz w:val="20"/>
          <w:szCs w:val="20"/>
        </w:rPr>
        <w:t>and</w:t>
      </w:r>
      <w:r w:rsidRPr="007A515F">
        <w:rPr>
          <w:rFonts w:ascii="Arial" w:hAnsi="Arial" w:cs="Arial"/>
          <w:sz w:val="20"/>
          <w:szCs w:val="20"/>
        </w:rPr>
        <w:t xml:space="preserve"> applied to the general population in order to obtained a unique access indicator.</w:t>
      </w:r>
      <w:r w:rsidRPr="007A515F">
        <w:rPr>
          <w:rFonts w:ascii="Arial" w:hAnsi="Arial" w:cs="Arial"/>
          <w:sz w:val="20"/>
          <w:szCs w:val="20"/>
          <w:highlight w:val="white"/>
        </w:rPr>
        <w:t xml:space="preserve"> </w:t>
      </w:r>
    </w:p>
    <w:p w14:paraId="5BB39599" w14:textId="77777777" w:rsidR="007A515F" w:rsidRDefault="007A515F" w:rsidP="007A515F">
      <w:pPr>
        <w:pStyle w:val="NoSpacing"/>
        <w:rPr>
          <w:rFonts w:ascii="Arial" w:hAnsi="Arial" w:cs="Arial"/>
          <w:sz w:val="20"/>
          <w:szCs w:val="20"/>
          <w:highlight w:val="white"/>
        </w:rPr>
      </w:pPr>
    </w:p>
    <w:p w14:paraId="566411B4" w14:textId="40FD97C1" w:rsidR="00104A61" w:rsidRPr="007A515F" w:rsidRDefault="000A1091" w:rsidP="007A515F">
      <w:pPr>
        <w:pStyle w:val="NoSpacing"/>
        <w:rPr>
          <w:rFonts w:ascii="Arial" w:hAnsi="Arial" w:cs="Arial"/>
          <w:sz w:val="20"/>
          <w:szCs w:val="20"/>
        </w:rPr>
      </w:pPr>
      <w:r w:rsidRPr="007A515F">
        <w:rPr>
          <w:rFonts w:ascii="Arial" w:hAnsi="Arial" w:cs="Arial"/>
          <w:sz w:val="20"/>
          <w:szCs w:val="20"/>
          <w:highlight w:val="white"/>
        </w:rPr>
        <w:t xml:space="preserve">The final version of the questionnaire contained 36 questions subdivided into: (i) questions regarding sociodemographic data (n=8); (ii) one related to importance and one to measure satisfaction for each of the </w:t>
      </w:r>
      <w:r w:rsidR="00C827CB" w:rsidRPr="007A515F">
        <w:rPr>
          <w:rFonts w:ascii="Arial" w:hAnsi="Arial" w:cs="Arial"/>
          <w:sz w:val="20"/>
          <w:szCs w:val="20"/>
          <w:highlight w:val="white"/>
        </w:rPr>
        <w:t xml:space="preserve">five </w:t>
      </w:r>
      <w:r w:rsidRPr="007A515F">
        <w:rPr>
          <w:rFonts w:ascii="Arial" w:hAnsi="Arial" w:cs="Arial"/>
          <w:sz w:val="20"/>
          <w:szCs w:val="20"/>
          <w:highlight w:val="white"/>
        </w:rPr>
        <w:t xml:space="preserve">dimensions and 18 questions related to the preference of individuals. These issues were correlated with the five dimensions. </w:t>
      </w:r>
      <w:r w:rsidR="00C827CB" w:rsidRPr="007A515F">
        <w:rPr>
          <w:rFonts w:ascii="Arial" w:hAnsi="Arial" w:cs="Arial"/>
          <w:sz w:val="20"/>
          <w:szCs w:val="20"/>
          <w:highlight w:val="white"/>
        </w:rPr>
        <w:t>Consequently</w:t>
      </w:r>
      <w:r w:rsidRPr="007A515F">
        <w:rPr>
          <w:rFonts w:ascii="Arial" w:hAnsi="Arial" w:cs="Arial"/>
          <w:sz w:val="20"/>
          <w:szCs w:val="20"/>
          <w:highlight w:val="white"/>
        </w:rPr>
        <w:t xml:space="preserve"> for each question, two different dimensions were compared. </w:t>
      </w:r>
      <w:r w:rsidRPr="007A515F">
        <w:rPr>
          <w:rFonts w:ascii="Arial" w:hAnsi="Arial" w:cs="Arial"/>
          <w:sz w:val="20"/>
          <w:szCs w:val="20"/>
        </w:rPr>
        <w:t>For example, the interviewee preferred a pharmacy with employees who always treat them with respect, courtesy and privacy (acceptability) or a pharmacy that is open when you need it (affordability). Respondents could still respond: “whatever”, “I don´t know” and “I don´t want to respond”.</w:t>
      </w:r>
    </w:p>
    <w:p w14:paraId="0B10F616" w14:textId="77777777" w:rsidR="007A515F" w:rsidRDefault="007A515F" w:rsidP="007A515F">
      <w:pPr>
        <w:pStyle w:val="NoSpacing"/>
        <w:rPr>
          <w:rFonts w:ascii="Arial" w:hAnsi="Arial" w:cs="Arial"/>
          <w:sz w:val="20"/>
          <w:szCs w:val="20"/>
        </w:rPr>
      </w:pPr>
    </w:p>
    <w:p w14:paraId="5807FD88" w14:textId="137F05DF" w:rsidR="00104A61" w:rsidRPr="007A515F" w:rsidRDefault="000A1091" w:rsidP="007A515F">
      <w:pPr>
        <w:pStyle w:val="NoSpacing"/>
        <w:rPr>
          <w:rFonts w:ascii="Arial" w:hAnsi="Arial" w:cs="Arial"/>
          <w:sz w:val="20"/>
          <w:szCs w:val="20"/>
        </w:rPr>
      </w:pPr>
      <w:r w:rsidRPr="007A515F">
        <w:rPr>
          <w:rFonts w:ascii="Arial" w:hAnsi="Arial" w:cs="Arial"/>
          <w:sz w:val="20"/>
          <w:szCs w:val="20"/>
        </w:rPr>
        <w:t>The instrument typically presented interviewees with 5 possible alternative answers to each of the questions depending on the degree of importance. The only exceptions were to the questions about "Where do you get your medicines" and "Where did you get your medicines in the last time", in which the interviewee could state more than one option. The mean length of time to complete the questionnaire was 15 minutes. (Supplementary Appendix).</w:t>
      </w:r>
    </w:p>
    <w:p w14:paraId="45962DC3" w14:textId="732E89C8"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In order to measure importance and satisfaction in relation to the access dimensions, a five point Likert scale was used ranging from </w:t>
      </w:r>
      <w:r w:rsidR="00C827CB" w:rsidRPr="007A515F">
        <w:rPr>
          <w:rFonts w:ascii="Arial" w:hAnsi="Arial" w:cs="Arial"/>
          <w:sz w:val="20"/>
          <w:szCs w:val="20"/>
        </w:rPr>
        <w:t>‘</w:t>
      </w:r>
      <w:r w:rsidRPr="007A515F">
        <w:rPr>
          <w:rFonts w:ascii="Arial" w:hAnsi="Arial" w:cs="Arial"/>
          <w:sz w:val="20"/>
          <w:szCs w:val="20"/>
        </w:rPr>
        <w:t>No</w:t>
      </w:r>
      <w:r w:rsidR="00C827CB" w:rsidRPr="007A515F">
        <w:rPr>
          <w:rFonts w:ascii="Arial" w:hAnsi="Arial" w:cs="Arial"/>
          <w:sz w:val="20"/>
          <w:szCs w:val="20"/>
        </w:rPr>
        <w:t>t</w:t>
      </w:r>
      <w:r w:rsidRPr="007A515F">
        <w:rPr>
          <w:rFonts w:ascii="Arial" w:hAnsi="Arial" w:cs="Arial"/>
          <w:sz w:val="20"/>
          <w:szCs w:val="20"/>
        </w:rPr>
        <w:t xml:space="preserve"> Important</w:t>
      </w:r>
      <w:r w:rsidR="00C827CB" w:rsidRPr="007A515F">
        <w:rPr>
          <w:rFonts w:ascii="Arial" w:hAnsi="Arial" w:cs="Arial"/>
          <w:sz w:val="20"/>
          <w:szCs w:val="20"/>
        </w:rPr>
        <w:t>’</w:t>
      </w:r>
      <w:r w:rsidRPr="007A515F">
        <w:rPr>
          <w:rFonts w:ascii="Arial" w:hAnsi="Arial" w:cs="Arial"/>
          <w:sz w:val="20"/>
          <w:szCs w:val="20"/>
        </w:rPr>
        <w:t xml:space="preserve"> to </w:t>
      </w:r>
      <w:r w:rsidR="00C827CB" w:rsidRPr="007A515F">
        <w:rPr>
          <w:rFonts w:ascii="Arial" w:hAnsi="Arial" w:cs="Arial"/>
          <w:sz w:val="20"/>
          <w:szCs w:val="20"/>
        </w:rPr>
        <w:t>‘</w:t>
      </w:r>
      <w:r w:rsidRPr="007A515F">
        <w:rPr>
          <w:rFonts w:ascii="Arial" w:hAnsi="Arial" w:cs="Arial"/>
          <w:sz w:val="20"/>
          <w:szCs w:val="20"/>
        </w:rPr>
        <w:t>Extremely Important</w:t>
      </w:r>
      <w:r w:rsidR="00C827CB" w:rsidRPr="007A515F">
        <w:rPr>
          <w:rFonts w:ascii="Arial" w:hAnsi="Arial" w:cs="Arial"/>
          <w:sz w:val="20"/>
          <w:szCs w:val="20"/>
        </w:rPr>
        <w:t>’</w:t>
      </w:r>
      <w:r w:rsidRPr="007A515F">
        <w:rPr>
          <w:rFonts w:ascii="Arial" w:hAnsi="Arial" w:cs="Arial"/>
          <w:sz w:val="20"/>
          <w:szCs w:val="20"/>
        </w:rPr>
        <w:t xml:space="preserve"> or </w:t>
      </w:r>
      <w:r w:rsidR="00C827CB" w:rsidRPr="007A515F">
        <w:rPr>
          <w:rFonts w:ascii="Arial" w:hAnsi="Arial" w:cs="Arial"/>
          <w:sz w:val="20"/>
          <w:szCs w:val="20"/>
        </w:rPr>
        <w:t>‘</w:t>
      </w:r>
      <w:r w:rsidRPr="007A515F">
        <w:rPr>
          <w:rFonts w:ascii="Arial" w:hAnsi="Arial" w:cs="Arial"/>
          <w:sz w:val="20"/>
          <w:szCs w:val="20"/>
        </w:rPr>
        <w:t>Very Unsatisfied</w:t>
      </w:r>
      <w:r w:rsidR="00C827CB" w:rsidRPr="007A515F">
        <w:rPr>
          <w:rFonts w:ascii="Arial" w:hAnsi="Arial" w:cs="Arial"/>
          <w:sz w:val="20"/>
          <w:szCs w:val="20"/>
        </w:rPr>
        <w:t>’</w:t>
      </w:r>
      <w:r w:rsidRPr="007A515F">
        <w:rPr>
          <w:rFonts w:ascii="Arial" w:hAnsi="Arial" w:cs="Arial"/>
          <w:sz w:val="20"/>
          <w:szCs w:val="20"/>
        </w:rPr>
        <w:t xml:space="preserve"> to </w:t>
      </w:r>
      <w:r w:rsidR="00C827CB" w:rsidRPr="007A515F">
        <w:rPr>
          <w:rFonts w:ascii="Arial" w:hAnsi="Arial" w:cs="Arial"/>
          <w:sz w:val="20"/>
          <w:szCs w:val="20"/>
        </w:rPr>
        <w:t>‘</w:t>
      </w:r>
      <w:r w:rsidRPr="007A515F">
        <w:rPr>
          <w:rFonts w:ascii="Arial" w:hAnsi="Arial" w:cs="Arial"/>
          <w:sz w:val="20"/>
          <w:szCs w:val="20"/>
        </w:rPr>
        <w:t>Very Satisfied</w:t>
      </w:r>
      <w:r w:rsidR="00C827CB" w:rsidRPr="007A515F">
        <w:rPr>
          <w:rFonts w:ascii="Arial" w:hAnsi="Arial" w:cs="Arial"/>
          <w:sz w:val="20"/>
          <w:szCs w:val="20"/>
        </w:rPr>
        <w:t>’</w:t>
      </w:r>
      <w:r w:rsidRPr="007A515F">
        <w:rPr>
          <w:rFonts w:ascii="Arial" w:hAnsi="Arial" w:cs="Arial"/>
          <w:sz w:val="20"/>
          <w:szCs w:val="20"/>
        </w:rPr>
        <w:t xml:space="preserve"> for each dimension of access </w:t>
      </w:r>
      <w:r w:rsidR="00C827CB" w:rsidRPr="007A515F">
        <w:rPr>
          <w:rFonts w:ascii="Arial" w:hAnsi="Arial" w:cs="Arial"/>
          <w:sz w:val="20"/>
          <w:szCs w:val="20"/>
        </w:rPr>
        <w:t>[67]</w:t>
      </w:r>
      <w:r w:rsidRPr="007A515F">
        <w:rPr>
          <w:rFonts w:ascii="Arial" w:hAnsi="Arial" w:cs="Arial"/>
          <w:sz w:val="20"/>
          <w:szCs w:val="20"/>
        </w:rPr>
        <w:t xml:space="preserve">. </w:t>
      </w:r>
    </w:p>
    <w:p w14:paraId="0E674566" w14:textId="77777777" w:rsidR="007A515F" w:rsidRDefault="007A515F" w:rsidP="007A515F">
      <w:pPr>
        <w:pStyle w:val="NoSpacing"/>
        <w:rPr>
          <w:rFonts w:ascii="Arial" w:hAnsi="Arial" w:cs="Arial"/>
          <w:sz w:val="20"/>
          <w:szCs w:val="20"/>
        </w:rPr>
      </w:pPr>
    </w:p>
    <w:p w14:paraId="2D666623" w14:textId="24BD54B4" w:rsidR="00104A61" w:rsidRPr="007A515F" w:rsidRDefault="000A1091" w:rsidP="007A515F">
      <w:pPr>
        <w:pStyle w:val="NoSpacing"/>
        <w:rPr>
          <w:rFonts w:ascii="Arial" w:hAnsi="Arial" w:cs="Arial"/>
          <w:sz w:val="20"/>
          <w:szCs w:val="20"/>
          <w:highlight w:val="white"/>
        </w:rPr>
      </w:pPr>
      <w:r w:rsidRPr="007A515F">
        <w:rPr>
          <w:rFonts w:ascii="Arial" w:hAnsi="Arial" w:cs="Arial"/>
          <w:sz w:val="20"/>
          <w:szCs w:val="20"/>
        </w:rPr>
        <w:t>A pilot study was undertaken in Belo Horizonte to evaluate the average time to complete the questionnaire</w:t>
      </w:r>
      <w:r w:rsidR="00AF7D72" w:rsidRPr="007A515F">
        <w:rPr>
          <w:rFonts w:ascii="Arial" w:hAnsi="Arial" w:cs="Arial"/>
          <w:sz w:val="20"/>
          <w:szCs w:val="20"/>
        </w:rPr>
        <w:t xml:space="preserve"> in order</w:t>
      </w:r>
      <w:r w:rsidRPr="007A515F">
        <w:rPr>
          <w:rFonts w:ascii="Arial" w:hAnsi="Arial" w:cs="Arial"/>
          <w:sz w:val="20"/>
          <w:szCs w:val="20"/>
        </w:rPr>
        <w:t xml:space="preserve"> to identify possible difficulties with understanding the questions, and to address these where pertinent</w:t>
      </w:r>
      <w:r w:rsidR="00AF7D72" w:rsidRPr="007A515F">
        <w:rPr>
          <w:rFonts w:ascii="Arial" w:hAnsi="Arial" w:cs="Arial"/>
          <w:sz w:val="20"/>
          <w:szCs w:val="20"/>
        </w:rPr>
        <w:t xml:space="preserve"> before undertaking the full study</w:t>
      </w:r>
      <w:r w:rsidRPr="007A515F">
        <w:rPr>
          <w:rFonts w:ascii="Arial" w:hAnsi="Arial" w:cs="Arial"/>
          <w:sz w:val="20"/>
          <w:szCs w:val="20"/>
        </w:rPr>
        <w:t>. Belo Horizonte is the capital of Minas Gerais, Brazil, covering 331,401</w:t>
      </w:r>
      <w:r w:rsidRPr="007A515F">
        <w:rPr>
          <w:rFonts w:ascii="Arial" w:hAnsi="Arial" w:cs="Arial"/>
          <w:sz w:val="20"/>
          <w:szCs w:val="20"/>
          <w:highlight w:val="white"/>
        </w:rPr>
        <w:t xml:space="preserve"> km</w:t>
      </w:r>
      <w:r w:rsidRPr="007A515F">
        <w:rPr>
          <w:rFonts w:ascii="Arial" w:hAnsi="Arial" w:cs="Arial"/>
          <w:sz w:val="20"/>
          <w:szCs w:val="20"/>
          <w:vertAlign w:val="superscript"/>
        </w:rPr>
        <w:t>2</w:t>
      </w:r>
      <w:r w:rsidRPr="007A515F">
        <w:rPr>
          <w:rFonts w:ascii="Arial" w:hAnsi="Arial" w:cs="Arial"/>
          <w:sz w:val="20"/>
          <w:szCs w:val="20"/>
          <w:highlight w:val="white"/>
        </w:rPr>
        <w:t>, with more than 2.5 million inhabitants. Consequently, due to its size and population diversity, Belo Horizonte can be considered a good proxy for Brazil</w:t>
      </w:r>
      <w:r w:rsidR="00AF7D72" w:rsidRPr="007A515F">
        <w:rPr>
          <w:rFonts w:ascii="Arial" w:hAnsi="Arial" w:cs="Arial"/>
          <w:sz w:val="20"/>
          <w:szCs w:val="20"/>
        </w:rPr>
        <w:t xml:space="preserve"> [68,69]</w:t>
      </w:r>
      <w:r w:rsidRPr="007A515F">
        <w:rPr>
          <w:rFonts w:ascii="Arial" w:hAnsi="Arial" w:cs="Arial"/>
          <w:sz w:val="20"/>
          <w:szCs w:val="20"/>
          <w:highlight w:val="white"/>
        </w:rPr>
        <w:t>.</w:t>
      </w:r>
    </w:p>
    <w:p w14:paraId="41EB4A05" w14:textId="77777777" w:rsidR="007A515F" w:rsidRDefault="007A515F" w:rsidP="007A515F">
      <w:pPr>
        <w:pStyle w:val="NoSpacing"/>
        <w:rPr>
          <w:rFonts w:ascii="Arial" w:hAnsi="Arial" w:cs="Arial"/>
          <w:sz w:val="20"/>
          <w:szCs w:val="20"/>
        </w:rPr>
      </w:pPr>
    </w:p>
    <w:p w14:paraId="7535F294" w14:textId="114175F6" w:rsidR="00104A61" w:rsidRPr="007A515F" w:rsidRDefault="007A515F" w:rsidP="007A515F">
      <w:pPr>
        <w:pStyle w:val="NoSpacing"/>
        <w:rPr>
          <w:rFonts w:ascii="Arial" w:hAnsi="Arial" w:cs="Arial"/>
          <w:b/>
          <w:bCs/>
          <w:i/>
          <w:iCs/>
          <w:sz w:val="20"/>
          <w:szCs w:val="20"/>
        </w:rPr>
      </w:pPr>
      <w:r w:rsidRPr="007A515F">
        <w:rPr>
          <w:rFonts w:ascii="Arial" w:hAnsi="Arial" w:cs="Arial"/>
          <w:b/>
          <w:bCs/>
          <w:i/>
          <w:iCs/>
          <w:sz w:val="20"/>
          <w:szCs w:val="20"/>
        </w:rPr>
        <w:t>2.</w:t>
      </w:r>
      <w:r>
        <w:rPr>
          <w:rFonts w:ascii="Arial" w:hAnsi="Arial" w:cs="Arial"/>
          <w:b/>
          <w:bCs/>
          <w:i/>
          <w:iCs/>
          <w:sz w:val="20"/>
          <w:szCs w:val="20"/>
        </w:rPr>
        <w:t>3</w:t>
      </w:r>
      <w:r w:rsidRPr="007A515F">
        <w:rPr>
          <w:rFonts w:ascii="Arial" w:hAnsi="Arial" w:cs="Arial"/>
          <w:b/>
          <w:bCs/>
          <w:i/>
          <w:iCs/>
          <w:sz w:val="20"/>
          <w:szCs w:val="20"/>
        </w:rPr>
        <w:t xml:space="preserve"> </w:t>
      </w:r>
      <w:r w:rsidR="000A1091" w:rsidRPr="007A515F">
        <w:rPr>
          <w:rFonts w:ascii="Arial" w:hAnsi="Arial" w:cs="Arial"/>
          <w:b/>
          <w:bCs/>
          <w:i/>
          <w:iCs/>
          <w:sz w:val="20"/>
          <w:szCs w:val="20"/>
        </w:rPr>
        <w:t>Sample and Study Population</w:t>
      </w:r>
    </w:p>
    <w:p w14:paraId="31A816FF" w14:textId="2A4FF7DC"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Individuals 18 years old or older who agreed to respond to all items of the questionnaire were included in the survey. Potential interviewees were </w:t>
      </w:r>
      <w:r w:rsidR="00201E10" w:rsidRPr="007A515F">
        <w:rPr>
          <w:rFonts w:ascii="Arial" w:hAnsi="Arial" w:cs="Arial"/>
          <w:sz w:val="20"/>
          <w:szCs w:val="20"/>
        </w:rPr>
        <w:t>taken from</w:t>
      </w:r>
      <w:r w:rsidRPr="007A515F">
        <w:rPr>
          <w:rFonts w:ascii="Arial" w:hAnsi="Arial" w:cs="Arial"/>
          <w:sz w:val="20"/>
          <w:szCs w:val="20"/>
        </w:rPr>
        <w:t xml:space="preserve"> areas of high circulation in the metropolitan area of Belo Horizonte, similar to previous studies </w:t>
      </w:r>
      <w:r w:rsidR="00201E10" w:rsidRPr="007A515F">
        <w:rPr>
          <w:rFonts w:ascii="Arial" w:hAnsi="Arial" w:cs="Arial"/>
          <w:sz w:val="20"/>
          <w:szCs w:val="20"/>
        </w:rPr>
        <w:t xml:space="preserve">that </w:t>
      </w:r>
      <w:r w:rsidRPr="007A515F">
        <w:rPr>
          <w:rFonts w:ascii="Arial" w:hAnsi="Arial" w:cs="Arial"/>
          <w:sz w:val="20"/>
          <w:szCs w:val="20"/>
        </w:rPr>
        <w:t>ascertain</w:t>
      </w:r>
      <w:r w:rsidR="00201E10" w:rsidRPr="007A515F">
        <w:rPr>
          <w:rFonts w:ascii="Arial" w:hAnsi="Arial" w:cs="Arial"/>
          <w:sz w:val="20"/>
          <w:szCs w:val="20"/>
        </w:rPr>
        <w:t>ed</w:t>
      </w:r>
      <w:r w:rsidRPr="007A515F">
        <w:rPr>
          <w:rFonts w:ascii="Arial" w:hAnsi="Arial" w:cs="Arial"/>
          <w:sz w:val="20"/>
          <w:szCs w:val="20"/>
        </w:rPr>
        <w:t xml:space="preserve"> patient beliefs </w:t>
      </w:r>
      <w:r w:rsidRPr="007A515F">
        <w:rPr>
          <w:rFonts w:ascii="Arial" w:hAnsi="Arial" w:cs="Arial"/>
          <w:sz w:val="20"/>
          <w:szCs w:val="20"/>
        </w:rPr>
        <w:lastRenderedPageBreak/>
        <w:t>in Belo Horizonte</w:t>
      </w:r>
      <w:r w:rsidR="00201E10" w:rsidRPr="007A515F">
        <w:rPr>
          <w:rFonts w:ascii="Arial" w:hAnsi="Arial" w:cs="Arial"/>
          <w:sz w:val="20"/>
          <w:szCs w:val="20"/>
        </w:rPr>
        <w:t xml:space="preserve"> [68-</w:t>
      </w:r>
      <w:r w:rsidR="00E571A4" w:rsidRPr="007A515F">
        <w:rPr>
          <w:rFonts w:ascii="Arial" w:hAnsi="Arial" w:cs="Arial"/>
          <w:sz w:val="20"/>
          <w:szCs w:val="20"/>
        </w:rPr>
        <w:t>69</w:t>
      </w:r>
      <w:r w:rsidR="00201E10" w:rsidRPr="007A515F">
        <w:rPr>
          <w:rFonts w:ascii="Arial" w:hAnsi="Arial" w:cs="Arial"/>
          <w:sz w:val="20"/>
          <w:szCs w:val="20"/>
        </w:rPr>
        <w:t>]</w:t>
      </w:r>
      <w:r w:rsidRPr="007A515F">
        <w:rPr>
          <w:rFonts w:ascii="Arial" w:hAnsi="Arial" w:cs="Arial"/>
          <w:sz w:val="20"/>
          <w:szCs w:val="20"/>
        </w:rPr>
        <w:t xml:space="preserve">. The exclusion criteria included individuals less than 18 years of age and people with no interest to participate. The interviews were conducted by trained interviewers. </w:t>
      </w:r>
    </w:p>
    <w:p w14:paraId="2F4A6B93" w14:textId="77777777" w:rsidR="007A515F" w:rsidRDefault="007A515F" w:rsidP="007A515F">
      <w:pPr>
        <w:pStyle w:val="NoSpacing"/>
        <w:rPr>
          <w:rFonts w:ascii="Arial" w:hAnsi="Arial" w:cs="Arial"/>
          <w:sz w:val="20"/>
          <w:szCs w:val="20"/>
          <w:highlight w:val="white"/>
        </w:rPr>
      </w:pPr>
    </w:p>
    <w:p w14:paraId="1886F899" w14:textId="15927976" w:rsidR="00104A61" w:rsidRPr="007A515F" w:rsidRDefault="000A1091" w:rsidP="007A515F">
      <w:pPr>
        <w:pStyle w:val="NoSpacing"/>
        <w:rPr>
          <w:rFonts w:ascii="Arial" w:hAnsi="Arial" w:cs="Arial"/>
          <w:sz w:val="20"/>
          <w:szCs w:val="20"/>
          <w:highlight w:val="white"/>
        </w:rPr>
      </w:pPr>
      <w:r w:rsidRPr="007A515F">
        <w:rPr>
          <w:rFonts w:ascii="Arial" w:hAnsi="Arial" w:cs="Arial"/>
          <w:sz w:val="20"/>
          <w:szCs w:val="20"/>
          <w:highlight w:val="white"/>
        </w:rPr>
        <w:t xml:space="preserve">We </w:t>
      </w:r>
      <w:r w:rsidR="00201E10" w:rsidRPr="007A515F">
        <w:rPr>
          <w:rFonts w:ascii="Arial" w:hAnsi="Arial" w:cs="Arial"/>
          <w:sz w:val="20"/>
          <w:szCs w:val="20"/>
          <w:highlight w:val="white"/>
        </w:rPr>
        <w:t>believed</w:t>
      </w:r>
      <w:r w:rsidRPr="007A515F">
        <w:rPr>
          <w:rFonts w:ascii="Arial" w:hAnsi="Arial" w:cs="Arial"/>
          <w:sz w:val="20"/>
          <w:szCs w:val="20"/>
          <w:highlight w:val="white"/>
        </w:rPr>
        <w:t xml:space="preserve"> </w:t>
      </w:r>
      <w:r w:rsidR="00201E10" w:rsidRPr="007A515F">
        <w:rPr>
          <w:rFonts w:ascii="Arial" w:hAnsi="Arial" w:cs="Arial"/>
          <w:sz w:val="20"/>
          <w:szCs w:val="20"/>
          <w:highlight w:val="white"/>
        </w:rPr>
        <w:t xml:space="preserve">we would </w:t>
      </w:r>
      <w:r w:rsidRPr="007A515F">
        <w:rPr>
          <w:rFonts w:ascii="Arial" w:hAnsi="Arial" w:cs="Arial"/>
          <w:sz w:val="20"/>
          <w:szCs w:val="20"/>
          <w:highlight w:val="white"/>
        </w:rPr>
        <w:t xml:space="preserve">be able to  estimate the relative importance of each of the 5 dimensions based on the fact that the respondent could give grades from 1 to 5 for the degree of importance of each of the dimensions; that the scores of the 5 dimensions would be estimated for the general population (residents in BH, older than 18 years), separately by gender (men and women), age (up to 54 and 55 years or more) and health insurance (yes or no). Based on this  and </w:t>
      </w:r>
      <w:r w:rsidR="003A61A7" w:rsidRPr="007A515F">
        <w:rPr>
          <w:rFonts w:ascii="Arial" w:hAnsi="Arial" w:cs="Arial"/>
          <w:sz w:val="20"/>
          <w:szCs w:val="20"/>
          <w:highlight w:val="white"/>
        </w:rPr>
        <w:t xml:space="preserve">with </w:t>
      </w:r>
      <w:r w:rsidRPr="007A515F">
        <w:rPr>
          <w:rFonts w:ascii="Arial" w:hAnsi="Arial" w:cs="Arial"/>
          <w:sz w:val="20"/>
          <w:szCs w:val="20"/>
          <w:highlight w:val="white"/>
        </w:rPr>
        <w:t xml:space="preserve">no intention to estimate scores separately in the 8 categories formed by the combination of these variables; that the distribution of probabilities of these scores was unknown at the time of the study </w:t>
      </w:r>
      <w:r w:rsidR="003A61A7" w:rsidRPr="007A515F">
        <w:rPr>
          <w:rFonts w:ascii="Arial" w:hAnsi="Arial" w:cs="Arial"/>
          <w:sz w:val="20"/>
          <w:szCs w:val="20"/>
          <w:highlight w:val="white"/>
        </w:rPr>
        <w:t>with</w:t>
      </w:r>
      <w:r w:rsidRPr="007A515F">
        <w:rPr>
          <w:rFonts w:ascii="Arial" w:hAnsi="Arial" w:cs="Arial"/>
          <w:sz w:val="20"/>
          <w:szCs w:val="20"/>
          <w:highlight w:val="white"/>
        </w:rPr>
        <w:t xml:space="preserve"> no information available from previous studies</w:t>
      </w:r>
      <w:r w:rsidR="003A61A7" w:rsidRPr="007A515F">
        <w:rPr>
          <w:rFonts w:ascii="Arial" w:hAnsi="Arial" w:cs="Arial"/>
          <w:sz w:val="20"/>
          <w:szCs w:val="20"/>
          <w:highlight w:val="white"/>
        </w:rPr>
        <w:t>,</w:t>
      </w:r>
      <w:r w:rsidRPr="007A515F">
        <w:rPr>
          <w:rFonts w:ascii="Arial" w:hAnsi="Arial" w:cs="Arial"/>
          <w:sz w:val="20"/>
          <w:szCs w:val="20"/>
          <w:highlight w:val="white"/>
        </w:rPr>
        <w:t xml:space="preserve"> and that a margin of error of estimation of the score average</w:t>
      </w:r>
      <w:r w:rsidR="003A61A7" w:rsidRPr="007A515F">
        <w:rPr>
          <w:rFonts w:ascii="Arial" w:hAnsi="Arial" w:cs="Arial"/>
          <w:sz w:val="20"/>
          <w:szCs w:val="20"/>
          <w:highlight w:val="white"/>
        </w:rPr>
        <w:t>d</w:t>
      </w:r>
      <w:r w:rsidRPr="007A515F">
        <w:rPr>
          <w:rFonts w:ascii="Arial" w:hAnsi="Arial" w:cs="Arial"/>
          <w:sz w:val="20"/>
          <w:szCs w:val="20"/>
          <w:highlight w:val="white"/>
        </w:rPr>
        <w:t xml:space="preserve"> at most 1/5</w:t>
      </w:r>
      <w:r w:rsidRPr="007A515F">
        <w:rPr>
          <w:rFonts w:ascii="Arial" w:hAnsi="Arial" w:cs="Arial"/>
          <w:sz w:val="20"/>
          <w:szCs w:val="20"/>
          <w:highlight w:val="white"/>
          <w:vertAlign w:val="superscript"/>
        </w:rPr>
        <w:t>th</w:t>
      </w:r>
      <w:r w:rsidRPr="007A515F">
        <w:rPr>
          <w:rFonts w:ascii="Arial" w:hAnsi="Arial" w:cs="Arial"/>
          <w:sz w:val="20"/>
          <w:szCs w:val="20"/>
          <w:highlight w:val="white"/>
        </w:rPr>
        <w:t xml:space="preserve"> of the standard deviation of scores in the population in each estimation (considering a 95% confidence level), the sample should contain at least 462 </w:t>
      </w:r>
      <w:r w:rsidR="003A61A7" w:rsidRPr="007A515F">
        <w:rPr>
          <w:rFonts w:ascii="Arial" w:hAnsi="Arial" w:cs="Arial"/>
          <w:sz w:val="20"/>
          <w:szCs w:val="20"/>
          <w:highlight w:val="white"/>
        </w:rPr>
        <w:t>interviewees</w:t>
      </w:r>
      <w:r w:rsidRPr="007A515F">
        <w:rPr>
          <w:rFonts w:ascii="Arial" w:hAnsi="Arial" w:cs="Arial"/>
          <w:sz w:val="20"/>
          <w:szCs w:val="20"/>
          <w:highlight w:val="white"/>
        </w:rPr>
        <w:t xml:space="preserve">, distributed by male (n = 213) and female (n = 249); age: 18-54 (n = 362) and 55 or more (n = 100); </w:t>
      </w:r>
      <w:r w:rsidR="003A61A7" w:rsidRPr="007A515F">
        <w:rPr>
          <w:rFonts w:ascii="Arial" w:hAnsi="Arial" w:cs="Arial"/>
          <w:sz w:val="20"/>
          <w:szCs w:val="20"/>
          <w:highlight w:val="white"/>
        </w:rPr>
        <w:t xml:space="preserve">and </w:t>
      </w:r>
      <w:r w:rsidRPr="007A515F">
        <w:rPr>
          <w:rFonts w:ascii="Arial" w:hAnsi="Arial" w:cs="Arial"/>
          <w:sz w:val="20"/>
          <w:szCs w:val="20"/>
          <w:highlight w:val="white"/>
        </w:rPr>
        <w:t>health insurance: yes (n = 250) and no (n = 212). The sample calculation was conducted to guarantee the statistical power to answer the research question, be representative and avoid possible bias.</w:t>
      </w:r>
    </w:p>
    <w:p w14:paraId="0A9AC773" w14:textId="77777777" w:rsidR="007A515F" w:rsidRDefault="007A515F" w:rsidP="007A515F">
      <w:pPr>
        <w:pStyle w:val="NoSpacing"/>
        <w:rPr>
          <w:rFonts w:ascii="Arial" w:hAnsi="Arial" w:cs="Arial"/>
          <w:sz w:val="20"/>
          <w:szCs w:val="20"/>
        </w:rPr>
      </w:pPr>
    </w:p>
    <w:p w14:paraId="0CFBD5C2" w14:textId="0312149C" w:rsidR="00104A61" w:rsidRPr="007A515F" w:rsidRDefault="007A515F" w:rsidP="007A515F">
      <w:pPr>
        <w:pStyle w:val="NoSpacing"/>
        <w:rPr>
          <w:rFonts w:ascii="Arial" w:hAnsi="Arial" w:cs="Arial"/>
          <w:b/>
          <w:bCs/>
          <w:i/>
          <w:iCs/>
          <w:sz w:val="20"/>
          <w:szCs w:val="20"/>
        </w:rPr>
      </w:pPr>
      <w:r w:rsidRPr="007A515F">
        <w:rPr>
          <w:rFonts w:ascii="Arial" w:hAnsi="Arial" w:cs="Arial"/>
          <w:b/>
          <w:bCs/>
          <w:i/>
          <w:iCs/>
          <w:sz w:val="20"/>
          <w:szCs w:val="20"/>
        </w:rPr>
        <w:t>2.</w:t>
      </w:r>
      <w:r>
        <w:rPr>
          <w:rFonts w:ascii="Arial" w:hAnsi="Arial" w:cs="Arial"/>
          <w:b/>
          <w:bCs/>
          <w:i/>
          <w:iCs/>
          <w:sz w:val="20"/>
          <w:szCs w:val="20"/>
        </w:rPr>
        <w:t>4</w:t>
      </w:r>
      <w:r w:rsidRPr="007A515F">
        <w:rPr>
          <w:rFonts w:ascii="Arial" w:hAnsi="Arial" w:cs="Arial"/>
          <w:b/>
          <w:bCs/>
          <w:i/>
          <w:iCs/>
          <w:sz w:val="20"/>
          <w:szCs w:val="20"/>
        </w:rPr>
        <w:t xml:space="preserve"> </w:t>
      </w:r>
      <w:r w:rsidR="000A1091" w:rsidRPr="007A515F">
        <w:rPr>
          <w:rFonts w:ascii="Arial" w:hAnsi="Arial" w:cs="Arial"/>
          <w:b/>
          <w:bCs/>
          <w:i/>
          <w:iCs/>
          <w:sz w:val="20"/>
          <w:szCs w:val="20"/>
        </w:rPr>
        <w:t xml:space="preserve">Data collection </w:t>
      </w:r>
    </w:p>
    <w:p w14:paraId="34443497" w14:textId="6568B14D"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Data collection was performed with individuals who obtained their medication from public and/or private pharmacies and </w:t>
      </w:r>
      <w:r w:rsidR="003A61A7" w:rsidRPr="007A515F">
        <w:rPr>
          <w:rFonts w:ascii="Arial" w:hAnsi="Arial" w:cs="Arial"/>
          <w:sz w:val="20"/>
          <w:szCs w:val="20"/>
        </w:rPr>
        <w:t xml:space="preserve">with the necessary </w:t>
      </w:r>
      <w:r w:rsidRPr="007A515F">
        <w:rPr>
          <w:rFonts w:ascii="Arial" w:hAnsi="Arial" w:cs="Arial"/>
          <w:sz w:val="20"/>
          <w:szCs w:val="20"/>
        </w:rPr>
        <w:t>sociodemographic characteristics</w:t>
      </w:r>
      <w:r w:rsidR="003A61A7" w:rsidRPr="007A515F">
        <w:rPr>
          <w:rFonts w:ascii="Arial" w:hAnsi="Arial" w:cs="Arial"/>
          <w:sz w:val="20"/>
          <w:szCs w:val="20"/>
        </w:rPr>
        <w:t xml:space="preserve"> including</w:t>
      </w:r>
      <w:r w:rsidRPr="007A515F">
        <w:rPr>
          <w:rFonts w:ascii="Arial" w:hAnsi="Arial" w:cs="Arial"/>
          <w:sz w:val="20"/>
          <w:szCs w:val="20"/>
        </w:rPr>
        <w:t xml:space="preserve"> age, gender, education and monthly family income (stratification by value of minimum wages in Brazil - R$ 998.00 or U$ 1,981.03 converted by Purchasing power parities (PPP) – similar to previous studies </w:t>
      </w:r>
      <w:r w:rsidR="00021604" w:rsidRPr="007A515F">
        <w:rPr>
          <w:rFonts w:ascii="Arial" w:hAnsi="Arial" w:cs="Arial"/>
          <w:sz w:val="20"/>
          <w:szCs w:val="20"/>
        </w:rPr>
        <w:t>[68</w:t>
      </w:r>
      <w:r w:rsidR="00E571A4" w:rsidRPr="007A515F">
        <w:rPr>
          <w:rFonts w:ascii="Arial" w:hAnsi="Arial" w:cs="Arial"/>
          <w:sz w:val="20"/>
          <w:szCs w:val="20"/>
        </w:rPr>
        <w:t>,69</w:t>
      </w:r>
      <w:r w:rsidR="00021604" w:rsidRPr="007A515F">
        <w:rPr>
          <w:rFonts w:ascii="Arial" w:hAnsi="Arial" w:cs="Arial"/>
          <w:sz w:val="20"/>
          <w:szCs w:val="20"/>
        </w:rPr>
        <w:t>]</w:t>
      </w:r>
      <w:r w:rsidR="003A61A7" w:rsidRPr="007A515F">
        <w:rPr>
          <w:rFonts w:ascii="Arial" w:hAnsi="Arial" w:cs="Arial"/>
          <w:sz w:val="20"/>
          <w:szCs w:val="20"/>
        </w:rPr>
        <w:t xml:space="preserve">. </w:t>
      </w:r>
    </w:p>
    <w:p w14:paraId="0EA30A48" w14:textId="77777777" w:rsidR="007A515F" w:rsidRDefault="007A515F" w:rsidP="007A515F">
      <w:pPr>
        <w:pStyle w:val="NoSpacing"/>
        <w:rPr>
          <w:rFonts w:ascii="Arial" w:hAnsi="Arial" w:cs="Arial"/>
          <w:sz w:val="20"/>
          <w:szCs w:val="20"/>
        </w:rPr>
      </w:pPr>
    </w:p>
    <w:p w14:paraId="6A348E8D" w14:textId="08CF2AA1" w:rsidR="00104A61" w:rsidRPr="007A515F" w:rsidRDefault="000A1091" w:rsidP="007A515F">
      <w:pPr>
        <w:pStyle w:val="NoSpacing"/>
        <w:rPr>
          <w:rFonts w:ascii="Arial" w:hAnsi="Arial" w:cs="Arial"/>
          <w:sz w:val="20"/>
          <w:szCs w:val="20"/>
        </w:rPr>
      </w:pPr>
      <w:r w:rsidRPr="007A515F">
        <w:rPr>
          <w:rFonts w:ascii="Arial" w:hAnsi="Arial" w:cs="Arial"/>
          <w:sz w:val="20"/>
          <w:szCs w:val="20"/>
        </w:rPr>
        <w:t>A</w:t>
      </w:r>
      <w:r w:rsidR="003A61A7" w:rsidRPr="007A515F">
        <w:rPr>
          <w:rFonts w:ascii="Arial" w:hAnsi="Arial" w:cs="Arial"/>
          <w:sz w:val="20"/>
          <w:szCs w:val="20"/>
        </w:rPr>
        <w:t>s mentioned, a</w:t>
      </w:r>
      <w:r w:rsidRPr="007A515F">
        <w:rPr>
          <w:rFonts w:ascii="Arial" w:hAnsi="Arial" w:cs="Arial"/>
          <w:sz w:val="20"/>
          <w:szCs w:val="20"/>
        </w:rPr>
        <w:t>ll the interviewers were trained to conduct interviews through a course provided by the Brazilian Association of Interviewers (</w:t>
      </w:r>
      <w:r w:rsidRPr="007A515F">
        <w:rPr>
          <w:rFonts w:ascii="Arial" w:hAnsi="Arial" w:cs="Arial"/>
          <w:i/>
          <w:sz w:val="20"/>
          <w:szCs w:val="20"/>
        </w:rPr>
        <w:t>Associação brasileira de empresas de pesquisa</w:t>
      </w:r>
      <w:r w:rsidRPr="007A515F">
        <w:rPr>
          <w:rFonts w:ascii="Arial" w:hAnsi="Arial" w:cs="Arial"/>
          <w:sz w:val="20"/>
          <w:szCs w:val="20"/>
        </w:rPr>
        <w:t xml:space="preserve"> - ABEP). </w:t>
      </w:r>
    </w:p>
    <w:p w14:paraId="41EABC30" w14:textId="77777777" w:rsidR="007A515F" w:rsidRDefault="007A515F" w:rsidP="007A515F">
      <w:pPr>
        <w:pStyle w:val="NoSpacing"/>
        <w:rPr>
          <w:rFonts w:ascii="Arial" w:hAnsi="Arial" w:cs="Arial"/>
          <w:sz w:val="20"/>
          <w:szCs w:val="20"/>
        </w:rPr>
      </w:pPr>
    </w:p>
    <w:p w14:paraId="7D4DA344" w14:textId="1FCE2193" w:rsidR="00104A61" w:rsidRPr="007A515F" w:rsidRDefault="00021604" w:rsidP="007A515F">
      <w:pPr>
        <w:pStyle w:val="NoSpacing"/>
        <w:rPr>
          <w:rFonts w:ascii="Arial" w:hAnsi="Arial" w:cs="Arial"/>
          <w:sz w:val="20"/>
          <w:szCs w:val="20"/>
        </w:rPr>
      </w:pPr>
      <w:r w:rsidRPr="007A515F">
        <w:rPr>
          <w:rFonts w:ascii="Arial" w:hAnsi="Arial" w:cs="Arial"/>
          <w:sz w:val="20"/>
          <w:szCs w:val="20"/>
        </w:rPr>
        <w:t xml:space="preserve">Face-to-face interviews were </w:t>
      </w:r>
      <w:r w:rsidR="000A1091" w:rsidRPr="007A515F">
        <w:rPr>
          <w:rFonts w:ascii="Arial" w:hAnsi="Arial" w:cs="Arial"/>
          <w:sz w:val="20"/>
          <w:szCs w:val="20"/>
        </w:rPr>
        <w:t xml:space="preserve">conducted with a semi-structured paper-based questionnaire, administered by the interviewers. Subsequently, the data were tabulated in order to identify key trends and the implications. </w:t>
      </w:r>
    </w:p>
    <w:p w14:paraId="267D650F" w14:textId="77777777" w:rsidR="00104A61" w:rsidRPr="007A515F" w:rsidRDefault="00104A61" w:rsidP="007A515F">
      <w:pPr>
        <w:pStyle w:val="NoSpacing"/>
        <w:rPr>
          <w:rFonts w:ascii="Arial" w:hAnsi="Arial" w:cs="Arial"/>
          <w:sz w:val="20"/>
          <w:szCs w:val="20"/>
        </w:rPr>
      </w:pPr>
    </w:p>
    <w:p w14:paraId="339AC5F2" w14:textId="7F860233" w:rsidR="00104A61" w:rsidRPr="007A515F" w:rsidRDefault="007A515F" w:rsidP="007A515F">
      <w:pPr>
        <w:pStyle w:val="NoSpacing"/>
        <w:rPr>
          <w:rFonts w:ascii="Arial" w:hAnsi="Arial" w:cs="Arial"/>
          <w:b/>
          <w:bCs/>
          <w:i/>
          <w:iCs/>
          <w:sz w:val="20"/>
          <w:szCs w:val="20"/>
        </w:rPr>
      </w:pPr>
      <w:r w:rsidRPr="007A515F">
        <w:rPr>
          <w:rFonts w:ascii="Arial" w:hAnsi="Arial" w:cs="Arial"/>
          <w:b/>
          <w:bCs/>
          <w:i/>
          <w:iCs/>
          <w:sz w:val="20"/>
          <w:szCs w:val="20"/>
        </w:rPr>
        <w:t>2.</w:t>
      </w:r>
      <w:r>
        <w:rPr>
          <w:rFonts w:ascii="Arial" w:hAnsi="Arial" w:cs="Arial"/>
          <w:b/>
          <w:bCs/>
          <w:i/>
          <w:iCs/>
          <w:sz w:val="20"/>
          <w:szCs w:val="20"/>
        </w:rPr>
        <w:t>5</w:t>
      </w:r>
      <w:r w:rsidRPr="007A515F">
        <w:rPr>
          <w:rFonts w:ascii="Arial" w:hAnsi="Arial" w:cs="Arial"/>
          <w:b/>
          <w:bCs/>
          <w:i/>
          <w:iCs/>
          <w:sz w:val="20"/>
          <w:szCs w:val="20"/>
        </w:rPr>
        <w:t xml:space="preserve"> </w:t>
      </w:r>
      <w:r w:rsidR="000A1091" w:rsidRPr="007A515F">
        <w:rPr>
          <w:rFonts w:ascii="Arial" w:hAnsi="Arial" w:cs="Arial"/>
          <w:b/>
          <w:bCs/>
          <w:i/>
          <w:iCs/>
          <w:sz w:val="20"/>
          <w:szCs w:val="20"/>
        </w:rPr>
        <w:t>Data analysis</w:t>
      </w:r>
    </w:p>
    <w:p w14:paraId="53A8920E" w14:textId="2A32766C"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The score of each dimension was calculated by the ratio of the assigned score to the sum of </w:t>
      </w:r>
      <w:r w:rsidR="003A61A7" w:rsidRPr="007A515F">
        <w:rPr>
          <w:rFonts w:ascii="Arial" w:hAnsi="Arial" w:cs="Arial"/>
          <w:sz w:val="20"/>
          <w:szCs w:val="20"/>
        </w:rPr>
        <w:t>the total</w:t>
      </w:r>
      <w:r w:rsidRPr="007A515F">
        <w:rPr>
          <w:rFonts w:ascii="Arial" w:hAnsi="Arial" w:cs="Arial"/>
          <w:sz w:val="20"/>
          <w:szCs w:val="20"/>
        </w:rPr>
        <w:t xml:space="preserve">. </w:t>
      </w:r>
      <w:r w:rsidR="003A61A7" w:rsidRPr="007A515F">
        <w:rPr>
          <w:rFonts w:ascii="Arial" w:hAnsi="Arial" w:cs="Arial"/>
          <w:sz w:val="20"/>
          <w:szCs w:val="20"/>
        </w:rPr>
        <w:t>From</w:t>
      </w:r>
      <w:r w:rsidRPr="007A515F">
        <w:rPr>
          <w:rFonts w:ascii="Arial" w:hAnsi="Arial" w:cs="Arial"/>
          <w:sz w:val="20"/>
          <w:szCs w:val="20"/>
        </w:rPr>
        <w:t xml:space="preserve"> the values for importance and satisfaction, in relation to each of the five dimensions, a score </w:t>
      </w:r>
      <w:r w:rsidR="003A61A7" w:rsidRPr="007A515F">
        <w:rPr>
          <w:rFonts w:ascii="Arial" w:hAnsi="Arial" w:cs="Arial"/>
          <w:sz w:val="20"/>
          <w:szCs w:val="20"/>
        </w:rPr>
        <w:t>for the</w:t>
      </w:r>
      <w:r w:rsidRPr="007A515F">
        <w:rPr>
          <w:rFonts w:ascii="Arial" w:hAnsi="Arial" w:cs="Arial"/>
          <w:sz w:val="20"/>
          <w:szCs w:val="20"/>
        </w:rPr>
        <w:t xml:space="preserve"> dimension was defined correlating to these two variables</w:t>
      </w:r>
      <w:r w:rsidR="003A61A7" w:rsidRPr="007A515F">
        <w:rPr>
          <w:rFonts w:ascii="Arial" w:hAnsi="Arial" w:cs="Arial"/>
          <w:sz w:val="20"/>
          <w:szCs w:val="20"/>
        </w:rPr>
        <w:t>:</w:t>
      </w:r>
    </w:p>
    <w:p w14:paraId="46E38A6A" w14:textId="77777777" w:rsidR="007A515F" w:rsidRDefault="007A515F" w:rsidP="007A515F">
      <w:pPr>
        <w:pStyle w:val="NoSpacing"/>
        <w:rPr>
          <w:rFonts w:ascii="Arial" w:hAnsi="Arial" w:cs="Arial"/>
          <w:sz w:val="20"/>
          <w:szCs w:val="20"/>
        </w:rPr>
      </w:pPr>
    </w:p>
    <w:p w14:paraId="04F80552" w14:textId="5FF14B53" w:rsidR="00104A61" w:rsidRPr="007A515F" w:rsidRDefault="000A1091" w:rsidP="007A515F">
      <w:pPr>
        <w:pStyle w:val="NoSpacing"/>
        <w:rPr>
          <w:rFonts w:ascii="Arial" w:hAnsi="Arial" w:cs="Arial"/>
          <w:sz w:val="20"/>
          <w:szCs w:val="20"/>
        </w:rPr>
      </w:pPr>
      <w:r w:rsidRPr="007A515F">
        <w:rPr>
          <w:rFonts w:ascii="Arial" w:hAnsi="Arial" w:cs="Arial"/>
          <w:sz w:val="20"/>
          <w:szCs w:val="20"/>
        </w:rPr>
        <w:t>Notation:</w:t>
      </w:r>
    </w:p>
    <w:p w14:paraId="39F0D349"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score of dimension = (score of importance * score of satisfaction)</w:t>
      </w:r>
    </w:p>
    <w:p w14:paraId="66E66FB5"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                                                             5 (number of dimensions)</w:t>
      </w:r>
    </w:p>
    <w:p w14:paraId="555A7E3A" w14:textId="77777777" w:rsidR="007A515F" w:rsidRDefault="007A515F" w:rsidP="007A515F">
      <w:pPr>
        <w:pStyle w:val="NoSpacing"/>
        <w:rPr>
          <w:rFonts w:ascii="Arial" w:hAnsi="Arial" w:cs="Arial"/>
          <w:sz w:val="20"/>
          <w:szCs w:val="20"/>
        </w:rPr>
      </w:pPr>
    </w:p>
    <w:p w14:paraId="31586AF1" w14:textId="2241E77D" w:rsidR="00104A61" w:rsidRPr="007A515F" w:rsidRDefault="000A1091" w:rsidP="007A515F">
      <w:pPr>
        <w:pStyle w:val="NoSpacing"/>
        <w:rPr>
          <w:rFonts w:ascii="Arial" w:hAnsi="Arial" w:cs="Arial"/>
          <w:sz w:val="20"/>
          <w:szCs w:val="20"/>
        </w:rPr>
      </w:pPr>
      <w:r w:rsidRPr="007A515F">
        <w:rPr>
          <w:rFonts w:ascii="Arial" w:hAnsi="Arial" w:cs="Arial"/>
          <w:sz w:val="20"/>
          <w:szCs w:val="20"/>
        </w:rPr>
        <w:t>For the calculation of the unique access indicator, it was proposed:</w:t>
      </w:r>
    </w:p>
    <w:p w14:paraId="41C05CB1" w14:textId="6BB87E0C" w:rsidR="00104A61" w:rsidRPr="007A515F" w:rsidRDefault="000A1091" w:rsidP="007A515F">
      <w:pPr>
        <w:pStyle w:val="NoSpacing"/>
        <w:rPr>
          <w:rFonts w:ascii="Arial" w:hAnsi="Arial" w:cs="Arial"/>
          <w:i/>
          <w:sz w:val="20"/>
          <w:szCs w:val="20"/>
        </w:rPr>
      </w:pPr>
      <w:r w:rsidRPr="007A515F">
        <w:rPr>
          <w:rFonts w:ascii="Arial" w:hAnsi="Arial" w:cs="Arial"/>
          <w:sz w:val="20"/>
          <w:szCs w:val="20"/>
        </w:rPr>
        <w:t>Indicator of access = (W</w:t>
      </w:r>
      <w:r w:rsidRPr="007A515F">
        <w:rPr>
          <w:rFonts w:ascii="Arial" w:hAnsi="Arial" w:cs="Arial"/>
          <w:sz w:val="20"/>
          <w:szCs w:val="20"/>
          <w:vertAlign w:val="subscript"/>
        </w:rPr>
        <w:t>b</w:t>
      </w:r>
      <w:r w:rsidRPr="007A515F">
        <w:rPr>
          <w:rFonts w:ascii="Arial" w:hAnsi="Arial" w:cs="Arial"/>
          <w:sz w:val="20"/>
          <w:szCs w:val="20"/>
        </w:rPr>
        <w:t xml:space="preserve"> * I</w:t>
      </w:r>
      <w:r w:rsidRPr="007A515F">
        <w:rPr>
          <w:rFonts w:ascii="Arial" w:hAnsi="Arial" w:cs="Arial"/>
          <w:sz w:val="20"/>
          <w:szCs w:val="20"/>
          <w:vertAlign w:val="subscript"/>
        </w:rPr>
        <w:t>b</w:t>
      </w:r>
      <w:r w:rsidRPr="007A515F">
        <w:rPr>
          <w:rFonts w:ascii="Arial" w:hAnsi="Arial" w:cs="Arial"/>
          <w:sz w:val="20"/>
          <w:szCs w:val="20"/>
        </w:rPr>
        <w:t>)+(W</w:t>
      </w:r>
      <w:r w:rsidRPr="007A515F">
        <w:rPr>
          <w:rFonts w:ascii="Arial" w:hAnsi="Arial" w:cs="Arial"/>
          <w:sz w:val="20"/>
          <w:szCs w:val="20"/>
          <w:vertAlign w:val="subscript"/>
        </w:rPr>
        <w:t>c</w:t>
      </w:r>
      <w:r w:rsidRPr="007A515F">
        <w:rPr>
          <w:rFonts w:ascii="Arial" w:hAnsi="Arial" w:cs="Arial"/>
          <w:sz w:val="20"/>
          <w:szCs w:val="20"/>
        </w:rPr>
        <w:t xml:space="preserve"> * I</w:t>
      </w:r>
      <w:r w:rsidRPr="007A515F">
        <w:rPr>
          <w:rFonts w:ascii="Arial" w:hAnsi="Arial" w:cs="Arial"/>
          <w:sz w:val="20"/>
          <w:szCs w:val="20"/>
          <w:vertAlign w:val="subscript"/>
        </w:rPr>
        <w:t>c</w:t>
      </w:r>
      <w:r w:rsidRPr="007A515F">
        <w:rPr>
          <w:rFonts w:ascii="Arial" w:hAnsi="Arial" w:cs="Arial"/>
          <w:sz w:val="20"/>
          <w:szCs w:val="20"/>
        </w:rPr>
        <w:t>)+(W</w:t>
      </w:r>
      <w:r w:rsidRPr="007A515F">
        <w:rPr>
          <w:rFonts w:ascii="Arial" w:hAnsi="Arial" w:cs="Arial"/>
          <w:sz w:val="20"/>
          <w:szCs w:val="20"/>
          <w:vertAlign w:val="subscript"/>
        </w:rPr>
        <w:t>d</w:t>
      </w:r>
      <w:r w:rsidRPr="007A515F">
        <w:rPr>
          <w:rFonts w:ascii="Arial" w:hAnsi="Arial" w:cs="Arial"/>
          <w:sz w:val="20"/>
          <w:szCs w:val="20"/>
        </w:rPr>
        <w:t xml:space="preserve"> * I</w:t>
      </w:r>
      <w:r w:rsidRPr="007A515F">
        <w:rPr>
          <w:rFonts w:ascii="Arial" w:hAnsi="Arial" w:cs="Arial"/>
          <w:sz w:val="20"/>
          <w:szCs w:val="20"/>
          <w:vertAlign w:val="subscript"/>
        </w:rPr>
        <w:t>d</w:t>
      </w:r>
      <w:r w:rsidRPr="007A515F">
        <w:rPr>
          <w:rFonts w:ascii="Arial" w:hAnsi="Arial" w:cs="Arial"/>
          <w:sz w:val="20"/>
          <w:szCs w:val="20"/>
        </w:rPr>
        <w:t>)+(W</w:t>
      </w:r>
      <w:r w:rsidRPr="007A515F">
        <w:rPr>
          <w:rFonts w:ascii="Arial" w:hAnsi="Arial" w:cs="Arial"/>
          <w:sz w:val="20"/>
          <w:szCs w:val="20"/>
          <w:vertAlign w:val="subscript"/>
        </w:rPr>
        <w:t>e</w:t>
      </w:r>
      <w:r w:rsidRPr="007A515F">
        <w:rPr>
          <w:rFonts w:ascii="Arial" w:hAnsi="Arial" w:cs="Arial"/>
          <w:sz w:val="20"/>
          <w:szCs w:val="20"/>
        </w:rPr>
        <w:t xml:space="preserve"> * I</w:t>
      </w:r>
      <w:r w:rsidRPr="007A515F">
        <w:rPr>
          <w:rFonts w:ascii="Arial" w:hAnsi="Arial" w:cs="Arial"/>
          <w:sz w:val="20"/>
          <w:szCs w:val="20"/>
          <w:vertAlign w:val="subscript"/>
        </w:rPr>
        <w:t>e</w:t>
      </w:r>
      <w:r w:rsidRPr="007A515F">
        <w:rPr>
          <w:rFonts w:ascii="Arial" w:hAnsi="Arial" w:cs="Arial"/>
          <w:sz w:val="20"/>
          <w:szCs w:val="20"/>
        </w:rPr>
        <w:t>) + (W</w:t>
      </w:r>
      <w:r w:rsidRPr="007A515F">
        <w:rPr>
          <w:rFonts w:ascii="Arial" w:hAnsi="Arial" w:cs="Arial"/>
          <w:sz w:val="20"/>
          <w:szCs w:val="20"/>
          <w:vertAlign w:val="subscript"/>
        </w:rPr>
        <w:t>f</w:t>
      </w:r>
      <w:r w:rsidRPr="007A515F">
        <w:rPr>
          <w:rFonts w:ascii="Arial" w:hAnsi="Arial" w:cs="Arial"/>
          <w:sz w:val="20"/>
          <w:szCs w:val="20"/>
        </w:rPr>
        <w:t xml:space="preserve"> * I</w:t>
      </w:r>
      <w:r w:rsidRPr="007A515F">
        <w:rPr>
          <w:rFonts w:ascii="Arial" w:hAnsi="Arial" w:cs="Arial"/>
          <w:sz w:val="20"/>
          <w:szCs w:val="20"/>
          <w:vertAlign w:val="subscript"/>
        </w:rPr>
        <w:t>f</w:t>
      </w:r>
      <w:r w:rsidRPr="007A515F">
        <w:rPr>
          <w:rFonts w:ascii="Arial" w:hAnsi="Arial" w:cs="Arial"/>
          <w:sz w:val="20"/>
          <w:szCs w:val="20"/>
        </w:rPr>
        <w:t>)/5 (</w:t>
      </w:r>
      <w:r w:rsidR="00021604" w:rsidRPr="007A515F">
        <w:rPr>
          <w:rFonts w:ascii="Arial" w:hAnsi="Arial" w:cs="Arial"/>
          <w:sz w:val="20"/>
          <w:szCs w:val="20"/>
        </w:rPr>
        <w:t>number of dimensions</w:t>
      </w:r>
      <w:r w:rsidRPr="007A515F">
        <w:rPr>
          <w:rFonts w:ascii="Arial" w:hAnsi="Arial" w:cs="Arial"/>
          <w:sz w:val="20"/>
          <w:szCs w:val="20"/>
        </w:rPr>
        <w:t>)</w:t>
      </w:r>
      <w:r w:rsidR="003A61A7" w:rsidRPr="007A515F">
        <w:rPr>
          <w:rFonts w:ascii="Arial" w:hAnsi="Arial" w:cs="Arial"/>
          <w:i/>
          <w:sz w:val="20"/>
          <w:szCs w:val="20"/>
        </w:rPr>
        <w:t>The r</w:t>
      </w:r>
      <w:r w:rsidRPr="007A515F">
        <w:rPr>
          <w:rFonts w:ascii="Arial" w:hAnsi="Arial" w:cs="Arial"/>
          <w:i/>
          <w:sz w:val="20"/>
          <w:szCs w:val="20"/>
        </w:rPr>
        <w:t>elative mean of score in the study population</w:t>
      </w:r>
      <w:r w:rsidR="003A61A7" w:rsidRPr="007A515F">
        <w:rPr>
          <w:rFonts w:ascii="Arial" w:hAnsi="Arial" w:cs="Arial"/>
          <w:i/>
          <w:sz w:val="20"/>
          <w:szCs w:val="20"/>
        </w:rPr>
        <w:t xml:space="preserve"> was calculated  w</w:t>
      </w:r>
      <w:r w:rsidRPr="007A515F">
        <w:rPr>
          <w:rFonts w:ascii="Arial" w:hAnsi="Arial" w:cs="Arial"/>
          <w:i/>
          <w:sz w:val="20"/>
          <w:szCs w:val="20"/>
        </w:rPr>
        <w:t>here:</w:t>
      </w:r>
    </w:p>
    <w:p w14:paraId="0BB0B73D"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Dimension:</w:t>
      </w:r>
    </w:p>
    <w:p w14:paraId="157256D6" w14:textId="77777777" w:rsidR="00104A61" w:rsidRPr="007A515F" w:rsidRDefault="000A1091" w:rsidP="007A515F">
      <w:pPr>
        <w:pStyle w:val="NoSpacing"/>
        <w:rPr>
          <w:rFonts w:ascii="Arial" w:hAnsi="Arial" w:cs="Arial"/>
          <w:sz w:val="20"/>
          <w:szCs w:val="20"/>
        </w:rPr>
      </w:pPr>
      <w:r w:rsidRPr="007A515F">
        <w:rPr>
          <w:rFonts w:ascii="Arial" w:hAnsi="Arial" w:cs="Arial"/>
          <w:i/>
          <w:sz w:val="20"/>
          <w:szCs w:val="20"/>
        </w:rPr>
        <w:t>1)</w:t>
      </w:r>
      <w:r w:rsidRPr="007A515F">
        <w:rPr>
          <w:rFonts w:ascii="Arial" w:hAnsi="Arial" w:cs="Arial"/>
          <w:sz w:val="20"/>
          <w:szCs w:val="20"/>
        </w:rPr>
        <w:t xml:space="preserve">      </w:t>
      </w:r>
      <w:r w:rsidRPr="007A515F">
        <w:rPr>
          <w:rFonts w:ascii="Arial" w:hAnsi="Arial" w:cs="Arial"/>
          <w:i/>
          <w:sz w:val="20"/>
          <w:szCs w:val="20"/>
        </w:rPr>
        <w:t>Availability (b);</w:t>
      </w:r>
    </w:p>
    <w:p w14:paraId="5E7A01A5" w14:textId="77777777" w:rsidR="00104A61" w:rsidRPr="007A515F" w:rsidRDefault="000A1091" w:rsidP="007A515F">
      <w:pPr>
        <w:pStyle w:val="NoSpacing"/>
        <w:rPr>
          <w:rFonts w:ascii="Arial" w:hAnsi="Arial" w:cs="Arial"/>
          <w:sz w:val="20"/>
          <w:szCs w:val="20"/>
        </w:rPr>
      </w:pPr>
      <w:r w:rsidRPr="007A515F">
        <w:rPr>
          <w:rFonts w:ascii="Arial" w:hAnsi="Arial" w:cs="Arial"/>
          <w:i/>
          <w:sz w:val="20"/>
          <w:szCs w:val="20"/>
        </w:rPr>
        <w:t>2)</w:t>
      </w:r>
      <w:r w:rsidRPr="007A515F">
        <w:rPr>
          <w:rFonts w:ascii="Arial" w:hAnsi="Arial" w:cs="Arial"/>
          <w:sz w:val="20"/>
          <w:szCs w:val="20"/>
        </w:rPr>
        <w:t xml:space="preserve">      </w:t>
      </w:r>
      <w:r w:rsidRPr="007A515F">
        <w:rPr>
          <w:rFonts w:ascii="Arial" w:hAnsi="Arial" w:cs="Arial"/>
          <w:i/>
          <w:sz w:val="20"/>
          <w:szCs w:val="20"/>
        </w:rPr>
        <w:t>Geographic accessibility (c);</w:t>
      </w:r>
    </w:p>
    <w:p w14:paraId="099DEFBC" w14:textId="77777777" w:rsidR="00104A61" w:rsidRPr="007A515F" w:rsidRDefault="000A1091" w:rsidP="007A515F">
      <w:pPr>
        <w:pStyle w:val="NoSpacing"/>
        <w:rPr>
          <w:rFonts w:ascii="Arial" w:hAnsi="Arial" w:cs="Arial"/>
          <w:sz w:val="20"/>
          <w:szCs w:val="20"/>
        </w:rPr>
      </w:pPr>
      <w:r w:rsidRPr="007A515F">
        <w:rPr>
          <w:rFonts w:ascii="Arial" w:hAnsi="Arial" w:cs="Arial"/>
          <w:i/>
          <w:sz w:val="20"/>
          <w:szCs w:val="20"/>
        </w:rPr>
        <w:t>3)</w:t>
      </w:r>
      <w:r w:rsidRPr="007A515F">
        <w:rPr>
          <w:rFonts w:ascii="Arial" w:hAnsi="Arial" w:cs="Arial"/>
          <w:sz w:val="20"/>
          <w:szCs w:val="20"/>
        </w:rPr>
        <w:t xml:space="preserve">      </w:t>
      </w:r>
      <w:r w:rsidRPr="007A515F">
        <w:rPr>
          <w:rFonts w:ascii="Arial" w:hAnsi="Arial" w:cs="Arial"/>
          <w:i/>
          <w:sz w:val="20"/>
          <w:szCs w:val="20"/>
        </w:rPr>
        <w:t>Adequacy/accommodation (d);</w:t>
      </w:r>
    </w:p>
    <w:p w14:paraId="0B02BC24" w14:textId="77777777" w:rsidR="00104A61" w:rsidRPr="007A515F" w:rsidRDefault="000A1091" w:rsidP="007A515F">
      <w:pPr>
        <w:pStyle w:val="NoSpacing"/>
        <w:rPr>
          <w:rFonts w:ascii="Arial" w:hAnsi="Arial" w:cs="Arial"/>
          <w:sz w:val="20"/>
          <w:szCs w:val="20"/>
        </w:rPr>
      </w:pPr>
      <w:r w:rsidRPr="007A515F">
        <w:rPr>
          <w:rFonts w:ascii="Arial" w:hAnsi="Arial" w:cs="Arial"/>
          <w:i/>
          <w:sz w:val="20"/>
          <w:szCs w:val="20"/>
        </w:rPr>
        <w:t>4)</w:t>
      </w:r>
      <w:r w:rsidRPr="007A515F">
        <w:rPr>
          <w:rFonts w:ascii="Arial" w:hAnsi="Arial" w:cs="Arial"/>
          <w:sz w:val="20"/>
          <w:szCs w:val="20"/>
        </w:rPr>
        <w:t xml:space="preserve">      </w:t>
      </w:r>
      <w:r w:rsidRPr="007A515F">
        <w:rPr>
          <w:rFonts w:ascii="Arial" w:hAnsi="Arial" w:cs="Arial"/>
          <w:i/>
          <w:sz w:val="20"/>
          <w:szCs w:val="20"/>
        </w:rPr>
        <w:t>Affordability (e);</w:t>
      </w:r>
    </w:p>
    <w:p w14:paraId="02F87771" w14:textId="77777777" w:rsidR="00104A61" w:rsidRPr="007A515F" w:rsidRDefault="000A1091" w:rsidP="007A515F">
      <w:pPr>
        <w:pStyle w:val="NoSpacing"/>
        <w:rPr>
          <w:rFonts w:ascii="Arial" w:hAnsi="Arial" w:cs="Arial"/>
          <w:i/>
          <w:sz w:val="20"/>
          <w:szCs w:val="20"/>
        </w:rPr>
      </w:pPr>
      <w:r w:rsidRPr="007A515F">
        <w:rPr>
          <w:rFonts w:ascii="Arial" w:hAnsi="Arial" w:cs="Arial"/>
          <w:sz w:val="20"/>
          <w:szCs w:val="20"/>
        </w:rPr>
        <w:t xml:space="preserve">5)      </w:t>
      </w:r>
      <w:r w:rsidRPr="007A515F">
        <w:rPr>
          <w:rFonts w:ascii="Arial" w:hAnsi="Arial" w:cs="Arial"/>
          <w:i/>
          <w:sz w:val="20"/>
          <w:szCs w:val="20"/>
        </w:rPr>
        <w:t>Acceptability (f).</w:t>
      </w:r>
    </w:p>
    <w:p w14:paraId="711FEC74" w14:textId="25310503" w:rsidR="003A61A7" w:rsidRPr="007A515F" w:rsidRDefault="000A1091" w:rsidP="007A515F">
      <w:pPr>
        <w:pStyle w:val="NoSpacing"/>
        <w:rPr>
          <w:rFonts w:ascii="Arial" w:hAnsi="Arial" w:cs="Arial"/>
          <w:sz w:val="20"/>
          <w:szCs w:val="20"/>
        </w:rPr>
      </w:pPr>
      <w:r w:rsidRPr="007A515F">
        <w:rPr>
          <w:rFonts w:ascii="Arial" w:hAnsi="Arial" w:cs="Arial"/>
          <w:sz w:val="20"/>
          <w:szCs w:val="20"/>
        </w:rPr>
        <w:t>6) Relative mean of score in the study population: mean calculated after questionnaire application.</w:t>
      </w:r>
    </w:p>
    <w:p w14:paraId="78E55413" w14:textId="77777777" w:rsidR="007A515F" w:rsidRDefault="007A515F" w:rsidP="007A515F">
      <w:pPr>
        <w:pStyle w:val="NoSpacing"/>
        <w:rPr>
          <w:rFonts w:ascii="Arial" w:hAnsi="Arial" w:cs="Arial"/>
          <w:sz w:val="20"/>
          <w:szCs w:val="20"/>
          <w:highlight w:val="white"/>
        </w:rPr>
      </w:pPr>
    </w:p>
    <w:p w14:paraId="665A92D0" w14:textId="0BA94C6B" w:rsidR="00104A61" w:rsidRPr="007A515F" w:rsidRDefault="000A1091" w:rsidP="007A515F">
      <w:pPr>
        <w:pStyle w:val="NoSpacing"/>
        <w:rPr>
          <w:rFonts w:ascii="Arial" w:hAnsi="Arial" w:cs="Arial"/>
          <w:sz w:val="20"/>
          <w:szCs w:val="20"/>
          <w:highlight w:val="white"/>
        </w:rPr>
      </w:pPr>
      <w:r w:rsidRPr="007A515F">
        <w:rPr>
          <w:rFonts w:ascii="Arial" w:hAnsi="Arial" w:cs="Arial"/>
          <w:sz w:val="20"/>
          <w:szCs w:val="20"/>
          <w:highlight w:val="white"/>
        </w:rPr>
        <w:t>The calculation was stratified according to the place where the interviewee</w:t>
      </w:r>
      <w:r w:rsidR="003A61A7" w:rsidRPr="007A515F">
        <w:rPr>
          <w:rFonts w:ascii="Arial" w:hAnsi="Arial" w:cs="Arial"/>
          <w:sz w:val="20"/>
          <w:szCs w:val="20"/>
          <w:highlight w:val="white"/>
        </w:rPr>
        <w:t>s</w:t>
      </w:r>
      <w:r w:rsidR="00021604" w:rsidRPr="007A515F">
        <w:rPr>
          <w:rFonts w:ascii="Arial" w:hAnsi="Arial" w:cs="Arial"/>
          <w:sz w:val="20"/>
          <w:szCs w:val="20"/>
          <w:highlight w:val="white"/>
        </w:rPr>
        <w:t xml:space="preserve"> obtained </w:t>
      </w:r>
      <w:r w:rsidRPr="007A515F">
        <w:rPr>
          <w:rFonts w:ascii="Arial" w:hAnsi="Arial" w:cs="Arial"/>
          <w:sz w:val="20"/>
          <w:szCs w:val="20"/>
          <w:highlight w:val="white"/>
        </w:rPr>
        <w:t>their medicine (public pharmacy and/or private or exclusively private</w:t>
      </w:r>
      <w:r w:rsidR="003A61A7" w:rsidRPr="007A515F">
        <w:rPr>
          <w:rFonts w:ascii="Arial" w:hAnsi="Arial" w:cs="Arial"/>
          <w:sz w:val="20"/>
          <w:szCs w:val="20"/>
          <w:highlight w:val="white"/>
        </w:rPr>
        <w:t>)</w:t>
      </w:r>
      <w:r w:rsidRPr="007A515F">
        <w:rPr>
          <w:rFonts w:ascii="Arial" w:hAnsi="Arial" w:cs="Arial"/>
          <w:sz w:val="20"/>
          <w:szCs w:val="20"/>
          <w:highlight w:val="white"/>
        </w:rPr>
        <w:t xml:space="preserve"> and </w:t>
      </w:r>
      <w:r w:rsidR="003A61A7" w:rsidRPr="007A515F">
        <w:rPr>
          <w:rFonts w:ascii="Arial" w:hAnsi="Arial" w:cs="Arial"/>
          <w:sz w:val="20"/>
          <w:szCs w:val="20"/>
          <w:highlight w:val="white"/>
        </w:rPr>
        <w:t xml:space="preserve">their </w:t>
      </w:r>
      <w:r w:rsidRPr="007A515F">
        <w:rPr>
          <w:rFonts w:ascii="Arial" w:hAnsi="Arial" w:cs="Arial"/>
          <w:sz w:val="20"/>
          <w:szCs w:val="20"/>
          <w:highlight w:val="white"/>
        </w:rPr>
        <w:t>gender</w:t>
      </w:r>
      <w:r w:rsidR="00E571A4" w:rsidRPr="007A515F">
        <w:rPr>
          <w:rFonts w:ascii="Arial" w:hAnsi="Arial" w:cs="Arial"/>
          <w:sz w:val="20"/>
          <w:szCs w:val="20"/>
          <w:highlight w:val="white"/>
        </w:rPr>
        <w:t>.</w:t>
      </w:r>
      <w:r w:rsidRPr="007A515F">
        <w:rPr>
          <w:rFonts w:ascii="Arial" w:hAnsi="Arial" w:cs="Arial"/>
          <w:sz w:val="20"/>
          <w:szCs w:val="20"/>
          <w:highlight w:val="white"/>
        </w:rPr>
        <w:t xml:space="preserve"> </w:t>
      </w:r>
    </w:p>
    <w:p w14:paraId="3BBF2C79" w14:textId="7A03C405" w:rsidR="00104A61" w:rsidRPr="007A515F" w:rsidRDefault="000A1091" w:rsidP="007A515F">
      <w:pPr>
        <w:pStyle w:val="NoSpacing"/>
        <w:rPr>
          <w:rFonts w:ascii="Arial" w:hAnsi="Arial" w:cs="Arial"/>
          <w:sz w:val="20"/>
          <w:szCs w:val="20"/>
          <w:highlight w:val="white"/>
        </w:rPr>
      </w:pPr>
      <w:r w:rsidRPr="007A515F">
        <w:rPr>
          <w:rFonts w:ascii="Arial" w:hAnsi="Arial" w:cs="Arial"/>
          <w:sz w:val="20"/>
          <w:szCs w:val="20"/>
          <w:highlight w:val="white"/>
        </w:rPr>
        <w:t xml:space="preserve">For the statistical analysis, absolute and relative frequencies (with 95% confidence intervals for the relative frequencies) were calculated. The proportions were compared using the chi-square </w:t>
      </w:r>
      <w:r w:rsidRPr="007A515F">
        <w:rPr>
          <w:rFonts w:ascii="Arial" w:hAnsi="Arial" w:cs="Arial"/>
          <w:sz w:val="20"/>
          <w:szCs w:val="20"/>
          <w:highlight w:val="white"/>
        </w:rPr>
        <w:lastRenderedPageBreak/>
        <w:t xml:space="preserve">test. The linear correlations between the variables were made using the non-parametric </w:t>
      </w:r>
      <w:r w:rsidRPr="007A515F">
        <w:rPr>
          <w:rFonts w:ascii="Arial" w:hAnsi="Arial" w:cs="Arial"/>
          <w:i/>
          <w:sz w:val="20"/>
          <w:szCs w:val="20"/>
          <w:highlight w:val="white"/>
        </w:rPr>
        <w:t>Spearmann</w:t>
      </w:r>
      <w:r w:rsidRPr="007A515F">
        <w:rPr>
          <w:rFonts w:ascii="Arial" w:hAnsi="Arial" w:cs="Arial"/>
          <w:sz w:val="20"/>
          <w:szCs w:val="20"/>
          <w:highlight w:val="white"/>
        </w:rPr>
        <w:t xml:space="preserve"> test. Data analysis was performed using Minitab® software version 17.1.0</w:t>
      </w:r>
      <w:r w:rsidR="00BF669A" w:rsidRPr="007A515F">
        <w:rPr>
          <w:rFonts w:ascii="Arial" w:hAnsi="Arial" w:cs="Arial"/>
          <w:sz w:val="20"/>
          <w:szCs w:val="20"/>
          <w:highlight w:val="white"/>
        </w:rPr>
        <w:t xml:space="preserve"> [7</w:t>
      </w:r>
      <w:r w:rsidR="000D6FA9" w:rsidRPr="007A515F">
        <w:rPr>
          <w:rFonts w:ascii="Arial" w:hAnsi="Arial" w:cs="Arial"/>
          <w:sz w:val="20"/>
          <w:szCs w:val="20"/>
          <w:highlight w:val="white"/>
        </w:rPr>
        <w:t>0</w:t>
      </w:r>
      <w:r w:rsidR="00BF669A" w:rsidRPr="007A515F">
        <w:rPr>
          <w:rFonts w:ascii="Arial" w:hAnsi="Arial" w:cs="Arial"/>
          <w:sz w:val="20"/>
          <w:szCs w:val="20"/>
          <w:highlight w:val="white"/>
        </w:rPr>
        <w:t>]</w:t>
      </w:r>
      <w:r w:rsidRPr="007A515F">
        <w:rPr>
          <w:rFonts w:ascii="Arial" w:hAnsi="Arial" w:cs="Arial"/>
          <w:sz w:val="20"/>
          <w:szCs w:val="20"/>
          <w:highlight w:val="white"/>
        </w:rPr>
        <w:t>.</w:t>
      </w:r>
    </w:p>
    <w:p w14:paraId="301A01EA" w14:textId="55029E64" w:rsidR="00104A61" w:rsidRPr="007A515F" w:rsidRDefault="000A1091" w:rsidP="007A515F">
      <w:pPr>
        <w:pStyle w:val="NoSpacing"/>
        <w:rPr>
          <w:rFonts w:ascii="Arial" w:hAnsi="Arial" w:cs="Arial"/>
          <w:sz w:val="20"/>
          <w:szCs w:val="20"/>
          <w:highlight w:val="white"/>
        </w:rPr>
      </w:pPr>
      <w:r w:rsidRPr="007A515F">
        <w:rPr>
          <w:rFonts w:ascii="Arial" w:hAnsi="Arial" w:cs="Arial"/>
          <w:sz w:val="20"/>
          <w:szCs w:val="20"/>
        </w:rPr>
        <w:t>T</w:t>
      </w:r>
      <w:r w:rsidRPr="007A515F">
        <w:rPr>
          <w:rFonts w:ascii="Arial" w:hAnsi="Arial" w:cs="Arial"/>
          <w:sz w:val="20"/>
          <w:szCs w:val="20"/>
          <w:highlight w:val="white"/>
        </w:rPr>
        <w:t>o better understand the application of the single access indicator, total access values ​​were calculated in hypothetical scenarios with fictitious access dimensions. We proposed hypothetical scenarios A, B and C. In scenario A, we proposed one population with two dimensions of access higher than 50% (for example, geographic accessibility and acceptability with 70%). In the scenario B, we proposed one population with four of five dimensions around 90% and one dimension of 50%. In scenario C, we proposed one population with three dimensions higher than 70% and two dimensions equal or lower than 50%.</w:t>
      </w:r>
    </w:p>
    <w:p w14:paraId="2DDA0C10" w14:textId="77777777" w:rsidR="007A515F" w:rsidRDefault="007A515F" w:rsidP="007A515F">
      <w:pPr>
        <w:pStyle w:val="NoSpacing"/>
        <w:rPr>
          <w:rFonts w:ascii="Arial" w:hAnsi="Arial" w:cs="Arial"/>
          <w:sz w:val="20"/>
          <w:szCs w:val="20"/>
        </w:rPr>
      </w:pPr>
    </w:p>
    <w:p w14:paraId="70C82D52" w14:textId="75250F4C" w:rsidR="00104A61" w:rsidRPr="007A515F" w:rsidRDefault="007A515F" w:rsidP="007A515F">
      <w:pPr>
        <w:pStyle w:val="NoSpacing"/>
        <w:rPr>
          <w:rFonts w:ascii="Arial" w:hAnsi="Arial" w:cs="Arial"/>
          <w:b/>
          <w:bCs/>
          <w:i/>
          <w:iCs/>
          <w:sz w:val="20"/>
          <w:szCs w:val="20"/>
        </w:rPr>
      </w:pPr>
      <w:r w:rsidRPr="007A515F">
        <w:rPr>
          <w:rFonts w:ascii="Arial" w:hAnsi="Arial" w:cs="Arial"/>
          <w:b/>
          <w:bCs/>
          <w:i/>
          <w:iCs/>
          <w:sz w:val="20"/>
          <w:szCs w:val="20"/>
        </w:rPr>
        <w:t xml:space="preserve">2.6 </w:t>
      </w:r>
      <w:r w:rsidR="000A1091" w:rsidRPr="007A515F">
        <w:rPr>
          <w:rFonts w:ascii="Arial" w:hAnsi="Arial" w:cs="Arial"/>
          <w:b/>
          <w:bCs/>
          <w:i/>
          <w:iCs/>
          <w:sz w:val="20"/>
          <w:szCs w:val="20"/>
        </w:rPr>
        <w:t xml:space="preserve">Ethics Approval and Consent to Participate </w:t>
      </w:r>
    </w:p>
    <w:p w14:paraId="4A7F8F49" w14:textId="11BE9816"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This study was submitted to the National Research Ethics Committee of Brazil, with approval registered the CAAE number: 62024016.4.0000.5149 </w:t>
      </w:r>
    </w:p>
    <w:p w14:paraId="15CF3ECD" w14:textId="4AA90641" w:rsidR="007A515F" w:rsidRDefault="007A515F" w:rsidP="007A515F">
      <w:pPr>
        <w:pStyle w:val="NoSpacing"/>
        <w:rPr>
          <w:rFonts w:ascii="Arial" w:hAnsi="Arial" w:cs="Arial"/>
          <w:sz w:val="20"/>
          <w:szCs w:val="20"/>
        </w:rPr>
      </w:pPr>
    </w:p>
    <w:p w14:paraId="5DF5753B" w14:textId="7CCB4D3B" w:rsidR="00104A61" w:rsidRPr="007A515F" w:rsidRDefault="007A515F" w:rsidP="007A515F">
      <w:pPr>
        <w:pStyle w:val="NoSpacing"/>
        <w:rPr>
          <w:rFonts w:ascii="Arial" w:hAnsi="Arial" w:cs="Arial"/>
          <w:sz w:val="20"/>
          <w:szCs w:val="20"/>
        </w:rPr>
      </w:pPr>
      <w:r w:rsidRPr="007A515F">
        <w:rPr>
          <w:rFonts w:ascii="Arial" w:hAnsi="Arial" w:cs="Arial"/>
          <w:sz w:val="20"/>
          <w:szCs w:val="20"/>
        </w:rPr>
        <w:t>The research was approved by the Ethics Committee in Research nº CAAE 62024016.4.0000.5149 and Process number: 1.901.611.</w:t>
      </w:r>
      <w:r>
        <w:rPr>
          <w:rFonts w:ascii="Arial" w:hAnsi="Arial" w:cs="Arial"/>
          <w:sz w:val="20"/>
          <w:szCs w:val="20"/>
        </w:rPr>
        <w:t xml:space="preserve"> A</w:t>
      </w:r>
      <w:r w:rsidRPr="007A515F">
        <w:rPr>
          <w:rFonts w:ascii="Arial" w:hAnsi="Arial" w:cs="Arial"/>
          <w:sz w:val="20"/>
          <w:szCs w:val="20"/>
        </w:rPr>
        <w:t>ll participants agreed to sign the Informed Consent Term (</w:t>
      </w:r>
      <w:r w:rsidRPr="007A515F">
        <w:rPr>
          <w:rFonts w:ascii="Arial" w:hAnsi="Arial" w:cs="Arial"/>
          <w:i/>
          <w:sz w:val="20"/>
          <w:szCs w:val="20"/>
        </w:rPr>
        <w:t>Termo de Consentimento Livre e Esclarecido</w:t>
      </w:r>
      <w:r w:rsidRPr="007A515F">
        <w:rPr>
          <w:rFonts w:ascii="Arial" w:hAnsi="Arial" w:cs="Arial"/>
          <w:sz w:val="20"/>
          <w:szCs w:val="20"/>
        </w:rPr>
        <w:t xml:space="preserve"> - TCLE).</w:t>
      </w:r>
      <w:r>
        <w:rPr>
          <w:rFonts w:ascii="Arial" w:hAnsi="Arial" w:cs="Arial"/>
          <w:sz w:val="20"/>
          <w:szCs w:val="20"/>
        </w:rPr>
        <w:t xml:space="preserve"> </w:t>
      </w:r>
      <w:r w:rsidR="00EE3C5D" w:rsidRPr="007A515F">
        <w:rPr>
          <w:rFonts w:ascii="Arial" w:hAnsi="Arial" w:cs="Arial"/>
          <w:sz w:val="20"/>
          <w:szCs w:val="20"/>
        </w:rPr>
        <w:t xml:space="preserve">However, the data was </w:t>
      </w:r>
      <w:r w:rsidR="007B2D16" w:rsidRPr="007A515F">
        <w:rPr>
          <w:rFonts w:ascii="Arial" w:hAnsi="Arial" w:cs="Arial"/>
          <w:sz w:val="20"/>
          <w:szCs w:val="20"/>
        </w:rPr>
        <w:t>anonymized</w:t>
      </w:r>
      <w:r w:rsidR="00EE3C5D" w:rsidRPr="007A515F">
        <w:rPr>
          <w:rFonts w:ascii="Arial" w:hAnsi="Arial" w:cs="Arial"/>
          <w:sz w:val="20"/>
          <w:szCs w:val="20"/>
        </w:rPr>
        <w:t xml:space="preserve"> for confidentiality</w:t>
      </w:r>
      <w:r w:rsidR="000A1091" w:rsidRPr="007A515F">
        <w:rPr>
          <w:rFonts w:ascii="Arial" w:hAnsi="Arial" w:cs="Arial"/>
          <w:sz w:val="20"/>
          <w:szCs w:val="20"/>
        </w:rPr>
        <w:t>.</w:t>
      </w:r>
    </w:p>
    <w:p w14:paraId="1E8D27F7" w14:textId="77777777" w:rsidR="007A515F" w:rsidRDefault="007A515F" w:rsidP="007A515F">
      <w:pPr>
        <w:pStyle w:val="NoSpacing"/>
        <w:rPr>
          <w:rFonts w:ascii="Arial" w:hAnsi="Arial" w:cs="Arial"/>
          <w:sz w:val="20"/>
          <w:szCs w:val="20"/>
        </w:rPr>
      </w:pPr>
    </w:p>
    <w:p w14:paraId="2C9F5005" w14:textId="69FCB3DD" w:rsidR="00104A61" w:rsidRPr="007A515F" w:rsidRDefault="000A1091" w:rsidP="007A515F">
      <w:pPr>
        <w:pStyle w:val="NoSpacing"/>
        <w:rPr>
          <w:rFonts w:ascii="Arial" w:hAnsi="Arial" w:cs="Arial"/>
          <w:b/>
          <w:bCs/>
          <w:sz w:val="20"/>
          <w:szCs w:val="20"/>
        </w:rPr>
      </w:pPr>
      <w:r w:rsidRPr="007A515F">
        <w:rPr>
          <w:rFonts w:ascii="Arial" w:hAnsi="Arial" w:cs="Arial"/>
          <w:b/>
          <w:bCs/>
          <w:sz w:val="20"/>
          <w:szCs w:val="20"/>
        </w:rPr>
        <w:t>3. Results</w:t>
      </w:r>
    </w:p>
    <w:p w14:paraId="2962B7A0" w14:textId="77777777" w:rsidR="007A515F" w:rsidRDefault="007A515F" w:rsidP="007A515F">
      <w:pPr>
        <w:pStyle w:val="NoSpacing"/>
        <w:rPr>
          <w:rFonts w:ascii="Arial" w:hAnsi="Arial" w:cs="Arial"/>
          <w:sz w:val="20"/>
          <w:szCs w:val="20"/>
        </w:rPr>
      </w:pPr>
    </w:p>
    <w:p w14:paraId="76CDA5C2" w14:textId="2842E548"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Of the total number of people approached, only 2.1% refused to participate or did not complete the interview. A total of 580 individuals, predominantly female (56.0%), aged between 18 and 54 years (81.9%) were interviewed. 56.9% of the participants had less than twelve years of education and 45.2% had a monthly family income equal to or less than three </w:t>
      </w:r>
      <w:r w:rsidR="000252DF" w:rsidRPr="007A515F">
        <w:rPr>
          <w:rFonts w:ascii="Arial" w:hAnsi="Arial" w:cs="Arial"/>
          <w:sz w:val="20"/>
          <w:szCs w:val="20"/>
        </w:rPr>
        <w:t xml:space="preserve">times the </w:t>
      </w:r>
      <w:r w:rsidRPr="007A515F">
        <w:rPr>
          <w:rFonts w:ascii="Arial" w:hAnsi="Arial" w:cs="Arial"/>
          <w:sz w:val="20"/>
          <w:szCs w:val="20"/>
        </w:rPr>
        <w:t xml:space="preserve">minimum wage </w:t>
      </w:r>
      <w:r w:rsidRPr="007A515F">
        <w:rPr>
          <w:rFonts w:ascii="Arial" w:hAnsi="Arial" w:cs="Arial"/>
          <w:sz w:val="20"/>
          <w:szCs w:val="20"/>
          <w:highlight w:val="white"/>
        </w:rPr>
        <w:t>(R$2,994.00 or U$ 5,943.09 PPP). Ju</w:t>
      </w:r>
      <w:r w:rsidRPr="007A515F">
        <w:rPr>
          <w:rFonts w:ascii="Arial" w:hAnsi="Arial" w:cs="Arial"/>
          <w:sz w:val="20"/>
          <w:szCs w:val="20"/>
        </w:rPr>
        <w:t>st over half of the participants reported having health insurance at the time of the research. Among the participants, 33.45% reported not working and 12.76% reported they were receiving some social assistance including government grant-aids (Table 1).</w:t>
      </w:r>
    </w:p>
    <w:p w14:paraId="551CE6F3" w14:textId="77777777" w:rsidR="007A515F" w:rsidRDefault="007A515F" w:rsidP="007A515F">
      <w:pPr>
        <w:pStyle w:val="NoSpacing"/>
        <w:rPr>
          <w:rFonts w:ascii="Arial" w:hAnsi="Arial" w:cs="Arial"/>
          <w:color w:val="FF0000"/>
          <w:sz w:val="20"/>
          <w:szCs w:val="20"/>
        </w:rPr>
      </w:pPr>
    </w:p>
    <w:p w14:paraId="25FD0660" w14:textId="158D8AE1" w:rsidR="00792DC6" w:rsidRDefault="00792DC6" w:rsidP="00792DC6">
      <w:pPr>
        <w:spacing w:after="0" w:line="240" w:lineRule="auto"/>
        <w:rPr>
          <w:rFonts w:ascii="Arial" w:eastAsia="Times New Roman" w:hAnsi="Arial" w:cs="Arial"/>
          <w:bCs/>
          <w:sz w:val="20"/>
          <w:szCs w:val="20"/>
          <w:u w:val="single"/>
        </w:rPr>
      </w:pPr>
      <w:r w:rsidRPr="00792DC6">
        <w:rPr>
          <w:rFonts w:ascii="Arial" w:eastAsia="Times New Roman" w:hAnsi="Arial" w:cs="Arial"/>
          <w:bCs/>
          <w:sz w:val="20"/>
          <w:szCs w:val="20"/>
          <w:u w:val="single"/>
        </w:rPr>
        <w:t>Table 1: Sociodemographic characteristics of the participants</w:t>
      </w:r>
    </w:p>
    <w:p w14:paraId="7215965A" w14:textId="77777777" w:rsidR="00792DC6" w:rsidRPr="00792DC6" w:rsidRDefault="00792DC6" w:rsidP="00792DC6">
      <w:pPr>
        <w:spacing w:after="0" w:line="240" w:lineRule="auto"/>
        <w:rPr>
          <w:rFonts w:ascii="Arial" w:hAnsi="Arial" w:cs="Arial"/>
          <w:bCs/>
          <w:sz w:val="20"/>
          <w:szCs w:val="20"/>
          <w:u w:val="single"/>
        </w:rPr>
      </w:pPr>
    </w:p>
    <w:tbl>
      <w:tblPr>
        <w:tblW w:w="4208" w:type="pct"/>
        <w:tblLayout w:type="fixed"/>
        <w:tblLook w:val="0400" w:firstRow="0" w:lastRow="0" w:firstColumn="0" w:lastColumn="0" w:noHBand="0" w:noVBand="1"/>
      </w:tblPr>
      <w:tblGrid>
        <w:gridCol w:w="2694"/>
        <w:gridCol w:w="627"/>
        <w:gridCol w:w="932"/>
        <w:gridCol w:w="558"/>
        <w:gridCol w:w="690"/>
        <w:gridCol w:w="693"/>
        <w:gridCol w:w="963"/>
      </w:tblGrid>
      <w:tr w:rsidR="00792DC6" w:rsidRPr="00792DC6" w14:paraId="3CE43674" w14:textId="77777777" w:rsidTr="009109E8">
        <w:trPr>
          <w:trHeight w:val="145"/>
        </w:trPr>
        <w:tc>
          <w:tcPr>
            <w:tcW w:w="1882" w:type="pct"/>
            <w:vMerge w:val="restart"/>
            <w:tcBorders>
              <w:top w:val="single" w:sz="4" w:space="0" w:color="000000"/>
              <w:left w:val="nil"/>
              <w:bottom w:val="single" w:sz="4" w:space="0" w:color="000000"/>
              <w:right w:val="nil"/>
            </w:tcBorders>
            <w:shd w:val="clear" w:color="auto" w:fill="FFFFFF"/>
            <w:vAlign w:val="center"/>
          </w:tcPr>
          <w:p w14:paraId="76EA4D90"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Variables</w:t>
            </w:r>
          </w:p>
        </w:tc>
        <w:tc>
          <w:tcPr>
            <w:tcW w:w="1089" w:type="pct"/>
            <w:gridSpan w:val="2"/>
            <w:tcBorders>
              <w:top w:val="single" w:sz="4" w:space="0" w:color="000000"/>
              <w:left w:val="nil"/>
              <w:bottom w:val="nil"/>
              <w:right w:val="nil"/>
            </w:tcBorders>
            <w:shd w:val="clear" w:color="auto" w:fill="FFFFFF"/>
            <w:vAlign w:val="center"/>
          </w:tcPr>
          <w:p w14:paraId="15AE927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General Population</w:t>
            </w:r>
          </w:p>
        </w:tc>
        <w:tc>
          <w:tcPr>
            <w:tcW w:w="872" w:type="pct"/>
            <w:gridSpan w:val="2"/>
            <w:tcBorders>
              <w:top w:val="single" w:sz="4" w:space="0" w:color="000000"/>
              <w:left w:val="nil"/>
              <w:bottom w:val="nil"/>
              <w:right w:val="nil"/>
            </w:tcBorders>
            <w:shd w:val="clear" w:color="auto" w:fill="FFFFFF"/>
            <w:vAlign w:val="center"/>
          </w:tcPr>
          <w:p w14:paraId="65358A2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Private</w:t>
            </w:r>
          </w:p>
        </w:tc>
        <w:tc>
          <w:tcPr>
            <w:tcW w:w="1157" w:type="pct"/>
            <w:gridSpan w:val="2"/>
            <w:tcBorders>
              <w:top w:val="single" w:sz="4" w:space="0" w:color="000000"/>
              <w:left w:val="nil"/>
              <w:bottom w:val="nil"/>
              <w:right w:val="nil"/>
            </w:tcBorders>
            <w:shd w:val="clear" w:color="auto" w:fill="FFFFFF"/>
            <w:vAlign w:val="center"/>
          </w:tcPr>
          <w:p w14:paraId="52024A2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Public-Private</w:t>
            </w:r>
          </w:p>
        </w:tc>
      </w:tr>
      <w:tr w:rsidR="00792DC6" w:rsidRPr="00792DC6" w14:paraId="4378A360" w14:textId="77777777" w:rsidTr="009109E8">
        <w:trPr>
          <w:trHeight w:val="179"/>
        </w:trPr>
        <w:tc>
          <w:tcPr>
            <w:tcW w:w="1882" w:type="pct"/>
            <w:vMerge/>
            <w:tcBorders>
              <w:top w:val="single" w:sz="4" w:space="0" w:color="000000"/>
              <w:left w:val="nil"/>
              <w:bottom w:val="single" w:sz="4" w:space="0" w:color="000000"/>
              <w:right w:val="nil"/>
            </w:tcBorders>
            <w:shd w:val="clear" w:color="auto" w:fill="FFFFFF"/>
            <w:vAlign w:val="center"/>
          </w:tcPr>
          <w:p w14:paraId="1A09CA06" w14:textId="77777777" w:rsidR="00792DC6" w:rsidRPr="00792DC6" w:rsidRDefault="00792DC6" w:rsidP="009109E8">
            <w:pPr>
              <w:spacing w:after="0" w:line="240" w:lineRule="auto"/>
              <w:jc w:val="center"/>
              <w:rPr>
                <w:rFonts w:ascii="Arial" w:hAnsi="Arial" w:cs="Arial"/>
                <w:sz w:val="18"/>
                <w:szCs w:val="18"/>
              </w:rPr>
            </w:pPr>
          </w:p>
        </w:tc>
        <w:tc>
          <w:tcPr>
            <w:tcW w:w="438" w:type="pct"/>
            <w:tcBorders>
              <w:top w:val="nil"/>
              <w:left w:val="nil"/>
              <w:bottom w:val="single" w:sz="4" w:space="0" w:color="000000"/>
              <w:right w:val="nil"/>
            </w:tcBorders>
            <w:shd w:val="clear" w:color="auto" w:fill="FFFFFF"/>
            <w:vAlign w:val="center"/>
          </w:tcPr>
          <w:p w14:paraId="0497FF6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N</w:t>
            </w:r>
          </w:p>
        </w:tc>
        <w:tc>
          <w:tcPr>
            <w:tcW w:w="651" w:type="pct"/>
            <w:tcBorders>
              <w:top w:val="nil"/>
              <w:left w:val="nil"/>
              <w:bottom w:val="single" w:sz="4" w:space="0" w:color="000000"/>
              <w:right w:val="nil"/>
            </w:tcBorders>
            <w:shd w:val="clear" w:color="auto" w:fill="FFFFFF"/>
            <w:vAlign w:val="center"/>
          </w:tcPr>
          <w:p w14:paraId="562DE73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w:t>
            </w:r>
          </w:p>
        </w:tc>
        <w:tc>
          <w:tcPr>
            <w:tcW w:w="390" w:type="pct"/>
            <w:tcBorders>
              <w:top w:val="nil"/>
              <w:left w:val="nil"/>
              <w:bottom w:val="single" w:sz="4" w:space="0" w:color="000000"/>
              <w:right w:val="nil"/>
            </w:tcBorders>
            <w:shd w:val="clear" w:color="auto" w:fill="FFFFFF"/>
            <w:vAlign w:val="center"/>
          </w:tcPr>
          <w:p w14:paraId="3A0CDA50"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N</w:t>
            </w:r>
          </w:p>
        </w:tc>
        <w:tc>
          <w:tcPr>
            <w:tcW w:w="482" w:type="pct"/>
            <w:tcBorders>
              <w:top w:val="nil"/>
              <w:left w:val="nil"/>
              <w:bottom w:val="single" w:sz="4" w:space="0" w:color="000000"/>
              <w:right w:val="nil"/>
            </w:tcBorders>
            <w:shd w:val="clear" w:color="auto" w:fill="FFFFFF"/>
            <w:vAlign w:val="center"/>
          </w:tcPr>
          <w:p w14:paraId="1A20100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w:t>
            </w:r>
          </w:p>
        </w:tc>
        <w:tc>
          <w:tcPr>
            <w:tcW w:w="484" w:type="pct"/>
            <w:tcBorders>
              <w:top w:val="nil"/>
              <w:left w:val="nil"/>
              <w:bottom w:val="single" w:sz="4" w:space="0" w:color="000000"/>
              <w:right w:val="nil"/>
            </w:tcBorders>
            <w:shd w:val="clear" w:color="auto" w:fill="FFFFFF"/>
            <w:vAlign w:val="center"/>
          </w:tcPr>
          <w:p w14:paraId="5B136B4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N</w:t>
            </w:r>
          </w:p>
        </w:tc>
        <w:tc>
          <w:tcPr>
            <w:tcW w:w="673" w:type="pct"/>
            <w:tcBorders>
              <w:top w:val="nil"/>
              <w:left w:val="nil"/>
              <w:bottom w:val="single" w:sz="4" w:space="0" w:color="000000"/>
              <w:right w:val="nil"/>
            </w:tcBorders>
            <w:shd w:val="clear" w:color="auto" w:fill="FFFFFF"/>
            <w:vAlign w:val="center"/>
          </w:tcPr>
          <w:p w14:paraId="130860D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b/>
                <w:sz w:val="18"/>
                <w:szCs w:val="18"/>
              </w:rPr>
              <w:t>%</w:t>
            </w:r>
          </w:p>
        </w:tc>
      </w:tr>
      <w:tr w:rsidR="00792DC6" w:rsidRPr="00792DC6" w14:paraId="57109EBF" w14:textId="77777777" w:rsidTr="009109E8">
        <w:trPr>
          <w:trHeight w:val="166"/>
        </w:trPr>
        <w:tc>
          <w:tcPr>
            <w:tcW w:w="1882" w:type="pct"/>
            <w:tcBorders>
              <w:top w:val="nil"/>
              <w:left w:val="nil"/>
              <w:bottom w:val="nil"/>
              <w:right w:val="nil"/>
            </w:tcBorders>
            <w:shd w:val="clear" w:color="auto" w:fill="FFFFFF"/>
            <w:vAlign w:val="center"/>
          </w:tcPr>
          <w:p w14:paraId="06207059"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b/>
                <w:sz w:val="18"/>
                <w:szCs w:val="18"/>
              </w:rPr>
              <w:t>Gender</w:t>
            </w:r>
          </w:p>
        </w:tc>
        <w:tc>
          <w:tcPr>
            <w:tcW w:w="438" w:type="pct"/>
            <w:tcBorders>
              <w:top w:val="nil"/>
              <w:left w:val="nil"/>
              <w:bottom w:val="nil"/>
              <w:right w:val="nil"/>
            </w:tcBorders>
            <w:shd w:val="clear" w:color="auto" w:fill="FFFFFF"/>
            <w:vAlign w:val="center"/>
          </w:tcPr>
          <w:p w14:paraId="2582AAF9" w14:textId="77777777" w:rsidR="00792DC6" w:rsidRPr="00792DC6" w:rsidRDefault="00792DC6" w:rsidP="009109E8">
            <w:pPr>
              <w:spacing w:after="0" w:line="240" w:lineRule="auto"/>
              <w:rPr>
                <w:rFonts w:ascii="Arial" w:hAnsi="Arial" w:cs="Arial"/>
                <w:sz w:val="18"/>
                <w:szCs w:val="18"/>
              </w:rPr>
            </w:pPr>
          </w:p>
        </w:tc>
        <w:tc>
          <w:tcPr>
            <w:tcW w:w="651" w:type="pct"/>
            <w:tcBorders>
              <w:top w:val="nil"/>
              <w:left w:val="nil"/>
              <w:bottom w:val="nil"/>
              <w:right w:val="nil"/>
            </w:tcBorders>
            <w:shd w:val="clear" w:color="auto" w:fill="FFFFFF"/>
            <w:vAlign w:val="center"/>
          </w:tcPr>
          <w:p w14:paraId="20E5E57B" w14:textId="77777777" w:rsidR="00792DC6" w:rsidRPr="00792DC6" w:rsidRDefault="00792DC6" w:rsidP="009109E8">
            <w:pPr>
              <w:spacing w:after="0" w:line="240" w:lineRule="auto"/>
              <w:rPr>
                <w:rFonts w:ascii="Arial" w:hAnsi="Arial" w:cs="Arial"/>
                <w:sz w:val="18"/>
                <w:szCs w:val="18"/>
              </w:rPr>
            </w:pPr>
          </w:p>
        </w:tc>
        <w:tc>
          <w:tcPr>
            <w:tcW w:w="390" w:type="pct"/>
            <w:tcBorders>
              <w:top w:val="nil"/>
              <w:left w:val="nil"/>
              <w:bottom w:val="nil"/>
              <w:right w:val="nil"/>
            </w:tcBorders>
            <w:shd w:val="clear" w:color="auto" w:fill="FFFFFF"/>
            <w:vAlign w:val="center"/>
          </w:tcPr>
          <w:p w14:paraId="2EA15D0D" w14:textId="77777777" w:rsidR="00792DC6" w:rsidRPr="00792DC6" w:rsidRDefault="00792DC6" w:rsidP="009109E8">
            <w:pPr>
              <w:spacing w:after="0" w:line="240" w:lineRule="auto"/>
              <w:rPr>
                <w:rFonts w:ascii="Arial" w:hAnsi="Arial" w:cs="Arial"/>
                <w:sz w:val="18"/>
                <w:szCs w:val="18"/>
              </w:rPr>
            </w:pPr>
          </w:p>
        </w:tc>
        <w:tc>
          <w:tcPr>
            <w:tcW w:w="482" w:type="pct"/>
            <w:tcBorders>
              <w:top w:val="nil"/>
              <w:left w:val="nil"/>
              <w:bottom w:val="nil"/>
              <w:right w:val="nil"/>
            </w:tcBorders>
            <w:shd w:val="clear" w:color="auto" w:fill="FFFFFF"/>
            <w:vAlign w:val="center"/>
          </w:tcPr>
          <w:p w14:paraId="7F7B8C7E" w14:textId="77777777" w:rsidR="00792DC6" w:rsidRPr="00792DC6" w:rsidRDefault="00792DC6" w:rsidP="009109E8">
            <w:pPr>
              <w:spacing w:after="0" w:line="240" w:lineRule="auto"/>
              <w:rPr>
                <w:rFonts w:ascii="Arial" w:hAnsi="Arial" w:cs="Arial"/>
                <w:sz w:val="18"/>
                <w:szCs w:val="18"/>
              </w:rPr>
            </w:pPr>
          </w:p>
        </w:tc>
        <w:tc>
          <w:tcPr>
            <w:tcW w:w="484" w:type="pct"/>
            <w:tcBorders>
              <w:top w:val="nil"/>
              <w:left w:val="nil"/>
              <w:bottom w:val="nil"/>
              <w:right w:val="nil"/>
            </w:tcBorders>
            <w:shd w:val="clear" w:color="auto" w:fill="FFFFFF"/>
            <w:vAlign w:val="center"/>
          </w:tcPr>
          <w:p w14:paraId="41C9B6A2" w14:textId="77777777" w:rsidR="00792DC6" w:rsidRPr="00792DC6" w:rsidRDefault="00792DC6" w:rsidP="009109E8">
            <w:pPr>
              <w:spacing w:after="0" w:line="240" w:lineRule="auto"/>
              <w:rPr>
                <w:rFonts w:ascii="Arial" w:hAnsi="Arial" w:cs="Arial"/>
                <w:sz w:val="18"/>
                <w:szCs w:val="18"/>
              </w:rPr>
            </w:pPr>
          </w:p>
        </w:tc>
        <w:tc>
          <w:tcPr>
            <w:tcW w:w="673" w:type="pct"/>
            <w:tcBorders>
              <w:top w:val="nil"/>
              <w:left w:val="nil"/>
              <w:bottom w:val="nil"/>
              <w:right w:val="nil"/>
            </w:tcBorders>
            <w:shd w:val="clear" w:color="auto" w:fill="FFFFFF"/>
            <w:vAlign w:val="center"/>
          </w:tcPr>
          <w:p w14:paraId="72703E3D" w14:textId="77777777" w:rsidR="00792DC6" w:rsidRPr="00792DC6" w:rsidRDefault="00792DC6" w:rsidP="009109E8">
            <w:pPr>
              <w:spacing w:after="0" w:line="240" w:lineRule="auto"/>
              <w:rPr>
                <w:rFonts w:ascii="Arial" w:hAnsi="Arial" w:cs="Arial"/>
                <w:sz w:val="18"/>
                <w:szCs w:val="18"/>
              </w:rPr>
            </w:pPr>
          </w:p>
        </w:tc>
      </w:tr>
      <w:tr w:rsidR="00792DC6" w:rsidRPr="00792DC6" w14:paraId="7C5A3E3F" w14:textId="77777777" w:rsidTr="009109E8">
        <w:trPr>
          <w:trHeight w:val="166"/>
        </w:trPr>
        <w:tc>
          <w:tcPr>
            <w:tcW w:w="1882" w:type="pct"/>
            <w:tcBorders>
              <w:top w:val="nil"/>
              <w:left w:val="nil"/>
              <w:bottom w:val="nil"/>
              <w:right w:val="nil"/>
            </w:tcBorders>
            <w:shd w:val="clear" w:color="auto" w:fill="FFFFFF"/>
            <w:vAlign w:val="center"/>
          </w:tcPr>
          <w:p w14:paraId="33A6F781"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Male</w:t>
            </w:r>
          </w:p>
        </w:tc>
        <w:tc>
          <w:tcPr>
            <w:tcW w:w="438" w:type="pct"/>
            <w:tcBorders>
              <w:top w:val="nil"/>
              <w:left w:val="nil"/>
              <w:bottom w:val="nil"/>
              <w:right w:val="nil"/>
            </w:tcBorders>
            <w:shd w:val="clear" w:color="auto" w:fill="FFFFFF"/>
            <w:vAlign w:val="center"/>
          </w:tcPr>
          <w:p w14:paraId="2771DBD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255</w:t>
            </w:r>
          </w:p>
        </w:tc>
        <w:tc>
          <w:tcPr>
            <w:tcW w:w="651" w:type="pct"/>
            <w:tcBorders>
              <w:top w:val="nil"/>
              <w:left w:val="nil"/>
              <w:bottom w:val="nil"/>
              <w:right w:val="nil"/>
            </w:tcBorders>
            <w:shd w:val="clear" w:color="auto" w:fill="FFFFFF"/>
            <w:vAlign w:val="center"/>
          </w:tcPr>
          <w:p w14:paraId="560BA7F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43.97</w:t>
            </w:r>
          </w:p>
        </w:tc>
        <w:tc>
          <w:tcPr>
            <w:tcW w:w="390" w:type="pct"/>
            <w:tcBorders>
              <w:top w:val="nil"/>
              <w:left w:val="nil"/>
              <w:bottom w:val="nil"/>
              <w:right w:val="nil"/>
            </w:tcBorders>
            <w:shd w:val="clear" w:color="auto" w:fill="FFFFFF"/>
            <w:vAlign w:val="center"/>
          </w:tcPr>
          <w:p w14:paraId="1838696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162</w:t>
            </w:r>
          </w:p>
        </w:tc>
        <w:tc>
          <w:tcPr>
            <w:tcW w:w="482" w:type="pct"/>
            <w:tcBorders>
              <w:top w:val="nil"/>
              <w:left w:val="nil"/>
              <w:bottom w:val="nil"/>
              <w:right w:val="nil"/>
            </w:tcBorders>
            <w:shd w:val="clear" w:color="auto" w:fill="FFFFFF"/>
            <w:vAlign w:val="center"/>
          </w:tcPr>
          <w:p w14:paraId="4731769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49.09</w:t>
            </w:r>
          </w:p>
        </w:tc>
        <w:tc>
          <w:tcPr>
            <w:tcW w:w="484" w:type="pct"/>
            <w:tcBorders>
              <w:top w:val="nil"/>
              <w:left w:val="nil"/>
              <w:bottom w:val="nil"/>
              <w:right w:val="nil"/>
            </w:tcBorders>
            <w:shd w:val="clear" w:color="auto" w:fill="FFFFFF"/>
            <w:vAlign w:val="center"/>
          </w:tcPr>
          <w:p w14:paraId="4F9FE36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93</w:t>
            </w:r>
          </w:p>
        </w:tc>
        <w:tc>
          <w:tcPr>
            <w:tcW w:w="673" w:type="pct"/>
            <w:tcBorders>
              <w:top w:val="nil"/>
              <w:left w:val="nil"/>
              <w:bottom w:val="nil"/>
              <w:right w:val="nil"/>
            </w:tcBorders>
            <w:shd w:val="clear" w:color="auto" w:fill="FFFFFF"/>
            <w:vAlign w:val="center"/>
          </w:tcPr>
          <w:p w14:paraId="43E326F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37.20</w:t>
            </w:r>
          </w:p>
        </w:tc>
      </w:tr>
      <w:tr w:rsidR="00792DC6" w:rsidRPr="00792DC6" w14:paraId="1938F05F" w14:textId="77777777" w:rsidTr="009109E8">
        <w:trPr>
          <w:trHeight w:val="166"/>
        </w:trPr>
        <w:tc>
          <w:tcPr>
            <w:tcW w:w="1882" w:type="pct"/>
            <w:tcBorders>
              <w:top w:val="nil"/>
              <w:left w:val="nil"/>
              <w:bottom w:val="single" w:sz="4" w:space="0" w:color="000000"/>
              <w:right w:val="nil"/>
            </w:tcBorders>
            <w:shd w:val="clear" w:color="auto" w:fill="FFFFFF"/>
            <w:vAlign w:val="center"/>
          </w:tcPr>
          <w:p w14:paraId="2D12EE66"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Female</w:t>
            </w:r>
          </w:p>
        </w:tc>
        <w:tc>
          <w:tcPr>
            <w:tcW w:w="438" w:type="pct"/>
            <w:tcBorders>
              <w:top w:val="nil"/>
              <w:left w:val="nil"/>
              <w:bottom w:val="single" w:sz="4" w:space="0" w:color="000000"/>
              <w:right w:val="nil"/>
            </w:tcBorders>
            <w:shd w:val="clear" w:color="auto" w:fill="FFFFFF"/>
            <w:vAlign w:val="center"/>
          </w:tcPr>
          <w:p w14:paraId="4A508E1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325</w:t>
            </w:r>
          </w:p>
        </w:tc>
        <w:tc>
          <w:tcPr>
            <w:tcW w:w="651" w:type="pct"/>
            <w:tcBorders>
              <w:top w:val="nil"/>
              <w:left w:val="nil"/>
              <w:bottom w:val="single" w:sz="4" w:space="0" w:color="000000"/>
              <w:right w:val="nil"/>
            </w:tcBorders>
            <w:shd w:val="clear" w:color="auto" w:fill="FFFFFF"/>
            <w:vAlign w:val="center"/>
          </w:tcPr>
          <w:p w14:paraId="0F686D7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56.03</w:t>
            </w:r>
          </w:p>
        </w:tc>
        <w:tc>
          <w:tcPr>
            <w:tcW w:w="390" w:type="pct"/>
            <w:tcBorders>
              <w:top w:val="nil"/>
              <w:left w:val="nil"/>
              <w:bottom w:val="single" w:sz="4" w:space="0" w:color="000000"/>
              <w:right w:val="nil"/>
            </w:tcBorders>
            <w:shd w:val="clear" w:color="auto" w:fill="FFFFFF"/>
            <w:vAlign w:val="center"/>
          </w:tcPr>
          <w:p w14:paraId="343D196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168</w:t>
            </w:r>
          </w:p>
        </w:tc>
        <w:tc>
          <w:tcPr>
            <w:tcW w:w="482" w:type="pct"/>
            <w:tcBorders>
              <w:top w:val="nil"/>
              <w:left w:val="nil"/>
              <w:bottom w:val="single" w:sz="4" w:space="0" w:color="000000"/>
              <w:right w:val="nil"/>
            </w:tcBorders>
            <w:shd w:val="clear" w:color="auto" w:fill="FFFFFF"/>
            <w:vAlign w:val="center"/>
          </w:tcPr>
          <w:p w14:paraId="270502E0"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50.91</w:t>
            </w:r>
          </w:p>
        </w:tc>
        <w:tc>
          <w:tcPr>
            <w:tcW w:w="484" w:type="pct"/>
            <w:tcBorders>
              <w:top w:val="nil"/>
              <w:left w:val="nil"/>
              <w:bottom w:val="single" w:sz="4" w:space="0" w:color="000000"/>
              <w:right w:val="nil"/>
            </w:tcBorders>
            <w:shd w:val="clear" w:color="auto" w:fill="FFFFFF"/>
            <w:vAlign w:val="center"/>
          </w:tcPr>
          <w:p w14:paraId="064C1F8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157</w:t>
            </w:r>
          </w:p>
        </w:tc>
        <w:tc>
          <w:tcPr>
            <w:tcW w:w="673" w:type="pct"/>
            <w:tcBorders>
              <w:top w:val="nil"/>
              <w:left w:val="nil"/>
              <w:bottom w:val="single" w:sz="4" w:space="0" w:color="000000"/>
              <w:right w:val="nil"/>
            </w:tcBorders>
            <w:shd w:val="clear" w:color="auto" w:fill="FFFFFF"/>
            <w:vAlign w:val="center"/>
          </w:tcPr>
          <w:p w14:paraId="31620A7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62.80</w:t>
            </w:r>
          </w:p>
        </w:tc>
      </w:tr>
      <w:tr w:rsidR="00792DC6" w:rsidRPr="00792DC6" w14:paraId="7F9E36CC" w14:textId="77777777" w:rsidTr="009109E8">
        <w:trPr>
          <w:trHeight w:val="166"/>
        </w:trPr>
        <w:tc>
          <w:tcPr>
            <w:tcW w:w="1882" w:type="pct"/>
            <w:tcBorders>
              <w:top w:val="nil"/>
              <w:left w:val="nil"/>
              <w:bottom w:val="nil"/>
              <w:right w:val="nil"/>
            </w:tcBorders>
            <w:shd w:val="clear" w:color="auto" w:fill="FFFFFF"/>
            <w:vAlign w:val="center"/>
          </w:tcPr>
          <w:p w14:paraId="386A1E44"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b/>
                <w:sz w:val="18"/>
                <w:szCs w:val="18"/>
              </w:rPr>
              <w:t>Age</w:t>
            </w:r>
          </w:p>
        </w:tc>
        <w:tc>
          <w:tcPr>
            <w:tcW w:w="438" w:type="pct"/>
            <w:tcBorders>
              <w:top w:val="nil"/>
              <w:left w:val="nil"/>
              <w:bottom w:val="nil"/>
              <w:right w:val="nil"/>
            </w:tcBorders>
            <w:shd w:val="clear" w:color="auto" w:fill="FFFFFF"/>
            <w:vAlign w:val="center"/>
          </w:tcPr>
          <w:p w14:paraId="5A17E18E" w14:textId="77777777" w:rsidR="00792DC6" w:rsidRPr="00792DC6" w:rsidRDefault="00792DC6" w:rsidP="009109E8">
            <w:pPr>
              <w:spacing w:after="0" w:line="240" w:lineRule="auto"/>
              <w:jc w:val="center"/>
              <w:rPr>
                <w:rFonts w:ascii="Arial" w:hAnsi="Arial" w:cs="Arial"/>
                <w:sz w:val="18"/>
                <w:szCs w:val="18"/>
              </w:rPr>
            </w:pPr>
          </w:p>
        </w:tc>
        <w:tc>
          <w:tcPr>
            <w:tcW w:w="651" w:type="pct"/>
            <w:tcBorders>
              <w:top w:val="nil"/>
              <w:left w:val="nil"/>
              <w:bottom w:val="nil"/>
              <w:right w:val="nil"/>
            </w:tcBorders>
            <w:shd w:val="clear" w:color="auto" w:fill="FFFFFF"/>
            <w:vAlign w:val="center"/>
          </w:tcPr>
          <w:p w14:paraId="6134F008" w14:textId="77777777" w:rsidR="00792DC6" w:rsidRPr="00792DC6" w:rsidRDefault="00792DC6" w:rsidP="009109E8">
            <w:pPr>
              <w:spacing w:after="0" w:line="240" w:lineRule="auto"/>
              <w:jc w:val="center"/>
              <w:rPr>
                <w:rFonts w:ascii="Arial" w:hAnsi="Arial" w:cs="Arial"/>
                <w:sz w:val="18"/>
                <w:szCs w:val="18"/>
              </w:rPr>
            </w:pPr>
          </w:p>
        </w:tc>
        <w:tc>
          <w:tcPr>
            <w:tcW w:w="390" w:type="pct"/>
            <w:tcBorders>
              <w:top w:val="nil"/>
              <w:left w:val="nil"/>
              <w:bottom w:val="nil"/>
              <w:right w:val="nil"/>
            </w:tcBorders>
            <w:shd w:val="clear" w:color="auto" w:fill="FFFFFF"/>
            <w:vAlign w:val="center"/>
          </w:tcPr>
          <w:p w14:paraId="46E94EE1" w14:textId="77777777" w:rsidR="00792DC6" w:rsidRPr="00792DC6" w:rsidRDefault="00792DC6" w:rsidP="009109E8">
            <w:pPr>
              <w:spacing w:after="0" w:line="240" w:lineRule="auto"/>
              <w:jc w:val="center"/>
              <w:rPr>
                <w:rFonts w:ascii="Arial" w:hAnsi="Arial" w:cs="Arial"/>
                <w:sz w:val="18"/>
                <w:szCs w:val="18"/>
              </w:rPr>
            </w:pPr>
          </w:p>
        </w:tc>
        <w:tc>
          <w:tcPr>
            <w:tcW w:w="482" w:type="pct"/>
            <w:tcBorders>
              <w:top w:val="nil"/>
              <w:left w:val="nil"/>
              <w:bottom w:val="nil"/>
              <w:right w:val="nil"/>
            </w:tcBorders>
            <w:shd w:val="clear" w:color="auto" w:fill="FFFFFF"/>
            <w:vAlign w:val="center"/>
          </w:tcPr>
          <w:p w14:paraId="7F83DDC2" w14:textId="77777777" w:rsidR="00792DC6" w:rsidRPr="00792DC6" w:rsidRDefault="00792DC6" w:rsidP="009109E8">
            <w:pPr>
              <w:spacing w:after="0" w:line="240" w:lineRule="auto"/>
              <w:jc w:val="center"/>
              <w:rPr>
                <w:rFonts w:ascii="Arial" w:hAnsi="Arial" w:cs="Arial"/>
                <w:sz w:val="18"/>
                <w:szCs w:val="18"/>
              </w:rPr>
            </w:pPr>
          </w:p>
        </w:tc>
        <w:tc>
          <w:tcPr>
            <w:tcW w:w="484" w:type="pct"/>
            <w:tcBorders>
              <w:top w:val="nil"/>
              <w:left w:val="nil"/>
              <w:bottom w:val="nil"/>
              <w:right w:val="nil"/>
            </w:tcBorders>
            <w:shd w:val="clear" w:color="auto" w:fill="FFFFFF"/>
            <w:vAlign w:val="center"/>
          </w:tcPr>
          <w:p w14:paraId="00DF5B62" w14:textId="77777777" w:rsidR="00792DC6" w:rsidRPr="00792DC6" w:rsidRDefault="00792DC6" w:rsidP="009109E8">
            <w:pPr>
              <w:spacing w:after="0" w:line="240" w:lineRule="auto"/>
              <w:jc w:val="center"/>
              <w:rPr>
                <w:rFonts w:ascii="Arial" w:hAnsi="Arial" w:cs="Arial"/>
                <w:sz w:val="18"/>
                <w:szCs w:val="18"/>
              </w:rPr>
            </w:pPr>
          </w:p>
        </w:tc>
        <w:tc>
          <w:tcPr>
            <w:tcW w:w="673" w:type="pct"/>
            <w:tcBorders>
              <w:top w:val="nil"/>
              <w:left w:val="nil"/>
              <w:bottom w:val="nil"/>
              <w:right w:val="nil"/>
            </w:tcBorders>
            <w:shd w:val="clear" w:color="auto" w:fill="FFFFFF"/>
            <w:vAlign w:val="center"/>
          </w:tcPr>
          <w:p w14:paraId="13C1747A" w14:textId="77777777" w:rsidR="00792DC6" w:rsidRPr="00792DC6" w:rsidRDefault="00792DC6" w:rsidP="009109E8">
            <w:pPr>
              <w:spacing w:after="0" w:line="240" w:lineRule="auto"/>
              <w:jc w:val="center"/>
              <w:rPr>
                <w:rFonts w:ascii="Arial" w:hAnsi="Arial" w:cs="Arial"/>
                <w:sz w:val="18"/>
                <w:szCs w:val="18"/>
              </w:rPr>
            </w:pPr>
          </w:p>
        </w:tc>
      </w:tr>
      <w:tr w:rsidR="00792DC6" w:rsidRPr="00792DC6" w14:paraId="57900A7D" w14:textId="77777777" w:rsidTr="009109E8">
        <w:trPr>
          <w:trHeight w:val="166"/>
        </w:trPr>
        <w:tc>
          <w:tcPr>
            <w:tcW w:w="1882" w:type="pct"/>
            <w:tcBorders>
              <w:top w:val="nil"/>
              <w:left w:val="nil"/>
              <w:bottom w:val="nil"/>
              <w:right w:val="nil"/>
            </w:tcBorders>
            <w:shd w:val="clear" w:color="auto" w:fill="FFFFFF"/>
            <w:vAlign w:val="center"/>
          </w:tcPr>
          <w:p w14:paraId="73A92A94"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Up to 54 years</w:t>
            </w:r>
          </w:p>
        </w:tc>
        <w:tc>
          <w:tcPr>
            <w:tcW w:w="438" w:type="pct"/>
            <w:tcBorders>
              <w:top w:val="nil"/>
              <w:left w:val="nil"/>
              <w:bottom w:val="nil"/>
              <w:right w:val="nil"/>
            </w:tcBorders>
            <w:shd w:val="clear" w:color="auto" w:fill="FFFFFF"/>
            <w:vAlign w:val="center"/>
          </w:tcPr>
          <w:p w14:paraId="3BD358BE"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475</w:t>
            </w:r>
          </w:p>
        </w:tc>
        <w:tc>
          <w:tcPr>
            <w:tcW w:w="651" w:type="pct"/>
            <w:tcBorders>
              <w:top w:val="nil"/>
              <w:left w:val="nil"/>
              <w:bottom w:val="nil"/>
              <w:right w:val="nil"/>
            </w:tcBorders>
            <w:shd w:val="clear" w:color="auto" w:fill="FFFFFF"/>
            <w:vAlign w:val="center"/>
          </w:tcPr>
          <w:p w14:paraId="360036E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81.90</w:t>
            </w:r>
          </w:p>
        </w:tc>
        <w:tc>
          <w:tcPr>
            <w:tcW w:w="390" w:type="pct"/>
            <w:tcBorders>
              <w:top w:val="nil"/>
              <w:left w:val="nil"/>
              <w:bottom w:val="nil"/>
              <w:right w:val="nil"/>
            </w:tcBorders>
            <w:shd w:val="clear" w:color="auto" w:fill="FFFFFF"/>
            <w:vAlign w:val="center"/>
          </w:tcPr>
          <w:p w14:paraId="4148345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293</w:t>
            </w:r>
          </w:p>
        </w:tc>
        <w:tc>
          <w:tcPr>
            <w:tcW w:w="482" w:type="pct"/>
            <w:tcBorders>
              <w:top w:val="nil"/>
              <w:left w:val="nil"/>
              <w:bottom w:val="nil"/>
              <w:right w:val="nil"/>
            </w:tcBorders>
            <w:shd w:val="clear" w:color="auto" w:fill="FFFFFF"/>
            <w:vAlign w:val="center"/>
          </w:tcPr>
          <w:p w14:paraId="0A0D767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88.79</w:t>
            </w:r>
          </w:p>
        </w:tc>
        <w:tc>
          <w:tcPr>
            <w:tcW w:w="484" w:type="pct"/>
            <w:tcBorders>
              <w:top w:val="nil"/>
              <w:left w:val="nil"/>
              <w:bottom w:val="nil"/>
              <w:right w:val="nil"/>
            </w:tcBorders>
            <w:shd w:val="clear" w:color="auto" w:fill="FFFFFF"/>
            <w:vAlign w:val="center"/>
          </w:tcPr>
          <w:p w14:paraId="418703F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181</w:t>
            </w:r>
          </w:p>
        </w:tc>
        <w:tc>
          <w:tcPr>
            <w:tcW w:w="673" w:type="pct"/>
            <w:tcBorders>
              <w:top w:val="nil"/>
              <w:left w:val="nil"/>
              <w:bottom w:val="nil"/>
              <w:right w:val="nil"/>
            </w:tcBorders>
            <w:shd w:val="clear" w:color="auto" w:fill="FFFFFF"/>
            <w:vAlign w:val="center"/>
          </w:tcPr>
          <w:p w14:paraId="73B08FF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72.40</w:t>
            </w:r>
          </w:p>
        </w:tc>
      </w:tr>
      <w:tr w:rsidR="00792DC6" w:rsidRPr="00792DC6" w14:paraId="18C1C1C9" w14:textId="77777777" w:rsidTr="009109E8">
        <w:trPr>
          <w:trHeight w:val="166"/>
        </w:trPr>
        <w:tc>
          <w:tcPr>
            <w:tcW w:w="1882" w:type="pct"/>
            <w:tcBorders>
              <w:top w:val="nil"/>
              <w:left w:val="nil"/>
              <w:bottom w:val="single" w:sz="4" w:space="0" w:color="000000"/>
              <w:right w:val="nil"/>
            </w:tcBorders>
            <w:shd w:val="clear" w:color="auto" w:fill="FFFFFF"/>
            <w:vAlign w:val="center"/>
          </w:tcPr>
          <w:p w14:paraId="4BEF3EBE"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55 or more</w:t>
            </w:r>
          </w:p>
        </w:tc>
        <w:tc>
          <w:tcPr>
            <w:tcW w:w="438" w:type="pct"/>
            <w:tcBorders>
              <w:top w:val="nil"/>
              <w:left w:val="nil"/>
              <w:bottom w:val="single" w:sz="4" w:space="0" w:color="000000"/>
              <w:right w:val="nil"/>
            </w:tcBorders>
            <w:shd w:val="clear" w:color="auto" w:fill="FFFFFF"/>
            <w:vAlign w:val="center"/>
          </w:tcPr>
          <w:p w14:paraId="3446D6FE"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105</w:t>
            </w:r>
          </w:p>
        </w:tc>
        <w:tc>
          <w:tcPr>
            <w:tcW w:w="651" w:type="pct"/>
            <w:tcBorders>
              <w:top w:val="nil"/>
              <w:left w:val="nil"/>
              <w:bottom w:val="single" w:sz="4" w:space="0" w:color="000000"/>
              <w:right w:val="nil"/>
            </w:tcBorders>
            <w:shd w:val="clear" w:color="auto" w:fill="FFFFFF"/>
            <w:vAlign w:val="center"/>
          </w:tcPr>
          <w:p w14:paraId="1CB28B31"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18.10</w:t>
            </w:r>
          </w:p>
        </w:tc>
        <w:tc>
          <w:tcPr>
            <w:tcW w:w="390" w:type="pct"/>
            <w:tcBorders>
              <w:top w:val="nil"/>
              <w:left w:val="nil"/>
              <w:bottom w:val="single" w:sz="4" w:space="0" w:color="000000"/>
              <w:right w:val="nil"/>
            </w:tcBorders>
            <w:shd w:val="clear" w:color="auto" w:fill="FFFFFF"/>
            <w:vAlign w:val="center"/>
          </w:tcPr>
          <w:p w14:paraId="0892A421"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37</w:t>
            </w:r>
          </w:p>
        </w:tc>
        <w:tc>
          <w:tcPr>
            <w:tcW w:w="482" w:type="pct"/>
            <w:tcBorders>
              <w:top w:val="nil"/>
              <w:left w:val="nil"/>
              <w:bottom w:val="single" w:sz="4" w:space="0" w:color="000000"/>
              <w:right w:val="nil"/>
            </w:tcBorders>
            <w:shd w:val="clear" w:color="auto" w:fill="FFFFFF"/>
            <w:vAlign w:val="center"/>
          </w:tcPr>
          <w:p w14:paraId="7CAF4AD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11.21</w:t>
            </w:r>
          </w:p>
        </w:tc>
        <w:tc>
          <w:tcPr>
            <w:tcW w:w="484" w:type="pct"/>
            <w:tcBorders>
              <w:top w:val="nil"/>
              <w:left w:val="nil"/>
              <w:bottom w:val="single" w:sz="4" w:space="0" w:color="000000"/>
              <w:right w:val="nil"/>
            </w:tcBorders>
            <w:shd w:val="clear" w:color="auto" w:fill="FFFFFF"/>
            <w:vAlign w:val="center"/>
          </w:tcPr>
          <w:p w14:paraId="6BD73DE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69</w:t>
            </w:r>
          </w:p>
        </w:tc>
        <w:tc>
          <w:tcPr>
            <w:tcW w:w="673" w:type="pct"/>
            <w:tcBorders>
              <w:top w:val="nil"/>
              <w:left w:val="nil"/>
              <w:bottom w:val="single" w:sz="4" w:space="0" w:color="000000"/>
              <w:right w:val="nil"/>
            </w:tcBorders>
            <w:shd w:val="clear" w:color="auto" w:fill="FFFFFF"/>
            <w:vAlign w:val="center"/>
          </w:tcPr>
          <w:p w14:paraId="3B6E7D1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27.60</w:t>
            </w:r>
          </w:p>
        </w:tc>
      </w:tr>
      <w:tr w:rsidR="00792DC6" w:rsidRPr="00792DC6" w14:paraId="3889B357" w14:textId="77777777" w:rsidTr="009109E8">
        <w:trPr>
          <w:trHeight w:val="166"/>
        </w:trPr>
        <w:tc>
          <w:tcPr>
            <w:tcW w:w="1882" w:type="pct"/>
            <w:tcBorders>
              <w:top w:val="nil"/>
              <w:left w:val="nil"/>
              <w:bottom w:val="nil"/>
              <w:right w:val="nil"/>
            </w:tcBorders>
            <w:shd w:val="clear" w:color="auto" w:fill="FFFFFF"/>
            <w:vAlign w:val="center"/>
          </w:tcPr>
          <w:p w14:paraId="5C33FB1C"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b/>
                <w:sz w:val="18"/>
                <w:szCs w:val="18"/>
              </w:rPr>
              <w:t>Health Insurance</w:t>
            </w:r>
          </w:p>
        </w:tc>
        <w:tc>
          <w:tcPr>
            <w:tcW w:w="438" w:type="pct"/>
            <w:tcBorders>
              <w:top w:val="nil"/>
              <w:left w:val="nil"/>
              <w:bottom w:val="nil"/>
              <w:right w:val="nil"/>
            </w:tcBorders>
            <w:shd w:val="clear" w:color="auto" w:fill="FFFFFF"/>
            <w:vAlign w:val="center"/>
          </w:tcPr>
          <w:p w14:paraId="513538C3" w14:textId="77777777" w:rsidR="00792DC6" w:rsidRPr="00792DC6" w:rsidRDefault="00792DC6" w:rsidP="009109E8">
            <w:pPr>
              <w:spacing w:after="0" w:line="240" w:lineRule="auto"/>
              <w:jc w:val="center"/>
              <w:rPr>
                <w:rFonts w:ascii="Arial" w:hAnsi="Arial" w:cs="Arial"/>
                <w:sz w:val="18"/>
                <w:szCs w:val="18"/>
              </w:rPr>
            </w:pPr>
          </w:p>
        </w:tc>
        <w:tc>
          <w:tcPr>
            <w:tcW w:w="651" w:type="pct"/>
            <w:tcBorders>
              <w:top w:val="nil"/>
              <w:left w:val="nil"/>
              <w:bottom w:val="nil"/>
              <w:right w:val="nil"/>
            </w:tcBorders>
            <w:shd w:val="clear" w:color="auto" w:fill="FFFFFF"/>
            <w:vAlign w:val="center"/>
          </w:tcPr>
          <w:p w14:paraId="01CF77A5" w14:textId="77777777" w:rsidR="00792DC6" w:rsidRPr="00792DC6" w:rsidRDefault="00792DC6" w:rsidP="009109E8">
            <w:pPr>
              <w:spacing w:after="0" w:line="240" w:lineRule="auto"/>
              <w:jc w:val="center"/>
              <w:rPr>
                <w:rFonts w:ascii="Arial" w:hAnsi="Arial" w:cs="Arial"/>
                <w:sz w:val="18"/>
                <w:szCs w:val="18"/>
              </w:rPr>
            </w:pPr>
          </w:p>
        </w:tc>
        <w:tc>
          <w:tcPr>
            <w:tcW w:w="390" w:type="pct"/>
            <w:tcBorders>
              <w:top w:val="nil"/>
              <w:left w:val="nil"/>
              <w:bottom w:val="nil"/>
              <w:right w:val="nil"/>
            </w:tcBorders>
            <w:shd w:val="clear" w:color="auto" w:fill="FFFFFF"/>
            <w:vAlign w:val="center"/>
          </w:tcPr>
          <w:p w14:paraId="0F2DB083" w14:textId="77777777" w:rsidR="00792DC6" w:rsidRPr="00792DC6" w:rsidRDefault="00792DC6" w:rsidP="009109E8">
            <w:pPr>
              <w:spacing w:after="0" w:line="240" w:lineRule="auto"/>
              <w:jc w:val="center"/>
              <w:rPr>
                <w:rFonts w:ascii="Arial" w:hAnsi="Arial" w:cs="Arial"/>
                <w:sz w:val="18"/>
                <w:szCs w:val="18"/>
              </w:rPr>
            </w:pPr>
          </w:p>
        </w:tc>
        <w:tc>
          <w:tcPr>
            <w:tcW w:w="482" w:type="pct"/>
            <w:tcBorders>
              <w:top w:val="nil"/>
              <w:left w:val="nil"/>
              <w:bottom w:val="nil"/>
              <w:right w:val="nil"/>
            </w:tcBorders>
            <w:shd w:val="clear" w:color="auto" w:fill="FFFFFF"/>
            <w:vAlign w:val="center"/>
          </w:tcPr>
          <w:p w14:paraId="66D95493" w14:textId="77777777" w:rsidR="00792DC6" w:rsidRPr="00792DC6" w:rsidRDefault="00792DC6" w:rsidP="009109E8">
            <w:pPr>
              <w:spacing w:after="0" w:line="240" w:lineRule="auto"/>
              <w:jc w:val="center"/>
              <w:rPr>
                <w:rFonts w:ascii="Arial" w:hAnsi="Arial" w:cs="Arial"/>
                <w:sz w:val="18"/>
                <w:szCs w:val="18"/>
              </w:rPr>
            </w:pPr>
          </w:p>
        </w:tc>
        <w:tc>
          <w:tcPr>
            <w:tcW w:w="484" w:type="pct"/>
            <w:tcBorders>
              <w:top w:val="nil"/>
              <w:left w:val="nil"/>
              <w:bottom w:val="nil"/>
              <w:right w:val="nil"/>
            </w:tcBorders>
            <w:shd w:val="clear" w:color="auto" w:fill="FFFFFF"/>
            <w:vAlign w:val="center"/>
          </w:tcPr>
          <w:p w14:paraId="3A8E8B15" w14:textId="77777777" w:rsidR="00792DC6" w:rsidRPr="00792DC6" w:rsidRDefault="00792DC6" w:rsidP="009109E8">
            <w:pPr>
              <w:spacing w:after="0" w:line="240" w:lineRule="auto"/>
              <w:jc w:val="center"/>
              <w:rPr>
                <w:rFonts w:ascii="Arial" w:hAnsi="Arial" w:cs="Arial"/>
                <w:sz w:val="18"/>
                <w:szCs w:val="18"/>
              </w:rPr>
            </w:pPr>
          </w:p>
        </w:tc>
        <w:tc>
          <w:tcPr>
            <w:tcW w:w="673" w:type="pct"/>
            <w:tcBorders>
              <w:top w:val="nil"/>
              <w:left w:val="nil"/>
              <w:bottom w:val="nil"/>
              <w:right w:val="nil"/>
            </w:tcBorders>
            <w:shd w:val="clear" w:color="auto" w:fill="FFFFFF"/>
            <w:vAlign w:val="center"/>
          </w:tcPr>
          <w:p w14:paraId="097A6BE4" w14:textId="77777777" w:rsidR="00792DC6" w:rsidRPr="00792DC6" w:rsidRDefault="00792DC6" w:rsidP="009109E8">
            <w:pPr>
              <w:spacing w:after="0" w:line="240" w:lineRule="auto"/>
              <w:jc w:val="center"/>
              <w:rPr>
                <w:rFonts w:ascii="Arial" w:hAnsi="Arial" w:cs="Arial"/>
                <w:sz w:val="18"/>
                <w:szCs w:val="18"/>
              </w:rPr>
            </w:pPr>
          </w:p>
        </w:tc>
      </w:tr>
      <w:tr w:rsidR="00792DC6" w:rsidRPr="00792DC6" w14:paraId="4E3F3F5E" w14:textId="77777777" w:rsidTr="009109E8">
        <w:trPr>
          <w:trHeight w:val="166"/>
        </w:trPr>
        <w:tc>
          <w:tcPr>
            <w:tcW w:w="1882" w:type="pct"/>
            <w:tcBorders>
              <w:top w:val="nil"/>
              <w:left w:val="nil"/>
              <w:right w:val="nil"/>
            </w:tcBorders>
            <w:shd w:val="clear" w:color="auto" w:fill="FFFFFF"/>
            <w:vAlign w:val="center"/>
          </w:tcPr>
          <w:p w14:paraId="15B1DC36"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Yes</w:t>
            </w:r>
          </w:p>
        </w:tc>
        <w:tc>
          <w:tcPr>
            <w:tcW w:w="438" w:type="pct"/>
            <w:tcBorders>
              <w:top w:val="nil"/>
              <w:left w:val="nil"/>
              <w:right w:val="nil"/>
            </w:tcBorders>
            <w:shd w:val="clear" w:color="auto" w:fill="FFFFFF"/>
            <w:vAlign w:val="center"/>
          </w:tcPr>
          <w:p w14:paraId="6359C1A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306</w:t>
            </w:r>
          </w:p>
        </w:tc>
        <w:tc>
          <w:tcPr>
            <w:tcW w:w="651" w:type="pct"/>
            <w:tcBorders>
              <w:top w:val="nil"/>
              <w:left w:val="nil"/>
              <w:right w:val="nil"/>
            </w:tcBorders>
            <w:shd w:val="clear" w:color="auto" w:fill="FFFFFF"/>
            <w:vAlign w:val="center"/>
          </w:tcPr>
          <w:p w14:paraId="0567332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52.76</w:t>
            </w:r>
          </w:p>
        </w:tc>
        <w:tc>
          <w:tcPr>
            <w:tcW w:w="390" w:type="pct"/>
            <w:tcBorders>
              <w:top w:val="nil"/>
              <w:left w:val="nil"/>
              <w:right w:val="nil"/>
            </w:tcBorders>
            <w:shd w:val="clear" w:color="auto" w:fill="FFFFFF"/>
            <w:vAlign w:val="center"/>
          </w:tcPr>
          <w:p w14:paraId="6322594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216</w:t>
            </w:r>
          </w:p>
        </w:tc>
        <w:tc>
          <w:tcPr>
            <w:tcW w:w="482" w:type="pct"/>
            <w:tcBorders>
              <w:top w:val="nil"/>
              <w:left w:val="nil"/>
              <w:right w:val="nil"/>
            </w:tcBorders>
            <w:shd w:val="clear" w:color="auto" w:fill="FFFFFF"/>
            <w:vAlign w:val="center"/>
          </w:tcPr>
          <w:p w14:paraId="37C8BBA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65.45</w:t>
            </w:r>
          </w:p>
        </w:tc>
        <w:tc>
          <w:tcPr>
            <w:tcW w:w="484" w:type="pct"/>
            <w:tcBorders>
              <w:top w:val="nil"/>
              <w:left w:val="nil"/>
              <w:right w:val="nil"/>
            </w:tcBorders>
            <w:shd w:val="clear" w:color="auto" w:fill="FFFFFF"/>
            <w:vAlign w:val="center"/>
          </w:tcPr>
          <w:p w14:paraId="2AD41052"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90</w:t>
            </w:r>
          </w:p>
        </w:tc>
        <w:tc>
          <w:tcPr>
            <w:tcW w:w="673" w:type="pct"/>
            <w:tcBorders>
              <w:top w:val="nil"/>
              <w:left w:val="nil"/>
              <w:right w:val="nil"/>
            </w:tcBorders>
            <w:shd w:val="clear" w:color="auto" w:fill="FFFFFF"/>
            <w:vAlign w:val="center"/>
          </w:tcPr>
          <w:p w14:paraId="2482F00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36.00</w:t>
            </w:r>
          </w:p>
        </w:tc>
      </w:tr>
      <w:tr w:rsidR="00792DC6" w:rsidRPr="00792DC6" w14:paraId="132B8B79" w14:textId="77777777" w:rsidTr="009109E8">
        <w:trPr>
          <w:trHeight w:val="166"/>
        </w:trPr>
        <w:tc>
          <w:tcPr>
            <w:tcW w:w="1882" w:type="pct"/>
            <w:tcBorders>
              <w:top w:val="nil"/>
              <w:left w:val="nil"/>
              <w:right w:val="nil"/>
            </w:tcBorders>
            <w:shd w:val="clear" w:color="auto" w:fill="FFFFFF"/>
            <w:vAlign w:val="center"/>
          </w:tcPr>
          <w:p w14:paraId="6B6ED888"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No</w:t>
            </w:r>
          </w:p>
        </w:tc>
        <w:tc>
          <w:tcPr>
            <w:tcW w:w="438" w:type="pct"/>
            <w:tcBorders>
              <w:top w:val="nil"/>
              <w:left w:val="nil"/>
              <w:right w:val="nil"/>
            </w:tcBorders>
            <w:shd w:val="clear" w:color="auto" w:fill="FFFFFF"/>
            <w:vAlign w:val="center"/>
          </w:tcPr>
          <w:p w14:paraId="1675BC0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267</w:t>
            </w:r>
          </w:p>
        </w:tc>
        <w:tc>
          <w:tcPr>
            <w:tcW w:w="651" w:type="pct"/>
            <w:tcBorders>
              <w:top w:val="nil"/>
              <w:left w:val="nil"/>
              <w:right w:val="nil"/>
            </w:tcBorders>
            <w:shd w:val="clear" w:color="auto" w:fill="FFFFFF"/>
            <w:vAlign w:val="center"/>
          </w:tcPr>
          <w:p w14:paraId="3DBA9A6E"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46.03</w:t>
            </w:r>
          </w:p>
        </w:tc>
        <w:tc>
          <w:tcPr>
            <w:tcW w:w="390" w:type="pct"/>
            <w:tcBorders>
              <w:top w:val="nil"/>
              <w:left w:val="nil"/>
              <w:right w:val="nil"/>
            </w:tcBorders>
            <w:shd w:val="clear" w:color="auto" w:fill="FFFFFF"/>
            <w:vAlign w:val="center"/>
          </w:tcPr>
          <w:p w14:paraId="3AC3318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109</w:t>
            </w:r>
          </w:p>
        </w:tc>
        <w:tc>
          <w:tcPr>
            <w:tcW w:w="482" w:type="pct"/>
            <w:tcBorders>
              <w:top w:val="nil"/>
              <w:left w:val="nil"/>
              <w:right w:val="nil"/>
            </w:tcBorders>
            <w:shd w:val="clear" w:color="auto" w:fill="FFFFFF"/>
            <w:vAlign w:val="center"/>
          </w:tcPr>
          <w:p w14:paraId="6D509B8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33.03</w:t>
            </w:r>
          </w:p>
        </w:tc>
        <w:tc>
          <w:tcPr>
            <w:tcW w:w="484" w:type="pct"/>
            <w:tcBorders>
              <w:top w:val="nil"/>
              <w:left w:val="nil"/>
              <w:right w:val="nil"/>
            </w:tcBorders>
            <w:shd w:val="clear" w:color="auto" w:fill="FFFFFF"/>
            <w:vAlign w:val="center"/>
          </w:tcPr>
          <w:p w14:paraId="486C6C4E"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158</w:t>
            </w:r>
          </w:p>
        </w:tc>
        <w:tc>
          <w:tcPr>
            <w:tcW w:w="673" w:type="pct"/>
            <w:tcBorders>
              <w:top w:val="nil"/>
              <w:left w:val="nil"/>
              <w:right w:val="nil"/>
            </w:tcBorders>
            <w:shd w:val="clear" w:color="auto" w:fill="FFFFFF"/>
            <w:vAlign w:val="center"/>
          </w:tcPr>
          <w:p w14:paraId="0283BE6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63.20</w:t>
            </w:r>
          </w:p>
        </w:tc>
      </w:tr>
      <w:tr w:rsidR="00792DC6" w:rsidRPr="00792DC6" w14:paraId="4335B125" w14:textId="77777777" w:rsidTr="009109E8">
        <w:trPr>
          <w:trHeight w:val="166"/>
        </w:trPr>
        <w:tc>
          <w:tcPr>
            <w:tcW w:w="1882" w:type="pct"/>
            <w:tcBorders>
              <w:top w:val="nil"/>
              <w:left w:val="nil"/>
              <w:bottom w:val="single" w:sz="4" w:space="0" w:color="000000"/>
              <w:right w:val="nil"/>
            </w:tcBorders>
            <w:shd w:val="clear" w:color="auto" w:fill="FFFFFF"/>
            <w:vAlign w:val="center"/>
          </w:tcPr>
          <w:p w14:paraId="08925A95"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Don’t know/Didn’t answer</w:t>
            </w:r>
          </w:p>
        </w:tc>
        <w:tc>
          <w:tcPr>
            <w:tcW w:w="438" w:type="pct"/>
            <w:tcBorders>
              <w:top w:val="nil"/>
              <w:left w:val="nil"/>
              <w:bottom w:val="single" w:sz="4" w:space="0" w:color="000000"/>
              <w:right w:val="nil"/>
            </w:tcBorders>
            <w:shd w:val="clear" w:color="auto" w:fill="FFFFFF"/>
            <w:vAlign w:val="center"/>
          </w:tcPr>
          <w:p w14:paraId="71A9C46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07</w:t>
            </w:r>
          </w:p>
        </w:tc>
        <w:tc>
          <w:tcPr>
            <w:tcW w:w="651" w:type="pct"/>
            <w:tcBorders>
              <w:top w:val="nil"/>
              <w:left w:val="nil"/>
              <w:bottom w:val="single" w:sz="4" w:space="0" w:color="000000"/>
              <w:right w:val="nil"/>
            </w:tcBorders>
            <w:shd w:val="clear" w:color="auto" w:fill="FFFFFF"/>
            <w:vAlign w:val="center"/>
          </w:tcPr>
          <w:p w14:paraId="18E02E5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1.21</w:t>
            </w:r>
          </w:p>
        </w:tc>
        <w:tc>
          <w:tcPr>
            <w:tcW w:w="390" w:type="pct"/>
            <w:tcBorders>
              <w:top w:val="nil"/>
              <w:left w:val="nil"/>
              <w:bottom w:val="single" w:sz="4" w:space="0" w:color="000000"/>
              <w:right w:val="nil"/>
            </w:tcBorders>
            <w:shd w:val="clear" w:color="auto" w:fill="FFFFFF"/>
            <w:vAlign w:val="center"/>
          </w:tcPr>
          <w:p w14:paraId="6B5F46F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05</w:t>
            </w:r>
          </w:p>
        </w:tc>
        <w:tc>
          <w:tcPr>
            <w:tcW w:w="482" w:type="pct"/>
            <w:tcBorders>
              <w:top w:val="nil"/>
              <w:left w:val="nil"/>
              <w:bottom w:val="single" w:sz="4" w:space="0" w:color="000000"/>
              <w:right w:val="nil"/>
            </w:tcBorders>
            <w:shd w:val="clear" w:color="auto" w:fill="FFFFFF"/>
            <w:vAlign w:val="center"/>
          </w:tcPr>
          <w:p w14:paraId="4132D091"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1.52</w:t>
            </w:r>
          </w:p>
        </w:tc>
        <w:tc>
          <w:tcPr>
            <w:tcW w:w="484" w:type="pct"/>
            <w:tcBorders>
              <w:top w:val="nil"/>
              <w:left w:val="nil"/>
              <w:bottom w:val="single" w:sz="4" w:space="0" w:color="000000"/>
              <w:right w:val="nil"/>
            </w:tcBorders>
            <w:shd w:val="clear" w:color="auto" w:fill="FFFFFF"/>
            <w:vAlign w:val="center"/>
          </w:tcPr>
          <w:p w14:paraId="55782C4E"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02</w:t>
            </w:r>
          </w:p>
        </w:tc>
        <w:tc>
          <w:tcPr>
            <w:tcW w:w="673" w:type="pct"/>
            <w:tcBorders>
              <w:top w:val="nil"/>
              <w:left w:val="nil"/>
              <w:bottom w:val="single" w:sz="4" w:space="0" w:color="000000"/>
              <w:right w:val="nil"/>
            </w:tcBorders>
            <w:shd w:val="clear" w:color="auto" w:fill="FFFFFF"/>
            <w:vAlign w:val="center"/>
          </w:tcPr>
          <w:p w14:paraId="7E48A02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0.80</w:t>
            </w:r>
          </w:p>
        </w:tc>
      </w:tr>
      <w:tr w:rsidR="00792DC6" w:rsidRPr="00792DC6" w14:paraId="37DF668A" w14:textId="77777777" w:rsidTr="009109E8">
        <w:trPr>
          <w:trHeight w:val="166"/>
        </w:trPr>
        <w:tc>
          <w:tcPr>
            <w:tcW w:w="1882" w:type="pct"/>
            <w:tcBorders>
              <w:top w:val="nil"/>
              <w:left w:val="nil"/>
              <w:bottom w:val="nil"/>
              <w:right w:val="nil"/>
            </w:tcBorders>
            <w:shd w:val="clear" w:color="auto" w:fill="FFFFFF"/>
            <w:vAlign w:val="center"/>
          </w:tcPr>
          <w:p w14:paraId="7DD9A756"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b/>
                <w:sz w:val="18"/>
                <w:szCs w:val="18"/>
              </w:rPr>
              <w:t>Education</w:t>
            </w:r>
          </w:p>
        </w:tc>
        <w:tc>
          <w:tcPr>
            <w:tcW w:w="438" w:type="pct"/>
            <w:tcBorders>
              <w:top w:val="nil"/>
              <w:left w:val="nil"/>
              <w:bottom w:val="nil"/>
              <w:right w:val="nil"/>
            </w:tcBorders>
            <w:shd w:val="clear" w:color="auto" w:fill="FFFFFF"/>
            <w:vAlign w:val="center"/>
          </w:tcPr>
          <w:p w14:paraId="21F598B6" w14:textId="77777777" w:rsidR="00792DC6" w:rsidRPr="00792DC6" w:rsidRDefault="00792DC6" w:rsidP="009109E8">
            <w:pPr>
              <w:spacing w:after="0" w:line="240" w:lineRule="auto"/>
              <w:jc w:val="center"/>
              <w:rPr>
                <w:rFonts w:ascii="Arial" w:hAnsi="Arial" w:cs="Arial"/>
                <w:sz w:val="18"/>
                <w:szCs w:val="18"/>
              </w:rPr>
            </w:pPr>
          </w:p>
        </w:tc>
        <w:tc>
          <w:tcPr>
            <w:tcW w:w="651" w:type="pct"/>
            <w:tcBorders>
              <w:top w:val="nil"/>
              <w:left w:val="nil"/>
              <w:bottom w:val="nil"/>
              <w:right w:val="nil"/>
            </w:tcBorders>
            <w:shd w:val="clear" w:color="auto" w:fill="FFFFFF"/>
            <w:vAlign w:val="center"/>
          </w:tcPr>
          <w:p w14:paraId="65F04B5E" w14:textId="77777777" w:rsidR="00792DC6" w:rsidRPr="00792DC6" w:rsidRDefault="00792DC6" w:rsidP="009109E8">
            <w:pPr>
              <w:spacing w:after="0" w:line="240" w:lineRule="auto"/>
              <w:jc w:val="center"/>
              <w:rPr>
                <w:rFonts w:ascii="Arial" w:hAnsi="Arial" w:cs="Arial"/>
                <w:sz w:val="18"/>
                <w:szCs w:val="18"/>
              </w:rPr>
            </w:pPr>
          </w:p>
        </w:tc>
        <w:tc>
          <w:tcPr>
            <w:tcW w:w="390" w:type="pct"/>
            <w:tcBorders>
              <w:top w:val="nil"/>
              <w:left w:val="nil"/>
              <w:bottom w:val="nil"/>
              <w:right w:val="nil"/>
            </w:tcBorders>
            <w:shd w:val="clear" w:color="auto" w:fill="FFFFFF"/>
            <w:vAlign w:val="center"/>
          </w:tcPr>
          <w:p w14:paraId="4E883967" w14:textId="77777777" w:rsidR="00792DC6" w:rsidRPr="00792DC6" w:rsidRDefault="00792DC6" w:rsidP="009109E8">
            <w:pPr>
              <w:spacing w:after="0" w:line="240" w:lineRule="auto"/>
              <w:jc w:val="center"/>
              <w:rPr>
                <w:rFonts w:ascii="Arial" w:hAnsi="Arial" w:cs="Arial"/>
                <w:sz w:val="18"/>
                <w:szCs w:val="18"/>
              </w:rPr>
            </w:pPr>
          </w:p>
        </w:tc>
        <w:tc>
          <w:tcPr>
            <w:tcW w:w="482" w:type="pct"/>
            <w:tcBorders>
              <w:top w:val="nil"/>
              <w:left w:val="nil"/>
              <w:bottom w:val="nil"/>
              <w:right w:val="nil"/>
            </w:tcBorders>
            <w:shd w:val="clear" w:color="auto" w:fill="FFFFFF"/>
            <w:vAlign w:val="center"/>
          </w:tcPr>
          <w:p w14:paraId="5B0EFF9B" w14:textId="77777777" w:rsidR="00792DC6" w:rsidRPr="00792DC6" w:rsidRDefault="00792DC6" w:rsidP="009109E8">
            <w:pPr>
              <w:spacing w:after="0" w:line="240" w:lineRule="auto"/>
              <w:jc w:val="center"/>
              <w:rPr>
                <w:rFonts w:ascii="Arial" w:hAnsi="Arial" w:cs="Arial"/>
                <w:sz w:val="18"/>
                <w:szCs w:val="18"/>
              </w:rPr>
            </w:pPr>
          </w:p>
        </w:tc>
        <w:tc>
          <w:tcPr>
            <w:tcW w:w="484" w:type="pct"/>
            <w:tcBorders>
              <w:top w:val="nil"/>
              <w:left w:val="nil"/>
              <w:bottom w:val="nil"/>
              <w:right w:val="nil"/>
            </w:tcBorders>
            <w:shd w:val="clear" w:color="auto" w:fill="FFFFFF"/>
            <w:vAlign w:val="center"/>
          </w:tcPr>
          <w:p w14:paraId="6970B951" w14:textId="77777777" w:rsidR="00792DC6" w:rsidRPr="00792DC6" w:rsidRDefault="00792DC6" w:rsidP="009109E8">
            <w:pPr>
              <w:spacing w:after="0" w:line="240" w:lineRule="auto"/>
              <w:jc w:val="center"/>
              <w:rPr>
                <w:rFonts w:ascii="Arial" w:hAnsi="Arial" w:cs="Arial"/>
                <w:sz w:val="18"/>
                <w:szCs w:val="18"/>
              </w:rPr>
            </w:pPr>
          </w:p>
        </w:tc>
        <w:tc>
          <w:tcPr>
            <w:tcW w:w="673" w:type="pct"/>
            <w:tcBorders>
              <w:top w:val="nil"/>
              <w:left w:val="nil"/>
              <w:bottom w:val="nil"/>
              <w:right w:val="nil"/>
            </w:tcBorders>
            <w:shd w:val="clear" w:color="auto" w:fill="FFFFFF"/>
            <w:vAlign w:val="center"/>
          </w:tcPr>
          <w:p w14:paraId="24825ABA" w14:textId="77777777" w:rsidR="00792DC6" w:rsidRPr="00792DC6" w:rsidRDefault="00792DC6" w:rsidP="009109E8">
            <w:pPr>
              <w:spacing w:after="0" w:line="240" w:lineRule="auto"/>
              <w:jc w:val="center"/>
              <w:rPr>
                <w:rFonts w:ascii="Arial" w:hAnsi="Arial" w:cs="Arial"/>
                <w:sz w:val="18"/>
                <w:szCs w:val="18"/>
              </w:rPr>
            </w:pPr>
          </w:p>
        </w:tc>
      </w:tr>
      <w:tr w:rsidR="00792DC6" w:rsidRPr="00792DC6" w14:paraId="6161DA5C" w14:textId="77777777" w:rsidTr="009109E8">
        <w:trPr>
          <w:trHeight w:val="166"/>
        </w:trPr>
        <w:tc>
          <w:tcPr>
            <w:tcW w:w="1882" w:type="pct"/>
            <w:tcBorders>
              <w:top w:val="nil"/>
              <w:left w:val="nil"/>
              <w:bottom w:val="nil"/>
              <w:right w:val="nil"/>
            </w:tcBorders>
            <w:shd w:val="clear" w:color="auto" w:fill="FFFFFF"/>
            <w:vAlign w:val="center"/>
          </w:tcPr>
          <w:p w14:paraId="106D953A" w14:textId="77777777" w:rsidR="00792DC6" w:rsidRPr="00792DC6" w:rsidRDefault="00792DC6" w:rsidP="009109E8">
            <w:pPr>
              <w:spacing w:after="0" w:line="240" w:lineRule="auto"/>
              <w:jc w:val="both"/>
              <w:rPr>
                <w:rFonts w:ascii="Arial" w:hAnsi="Arial" w:cs="Arial"/>
                <w:sz w:val="18"/>
                <w:szCs w:val="18"/>
              </w:rPr>
            </w:pPr>
            <w:r w:rsidRPr="00792DC6">
              <w:rPr>
                <w:rFonts w:ascii="Arial" w:hAnsi="Arial" w:cs="Arial"/>
                <w:sz w:val="18"/>
                <w:szCs w:val="18"/>
              </w:rPr>
              <w:t>Incomplete primary school</w:t>
            </w:r>
          </w:p>
        </w:tc>
        <w:tc>
          <w:tcPr>
            <w:tcW w:w="438" w:type="pct"/>
            <w:tcBorders>
              <w:top w:val="nil"/>
              <w:left w:val="nil"/>
              <w:bottom w:val="nil"/>
              <w:right w:val="nil"/>
            </w:tcBorders>
            <w:shd w:val="clear" w:color="auto" w:fill="FFFFFF"/>
            <w:vAlign w:val="center"/>
          </w:tcPr>
          <w:p w14:paraId="5702846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66</w:t>
            </w:r>
          </w:p>
        </w:tc>
        <w:tc>
          <w:tcPr>
            <w:tcW w:w="651" w:type="pct"/>
            <w:tcBorders>
              <w:top w:val="nil"/>
              <w:left w:val="nil"/>
              <w:bottom w:val="nil"/>
              <w:right w:val="nil"/>
            </w:tcBorders>
            <w:shd w:val="clear" w:color="auto" w:fill="FFFFFF"/>
            <w:vAlign w:val="center"/>
          </w:tcPr>
          <w:p w14:paraId="169EFF7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11.38</w:t>
            </w:r>
          </w:p>
        </w:tc>
        <w:tc>
          <w:tcPr>
            <w:tcW w:w="390" w:type="pct"/>
            <w:tcBorders>
              <w:top w:val="nil"/>
              <w:left w:val="nil"/>
              <w:bottom w:val="nil"/>
              <w:right w:val="nil"/>
            </w:tcBorders>
            <w:shd w:val="clear" w:color="auto" w:fill="FFFFFF"/>
            <w:vAlign w:val="center"/>
          </w:tcPr>
          <w:p w14:paraId="6CBB8F6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16</w:t>
            </w:r>
          </w:p>
        </w:tc>
        <w:tc>
          <w:tcPr>
            <w:tcW w:w="482" w:type="pct"/>
            <w:tcBorders>
              <w:top w:val="nil"/>
              <w:left w:val="nil"/>
              <w:bottom w:val="nil"/>
              <w:right w:val="nil"/>
            </w:tcBorders>
            <w:shd w:val="clear" w:color="auto" w:fill="FFFFFF"/>
            <w:vAlign w:val="center"/>
          </w:tcPr>
          <w:p w14:paraId="727A844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4.85</w:t>
            </w:r>
          </w:p>
        </w:tc>
        <w:tc>
          <w:tcPr>
            <w:tcW w:w="484" w:type="pct"/>
            <w:tcBorders>
              <w:top w:val="nil"/>
              <w:left w:val="nil"/>
              <w:bottom w:val="nil"/>
              <w:right w:val="nil"/>
            </w:tcBorders>
            <w:shd w:val="clear" w:color="auto" w:fill="FFFFFF"/>
            <w:vAlign w:val="center"/>
          </w:tcPr>
          <w:p w14:paraId="61320B8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50</w:t>
            </w:r>
          </w:p>
        </w:tc>
        <w:tc>
          <w:tcPr>
            <w:tcW w:w="673" w:type="pct"/>
            <w:tcBorders>
              <w:top w:val="nil"/>
              <w:left w:val="nil"/>
              <w:bottom w:val="nil"/>
              <w:right w:val="nil"/>
            </w:tcBorders>
            <w:shd w:val="clear" w:color="auto" w:fill="FFFFFF"/>
            <w:vAlign w:val="center"/>
          </w:tcPr>
          <w:p w14:paraId="57F15BF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20.00</w:t>
            </w:r>
          </w:p>
        </w:tc>
      </w:tr>
      <w:tr w:rsidR="00792DC6" w:rsidRPr="00792DC6" w14:paraId="0EFE31DC" w14:textId="77777777" w:rsidTr="009109E8">
        <w:trPr>
          <w:trHeight w:val="178"/>
        </w:trPr>
        <w:tc>
          <w:tcPr>
            <w:tcW w:w="1882" w:type="pct"/>
            <w:tcBorders>
              <w:top w:val="nil"/>
              <w:left w:val="nil"/>
              <w:bottom w:val="nil"/>
              <w:right w:val="nil"/>
            </w:tcBorders>
            <w:shd w:val="clear" w:color="auto" w:fill="FFFFFF"/>
            <w:vAlign w:val="center"/>
          </w:tcPr>
          <w:p w14:paraId="0202EE24" w14:textId="77777777" w:rsidR="00792DC6" w:rsidRPr="00792DC6" w:rsidRDefault="00792DC6" w:rsidP="009109E8">
            <w:pPr>
              <w:spacing w:after="0" w:line="240" w:lineRule="auto"/>
              <w:jc w:val="both"/>
              <w:rPr>
                <w:rFonts w:ascii="Arial" w:hAnsi="Arial" w:cs="Arial"/>
                <w:sz w:val="18"/>
                <w:szCs w:val="18"/>
              </w:rPr>
            </w:pPr>
            <w:r w:rsidRPr="00792DC6">
              <w:rPr>
                <w:rFonts w:ascii="Arial" w:hAnsi="Arial" w:cs="Arial"/>
                <w:sz w:val="18"/>
                <w:szCs w:val="18"/>
              </w:rPr>
              <w:t>Primary school</w:t>
            </w:r>
          </w:p>
        </w:tc>
        <w:tc>
          <w:tcPr>
            <w:tcW w:w="438" w:type="pct"/>
            <w:tcBorders>
              <w:top w:val="nil"/>
              <w:left w:val="nil"/>
              <w:bottom w:val="nil"/>
              <w:right w:val="nil"/>
            </w:tcBorders>
            <w:shd w:val="clear" w:color="auto" w:fill="FFFFFF"/>
            <w:vAlign w:val="center"/>
          </w:tcPr>
          <w:p w14:paraId="4576921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242</w:t>
            </w:r>
          </w:p>
        </w:tc>
        <w:tc>
          <w:tcPr>
            <w:tcW w:w="651" w:type="pct"/>
            <w:tcBorders>
              <w:top w:val="nil"/>
              <w:left w:val="nil"/>
              <w:bottom w:val="nil"/>
              <w:right w:val="nil"/>
            </w:tcBorders>
            <w:shd w:val="clear" w:color="auto" w:fill="FFFFFF"/>
            <w:vAlign w:val="center"/>
          </w:tcPr>
          <w:p w14:paraId="70CEC92E"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41.72</w:t>
            </w:r>
          </w:p>
        </w:tc>
        <w:tc>
          <w:tcPr>
            <w:tcW w:w="390" w:type="pct"/>
            <w:tcBorders>
              <w:top w:val="nil"/>
              <w:left w:val="nil"/>
              <w:bottom w:val="nil"/>
              <w:right w:val="nil"/>
            </w:tcBorders>
            <w:shd w:val="clear" w:color="auto" w:fill="FFFFFF"/>
            <w:vAlign w:val="center"/>
          </w:tcPr>
          <w:p w14:paraId="4808D83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112</w:t>
            </w:r>
          </w:p>
        </w:tc>
        <w:tc>
          <w:tcPr>
            <w:tcW w:w="482" w:type="pct"/>
            <w:tcBorders>
              <w:top w:val="nil"/>
              <w:left w:val="nil"/>
              <w:bottom w:val="nil"/>
              <w:right w:val="nil"/>
            </w:tcBorders>
            <w:shd w:val="clear" w:color="auto" w:fill="FFFFFF"/>
            <w:vAlign w:val="center"/>
          </w:tcPr>
          <w:p w14:paraId="165C264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33.93</w:t>
            </w:r>
          </w:p>
        </w:tc>
        <w:tc>
          <w:tcPr>
            <w:tcW w:w="484" w:type="pct"/>
            <w:tcBorders>
              <w:top w:val="nil"/>
              <w:left w:val="nil"/>
              <w:bottom w:val="nil"/>
              <w:right w:val="nil"/>
            </w:tcBorders>
            <w:shd w:val="clear" w:color="auto" w:fill="FFFFFF"/>
            <w:vAlign w:val="center"/>
          </w:tcPr>
          <w:p w14:paraId="6835394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130</w:t>
            </w:r>
          </w:p>
        </w:tc>
        <w:tc>
          <w:tcPr>
            <w:tcW w:w="673" w:type="pct"/>
            <w:tcBorders>
              <w:top w:val="nil"/>
              <w:left w:val="nil"/>
              <w:bottom w:val="nil"/>
              <w:right w:val="nil"/>
            </w:tcBorders>
            <w:shd w:val="clear" w:color="auto" w:fill="FFFFFF"/>
            <w:vAlign w:val="center"/>
          </w:tcPr>
          <w:p w14:paraId="5CE3173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52.00</w:t>
            </w:r>
          </w:p>
        </w:tc>
      </w:tr>
      <w:tr w:rsidR="00792DC6" w:rsidRPr="00792DC6" w14:paraId="6355E7C6" w14:textId="77777777" w:rsidTr="009109E8">
        <w:trPr>
          <w:trHeight w:val="166"/>
        </w:trPr>
        <w:tc>
          <w:tcPr>
            <w:tcW w:w="1882" w:type="pct"/>
            <w:tcBorders>
              <w:top w:val="nil"/>
              <w:left w:val="nil"/>
              <w:bottom w:val="nil"/>
              <w:right w:val="nil"/>
            </w:tcBorders>
            <w:shd w:val="clear" w:color="auto" w:fill="FFFFFF"/>
            <w:vAlign w:val="center"/>
          </w:tcPr>
          <w:p w14:paraId="48CB8416" w14:textId="77777777" w:rsidR="00792DC6" w:rsidRPr="00792DC6" w:rsidRDefault="00792DC6" w:rsidP="009109E8">
            <w:pPr>
              <w:spacing w:after="0" w:line="240" w:lineRule="auto"/>
              <w:jc w:val="both"/>
              <w:rPr>
                <w:rFonts w:ascii="Arial" w:hAnsi="Arial" w:cs="Arial"/>
                <w:sz w:val="18"/>
                <w:szCs w:val="18"/>
              </w:rPr>
            </w:pPr>
            <w:r w:rsidRPr="00792DC6">
              <w:rPr>
                <w:rFonts w:ascii="Arial" w:hAnsi="Arial" w:cs="Arial"/>
                <w:sz w:val="18"/>
                <w:szCs w:val="18"/>
              </w:rPr>
              <w:t>Secondary school</w:t>
            </w:r>
          </w:p>
        </w:tc>
        <w:tc>
          <w:tcPr>
            <w:tcW w:w="438" w:type="pct"/>
            <w:tcBorders>
              <w:top w:val="nil"/>
              <w:left w:val="nil"/>
              <w:bottom w:val="nil"/>
              <w:right w:val="nil"/>
            </w:tcBorders>
            <w:shd w:val="clear" w:color="auto" w:fill="FFFFFF"/>
            <w:vAlign w:val="center"/>
          </w:tcPr>
          <w:p w14:paraId="42971E8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209</w:t>
            </w:r>
          </w:p>
        </w:tc>
        <w:tc>
          <w:tcPr>
            <w:tcW w:w="651" w:type="pct"/>
            <w:tcBorders>
              <w:top w:val="nil"/>
              <w:left w:val="nil"/>
              <w:bottom w:val="nil"/>
              <w:right w:val="nil"/>
            </w:tcBorders>
            <w:shd w:val="clear" w:color="auto" w:fill="FFFFFF"/>
            <w:vAlign w:val="center"/>
          </w:tcPr>
          <w:p w14:paraId="3A7BE9E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36.03</w:t>
            </w:r>
          </w:p>
        </w:tc>
        <w:tc>
          <w:tcPr>
            <w:tcW w:w="390" w:type="pct"/>
            <w:tcBorders>
              <w:top w:val="nil"/>
              <w:left w:val="nil"/>
              <w:bottom w:val="nil"/>
              <w:right w:val="nil"/>
            </w:tcBorders>
            <w:shd w:val="clear" w:color="auto" w:fill="FFFFFF"/>
            <w:vAlign w:val="center"/>
          </w:tcPr>
          <w:p w14:paraId="3EC9253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154</w:t>
            </w:r>
          </w:p>
        </w:tc>
        <w:tc>
          <w:tcPr>
            <w:tcW w:w="482" w:type="pct"/>
            <w:tcBorders>
              <w:top w:val="nil"/>
              <w:left w:val="nil"/>
              <w:bottom w:val="nil"/>
              <w:right w:val="nil"/>
            </w:tcBorders>
            <w:shd w:val="clear" w:color="auto" w:fill="FFFFFF"/>
            <w:vAlign w:val="center"/>
          </w:tcPr>
          <w:p w14:paraId="45A5E18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46.67</w:t>
            </w:r>
          </w:p>
        </w:tc>
        <w:tc>
          <w:tcPr>
            <w:tcW w:w="484" w:type="pct"/>
            <w:tcBorders>
              <w:top w:val="nil"/>
              <w:left w:val="nil"/>
              <w:bottom w:val="nil"/>
              <w:right w:val="nil"/>
            </w:tcBorders>
            <w:shd w:val="clear" w:color="auto" w:fill="FFFFFF"/>
            <w:vAlign w:val="center"/>
          </w:tcPr>
          <w:p w14:paraId="07CA18D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55</w:t>
            </w:r>
          </w:p>
        </w:tc>
        <w:tc>
          <w:tcPr>
            <w:tcW w:w="673" w:type="pct"/>
            <w:tcBorders>
              <w:top w:val="nil"/>
              <w:left w:val="nil"/>
              <w:bottom w:val="nil"/>
              <w:right w:val="nil"/>
            </w:tcBorders>
            <w:shd w:val="clear" w:color="auto" w:fill="FFFFFF"/>
            <w:vAlign w:val="center"/>
          </w:tcPr>
          <w:p w14:paraId="6F27C24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22.00</w:t>
            </w:r>
          </w:p>
        </w:tc>
      </w:tr>
      <w:tr w:rsidR="00792DC6" w:rsidRPr="00792DC6" w14:paraId="6092AD29" w14:textId="77777777" w:rsidTr="009109E8">
        <w:trPr>
          <w:trHeight w:val="166"/>
        </w:trPr>
        <w:tc>
          <w:tcPr>
            <w:tcW w:w="1882" w:type="pct"/>
            <w:tcBorders>
              <w:top w:val="nil"/>
              <w:left w:val="nil"/>
              <w:bottom w:val="nil"/>
              <w:right w:val="nil"/>
            </w:tcBorders>
            <w:shd w:val="clear" w:color="auto" w:fill="FFFFFF"/>
            <w:vAlign w:val="center"/>
          </w:tcPr>
          <w:p w14:paraId="71A99508" w14:textId="77777777" w:rsidR="00792DC6" w:rsidRPr="00792DC6" w:rsidRDefault="00792DC6" w:rsidP="009109E8">
            <w:pPr>
              <w:spacing w:after="0" w:line="240" w:lineRule="auto"/>
              <w:jc w:val="both"/>
              <w:rPr>
                <w:rFonts w:ascii="Arial" w:hAnsi="Arial" w:cs="Arial"/>
                <w:sz w:val="18"/>
                <w:szCs w:val="18"/>
              </w:rPr>
            </w:pPr>
            <w:r w:rsidRPr="00792DC6">
              <w:rPr>
                <w:rFonts w:ascii="Arial" w:hAnsi="Arial" w:cs="Arial"/>
                <w:sz w:val="18"/>
                <w:szCs w:val="18"/>
              </w:rPr>
              <w:t>Higher education</w:t>
            </w:r>
          </w:p>
        </w:tc>
        <w:tc>
          <w:tcPr>
            <w:tcW w:w="438" w:type="pct"/>
            <w:tcBorders>
              <w:top w:val="nil"/>
              <w:left w:val="nil"/>
              <w:bottom w:val="nil"/>
              <w:right w:val="nil"/>
            </w:tcBorders>
            <w:shd w:val="clear" w:color="auto" w:fill="FFFFFF"/>
            <w:vAlign w:val="center"/>
          </w:tcPr>
          <w:p w14:paraId="11C748A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56</w:t>
            </w:r>
          </w:p>
        </w:tc>
        <w:tc>
          <w:tcPr>
            <w:tcW w:w="651" w:type="pct"/>
            <w:tcBorders>
              <w:top w:val="nil"/>
              <w:left w:val="nil"/>
              <w:bottom w:val="nil"/>
              <w:right w:val="nil"/>
            </w:tcBorders>
            <w:shd w:val="clear" w:color="auto" w:fill="FFFFFF"/>
            <w:vAlign w:val="center"/>
          </w:tcPr>
          <w:p w14:paraId="253ABBC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9.66</w:t>
            </w:r>
          </w:p>
        </w:tc>
        <w:tc>
          <w:tcPr>
            <w:tcW w:w="390" w:type="pct"/>
            <w:tcBorders>
              <w:top w:val="nil"/>
              <w:left w:val="nil"/>
              <w:bottom w:val="nil"/>
              <w:right w:val="nil"/>
            </w:tcBorders>
            <w:shd w:val="clear" w:color="auto" w:fill="FFFFFF"/>
            <w:vAlign w:val="center"/>
          </w:tcPr>
          <w:p w14:paraId="5942B95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43</w:t>
            </w:r>
          </w:p>
        </w:tc>
        <w:tc>
          <w:tcPr>
            <w:tcW w:w="482" w:type="pct"/>
            <w:tcBorders>
              <w:top w:val="nil"/>
              <w:left w:val="nil"/>
              <w:bottom w:val="nil"/>
              <w:right w:val="nil"/>
            </w:tcBorders>
            <w:shd w:val="clear" w:color="auto" w:fill="FFFFFF"/>
            <w:vAlign w:val="center"/>
          </w:tcPr>
          <w:p w14:paraId="6FCCA4E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13.03</w:t>
            </w:r>
          </w:p>
        </w:tc>
        <w:tc>
          <w:tcPr>
            <w:tcW w:w="484" w:type="pct"/>
            <w:tcBorders>
              <w:top w:val="nil"/>
              <w:left w:val="nil"/>
              <w:bottom w:val="nil"/>
              <w:right w:val="nil"/>
            </w:tcBorders>
            <w:shd w:val="clear" w:color="auto" w:fill="FFFFFF"/>
            <w:vAlign w:val="center"/>
          </w:tcPr>
          <w:p w14:paraId="18DF2682"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13</w:t>
            </w:r>
          </w:p>
        </w:tc>
        <w:tc>
          <w:tcPr>
            <w:tcW w:w="673" w:type="pct"/>
            <w:tcBorders>
              <w:top w:val="nil"/>
              <w:left w:val="nil"/>
              <w:bottom w:val="nil"/>
              <w:right w:val="nil"/>
            </w:tcBorders>
            <w:shd w:val="clear" w:color="auto" w:fill="FFFFFF"/>
            <w:vAlign w:val="center"/>
          </w:tcPr>
          <w:p w14:paraId="43D514F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5.20</w:t>
            </w:r>
          </w:p>
        </w:tc>
      </w:tr>
      <w:tr w:rsidR="00792DC6" w:rsidRPr="00792DC6" w14:paraId="22B439F8" w14:textId="77777777" w:rsidTr="009109E8">
        <w:trPr>
          <w:trHeight w:val="166"/>
        </w:trPr>
        <w:tc>
          <w:tcPr>
            <w:tcW w:w="1882" w:type="pct"/>
            <w:tcBorders>
              <w:top w:val="nil"/>
              <w:left w:val="nil"/>
              <w:bottom w:val="nil"/>
              <w:right w:val="nil"/>
            </w:tcBorders>
            <w:shd w:val="clear" w:color="auto" w:fill="FFFFFF"/>
            <w:vAlign w:val="center"/>
          </w:tcPr>
          <w:p w14:paraId="7609DEC6"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Don’t know/Didn’t answer</w:t>
            </w:r>
          </w:p>
        </w:tc>
        <w:tc>
          <w:tcPr>
            <w:tcW w:w="438" w:type="pct"/>
            <w:tcBorders>
              <w:top w:val="nil"/>
              <w:left w:val="nil"/>
              <w:bottom w:val="nil"/>
              <w:right w:val="nil"/>
            </w:tcBorders>
            <w:shd w:val="clear" w:color="auto" w:fill="FFFFFF"/>
            <w:vAlign w:val="center"/>
          </w:tcPr>
          <w:p w14:paraId="73B44CC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07</w:t>
            </w:r>
          </w:p>
        </w:tc>
        <w:tc>
          <w:tcPr>
            <w:tcW w:w="651" w:type="pct"/>
            <w:tcBorders>
              <w:top w:val="nil"/>
              <w:left w:val="nil"/>
              <w:bottom w:val="nil"/>
              <w:right w:val="nil"/>
            </w:tcBorders>
            <w:shd w:val="clear" w:color="auto" w:fill="FFFFFF"/>
            <w:vAlign w:val="center"/>
          </w:tcPr>
          <w:p w14:paraId="66F39D3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1.21</w:t>
            </w:r>
          </w:p>
        </w:tc>
        <w:tc>
          <w:tcPr>
            <w:tcW w:w="390" w:type="pct"/>
            <w:tcBorders>
              <w:top w:val="nil"/>
              <w:left w:val="nil"/>
              <w:bottom w:val="nil"/>
              <w:right w:val="nil"/>
            </w:tcBorders>
            <w:shd w:val="clear" w:color="auto" w:fill="FFFFFF"/>
            <w:vAlign w:val="center"/>
          </w:tcPr>
          <w:p w14:paraId="2AE2C56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05</w:t>
            </w:r>
          </w:p>
        </w:tc>
        <w:tc>
          <w:tcPr>
            <w:tcW w:w="482" w:type="pct"/>
            <w:tcBorders>
              <w:top w:val="nil"/>
              <w:left w:val="nil"/>
              <w:bottom w:val="nil"/>
              <w:right w:val="nil"/>
            </w:tcBorders>
            <w:shd w:val="clear" w:color="auto" w:fill="FFFFFF"/>
            <w:vAlign w:val="center"/>
          </w:tcPr>
          <w:p w14:paraId="58BC07B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1.52</w:t>
            </w:r>
          </w:p>
        </w:tc>
        <w:tc>
          <w:tcPr>
            <w:tcW w:w="484" w:type="pct"/>
            <w:tcBorders>
              <w:top w:val="nil"/>
              <w:left w:val="nil"/>
              <w:bottom w:val="nil"/>
              <w:right w:val="nil"/>
            </w:tcBorders>
            <w:shd w:val="clear" w:color="auto" w:fill="FFFFFF"/>
            <w:vAlign w:val="center"/>
          </w:tcPr>
          <w:p w14:paraId="4081B92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02</w:t>
            </w:r>
          </w:p>
        </w:tc>
        <w:tc>
          <w:tcPr>
            <w:tcW w:w="673" w:type="pct"/>
            <w:tcBorders>
              <w:top w:val="nil"/>
              <w:left w:val="nil"/>
              <w:bottom w:val="nil"/>
              <w:right w:val="nil"/>
            </w:tcBorders>
            <w:shd w:val="clear" w:color="auto" w:fill="FFFFFF"/>
            <w:vAlign w:val="center"/>
          </w:tcPr>
          <w:p w14:paraId="4BA8B85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0.80</w:t>
            </w:r>
          </w:p>
        </w:tc>
      </w:tr>
      <w:tr w:rsidR="00792DC6" w:rsidRPr="00792DC6" w14:paraId="0DD5F762" w14:textId="77777777" w:rsidTr="009109E8">
        <w:trPr>
          <w:trHeight w:val="166"/>
        </w:trPr>
        <w:tc>
          <w:tcPr>
            <w:tcW w:w="1882" w:type="pct"/>
            <w:tcBorders>
              <w:top w:val="single" w:sz="4" w:space="0" w:color="000000"/>
              <w:left w:val="nil"/>
              <w:bottom w:val="nil"/>
              <w:right w:val="nil"/>
            </w:tcBorders>
            <w:shd w:val="clear" w:color="auto" w:fill="FFFFFF"/>
            <w:vAlign w:val="center"/>
          </w:tcPr>
          <w:p w14:paraId="7720B58F"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b/>
                <w:sz w:val="18"/>
                <w:szCs w:val="18"/>
              </w:rPr>
              <w:t>Total household income</w:t>
            </w:r>
          </w:p>
        </w:tc>
        <w:tc>
          <w:tcPr>
            <w:tcW w:w="438" w:type="pct"/>
            <w:tcBorders>
              <w:top w:val="single" w:sz="4" w:space="0" w:color="000000"/>
              <w:left w:val="nil"/>
              <w:bottom w:val="nil"/>
              <w:right w:val="nil"/>
            </w:tcBorders>
            <w:shd w:val="clear" w:color="auto" w:fill="FFFFFF"/>
            <w:vAlign w:val="center"/>
          </w:tcPr>
          <w:p w14:paraId="3CE22051" w14:textId="77777777" w:rsidR="00792DC6" w:rsidRPr="00792DC6" w:rsidRDefault="00792DC6" w:rsidP="009109E8">
            <w:pPr>
              <w:spacing w:after="0" w:line="240" w:lineRule="auto"/>
              <w:jc w:val="center"/>
              <w:rPr>
                <w:rFonts w:ascii="Arial" w:hAnsi="Arial" w:cs="Arial"/>
                <w:sz w:val="18"/>
                <w:szCs w:val="18"/>
              </w:rPr>
            </w:pPr>
          </w:p>
        </w:tc>
        <w:tc>
          <w:tcPr>
            <w:tcW w:w="651" w:type="pct"/>
            <w:tcBorders>
              <w:top w:val="single" w:sz="4" w:space="0" w:color="000000"/>
              <w:left w:val="nil"/>
              <w:bottom w:val="nil"/>
              <w:right w:val="nil"/>
            </w:tcBorders>
            <w:shd w:val="clear" w:color="auto" w:fill="FFFFFF"/>
            <w:vAlign w:val="center"/>
          </w:tcPr>
          <w:p w14:paraId="49FE9685" w14:textId="77777777" w:rsidR="00792DC6" w:rsidRPr="00792DC6" w:rsidRDefault="00792DC6" w:rsidP="009109E8">
            <w:pPr>
              <w:spacing w:after="0" w:line="240" w:lineRule="auto"/>
              <w:jc w:val="center"/>
              <w:rPr>
                <w:rFonts w:ascii="Arial" w:hAnsi="Arial" w:cs="Arial"/>
                <w:sz w:val="18"/>
                <w:szCs w:val="18"/>
              </w:rPr>
            </w:pPr>
          </w:p>
        </w:tc>
        <w:tc>
          <w:tcPr>
            <w:tcW w:w="390" w:type="pct"/>
            <w:tcBorders>
              <w:top w:val="single" w:sz="4" w:space="0" w:color="000000"/>
              <w:left w:val="nil"/>
              <w:bottom w:val="nil"/>
              <w:right w:val="nil"/>
            </w:tcBorders>
            <w:shd w:val="clear" w:color="auto" w:fill="FFFFFF"/>
            <w:vAlign w:val="center"/>
          </w:tcPr>
          <w:p w14:paraId="46E15704" w14:textId="77777777" w:rsidR="00792DC6" w:rsidRPr="00792DC6" w:rsidRDefault="00792DC6" w:rsidP="009109E8">
            <w:pPr>
              <w:spacing w:after="0" w:line="240" w:lineRule="auto"/>
              <w:jc w:val="center"/>
              <w:rPr>
                <w:rFonts w:ascii="Arial" w:hAnsi="Arial" w:cs="Arial"/>
                <w:sz w:val="18"/>
                <w:szCs w:val="18"/>
              </w:rPr>
            </w:pPr>
          </w:p>
        </w:tc>
        <w:tc>
          <w:tcPr>
            <w:tcW w:w="482" w:type="pct"/>
            <w:tcBorders>
              <w:top w:val="single" w:sz="4" w:space="0" w:color="000000"/>
              <w:left w:val="nil"/>
              <w:bottom w:val="nil"/>
              <w:right w:val="nil"/>
            </w:tcBorders>
            <w:shd w:val="clear" w:color="auto" w:fill="FFFFFF"/>
            <w:vAlign w:val="center"/>
          </w:tcPr>
          <w:p w14:paraId="4DD4011B" w14:textId="77777777" w:rsidR="00792DC6" w:rsidRPr="00792DC6" w:rsidRDefault="00792DC6" w:rsidP="009109E8">
            <w:pPr>
              <w:spacing w:after="0" w:line="240" w:lineRule="auto"/>
              <w:jc w:val="center"/>
              <w:rPr>
                <w:rFonts w:ascii="Arial" w:hAnsi="Arial" w:cs="Arial"/>
                <w:sz w:val="18"/>
                <w:szCs w:val="18"/>
              </w:rPr>
            </w:pPr>
          </w:p>
        </w:tc>
        <w:tc>
          <w:tcPr>
            <w:tcW w:w="484" w:type="pct"/>
            <w:tcBorders>
              <w:top w:val="single" w:sz="4" w:space="0" w:color="000000"/>
              <w:left w:val="nil"/>
              <w:bottom w:val="nil"/>
              <w:right w:val="nil"/>
            </w:tcBorders>
            <w:shd w:val="clear" w:color="auto" w:fill="FFFFFF"/>
            <w:vAlign w:val="center"/>
          </w:tcPr>
          <w:p w14:paraId="593B3BAE" w14:textId="77777777" w:rsidR="00792DC6" w:rsidRPr="00792DC6" w:rsidRDefault="00792DC6" w:rsidP="009109E8">
            <w:pPr>
              <w:spacing w:after="0" w:line="240" w:lineRule="auto"/>
              <w:jc w:val="center"/>
              <w:rPr>
                <w:rFonts w:ascii="Arial" w:hAnsi="Arial" w:cs="Arial"/>
                <w:sz w:val="18"/>
                <w:szCs w:val="18"/>
              </w:rPr>
            </w:pPr>
          </w:p>
        </w:tc>
        <w:tc>
          <w:tcPr>
            <w:tcW w:w="673" w:type="pct"/>
            <w:tcBorders>
              <w:top w:val="single" w:sz="4" w:space="0" w:color="000000"/>
              <w:left w:val="nil"/>
              <w:bottom w:val="nil"/>
              <w:right w:val="nil"/>
            </w:tcBorders>
            <w:shd w:val="clear" w:color="auto" w:fill="FFFFFF"/>
            <w:vAlign w:val="center"/>
          </w:tcPr>
          <w:p w14:paraId="506D5801" w14:textId="77777777" w:rsidR="00792DC6" w:rsidRPr="00792DC6" w:rsidRDefault="00792DC6" w:rsidP="009109E8">
            <w:pPr>
              <w:spacing w:after="0" w:line="240" w:lineRule="auto"/>
              <w:jc w:val="center"/>
              <w:rPr>
                <w:rFonts w:ascii="Arial" w:hAnsi="Arial" w:cs="Arial"/>
                <w:sz w:val="18"/>
                <w:szCs w:val="18"/>
              </w:rPr>
            </w:pPr>
          </w:p>
        </w:tc>
      </w:tr>
      <w:tr w:rsidR="00792DC6" w:rsidRPr="00792DC6" w14:paraId="351DDD6D" w14:textId="77777777" w:rsidTr="009109E8">
        <w:trPr>
          <w:trHeight w:val="166"/>
        </w:trPr>
        <w:tc>
          <w:tcPr>
            <w:tcW w:w="1882" w:type="pct"/>
            <w:tcBorders>
              <w:top w:val="nil"/>
              <w:left w:val="nil"/>
              <w:bottom w:val="nil"/>
              <w:right w:val="nil"/>
            </w:tcBorders>
            <w:shd w:val="clear" w:color="auto" w:fill="FFFFFF"/>
            <w:vAlign w:val="center"/>
          </w:tcPr>
          <w:p w14:paraId="648015FC"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Up to 1 minimum wage</w:t>
            </w:r>
          </w:p>
        </w:tc>
        <w:tc>
          <w:tcPr>
            <w:tcW w:w="438" w:type="pct"/>
            <w:tcBorders>
              <w:top w:val="nil"/>
              <w:left w:val="nil"/>
              <w:bottom w:val="nil"/>
              <w:right w:val="nil"/>
            </w:tcBorders>
            <w:shd w:val="clear" w:color="auto" w:fill="FFFFFF"/>
            <w:vAlign w:val="center"/>
          </w:tcPr>
          <w:p w14:paraId="20D844E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32</w:t>
            </w:r>
          </w:p>
        </w:tc>
        <w:tc>
          <w:tcPr>
            <w:tcW w:w="651" w:type="pct"/>
            <w:tcBorders>
              <w:top w:val="nil"/>
              <w:left w:val="nil"/>
              <w:bottom w:val="nil"/>
              <w:right w:val="nil"/>
            </w:tcBorders>
            <w:shd w:val="clear" w:color="auto" w:fill="FFFFFF"/>
            <w:vAlign w:val="center"/>
          </w:tcPr>
          <w:p w14:paraId="23D8426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5.52</w:t>
            </w:r>
          </w:p>
        </w:tc>
        <w:tc>
          <w:tcPr>
            <w:tcW w:w="390" w:type="pct"/>
            <w:tcBorders>
              <w:top w:val="nil"/>
              <w:left w:val="nil"/>
              <w:bottom w:val="nil"/>
              <w:right w:val="nil"/>
            </w:tcBorders>
            <w:shd w:val="clear" w:color="auto" w:fill="FFFFFF"/>
            <w:vAlign w:val="center"/>
          </w:tcPr>
          <w:p w14:paraId="3A779C1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13</w:t>
            </w:r>
          </w:p>
        </w:tc>
        <w:tc>
          <w:tcPr>
            <w:tcW w:w="482" w:type="pct"/>
            <w:tcBorders>
              <w:top w:val="nil"/>
              <w:left w:val="nil"/>
              <w:bottom w:val="nil"/>
              <w:right w:val="nil"/>
            </w:tcBorders>
            <w:shd w:val="clear" w:color="auto" w:fill="FFFFFF"/>
            <w:vAlign w:val="center"/>
          </w:tcPr>
          <w:p w14:paraId="19AC0D2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3.94</w:t>
            </w:r>
          </w:p>
        </w:tc>
        <w:tc>
          <w:tcPr>
            <w:tcW w:w="484" w:type="pct"/>
            <w:tcBorders>
              <w:top w:val="nil"/>
              <w:left w:val="nil"/>
              <w:bottom w:val="nil"/>
              <w:right w:val="nil"/>
            </w:tcBorders>
            <w:shd w:val="clear" w:color="auto" w:fill="FFFFFF"/>
            <w:vAlign w:val="center"/>
          </w:tcPr>
          <w:p w14:paraId="7882439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19</w:t>
            </w:r>
          </w:p>
        </w:tc>
        <w:tc>
          <w:tcPr>
            <w:tcW w:w="673" w:type="pct"/>
            <w:tcBorders>
              <w:top w:val="nil"/>
              <w:left w:val="nil"/>
              <w:bottom w:val="nil"/>
              <w:right w:val="nil"/>
            </w:tcBorders>
            <w:shd w:val="clear" w:color="auto" w:fill="FFFFFF"/>
            <w:vAlign w:val="center"/>
          </w:tcPr>
          <w:p w14:paraId="3869278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7.60</w:t>
            </w:r>
          </w:p>
        </w:tc>
      </w:tr>
      <w:tr w:rsidR="00792DC6" w:rsidRPr="00792DC6" w14:paraId="6FFAADD1" w14:textId="77777777" w:rsidTr="009109E8">
        <w:trPr>
          <w:trHeight w:val="200"/>
        </w:trPr>
        <w:tc>
          <w:tcPr>
            <w:tcW w:w="1882" w:type="pct"/>
            <w:tcBorders>
              <w:top w:val="nil"/>
              <w:left w:val="nil"/>
              <w:bottom w:val="nil"/>
              <w:right w:val="nil"/>
            </w:tcBorders>
            <w:shd w:val="clear" w:color="auto" w:fill="FFFFFF"/>
            <w:vAlign w:val="center"/>
          </w:tcPr>
          <w:p w14:paraId="55C47CB5"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 2 minimum wages</w:t>
            </w:r>
          </w:p>
        </w:tc>
        <w:tc>
          <w:tcPr>
            <w:tcW w:w="438" w:type="pct"/>
            <w:tcBorders>
              <w:top w:val="nil"/>
              <w:left w:val="nil"/>
              <w:bottom w:val="nil"/>
              <w:right w:val="nil"/>
            </w:tcBorders>
            <w:shd w:val="clear" w:color="auto" w:fill="FFFFFF"/>
            <w:vAlign w:val="center"/>
          </w:tcPr>
          <w:p w14:paraId="6DF10AF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106</w:t>
            </w:r>
          </w:p>
        </w:tc>
        <w:tc>
          <w:tcPr>
            <w:tcW w:w="651" w:type="pct"/>
            <w:tcBorders>
              <w:top w:val="nil"/>
              <w:left w:val="nil"/>
              <w:bottom w:val="nil"/>
              <w:right w:val="nil"/>
            </w:tcBorders>
            <w:shd w:val="clear" w:color="auto" w:fill="FFFFFF"/>
            <w:vAlign w:val="center"/>
          </w:tcPr>
          <w:p w14:paraId="533F609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18.28</w:t>
            </w:r>
          </w:p>
        </w:tc>
        <w:tc>
          <w:tcPr>
            <w:tcW w:w="390" w:type="pct"/>
            <w:tcBorders>
              <w:top w:val="nil"/>
              <w:left w:val="nil"/>
              <w:bottom w:val="nil"/>
              <w:right w:val="nil"/>
            </w:tcBorders>
            <w:shd w:val="clear" w:color="auto" w:fill="FFFFFF"/>
            <w:vAlign w:val="center"/>
          </w:tcPr>
          <w:p w14:paraId="4168F17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37</w:t>
            </w:r>
          </w:p>
        </w:tc>
        <w:tc>
          <w:tcPr>
            <w:tcW w:w="482" w:type="pct"/>
            <w:tcBorders>
              <w:top w:val="nil"/>
              <w:left w:val="nil"/>
              <w:bottom w:val="nil"/>
              <w:right w:val="nil"/>
            </w:tcBorders>
            <w:shd w:val="clear" w:color="auto" w:fill="FFFFFF"/>
            <w:vAlign w:val="center"/>
          </w:tcPr>
          <w:p w14:paraId="720565E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11.21</w:t>
            </w:r>
          </w:p>
        </w:tc>
        <w:tc>
          <w:tcPr>
            <w:tcW w:w="484" w:type="pct"/>
            <w:tcBorders>
              <w:top w:val="nil"/>
              <w:left w:val="nil"/>
              <w:bottom w:val="nil"/>
              <w:right w:val="nil"/>
            </w:tcBorders>
            <w:shd w:val="clear" w:color="auto" w:fill="FFFFFF"/>
            <w:vAlign w:val="center"/>
          </w:tcPr>
          <w:p w14:paraId="54236E2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69</w:t>
            </w:r>
          </w:p>
        </w:tc>
        <w:tc>
          <w:tcPr>
            <w:tcW w:w="673" w:type="pct"/>
            <w:tcBorders>
              <w:top w:val="nil"/>
              <w:left w:val="nil"/>
              <w:bottom w:val="nil"/>
              <w:right w:val="nil"/>
            </w:tcBorders>
            <w:shd w:val="clear" w:color="auto" w:fill="FFFFFF"/>
            <w:vAlign w:val="center"/>
          </w:tcPr>
          <w:p w14:paraId="6E45347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27.60</w:t>
            </w:r>
          </w:p>
        </w:tc>
      </w:tr>
      <w:tr w:rsidR="00792DC6" w:rsidRPr="00792DC6" w14:paraId="59A04BC7" w14:textId="77777777" w:rsidTr="009109E8">
        <w:trPr>
          <w:trHeight w:val="166"/>
        </w:trPr>
        <w:tc>
          <w:tcPr>
            <w:tcW w:w="1882" w:type="pct"/>
            <w:tcBorders>
              <w:top w:val="nil"/>
              <w:left w:val="nil"/>
              <w:bottom w:val="nil"/>
              <w:right w:val="nil"/>
            </w:tcBorders>
            <w:shd w:val="clear" w:color="auto" w:fill="FFFFFF"/>
            <w:vAlign w:val="center"/>
          </w:tcPr>
          <w:p w14:paraId="7EEB1D0A"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2≥3 minimum wages</w:t>
            </w:r>
          </w:p>
        </w:tc>
        <w:tc>
          <w:tcPr>
            <w:tcW w:w="438" w:type="pct"/>
            <w:tcBorders>
              <w:top w:val="nil"/>
              <w:left w:val="nil"/>
              <w:bottom w:val="nil"/>
              <w:right w:val="nil"/>
            </w:tcBorders>
            <w:shd w:val="clear" w:color="auto" w:fill="FFFFFF"/>
            <w:vAlign w:val="center"/>
          </w:tcPr>
          <w:p w14:paraId="1CC5FB0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125</w:t>
            </w:r>
          </w:p>
        </w:tc>
        <w:tc>
          <w:tcPr>
            <w:tcW w:w="651" w:type="pct"/>
            <w:tcBorders>
              <w:top w:val="nil"/>
              <w:left w:val="nil"/>
              <w:bottom w:val="nil"/>
              <w:right w:val="nil"/>
            </w:tcBorders>
            <w:shd w:val="clear" w:color="auto" w:fill="FFFFFF"/>
            <w:vAlign w:val="center"/>
          </w:tcPr>
          <w:p w14:paraId="723CE34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21.55</w:t>
            </w:r>
          </w:p>
        </w:tc>
        <w:tc>
          <w:tcPr>
            <w:tcW w:w="390" w:type="pct"/>
            <w:tcBorders>
              <w:top w:val="nil"/>
              <w:left w:val="nil"/>
              <w:bottom w:val="nil"/>
              <w:right w:val="nil"/>
            </w:tcBorders>
            <w:shd w:val="clear" w:color="auto" w:fill="FFFFFF"/>
            <w:vAlign w:val="center"/>
          </w:tcPr>
          <w:p w14:paraId="24E83EE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49</w:t>
            </w:r>
          </w:p>
        </w:tc>
        <w:tc>
          <w:tcPr>
            <w:tcW w:w="482" w:type="pct"/>
            <w:tcBorders>
              <w:top w:val="nil"/>
              <w:left w:val="nil"/>
              <w:bottom w:val="nil"/>
              <w:right w:val="nil"/>
            </w:tcBorders>
            <w:shd w:val="clear" w:color="auto" w:fill="FFFFFF"/>
            <w:vAlign w:val="center"/>
          </w:tcPr>
          <w:p w14:paraId="7CC15C82"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14.85</w:t>
            </w:r>
          </w:p>
        </w:tc>
        <w:tc>
          <w:tcPr>
            <w:tcW w:w="484" w:type="pct"/>
            <w:tcBorders>
              <w:top w:val="nil"/>
              <w:left w:val="nil"/>
              <w:bottom w:val="nil"/>
              <w:right w:val="nil"/>
            </w:tcBorders>
            <w:shd w:val="clear" w:color="auto" w:fill="FFFFFF"/>
            <w:vAlign w:val="center"/>
          </w:tcPr>
          <w:p w14:paraId="2106E37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76</w:t>
            </w:r>
          </w:p>
        </w:tc>
        <w:tc>
          <w:tcPr>
            <w:tcW w:w="673" w:type="pct"/>
            <w:tcBorders>
              <w:top w:val="nil"/>
              <w:left w:val="nil"/>
              <w:bottom w:val="nil"/>
              <w:right w:val="nil"/>
            </w:tcBorders>
            <w:shd w:val="clear" w:color="auto" w:fill="FFFFFF"/>
            <w:vAlign w:val="center"/>
          </w:tcPr>
          <w:p w14:paraId="2050DFA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30.40</w:t>
            </w:r>
          </w:p>
        </w:tc>
      </w:tr>
      <w:tr w:rsidR="00792DC6" w:rsidRPr="00792DC6" w14:paraId="0EBC579A" w14:textId="77777777" w:rsidTr="009109E8">
        <w:trPr>
          <w:trHeight w:val="166"/>
        </w:trPr>
        <w:tc>
          <w:tcPr>
            <w:tcW w:w="1882" w:type="pct"/>
            <w:tcBorders>
              <w:top w:val="nil"/>
              <w:left w:val="nil"/>
              <w:bottom w:val="nil"/>
              <w:right w:val="nil"/>
            </w:tcBorders>
            <w:shd w:val="clear" w:color="auto" w:fill="FFFFFF"/>
            <w:vAlign w:val="center"/>
          </w:tcPr>
          <w:p w14:paraId="7587E9C8"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3≥5 minimum wages</w:t>
            </w:r>
          </w:p>
        </w:tc>
        <w:tc>
          <w:tcPr>
            <w:tcW w:w="438" w:type="pct"/>
            <w:tcBorders>
              <w:top w:val="nil"/>
              <w:left w:val="nil"/>
              <w:bottom w:val="nil"/>
              <w:right w:val="nil"/>
            </w:tcBorders>
            <w:shd w:val="clear" w:color="auto" w:fill="FFFFFF"/>
            <w:vAlign w:val="center"/>
          </w:tcPr>
          <w:p w14:paraId="7A208B5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122</w:t>
            </w:r>
          </w:p>
        </w:tc>
        <w:tc>
          <w:tcPr>
            <w:tcW w:w="651" w:type="pct"/>
            <w:tcBorders>
              <w:top w:val="nil"/>
              <w:left w:val="nil"/>
              <w:bottom w:val="nil"/>
              <w:right w:val="nil"/>
            </w:tcBorders>
            <w:shd w:val="clear" w:color="auto" w:fill="FFFFFF"/>
            <w:vAlign w:val="center"/>
          </w:tcPr>
          <w:p w14:paraId="4D8ED28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21.03</w:t>
            </w:r>
          </w:p>
        </w:tc>
        <w:tc>
          <w:tcPr>
            <w:tcW w:w="390" w:type="pct"/>
            <w:tcBorders>
              <w:top w:val="nil"/>
              <w:left w:val="nil"/>
              <w:bottom w:val="nil"/>
              <w:right w:val="nil"/>
            </w:tcBorders>
            <w:shd w:val="clear" w:color="auto" w:fill="FFFFFF"/>
            <w:vAlign w:val="center"/>
          </w:tcPr>
          <w:p w14:paraId="7B2FBFB0"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79</w:t>
            </w:r>
          </w:p>
        </w:tc>
        <w:tc>
          <w:tcPr>
            <w:tcW w:w="482" w:type="pct"/>
            <w:tcBorders>
              <w:top w:val="nil"/>
              <w:left w:val="nil"/>
              <w:bottom w:val="nil"/>
              <w:right w:val="nil"/>
            </w:tcBorders>
            <w:shd w:val="clear" w:color="auto" w:fill="FFFFFF"/>
            <w:vAlign w:val="center"/>
          </w:tcPr>
          <w:p w14:paraId="71D9AEA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23.94</w:t>
            </w:r>
          </w:p>
        </w:tc>
        <w:tc>
          <w:tcPr>
            <w:tcW w:w="484" w:type="pct"/>
            <w:tcBorders>
              <w:top w:val="nil"/>
              <w:left w:val="nil"/>
              <w:bottom w:val="nil"/>
              <w:right w:val="nil"/>
            </w:tcBorders>
            <w:shd w:val="clear" w:color="auto" w:fill="FFFFFF"/>
            <w:vAlign w:val="center"/>
          </w:tcPr>
          <w:p w14:paraId="470F513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43</w:t>
            </w:r>
          </w:p>
        </w:tc>
        <w:tc>
          <w:tcPr>
            <w:tcW w:w="673" w:type="pct"/>
            <w:tcBorders>
              <w:top w:val="nil"/>
              <w:left w:val="nil"/>
              <w:bottom w:val="nil"/>
              <w:right w:val="nil"/>
            </w:tcBorders>
            <w:shd w:val="clear" w:color="auto" w:fill="FFFFFF"/>
            <w:vAlign w:val="center"/>
          </w:tcPr>
          <w:p w14:paraId="31AB2BCE"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17.20</w:t>
            </w:r>
          </w:p>
        </w:tc>
      </w:tr>
      <w:tr w:rsidR="00792DC6" w:rsidRPr="00792DC6" w14:paraId="60866451" w14:textId="77777777" w:rsidTr="009109E8">
        <w:trPr>
          <w:trHeight w:val="166"/>
        </w:trPr>
        <w:tc>
          <w:tcPr>
            <w:tcW w:w="1882" w:type="pct"/>
            <w:tcBorders>
              <w:top w:val="nil"/>
              <w:left w:val="nil"/>
              <w:bottom w:val="nil"/>
              <w:right w:val="nil"/>
            </w:tcBorders>
            <w:shd w:val="clear" w:color="auto" w:fill="FFFFFF"/>
            <w:vAlign w:val="center"/>
          </w:tcPr>
          <w:p w14:paraId="6A7979A6"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5≥10 minimum wages</w:t>
            </w:r>
          </w:p>
        </w:tc>
        <w:tc>
          <w:tcPr>
            <w:tcW w:w="438" w:type="pct"/>
            <w:tcBorders>
              <w:top w:val="nil"/>
              <w:left w:val="nil"/>
              <w:bottom w:val="nil"/>
              <w:right w:val="nil"/>
            </w:tcBorders>
            <w:shd w:val="clear" w:color="auto" w:fill="FFFFFF"/>
            <w:vAlign w:val="center"/>
          </w:tcPr>
          <w:p w14:paraId="513CB2D1"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83</w:t>
            </w:r>
          </w:p>
        </w:tc>
        <w:tc>
          <w:tcPr>
            <w:tcW w:w="651" w:type="pct"/>
            <w:tcBorders>
              <w:top w:val="nil"/>
              <w:left w:val="nil"/>
              <w:bottom w:val="nil"/>
              <w:right w:val="nil"/>
            </w:tcBorders>
            <w:shd w:val="clear" w:color="auto" w:fill="FFFFFF"/>
            <w:vAlign w:val="center"/>
          </w:tcPr>
          <w:p w14:paraId="20A4C9C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14.31</w:t>
            </w:r>
          </w:p>
        </w:tc>
        <w:tc>
          <w:tcPr>
            <w:tcW w:w="390" w:type="pct"/>
            <w:tcBorders>
              <w:top w:val="nil"/>
              <w:left w:val="nil"/>
              <w:bottom w:val="nil"/>
              <w:right w:val="nil"/>
            </w:tcBorders>
            <w:shd w:val="clear" w:color="auto" w:fill="FFFFFF"/>
            <w:vAlign w:val="center"/>
          </w:tcPr>
          <w:p w14:paraId="6CDDA691"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68</w:t>
            </w:r>
          </w:p>
        </w:tc>
        <w:tc>
          <w:tcPr>
            <w:tcW w:w="482" w:type="pct"/>
            <w:tcBorders>
              <w:top w:val="nil"/>
              <w:left w:val="nil"/>
              <w:bottom w:val="nil"/>
              <w:right w:val="nil"/>
            </w:tcBorders>
            <w:shd w:val="clear" w:color="auto" w:fill="FFFFFF"/>
            <w:vAlign w:val="center"/>
          </w:tcPr>
          <w:p w14:paraId="0E4BE94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20.61</w:t>
            </w:r>
          </w:p>
        </w:tc>
        <w:tc>
          <w:tcPr>
            <w:tcW w:w="484" w:type="pct"/>
            <w:tcBorders>
              <w:top w:val="nil"/>
              <w:left w:val="nil"/>
              <w:bottom w:val="nil"/>
              <w:right w:val="nil"/>
            </w:tcBorders>
            <w:shd w:val="clear" w:color="auto" w:fill="FFFFFF"/>
            <w:vAlign w:val="center"/>
          </w:tcPr>
          <w:p w14:paraId="11406810"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15</w:t>
            </w:r>
          </w:p>
        </w:tc>
        <w:tc>
          <w:tcPr>
            <w:tcW w:w="673" w:type="pct"/>
            <w:tcBorders>
              <w:top w:val="nil"/>
              <w:left w:val="nil"/>
              <w:bottom w:val="nil"/>
              <w:right w:val="nil"/>
            </w:tcBorders>
            <w:shd w:val="clear" w:color="auto" w:fill="FFFFFF"/>
            <w:vAlign w:val="center"/>
          </w:tcPr>
          <w:p w14:paraId="6EE4F48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6.00</w:t>
            </w:r>
          </w:p>
        </w:tc>
      </w:tr>
      <w:tr w:rsidR="00792DC6" w:rsidRPr="00792DC6" w14:paraId="240A38EA" w14:textId="77777777" w:rsidTr="009109E8">
        <w:trPr>
          <w:trHeight w:val="166"/>
        </w:trPr>
        <w:tc>
          <w:tcPr>
            <w:tcW w:w="1882" w:type="pct"/>
            <w:tcBorders>
              <w:top w:val="nil"/>
              <w:left w:val="nil"/>
              <w:bottom w:val="nil"/>
              <w:right w:val="nil"/>
            </w:tcBorders>
            <w:shd w:val="clear" w:color="auto" w:fill="FFFFFF"/>
            <w:vAlign w:val="center"/>
          </w:tcPr>
          <w:p w14:paraId="1EC35FF4"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≥10 minimum wages</w:t>
            </w:r>
          </w:p>
        </w:tc>
        <w:tc>
          <w:tcPr>
            <w:tcW w:w="438" w:type="pct"/>
            <w:tcBorders>
              <w:top w:val="nil"/>
              <w:left w:val="nil"/>
              <w:bottom w:val="nil"/>
              <w:right w:val="nil"/>
            </w:tcBorders>
            <w:shd w:val="clear" w:color="auto" w:fill="FFFFFF"/>
            <w:vAlign w:val="center"/>
          </w:tcPr>
          <w:p w14:paraId="4844D60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33</w:t>
            </w:r>
          </w:p>
        </w:tc>
        <w:tc>
          <w:tcPr>
            <w:tcW w:w="651" w:type="pct"/>
            <w:tcBorders>
              <w:top w:val="nil"/>
              <w:left w:val="nil"/>
              <w:bottom w:val="nil"/>
              <w:right w:val="nil"/>
            </w:tcBorders>
            <w:shd w:val="clear" w:color="auto" w:fill="FFFFFF"/>
            <w:vAlign w:val="center"/>
          </w:tcPr>
          <w:p w14:paraId="13D3A1D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5.69</w:t>
            </w:r>
          </w:p>
        </w:tc>
        <w:tc>
          <w:tcPr>
            <w:tcW w:w="390" w:type="pct"/>
            <w:tcBorders>
              <w:top w:val="nil"/>
              <w:left w:val="nil"/>
              <w:bottom w:val="nil"/>
              <w:right w:val="nil"/>
            </w:tcBorders>
            <w:shd w:val="clear" w:color="auto" w:fill="FFFFFF"/>
            <w:vAlign w:val="center"/>
          </w:tcPr>
          <w:p w14:paraId="38F459A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31</w:t>
            </w:r>
          </w:p>
        </w:tc>
        <w:tc>
          <w:tcPr>
            <w:tcW w:w="482" w:type="pct"/>
            <w:tcBorders>
              <w:top w:val="nil"/>
              <w:left w:val="nil"/>
              <w:bottom w:val="nil"/>
              <w:right w:val="nil"/>
            </w:tcBorders>
            <w:shd w:val="clear" w:color="auto" w:fill="FFFFFF"/>
            <w:vAlign w:val="center"/>
          </w:tcPr>
          <w:p w14:paraId="1120E78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9.39</w:t>
            </w:r>
          </w:p>
        </w:tc>
        <w:tc>
          <w:tcPr>
            <w:tcW w:w="484" w:type="pct"/>
            <w:tcBorders>
              <w:top w:val="nil"/>
              <w:left w:val="nil"/>
              <w:bottom w:val="nil"/>
              <w:right w:val="nil"/>
            </w:tcBorders>
            <w:shd w:val="clear" w:color="auto" w:fill="FFFFFF"/>
            <w:vAlign w:val="center"/>
          </w:tcPr>
          <w:p w14:paraId="365F5A9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02</w:t>
            </w:r>
          </w:p>
        </w:tc>
        <w:tc>
          <w:tcPr>
            <w:tcW w:w="673" w:type="pct"/>
            <w:tcBorders>
              <w:top w:val="nil"/>
              <w:left w:val="nil"/>
              <w:bottom w:val="nil"/>
              <w:right w:val="nil"/>
            </w:tcBorders>
            <w:shd w:val="clear" w:color="auto" w:fill="FFFFFF"/>
            <w:vAlign w:val="center"/>
          </w:tcPr>
          <w:p w14:paraId="0324562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0.80</w:t>
            </w:r>
          </w:p>
        </w:tc>
      </w:tr>
      <w:tr w:rsidR="00792DC6" w:rsidRPr="00792DC6" w14:paraId="5C763E63" w14:textId="77777777" w:rsidTr="009109E8">
        <w:trPr>
          <w:trHeight w:val="166"/>
        </w:trPr>
        <w:tc>
          <w:tcPr>
            <w:tcW w:w="1882" w:type="pct"/>
            <w:tcBorders>
              <w:top w:val="nil"/>
              <w:left w:val="nil"/>
              <w:bottom w:val="nil"/>
              <w:right w:val="nil"/>
            </w:tcBorders>
            <w:shd w:val="clear" w:color="auto" w:fill="FFFFFF"/>
            <w:vAlign w:val="center"/>
          </w:tcPr>
          <w:p w14:paraId="37363091"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Don’t know/Didn’t answer</w:t>
            </w:r>
          </w:p>
        </w:tc>
        <w:tc>
          <w:tcPr>
            <w:tcW w:w="438" w:type="pct"/>
            <w:tcBorders>
              <w:top w:val="nil"/>
              <w:left w:val="nil"/>
              <w:bottom w:val="nil"/>
              <w:right w:val="nil"/>
            </w:tcBorders>
            <w:shd w:val="clear" w:color="auto" w:fill="FFFFFF"/>
            <w:vAlign w:val="center"/>
          </w:tcPr>
          <w:p w14:paraId="34F20710"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79</w:t>
            </w:r>
          </w:p>
        </w:tc>
        <w:tc>
          <w:tcPr>
            <w:tcW w:w="651" w:type="pct"/>
            <w:tcBorders>
              <w:top w:val="nil"/>
              <w:left w:val="nil"/>
              <w:bottom w:val="nil"/>
              <w:right w:val="nil"/>
            </w:tcBorders>
            <w:shd w:val="clear" w:color="auto" w:fill="FFFFFF"/>
            <w:vAlign w:val="center"/>
          </w:tcPr>
          <w:p w14:paraId="4405C93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13.62</w:t>
            </w:r>
          </w:p>
        </w:tc>
        <w:tc>
          <w:tcPr>
            <w:tcW w:w="390" w:type="pct"/>
            <w:tcBorders>
              <w:top w:val="nil"/>
              <w:left w:val="nil"/>
              <w:bottom w:val="nil"/>
              <w:right w:val="nil"/>
            </w:tcBorders>
            <w:shd w:val="clear" w:color="auto" w:fill="FFFFFF"/>
            <w:vAlign w:val="center"/>
          </w:tcPr>
          <w:p w14:paraId="2D059CC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53</w:t>
            </w:r>
          </w:p>
        </w:tc>
        <w:tc>
          <w:tcPr>
            <w:tcW w:w="482" w:type="pct"/>
            <w:tcBorders>
              <w:top w:val="nil"/>
              <w:left w:val="nil"/>
              <w:bottom w:val="nil"/>
              <w:right w:val="nil"/>
            </w:tcBorders>
            <w:shd w:val="clear" w:color="auto" w:fill="FFFFFF"/>
            <w:vAlign w:val="center"/>
          </w:tcPr>
          <w:p w14:paraId="4B5D1912"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16.06</w:t>
            </w:r>
          </w:p>
        </w:tc>
        <w:tc>
          <w:tcPr>
            <w:tcW w:w="484" w:type="pct"/>
            <w:tcBorders>
              <w:top w:val="nil"/>
              <w:left w:val="nil"/>
              <w:bottom w:val="nil"/>
              <w:right w:val="nil"/>
            </w:tcBorders>
            <w:shd w:val="clear" w:color="auto" w:fill="FFFFFF"/>
            <w:vAlign w:val="center"/>
          </w:tcPr>
          <w:p w14:paraId="4D97B502"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26</w:t>
            </w:r>
          </w:p>
        </w:tc>
        <w:tc>
          <w:tcPr>
            <w:tcW w:w="673" w:type="pct"/>
            <w:tcBorders>
              <w:top w:val="nil"/>
              <w:left w:val="nil"/>
              <w:bottom w:val="nil"/>
              <w:right w:val="nil"/>
            </w:tcBorders>
            <w:shd w:val="clear" w:color="auto" w:fill="FFFFFF"/>
            <w:vAlign w:val="center"/>
          </w:tcPr>
          <w:p w14:paraId="5007F60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10.40</w:t>
            </w:r>
          </w:p>
        </w:tc>
      </w:tr>
      <w:tr w:rsidR="00792DC6" w:rsidRPr="00792DC6" w14:paraId="6874F682" w14:textId="77777777" w:rsidTr="009109E8">
        <w:trPr>
          <w:trHeight w:val="166"/>
        </w:trPr>
        <w:tc>
          <w:tcPr>
            <w:tcW w:w="1882" w:type="pct"/>
            <w:tcBorders>
              <w:top w:val="single" w:sz="4" w:space="0" w:color="000000"/>
              <w:left w:val="nil"/>
              <w:bottom w:val="nil"/>
              <w:right w:val="nil"/>
            </w:tcBorders>
            <w:shd w:val="clear" w:color="auto" w:fill="FFFFFF"/>
            <w:vAlign w:val="center"/>
          </w:tcPr>
          <w:p w14:paraId="3F443F9F"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b/>
                <w:sz w:val="18"/>
                <w:szCs w:val="18"/>
              </w:rPr>
              <w:t>Working</w:t>
            </w:r>
          </w:p>
        </w:tc>
        <w:tc>
          <w:tcPr>
            <w:tcW w:w="438" w:type="pct"/>
            <w:tcBorders>
              <w:top w:val="single" w:sz="4" w:space="0" w:color="000000"/>
              <w:left w:val="nil"/>
              <w:bottom w:val="nil"/>
              <w:right w:val="nil"/>
            </w:tcBorders>
            <w:shd w:val="clear" w:color="auto" w:fill="FFFFFF"/>
            <w:vAlign w:val="center"/>
          </w:tcPr>
          <w:p w14:paraId="38498091" w14:textId="77777777" w:rsidR="00792DC6" w:rsidRPr="00792DC6" w:rsidRDefault="00792DC6" w:rsidP="009109E8">
            <w:pPr>
              <w:spacing w:after="0" w:line="240" w:lineRule="auto"/>
              <w:jc w:val="center"/>
              <w:rPr>
                <w:rFonts w:ascii="Arial" w:hAnsi="Arial" w:cs="Arial"/>
                <w:sz w:val="18"/>
                <w:szCs w:val="18"/>
              </w:rPr>
            </w:pPr>
          </w:p>
        </w:tc>
        <w:tc>
          <w:tcPr>
            <w:tcW w:w="651" w:type="pct"/>
            <w:tcBorders>
              <w:top w:val="single" w:sz="4" w:space="0" w:color="000000"/>
              <w:left w:val="nil"/>
              <w:bottom w:val="nil"/>
              <w:right w:val="nil"/>
            </w:tcBorders>
            <w:shd w:val="clear" w:color="auto" w:fill="FFFFFF"/>
            <w:vAlign w:val="center"/>
          </w:tcPr>
          <w:p w14:paraId="76D6114A" w14:textId="77777777" w:rsidR="00792DC6" w:rsidRPr="00792DC6" w:rsidRDefault="00792DC6" w:rsidP="009109E8">
            <w:pPr>
              <w:spacing w:after="0" w:line="240" w:lineRule="auto"/>
              <w:jc w:val="center"/>
              <w:rPr>
                <w:rFonts w:ascii="Arial" w:hAnsi="Arial" w:cs="Arial"/>
                <w:sz w:val="18"/>
                <w:szCs w:val="18"/>
              </w:rPr>
            </w:pPr>
          </w:p>
        </w:tc>
        <w:tc>
          <w:tcPr>
            <w:tcW w:w="390" w:type="pct"/>
            <w:tcBorders>
              <w:top w:val="single" w:sz="4" w:space="0" w:color="000000"/>
              <w:left w:val="nil"/>
              <w:bottom w:val="nil"/>
              <w:right w:val="nil"/>
            </w:tcBorders>
            <w:shd w:val="clear" w:color="auto" w:fill="FFFFFF"/>
            <w:vAlign w:val="center"/>
          </w:tcPr>
          <w:p w14:paraId="0D624330" w14:textId="77777777" w:rsidR="00792DC6" w:rsidRPr="00792DC6" w:rsidRDefault="00792DC6" w:rsidP="009109E8">
            <w:pPr>
              <w:spacing w:after="0" w:line="240" w:lineRule="auto"/>
              <w:jc w:val="center"/>
              <w:rPr>
                <w:rFonts w:ascii="Arial" w:hAnsi="Arial" w:cs="Arial"/>
                <w:sz w:val="18"/>
                <w:szCs w:val="18"/>
              </w:rPr>
            </w:pPr>
          </w:p>
        </w:tc>
        <w:tc>
          <w:tcPr>
            <w:tcW w:w="482" w:type="pct"/>
            <w:tcBorders>
              <w:top w:val="single" w:sz="4" w:space="0" w:color="000000"/>
              <w:left w:val="nil"/>
              <w:bottom w:val="nil"/>
              <w:right w:val="nil"/>
            </w:tcBorders>
            <w:shd w:val="clear" w:color="auto" w:fill="FFFFFF"/>
            <w:vAlign w:val="center"/>
          </w:tcPr>
          <w:p w14:paraId="0DB8534B" w14:textId="77777777" w:rsidR="00792DC6" w:rsidRPr="00792DC6" w:rsidRDefault="00792DC6" w:rsidP="009109E8">
            <w:pPr>
              <w:spacing w:after="0" w:line="240" w:lineRule="auto"/>
              <w:jc w:val="center"/>
              <w:rPr>
                <w:rFonts w:ascii="Arial" w:hAnsi="Arial" w:cs="Arial"/>
                <w:sz w:val="18"/>
                <w:szCs w:val="18"/>
              </w:rPr>
            </w:pPr>
          </w:p>
        </w:tc>
        <w:tc>
          <w:tcPr>
            <w:tcW w:w="484" w:type="pct"/>
            <w:tcBorders>
              <w:top w:val="single" w:sz="4" w:space="0" w:color="000000"/>
              <w:left w:val="nil"/>
              <w:bottom w:val="nil"/>
              <w:right w:val="nil"/>
            </w:tcBorders>
            <w:shd w:val="clear" w:color="auto" w:fill="FFFFFF"/>
            <w:vAlign w:val="center"/>
          </w:tcPr>
          <w:p w14:paraId="73602954" w14:textId="77777777" w:rsidR="00792DC6" w:rsidRPr="00792DC6" w:rsidRDefault="00792DC6" w:rsidP="009109E8">
            <w:pPr>
              <w:spacing w:after="0" w:line="240" w:lineRule="auto"/>
              <w:jc w:val="center"/>
              <w:rPr>
                <w:rFonts w:ascii="Arial" w:hAnsi="Arial" w:cs="Arial"/>
                <w:sz w:val="18"/>
                <w:szCs w:val="18"/>
              </w:rPr>
            </w:pPr>
          </w:p>
        </w:tc>
        <w:tc>
          <w:tcPr>
            <w:tcW w:w="673" w:type="pct"/>
            <w:tcBorders>
              <w:top w:val="single" w:sz="4" w:space="0" w:color="000000"/>
              <w:left w:val="nil"/>
              <w:bottom w:val="nil"/>
              <w:right w:val="nil"/>
            </w:tcBorders>
            <w:shd w:val="clear" w:color="auto" w:fill="FFFFFF"/>
            <w:vAlign w:val="center"/>
          </w:tcPr>
          <w:p w14:paraId="4B1E677D" w14:textId="77777777" w:rsidR="00792DC6" w:rsidRPr="00792DC6" w:rsidRDefault="00792DC6" w:rsidP="009109E8">
            <w:pPr>
              <w:spacing w:after="0" w:line="240" w:lineRule="auto"/>
              <w:jc w:val="center"/>
              <w:rPr>
                <w:rFonts w:ascii="Arial" w:hAnsi="Arial" w:cs="Arial"/>
                <w:sz w:val="18"/>
                <w:szCs w:val="18"/>
              </w:rPr>
            </w:pPr>
          </w:p>
        </w:tc>
      </w:tr>
      <w:tr w:rsidR="00792DC6" w:rsidRPr="00792DC6" w14:paraId="4EE93AF5" w14:textId="77777777" w:rsidTr="009109E8">
        <w:trPr>
          <w:trHeight w:val="166"/>
        </w:trPr>
        <w:tc>
          <w:tcPr>
            <w:tcW w:w="1882" w:type="pct"/>
            <w:tcBorders>
              <w:top w:val="nil"/>
              <w:left w:val="nil"/>
              <w:right w:val="nil"/>
            </w:tcBorders>
            <w:shd w:val="clear" w:color="auto" w:fill="FFFFFF"/>
            <w:vAlign w:val="center"/>
          </w:tcPr>
          <w:p w14:paraId="6A21B9BB"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Yes</w:t>
            </w:r>
          </w:p>
        </w:tc>
        <w:tc>
          <w:tcPr>
            <w:tcW w:w="438" w:type="pct"/>
            <w:tcBorders>
              <w:top w:val="nil"/>
              <w:left w:val="nil"/>
              <w:right w:val="nil"/>
            </w:tcBorders>
            <w:shd w:val="clear" w:color="auto" w:fill="FFFFFF"/>
            <w:vAlign w:val="center"/>
          </w:tcPr>
          <w:p w14:paraId="2ADF395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374</w:t>
            </w:r>
          </w:p>
        </w:tc>
        <w:tc>
          <w:tcPr>
            <w:tcW w:w="651" w:type="pct"/>
            <w:tcBorders>
              <w:top w:val="nil"/>
              <w:left w:val="nil"/>
              <w:right w:val="nil"/>
            </w:tcBorders>
            <w:shd w:val="clear" w:color="auto" w:fill="FFFFFF"/>
            <w:vAlign w:val="center"/>
          </w:tcPr>
          <w:p w14:paraId="50A7827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64.49</w:t>
            </w:r>
          </w:p>
        </w:tc>
        <w:tc>
          <w:tcPr>
            <w:tcW w:w="390" w:type="pct"/>
            <w:tcBorders>
              <w:top w:val="nil"/>
              <w:left w:val="nil"/>
              <w:right w:val="nil"/>
            </w:tcBorders>
            <w:shd w:val="clear" w:color="auto" w:fill="FFFFFF"/>
            <w:vAlign w:val="center"/>
          </w:tcPr>
          <w:p w14:paraId="4545E4F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234</w:t>
            </w:r>
          </w:p>
        </w:tc>
        <w:tc>
          <w:tcPr>
            <w:tcW w:w="482" w:type="pct"/>
            <w:tcBorders>
              <w:top w:val="nil"/>
              <w:left w:val="nil"/>
              <w:right w:val="nil"/>
            </w:tcBorders>
            <w:shd w:val="clear" w:color="auto" w:fill="FFFFFF"/>
            <w:vAlign w:val="center"/>
          </w:tcPr>
          <w:p w14:paraId="256E366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70.91</w:t>
            </w:r>
          </w:p>
        </w:tc>
        <w:tc>
          <w:tcPr>
            <w:tcW w:w="484" w:type="pct"/>
            <w:tcBorders>
              <w:top w:val="nil"/>
              <w:left w:val="nil"/>
              <w:right w:val="nil"/>
            </w:tcBorders>
            <w:shd w:val="clear" w:color="auto" w:fill="FFFFFF"/>
            <w:vAlign w:val="center"/>
          </w:tcPr>
          <w:p w14:paraId="102A7A6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140</w:t>
            </w:r>
          </w:p>
        </w:tc>
        <w:tc>
          <w:tcPr>
            <w:tcW w:w="673" w:type="pct"/>
            <w:tcBorders>
              <w:top w:val="nil"/>
              <w:left w:val="nil"/>
              <w:right w:val="nil"/>
            </w:tcBorders>
            <w:shd w:val="clear" w:color="auto" w:fill="FFFFFF"/>
            <w:vAlign w:val="center"/>
          </w:tcPr>
          <w:p w14:paraId="48A722A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56.00</w:t>
            </w:r>
          </w:p>
        </w:tc>
      </w:tr>
      <w:tr w:rsidR="00792DC6" w:rsidRPr="00792DC6" w14:paraId="02C1F32D" w14:textId="77777777" w:rsidTr="009109E8">
        <w:trPr>
          <w:trHeight w:val="189"/>
        </w:trPr>
        <w:tc>
          <w:tcPr>
            <w:tcW w:w="1882" w:type="pct"/>
            <w:tcBorders>
              <w:top w:val="nil"/>
              <w:left w:val="nil"/>
              <w:right w:val="nil"/>
            </w:tcBorders>
            <w:shd w:val="clear" w:color="auto" w:fill="FFFFFF"/>
            <w:vAlign w:val="center"/>
          </w:tcPr>
          <w:p w14:paraId="64879E1F"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No</w:t>
            </w:r>
          </w:p>
        </w:tc>
        <w:tc>
          <w:tcPr>
            <w:tcW w:w="438" w:type="pct"/>
            <w:tcBorders>
              <w:top w:val="nil"/>
              <w:left w:val="nil"/>
              <w:right w:val="nil"/>
            </w:tcBorders>
            <w:shd w:val="clear" w:color="auto" w:fill="FFFFFF"/>
            <w:vAlign w:val="center"/>
          </w:tcPr>
          <w:p w14:paraId="41C9F24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194</w:t>
            </w:r>
          </w:p>
        </w:tc>
        <w:tc>
          <w:tcPr>
            <w:tcW w:w="651" w:type="pct"/>
            <w:tcBorders>
              <w:top w:val="nil"/>
              <w:left w:val="nil"/>
              <w:right w:val="nil"/>
            </w:tcBorders>
            <w:shd w:val="clear" w:color="auto" w:fill="FFFFFF"/>
            <w:vAlign w:val="center"/>
          </w:tcPr>
          <w:p w14:paraId="7B60D15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33.45</w:t>
            </w:r>
          </w:p>
        </w:tc>
        <w:tc>
          <w:tcPr>
            <w:tcW w:w="390" w:type="pct"/>
            <w:tcBorders>
              <w:top w:val="nil"/>
              <w:left w:val="nil"/>
              <w:right w:val="nil"/>
            </w:tcBorders>
            <w:shd w:val="clear" w:color="auto" w:fill="FFFFFF"/>
            <w:vAlign w:val="center"/>
          </w:tcPr>
          <w:p w14:paraId="4C4C6D0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91</w:t>
            </w:r>
          </w:p>
        </w:tc>
        <w:tc>
          <w:tcPr>
            <w:tcW w:w="482" w:type="pct"/>
            <w:tcBorders>
              <w:top w:val="nil"/>
              <w:left w:val="nil"/>
              <w:right w:val="nil"/>
            </w:tcBorders>
            <w:shd w:val="clear" w:color="auto" w:fill="FFFFFF"/>
            <w:vAlign w:val="center"/>
          </w:tcPr>
          <w:p w14:paraId="2B0028D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27.58</w:t>
            </w:r>
          </w:p>
        </w:tc>
        <w:tc>
          <w:tcPr>
            <w:tcW w:w="484" w:type="pct"/>
            <w:tcBorders>
              <w:top w:val="nil"/>
              <w:left w:val="nil"/>
              <w:right w:val="nil"/>
            </w:tcBorders>
            <w:shd w:val="clear" w:color="auto" w:fill="FFFFFF"/>
            <w:vAlign w:val="center"/>
          </w:tcPr>
          <w:p w14:paraId="402CBFB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103</w:t>
            </w:r>
          </w:p>
        </w:tc>
        <w:tc>
          <w:tcPr>
            <w:tcW w:w="673" w:type="pct"/>
            <w:tcBorders>
              <w:top w:val="nil"/>
              <w:left w:val="nil"/>
              <w:right w:val="nil"/>
            </w:tcBorders>
            <w:shd w:val="clear" w:color="auto" w:fill="FFFFFF"/>
            <w:vAlign w:val="center"/>
          </w:tcPr>
          <w:p w14:paraId="0FC48F81"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41.20</w:t>
            </w:r>
          </w:p>
        </w:tc>
      </w:tr>
      <w:tr w:rsidR="00792DC6" w:rsidRPr="00792DC6" w14:paraId="40B05131" w14:textId="77777777" w:rsidTr="009109E8">
        <w:trPr>
          <w:trHeight w:val="189"/>
        </w:trPr>
        <w:tc>
          <w:tcPr>
            <w:tcW w:w="1882" w:type="pct"/>
            <w:tcBorders>
              <w:top w:val="nil"/>
              <w:left w:val="nil"/>
              <w:bottom w:val="single" w:sz="4" w:space="0" w:color="000000"/>
              <w:right w:val="nil"/>
            </w:tcBorders>
            <w:shd w:val="clear" w:color="auto" w:fill="FFFFFF"/>
            <w:vAlign w:val="center"/>
          </w:tcPr>
          <w:p w14:paraId="659AB85F"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Don’t know/Didn’t answer</w:t>
            </w:r>
          </w:p>
        </w:tc>
        <w:tc>
          <w:tcPr>
            <w:tcW w:w="438" w:type="pct"/>
            <w:tcBorders>
              <w:top w:val="nil"/>
              <w:left w:val="nil"/>
              <w:bottom w:val="single" w:sz="4" w:space="0" w:color="000000"/>
              <w:right w:val="nil"/>
            </w:tcBorders>
            <w:shd w:val="clear" w:color="auto" w:fill="FFFFFF"/>
            <w:vAlign w:val="center"/>
          </w:tcPr>
          <w:p w14:paraId="7BA0091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12</w:t>
            </w:r>
          </w:p>
        </w:tc>
        <w:tc>
          <w:tcPr>
            <w:tcW w:w="651" w:type="pct"/>
            <w:tcBorders>
              <w:top w:val="nil"/>
              <w:left w:val="nil"/>
              <w:bottom w:val="single" w:sz="4" w:space="0" w:color="000000"/>
              <w:right w:val="nil"/>
            </w:tcBorders>
            <w:shd w:val="clear" w:color="auto" w:fill="FFFFFF"/>
            <w:vAlign w:val="center"/>
          </w:tcPr>
          <w:p w14:paraId="458A0D3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2.07</w:t>
            </w:r>
          </w:p>
        </w:tc>
        <w:tc>
          <w:tcPr>
            <w:tcW w:w="390" w:type="pct"/>
            <w:tcBorders>
              <w:top w:val="nil"/>
              <w:left w:val="nil"/>
              <w:bottom w:val="single" w:sz="4" w:space="0" w:color="000000"/>
              <w:right w:val="nil"/>
            </w:tcBorders>
            <w:shd w:val="clear" w:color="auto" w:fill="FFFFFF"/>
            <w:vAlign w:val="center"/>
          </w:tcPr>
          <w:p w14:paraId="5C2946F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05</w:t>
            </w:r>
          </w:p>
        </w:tc>
        <w:tc>
          <w:tcPr>
            <w:tcW w:w="482" w:type="pct"/>
            <w:tcBorders>
              <w:top w:val="nil"/>
              <w:left w:val="nil"/>
              <w:bottom w:val="single" w:sz="4" w:space="0" w:color="000000"/>
              <w:right w:val="nil"/>
            </w:tcBorders>
            <w:shd w:val="clear" w:color="auto" w:fill="FFFFFF"/>
            <w:vAlign w:val="center"/>
          </w:tcPr>
          <w:p w14:paraId="3693C7E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1.51</w:t>
            </w:r>
          </w:p>
        </w:tc>
        <w:tc>
          <w:tcPr>
            <w:tcW w:w="484" w:type="pct"/>
            <w:tcBorders>
              <w:top w:val="nil"/>
              <w:left w:val="nil"/>
              <w:bottom w:val="single" w:sz="4" w:space="0" w:color="000000"/>
              <w:right w:val="nil"/>
            </w:tcBorders>
            <w:shd w:val="clear" w:color="auto" w:fill="FFFFFF"/>
            <w:vAlign w:val="center"/>
          </w:tcPr>
          <w:p w14:paraId="5E6974E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07</w:t>
            </w:r>
          </w:p>
        </w:tc>
        <w:tc>
          <w:tcPr>
            <w:tcW w:w="673" w:type="pct"/>
            <w:tcBorders>
              <w:top w:val="nil"/>
              <w:left w:val="nil"/>
              <w:bottom w:val="single" w:sz="4" w:space="0" w:color="000000"/>
              <w:right w:val="nil"/>
            </w:tcBorders>
            <w:shd w:val="clear" w:color="auto" w:fill="FFFFFF"/>
            <w:vAlign w:val="center"/>
          </w:tcPr>
          <w:p w14:paraId="0EB7EA9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2.8</w:t>
            </w:r>
          </w:p>
        </w:tc>
      </w:tr>
      <w:tr w:rsidR="00792DC6" w:rsidRPr="00792DC6" w14:paraId="7AA21B02" w14:textId="77777777" w:rsidTr="009109E8">
        <w:trPr>
          <w:trHeight w:val="154"/>
        </w:trPr>
        <w:tc>
          <w:tcPr>
            <w:tcW w:w="1882" w:type="pct"/>
            <w:tcBorders>
              <w:top w:val="nil"/>
              <w:left w:val="nil"/>
              <w:bottom w:val="nil"/>
              <w:right w:val="nil"/>
            </w:tcBorders>
            <w:shd w:val="clear" w:color="auto" w:fill="FFFFFF"/>
            <w:vAlign w:val="center"/>
          </w:tcPr>
          <w:p w14:paraId="47279B91"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b/>
                <w:sz w:val="18"/>
                <w:szCs w:val="18"/>
              </w:rPr>
              <w:lastRenderedPageBreak/>
              <w:t>Social Security</w:t>
            </w:r>
          </w:p>
        </w:tc>
        <w:tc>
          <w:tcPr>
            <w:tcW w:w="438" w:type="pct"/>
            <w:tcBorders>
              <w:top w:val="nil"/>
              <w:left w:val="nil"/>
              <w:bottom w:val="nil"/>
              <w:right w:val="nil"/>
            </w:tcBorders>
            <w:shd w:val="clear" w:color="auto" w:fill="FFFFFF"/>
            <w:vAlign w:val="center"/>
          </w:tcPr>
          <w:p w14:paraId="5587F08D" w14:textId="77777777" w:rsidR="00792DC6" w:rsidRPr="00792DC6" w:rsidRDefault="00792DC6" w:rsidP="009109E8">
            <w:pPr>
              <w:spacing w:after="0" w:line="240" w:lineRule="auto"/>
              <w:jc w:val="center"/>
              <w:rPr>
                <w:rFonts w:ascii="Arial" w:hAnsi="Arial" w:cs="Arial"/>
                <w:sz w:val="18"/>
                <w:szCs w:val="18"/>
              </w:rPr>
            </w:pPr>
          </w:p>
        </w:tc>
        <w:tc>
          <w:tcPr>
            <w:tcW w:w="651" w:type="pct"/>
            <w:tcBorders>
              <w:top w:val="nil"/>
              <w:left w:val="nil"/>
              <w:bottom w:val="nil"/>
              <w:right w:val="nil"/>
            </w:tcBorders>
            <w:shd w:val="clear" w:color="auto" w:fill="FFFFFF"/>
            <w:vAlign w:val="center"/>
          </w:tcPr>
          <w:p w14:paraId="5B243A1F" w14:textId="77777777" w:rsidR="00792DC6" w:rsidRPr="00792DC6" w:rsidRDefault="00792DC6" w:rsidP="009109E8">
            <w:pPr>
              <w:spacing w:after="0" w:line="240" w:lineRule="auto"/>
              <w:jc w:val="center"/>
              <w:rPr>
                <w:rFonts w:ascii="Arial" w:hAnsi="Arial" w:cs="Arial"/>
                <w:sz w:val="18"/>
                <w:szCs w:val="18"/>
              </w:rPr>
            </w:pPr>
          </w:p>
        </w:tc>
        <w:tc>
          <w:tcPr>
            <w:tcW w:w="390" w:type="pct"/>
            <w:tcBorders>
              <w:top w:val="nil"/>
              <w:left w:val="nil"/>
              <w:bottom w:val="nil"/>
              <w:right w:val="nil"/>
            </w:tcBorders>
            <w:shd w:val="clear" w:color="auto" w:fill="FFFFFF"/>
            <w:vAlign w:val="center"/>
          </w:tcPr>
          <w:p w14:paraId="17D69C7E" w14:textId="77777777" w:rsidR="00792DC6" w:rsidRPr="00792DC6" w:rsidRDefault="00792DC6" w:rsidP="009109E8">
            <w:pPr>
              <w:spacing w:after="0" w:line="240" w:lineRule="auto"/>
              <w:jc w:val="center"/>
              <w:rPr>
                <w:rFonts w:ascii="Arial" w:hAnsi="Arial" w:cs="Arial"/>
                <w:sz w:val="18"/>
                <w:szCs w:val="18"/>
              </w:rPr>
            </w:pPr>
          </w:p>
        </w:tc>
        <w:tc>
          <w:tcPr>
            <w:tcW w:w="482" w:type="pct"/>
            <w:tcBorders>
              <w:top w:val="nil"/>
              <w:left w:val="nil"/>
              <w:bottom w:val="nil"/>
              <w:right w:val="nil"/>
            </w:tcBorders>
            <w:shd w:val="clear" w:color="auto" w:fill="FFFFFF"/>
            <w:vAlign w:val="center"/>
          </w:tcPr>
          <w:p w14:paraId="1F3E5076" w14:textId="77777777" w:rsidR="00792DC6" w:rsidRPr="00792DC6" w:rsidRDefault="00792DC6" w:rsidP="009109E8">
            <w:pPr>
              <w:spacing w:after="0" w:line="240" w:lineRule="auto"/>
              <w:jc w:val="center"/>
              <w:rPr>
                <w:rFonts w:ascii="Arial" w:hAnsi="Arial" w:cs="Arial"/>
                <w:sz w:val="18"/>
                <w:szCs w:val="18"/>
              </w:rPr>
            </w:pPr>
          </w:p>
        </w:tc>
        <w:tc>
          <w:tcPr>
            <w:tcW w:w="484" w:type="pct"/>
            <w:tcBorders>
              <w:top w:val="nil"/>
              <w:left w:val="nil"/>
              <w:bottom w:val="nil"/>
              <w:right w:val="nil"/>
            </w:tcBorders>
            <w:shd w:val="clear" w:color="auto" w:fill="FFFFFF"/>
            <w:vAlign w:val="center"/>
          </w:tcPr>
          <w:p w14:paraId="34A18BAB" w14:textId="77777777" w:rsidR="00792DC6" w:rsidRPr="00792DC6" w:rsidRDefault="00792DC6" w:rsidP="009109E8">
            <w:pPr>
              <w:spacing w:after="0" w:line="240" w:lineRule="auto"/>
              <w:jc w:val="center"/>
              <w:rPr>
                <w:rFonts w:ascii="Arial" w:hAnsi="Arial" w:cs="Arial"/>
                <w:sz w:val="18"/>
                <w:szCs w:val="18"/>
              </w:rPr>
            </w:pPr>
          </w:p>
        </w:tc>
        <w:tc>
          <w:tcPr>
            <w:tcW w:w="673" w:type="pct"/>
            <w:tcBorders>
              <w:top w:val="nil"/>
              <w:left w:val="nil"/>
              <w:bottom w:val="nil"/>
              <w:right w:val="nil"/>
            </w:tcBorders>
            <w:shd w:val="clear" w:color="auto" w:fill="FFFFFF"/>
            <w:vAlign w:val="center"/>
          </w:tcPr>
          <w:p w14:paraId="3477FFEE" w14:textId="77777777" w:rsidR="00792DC6" w:rsidRPr="00792DC6" w:rsidRDefault="00792DC6" w:rsidP="009109E8">
            <w:pPr>
              <w:spacing w:after="0" w:line="240" w:lineRule="auto"/>
              <w:jc w:val="center"/>
              <w:rPr>
                <w:rFonts w:ascii="Arial" w:hAnsi="Arial" w:cs="Arial"/>
                <w:sz w:val="18"/>
                <w:szCs w:val="18"/>
              </w:rPr>
            </w:pPr>
          </w:p>
        </w:tc>
      </w:tr>
      <w:tr w:rsidR="00792DC6" w:rsidRPr="00792DC6" w14:paraId="3699BD51" w14:textId="77777777" w:rsidTr="009109E8">
        <w:trPr>
          <w:trHeight w:val="166"/>
        </w:trPr>
        <w:tc>
          <w:tcPr>
            <w:tcW w:w="1882" w:type="pct"/>
            <w:tcBorders>
              <w:top w:val="nil"/>
              <w:left w:val="nil"/>
              <w:bottom w:val="nil"/>
              <w:right w:val="nil"/>
            </w:tcBorders>
            <w:shd w:val="clear" w:color="auto" w:fill="FFFFFF"/>
            <w:vAlign w:val="center"/>
          </w:tcPr>
          <w:p w14:paraId="37F31BDB"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Retirement</w:t>
            </w:r>
          </w:p>
        </w:tc>
        <w:tc>
          <w:tcPr>
            <w:tcW w:w="438" w:type="pct"/>
            <w:tcBorders>
              <w:top w:val="nil"/>
              <w:left w:val="nil"/>
              <w:bottom w:val="nil"/>
              <w:right w:val="nil"/>
            </w:tcBorders>
            <w:shd w:val="clear" w:color="auto" w:fill="FFFFFF"/>
            <w:vAlign w:val="center"/>
          </w:tcPr>
          <w:p w14:paraId="04806B6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60</w:t>
            </w:r>
          </w:p>
        </w:tc>
        <w:tc>
          <w:tcPr>
            <w:tcW w:w="651" w:type="pct"/>
            <w:tcBorders>
              <w:top w:val="nil"/>
              <w:left w:val="nil"/>
              <w:bottom w:val="nil"/>
              <w:right w:val="nil"/>
            </w:tcBorders>
            <w:shd w:val="clear" w:color="auto" w:fill="FFFFFF"/>
            <w:vAlign w:val="center"/>
          </w:tcPr>
          <w:p w14:paraId="4DA5869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10.34</w:t>
            </w:r>
          </w:p>
        </w:tc>
        <w:tc>
          <w:tcPr>
            <w:tcW w:w="390" w:type="pct"/>
            <w:tcBorders>
              <w:top w:val="nil"/>
              <w:left w:val="nil"/>
              <w:bottom w:val="nil"/>
              <w:right w:val="nil"/>
            </w:tcBorders>
            <w:shd w:val="clear" w:color="auto" w:fill="FFFFFF"/>
            <w:vAlign w:val="center"/>
          </w:tcPr>
          <w:p w14:paraId="62293AD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15</w:t>
            </w:r>
          </w:p>
        </w:tc>
        <w:tc>
          <w:tcPr>
            <w:tcW w:w="482" w:type="pct"/>
            <w:tcBorders>
              <w:top w:val="nil"/>
              <w:left w:val="nil"/>
              <w:bottom w:val="nil"/>
              <w:right w:val="nil"/>
            </w:tcBorders>
            <w:shd w:val="clear" w:color="auto" w:fill="FFFFFF"/>
            <w:vAlign w:val="center"/>
          </w:tcPr>
          <w:p w14:paraId="62C2A70A"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4.55</w:t>
            </w:r>
          </w:p>
        </w:tc>
        <w:tc>
          <w:tcPr>
            <w:tcW w:w="484" w:type="pct"/>
            <w:tcBorders>
              <w:top w:val="nil"/>
              <w:left w:val="nil"/>
              <w:bottom w:val="nil"/>
              <w:right w:val="nil"/>
            </w:tcBorders>
            <w:shd w:val="clear" w:color="auto" w:fill="FFFFFF"/>
            <w:vAlign w:val="center"/>
          </w:tcPr>
          <w:p w14:paraId="608F042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43</w:t>
            </w:r>
          </w:p>
        </w:tc>
        <w:tc>
          <w:tcPr>
            <w:tcW w:w="673" w:type="pct"/>
            <w:tcBorders>
              <w:top w:val="nil"/>
              <w:left w:val="nil"/>
              <w:bottom w:val="nil"/>
              <w:right w:val="nil"/>
            </w:tcBorders>
            <w:shd w:val="clear" w:color="auto" w:fill="FFFFFF"/>
            <w:vAlign w:val="center"/>
          </w:tcPr>
          <w:p w14:paraId="699FE82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17.20</w:t>
            </w:r>
          </w:p>
        </w:tc>
      </w:tr>
      <w:tr w:rsidR="00792DC6" w:rsidRPr="00792DC6" w14:paraId="42959771" w14:textId="77777777" w:rsidTr="009109E8">
        <w:trPr>
          <w:trHeight w:val="166"/>
        </w:trPr>
        <w:tc>
          <w:tcPr>
            <w:tcW w:w="1882" w:type="pct"/>
            <w:tcBorders>
              <w:top w:val="nil"/>
              <w:left w:val="nil"/>
              <w:bottom w:val="nil"/>
              <w:right w:val="nil"/>
            </w:tcBorders>
            <w:shd w:val="clear" w:color="auto" w:fill="FFFFFF"/>
            <w:vAlign w:val="center"/>
          </w:tcPr>
          <w:p w14:paraId="43009927"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Absence from work</w:t>
            </w:r>
          </w:p>
        </w:tc>
        <w:tc>
          <w:tcPr>
            <w:tcW w:w="438" w:type="pct"/>
            <w:tcBorders>
              <w:top w:val="nil"/>
              <w:left w:val="nil"/>
              <w:bottom w:val="nil"/>
              <w:right w:val="nil"/>
            </w:tcBorders>
            <w:shd w:val="clear" w:color="auto" w:fill="FFFFFF"/>
            <w:vAlign w:val="center"/>
          </w:tcPr>
          <w:p w14:paraId="0900470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01</w:t>
            </w:r>
          </w:p>
        </w:tc>
        <w:tc>
          <w:tcPr>
            <w:tcW w:w="651" w:type="pct"/>
            <w:tcBorders>
              <w:top w:val="nil"/>
              <w:left w:val="nil"/>
              <w:bottom w:val="nil"/>
              <w:right w:val="nil"/>
            </w:tcBorders>
            <w:shd w:val="clear" w:color="auto" w:fill="FFFFFF"/>
            <w:vAlign w:val="center"/>
          </w:tcPr>
          <w:p w14:paraId="6AB0E96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0.17</w:t>
            </w:r>
          </w:p>
        </w:tc>
        <w:tc>
          <w:tcPr>
            <w:tcW w:w="390" w:type="pct"/>
            <w:tcBorders>
              <w:top w:val="nil"/>
              <w:left w:val="nil"/>
              <w:bottom w:val="nil"/>
              <w:right w:val="nil"/>
            </w:tcBorders>
            <w:shd w:val="clear" w:color="auto" w:fill="FFFFFF"/>
            <w:vAlign w:val="center"/>
          </w:tcPr>
          <w:p w14:paraId="1FF6C772"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01</w:t>
            </w:r>
          </w:p>
        </w:tc>
        <w:tc>
          <w:tcPr>
            <w:tcW w:w="482" w:type="pct"/>
            <w:tcBorders>
              <w:top w:val="nil"/>
              <w:left w:val="nil"/>
              <w:bottom w:val="nil"/>
              <w:right w:val="nil"/>
            </w:tcBorders>
            <w:shd w:val="clear" w:color="auto" w:fill="FFFFFF"/>
            <w:vAlign w:val="center"/>
          </w:tcPr>
          <w:p w14:paraId="594E2EA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0.30</w:t>
            </w:r>
          </w:p>
        </w:tc>
        <w:tc>
          <w:tcPr>
            <w:tcW w:w="484" w:type="pct"/>
            <w:tcBorders>
              <w:top w:val="nil"/>
              <w:left w:val="nil"/>
              <w:bottom w:val="nil"/>
              <w:right w:val="nil"/>
            </w:tcBorders>
            <w:shd w:val="clear" w:color="auto" w:fill="FFFFFF"/>
            <w:vAlign w:val="center"/>
          </w:tcPr>
          <w:p w14:paraId="2760155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00</w:t>
            </w:r>
          </w:p>
        </w:tc>
        <w:tc>
          <w:tcPr>
            <w:tcW w:w="673" w:type="pct"/>
            <w:tcBorders>
              <w:top w:val="nil"/>
              <w:left w:val="nil"/>
              <w:bottom w:val="nil"/>
              <w:right w:val="nil"/>
            </w:tcBorders>
            <w:shd w:val="clear" w:color="auto" w:fill="FFFFFF"/>
            <w:vAlign w:val="center"/>
          </w:tcPr>
          <w:p w14:paraId="2C1F29D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0.00</w:t>
            </w:r>
          </w:p>
        </w:tc>
      </w:tr>
      <w:tr w:rsidR="00792DC6" w:rsidRPr="00792DC6" w14:paraId="4E81E8E1" w14:textId="77777777" w:rsidTr="009109E8">
        <w:trPr>
          <w:trHeight w:val="166"/>
        </w:trPr>
        <w:tc>
          <w:tcPr>
            <w:tcW w:w="1882" w:type="pct"/>
            <w:tcBorders>
              <w:top w:val="nil"/>
              <w:left w:val="nil"/>
              <w:bottom w:val="single" w:sz="4" w:space="0" w:color="000000"/>
              <w:right w:val="nil"/>
            </w:tcBorders>
            <w:shd w:val="clear" w:color="auto" w:fill="FFFFFF"/>
            <w:vAlign w:val="center"/>
          </w:tcPr>
          <w:p w14:paraId="7FDF9E91"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No</w:t>
            </w:r>
          </w:p>
        </w:tc>
        <w:tc>
          <w:tcPr>
            <w:tcW w:w="438" w:type="pct"/>
            <w:tcBorders>
              <w:top w:val="nil"/>
              <w:left w:val="nil"/>
              <w:bottom w:val="single" w:sz="4" w:space="0" w:color="000000"/>
              <w:right w:val="nil"/>
            </w:tcBorders>
            <w:shd w:val="clear" w:color="auto" w:fill="FFFFFF"/>
            <w:vAlign w:val="center"/>
          </w:tcPr>
          <w:p w14:paraId="40D31CAF"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519</w:t>
            </w:r>
          </w:p>
        </w:tc>
        <w:tc>
          <w:tcPr>
            <w:tcW w:w="651" w:type="pct"/>
            <w:tcBorders>
              <w:top w:val="nil"/>
              <w:left w:val="nil"/>
              <w:bottom w:val="single" w:sz="4" w:space="0" w:color="000000"/>
              <w:right w:val="nil"/>
            </w:tcBorders>
            <w:shd w:val="clear" w:color="auto" w:fill="FFFFFF"/>
            <w:vAlign w:val="center"/>
          </w:tcPr>
          <w:p w14:paraId="7E0030B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89.48</w:t>
            </w:r>
          </w:p>
        </w:tc>
        <w:tc>
          <w:tcPr>
            <w:tcW w:w="390" w:type="pct"/>
            <w:tcBorders>
              <w:top w:val="nil"/>
              <w:left w:val="nil"/>
              <w:bottom w:val="single" w:sz="4" w:space="0" w:color="000000"/>
              <w:right w:val="nil"/>
            </w:tcBorders>
            <w:shd w:val="clear" w:color="auto" w:fill="FFFFFF"/>
            <w:vAlign w:val="center"/>
          </w:tcPr>
          <w:p w14:paraId="685A3087"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314</w:t>
            </w:r>
          </w:p>
        </w:tc>
        <w:tc>
          <w:tcPr>
            <w:tcW w:w="482" w:type="pct"/>
            <w:tcBorders>
              <w:top w:val="nil"/>
              <w:left w:val="nil"/>
              <w:bottom w:val="single" w:sz="4" w:space="0" w:color="000000"/>
              <w:right w:val="nil"/>
            </w:tcBorders>
            <w:shd w:val="clear" w:color="auto" w:fill="FFFFFF"/>
            <w:vAlign w:val="center"/>
          </w:tcPr>
          <w:p w14:paraId="670486AE"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95.15</w:t>
            </w:r>
          </w:p>
        </w:tc>
        <w:tc>
          <w:tcPr>
            <w:tcW w:w="484" w:type="pct"/>
            <w:tcBorders>
              <w:top w:val="nil"/>
              <w:left w:val="nil"/>
              <w:bottom w:val="single" w:sz="4" w:space="0" w:color="000000"/>
              <w:right w:val="nil"/>
            </w:tcBorders>
            <w:shd w:val="clear" w:color="auto" w:fill="FFFFFF"/>
            <w:vAlign w:val="center"/>
          </w:tcPr>
          <w:p w14:paraId="33AFA0AC"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207</w:t>
            </w:r>
          </w:p>
        </w:tc>
        <w:tc>
          <w:tcPr>
            <w:tcW w:w="673" w:type="pct"/>
            <w:tcBorders>
              <w:top w:val="nil"/>
              <w:left w:val="nil"/>
              <w:bottom w:val="single" w:sz="4" w:space="0" w:color="000000"/>
              <w:right w:val="nil"/>
            </w:tcBorders>
            <w:shd w:val="clear" w:color="auto" w:fill="FFFFFF"/>
            <w:vAlign w:val="center"/>
          </w:tcPr>
          <w:p w14:paraId="73B3A9B1"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82.80</w:t>
            </w:r>
          </w:p>
        </w:tc>
      </w:tr>
      <w:tr w:rsidR="00792DC6" w:rsidRPr="00792DC6" w14:paraId="169A4DA2" w14:textId="77777777" w:rsidTr="009109E8">
        <w:trPr>
          <w:trHeight w:val="166"/>
        </w:trPr>
        <w:tc>
          <w:tcPr>
            <w:tcW w:w="1882" w:type="pct"/>
            <w:tcBorders>
              <w:top w:val="nil"/>
              <w:left w:val="nil"/>
              <w:bottom w:val="nil"/>
              <w:right w:val="nil"/>
            </w:tcBorders>
            <w:shd w:val="clear" w:color="auto" w:fill="FFFFFF"/>
            <w:vAlign w:val="center"/>
          </w:tcPr>
          <w:p w14:paraId="68CFEA0F"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b/>
                <w:sz w:val="18"/>
                <w:szCs w:val="18"/>
              </w:rPr>
              <w:t>Government grant-aid</w:t>
            </w:r>
          </w:p>
        </w:tc>
        <w:tc>
          <w:tcPr>
            <w:tcW w:w="438" w:type="pct"/>
            <w:tcBorders>
              <w:top w:val="nil"/>
              <w:left w:val="nil"/>
              <w:bottom w:val="nil"/>
              <w:right w:val="nil"/>
            </w:tcBorders>
            <w:shd w:val="clear" w:color="auto" w:fill="FFFFFF"/>
            <w:vAlign w:val="center"/>
          </w:tcPr>
          <w:p w14:paraId="0B5337FD" w14:textId="77777777" w:rsidR="00792DC6" w:rsidRPr="00792DC6" w:rsidRDefault="00792DC6" w:rsidP="009109E8">
            <w:pPr>
              <w:spacing w:after="0" w:line="240" w:lineRule="auto"/>
              <w:jc w:val="center"/>
              <w:rPr>
                <w:rFonts w:ascii="Arial" w:hAnsi="Arial" w:cs="Arial"/>
                <w:sz w:val="18"/>
                <w:szCs w:val="18"/>
              </w:rPr>
            </w:pPr>
          </w:p>
        </w:tc>
        <w:tc>
          <w:tcPr>
            <w:tcW w:w="651" w:type="pct"/>
            <w:tcBorders>
              <w:top w:val="nil"/>
              <w:left w:val="nil"/>
              <w:bottom w:val="nil"/>
              <w:right w:val="nil"/>
            </w:tcBorders>
            <w:shd w:val="clear" w:color="auto" w:fill="FFFFFF"/>
            <w:vAlign w:val="center"/>
          </w:tcPr>
          <w:p w14:paraId="1297A607" w14:textId="77777777" w:rsidR="00792DC6" w:rsidRPr="00792DC6" w:rsidRDefault="00792DC6" w:rsidP="009109E8">
            <w:pPr>
              <w:spacing w:after="0" w:line="240" w:lineRule="auto"/>
              <w:jc w:val="center"/>
              <w:rPr>
                <w:rFonts w:ascii="Arial" w:hAnsi="Arial" w:cs="Arial"/>
                <w:sz w:val="18"/>
                <w:szCs w:val="18"/>
              </w:rPr>
            </w:pPr>
          </w:p>
        </w:tc>
        <w:tc>
          <w:tcPr>
            <w:tcW w:w="390" w:type="pct"/>
            <w:tcBorders>
              <w:top w:val="nil"/>
              <w:left w:val="nil"/>
              <w:bottom w:val="nil"/>
              <w:right w:val="nil"/>
            </w:tcBorders>
            <w:shd w:val="clear" w:color="auto" w:fill="FFFFFF"/>
            <w:vAlign w:val="center"/>
          </w:tcPr>
          <w:p w14:paraId="5EC90819" w14:textId="77777777" w:rsidR="00792DC6" w:rsidRPr="00792DC6" w:rsidRDefault="00792DC6" w:rsidP="009109E8">
            <w:pPr>
              <w:spacing w:after="0" w:line="240" w:lineRule="auto"/>
              <w:jc w:val="center"/>
              <w:rPr>
                <w:rFonts w:ascii="Arial" w:hAnsi="Arial" w:cs="Arial"/>
                <w:sz w:val="18"/>
                <w:szCs w:val="18"/>
              </w:rPr>
            </w:pPr>
          </w:p>
        </w:tc>
        <w:tc>
          <w:tcPr>
            <w:tcW w:w="482" w:type="pct"/>
            <w:tcBorders>
              <w:top w:val="nil"/>
              <w:left w:val="nil"/>
              <w:bottom w:val="nil"/>
              <w:right w:val="nil"/>
            </w:tcBorders>
            <w:shd w:val="clear" w:color="auto" w:fill="FFFFFF"/>
            <w:vAlign w:val="center"/>
          </w:tcPr>
          <w:p w14:paraId="614891B4" w14:textId="77777777" w:rsidR="00792DC6" w:rsidRPr="00792DC6" w:rsidRDefault="00792DC6" w:rsidP="009109E8">
            <w:pPr>
              <w:spacing w:after="0" w:line="240" w:lineRule="auto"/>
              <w:jc w:val="center"/>
              <w:rPr>
                <w:rFonts w:ascii="Arial" w:hAnsi="Arial" w:cs="Arial"/>
                <w:sz w:val="18"/>
                <w:szCs w:val="18"/>
              </w:rPr>
            </w:pPr>
          </w:p>
        </w:tc>
        <w:tc>
          <w:tcPr>
            <w:tcW w:w="484" w:type="pct"/>
            <w:tcBorders>
              <w:top w:val="nil"/>
              <w:left w:val="nil"/>
              <w:bottom w:val="nil"/>
              <w:right w:val="nil"/>
            </w:tcBorders>
            <w:shd w:val="clear" w:color="auto" w:fill="FFFFFF"/>
            <w:vAlign w:val="center"/>
          </w:tcPr>
          <w:p w14:paraId="380A9270" w14:textId="77777777" w:rsidR="00792DC6" w:rsidRPr="00792DC6" w:rsidRDefault="00792DC6" w:rsidP="009109E8">
            <w:pPr>
              <w:spacing w:after="0" w:line="240" w:lineRule="auto"/>
              <w:jc w:val="center"/>
              <w:rPr>
                <w:rFonts w:ascii="Arial" w:hAnsi="Arial" w:cs="Arial"/>
                <w:sz w:val="18"/>
                <w:szCs w:val="18"/>
              </w:rPr>
            </w:pPr>
          </w:p>
        </w:tc>
        <w:tc>
          <w:tcPr>
            <w:tcW w:w="673" w:type="pct"/>
            <w:tcBorders>
              <w:top w:val="nil"/>
              <w:left w:val="nil"/>
              <w:bottom w:val="nil"/>
              <w:right w:val="nil"/>
            </w:tcBorders>
            <w:shd w:val="clear" w:color="auto" w:fill="FFFFFF"/>
            <w:vAlign w:val="center"/>
          </w:tcPr>
          <w:p w14:paraId="08A0A9AF" w14:textId="77777777" w:rsidR="00792DC6" w:rsidRPr="00792DC6" w:rsidRDefault="00792DC6" w:rsidP="009109E8">
            <w:pPr>
              <w:spacing w:after="0" w:line="240" w:lineRule="auto"/>
              <w:jc w:val="center"/>
              <w:rPr>
                <w:rFonts w:ascii="Arial" w:hAnsi="Arial" w:cs="Arial"/>
                <w:sz w:val="18"/>
                <w:szCs w:val="18"/>
              </w:rPr>
            </w:pPr>
          </w:p>
        </w:tc>
      </w:tr>
      <w:tr w:rsidR="00792DC6" w:rsidRPr="00792DC6" w14:paraId="566F6BFE" w14:textId="77777777" w:rsidTr="009109E8">
        <w:trPr>
          <w:trHeight w:val="71"/>
        </w:trPr>
        <w:tc>
          <w:tcPr>
            <w:tcW w:w="1882" w:type="pct"/>
            <w:tcBorders>
              <w:top w:val="nil"/>
              <w:left w:val="nil"/>
              <w:bottom w:val="nil"/>
              <w:right w:val="nil"/>
            </w:tcBorders>
            <w:shd w:val="clear" w:color="auto" w:fill="FFFFFF"/>
            <w:vAlign w:val="center"/>
          </w:tcPr>
          <w:p w14:paraId="38A0F607"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Yes</w:t>
            </w:r>
          </w:p>
        </w:tc>
        <w:tc>
          <w:tcPr>
            <w:tcW w:w="438" w:type="pct"/>
            <w:tcBorders>
              <w:top w:val="nil"/>
              <w:left w:val="nil"/>
              <w:bottom w:val="nil"/>
              <w:right w:val="nil"/>
            </w:tcBorders>
            <w:shd w:val="clear" w:color="auto" w:fill="FFFFFF"/>
            <w:vAlign w:val="center"/>
          </w:tcPr>
          <w:p w14:paraId="120B2A89"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74</w:t>
            </w:r>
          </w:p>
        </w:tc>
        <w:tc>
          <w:tcPr>
            <w:tcW w:w="651" w:type="pct"/>
            <w:tcBorders>
              <w:top w:val="nil"/>
              <w:left w:val="nil"/>
              <w:bottom w:val="nil"/>
              <w:right w:val="nil"/>
            </w:tcBorders>
            <w:shd w:val="clear" w:color="auto" w:fill="FFFFFF"/>
            <w:vAlign w:val="center"/>
          </w:tcPr>
          <w:p w14:paraId="516B81E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12.76</w:t>
            </w:r>
          </w:p>
        </w:tc>
        <w:tc>
          <w:tcPr>
            <w:tcW w:w="390" w:type="pct"/>
            <w:tcBorders>
              <w:top w:val="nil"/>
              <w:left w:val="nil"/>
              <w:bottom w:val="nil"/>
              <w:right w:val="nil"/>
            </w:tcBorders>
            <w:shd w:val="clear" w:color="auto" w:fill="FFFFFF"/>
            <w:vAlign w:val="center"/>
          </w:tcPr>
          <w:p w14:paraId="2462E38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46</w:t>
            </w:r>
          </w:p>
        </w:tc>
        <w:tc>
          <w:tcPr>
            <w:tcW w:w="482" w:type="pct"/>
            <w:tcBorders>
              <w:top w:val="nil"/>
              <w:left w:val="nil"/>
              <w:bottom w:val="nil"/>
              <w:right w:val="nil"/>
            </w:tcBorders>
            <w:shd w:val="clear" w:color="auto" w:fill="FFFFFF"/>
            <w:vAlign w:val="center"/>
          </w:tcPr>
          <w:p w14:paraId="00C00B90"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13.94</w:t>
            </w:r>
          </w:p>
        </w:tc>
        <w:tc>
          <w:tcPr>
            <w:tcW w:w="484" w:type="pct"/>
            <w:tcBorders>
              <w:top w:val="nil"/>
              <w:left w:val="nil"/>
              <w:bottom w:val="nil"/>
              <w:right w:val="nil"/>
            </w:tcBorders>
            <w:shd w:val="clear" w:color="auto" w:fill="FFFFFF"/>
            <w:vAlign w:val="center"/>
          </w:tcPr>
          <w:p w14:paraId="6288526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28</w:t>
            </w:r>
          </w:p>
        </w:tc>
        <w:tc>
          <w:tcPr>
            <w:tcW w:w="673" w:type="pct"/>
            <w:tcBorders>
              <w:top w:val="nil"/>
              <w:left w:val="nil"/>
              <w:bottom w:val="nil"/>
              <w:right w:val="nil"/>
            </w:tcBorders>
            <w:shd w:val="clear" w:color="auto" w:fill="FFFFFF"/>
            <w:vAlign w:val="center"/>
          </w:tcPr>
          <w:p w14:paraId="22CE110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11.20</w:t>
            </w:r>
          </w:p>
        </w:tc>
      </w:tr>
      <w:tr w:rsidR="00792DC6" w:rsidRPr="00792DC6" w14:paraId="688ADB50" w14:textId="77777777" w:rsidTr="009109E8">
        <w:trPr>
          <w:trHeight w:val="166"/>
        </w:trPr>
        <w:tc>
          <w:tcPr>
            <w:tcW w:w="1882" w:type="pct"/>
            <w:tcBorders>
              <w:top w:val="nil"/>
              <w:left w:val="nil"/>
              <w:bottom w:val="nil"/>
              <w:right w:val="nil"/>
            </w:tcBorders>
            <w:shd w:val="clear" w:color="auto" w:fill="FFFFFF"/>
            <w:vAlign w:val="center"/>
          </w:tcPr>
          <w:p w14:paraId="0B8EC931"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No</w:t>
            </w:r>
          </w:p>
        </w:tc>
        <w:tc>
          <w:tcPr>
            <w:tcW w:w="438" w:type="pct"/>
            <w:tcBorders>
              <w:top w:val="nil"/>
              <w:left w:val="nil"/>
              <w:bottom w:val="nil"/>
              <w:right w:val="nil"/>
            </w:tcBorders>
            <w:shd w:val="clear" w:color="auto" w:fill="FFFFFF"/>
            <w:vAlign w:val="center"/>
          </w:tcPr>
          <w:p w14:paraId="7FC90F1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492</w:t>
            </w:r>
          </w:p>
        </w:tc>
        <w:tc>
          <w:tcPr>
            <w:tcW w:w="651" w:type="pct"/>
            <w:tcBorders>
              <w:top w:val="nil"/>
              <w:left w:val="nil"/>
              <w:bottom w:val="nil"/>
              <w:right w:val="nil"/>
            </w:tcBorders>
            <w:shd w:val="clear" w:color="auto" w:fill="FFFFFF"/>
            <w:vAlign w:val="center"/>
          </w:tcPr>
          <w:p w14:paraId="5F544788"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84.83</w:t>
            </w:r>
          </w:p>
        </w:tc>
        <w:tc>
          <w:tcPr>
            <w:tcW w:w="390" w:type="pct"/>
            <w:tcBorders>
              <w:top w:val="nil"/>
              <w:left w:val="nil"/>
              <w:bottom w:val="nil"/>
              <w:right w:val="nil"/>
            </w:tcBorders>
            <w:shd w:val="clear" w:color="auto" w:fill="FFFFFF"/>
            <w:vAlign w:val="center"/>
          </w:tcPr>
          <w:p w14:paraId="3F49218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276</w:t>
            </w:r>
          </w:p>
        </w:tc>
        <w:tc>
          <w:tcPr>
            <w:tcW w:w="482" w:type="pct"/>
            <w:tcBorders>
              <w:top w:val="nil"/>
              <w:left w:val="nil"/>
              <w:bottom w:val="nil"/>
              <w:right w:val="nil"/>
            </w:tcBorders>
            <w:shd w:val="clear" w:color="auto" w:fill="FFFFFF"/>
            <w:vAlign w:val="center"/>
          </w:tcPr>
          <w:p w14:paraId="7397C17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83.64</w:t>
            </w:r>
          </w:p>
        </w:tc>
        <w:tc>
          <w:tcPr>
            <w:tcW w:w="484" w:type="pct"/>
            <w:tcBorders>
              <w:top w:val="nil"/>
              <w:left w:val="nil"/>
              <w:bottom w:val="nil"/>
              <w:right w:val="nil"/>
            </w:tcBorders>
            <w:shd w:val="clear" w:color="auto" w:fill="FFFFFF"/>
            <w:vAlign w:val="center"/>
          </w:tcPr>
          <w:p w14:paraId="1FE6878B"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216</w:t>
            </w:r>
          </w:p>
        </w:tc>
        <w:tc>
          <w:tcPr>
            <w:tcW w:w="673" w:type="pct"/>
            <w:tcBorders>
              <w:top w:val="nil"/>
              <w:left w:val="nil"/>
              <w:bottom w:val="nil"/>
              <w:right w:val="nil"/>
            </w:tcBorders>
            <w:shd w:val="clear" w:color="auto" w:fill="FFFFFF"/>
            <w:vAlign w:val="center"/>
          </w:tcPr>
          <w:p w14:paraId="69EA9CB6"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86.40</w:t>
            </w:r>
          </w:p>
        </w:tc>
      </w:tr>
      <w:tr w:rsidR="00792DC6" w:rsidRPr="00792DC6" w14:paraId="5EFCC60F" w14:textId="77777777" w:rsidTr="009109E8">
        <w:trPr>
          <w:trHeight w:val="166"/>
        </w:trPr>
        <w:tc>
          <w:tcPr>
            <w:tcW w:w="1882" w:type="pct"/>
            <w:tcBorders>
              <w:top w:val="nil"/>
              <w:left w:val="nil"/>
              <w:bottom w:val="single" w:sz="4" w:space="0" w:color="000000"/>
              <w:right w:val="nil"/>
            </w:tcBorders>
            <w:shd w:val="clear" w:color="auto" w:fill="FFFFFF"/>
            <w:vAlign w:val="center"/>
          </w:tcPr>
          <w:p w14:paraId="320C8D2A" w14:textId="77777777" w:rsidR="00792DC6" w:rsidRPr="00792DC6" w:rsidRDefault="00792DC6" w:rsidP="009109E8">
            <w:pPr>
              <w:spacing w:after="0" w:line="240" w:lineRule="auto"/>
              <w:rPr>
                <w:rFonts w:ascii="Arial" w:hAnsi="Arial" w:cs="Arial"/>
                <w:sz w:val="18"/>
                <w:szCs w:val="18"/>
              </w:rPr>
            </w:pPr>
            <w:r w:rsidRPr="00792DC6">
              <w:rPr>
                <w:rFonts w:ascii="Arial" w:hAnsi="Arial" w:cs="Arial"/>
                <w:sz w:val="18"/>
                <w:szCs w:val="18"/>
              </w:rPr>
              <w:t>Don’t know/Didn’t answer</w:t>
            </w:r>
          </w:p>
        </w:tc>
        <w:tc>
          <w:tcPr>
            <w:tcW w:w="438" w:type="pct"/>
            <w:tcBorders>
              <w:top w:val="nil"/>
              <w:left w:val="nil"/>
              <w:bottom w:val="single" w:sz="4" w:space="0" w:color="000000"/>
              <w:right w:val="nil"/>
            </w:tcBorders>
            <w:shd w:val="clear" w:color="auto" w:fill="FFFFFF"/>
            <w:vAlign w:val="center"/>
          </w:tcPr>
          <w:p w14:paraId="26905CD3"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14</w:t>
            </w:r>
          </w:p>
        </w:tc>
        <w:tc>
          <w:tcPr>
            <w:tcW w:w="651" w:type="pct"/>
            <w:tcBorders>
              <w:top w:val="nil"/>
              <w:left w:val="nil"/>
              <w:bottom w:val="single" w:sz="4" w:space="0" w:color="000000"/>
              <w:right w:val="nil"/>
            </w:tcBorders>
            <w:shd w:val="clear" w:color="auto" w:fill="FFFFFF"/>
            <w:vAlign w:val="center"/>
          </w:tcPr>
          <w:p w14:paraId="0B45D8F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2.41</w:t>
            </w:r>
          </w:p>
        </w:tc>
        <w:tc>
          <w:tcPr>
            <w:tcW w:w="390" w:type="pct"/>
            <w:tcBorders>
              <w:top w:val="nil"/>
              <w:left w:val="nil"/>
              <w:bottom w:val="single" w:sz="4" w:space="0" w:color="000000"/>
              <w:right w:val="nil"/>
            </w:tcBorders>
            <w:shd w:val="clear" w:color="auto" w:fill="FFFFFF"/>
            <w:vAlign w:val="center"/>
          </w:tcPr>
          <w:p w14:paraId="11A0DB5D"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08</w:t>
            </w:r>
          </w:p>
        </w:tc>
        <w:tc>
          <w:tcPr>
            <w:tcW w:w="482" w:type="pct"/>
            <w:tcBorders>
              <w:top w:val="nil"/>
              <w:left w:val="nil"/>
              <w:bottom w:val="single" w:sz="4" w:space="0" w:color="000000"/>
              <w:right w:val="nil"/>
            </w:tcBorders>
            <w:shd w:val="clear" w:color="auto" w:fill="FFFFFF"/>
            <w:vAlign w:val="center"/>
          </w:tcPr>
          <w:p w14:paraId="630C46A4"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2.42</w:t>
            </w:r>
          </w:p>
        </w:tc>
        <w:tc>
          <w:tcPr>
            <w:tcW w:w="484" w:type="pct"/>
            <w:tcBorders>
              <w:top w:val="nil"/>
              <w:left w:val="nil"/>
              <w:bottom w:val="single" w:sz="4" w:space="0" w:color="000000"/>
              <w:right w:val="nil"/>
            </w:tcBorders>
            <w:shd w:val="clear" w:color="auto" w:fill="FFFFFF"/>
            <w:vAlign w:val="center"/>
          </w:tcPr>
          <w:p w14:paraId="68FEE2D5"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06</w:t>
            </w:r>
          </w:p>
        </w:tc>
        <w:tc>
          <w:tcPr>
            <w:tcW w:w="673" w:type="pct"/>
            <w:tcBorders>
              <w:top w:val="nil"/>
              <w:left w:val="nil"/>
              <w:bottom w:val="single" w:sz="4" w:space="0" w:color="000000"/>
              <w:right w:val="nil"/>
            </w:tcBorders>
            <w:shd w:val="clear" w:color="auto" w:fill="FFFFFF"/>
            <w:vAlign w:val="center"/>
          </w:tcPr>
          <w:p w14:paraId="1550FCBE" w14:textId="77777777" w:rsidR="00792DC6" w:rsidRPr="00792DC6" w:rsidRDefault="00792DC6" w:rsidP="009109E8">
            <w:pPr>
              <w:spacing w:after="0" w:line="240" w:lineRule="auto"/>
              <w:jc w:val="center"/>
              <w:rPr>
                <w:rFonts w:ascii="Arial" w:hAnsi="Arial" w:cs="Arial"/>
                <w:sz w:val="18"/>
                <w:szCs w:val="18"/>
              </w:rPr>
            </w:pPr>
            <w:r w:rsidRPr="00792DC6">
              <w:rPr>
                <w:rFonts w:ascii="Arial" w:hAnsi="Arial" w:cs="Arial"/>
                <w:sz w:val="18"/>
                <w:szCs w:val="18"/>
              </w:rPr>
              <w:t>2.40</w:t>
            </w:r>
          </w:p>
        </w:tc>
      </w:tr>
    </w:tbl>
    <w:p w14:paraId="224720C4" w14:textId="77777777" w:rsidR="00792DC6" w:rsidRPr="00792DC6" w:rsidRDefault="00792DC6" w:rsidP="00792DC6">
      <w:pPr>
        <w:spacing w:after="0" w:line="240" w:lineRule="auto"/>
        <w:rPr>
          <w:rFonts w:ascii="Arial" w:hAnsi="Arial" w:cs="Arial"/>
          <w:sz w:val="18"/>
          <w:szCs w:val="18"/>
        </w:rPr>
      </w:pPr>
      <w:r w:rsidRPr="00792DC6">
        <w:rPr>
          <w:rFonts w:ascii="Arial" w:hAnsi="Arial" w:cs="Arial"/>
          <w:sz w:val="18"/>
          <w:szCs w:val="18"/>
        </w:rPr>
        <w:t>P value &lt; 0.001</w:t>
      </w:r>
    </w:p>
    <w:p w14:paraId="4E997EB8" w14:textId="77777777" w:rsidR="00792DC6" w:rsidRDefault="00792DC6" w:rsidP="007A515F">
      <w:pPr>
        <w:pStyle w:val="NoSpacing"/>
        <w:rPr>
          <w:rFonts w:ascii="Arial" w:hAnsi="Arial" w:cs="Arial"/>
          <w:sz w:val="20"/>
          <w:szCs w:val="20"/>
        </w:rPr>
      </w:pPr>
    </w:p>
    <w:p w14:paraId="4A5CEA6E" w14:textId="4135F8E0" w:rsidR="00104A61" w:rsidRPr="007A515F" w:rsidRDefault="000A1091" w:rsidP="007A515F">
      <w:pPr>
        <w:pStyle w:val="NoSpacing"/>
        <w:rPr>
          <w:rFonts w:ascii="Arial" w:hAnsi="Arial" w:cs="Arial"/>
          <w:sz w:val="20"/>
          <w:szCs w:val="20"/>
        </w:rPr>
      </w:pPr>
      <w:r w:rsidRPr="007A515F">
        <w:rPr>
          <w:rFonts w:ascii="Arial" w:hAnsi="Arial" w:cs="Arial"/>
          <w:sz w:val="20"/>
          <w:szCs w:val="20"/>
        </w:rPr>
        <w:t>Regarding the places where the medicines were obtained by the individuals, 56.9% reported that they used to obtain their medicines exclusively in private establishments. In general, the search for pharmacies (public or private) was higher among women, both for those who accessed both public and private pharmacies (62.8%) and those that reported using exclusively private ones (50.9%). Individuals aged 55 or over, for the most part, reported using both public and private pharmacies. Only 14% of the participants reported being dependent on public facilities for their medicines (Table 2).</w:t>
      </w:r>
    </w:p>
    <w:p w14:paraId="683DC899" w14:textId="77777777" w:rsidR="007A515F" w:rsidRPr="00792DC6" w:rsidRDefault="007A515F" w:rsidP="00792DC6">
      <w:pPr>
        <w:pStyle w:val="NoSpacing"/>
        <w:rPr>
          <w:rFonts w:ascii="Arial" w:hAnsi="Arial" w:cs="Arial"/>
          <w:sz w:val="18"/>
          <w:szCs w:val="18"/>
        </w:rPr>
      </w:pPr>
    </w:p>
    <w:p w14:paraId="1FAA40AC" w14:textId="159F96B4" w:rsidR="00792DC6" w:rsidRPr="00792DC6" w:rsidRDefault="00792DC6" w:rsidP="00792DC6">
      <w:pPr>
        <w:pStyle w:val="NoSpacing"/>
        <w:rPr>
          <w:rFonts w:ascii="Arial" w:eastAsia="Times New Roman" w:hAnsi="Arial" w:cs="Arial"/>
          <w:bCs/>
          <w:sz w:val="20"/>
          <w:szCs w:val="20"/>
          <w:u w:val="single"/>
        </w:rPr>
      </w:pPr>
      <w:r w:rsidRPr="00792DC6">
        <w:rPr>
          <w:rFonts w:ascii="Arial" w:eastAsia="Times New Roman" w:hAnsi="Arial" w:cs="Arial"/>
          <w:bCs/>
          <w:sz w:val="20"/>
          <w:szCs w:val="20"/>
          <w:u w:val="single"/>
        </w:rPr>
        <w:t>Table 2: Place where individuals usually get their medicines</w:t>
      </w:r>
    </w:p>
    <w:p w14:paraId="50E5A960" w14:textId="77777777" w:rsidR="00792DC6" w:rsidRPr="00792DC6" w:rsidRDefault="00792DC6" w:rsidP="00792DC6">
      <w:pPr>
        <w:pStyle w:val="NoSpacing"/>
        <w:rPr>
          <w:rFonts w:ascii="Arial" w:eastAsia="Times New Roman" w:hAnsi="Arial" w:cs="Arial"/>
          <w:b/>
          <w:sz w:val="18"/>
          <w:szCs w:val="18"/>
        </w:rPr>
      </w:pPr>
    </w:p>
    <w:tbl>
      <w:tblPr>
        <w:tblW w:w="804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6433"/>
        <w:gridCol w:w="646"/>
        <w:gridCol w:w="964"/>
      </w:tblGrid>
      <w:tr w:rsidR="00792DC6" w:rsidRPr="00792DC6" w14:paraId="0DDC9828" w14:textId="77777777" w:rsidTr="009109E8">
        <w:trPr>
          <w:trHeight w:val="192"/>
        </w:trPr>
        <w:tc>
          <w:tcPr>
            <w:tcW w:w="6433" w:type="dxa"/>
            <w:tcBorders>
              <w:top w:val="single" w:sz="4" w:space="0" w:color="000000"/>
              <w:bottom w:val="single" w:sz="4" w:space="0" w:color="000000"/>
            </w:tcBorders>
          </w:tcPr>
          <w:p w14:paraId="617FCF9D"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b/>
                <w:sz w:val="18"/>
                <w:szCs w:val="18"/>
              </w:rPr>
              <w:t>Variables</w:t>
            </w:r>
          </w:p>
        </w:tc>
        <w:tc>
          <w:tcPr>
            <w:tcW w:w="646" w:type="dxa"/>
            <w:tcBorders>
              <w:top w:val="single" w:sz="4" w:space="0" w:color="000000"/>
              <w:bottom w:val="single" w:sz="4" w:space="0" w:color="000000"/>
            </w:tcBorders>
          </w:tcPr>
          <w:p w14:paraId="7F4C9EA9"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b/>
                <w:sz w:val="18"/>
                <w:szCs w:val="18"/>
              </w:rPr>
              <w:t>N</w:t>
            </w:r>
          </w:p>
        </w:tc>
        <w:tc>
          <w:tcPr>
            <w:tcW w:w="964" w:type="dxa"/>
            <w:tcBorders>
              <w:top w:val="single" w:sz="4" w:space="0" w:color="000000"/>
              <w:bottom w:val="single" w:sz="4" w:space="0" w:color="000000"/>
            </w:tcBorders>
          </w:tcPr>
          <w:p w14:paraId="396FB76D"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b/>
                <w:sz w:val="18"/>
                <w:szCs w:val="18"/>
              </w:rPr>
              <w:t>%</w:t>
            </w:r>
          </w:p>
        </w:tc>
      </w:tr>
      <w:tr w:rsidR="00792DC6" w:rsidRPr="00792DC6" w14:paraId="6EC13E19" w14:textId="77777777" w:rsidTr="009109E8">
        <w:trPr>
          <w:trHeight w:val="326"/>
        </w:trPr>
        <w:tc>
          <w:tcPr>
            <w:tcW w:w="6433" w:type="dxa"/>
            <w:tcBorders>
              <w:top w:val="single" w:sz="4" w:space="0" w:color="000000"/>
            </w:tcBorders>
          </w:tcPr>
          <w:p w14:paraId="62C5FBEA"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b/>
                <w:sz w:val="18"/>
                <w:szCs w:val="18"/>
              </w:rPr>
              <w:t>Private Pharmacy</w:t>
            </w:r>
          </w:p>
        </w:tc>
        <w:tc>
          <w:tcPr>
            <w:tcW w:w="646" w:type="dxa"/>
            <w:tcBorders>
              <w:top w:val="single" w:sz="4" w:space="0" w:color="000000"/>
            </w:tcBorders>
          </w:tcPr>
          <w:p w14:paraId="605E217D"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b/>
                <w:sz w:val="18"/>
                <w:szCs w:val="18"/>
              </w:rPr>
              <w:t>330</w:t>
            </w:r>
          </w:p>
        </w:tc>
        <w:tc>
          <w:tcPr>
            <w:tcW w:w="964" w:type="dxa"/>
            <w:tcBorders>
              <w:top w:val="single" w:sz="4" w:space="0" w:color="000000"/>
            </w:tcBorders>
          </w:tcPr>
          <w:p w14:paraId="16379E51"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b/>
                <w:sz w:val="18"/>
                <w:szCs w:val="18"/>
              </w:rPr>
              <w:t>56.9</w:t>
            </w:r>
          </w:p>
        </w:tc>
      </w:tr>
      <w:tr w:rsidR="00792DC6" w:rsidRPr="00792DC6" w14:paraId="741A73B8" w14:textId="77777777" w:rsidTr="009109E8">
        <w:trPr>
          <w:trHeight w:val="192"/>
        </w:trPr>
        <w:tc>
          <w:tcPr>
            <w:tcW w:w="6433" w:type="dxa"/>
          </w:tcPr>
          <w:p w14:paraId="06783986"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Exclusively out-of-pocket expenses</w:t>
            </w:r>
          </w:p>
          <w:p w14:paraId="4D4387A5"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 xml:space="preserve">Exclusively from </w:t>
            </w:r>
            <w:r w:rsidRPr="00792DC6">
              <w:rPr>
                <w:rFonts w:ascii="Arial" w:eastAsia="Times New Roman" w:hAnsi="Arial" w:cs="Arial"/>
                <w:i/>
                <w:sz w:val="18"/>
                <w:szCs w:val="18"/>
              </w:rPr>
              <w:t>Farmácia Popular</w:t>
            </w:r>
            <w:r w:rsidRPr="00792DC6">
              <w:rPr>
                <w:rFonts w:ascii="Arial" w:eastAsia="Times New Roman" w:hAnsi="Arial" w:cs="Arial"/>
                <w:sz w:val="18"/>
                <w:szCs w:val="18"/>
              </w:rPr>
              <w:t xml:space="preserve"> </w:t>
            </w:r>
          </w:p>
          <w:p w14:paraId="32B7A719"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Exclusively through covenant of the employing company</w:t>
            </w:r>
          </w:p>
          <w:p w14:paraId="4A9241F9" w14:textId="77777777" w:rsidR="00792DC6" w:rsidRPr="00792DC6" w:rsidRDefault="00792DC6" w:rsidP="00792DC6">
            <w:pPr>
              <w:pStyle w:val="NoSpacing"/>
              <w:rPr>
                <w:rFonts w:ascii="Arial" w:hAnsi="Arial" w:cs="Arial"/>
                <w:i/>
                <w:sz w:val="18"/>
                <w:szCs w:val="18"/>
              </w:rPr>
            </w:pPr>
            <w:r w:rsidRPr="00792DC6">
              <w:rPr>
                <w:rFonts w:ascii="Arial" w:eastAsia="Times New Roman" w:hAnsi="Arial" w:cs="Arial"/>
                <w:sz w:val="18"/>
                <w:szCs w:val="18"/>
              </w:rPr>
              <w:t xml:space="preserve">Out-of-pocket expenses + </w:t>
            </w:r>
            <w:r w:rsidRPr="00792DC6">
              <w:rPr>
                <w:rFonts w:ascii="Arial" w:eastAsia="Times New Roman" w:hAnsi="Arial" w:cs="Arial"/>
                <w:i/>
                <w:sz w:val="18"/>
                <w:szCs w:val="18"/>
              </w:rPr>
              <w:t>Farmácia Popular</w:t>
            </w:r>
          </w:p>
          <w:p w14:paraId="67F9C9C4"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Out-of-pocket expenses + covenant of the employing company</w:t>
            </w:r>
          </w:p>
        </w:tc>
        <w:tc>
          <w:tcPr>
            <w:tcW w:w="646" w:type="dxa"/>
          </w:tcPr>
          <w:p w14:paraId="74BE5C03"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275</w:t>
            </w:r>
          </w:p>
          <w:p w14:paraId="45DCC9F0"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05</w:t>
            </w:r>
          </w:p>
          <w:p w14:paraId="423BD6ED"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07</w:t>
            </w:r>
          </w:p>
          <w:p w14:paraId="0CB11AAB"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24</w:t>
            </w:r>
          </w:p>
          <w:p w14:paraId="0158BA10"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19</w:t>
            </w:r>
          </w:p>
        </w:tc>
        <w:tc>
          <w:tcPr>
            <w:tcW w:w="964" w:type="dxa"/>
          </w:tcPr>
          <w:p w14:paraId="43E6A42C"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83.3</w:t>
            </w:r>
          </w:p>
          <w:p w14:paraId="0234F3D9"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1.5</w:t>
            </w:r>
          </w:p>
          <w:p w14:paraId="447B6BD4"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2.1</w:t>
            </w:r>
          </w:p>
          <w:p w14:paraId="4DE46CFF"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7.3</w:t>
            </w:r>
          </w:p>
          <w:p w14:paraId="4F366055"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5.8</w:t>
            </w:r>
          </w:p>
        </w:tc>
      </w:tr>
      <w:tr w:rsidR="00792DC6" w:rsidRPr="00792DC6" w14:paraId="561E7016" w14:textId="77777777" w:rsidTr="009109E8">
        <w:trPr>
          <w:trHeight w:val="311"/>
        </w:trPr>
        <w:tc>
          <w:tcPr>
            <w:tcW w:w="6433" w:type="dxa"/>
            <w:tcBorders>
              <w:top w:val="single" w:sz="4" w:space="0" w:color="000000"/>
            </w:tcBorders>
          </w:tcPr>
          <w:p w14:paraId="35D647B1"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b/>
                <w:sz w:val="18"/>
                <w:szCs w:val="18"/>
              </w:rPr>
              <w:t>Public and private pharmacy</w:t>
            </w:r>
          </w:p>
        </w:tc>
        <w:tc>
          <w:tcPr>
            <w:tcW w:w="646" w:type="dxa"/>
            <w:tcBorders>
              <w:top w:val="single" w:sz="4" w:space="0" w:color="000000"/>
            </w:tcBorders>
          </w:tcPr>
          <w:p w14:paraId="78890FDD"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b/>
                <w:sz w:val="18"/>
                <w:szCs w:val="18"/>
              </w:rPr>
              <w:t>250</w:t>
            </w:r>
          </w:p>
        </w:tc>
        <w:tc>
          <w:tcPr>
            <w:tcW w:w="964" w:type="dxa"/>
            <w:tcBorders>
              <w:top w:val="single" w:sz="4" w:space="0" w:color="000000"/>
            </w:tcBorders>
          </w:tcPr>
          <w:p w14:paraId="3D3284D3"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b/>
                <w:sz w:val="18"/>
                <w:szCs w:val="18"/>
              </w:rPr>
              <w:t>43.1</w:t>
            </w:r>
          </w:p>
        </w:tc>
      </w:tr>
      <w:tr w:rsidR="00792DC6" w:rsidRPr="00792DC6" w14:paraId="12EA9112" w14:textId="77777777" w:rsidTr="009109E8">
        <w:trPr>
          <w:trHeight w:val="1186"/>
        </w:trPr>
        <w:tc>
          <w:tcPr>
            <w:tcW w:w="6433" w:type="dxa"/>
            <w:tcBorders>
              <w:bottom w:val="single" w:sz="4" w:space="0" w:color="000000"/>
            </w:tcBorders>
          </w:tcPr>
          <w:p w14:paraId="68BEE93C"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Exclusively Public Pharmacy</w:t>
            </w:r>
          </w:p>
          <w:p w14:paraId="7F069C8D"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i/>
                <w:sz w:val="18"/>
                <w:szCs w:val="18"/>
              </w:rPr>
              <w:t>Farmácia Pública</w:t>
            </w:r>
            <w:r w:rsidRPr="00792DC6">
              <w:rPr>
                <w:rFonts w:ascii="Arial" w:eastAsia="Times New Roman" w:hAnsi="Arial" w:cs="Arial"/>
                <w:sz w:val="18"/>
                <w:szCs w:val="18"/>
              </w:rPr>
              <w:t xml:space="preserve"> + out-of-pocket expenses</w:t>
            </w:r>
          </w:p>
          <w:p w14:paraId="3BB0D3CB"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 xml:space="preserve">Public Pharmacy + </w:t>
            </w:r>
            <w:r w:rsidRPr="00792DC6">
              <w:rPr>
                <w:rFonts w:ascii="Arial" w:eastAsia="Times New Roman" w:hAnsi="Arial" w:cs="Arial"/>
                <w:i/>
                <w:sz w:val="18"/>
                <w:szCs w:val="18"/>
              </w:rPr>
              <w:t>Farmácia Popular</w:t>
            </w:r>
          </w:p>
          <w:p w14:paraId="09B9F548"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 xml:space="preserve">Public Pharmacy + out-of-pocket expenses + </w:t>
            </w:r>
            <w:r w:rsidRPr="00792DC6">
              <w:rPr>
                <w:rFonts w:ascii="Arial" w:eastAsia="Times New Roman" w:hAnsi="Arial" w:cs="Arial"/>
                <w:i/>
                <w:sz w:val="18"/>
                <w:szCs w:val="18"/>
              </w:rPr>
              <w:t>Farmácia Popular</w:t>
            </w:r>
          </w:p>
        </w:tc>
        <w:tc>
          <w:tcPr>
            <w:tcW w:w="646" w:type="dxa"/>
            <w:tcBorders>
              <w:bottom w:val="single" w:sz="4" w:space="0" w:color="000000"/>
            </w:tcBorders>
          </w:tcPr>
          <w:p w14:paraId="3E03792A"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35</w:t>
            </w:r>
          </w:p>
          <w:p w14:paraId="264C07F7"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140</w:t>
            </w:r>
          </w:p>
          <w:p w14:paraId="4DDA620D"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20</w:t>
            </w:r>
          </w:p>
          <w:p w14:paraId="4DF065F6"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55</w:t>
            </w:r>
          </w:p>
        </w:tc>
        <w:tc>
          <w:tcPr>
            <w:tcW w:w="964" w:type="dxa"/>
            <w:tcBorders>
              <w:bottom w:val="single" w:sz="4" w:space="0" w:color="000000"/>
            </w:tcBorders>
          </w:tcPr>
          <w:p w14:paraId="1A847506"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14.0</w:t>
            </w:r>
          </w:p>
          <w:p w14:paraId="668A14CF"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56.0</w:t>
            </w:r>
          </w:p>
          <w:p w14:paraId="5A4D3ACA"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8.00</w:t>
            </w:r>
          </w:p>
          <w:p w14:paraId="5FD53F4F" w14:textId="77777777" w:rsidR="00792DC6" w:rsidRPr="00792DC6" w:rsidRDefault="00792DC6" w:rsidP="00792DC6">
            <w:pPr>
              <w:pStyle w:val="NoSpacing"/>
              <w:rPr>
                <w:rFonts w:ascii="Arial" w:hAnsi="Arial" w:cs="Arial"/>
                <w:sz w:val="18"/>
                <w:szCs w:val="18"/>
              </w:rPr>
            </w:pPr>
            <w:r w:rsidRPr="00792DC6">
              <w:rPr>
                <w:rFonts w:ascii="Arial" w:eastAsia="Times New Roman" w:hAnsi="Arial" w:cs="Arial"/>
                <w:sz w:val="18"/>
                <w:szCs w:val="18"/>
              </w:rPr>
              <w:t>22.00</w:t>
            </w:r>
          </w:p>
        </w:tc>
      </w:tr>
    </w:tbl>
    <w:p w14:paraId="4BCC0B12" w14:textId="77777777" w:rsidR="00792DC6" w:rsidRPr="00792DC6" w:rsidRDefault="00792DC6" w:rsidP="00792DC6">
      <w:pPr>
        <w:pStyle w:val="NoSpacing"/>
        <w:rPr>
          <w:rFonts w:ascii="Arial" w:eastAsia="Times New Roman" w:hAnsi="Arial" w:cs="Arial"/>
          <w:sz w:val="18"/>
          <w:szCs w:val="18"/>
        </w:rPr>
      </w:pPr>
    </w:p>
    <w:p w14:paraId="699A479D" w14:textId="25458D78" w:rsidR="00104A61" w:rsidRPr="007A515F" w:rsidRDefault="000A1091" w:rsidP="007A515F">
      <w:pPr>
        <w:pStyle w:val="NoSpacing"/>
        <w:rPr>
          <w:rFonts w:ascii="Arial" w:hAnsi="Arial" w:cs="Arial"/>
          <w:sz w:val="20"/>
          <w:szCs w:val="20"/>
        </w:rPr>
      </w:pPr>
      <w:r w:rsidRPr="007A515F">
        <w:rPr>
          <w:rFonts w:ascii="Arial" w:hAnsi="Arial" w:cs="Arial"/>
          <w:sz w:val="20"/>
          <w:szCs w:val="20"/>
        </w:rPr>
        <w:t>Overall, participants attributed very similar scores to the five dimensions of access to medicines. However, a greater score was given to the availability dimension, followed by affordability, geographic accessibility and accommodation, and, finally, acceptability</w:t>
      </w:r>
      <w:r w:rsidR="000252DF" w:rsidRPr="007A515F">
        <w:rPr>
          <w:rFonts w:ascii="Arial" w:hAnsi="Arial" w:cs="Arial"/>
          <w:sz w:val="20"/>
          <w:szCs w:val="20"/>
        </w:rPr>
        <w:t xml:space="preserve"> </w:t>
      </w:r>
      <w:r w:rsidRPr="007A515F">
        <w:rPr>
          <w:rFonts w:ascii="Arial" w:hAnsi="Arial" w:cs="Arial"/>
          <w:sz w:val="20"/>
          <w:szCs w:val="20"/>
        </w:rPr>
        <w:t>(Table 3).</w:t>
      </w:r>
    </w:p>
    <w:p w14:paraId="60226A2B" w14:textId="77777777" w:rsidR="007A515F" w:rsidRDefault="007A515F" w:rsidP="007A515F">
      <w:pPr>
        <w:pStyle w:val="NoSpacing"/>
        <w:rPr>
          <w:rFonts w:ascii="Arial" w:hAnsi="Arial" w:cs="Arial"/>
          <w:color w:val="FF0000"/>
          <w:sz w:val="20"/>
          <w:szCs w:val="20"/>
        </w:rPr>
      </w:pPr>
    </w:p>
    <w:p w14:paraId="47B33F23" w14:textId="77777777" w:rsidR="00792DC6" w:rsidRPr="008D1EBB" w:rsidRDefault="00792DC6" w:rsidP="00792DC6">
      <w:pPr>
        <w:pStyle w:val="NoSpacing"/>
        <w:rPr>
          <w:rFonts w:ascii="Arial" w:hAnsi="Arial" w:cs="Arial"/>
          <w:sz w:val="16"/>
          <w:szCs w:val="16"/>
        </w:rPr>
      </w:pPr>
      <w:r w:rsidRPr="008D1EBB">
        <w:rPr>
          <w:rFonts w:ascii="Arial" w:hAnsi="Arial" w:cs="Arial"/>
          <w:sz w:val="16"/>
          <w:szCs w:val="16"/>
        </w:rPr>
        <w:t>Table 3: Mean relevance stratified by gender and place of obtaining medicines</w:t>
      </w:r>
    </w:p>
    <w:tbl>
      <w:tblPr>
        <w:tblW w:w="10065" w:type="dxa"/>
        <w:tblLayout w:type="fixed"/>
        <w:tblCellMar>
          <w:left w:w="70" w:type="dxa"/>
          <w:right w:w="70" w:type="dxa"/>
        </w:tblCellMar>
        <w:tblLook w:val="04A0" w:firstRow="1" w:lastRow="0" w:firstColumn="1" w:lastColumn="0" w:noHBand="0" w:noVBand="1"/>
      </w:tblPr>
      <w:tblGrid>
        <w:gridCol w:w="2001"/>
        <w:gridCol w:w="976"/>
        <w:gridCol w:w="851"/>
        <w:gridCol w:w="992"/>
        <w:gridCol w:w="992"/>
        <w:gridCol w:w="851"/>
        <w:gridCol w:w="850"/>
        <w:gridCol w:w="851"/>
        <w:gridCol w:w="992"/>
        <w:gridCol w:w="709"/>
      </w:tblGrid>
      <w:tr w:rsidR="00792DC6" w:rsidRPr="008D1EBB" w14:paraId="4FEBB375" w14:textId="77777777" w:rsidTr="009109E8">
        <w:trPr>
          <w:trHeight w:val="300"/>
        </w:trPr>
        <w:tc>
          <w:tcPr>
            <w:tcW w:w="2001" w:type="dxa"/>
            <w:vMerge w:val="restart"/>
            <w:tcBorders>
              <w:top w:val="single" w:sz="8" w:space="0" w:color="auto"/>
              <w:left w:val="nil"/>
              <w:bottom w:val="single" w:sz="8" w:space="0" w:color="000000"/>
              <w:right w:val="nil"/>
            </w:tcBorders>
            <w:shd w:val="clear" w:color="auto" w:fill="auto"/>
            <w:noWrap/>
            <w:vAlign w:val="center"/>
            <w:hideMark/>
          </w:tcPr>
          <w:p w14:paraId="428A00CD" w14:textId="77777777" w:rsidR="00792DC6" w:rsidRPr="008D1EBB" w:rsidRDefault="00792DC6" w:rsidP="009109E8">
            <w:pPr>
              <w:pStyle w:val="NoSpacing"/>
              <w:rPr>
                <w:rFonts w:ascii="Arial" w:hAnsi="Arial" w:cs="Arial"/>
                <w:bCs/>
                <w:sz w:val="16"/>
                <w:szCs w:val="16"/>
              </w:rPr>
            </w:pPr>
            <w:r w:rsidRPr="008D1EBB">
              <w:rPr>
                <w:rFonts w:ascii="Arial" w:hAnsi="Arial" w:cs="Arial"/>
                <w:bCs/>
                <w:sz w:val="16"/>
                <w:szCs w:val="16"/>
              </w:rPr>
              <w:t>Dimension</w:t>
            </w:r>
          </w:p>
        </w:tc>
        <w:tc>
          <w:tcPr>
            <w:tcW w:w="2819" w:type="dxa"/>
            <w:gridSpan w:val="3"/>
            <w:tcBorders>
              <w:top w:val="single" w:sz="8" w:space="0" w:color="auto"/>
              <w:left w:val="nil"/>
              <w:bottom w:val="single" w:sz="8" w:space="0" w:color="000000"/>
              <w:right w:val="nil"/>
            </w:tcBorders>
          </w:tcPr>
          <w:p w14:paraId="434D7F35" w14:textId="77777777" w:rsidR="00792DC6" w:rsidRPr="008D1EBB" w:rsidRDefault="00792DC6" w:rsidP="009109E8">
            <w:pPr>
              <w:pStyle w:val="NoSpacing"/>
              <w:rPr>
                <w:rFonts w:ascii="Arial" w:hAnsi="Arial" w:cs="Arial"/>
                <w:bCs/>
                <w:sz w:val="16"/>
                <w:szCs w:val="16"/>
              </w:rPr>
            </w:pPr>
            <w:r w:rsidRPr="008D1EBB">
              <w:rPr>
                <w:rFonts w:ascii="Arial" w:hAnsi="Arial" w:cs="Arial"/>
                <w:bCs/>
                <w:sz w:val="16"/>
                <w:szCs w:val="16"/>
              </w:rPr>
              <w:t>Total population</w:t>
            </w:r>
          </w:p>
        </w:tc>
        <w:tc>
          <w:tcPr>
            <w:tcW w:w="2693" w:type="dxa"/>
            <w:gridSpan w:val="3"/>
            <w:tcBorders>
              <w:top w:val="single" w:sz="8" w:space="0" w:color="auto"/>
              <w:left w:val="nil"/>
              <w:bottom w:val="single" w:sz="8" w:space="0" w:color="auto"/>
              <w:right w:val="nil"/>
            </w:tcBorders>
            <w:shd w:val="clear" w:color="000000" w:fill="F2F2F2"/>
            <w:noWrap/>
            <w:vAlign w:val="center"/>
            <w:hideMark/>
          </w:tcPr>
          <w:p w14:paraId="0F15D9B7" w14:textId="77777777" w:rsidR="00792DC6" w:rsidRPr="008D1EBB" w:rsidRDefault="00792DC6" w:rsidP="009109E8">
            <w:pPr>
              <w:pStyle w:val="NoSpacing"/>
              <w:rPr>
                <w:rFonts w:ascii="Arial" w:hAnsi="Arial" w:cs="Arial"/>
                <w:bCs/>
                <w:sz w:val="16"/>
                <w:szCs w:val="16"/>
              </w:rPr>
            </w:pPr>
            <w:r w:rsidRPr="008D1EBB">
              <w:rPr>
                <w:rFonts w:ascii="Arial" w:hAnsi="Arial" w:cs="Arial"/>
                <w:bCs/>
                <w:sz w:val="16"/>
                <w:szCs w:val="16"/>
              </w:rPr>
              <w:t xml:space="preserve"> Private</w:t>
            </w:r>
          </w:p>
        </w:tc>
        <w:tc>
          <w:tcPr>
            <w:tcW w:w="2552" w:type="dxa"/>
            <w:gridSpan w:val="3"/>
            <w:tcBorders>
              <w:top w:val="single" w:sz="8" w:space="0" w:color="auto"/>
              <w:left w:val="nil"/>
              <w:bottom w:val="single" w:sz="8" w:space="0" w:color="auto"/>
              <w:right w:val="nil"/>
            </w:tcBorders>
            <w:shd w:val="clear" w:color="auto" w:fill="auto"/>
            <w:noWrap/>
            <w:vAlign w:val="center"/>
            <w:hideMark/>
          </w:tcPr>
          <w:p w14:paraId="544E0391" w14:textId="77777777" w:rsidR="00792DC6" w:rsidRPr="008D1EBB" w:rsidRDefault="00792DC6" w:rsidP="009109E8">
            <w:pPr>
              <w:pStyle w:val="NoSpacing"/>
              <w:rPr>
                <w:rFonts w:ascii="Arial" w:hAnsi="Arial" w:cs="Arial"/>
                <w:bCs/>
                <w:sz w:val="16"/>
                <w:szCs w:val="16"/>
              </w:rPr>
            </w:pPr>
            <w:r w:rsidRPr="008D1EBB">
              <w:rPr>
                <w:rFonts w:ascii="Arial" w:hAnsi="Arial" w:cs="Arial"/>
                <w:bCs/>
                <w:sz w:val="16"/>
                <w:szCs w:val="16"/>
              </w:rPr>
              <w:t>Public-Private</w:t>
            </w:r>
          </w:p>
        </w:tc>
      </w:tr>
      <w:tr w:rsidR="00792DC6" w:rsidRPr="008D1EBB" w14:paraId="11AB32DE" w14:textId="77777777" w:rsidTr="009109E8">
        <w:trPr>
          <w:trHeight w:val="300"/>
        </w:trPr>
        <w:tc>
          <w:tcPr>
            <w:tcW w:w="2001" w:type="dxa"/>
            <w:vMerge/>
            <w:tcBorders>
              <w:top w:val="single" w:sz="8" w:space="0" w:color="auto"/>
              <w:left w:val="nil"/>
              <w:bottom w:val="single" w:sz="8" w:space="0" w:color="000000"/>
              <w:right w:val="nil"/>
            </w:tcBorders>
            <w:vAlign w:val="center"/>
            <w:hideMark/>
          </w:tcPr>
          <w:p w14:paraId="20506AEB" w14:textId="77777777" w:rsidR="00792DC6" w:rsidRPr="008D1EBB" w:rsidRDefault="00792DC6" w:rsidP="009109E8">
            <w:pPr>
              <w:pStyle w:val="NoSpacing"/>
              <w:rPr>
                <w:rFonts w:ascii="Arial" w:hAnsi="Arial" w:cs="Arial"/>
                <w:bCs/>
                <w:sz w:val="16"/>
                <w:szCs w:val="16"/>
              </w:rPr>
            </w:pPr>
          </w:p>
        </w:tc>
        <w:tc>
          <w:tcPr>
            <w:tcW w:w="976" w:type="dxa"/>
            <w:tcBorders>
              <w:top w:val="single" w:sz="8" w:space="0" w:color="auto"/>
              <w:left w:val="nil"/>
              <w:bottom w:val="single" w:sz="8" w:space="0" w:color="000000"/>
              <w:right w:val="nil"/>
            </w:tcBorders>
            <w:vAlign w:val="center"/>
          </w:tcPr>
          <w:p w14:paraId="482283ED" w14:textId="77777777" w:rsidR="00792DC6" w:rsidRPr="008D1EBB" w:rsidRDefault="00792DC6" w:rsidP="009109E8">
            <w:pPr>
              <w:pStyle w:val="NoSpacing"/>
              <w:rPr>
                <w:rFonts w:ascii="Arial" w:hAnsi="Arial" w:cs="Arial"/>
                <w:bCs/>
                <w:color w:val="000000" w:themeColor="text1"/>
                <w:sz w:val="16"/>
                <w:szCs w:val="16"/>
              </w:rPr>
            </w:pPr>
            <w:r w:rsidRPr="008D1EBB">
              <w:rPr>
                <w:rFonts w:ascii="Arial" w:hAnsi="Arial" w:cs="Arial"/>
                <w:bCs/>
                <w:color w:val="000000" w:themeColor="text1"/>
                <w:sz w:val="16"/>
                <w:szCs w:val="16"/>
              </w:rPr>
              <w:t>General</w:t>
            </w:r>
          </w:p>
        </w:tc>
        <w:tc>
          <w:tcPr>
            <w:tcW w:w="851" w:type="dxa"/>
            <w:tcBorders>
              <w:top w:val="single" w:sz="8" w:space="0" w:color="auto"/>
              <w:left w:val="nil"/>
              <w:bottom w:val="single" w:sz="8" w:space="0" w:color="000000"/>
              <w:right w:val="nil"/>
            </w:tcBorders>
            <w:shd w:val="clear" w:color="auto" w:fill="auto"/>
            <w:vAlign w:val="center"/>
            <w:hideMark/>
          </w:tcPr>
          <w:p w14:paraId="6F2BEAAB" w14:textId="77777777" w:rsidR="00792DC6" w:rsidRPr="008D1EBB" w:rsidRDefault="00792DC6" w:rsidP="009109E8">
            <w:pPr>
              <w:pStyle w:val="NoSpacing"/>
              <w:rPr>
                <w:rFonts w:ascii="Arial" w:hAnsi="Arial" w:cs="Arial"/>
                <w:bCs/>
                <w:color w:val="000000" w:themeColor="text1"/>
                <w:sz w:val="16"/>
                <w:szCs w:val="16"/>
              </w:rPr>
            </w:pPr>
            <w:r w:rsidRPr="008D1EBB">
              <w:rPr>
                <w:rFonts w:ascii="Arial" w:hAnsi="Arial" w:cs="Arial"/>
                <w:bCs/>
                <w:color w:val="000000" w:themeColor="text1"/>
                <w:sz w:val="16"/>
                <w:szCs w:val="16"/>
              </w:rPr>
              <w:t>Female</w:t>
            </w:r>
          </w:p>
        </w:tc>
        <w:tc>
          <w:tcPr>
            <w:tcW w:w="992" w:type="dxa"/>
            <w:tcBorders>
              <w:top w:val="single" w:sz="8" w:space="0" w:color="auto"/>
              <w:left w:val="nil"/>
              <w:bottom w:val="single" w:sz="8" w:space="0" w:color="000000"/>
              <w:right w:val="nil"/>
            </w:tcBorders>
            <w:shd w:val="clear" w:color="auto" w:fill="auto"/>
            <w:vAlign w:val="center"/>
          </w:tcPr>
          <w:p w14:paraId="02D69E95" w14:textId="77777777" w:rsidR="00792DC6" w:rsidRPr="008D1EBB" w:rsidRDefault="00792DC6" w:rsidP="009109E8">
            <w:pPr>
              <w:pStyle w:val="NoSpacing"/>
              <w:rPr>
                <w:rFonts w:ascii="Arial" w:hAnsi="Arial" w:cs="Arial"/>
                <w:bCs/>
                <w:color w:val="000000" w:themeColor="text1"/>
                <w:sz w:val="16"/>
                <w:szCs w:val="16"/>
              </w:rPr>
            </w:pPr>
            <w:r w:rsidRPr="008D1EBB">
              <w:rPr>
                <w:rFonts w:ascii="Arial" w:hAnsi="Arial" w:cs="Arial"/>
                <w:bCs/>
                <w:color w:val="000000" w:themeColor="text1"/>
                <w:sz w:val="16"/>
                <w:szCs w:val="16"/>
              </w:rPr>
              <w:t>Male</w:t>
            </w:r>
          </w:p>
        </w:tc>
        <w:tc>
          <w:tcPr>
            <w:tcW w:w="992" w:type="dxa"/>
            <w:tcBorders>
              <w:top w:val="nil"/>
              <w:left w:val="nil"/>
              <w:bottom w:val="single" w:sz="8" w:space="0" w:color="auto"/>
              <w:right w:val="nil"/>
            </w:tcBorders>
            <w:shd w:val="clear" w:color="000000" w:fill="F2F2F2"/>
            <w:noWrap/>
            <w:vAlign w:val="center"/>
            <w:hideMark/>
          </w:tcPr>
          <w:p w14:paraId="7E8E625D" w14:textId="77777777" w:rsidR="00792DC6" w:rsidRPr="008D1EBB" w:rsidRDefault="00792DC6" w:rsidP="009109E8">
            <w:pPr>
              <w:pStyle w:val="NoSpacing"/>
              <w:rPr>
                <w:rFonts w:ascii="Arial" w:hAnsi="Arial" w:cs="Arial"/>
                <w:bCs/>
                <w:color w:val="000000" w:themeColor="text1"/>
                <w:sz w:val="16"/>
                <w:szCs w:val="16"/>
              </w:rPr>
            </w:pPr>
            <w:r w:rsidRPr="008D1EBB">
              <w:rPr>
                <w:rFonts w:ascii="Arial" w:hAnsi="Arial" w:cs="Arial"/>
                <w:bCs/>
                <w:color w:val="000000" w:themeColor="text1"/>
                <w:sz w:val="16"/>
                <w:szCs w:val="16"/>
              </w:rPr>
              <w:t>General</w:t>
            </w:r>
          </w:p>
        </w:tc>
        <w:tc>
          <w:tcPr>
            <w:tcW w:w="851" w:type="dxa"/>
            <w:tcBorders>
              <w:top w:val="nil"/>
              <w:left w:val="nil"/>
              <w:bottom w:val="single" w:sz="8" w:space="0" w:color="auto"/>
              <w:right w:val="nil"/>
            </w:tcBorders>
            <w:shd w:val="clear" w:color="000000" w:fill="F2F2F2"/>
            <w:noWrap/>
            <w:vAlign w:val="center"/>
            <w:hideMark/>
          </w:tcPr>
          <w:p w14:paraId="37607862" w14:textId="77777777" w:rsidR="00792DC6" w:rsidRPr="008D1EBB" w:rsidRDefault="00792DC6" w:rsidP="009109E8">
            <w:pPr>
              <w:pStyle w:val="NoSpacing"/>
              <w:rPr>
                <w:rFonts w:ascii="Arial" w:hAnsi="Arial" w:cs="Arial"/>
                <w:bCs/>
                <w:color w:val="000000" w:themeColor="text1"/>
                <w:sz w:val="16"/>
                <w:szCs w:val="16"/>
              </w:rPr>
            </w:pPr>
            <w:r w:rsidRPr="008D1EBB">
              <w:rPr>
                <w:rFonts w:ascii="Arial" w:hAnsi="Arial" w:cs="Arial"/>
                <w:bCs/>
                <w:color w:val="000000" w:themeColor="text1"/>
                <w:sz w:val="16"/>
                <w:szCs w:val="16"/>
              </w:rPr>
              <w:t>Female</w:t>
            </w:r>
          </w:p>
        </w:tc>
        <w:tc>
          <w:tcPr>
            <w:tcW w:w="850" w:type="dxa"/>
            <w:tcBorders>
              <w:top w:val="nil"/>
              <w:left w:val="nil"/>
              <w:bottom w:val="single" w:sz="8" w:space="0" w:color="auto"/>
              <w:right w:val="nil"/>
            </w:tcBorders>
            <w:shd w:val="clear" w:color="000000" w:fill="F2F2F2"/>
            <w:noWrap/>
            <w:vAlign w:val="center"/>
            <w:hideMark/>
          </w:tcPr>
          <w:p w14:paraId="0AF7160E" w14:textId="77777777" w:rsidR="00792DC6" w:rsidRPr="008D1EBB" w:rsidRDefault="00792DC6" w:rsidP="009109E8">
            <w:pPr>
              <w:pStyle w:val="NoSpacing"/>
              <w:rPr>
                <w:rFonts w:ascii="Arial" w:hAnsi="Arial" w:cs="Arial"/>
                <w:bCs/>
                <w:color w:val="000000" w:themeColor="text1"/>
                <w:sz w:val="16"/>
                <w:szCs w:val="16"/>
              </w:rPr>
            </w:pPr>
            <w:r w:rsidRPr="008D1EBB">
              <w:rPr>
                <w:rFonts w:ascii="Arial" w:hAnsi="Arial" w:cs="Arial"/>
                <w:bCs/>
                <w:color w:val="000000" w:themeColor="text1"/>
                <w:sz w:val="16"/>
                <w:szCs w:val="16"/>
              </w:rPr>
              <w:t>Male</w:t>
            </w:r>
          </w:p>
        </w:tc>
        <w:tc>
          <w:tcPr>
            <w:tcW w:w="851" w:type="dxa"/>
            <w:tcBorders>
              <w:top w:val="nil"/>
              <w:left w:val="nil"/>
              <w:bottom w:val="single" w:sz="8" w:space="0" w:color="auto"/>
              <w:right w:val="nil"/>
            </w:tcBorders>
            <w:shd w:val="clear" w:color="auto" w:fill="auto"/>
            <w:noWrap/>
            <w:vAlign w:val="center"/>
            <w:hideMark/>
          </w:tcPr>
          <w:p w14:paraId="4415D161" w14:textId="77777777" w:rsidR="00792DC6" w:rsidRPr="008D1EBB" w:rsidRDefault="00792DC6" w:rsidP="009109E8">
            <w:pPr>
              <w:pStyle w:val="NoSpacing"/>
              <w:rPr>
                <w:rFonts w:ascii="Arial" w:hAnsi="Arial" w:cs="Arial"/>
                <w:bCs/>
                <w:color w:val="000000" w:themeColor="text1"/>
                <w:sz w:val="16"/>
                <w:szCs w:val="16"/>
              </w:rPr>
            </w:pPr>
            <w:r w:rsidRPr="008D1EBB">
              <w:rPr>
                <w:rFonts w:ascii="Arial" w:hAnsi="Arial" w:cs="Arial"/>
                <w:bCs/>
                <w:color w:val="000000" w:themeColor="text1"/>
                <w:sz w:val="16"/>
                <w:szCs w:val="16"/>
              </w:rPr>
              <w:t>General</w:t>
            </w:r>
          </w:p>
        </w:tc>
        <w:tc>
          <w:tcPr>
            <w:tcW w:w="992" w:type="dxa"/>
            <w:tcBorders>
              <w:top w:val="nil"/>
              <w:left w:val="nil"/>
              <w:bottom w:val="single" w:sz="8" w:space="0" w:color="auto"/>
              <w:right w:val="nil"/>
            </w:tcBorders>
            <w:shd w:val="clear" w:color="auto" w:fill="auto"/>
            <w:noWrap/>
            <w:vAlign w:val="center"/>
            <w:hideMark/>
          </w:tcPr>
          <w:p w14:paraId="140E5C38" w14:textId="77777777" w:rsidR="00792DC6" w:rsidRPr="008D1EBB" w:rsidRDefault="00792DC6" w:rsidP="009109E8">
            <w:pPr>
              <w:pStyle w:val="NoSpacing"/>
              <w:rPr>
                <w:rFonts w:ascii="Arial" w:hAnsi="Arial" w:cs="Arial"/>
                <w:bCs/>
                <w:color w:val="000000" w:themeColor="text1"/>
                <w:sz w:val="16"/>
                <w:szCs w:val="16"/>
              </w:rPr>
            </w:pPr>
            <w:r w:rsidRPr="008D1EBB">
              <w:rPr>
                <w:rFonts w:ascii="Arial" w:hAnsi="Arial" w:cs="Arial"/>
                <w:bCs/>
                <w:color w:val="000000" w:themeColor="text1"/>
                <w:sz w:val="16"/>
                <w:szCs w:val="16"/>
              </w:rPr>
              <w:t>Female</w:t>
            </w:r>
          </w:p>
        </w:tc>
        <w:tc>
          <w:tcPr>
            <w:tcW w:w="709" w:type="dxa"/>
            <w:tcBorders>
              <w:top w:val="nil"/>
              <w:left w:val="nil"/>
              <w:bottom w:val="single" w:sz="8" w:space="0" w:color="auto"/>
              <w:right w:val="nil"/>
            </w:tcBorders>
            <w:shd w:val="clear" w:color="auto" w:fill="auto"/>
            <w:noWrap/>
            <w:vAlign w:val="center"/>
            <w:hideMark/>
          </w:tcPr>
          <w:p w14:paraId="05F48BFE" w14:textId="77777777" w:rsidR="00792DC6" w:rsidRPr="008D1EBB" w:rsidRDefault="00792DC6" w:rsidP="009109E8">
            <w:pPr>
              <w:pStyle w:val="NoSpacing"/>
              <w:rPr>
                <w:rFonts w:ascii="Arial" w:hAnsi="Arial" w:cs="Arial"/>
                <w:bCs/>
                <w:color w:val="000000" w:themeColor="text1"/>
                <w:sz w:val="16"/>
                <w:szCs w:val="16"/>
              </w:rPr>
            </w:pPr>
            <w:r w:rsidRPr="008D1EBB">
              <w:rPr>
                <w:rFonts w:ascii="Arial" w:hAnsi="Arial" w:cs="Arial"/>
                <w:bCs/>
                <w:color w:val="000000" w:themeColor="text1"/>
                <w:sz w:val="16"/>
                <w:szCs w:val="16"/>
              </w:rPr>
              <w:t>Male</w:t>
            </w:r>
          </w:p>
        </w:tc>
      </w:tr>
      <w:tr w:rsidR="00792DC6" w:rsidRPr="008D1EBB" w14:paraId="296447CA" w14:textId="77777777" w:rsidTr="009109E8">
        <w:trPr>
          <w:trHeight w:val="286"/>
        </w:trPr>
        <w:tc>
          <w:tcPr>
            <w:tcW w:w="2001" w:type="dxa"/>
            <w:tcBorders>
              <w:top w:val="nil"/>
              <w:left w:val="nil"/>
              <w:bottom w:val="nil"/>
              <w:right w:val="nil"/>
            </w:tcBorders>
            <w:shd w:val="clear" w:color="auto" w:fill="auto"/>
            <w:noWrap/>
            <w:vAlign w:val="center"/>
            <w:hideMark/>
          </w:tcPr>
          <w:p w14:paraId="6FCB2CD6" w14:textId="77777777" w:rsidR="00792DC6" w:rsidRPr="008D1EBB" w:rsidRDefault="00792DC6" w:rsidP="009109E8">
            <w:pPr>
              <w:pStyle w:val="NoSpacing"/>
              <w:rPr>
                <w:rFonts w:ascii="Arial" w:hAnsi="Arial" w:cs="Arial"/>
                <w:sz w:val="16"/>
                <w:szCs w:val="16"/>
              </w:rPr>
            </w:pPr>
            <w:r w:rsidRPr="008D1EBB">
              <w:rPr>
                <w:rFonts w:ascii="Arial" w:hAnsi="Arial" w:cs="Arial"/>
                <w:sz w:val="16"/>
                <w:szCs w:val="16"/>
              </w:rPr>
              <w:t>Availability</w:t>
            </w:r>
          </w:p>
        </w:tc>
        <w:tc>
          <w:tcPr>
            <w:tcW w:w="976" w:type="dxa"/>
            <w:tcBorders>
              <w:top w:val="nil"/>
              <w:left w:val="nil"/>
              <w:bottom w:val="nil"/>
              <w:right w:val="nil"/>
            </w:tcBorders>
            <w:vAlign w:val="center"/>
          </w:tcPr>
          <w:p w14:paraId="608404CD"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4.447</w:t>
            </w:r>
          </w:p>
        </w:tc>
        <w:tc>
          <w:tcPr>
            <w:tcW w:w="851" w:type="dxa"/>
            <w:tcBorders>
              <w:top w:val="nil"/>
              <w:left w:val="nil"/>
              <w:bottom w:val="nil"/>
              <w:right w:val="nil"/>
            </w:tcBorders>
            <w:shd w:val="clear" w:color="auto" w:fill="auto"/>
            <w:vAlign w:val="center"/>
          </w:tcPr>
          <w:p w14:paraId="43B91E70"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4.465</w:t>
            </w:r>
          </w:p>
        </w:tc>
        <w:tc>
          <w:tcPr>
            <w:tcW w:w="992" w:type="dxa"/>
            <w:tcBorders>
              <w:top w:val="nil"/>
              <w:left w:val="nil"/>
              <w:bottom w:val="nil"/>
              <w:right w:val="nil"/>
            </w:tcBorders>
            <w:shd w:val="clear" w:color="auto" w:fill="auto"/>
            <w:vAlign w:val="center"/>
          </w:tcPr>
          <w:p w14:paraId="2FD19318"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4.421</w:t>
            </w:r>
          </w:p>
        </w:tc>
        <w:tc>
          <w:tcPr>
            <w:tcW w:w="992" w:type="dxa"/>
            <w:tcBorders>
              <w:top w:val="nil"/>
              <w:left w:val="nil"/>
              <w:bottom w:val="nil"/>
              <w:right w:val="nil"/>
            </w:tcBorders>
            <w:shd w:val="clear" w:color="000000" w:fill="F2F2F2"/>
            <w:noWrap/>
            <w:vAlign w:val="center"/>
            <w:hideMark/>
          </w:tcPr>
          <w:p w14:paraId="1604C27C"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4.448</w:t>
            </w:r>
          </w:p>
        </w:tc>
        <w:tc>
          <w:tcPr>
            <w:tcW w:w="851" w:type="dxa"/>
            <w:tcBorders>
              <w:top w:val="nil"/>
              <w:left w:val="nil"/>
              <w:bottom w:val="nil"/>
              <w:right w:val="nil"/>
            </w:tcBorders>
            <w:shd w:val="clear" w:color="000000" w:fill="F2F2F2"/>
            <w:noWrap/>
            <w:vAlign w:val="center"/>
            <w:hideMark/>
          </w:tcPr>
          <w:p w14:paraId="4FA5BC74"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4.446</w:t>
            </w:r>
          </w:p>
        </w:tc>
        <w:tc>
          <w:tcPr>
            <w:tcW w:w="850" w:type="dxa"/>
            <w:tcBorders>
              <w:top w:val="nil"/>
              <w:left w:val="nil"/>
              <w:bottom w:val="nil"/>
              <w:right w:val="nil"/>
            </w:tcBorders>
            <w:shd w:val="clear" w:color="000000" w:fill="F2F2F2"/>
            <w:noWrap/>
            <w:vAlign w:val="center"/>
            <w:hideMark/>
          </w:tcPr>
          <w:p w14:paraId="243B8AD4"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4.478</w:t>
            </w:r>
          </w:p>
        </w:tc>
        <w:tc>
          <w:tcPr>
            <w:tcW w:w="851" w:type="dxa"/>
            <w:tcBorders>
              <w:top w:val="nil"/>
              <w:left w:val="nil"/>
              <w:bottom w:val="nil"/>
              <w:right w:val="nil"/>
            </w:tcBorders>
            <w:shd w:val="clear" w:color="auto" w:fill="auto"/>
            <w:noWrap/>
            <w:vAlign w:val="center"/>
            <w:hideMark/>
          </w:tcPr>
          <w:p w14:paraId="1B49B4F2"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4.424</w:t>
            </w:r>
          </w:p>
        </w:tc>
        <w:tc>
          <w:tcPr>
            <w:tcW w:w="992" w:type="dxa"/>
            <w:tcBorders>
              <w:top w:val="nil"/>
              <w:left w:val="nil"/>
              <w:bottom w:val="nil"/>
              <w:right w:val="nil"/>
            </w:tcBorders>
            <w:shd w:val="clear" w:color="auto" w:fill="auto"/>
            <w:noWrap/>
            <w:vAlign w:val="center"/>
            <w:hideMark/>
          </w:tcPr>
          <w:p w14:paraId="75AF57CA"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4.484</w:t>
            </w:r>
          </w:p>
        </w:tc>
        <w:tc>
          <w:tcPr>
            <w:tcW w:w="709" w:type="dxa"/>
            <w:tcBorders>
              <w:top w:val="nil"/>
              <w:left w:val="nil"/>
              <w:bottom w:val="nil"/>
              <w:right w:val="nil"/>
            </w:tcBorders>
            <w:shd w:val="clear" w:color="auto" w:fill="auto"/>
            <w:noWrap/>
            <w:vAlign w:val="center"/>
            <w:hideMark/>
          </w:tcPr>
          <w:p w14:paraId="62C7E335"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4.323</w:t>
            </w:r>
          </w:p>
        </w:tc>
      </w:tr>
      <w:tr w:rsidR="00792DC6" w:rsidRPr="008D1EBB" w14:paraId="3E35CCEF" w14:textId="77777777" w:rsidTr="009109E8">
        <w:trPr>
          <w:trHeight w:val="286"/>
        </w:trPr>
        <w:tc>
          <w:tcPr>
            <w:tcW w:w="2001" w:type="dxa"/>
            <w:tcBorders>
              <w:top w:val="nil"/>
              <w:left w:val="nil"/>
              <w:bottom w:val="nil"/>
              <w:right w:val="nil"/>
            </w:tcBorders>
            <w:shd w:val="clear" w:color="auto" w:fill="auto"/>
            <w:noWrap/>
            <w:vAlign w:val="center"/>
          </w:tcPr>
          <w:p w14:paraId="0722DA91" w14:textId="77777777" w:rsidR="00792DC6" w:rsidRPr="008D1EBB" w:rsidRDefault="00792DC6" w:rsidP="009109E8">
            <w:pPr>
              <w:pStyle w:val="NoSpacing"/>
              <w:rPr>
                <w:rFonts w:ascii="Arial" w:hAnsi="Arial" w:cs="Arial"/>
                <w:sz w:val="16"/>
                <w:szCs w:val="16"/>
              </w:rPr>
            </w:pPr>
            <w:r w:rsidRPr="008D1EBB">
              <w:rPr>
                <w:rFonts w:ascii="Arial" w:hAnsi="Arial" w:cs="Arial"/>
                <w:sz w:val="16"/>
                <w:szCs w:val="16"/>
              </w:rPr>
              <w:t>Affordability</w:t>
            </w:r>
          </w:p>
        </w:tc>
        <w:tc>
          <w:tcPr>
            <w:tcW w:w="976" w:type="dxa"/>
            <w:tcBorders>
              <w:top w:val="nil"/>
              <w:left w:val="nil"/>
              <w:bottom w:val="nil"/>
              <w:right w:val="nil"/>
            </w:tcBorders>
            <w:vAlign w:val="center"/>
          </w:tcPr>
          <w:p w14:paraId="5F279968"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4.379</w:t>
            </w:r>
          </w:p>
        </w:tc>
        <w:tc>
          <w:tcPr>
            <w:tcW w:w="851" w:type="dxa"/>
            <w:tcBorders>
              <w:top w:val="nil"/>
              <w:left w:val="nil"/>
              <w:bottom w:val="nil"/>
              <w:right w:val="nil"/>
            </w:tcBorders>
            <w:shd w:val="clear" w:color="auto" w:fill="auto"/>
            <w:vAlign w:val="center"/>
          </w:tcPr>
          <w:p w14:paraId="0D35157C"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4.154</w:t>
            </w:r>
          </w:p>
        </w:tc>
        <w:tc>
          <w:tcPr>
            <w:tcW w:w="992" w:type="dxa"/>
            <w:tcBorders>
              <w:top w:val="nil"/>
              <w:left w:val="nil"/>
              <w:bottom w:val="nil"/>
              <w:right w:val="nil"/>
            </w:tcBorders>
            <w:shd w:val="clear" w:color="auto" w:fill="auto"/>
            <w:vAlign w:val="center"/>
          </w:tcPr>
          <w:p w14:paraId="4885DC56"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4.134</w:t>
            </w:r>
          </w:p>
        </w:tc>
        <w:tc>
          <w:tcPr>
            <w:tcW w:w="992" w:type="dxa"/>
            <w:tcBorders>
              <w:top w:val="nil"/>
              <w:left w:val="nil"/>
              <w:bottom w:val="nil"/>
              <w:right w:val="nil"/>
            </w:tcBorders>
            <w:shd w:val="clear" w:color="000000" w:fill="F2F2F2"/>
            <w:noWrap/>
            <w:vAlign w:val="center"/>
          </w:tcPr>
          <w:p w14:paraId="5262A21D"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4.403</w:t>
            </w:r>
          </w:p>
        </w:tc>
        <w:tc>
          <w:tcPr>
            <w:tcW w:w="851" w:type="dxa"/>
            <w:tcBorders>
              <w:top w:val="nil"/>
              <w:left w:val="nil"/>
              <w:bottom w:val="nil"/>
              <w:right w:val="nil"/>
            </w:tcBorders>
            <w:shd w:val="clear" w:color="000000" w:fill="F2F2F2"/>
            <w:noWrap/>
            <w:vAlign w:val="center"/>
          </w:tcPr>
          <w:p w14:paraId="2CF20854"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4.476</w:t>
            </w:r>
          </w:p>
        </w:tc>
        <w:tc>
          <w:tcPr>
            <w:tcW w:w="850" w:type="dxa"/>
            <w:tcBorders>
              <w:top w:val="nil"/>
              <w:left w:val="nil"/>
              <w:bottom w:val="nil"/>
              <w:right w:val="nil"/>
            </w:tcBorders>
            <w:shd w:val="clear" w:color="000000" w:fill="F2F2F2"/>
            <w:noWrap/>
            <w:vAlign w:val="center"/>
          </w:tcPr>
          <w:p w14:paraId="5C365787"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4.354</w:t>
            </w:r>
          </w:p>
        </w:tc>
        <w:tc>
          <w:tcPr>
            <w:tcW w:w="851" w:type="dxa"/>
            <w:tcBorders>
              <w:top w:val="nil"/>
              <w:left w:val="nil"/>
              <w:bottom w:val="nil"/>
              <w:right w:val="nil"/>
            </w:tcBorders>
            <w:shd w:val="clear" w:color="auto" w:fill="auto"/>
            <w:noWrap/>
            <w:vAlign w:val="center"/>
          </w:tcPr>
          <w:p w14:paraId="2BC8CE28"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4.328</w:t>
            </w:r>
          </w:p>
        </w:tc>
        <w:tc>
          <w:tcPr>
            <w:tcW w:w="992" w:type="dxa"/>
            <w:tcBorders>
              <w:top w:val="nil"/>
              <w:left w:val="nil"/>
              <w:bottom w:val="nil"/>
              <w:right w:val="nil"/>
            </w:tcBorders>
            <w:shd w:val="clear" w:color="auto" w:fill="auto"/>
            <w:noWrap/>
            <w:vAlign w:val="center"/>
          </w:tcPr>
          <w:p w14:paraId="51998E86"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4.331</w:t>
            </w:r>
          </w:p>
        </w:tc>
        <w:tc>
          <w:tcPr>
            <w:tcW w:w="709" w:type="dxa"/>
            <w:tcBorders>
              <w:top w:val="nil"/>
              <w:left w:val="nil"/>
              <w:bottom w:val="nil"/>
              <w:right w:val="nil"/>
            </w:tcBorders>
            <w:shd w:val="clear" w:color="auto" w:fill="auto"/>
            <w:noWrap/>
            <w:vAlign w:val="center"/>
          </w:tcPr>
          <w:p w14:paraId="0AFD9B27"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4.323</w:t>
            </w:r>
          </w:p>
        </w:tc>
      </w:tr>
      <w:tr w:rsidR="00792DC6" w:rsidRPr="008D1EBB" w14:paraId="4C3A2810" w14:textId="77777777" w:rsidTr="009109E8">
        <w:trPr>
          <w:trHeight w:val="286"/>
        </w:trPr>
        <w:tc>
          <w:tcPr>
            <w:tcW w:w="2001" w:type="dxa"/>
            <w:tcBorders>
              <w:top w:val="nil"/>
              <w:left w:val="nil"/>
              <w:bottom w:val="nil"/>
              <w:right w:val="nil"/>
            </w:tcBorders>
            <w:shd w:val="clear" w:color="auto" w:fill="auto"/>
            <w:noWrap/>
            <w:vAlign w:val="center"/>
            <w:hideMark/>
          </w:tcPr>
          <w:p w14:paraId="3103B548" w14:textId="77777777" w:rsidR="00792DC6" w:rsidRPr="008D1EBB" w:rsidRDefault="00792DC6" w:rsidP="009109E8">
            <w:pPr>
              <w:pStyle w:val="NoSpacing"/>
              <w:rPr>
                <w:rFonts w:ascii="Arial" w:hAnsi="Arial" w:cs="Arial"/>
                <w:sz w:val="16"/>
                <w:szCs w:val="16"/>
              </w:rPr>
            </w:pPr>
            <w:r w:rsidRPr="008D1EBB">
              <w:rPr>
                <w:rFonts w:ascii="Arial" w:hAnsi="Arial" w:cs="Arial"/>
                <w:sz w:val="16"/>
                <w:szCs w:val="16"/>
              </w:rPr>
              <w:t>Geographic accessibility</w:t>
            </w:r>
          </w:p>
        </w:tc>
        <w:tc>
          <w:tcPr>
            <w:tcW w:w="976" w:type="dxa"/>
            <w:tcBorders>
              <w:top w:val="nil"/>
              <w:left w:val="nil"/>
              <w:bottom w:val="nil"/>
              <w:right w:val="nil"/>
            </w:tcBorders>
            <w:vAlign w:val="center"/>
          </w:tcPr>
          <w:p w14:paraId="764E576E"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4.147</w:t>
            </w:r>
          </w:p>
        </w:tc>
        <w:tc>
          <w:tcPr>
            <w:tcW w:w="851" w:type="dxa"/>
            <w:tcBorders>
              <w:top w:val="nil"/>
              <w:left w:val="nil"/>
              <w:bottom w:val="nil"/>
              <w:right w:val="nil"/>
            </w:tcBorders>
            <w:shd w:val="clear" w:color="auto" w:fill="auto"/>
            <w:vAlign w:val="center"/>
          </w:tcPr>
          <w:p w14:paraId="367D13B8"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4.083</w:t>
            </w:r>
          </w:p>
        </w:tc>
        <w:tc>
          <w:tcPr>
            <w:tcW w:w="992" w:type="dxa"/>
            <w:tcBorders>
              <w:top w:val="nil"/>
              <w:left w:val="nil"/>
              <w:bottom w:val="nil"/>
              <w:right w:val="nil"/>
            </w:tcBorders>
            <w:shd w:val="clear" w:color="auto" w:fill="auto"/>
            <w:vAlign w:val="center"/>
          </w:tcPr>
          <w:p w14:paraId="776A3DF3"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4.059</w:t>
            </w:r>
          </w:p>
        </w:tc>
        <w:tc>
          <w:tcPr>
            <w:tcW w:w="992" w:type="dxa"/>
            <w:tcBorders>
              <w:top w:val="nil"/>
              <w:left w:val="nil"/>
              <w:bottom w:val="nil"/>
              <w:right w:val="nil"/>
            </w:tcBorders>
            <w:shd w:val="clear" w:color="000000" w:fill="F2F2F2"/>
            <w:noWrap/>
            <w:vAlign w:val="center"/>
            <w:hideMark/>
          </w:tcPr>
          <w:p w14:paraId="41D797C0"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4.115</w:t>
            </w:r>
          </w:p>
        </w:tc>
        <w:tc>
          <w:tcPr>
            <w:tcW w:w="851" w:type="dxa"/>
            <w:tcBorders>
              <w:top w:val="nil"/>
              <w:left w:val="nil"/>
              <w:bottom w:val="nil"/>
              <w:right w:val="nil"/>
            </w:tcBorders>
            <w:shd w:val="clear" w:color="000000" w:fill="F2F2F2"/>
            <w:noWrap/>
            <w:vAlign w:val="center"/>
            <w:hideMark/>
          </w:tcPr>
          <w:p w14:paraId="06E57FFD"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4.089</w:t>
            </w:r>
          </w:p>
        </w:tc>
        <w:tc>
          <w:tcPr>
            <w:tcW w:w="850" w:type="dxa"/>
            <w:tcBorders>
              <w:top w:val="nil"/>
              <w:left w:val="nil"/>
              <w:bottom w:val="nil"/>
              <w:right w:val="nil"/>
            </w:tcBorders>
            <w:shd w:val="clear" w:color="000000" w:fill="F2F2F2"/>
            <w:noWrap/>
            <w:vAlign w:val="center"/>
            <w:hideMark/>
          </w:tcPr>
          <w:p w14:paraId="2D6BBB38"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4.168</w:t>
            </w:r>
          </w:p>
        </w:tc>
        <w:tc>
          <w:tcPr>
            <w:tcW w:w="851" w:type="dxa"/>
            <w:tcBorders>
              <w:top w:val="nil"/>
              <w:left w:val="nil"/>
              <w:bottom w:val="nil"/>
              <w:right w:val="nil"/>
            </w:tcBorders>
            <w:shd w:val="clear" w:color="auto" w:fill="auto"/>
            <w:noWrap/>
            <w:vAlign w:val="center"/>
            <w:hideMark/>
          </w:tcPr>
          <w:p w14:paraId="18FA1090"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4.184</w:t>
            </w:r>
          </w:p>
        </w:tc>
        <w:tc>
          <w:tcPr>
            <w:tcW w:w="992" w:type="dxa"/>
            <w:tcBorders>
              <w:top w:val="nil"/>
              <w:left w:val="nil"/>
              <w:bottom w:val="nil"/>
              <w:right w:val="nil"/>
            </w:tcBorders>
            <w:shd w:val="clear" w:color="auto" w:fill="auto"/>
            <w:noWrap/>
            <w:vAlign w:val="center"/>
            <w:hideMark/>
          </w:tcPr>
          <w:p w14:paraId="4C5A2726"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4.223</w:t>
            </w:r>
          </w:p>
        </w:tc>
        <w:tc>
          <w:tcPr>
            <w:tcW w:w="709" w:type="dxa"/>
            <w:tcBorders>
              <w:top w:val="nil"/>
              <w:left w:val="nil"/>
              <w:bottom w:val="nil"/>
              <w:right w:val="nil"/>
            </w:tcBorders>
            <w:shd w:val="clear" w:color="auto" w:fill="auto"/>
            <w:noWrap/>
            <w:vAlign w:val="center"/>
            <w:hideMark/>
          </w:tcPr>
          <w:p w14:paraId="399CB78B"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4.118</w:t>
            </w:r>
          </w:p>
        </w:tc>
      </w:tr>
      <w:tr w:rsidR="00792DC6" w:rsidRPr="008D1EBB" w14:paraId="06B214F0" w14:textId="77777777" w:rsidTr="009109E8">
        <w:trPr>
          <w:trHeight w:val="286"/>
        </w:trPr>
        <w:tc>
          <w:tcPr>
            <w:tcW w:w="2001" w:type="dxa"/>
            <w:tcBorders>
              <w:top w:val="nil"/>
              <w:left w:val="nil"/>
              <w:bottom w:val="nil"/>
              <w:right w:val="nil"/>
            </w:tcBorders>
            <w:shd w:val="clear" w:color="auto" w:fill="auto"/>
            <w:noWrap/>
            <w:vAlign w:val="center"/>
            <w:hideMark/>
          </w:tcPr>
          <w:p w14:paraId="6E1FBC1C" w14:textId="77777777" w:rsidR="00792DC6" w:rsidRPr="008D1EBB" w:rsidRDefault="00792DC6" w:rsidP="009109E8">
            <w:pPr>
              <w:pStyle w:val="NoSpacing"/>
              <w:rPr>
                <w:rFonts w:ascii="Arial" w:hAnsi="Arial" w:cs="Arial"/>
                <w:sz w:val="16"/>
                <w:szCs w:val="16"/>
              </w:rPr>
            </w:pPr>
            <w:r w:rsidRPr="008D1EBB">
              <w:rPr>
                <w:rFonts w:ascii="Arial" w:hAnsi="Arial" w:cs="Arial"/>
                <w:sz w:val="16"/>
                <w:szCs w:val="16"/>
              </w:rPr>
              <w:t>Adequacy/</w:t>
            </w:r>
          </w:p>
          <w:p w14:paraId="52807741" w14:textId="77777777" w:rsidR="00792DC6" w:rsidRPr="008D1EBB" w:rsidRDefault="00792DC6" w:rsidP="009109E8">
            <w:pPr>
              <w:pStyle w:val="NoSpacing"/>
              <w:rPr>
                <w:rFonts w:ascii="Arial" w:hAnsi="Arial" w:cs="Arial"/>
                <w:sz w:val="16"/>
                <w:szCs w:val="16"/>
              </w:rPr>
            </w:pPr>
            <w:r w:rsidRPr="008D1EBB">
              <w:rPr>
                <w:rFonts w:ascii="Arial" w:hAnsi="Arial" w:cs="Arial"/>
                <w:sz w:val="16"/>
                <w:szCs w:val="16"/>
              </w:rPr>
              <w:t>Accommodation</w:t>
            </w:r>
          </w:p>
        </w:tc>
        <w:tc>
          <w:tcPr>
            <w:tcW w:w="976" w:type="dxa"/>
            <w:tcBorders>
              <w:top w:val="nil"/>
              <w:left w:val="nil"/>
              <w:bottom w:val="nil"/>
              <w:right w:val="nil"/>
            </w:tcBorders>
            <w:vAlign w:val="center"/>
          </w:tcPr>
          <w:p w14:paraId="256BE6D6"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4.072</w:t>
            </w:r>
          </w:p>
        </w:tc>
        <w:tc>
          <w:tcPr>
            <w:tcW w:w="851" w:type="dxa"/>
            <w:tcBorders>
              <w:top w:val="nil"/>
              <w:left w:val="nil"/>
              <w:bottom w:val="nil"/>
              <w:right w:val="nil"/>
            </w:tcBorders>
            <w:shd w:val="clear" w:color="auto" w:fill="auto"/>
            <w:vAlign w:val="center"/>
          </w:tcPr>
          <w:p w14:paraId="37835AA3"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4.406</w:t>
            </w:r>
          </w:p>
        </w:tc>
        <w:tc>
          <w:tcPr>
            <w:tcW w:w="992" w:type="dxa"/>
            <w:tcBorders>
              <w:top w:val="nil"/>
              <w:left w:val="nil"/>
              <w:bottom w:val="nil"/>
              <w:right w:val="nil"/>
            </w:tcBorders>
            <w:shd w:val="clear" w:color="auto" w:fill="auto"/>
            <w:vAlign w:val="center"/>
          </w:tcPr>
          <w:p w14:paraId="4538F036"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4.343</w:t>
            </w:r>
          </w:p>
        </w:tc>
        <w:tc>
          <w:tcPr>
            <w:tcW w:w="992" w:type="dxa"/>
            <w:tcBorders>
              <w:top w:val="nil"/>
              <w:left w:val="nil"/>
              <w:bottom w:val="nil"/>
              <w:right w:val="nil"/>
            </w:tcBorders>
            <w:shd w:val="clear" w:color="000000" w:fill="F2F2F2"/>
            <w:noWrap/>
            <w:vAlign w:val="center"/>
            <w:hideMark/>
          </w:tcPr>
          <w:p w14:paraId="34642F05"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4.015</w:t>
            </w:r>
          </w:p>
        </w:tc>
        <w:tc>
          <w:tcPr>
            <w:tcW w:w="851" w:type="dxa"/>
            <w:tcBorders>
              <w:top w:val="nil"/>
              <w:left w:val="nil"/>
              <w:bottom w:val="nil"/>
              <w:right w:val="nil"/>
            </w:tcBorders>
            <w:shd w:val="clear" w:color="000000" w:fill="F2F2F2"/>
            <w:noWrap/>
            <w:vAlign w:val="center"/>
            <w:hideMark/>
          </w:tcPr>
          <w:p w14:paraId="026C9FC6"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4.077</w:t>
            </w:r>
          </w:p>
        </w:tc>
        <w:tc>
          <w:tcPr>
            <w:tcW w:w="850" w:type="dxa"/>
            <w:tcBorders>
              <w:top w:val="nil"/>
              <w:left w:val="nil"/>
              <w:bottom w:val="nil"/>
              <w:right w:val="nil"/>
            </w:tcBorders>
            <w:shd w:val="clear" w:color="000000" w:fill="F2F2F2"/>
            <w:noWrap/>
            <w:vAlign w:val="center"/>
            <w:hideMark/>
          </w:tcPr>
          <w:p w14:paraId="1C3A10F3" w14:textId="77777777" w:rsidR="00792DC6" w:rsidRPr="008D1EBB" w:rsidRDefault="00792DC6" w:rsidP="009109E8">
            <w:pPr>
              <w:pStyle w:val="NoSpacing"/>
              <w:rPr>
                <w:rFonts w:ascii="Arial" w:hAnsi="Arial" w:cs="Arial"/>
                <w:bCs/>
                <w:color w:val="000000" w:themeColor="text1"/>
                <w:sz w:val="16"/>
                <w:szCs w:val="16"/>
                <w:vertAlign w:val="superscript"/>
              </w:rPr>
            </w:pPr>
            <w:r w:rsidRPr="008D1EBB">
              <w:rPr>
                <w:rFonts w:ascii="Arial" w:hAnsi="Arial" w:cs="Arial"/>
                <w:bCs/>
                <w:color w:val="000000" w:themeColor="text1"/>
                <w:sz w:val="16"/>
                <w:szCs w:val="16"/>
              </w:rPr>
              <w:t>3.975</w:t>
            </w:r>
          </w:p>
        </w:tc>
        <w:tc>
          <w:tcPr>
            <w:tcW w:w="851" w:type="dxa"/>
            <w:tcBorders>
              <w:top w:val="nil"/>
              <w:left w:val="nil"/>
              <w:bottom w:val="nil"/>
              <w:right w:val="nil"/>
            </w:tcBorders>
            <w:shd w:val="clear" w:color="auto" w:fill="auto"/>
            <w:noWrap/>
            <w:vAlign w:val="center"/>
            <w:hideMark/>
          </w:tcPr>
          <w:p w14:paraId="7AA8FF96"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4.128</w:t>
            </w:r>
          </w:p>
        </w:tc>
        <w:tc>
          <w:tcPr>
            <w:tcW w:w="992" w:type="dxa"/>
            <w:tcBorders>
              <w:top w:val="nil"/>
              <w:left w:val="nil"/>
              <w:bottom w:val="nil"/>
              <w:right w:val="nil"/>
            </w:tcBorders>
            <w:shd w:val="clear" w:color="auto" w:fill="auto"/>
            <w:noWrap/>
            <w:vAlign w:val="center"/>
            <w:hideMark/>
          </w:tcPr>
          <w:p w14:paraId="40620F02"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4.089</w:t>
            </w:r>
          </w:p>
        </w:tc>
        <w:tc>
          <w:tcPr>
            <w:tcW w:w="709" w:type="dxa"/>
            <w:tcBorders>
              <w:top w:val="nil"/>
              <w:left w:val="nil"/>
              <w:bottom w:val="nil"/>
              <w:right w:val="nil"/>
            </w:tcBorders>
            <w:shd w:val="clear" w:color="auto" w:fill="auto"/>
            <w:noWrap/>
            <w:vAlign w:val="center"/>
            <w:hideMark/>
          </w:tcPr>
          <w:p w14:paraId="0CE6A0C3" w14:textId="77777777" w:rsidR="00792DC6" w:rsidRPr="008D1EBB" w:rsidRDefault="00792DC6" w:rsidP="009109E8">
            <w:pPr>
              <w:pStyle w:val="NoSpacing"/>
              <w:rPr>
                <w:rFonts w:ascii="Arial" w:hAnsi="Arial" w:cs="Arial"/>
                <w:bCs/>
                <w:color w:val="000000" w:themeColor="text1"/>
                <w:sz w:val="16"/>
                <w:szCs w:val="16"/>
                <w:vertAlign w:val="superscript"/>
              </w:rPr>
            </w:pPr>
            <w:r w:rsidRPr="008D1EBB">
              <w:rPr>
                <w:rFonts w:ascii="Arial" w:hAnsi="Arial" w:cs="Arial"/>
                <w:bCs/>
                <w:color w:val="000000" w:themeColor="text1"/>
                <w:sz w:val="16"/>
                <w:szCs w:val="16"/>
              </w:rPr>
              <w:t>4.194</w:t>
            </w:r>
          </w:p>
        </w:tc>
      </w:tr>
      <w:tr w:rsidR="00792DC6" w:rsidRPr="008D1EBB" w14:paraId="59C598C2" w14:textId="77777777" w:rsidTr="009109E8">
        <w:trPr>
          <w:trHeight w:val="300"/>
        </w:trPr>
        <w:tc>
          <w:tcPr>
            <w:tcW w:w="2001" w:type="dxa"/>
            <w:tcBorders>
              <w:top w:val="nil"/>
              <w:left w:val="nil"/>
              <w:bottom w:val="single" w:sz="8" w:space="0" w:color="auto"/>
              <w:right w:val="nil"/>
            </w:tcBorders>
            <w:shd w:val="clear" w:color="auto" w:fill="auto"/>
            <w:noWrap/>
            <w:vAlign w:val="center"/>
            <w:hideMark/>
          </w:tcPr>
          <w:p w14:paraId="78D9E239" w14:textId="77777777" w:rsidR="00792DC6" w:rsidRPr="008D1EBB" w:rsidRDefault="00792DC6" w:rsidP="009109E8">
            <w:pPr>
              <w:pStyle w:val="NoSpacing"/>
              <w:rPr>
                <w:rFonts w:ascii="Arial" w:hAnsi="Arial" w:cs="Arial"/>
                <w:sz w:val="16"/>
                <w:szCs w:val="16"/>
              </w:rPr>
            </w:pPr>
            <w:r w:rsidRPr="008D1EBB">
              <w:rPr>
                <w:rFonts w:ascii="Arial" w:hAnsi="Arial" w:cs="Arial"/>
                <w:sz w:val="16"/>
                <w:szCs w:val="16"/>
              </w:rPr>
              <w:t>Acceptability</w:t>
            </w:r>
          </w:p>
        </w:tc>
        <w:tc>
          <w:tcPr>
            <w:tcW w:w="976" w:type="dxa"/>
            <w:tcBorders>
              <w:top w:val="nil"/>
              <w:left w:val="nil"/>
              <w:bottom w:val="single" w:sz="8" w:space="0" w:color="000000"/>
              <w:right w:val="nil"/>
            </w:tcBorders>
            <w:vAlign w:val="center"/>
          </w:tcPr>
          <w:p w14:paraId="59C896E6"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3.826</w:t>
            </w:r>
          </w:p>
        </w:tc>
        <w:tc>
          <w:tcPr>
            <w:tcW w:w="851" w:type="dxa"/>
            <w:tcBorders>
              <w:top w:val="nil"/>
              <w:left w:val="nil"/>
              <w:bottom w:val="single" w:sz="8" w:space="0" w:color="000000"/>
              <w:right w:val="nil"/>
            </w:tcBorders>
            <w:shd w:val="clear" w:color="auto" w:fill="auto"/>
            <w:vAlign w:val="center"/>
          </w:tcPr>
          <w:p w14:paraId="7F51C87F"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3.858</w:t>
            </w:r>
          </w:p>
        </w:tc>
        <w:tc>
          <w:tcPr>
            <w:tcW w:w="992" w:type="dxa"/>
            <w:tcBorders>
              <w:top w:val="nil"/>
              <w:left w:val="nil"/>
              <w:bottom w:val="single" w:sz="8" w:space="0" w:color="000000"/>
              <w:right w:val="nil"/>
            </w:tcBorders>
            <w:shd w:val="clear" w:color="auto" w:fill="auto"/>
            <w:vAlign w:val="center"/>
          </w:tcPr>
          <w:p w14:paraId="7F85B342"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3.780</w:t>
            </w:r>
          </w:p>
        </w:tc>
        <w:tc>
          <w:tcPr>
            <w:tcW w:w="992" w:type="dxa"/>
            <w:tcBorders>
              <w:top w:val="nil"/>
              <w:left w:val="nil"/>
              <w:bottom w:val="single" w:sz="8" w:space="0" w:color="auto"/>
              <w:right w:val="nil"/>
            </w:tcBorders>
            <w:shd w:val="clear" w:color="000000" w:fill="F2F2F2"/>
            <w:noWrap/>
            <w:vAlign w:val="center"/>
            <w:hideMark/>
          </w:tcPr>
          <w:p w14:paraId="473AE662"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3.730</w:t>
            </w:r>
          </w:p>
        </w:tc>
        <w:tc>
          <w:tcPr>
            <w:tcW w:w="851" w:type="dxa"/>
            <w:tcBorders>
              <w:top w:val="nil"/>
              <w:left w:val="nil"/>
              <w:bottom w:val="single" w:sz="8" w:space="0" w:color="auto"/>
              <w:right w:val="nil"/>
            </w:tcBorders>
            <w:shd w:val="clear" w:color="000000" w:fill="F2F2F2"/>
            <w:noWrap/>
            <w:vAlign w:val="center"/>
            <w:hideMark/>
          </w:tcPr>
          <w:p w14:paraId="39A51DBC" w14:textId="77777777" w:rsidR="00792DC6" w:rsidRPr="008D1EBB" w:rsidRDefault="00792DC6" w:rsidP="009109E8">
            <w:pPr>
              <w:pStyle w:val="NoSpacing"/>
              <w:rPr>
                <w:rFonts w:ascii="Arial" w:hAnsi="Arial" w:cs="Arial"/>
                <w:bCs/>
                <w:color w:val="000000" w:themeColor="text1"/>
                <w:sz w:val="16"/>
                <w:szCs w:val="16"/>
                <w:vertAlign w:val="superscript"/>
              </w:rPr>
            </w:pPr>
            <w:r w:rsidRPr="008D1EBB">
              <w:rPr>
                <w:rFonts w:ascii="Arial" w:hAnsi="Arial" w:cs="Arial"/>
                <w:bCs/>
                <w:color w:val="000000" w:themeColor="text1"/>
                <w:sz w:val="16"/>
                <w:szCs w:val="16"/>
              </w:rPr>
              <w:t>3.798</w:t>
            </w:r>
          </w:p>
        </w:tc>
        <w:tc>
          <w:tcPr>
            <w:tcW w:w="850" w:type="dxa"/>
            <w:tcBorders>
              <w:top w:val="nil"/>
              <w:left w:val="nil"/>
              <w:bottom w:val="single" w:sz="8" w:space="0" w:color="auto"/>
              <w:right w:val="nil"/>
            </w:tcBorders>
            <w:shd w:val="clear" w:color="000000" w:fill="F2F2F2"/>
            <w:noWrap/>
            <w:vAlign w:val="center"/>
            <w:hideMark/>
          </w:tcPr>
          <w:p w14:paraId="0E7290DD" w14:textId="77777777" w:rsidR="00792DC6" w:rsidRPr="008D1EBB" w:rsidRDefault="00792DC6" w:rsidP="009109E8">
            <w:pPr>
              <w:pStyle w:val="NoSpacing"/>
              <w:rPr>
                <w:rFonts w:ascii="Arial" w:hAnsi="Arial" w:cs="Arial"/>
                <w:bCs/>
                <w:color w:val="000000" w:themeColor="text1"/>
                <w:sz w:val="16"/>
                <w:szCs w:val="16"/>
                <w:vertAlign w:val="superscript"/>
              </w:rPr>
            </w:pPr>
            <w:r w:rsidRPr="008D1EBB">
              <w:rPr>
                <w:rFonts w:ascii="Arial" w:hAnsi="Arial" w:cs="Arial"/>
                <w:bCs/>
                <w:color w:val="000000" w:themeColor="text1"/>
                <w:sz w:val="16"/>
                <w:szCs w:val="16"/>
              </w:rPr>
              <w:t>3.683</w:t>
            </w:r>
          </w:p>
        </w:tc>
        <w:tc>
          <w:tcPr>
            <w:tcW w:w="851" w:type="dxa"/>
            <w:tcBorders>
              <w:top w:val="nil"/>
              <w:left w:val="nil"/>
              <w:bottom w:val="single" w:sz="8" w:space="0" w:color="auto"/>
              <w:right w:val="nil"/>
            </w:tcBorders>
            <w:shd w:val="clear" w:color="auto" w:fill="auto"/>
            <w:noWrap/>
            <w:vAlign w:val="center"/>
            <w:hideMark/>
          </w:tcPr>
          <w:p w14:paraId="5C2C2069" w14:textId="77777777" w:rsidR="00792DC6" w:rsidRPr="008D1EBB" w:rsidRDefault="00792DC6" w:rsidP="009109E8">
            <w:pPr>
              <w:pStyle w:val="NoSpacing"/>
              <w:rPr>
                <w:rFonts w:ascii="Arial" w:hAnsi="Arial" w:cs="Arial"/>
                <w:color w:val="000000" w:themeColor="text1"/>
                <w:sz w:val="16"/>
                <w:szCs w:val="16"/>
              </w:rPr>
            </w:pPr>
            <w:r w:rsidRPr="008D1EBB">
              <w:rPr>
                <w:rFonts w:ascii="Arial" w:hAnsi="Arial" w:cs="Arial"/>
                <w:color w:val="000000" w:themeColor="text1"/>
                <w:sz w:val="16"/>
                <w:szCs w:val="16"/>
              </w:rPr>
              <w:t>3.932</w:t>
            </w:r>
          </w:p>
        </w:tc>
        <w:tc>
          <w:tcPr>
            <w:tcW w:w="992" w:type="dxa"/>
            <w:tcBorders>
              <w:top w:val="nil"/>
              <w:left w:val="nil"/>
              <w:bottom w:val="single" w:sz="8" w:space="0" w:color="auto"/>
              <w:right w:val="nil"/>
            </w:tcBorders>
            <w:shd w:val="clear" w:color="auto" w:fill="auto"/>
            <w:noWrap/>
            <w:vAlign w:val="center"/>
            <w:hideMark/>
          </w:tcPr>
          <w:p w14:paraId="23E449D7"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3.924</w:t>
            </w:r>
          </w:p>
        </w:tc>
        <w:tc>
          <w:tcPr>
            <w:tcW w:w="709" w:type="dxa"/>
            <w:tcBorders>
              <w:top w:val="nil"/>
              <w:left w:val="nil"/>
              <w:bottom w:val="single" w:sz="8" w:space="0" w:color="auto"/>
              <w:right w:val="nil"/>
            </w:tcBorders>
            <w:shd w:val="clear" w:color="auto" w:fill="auto"/>
            <w:noWrap/>
            <w:vAlign w:val="center"/>
            <w:hideMark/>
          </w:tcPr>
          <w:p w14:paraId="07F193F3" w14:textId="77777777" w:rsidR="00792DC6" w:rsidRPr="008D1EBB" w:rsidRDefault="00792DC6" w:rsidP="009109E8">
            <w:pPr>
              <w:pStyle w:val="NoSpacing"/>
              <w:rPr>
                <w:rFonts w:ascii="Arial" w:hAnsi="Arial" w:cs="Arial"/>
                <w:color w:val="000000" w:themeColor="text1"/>
                <w:sz w:val="16"/>
                <w:szCs w:val="16"/>
                <w:vertAlign w:val="superscript"/>
              </w:rPr>
            </w:pPr>
            <w:r w:rsidRPr="008D1EBB">
              <w:rPr>
                <w:rFonts w:ascii="Arial" w:hAnsi="Arial" w:cs="Arial"/>
                <w:color w:val="000000" w:themeColor="text1"/>
                <w:sz w:val="16"/>
                <w:szCs w:val="16"/>
              </w:rPr>
              <w:t>3.946</w:t>
            </w:r>
          </w:p>
        </w:tc>
      </w:tr>
    </w:tbl>
    <w:p w14:paraId="489B0D41" w14:textId="77777777" w:rsidR="007A515F" w:rsidRDefault="007A515F" w:rsidP="007A515F">
      <w:pPr>
        <w:pStyle w:val="NoSpacing"/>
        <w:rPr>
          <w:rFonts w:ascii="Arial" w:hAnsi="Arial" w:cs="Arial"/>
          <w:sz w:val="20"/>
          <w:szCs w:val="20"/>
        </w:rPr>
      </w:pPr>
    </w:p>
    <w:p w14:paraId="5EBA4114" w14:textId="234FD495"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The stratification of the sample by </w:t>
      </w:r>
      <w:r w:rsidR="000252DF" w:rsidRPr="007A515F">
        <w:rPr>
          <w:rFonts w:ascii="Arial" w:hAnsi="Arial" w:cs="Arial"/>
          <w:sz w:val="20"/>
          <w:szCs w:val="20"/>
        </w:rPr>
        <w:t>location where</w:t>
      </w:r>
      <w:r w:rsidRPr="007A515F">
        <w:rPr>
          <w:rFonts w:ascii="Arial" w:hAnsi="Arial" w:cs="Arial"/>
          <w:sz w:val="20"/>
          <w:szCs w:val="20"/>
        </w:rPr>
        <w:t xml:space="preserve"> the medicine</w:t>
      </w:r>
      <w:r w:rsidR="000252DF" w:rsidRPr="007A515F">
        <w:rPr>
          <w:rFonts w:ascii="Arial" w:hAnsi="Arial" w:cs="Arial"/>
          <w:sz w:val="20"/>
          <w:szCs w:val="20"/>
        </w:rPr>
        <w:t>s were obtained</w:t>
      </w:r>
      <w:r w:rsidRPr="007A515F">
        <w:rPr>
          <w:rFonts w:ascii="Arial" w:hAnsi="Arial" w:cs="Arial"/>
          <w:sz w:val="20"/>
          <w:szCs w:val="20"/>
        </w:rPr>
        <w:t xml:space="preserve"> showed that the </w:t>
      </w:r>
      <w:r w:rsidR="000252DF" w:rsidRPr="007A515F">
        <w:rPr>
          <w:rFonts w:ascii="Arial" w:hAnsi="Arial" w:cs="Arial"/>
          <w:sz w:val="20"/>
          <w:szCs w:val="20"/>
        </w:rPr>
        <w:t>interviewees</w:t>
      </w:r>
      <w:r w:rsidRPr="007A515F">
        <w:rPr>
          <w:rFonts w:ascii="Arial" w:hAnsi="Arial" w:cs="Arial"/>
          <w:sz w:val="20"/>
          <w:szCs w:val="20"/>
        </w:rPr>
        <w:t xml:space="preserve"> who reported using exclusively private services considered availability as the most important dimension, and showed statistically significant differences between the scores attributed to the dimensions of access higher than those </w:t>
      </w:r>
      <w:r w:rsidR="000252DF" w:rsidRPr="007A515F">
        <w:rPr>
          <w:rFonts w:ascii="Arial" w:hAnsi="Arial" w:cs="Arial"/>
          <w:sz w:val="20"/>
          <w:szCs w:val="20"/>
        </w:rPr>
        <w:t xml:space="preserve">interviewees </w:t>
      </w:r>
      <w:r w:rsidRPr="007A515F">
        <w:rPr>
          <w:rFonts w:ascii="Arial" w:hAnsi="Arial" w:cs="Arial"/>
          <w:sz w:val="20"/>
          <w:szCs w:val="20"/>
        </w:rPr>
        <w:t xml:space="preserve">who reported using </w:t>
      </w:r>
      <w:r w:rsidR="000252DF" w:rsidRPr="007A515F">
        <w:rPr>
          <w:rFonts w:ascii="Arial" w:hAnsi="Arial" w:cs="Arial"/>
          <w:sz w:val="20"/>
          <w:szCs w:val="20"/>
        </w:rPr>
        <w:t xml:space="preserve">both </w:t>
      </w:r>
      <w:r w:rsidRPr="007A515F">
        <w:rPr>
          <w:rFonts w:ascii="Arial" w:hAnsi="Arial" w:cs="Arial"/>
          <w:sz w:val="20"/>
          <w:szCs w:val="20"/>
        </w:rPr>
        <w:t xml:space="preserve">public and private pharmacies. However, regardless of the place </w:t>
      </w:r>
      <w:r w:rsidR="000252DF" w:rsidRPr="007A515F">
        <w:rPr>
          <w:rFonts w:ascii="Arial" w:hAnsi="Arial" w:cs="Arial"/>
          <w:sz w:val="20"/>
          <w:szCs w:val="20"/>
        </w:rPr>
        <w:t>where</w:t>
      </w:r>
      <w:r w:rsidRPr="007A515F">
        <w:rPr>
          <w:rFonts w:ascii="Arial" w:hAnsi="Arial" w:cs="Arial"/>
          <w:sz w:val="20"/>
          <w:szCs w:val="20"/>
        </w:rPr>
        <w:t xml:space="preserve"> medicines</w:t>
      </w:r>
      <w:r w:rsidR="000252DF" w:rsidRPr="007A515F">
        <w:rPr>
          <w:rFonts w:ascii="Arial" w:hAnsi="Arial" w:cs="Arial"/>
          <w:sz w:val="20"/>
          <w:szCs w:val="20"/>
        </w:rPr>
        <w:t xml:space="preserve"> were obtained</w:t>
      </w:r>
      <w:r w:rsidRPr="007A515F">
        <w:rPr>
          <w:rFonts w:ascii="Arial" w:hAnsi="Arial" w:cs="Arial"/>
          <w:sz w:val="20"/>
          <w:szCs w:val="20"/>
        </w:rPr>
        <w:t>, the ranking of the importance of the scores for the various dimensions was maintained (Table 3).</w:t>
      </w:r>
    </w:p>
    <w:p w14:paraId="78D4322A" w14:textId="77777777" w:rsidR="007A515F" w:rsidRDefault="007A515F" w:rsidP="007A515F">
      <w:pPr>
        <w:pStyle w:val="NoSpacing"/>
        <w:rPr>
          <w:rFonts w:ascii="Arial" w:hAnsi="Arial" w:cs="Arial"/>
          <w:sz w:val="20"/>
          <w:szCs w:val="20"/>
        </w:rPr>
      </w:pPr>
    </w:p>
    <w:p w14:paraId="2A5F7D73" w14:textId="7F584822"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In stratification by gender, there was an inversion of the ranking of scores attributed to the access dimensions. Women who reported using only private pharmacies attached greater importance to affordability than availability, while men who reported using both public and </w:t>
      </w:r>
      <w:r w:rsidRPr="007A515F">
        <w:rPr>
          <w:rFonts w:ascii="Arial" w:hAnsi="Arial" w:cs="Arial"/>
          <w:sz w:val="20"/>
          <w:szCs w:val="20"/>
        </w:rPr>
        <w:lastRenderedPageBreak/>
        <w:t>private pharmacies attached equal importance to these two dimensions, followed by adequacy/accommodation, geographic accessibility, and acceptability</w:t>
      </w:r>
      <w:r w:rsidR="000252DF" w:rsidRPr="007A515F">
        <w:rPr>
          <w:rFonts w:ascii="Arial" w:hAnsi="Arial" w:cs="Arial"/>
          <w:sz w:val="20"/>
          <w:szCs w:val="20"/>
        </w:rPr>
        <w:t xml:space="preserve"> </w:t>
      </w:r>
      <w:r w:rsidRPr="007A515F">
        <w:rPr>
          <w:rFonts w:ascii="Arial" w:hAnsi="Arial" w:cs="Arial"/>
          <w:sz w:val="20"/>
          <w:szCs w:val="20"/>
        </w:rPr>
        <w:t>(Table 3).</w:t>
      </w:r>
    </w:p>
    <w:p w14:paraId="673A4F1E" w14:textId="77777777" w:rsidR="007A515F" w:rsidRDefault="007A515F" w:rsidP="007A515F">
      <w:pPr>
        <w:pStyle w:val="NoSpacing"/>
        <w:rPr>
          <w:rFonts w:ascii="Arial" w:hAnsi="Arial" w:cs="Arial"/>
          <w:sz w:val="20"/>
          <w:szCs w:val="20"/>
        </w:rPr>
      </w:pPr>
    </w:p>
    <w:p w14:paraId="2C5C6ECF" w14:textId="2E82B3D9" w:rsidR="00104A61" w:rsidRPr="007A515F" w:rsidRDefault="000A1091" w:rsidP="007A515F">
      <w:pPr>
        <w:pStyle w:val="NoSpacing"/>
        <w:rPr>
          <w:rFonts w:ascii="Arial" w:hAnsi="Arial" w:cs="Arial"/>
          <w:sz w:val="20"/>
          <w:szCs w:val="20"/>
        </w:rPr>
      </w:pPr>
      <w:r w:rsidRPr="007A515F">
        <w:rPr>
          <w:rFonts w:ascii="Arial" w:hAnsi="Arial" w:cs="Arial"/>
          <w:sz w:val="20"/>
          <w:szCs w:val="20"/>
        </w:rPr>
        <w:t>From the analysis of the correlations between the dimensions, some inverse relationships were identified (Table 4). These correlations, although weak, were statistically significant. For example, in</w:t>
      </w:r>
      <w:r w:rsidR="000252DF" w:rsidRPr="007A515F">
        <w:rPr>
          <w:rFonts w:ascii="Arial" w:hAnsi="Arial" w:cs="Arial"/>
          <w:sz w:val="20"/>
          <w:szCs w:val="20"/>
        </w:rPr>
        <w:t>terviewees</w:t>
      </w:r>
      <w:r w:rsidRPr="007A515F">
        <w:rPr>
          <w:rFonts w:ascii="Arial" w:hAnsi="Arial" w:cs="Arial"/>
          <w:sz w:val="20"/>
          <w:szCs w:val="20"/>
        </w:rPr>
        <w:t xml:space="preserve"> who placed greater emphasis on affordability placed less emphasis on accommodation/adequacy. In</w:t>
      </w:r>
      <w:r w:rsidR="000252DF" w:rsidRPr="007A515F">
        <w:rPr>
          <w:rFonts w:ascii="Arial" w:hAnsi="Arial" w:cs="Arial"/>
          <w:sz w:val="20"/>
          <w:szCs w:val="20"/>
        </w:rPr>
        <w:t>terviewe</w:t>
      </w:r>
      <w:r w:rsidR="00C00403" w:rsidRPr="007A515F">
        <w:rPr>
          <w:rFonts w:ascii="Arial" w:hAnsi="Arial" w:cs="Arial"/>
          <w:sz w:val="20"/>
          <w:szCs w:val="20"/>
        </w:rPr>
        <w:t>e</w:t>
      </w:r>
      <w:r w:rsidR="000252DF" w:rsidRPr="007A515F">
        <w:rPr>
          <w:rFonts w:ascii="Arial" w:hAnsi="Arial" w:cs="Arial"/>
          <w:sz w:val="20"/>
          <w:szCs w:val="20"/>
        </w:rPr>
        <w:t>s</w:t>
      </w:r>
      <w:r w:rsidRPr="007A515F">
        <w:rPr>
          <w:rFonts w:ascii="Arial" w:hAnsi="Arial" w:cs="Arial"/>
          <w:sz w:val="20"/>
          <w:szCs w:val="20"/>
        </w:rPr>
        <w:t xml:space="preserve"> who placed greater emphasis on availability attributed less importance to acceptability. </w:t>
      </w:r>
      <w:r w:rsidR="00C00403" w:rsidRPr="007A515F">
        <w:rPr>
          <w:rFonts w:ascii="Arial" w:hAnsi="Arial" w:cs="Arial"/>
          <w:sz w:val="20"/>
          <w:szCs w:val="20"/>
        </w:rPr>
        <w:t>I</w:t>
      </w:r>
      <w:r w:rsidRPr="007A515F">
        <w:rPr>
          <w:rFonts w:ascii="Arial" w:hAnsi="Arial" w:cs="Arial"/>
          <w:sz w:val="20"/>
          <w:szCs w:val="20"/>
        </w:rPr>
        <w:t>nterviewees who gave more importance to acceptability gave less importance to geographical accessibility.</w:t>
      </w:r>
    </w:p>
    <w:p w14:paraId="0E47DBD6" w14:textId="77777777" w:rsidR="007A515F" w:rsidRPr="00792DC6" w:rsidRDefault="007A515F" w:rsidP="00792DC6">
      <w:pPr>
        <w:pStyle w:val="NoSpacing"/>
        <w:rPr>
          <w:rFonts w:ascii="Arial" w:hAnsi="Arial" w:cs="Arial"/>
          <w:bCs/>
          <w:sz w:val="20"/>
          <w:szCs w:val="20"/>
          <w:u w:val="single"/>
        </w:rPr>
      </w:pPr>
    </w:p>
    <w:p w14:paraId="4FEFE4B5" w14:textId="6A5C75B9" w:rsidR="00792DC6" w:rsidRPr="00792DC6" w:rsidRDefault="00792DC6" w:rsidP="00792DC6">
      <w:pPr>
        <w:pStyle w:val="NoSpacing"/>
        <w:rPr>
          <w:rFonts w:ascii="Arial" w:eastAsia="Times New Roman" w:hAnsi="Arial" w:cs="Arial"/>
          <w:bCs/>
          <w:sz w:val="20"/>
          <w:szCs w:val="20"/>
          <w:u w:val="single"/>
        </w:rPr>
      </w:pPr>
      <w:r w:rsidRPr="00792DC6">
        <w:rPr>
          <w:rFonts w:ascii="Arial" w:eastAsia="Times New Roman" w:hAnsi="Arial" w:cs="Arial"/>
          <w:bCs/>
          <w:sz w:val="20"/>
          <w:szCs w:val="20"/>
          <w:u w:val="single"/>
        </w:rPr>
        <w:t>Table 4: Spearman’s nonparametric linear correlation coefficient (p-value) of relevance weights between access realms (n=580)</w:t>
      </w:r>
    </w:p>
    <w:p w14:paraId="2057FB9D" w14:textId="77777777" w:rsidR="00792DC6" w:rsidRPr="00792DC6" w:rsidRDefault="00792DC6" w:rsidP="00792DC6">
      <w:pPr>
        <w:pStyle w:val="NoSpacing"/>
        <w:rPr>
          <w:rFonts w:ascii="Arial" w:eastAsia="Times New Roman" w:hAnsi="Arial" w:cs="Arial"/>
          <w:b/>
          <w:color w:val="632423" w:themeColor="accent2" w:themeShade="80"/>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806"/>
        <w:gridCol w:w="1736"/>
        <w:gridCol w:w="1577"/>
        <w:gridCol w:w="1578"/>
      </w:tblGrid>
      <w:tr w:rsidR="00792DC6" w:rsidRPr="00792DC6" w14:paraId="45A6EAB9" w14:textId="77777777" w:rsidTr="009109E8">
        <w:trPr>
          <w:trHeight w:val="440"/>
          <w:jc w:val="center"/>
        </w:trPr>
        <w:tc>
          <w:tcPr>
            <w:tcW w:w="1683" w:type="dxa"/>
            <w:tcBorders>
              <w:top w:val="single" w:sz="4" w:space="0" w:color="auto"/>
              <w:bottom w:val="single" w:sz="4" w:space="0" w:color="auto"/>
            </w:tcBorders>
          </w:tcPr>
          <w:p w14:paraId="4125CD98" w14:textId="77777777" w:rsidR="00792DC6" w:rsidRPr="00792DC6" w:rsidRDefault="00792DC6" w:rsidP="00792DC6">
            <w:pPr>
              <w:pStyle w:val="NoSpacing"/>
              <w:rPr>
                <w:rFonts w:ascii="Arial" w:hAnsi="Arial" w:cs="Arial"/>
                <w:b/>
                <w:sz w:val="20"/>
                <w:szCs w:val="20"/>
              </w:rPr>
            </w:pPr>
            <w:r w:rsidRPr="00792DC6">
              <w:rPr>
                <w:rFonts w:ascii="Arial" w:hAnsi="Arial" w:cs="Arial"/>
                <w:b/>
                <w:sz w:val="20"/>
                <w:szCs w:val="20"/>
              </w:rPr>
              <w:t>Access dimension</w:t>
            </w:r>
          </w:p>
        </w:tc>
        <w:tc>
          <w:tcPr>
            <w:tcW w:w="1806" w:type="dxa"/>
            <w:tcBorders>
              <w:top w:val="single" w:sz="4" w:space="0" w:color="auto"/>
              <w:bottom w:val="single" w:sz="4" w:space="0" w:color="auto"/>
            </w:tcBorders>
          </w:tcPr>
          <w:p w14:paraId="624D11E4" w14:textId="77777777" w:rsidR="00792DC6" w:rsidRPr="00792DC6" w:rsidRDefault="00792DC6" w:rsidP="00792DC6">
            <w:pPr>
              <w:pStyle w:val="NoSpacing"/>
              <w:rPr>
                <w:rFonts w:ascii="Arial" w:hAnsi="Arial" w:cs="Arial"/>
                <w:b/>
                <w:sz w:val="20"/>
                <w:szCs w:val="20"/>
              </w:rPr>
            </w:pPr>
            <w:r w:rsidRPr="00792DC6">
              <w:rPr>
                <w:rFonts w:ascii="Arial" w:hAnsi="Arial" w:cs="Arial"/>
                <w:b/>
                <w:sz w:val="20"/>
                <w:szCs w:val="20"/>
              </w:rPr>
              <w:t>Availability</w:t>
            </w:r>
          </w:p>
        </w:tc>
        <w:tc>
          <w:tcPr>
            <w:tcW w:w="1736" w:type="dxa"/>
            <w:tcBorders>
              <w:top w:val="single" w:sz="4" w:space="0" w:color="auto"/>
              <w:bottom w:val="single" w:sz="4" w:space="0" w:color="auto"/>
            </w:tcBorders>
          </w:tcPr>
          <w:p w14:paraId="41B43138" w14:textId="77777777" w:rsidR="00792DC6" w:rsidRPr="00792DC6" w:rsidRDefault="00792DC6" w:rsidP="00792DC6">
            <w:pPr>
              <w:pStyle w:val="NoSpacing"/>
              <w:rPr>
                <w:rFonts w:ascii="Arial" w:hAnsi="Arial" w:cs="Arial"/>
                <w:b/>
                <w:sz w:val="20"/>
                <w:szCs w:val="20"/>
              </w:rPr>
            </w:pPr>
            <w:r w:rsidRPr="00792DC6">
              <w:rPr>
                <w:rFonts w:ascii="Arial" w:hAnsi="Arial" w:cs="Arial"/>
                <w:b/>
                <w:sz w:val="20"/>
                <w:szCs w:val="20"/>
              </w:rPr>
              <w:t>Geographic accessibility</w:t>
            </w:r>
          </w:p>
        </w:tc>
        <w:tc>
          <w:tcPr>
            <w:tcW w:w="1577" w:type="dxa"/>
            <w:tcBorders>
              <w:top w:val="single" w:sz="4" w:space="0" w:color="auto"/>
              <w:bottom w:val="single" w:sz="4" w:space="0" w:color="auto"/>
            </w:tcBorders>
          </w:tcPr>
          <w:p w14:paraId="38D0FF92" w14:textId="77777777" w:rsidR="00792DC6" w:rsidRPr="00792DC6" w:rsidRDefault="00792DC6" w:rsidP="00792DC6">
            <w:pPr>
              <w:pStyle w:val="NoSpacing"/>
              <w:rPr>
                <w:rFonts w:ascii="Arial" w:hAnsi="Arial" w:cs="Arial"/>
                <w:b/>
                <w:sz w:val="20"/>
                <w:szCs w:val="20"/>
              </w:rPr>
            </w:pPr>
            <w:r w:rsidRPr="00792DC6">
              <w:rPr>
                <w:rFonts w:ascii="Arial" w:hAnsi="Arial" w:cs="Arial"/>
                <w:b/>
                <w:sz w:val="20"/>
                <w:szCs w:val="20"/>
              </w:rPr>
              <w:t>Adequacy</w:t>
            </w:r>
          </w:p>
        </w:tc>
        <w:tc>
          <w:tcPr>
            <w:tcW w:w="1578" w:type="dxa"/>
            <w:tcBorders>
              <w:top w:val="single" w:sz="4" w:space="0" w:color="auto"/>
              <w:bottom w:val="single" w:sz="4" w:space="0" w:color="auto"/>
            </w:tcBorders>
          </w:tcPr>
          <w:p w14:paraId="44E94FCB" w14:textId="77777777" w:rsidR="00792DC6" w:rsidRPr="00792DC6" w:rsidRDefault="00792DC6" w:rsidP="00792DC6">
            <w:pPr>
              <w:pStyle w:val="NoSpacing"/>
              <w:rPr>
                <w:rFonts w:ascii="Arial" w:hAnsi="Arial" w:cs="Arial"/>
                <w:b/>
                <w:sz w:val="20"/>
                <w:szCs w:val="20"/>
              </w:rPr>
            </w:pPr>
            <w:r w:rsidRPr="00792DC6">
              <w:rPr>
                <w:rFonts w:ascii="Arial" w:hAnsi="Arial" w:cs="Arial"/>
                <w:b/>
                <w:sz w:val="20"/>
                <w:szCs w:val="20"/>
              </w:rPr>
              <w:t>Affordability</w:t>
            </w:r>
          </w:p>
        </w:tc>
      </w:tr>
      <w:tr w:rsidR="00792DC6" w:rsidRPr="00792DC6" w14:paraId="0A34E63C" w14:textId="77777777" w:rsidTr="009109E8">
        <w:trPr>
          <w:trHeight w:val="501"/>
          <w:jc w:val="center"/>
        </w:trPr>
        <w:tc>
          <w:tcPr>
            <w:tcW w:w="1683" w:type="dxa"/>
            <w:vMerge w:val="restart"/>
            <w:tcBorders>
              <w:top w:val="single" w:sz="4" w:space="0" w:color="auto"/>
            </w:tcBorders>
          </w:tcPr>
          <w:p w14:paraId="2F879C17" w14:textId="77777777" w:rsidR="00792DC6" w:rsidRPr="00792DC6" w:rsidRDefault="00792DC6" w:rsidP="00792DC6">
            <w:pPr>
              <w:pStyle w:val="NoSpacing"/>
              <w:rPr>
                <w:rFonts w:ascii="Arial" w:hAnsi="Arial" w:cs="Arial"/>
                <w:sz w:val="20"/>
                <w:szCs w:val="20"/>
              </w:rPr>
            </w:pPr>
          </w:p>
          <w:p w14:paraId="007BF2E1"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Geographic accessibility</w:t>
            </w:r>
          </w:p>
        </w:tc>
        <w:tc>
          <w:tcPr>
            <w:tcW w:w="1806" w:type="dxa"/>
            <w:tcBorders>
              <w:top w:val="single" w:sz="4" w:space="0" w:color="auto"/>
            </w:tcBorders>
          </w:tcPr>
          <w:p w14:paraId="2E215105" w14:textId="77777777" w:rsidR="00792DC6" w:rsidRPr="00792DC6" w:rsidRDefault="00792DC6" w:rsidP="00792DC6">
            <w:pPr>
              <w:pStyle w:val="NoSpacing"/>
              <w:rPr>
                <w:rFonts w:ascii="Arial" w:hAnsi="Arial" w:cs="Arial"/>
                <w:sz w:val="20"/>
                <w:szCs w:val="20"/>
              </w:rPr>
            </w:pPr>
          </w:p>
          <w:p w14:paraId="4F2DF7E5"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- 0.055</w:t>
            </w:r>
          </w:p>
        </w:tc>
        <w:tc>
          <w:tcPr>
            <w:tcW w:w="1736" w:type="dxa"/>
            <w:tcBorders>
              <w:top w:val="single" w:sz="4" w:space="0" w:color="auto"/>
            </w:tcBorders>
          </w:tcPr>
          <w:p w14:paraId="318BF1AF" w14:textId="77777777" w:rsidR="00792DC6" w:rsidRPr="00792DC6" w:rsidRDefault="00792DC6" w:rsidP="00792DC6">
            <w:pPr>
              <w:pStyle w:val="NoSpacing"/>
              <w:rPr>
                <w:rFonts w:ascii="Arial" w:hAnsi="Arial" w:cs="Arial"/>
                <w:sz w:val="20"/>
                <w:szCs w:val="20"/>
              </w:rPr>
            </w:pPr>
          </w:p>
        </w:tc>
        <w:tc>
          <w:tcPr>
            <w:tcW w:w="1577" w:type="dxa"/>
            <w:tcBorders>
              <w:top w:val="single" w:sz="4" w:space="0" w:color="auto"/>
            </w:tcBorders>
          </w:tcPr>
          <w:p w14:paraId="60C38E81" w14:textId="77777777" w:rsidR="00792DC6" w:rsidRPr="00792DC6" w:rsidRDefault="00792DC6" w:rsidP="00792DC6">
            <w:pPr>
              <w:pStyle w:val="NoSpacing"/>
              <w:rPr>
                <w:rFonts w:ascii="Arial" w:hAnsi="Arial" w:cs="Arial"/>
                <w:sz w:val="20"/>
                <w:szCs w:val="20"/>
              </w:rPr>
            </w:pPr>
          </w:p>
        </w:tc>
        <w:tc>
          <w:tcPr>
            <w:tcW w:w="1578" w:type="dxa"/>
            <w:tcBorders>
              <w:top w:val="single" w:sz="4" w:space="0" w:color="auto"/>
            </w:tcBorders>
          </w:tcPr>
          <w:p w14:paraId="493ED317" w14:textId="77777777" w:rsidR="00792DC6" w:rsidRPr="00792DC6" w:rsidRDefault="00792DC6" w:rsidP="00792DC6">
            <w:pPr>
              <w:pStyle w:val="NoSpacing"/>
              <w:rPr>
                <w:rFonts w:ascii="Arial" w:hAnsi="Arial" w:cs="Arial"/>
                <w:sz w:val="20"/>
                <w:szCs w:val="20"/>
              </w:rPr>
            </w:pPr>
          </w:p>
        </w:tc>
      </w:tr>
      <w:tr w:rsidR="00792DC6" w:rsidRPr="00792DC6" w14:paraId="34914D39" w14:textId="77777777" w:rsidTr="009109E8">
        <w:trPr>
          <w:trHeight w:val="250"/>
          <w:jc w:val="center"/>
        </w:trPr>
        <w:tc>
          <w:tcPr>
            <w:tcW w:w="1683" w:type="dxa"/>
            <w:vMerge/>
          </w:tcPr>
          <w:p w14:paraId="2A714D36" w14:textId="77777777" w:rsidR="00792DC6" w:rsidRPr="00792DC6" w:rsidRDefault="00792DC6" w:rsidP="00792DC6">
            <w:pPr>
              <w:pStyle w:val="NoSpacing"/>
              <w:rPr>
                <w:rFonts w:ascii="Arial" w:hAnsi="Arial" w:cs="Arial"/>
                <w:sz w:val="20"/>
                <w:szCs w:val="20"/>
              </w:rPr>
            </w:pPr>
          </w:p>
        </w:tc>
        <w:tc>
          <w:tcPr>
            <w:tcW w:w="1806" w:type="dxa"/>
          </w:tcPr>
          <w:p w14:paraId="57ABDA0C"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 xml:space="preserve">  0.183</w:t>
            </w:r>
          </w:p>
        </w:tc>
        <w:tc>
          <w:tcPr>
            <w:tcW w:w="1736" w:type="dxa"/>
          </w:tcPr>
          <w:p w14:paraId="76D8D87F" w14:textId="77777777" w:rsidR="00792DC6" w:rsidRPr="00792DC6" w:rsidRDefault="00792DC6" w:rsidP="00792DC6">
            <w:pPr>
              <w:pStyle w:val="NoSpacing"/>
              <w:rPr>
                <w:rFonts w:ascii="Arial" w:hAnsi="Arial" w:cs="Arial"/>
                <w:sz w:val="20"/>
                <w:szCs w:val="20"/>
              </w:rPr>
            </w:pPr>
          </w:p>
        </w:tc>
        <w:tc>
          <w:tcPr>
            <w:tcW w:w="1577" w:type="dxa"/>
          </w:tcPr>
          <w:p w14:paraId="77F66DAE" w14:textId="77777777" w:rsidR="00792DC6" w:rsidRPr="00792DC6" w:rsidRDefault="00792DC6" w:rsidP="00792DC6">
            <w:pPr>
              <w:pStyle w:val="NoSpacing"/>
              <w:rPr>
                <w:rFonts w:ascii="Arial" w:hAnsi="Arial" w:cs="Arial"/>
                <w:sz w:val="20"/>
                <w:szCs w:val="20"/>
              </w:rPr>
            </w:pPr>
          </w:p>
        </w:tc>
        <w:tc>
          <w:tcPr>
            <w:tcW w:w="1578" w:type="dxa"/>
          </w:tcPr>
          <w:p w14:paraId="43DA9BA1" w14:textId="77777777" w:rsidR="00792DC6" w:rsidRPr="00792DC6" w:rsidRDefault="00792DC6" w:rsidP="00792DC6">
            <w:pPr>
              <w:pStyle w:val="NoSpacing"/>
              <w:rPr>
                <w:rFonts w:ascii="Arial" w:hAnsi="Arial" w:cs="Arial"/>
                <w:sz w:val="20"/>
                <w:szCs w:val="20"/>
              </w:rPr>
            </w:pPr>
          </w:p>
        </w:tc>
      </w:tr>
      <w:tr w:rsidR="00792DC6" w:rsidRPr="00792DC6" w14:paraId="3EDA8B6A" w14:textId="77777777" w:rsidTr="009109E8">
        <w:trPr>
          <w:trHeight w:val="250"/>
          <w:jc w:val="center"/>
        </w:trPr>
        <w:tc>
          <w:tcPr>
            <w:tcW w:w="1683" w:type="dxa"/>
            <w:vMerge w:val="restart"/>
          </w:tcPr>
          <w:p w14:paraId="454C6676" w14:textId="77777777" w:rsidR="00792DC6" w:rsidRPr="00792DC6" w:rsidRDefault="00792DC6" w:rsidP="00792DC6">
            <w:pPr>
              <w:pStyle w:val="NoSpacing"/>
              <w:rPr>
                <w:rFonts w:ascii="Arial" w:hAnsi="Arial" w:cs="Arial"/>
                <w:sz w:val="20"/>
                <w:szCs w:val="20"/>
              </w:rPr>
            </w:pPr>
          </w:p>
          <w:p w14:paraId="1F03A625"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Adequacy</w:t>
            </w:r>
          </w:p>
        </w:tc>
        <w:tc>
          <w:tcPr>
            <w:tcW w:w="1806" w:type="dxa"/>
          </w:tcPr>
          <w:p w14:paraId="6A0994C8" w14:textId="77777777" w:rsidR="00792DC6" w:rsidRPr="00792DC6" w:rsidRDefault="00792DC6" w:rsidP="00792DC6">
            <w:pPr>
              <w:pStyle w:val="NoSpacing"/>
              <w:rPr>
                <w:rFonts w:ascii="Arial" w:hAnsi="Arial" w:cs="Arial"/>
                <w:sz w:val="20"/>
                <w:szCs w:val="20"/>
              </w:rPr>
            </w:pPr>
          </w:p>
          <w:p w14:paraId="0C9DB778"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-0.363</w:t>
            </w:r>
          </w:p>
        </w:tc>
        <w:tc>
          <w:tcPr>
            <w:tcW w:w="1736" w:type="dxa"/>
          </w:tcPr>
          <w:p w14:paraId="19941EE8" w14:textId="77777777" w:rsidR="00792DC6" w:rsidRPr="00792DC6" w:rsidRDefault="00792DC6" w:rsidP="00792DC6">
            <w:pPr>
              <w:pStyle w:val="NoSpacing"/>
              <w:rPr>
                <w:rFonts w:ascii="Arial" w:hAnsi="Arial" w:cs="Arial"/>
                <w:sz w:val="20"/>
                <w:szCs w:val="20"/>
              </w:rPr>
            </w:pPr>
          </w:p>
          <w:p w14:paraId="6272797B"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-0.146</w:t>
            </w:r>
          </w:p>
        </w:tc>
        <w:tc>
          <w:tcPr>
            <w:tcW w:w="1577" w:type="dxa"/>
          </w:tcPr>
          <w:p w14:paraId="5CAB3D4C" w14:textId="77777777" w:rsidR="00792DC6" w:rsidRPr="00792DC6" w:rsidRDefault="00792DC6" w:rsidP="00792DC6">
            <w:pPr>
              <w:pStyle w:val="NoSpacing"/>
              <w:rPr>
                <w:rFonts w:ascii="Arial" w:hAnsi="Arial" w:cs="Arial"/>
                <w:sz w:val="20"/>
                <w:szCs w:val="20"/>
              </w:rPr>
            </w:pPr>
          </w:p>
        </w:tc>
        <w:tc>
          <w:tcPr>
            <w:tcW w:w="1578" w:type="dxa"/>
          </w:tcPr>
          <w:p w14:paraId="305B6FBE" w14:textId="77777777" w:rsidR="00792DC6" w:rsidRPr="00792DC6" w:rsidRDefault="00792DC6" w:rsidP="00792DC6">
            <w:pPr>
              <w:pStyle w:val="NoSpacing"/>
              <w:rPr>
                <w:rFonts w:ascii="Arial" w:hAnsi="Arial" w:cs="Arial"/>
                <w:sz w:val="20"/>
                <w:szCs w:val="20"/>
              </w:rPr>
            </w:pPr>
          </w:p>
        </w:tc>
      </w:tr>
      <w:tr w:rsidR="00792DC6" w:rsidRPr="00792DC6" w14:paraId="0624D44F" w14:textId="77777777" w:rsidTr="009109E8">
        <w:trPr>
          <w:trHeight w:val="263"/>
          <w:jc w:val="center"/>
        </w:trPr>
        <w:tc>
          <w:tcPr>
            <w:tcW w:w="1683" w:type="dxa"/>
            <w:vMerge/>
          </w:tcPr>
          <w:p w14:paraId="61232E9B" w14:textId="77777777" w:rsidR="00792DC6" w:rsidRPr="00792DC6" w:rsidRDefault="00792DC6" w:rsidP="00792DC6">
            <w:pPr>
              <w:pStyle w:val="NoSpacing"/>
              <w:rPr>
                <w:rFonts w:ascii="Arial" w:hAnsi="Arial" w:cs="Arial"/>
                <w:sz w:val="20"/>
                <w:szCs w:val="20"/>
              </w:rPr>
            </w:pPr>
          </w:p>
        </w:tc>
        <w:tc>
          <w:tcPr>
            <w:tcW w:w="1806" w:type="dxa"/>
          </w:tcPr>
          <w:p w14:paraId="1DBFECFE"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0.000</w:t>
            </w:r>
          </w:p>
        </w:tc>
        <w:tc>
          <w:tcPr>
            <w:tcW w:w="1736" w:type="dxa"/>
          </w:tcPr>
          <w:p w14:paraId="66F38957"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0.000</w:t>
            </w:r>
          </w:p>
        </w:tc>
        <w:tc>
          <w:tcPr>
            <w:tcW w:w="1577" w:type="dxa"/>
          </w:tcPr>
          <w:p w14:paraId="27E8A9DF" w14:textId="77777777" w:rsidR="00792DC6" w:rsidRPr="00792DC6" w:rsidRDefault="00792DC6" w:rsidP="00792DC6">
            <w:pPr>
              <w:pStyle w:val="NoSpacing"/>
              <w:rPr>
                <w:rFonts w:ascii="Arial" w:hAnsi="Arial" w:cs="Arial"/>
                <w:sz w:val="20"/>
                <w:szCs w:val="20"/>
              </w:rPr>
            </w:pPr>
          </w:p>
        </w:tc>
        <w:tc>
          <w:tcPr>
            <w:tcW w:w="1578" w:type="dxa"/>
          </w:tcPr>
          <w:p w14:paraId="23C98CA1" w14:textId="77777777" w:rsidR="00792DC6" w:rsidRPr="00792DC6" w:rsidRDefault="00792DC6" w:rsidP="00792DC6">
            <w:pPr>
              <w:pStyle w:val="NoSpacing"/>
              <w:rPr>
                <w:rFonts w:ascii="Arial" w:hAnsi="Arial" w:cs="Arial"/>
                <w:sz w:val="20"/>
                <w:szCs w:val="20"/>
              </w:rPr>
            </w:pPr>
          </w:p>
        </w:tc>
      </w:tr>
      <w:tr w:rsidR="00792DC6" w:rsidRPr="00792DC6" w14:paraId="0EB484C6" w14:textId="77777777" w:rsidTr="009109E8">
        <w:trPr>
          <w:trHeight w:val="501"/>
          <w:jc w:val="center"/>
        </w:trPr>
        <w:tc>
          <w:tcPr>
            <w:tcW w:w="1683" w:type="dxa"/>
            <w:vMerge w:val="restart"/>
          </w:tcPr>
          <w:p w14:paraId="4DF189AE" w14:textId="77777777" w:rsidR="00792DC6" w:rsidRPr="00792DC6" w:rsidRDefault="00792DC6" w:rsidP="00792DC6">
            <w:pPr>
              <w:pStyle w:val="NoSpacing"/>
              <w:rPr>
                <w:rFonts w:ascii="Arial" w:hAnsi="Arial" w:cs="Arial"/>
                <w:sz w:val="20"/>
                <w:szCs w:val="20"/>
              </w:rPr>
            </w:pPr>
          </w:p>
          <w:p w14:paraId="463BADC7"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Affordability</w:t>
            </w:r>
          </w:p>
        </w:tc>
        <w:tc>
          <w:tcPr>
            <w:tcW w:w="1806" w:type="dxa"/>
          </w:tcPr>
          <w:p w14:paraId="7A8695C3" w14:textId="77777777" w:rsidR="00792DC6" w:rsidRPr="00792DC6" w:rsidRDefault="00792DC6" w:rsidP="00792DC6">
            <w:pPr>
              <w:pStyle w:val="NoSpacing"/>
              <w:rPr>
                <w:rFonts w:ascii="Arial" w:hAnsi="Arial" w:cs="Arial"/>
                <w:sz w:val="20"/>
                <w:szCs w:val="20"/>
              </w:rPr>
            </w:pPr>
          </w:p>
          <w:p w14:paraId="182C5E51"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0.088</w:t>
            </w:r>
          </w:p>
        </w:tc>
        <w:tc>
          <w:tcPr>
            <w:tcW w:w="1736" w:type="dxa"/>
          </w:tcPr>
          <w:p w14:paraId="792B024B" w14:textId="77777777" w:rsidR="00792DC6" w:rsidRPr="00792DC6" w:rsidRDefault="00792DC6" w:rsidP="00792DC6">
            <w:pPr>
              <w:pStyle w:val="NoSpacing"/>
              <w:rPr>
                <w:rFonts w:ascii="Arial" w:hAnsi="Arial" w:cs="Arial"/>
                <w:sz w:val="20"/>
                <w:szCs w:val="20"/>
              </w:rPr>
            </w:pPr>
          </w:p>
          <w:p w14:paraId="0203F248"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-0.170</w:t>
            </w:r>
          </w:p>
        </w:tc>
        <w:tc>
          <w:tcPr>
            <w:tcW w:w="1577" w:type="dxa"/>
          </w:tcPr>
          <w:p w14:paraId="6C727185" w14:textId="77777777" w:rsidR="00792DC6" w:rsidRPr="00792DC6" w:rsidRDefault="00792DC6" w:rsidP="00792DC6">
            <w:pPr>
              <w:pStyle w:val="NoSpacing"/>
              <w:rPr>
                <w:rFonts w:ascii="Arial" w:hAnsi="Arial" w:cs="Arial"/>
                <w:sz w:val="20"/>
                <w:szCs w:val="20"/>
              </w:rPr>
            </w:pPr>
          </w:p>
          <w:p w14:paraId="7D79F274"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-0.335</w:t>
            </w:r>
          </w:p>
        </w:tc>
        <w:tc>
          <w:tcPr>
            <w:tcW w:w="1578" w:type="dxa"/>
          </w:tcPr>
          <w:p w14:paraId="4A5735B7" w14:textId="77777777" w:rsidR="00792DC6" w:rsidRPr="00792DC6" w:rsidRDefault="00792DC6" w:rsidP="00792DC6">
            <w:pPr>
              <w:pStyle w:val="NoSpacing"/>
              <w:rPr>
                <w:rFonts w:ascii="Arial" w:hAnsi="Arial" w:cs="Arial"/>
                <w:sz w:val="20"/>
                <w:szCs w:val="20"/>
              </w:rPr>
            </w:pPr>
          </w:p>
        </w:tc>
      </w:tr>
      <w:tr w:rsidR="00792DC6" w:rsidRPr="00792DC6" w14:paraId="163F5A01" w14:textId="77777777" w:rsidTr="009109E8">
        <w:trPr>
          <w:trHeight w:val="250"/>
          <w:jc w:val="center"/>
        </w:trPr>
        <w:tc>
          <w:tcPr>
            <w:tcW w:w="1683" w:type="dxa"/>
            <w:vMerge/>
          </w:tcPr>
          <w:p w14:paraId="3E566ADC" w14:textId="77777777" w:rsidR="00792DC6" w:rsidRPr="00792DC6" w:rsidRDefault="00792DC6" w:rsidP="00792DC6">
            <w:pPr>
              <w:pStyle w:val="NoSpacing"/>
              <w:rPr>
                <w:rFonts w:ascii="Arial" w:hAnsi="Arial" w:cs="Arial"/>
                <w:sz w:val="20"/>
                <w:szCs w:val="20"/>
              </w:rPr>
            </w:pPr>
          </w:p>
        </w:tc>
        <w:tc>
          <w:tcPr>
            <w:tcW w:w="1806" w:type="dxa"/>
          </w:tcPr>
          <w:p w14:paraId="144E45FA"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0.033</w:t>
            </w:r>
          </w:p>
        </w:tc>
        <w:tc>
          <w:tcPr>
            <w:tcW w:w="1736" w:type="dxa"/>
          </w:tcPr>
          <w:p w14:paraId="19DF494F"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0.000</w:t>
            </w:r>
          </w:p>
        </w:tc>
        <w:tc>
          <w:tcPr>
            <w:tcW w:w="1577" w:type="dxa"/>
          </w:tcPr>
          <w:p w14:paraId="260C2C19"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0.000</w:t>
            </w:r>
          </w:p>
        </w:tc>
        <w:tc>
          <w:tcPr>
            <w:tcW w:w="1578" w:type="dxa"/>
          </w:tcPr>
          <w:p w14:paraId="3C04911A" w14:textId="77777777" w:rsidR="00792DC6" w:rsidRPr="00792DC6" w:rsidRDefault="00792DC6" w:rsidP="00792DC6">
            <w:pPr>
              <w:pStyle w:val="NoSpacing"/>
              <w:rPr>
                <w:rFonts w:ascii="Arial" w:hAnsi="Arial" w:cs="Arial"/>
                <w:sz w:val="20"/>
                <w:szCs w:val="20"/>
              </w:rPr>
            </w:pPr>
          </w:p>
        </w:tc>
      </w:tr>
      <w:tr w:rsidR="00792DC6" w:rsidRPr="00792DC6" w14:paraId="48AC69F9" w14:textId="77777777" w:rsidTr="009109E8">
        <w:trPr>
          <w:trHeight w:val="250"/>
          <w:jc w:val="center"/>
        </w:trPr>
        <w:tc>
          <w:tcPr>
            <w:tcW w:w="1683" w:type="dxa"/>
            <w:vMerge w:val="restart"/>
          </w:tcPr>
          <w:p w14:paraId="176C9DC0" w14:textId="77777777" w:rsidR="00792DC6" w:rsidRPr="00792DC6" w:rsidRDefault="00792DC6" w:rsidP="00792DC6">
            <w:pPr>
              <w:pStyle w:val="NoSpacing"/>
              <w:rPr>
                <w:rFonts w:ascii="Arial" w:hAnsi="Arial" w:cs="Arial"/>
                <w:sz w:val="20"/>
                <w:szCs w:val="20"/>
              </w:rPr>
            </w:pPr>
          </w:p>
          <w:p w14:paraId="3CEC89DE"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Acceptability</w:t>
            </w:r>
          </w:p>
        </w:tc>
        <w:tc>
          <w:tcPr>
            <w:tcW w:w="1806" w:type="dxa"/>
          </w:tcPr>
          <w:p w14:paraId="5971EF8D" w14:textId="77777777" w:rsidR="00792DC6" w:rsidRPr="00792DC6" w:rsidRDefault="00792DC6" w:rsidP="00792DC6">
            <w:pPr>
              <w:pStyle w:val="NoSpacing"/>
              <w:rPr>
                <w:rFonts w:ascii="Arial" w:hAnsi="Arial" w:cs="Arial"/>
                <w:sz w:val="20"/>
                <w:szCs w:val="20"/>
              </w:rPr>
            </w:pPr>
          </w:p>
          <w:p w14:paraId="02FFCF44"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-0.407</w:t>
            </w:r>
          </w:p>
        </w:tc>
        <w:tc>
          <w:tcPr>
            <w:tcW w:w="1736" w:type="dxa"/>
          </w:tcPr>
          <w:p w14:paraId="2ABF0B6B" w14:textId="77777777" w:rsidR="00792DC6" w:rsidRPr="00792DC6" w:rsidRDefault="00792DC6" w:rsidP="00792DC6">
            <w:pPr>
              <w:pStyle w:val="NoSpacing"/>
              <w:rPr>
                <w:rFonts w:ascii="Arial" w:hAnsi="Arial" w:cs="Arial"/>
                <w:sz w:val="20"/>
                <w:szCs w:val="20"/>
              </w:rPr>
            </w:pPr>
          </w:p>
          <w:p w14:paraId="7E25C5B0"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-0.365</w:t>
            </w:r>
          </w:p>
        </w:tc>
        <w:tc>
          <w:tcPr>
            <w:tcW w:w="1577" w:type="dxa"/>
          </w:tcPr>
          <w:p w14:paraId="0A1DDC2A" w14:textId="77777777" w:rsidR="00792DC6" w:rsidRPr="00792DC6" w:rsidRDefault="00792DC6" w:rsidP="00792DC6">
            <w:pPr>
              <w:pStyle w:val="NoSpacing"/>
              <w:rPr>
                <w:rFonts w:ascii="Arial" w:hAnsi="Arial" w:cs="Arial"/>
                <w:sz w:val="20"/>
                <w:szCs w:val="20"/>
              </w:rPr>
            </w:pPr>
          </w:p>
          <w:p w14:paraId="3693E809"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-0.003</w:t>
            </w:r>
          </w:p>
        </w:tc>
        <w:tc>
          <w:tcPr>
            <w:tcW w:w="1578" w:type="dxa"/>
          </w:tcPr>
          <w:p w14:paraId="6339849F" w14:textId="77777777" w:rsidR="00792DC6" w:rsidRPr="00792DC6" w:rsidRDefault="00792DC6" w:rsidP="00792DC6">
            <w:pPr>
              <w:pStyle w:val="NoSpacing"/>
              <w:rPr>
                <w:rFonts w:ascii="Arial" w:hAnsi="Arial" w:cs="Arial"/>
                <w:sz w:val="20"/>
                <w:szCs w:val="20"/>
              </w:rPr>
            </w:pPr>
          </w:p>
          <w:p w14:paraId="30A1C26C"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-0.403</w:t>
            </w:r>
          </w:p>
        </w:tc>
      </w:tr>
      <w:tr w:rsidR="00792DC6" w:rsidRPr="00792DC6" w14:paraId="1BE2D15C" w14:textId="77777777" w:rsidTr="009109E8">
        <w:trPr>
          <w:trHeight w:val="263"/>
          <w:jc w:val="center"/>
        </w:trPr>
        <w:tc>
          <w:tcPr>
            <w:tcW w:w="1683" w:type="dxa"/>
            <w:vMerge/>
          </w:tcPr>
          <w:p w14:paraId="196A4CE7" w14:textId="77777777" w:rsidR="00792DC6" w:rsidRPr="00792DC6" w:rsidRDefault="00792DC6" w:rsidP="00792DC6">
            <w:pPr>
              <w:pStyle w:val="NoSpacing"/>
              <w:rPr>
                <w:rFonts w:ascii="Arial" w:hAnsi="Arial" w:cs="Arial"/>
                <w:sz w:val="20"/>
                <w:szCs w:val="20"/>
              </w:rPr>
            </w:pPr>
          </w:p>
        </w:tc>
        <w:tc>
          <w:tcPr>
            <w:tcW w:w="1806" w:type="dxa"/>
          </w:tcPr>
          <w:p w14:paraId="1E14EC6C"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0.000</w:t>
            </w:r>
          </w:p>
        </w:tc>
        <w:tc>
          <w:tcPr>
            <w:tcW w:w="1736" w:type="dxa"/>
          </w:tcPr>
          <w:p w14:paraId="23BEAF0C"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0.000</w:t>
            </w:r>
          </w:p>
        </w:tc>
        <w:tc>
          <w:tcPr>
            <w:tcW w:w="1577" w:type="dxa"/>
          </w:tcPr>
          <w:p w14:paraId="654E2198"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0.935</w:t>
            </w:r>
          </w:p>
        </w:tc>
        <w:tc>
          <w:tcPr>
            <w:tcW w:w="1578" w:type="dxa"/>
          </w:tcPr>
          <w:p w14:paraId="016BB3F1" w14:textId="77777777" w:rsidR="00792DC6" w:rsidRPr="00792DC6" w:rsidRDefault="00792DC6" w:rsidP="00792DC6">
            <w:pPr>
              <w:pStyle w:val="NoSpacing"/>
              <w:rPr>
                <w:rFonts w:ascii="Arial" w:hAnsi="Arial" w:cs="Arial"/>
                <w:sz w:val="20"/>
                <w:szCs w:val="20"/>
              </w:rPr>
            </w:pPr>
            <w:r w:rsidRPr="00792DC6">
              <w:rPr>
                <w:rFonts w:ascii="Arial" w:hAnsi="Arial" w:cs="Arial"/>
                <w:sz w:val="20"/>
                <w:szCs w:val="20"/>
              </w:rPr>
              <w:t>0.000</w:t>
            </w:r>
          </w:p>
        </w:tc>
      </w:tr>
    </w:tbl>
    <w:p w14:paraId="678681B9" w14:textId="77777777" w:rsidR="00792DC6" w:rsidRPr="00792DC6" w:rsidRDefault="00792DC6" w:rsidP="00792DC6">
      <w:pPr>
        <w:pStyle w:val="NoSpacing"/>
        <w:rPr>
          <w:rFonts w:ascii="Arial" w:hAnsi="Arial" w:cs="Arial"/>
          <w:i/>
          <w:sz w:val="20"/>
          <w:szCs w:val="20"/>
        </w:rPr>
      </w:pPr>
    </w:p>
    <w:p w14:paraId="464C4A0D" w14:textId="77777777" w:rsidR="007A515F" w:rsidRPr="00792DC6" w:rsidRDefault="007A515F" w:rsidP="00792DC6">
      <w:pPr>
        <w:pStyle w:val="NoSpacing"/>
        <w:rPr>
          <w:rFonts w:ascii="Arial" w:hAnsi="Arial" w:cs="Arial"/>
          <w:sz w:val="20"/>
          <w:szCs w:val="20"/>
        </w:rPr>
      </w:pPr>
    </w:p>
    <w:p w14:paraId="7113C05B" w14:textId="75C94AED"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With the exception of the acceptability dimension, all other satisfaction scores were higher in </w:t>
      </w:r>
      <w:r w:rsidR="00C00403" w:rsidRPr="007A515F">
        <w:rPr>
          <w:rFonts w:ascii="Arial" w:hAnsi="Arial" w:cs="Arial"/>
          <w:sz w:val="20"/>
          <w:szCs w:val="20"/>
        </w:rPr>
        <w:t>interviewees</w:t>
      </w:r>
      <w:r w:rsidRPr="007A515F">
        <w:rPr>
          <w:rFonts w:ascii="Arial" w:hAnsi="Arial" w:cs="Arial"/>
          <w:sz w:val="20"/>
          <w:szCs w:val="20"/>
        </w:rPr>
        <w:t xml:space="preserve"> who reported using only private pharmacies when compared to </w:t>
      </w:r>
      <w:r w:rsidR="00C00403" w:rsidRPr="007A515F">
        <w:rPr>
          <w:rFonts w:ascii="Arial" w:hAnsi="Arial" w:cs="Arial"/>
          <w:sz w:val="20"/>
          <w:szCs w:val="20"/>
        </w:rPr>
        <w:t>those</w:t>
      </w:r>
      <w:r w:rsidRPr="007A515F">
        <w:rPr>
          <w:rFonts w:ascii="Arial" w:hAnsi="Arial" w:cs="Arial"/>
          <w:sz w:val="20"/>
          <w:szCs w:val="20"/>
        </w:rPr>
        <w:t xml:space="preserve"> who reported using public pharmacies or public and private pharmacies.</w:t>
      </w:r>
    </w:p>
    <w:p w14:paraId="5E1E874A" w14:textId="77777777" w:rsidR="007A515F" w:rsidRDefault="007A515F" w:rsidP="007A515F">
      <w:pPr>
        <w:pStyle w:val="NoSpacing"/>
        <w:rPr>
          <w:rFonts w:ascii="Arial" w:hAnsi="Arial" w:cs="Arial"/>
          <w:sz w:val="20"/>
          <w:szCs w:val="20"/>
        </w:rPr>
      </w:pPr>
    </w:p>
    <w:p w14:paraId="1DC75600" w14:textId="77C1BA8C"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The results of the mean score of each dimension showed a statistically significant difference according to the type of pharmacy that the </w:t>
      </w:r>
      <w:r w:rsidR="00C00403" w:rsidRPr="007A515F">
        <w:rPr>
          <w:rFonts w:ascii="Arial" w:hAnsi="Arial" w:cs="Arial"/>
          <w:sz w:val="20"/>
          <w:szCs w:val="20"/>
        </w:rPr>
        <w:t>interviewees</w:t>
      </w:r>
      <w:r w:rsidRPr="007A515F">
        <w:rPr>
          <w:rFonts w:ascii="Arial" w:hAnsi="Arial" w:cs="Arial"/>
          <w:sz w:val="20"/>
          <w:szCs w:val="20"/>
        </w:rPr>
        <w:t xml:space="preserve"> reported to use. The average score of affordability was 25.6% lower for </w:t>
      </w:r>
      <w:r w:rsidR="00C00403" w:rsidRPr="007A515F">
        <w:rPr>
          <w:rFonts w:ascii="Arial" w:hAnsi="Arial" w:cs="Arial"/>
          <w:sz w:val="20"/>
          <w:szCs w:val="20"/>
        </w:rPr>
        <w:t>interviewees</w:t>
      </w:r>
      <w:r w:rsidRPr="007A515F">
        <w:rPr>
          <w:rFonts w:ascii="Arial" w:hAnsi="Arial" w:cs="Arial"/>
          <w:sz w:val="20"/>
          <w:szCs w:val="20"/>
        </w:rPr>
        <w:t xml:space="preserve"> who reported using only public pharmacies compared to </w:t>
      </w:r>
      <w:r w:rsidR="00C00403" w:rsidRPr="007A515F">
        <w:rPr>
          <w:rFonts w:ascii="Arial" w:hAnsi="Arial" w:cs="Arial"/>
          <w:sz w:val="20"/>
          <w:szCs w:val="20"/>
        </w:rPr>
        <w:t>those</w:t>
      </w:r>
      <w:r w:rsidRPr="007A515F">
        <w:rPr>
          <w:rFonts w:ascii="Arial" w:hAnsi="Arial" w:cs="Arial"/>
          <w:sz w:val="20"/>
          <w:szCs w:val="20"/>
        </w:rPr>
        <w:t xml:space="preserve"> who reported using only private pharmacies (Table 5).</w:t>
      </w:r>
    </w:p>
    <w:p w14:paraId="2DBE0499" w14:textId="77777777" w:rsidR="007A515F" w:rsidRPr="00792DC6" w:rsidRDefault="007A515F" w:rsidP="00792DC6">
      <w:pPr>
        <w:pStyle w:val="NoSpacing"/>
        <w:rPr>
          <w:rFonts w:ascii="Arial" w:hAnsi="Arial" w:cs="Arial"/>
          <w:sz w:val="20"/>
          <w:szCs w:val="20"/>
        </w:rPr>
      </w:pPr>
    </w:p>
    <w:p w14:paraId="34C38938" w14:textId="198B905E" w:rsidR="00792DC6" w:rsidRPr="00792DC6" w:rsidRDefault="00792DC6" w:rsidP="00792DC6">
      <w:pPr>
        <w:pStyle w:val="NoSpacing"/>
        <w:rPr>
          <w:rFonts w:ascii="Arial" w:eastAsia="Times New Roman" w:hAnsi="Arial" w:cs="Arial"/>
          <w:bCs/>
          <w:sz w:val="20"/>
          <w:szCs w:val="20"/>
          <w:u w:val="single"/>
        </w:rPr>
      </w:pPr>
      <w:r w:rsidRPr="00792DC6">
        <w:rPr>
          <w:rFonts w:ascii="Arial" w:eastAsia="Times New Roman" w:hAnsi="Arial" w:cs="Arial"/>
          <w:bCs/>
          <w:sz w:val="20"/>
          <w:szCs w:val="20"/>
          <w:u w:val="single"/>
        </w:rPr>
        <w:t>Table 5: Values of the mean weight of each dimension stratified by place of obtaining the medicines</w:t>
      </w:r>
    </w:p>
    <w:p w14:paraId="02DDFEFB" w14:textId="77777777" w:rsidR="00792DC6" w:rsidRPr="00792DC6" w:rsidRDefault="00792DC6" w:rsidP="00792DC6">
      <w:pPr>
        <w:pStyle w:val="NoSpacing"/>
        <w:rPr>
          <w:rFonts w:ascii="Arial" w:hAnsi="Arial" w:cs="Arial"/>
          <w:bCs/>
          <w:sz w:val="20"/>
          <w:szCs w:val="20"/>
          <w:u w:val="single"/>
        </w:rPr>
      </w:pPr>
    </w:p>
    <w:tbl>
      <w:tblPr>
        <w:tblW w:w="5168" w:type="pct"/>
        <w:jc w:val="center"/>
        <w:tblCellMar>
          <w:left w:w="70" w:type="dxa"/>
          <w:right w:w="70" w:type="dxa"/>
        </w:tblCellMar>
        <w:tblLook w:val="04A0" w:firstRow="1" w:lastRow="0" w:firstColumn="1" w:lastColumn="0" w:noHBand="0" w:noVBand="1"/>
      </w:tblPr>
      <w:tblGrid>
        <w:gridCol w:w="2297"/>
        <w:gridCol w:w="885"/>
        <w:gridCol w:w="808"/>
        <w:gridCol w:w="1385"/>
        <w:gridCol w:w="774"/>
        <w:gridCol w:w="1250"/>
        <w:gridCol w:w="1391"/>
      </w:tblGrid>
      <w:tr w:rsidR="00792DC6" w:rsidRPr="00792DC6" w14:paraId="065F1880" w14:textId="77777777" w:rsidTr="009109E8">
        <w:trPr>
          <w:trHeight w:val="474"/>
          <w:jc w:val="center"/>
        </w:trPr>
        <w:tc>
          <w:tcPr>
            <w:tcW w:w="1016" w:type="pct"/>
            <w:vMerge w:val="restart"/>
            <w:tcBorders>
              <w:top w:val="single" w:sz="4" w:space="0" w:color="auto"/>
              <w:left w:val="nil"/>
              <w:right w:val="nil"/>
            </w:tcBorders>
            <w:shd w:val="clear" w:color="auto" w:fill="auto"/>
            <w:noWrap/>
            <w:vAlign w:val="center"/>
          </w:tcPr>
          <w:p w14:paraId="4C73E775"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Dimension</w:t>
            </w:r>
          </w:p>
        </w:tc>
        <w:tc>
          <w:tcPr>
            <w:tcW w:w="2040" w:type="pct"/>
            <w:gridSpan w:val="4"/>
            <w:tcBorders>
              <w:top w:val="single" w:sz="4" w:space="0" w:color="auto"/>
              <w:left w:val="nil"/>
              <w:bottom w:val="single" w:sz="4" w:space="0" w:color="auto"/>
              <w:right w:val="nil"/>
            </w:tcBorders>
            <w:shd w:val="clear" w:color="5B9BD5" w:fill="FFFFFF"/>
            <w:vAlign w:val="center"/>
          </w:tcPr>
          <w:p w14:paraId="15836399"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Location</w:t>
            </w:r>
          </w:p>
        </w:tc>
        <w:tc>
          <w:tcPr>
            <w:tcW w:w="1943" w:type="pct"/>
            <w:gridSpan w:val="2"/>
            <w:tcBorders>
              <w:top w:val="single" w:sz="4" w:space="0" w:color="auto"/>
              <w:left w:val="nil"/>
              <w:bottom w:val="single" w:sz="4" w:space="0" w:color="auto"/>
              <w:right w:val="nil"/>
            </w:tcBorders>
            <w:shd w:val="clear" w:color="000000" w:fill="FFFFFF"/>
            <w:vAlign w:val="center"/>
          </w:tcPr>
          <w:p w14:paraId="6C90B43A"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Relative Difference</w:t>
            </w:r>
          </w:p>
        </w:tc>
      </w:tr>
      <w:tr w:rsidR="00792DC6" w:rsidRPr="00792DC6" w14:paraId="147FC4A4" w14:textId="77777777" w:rsidTr="009109E8">
        <w:trPr>
          <w:trHeight w:val="474"/>
          <w:jc w:val="center"/>
        </w:trPr>
        <w:tc>
          <w:tcPr>
            <w:tcW w:w="1016" w:type="pct"/>
            <w:vMerge/>
            <w:tcBorders>
              <w:left w:val="nil"/>
              <w:bottom w:val="single" w:sz="4" w:space="0" w:color="auto"/>
              <w:right w:val="nil"/>
            </w:tcBorders>
            <w:shd w:val="clear" w:color="auto" w:fill="auto"/>
            <w:noWrap/>
            <w:vAlign w:val="center"/>
            <w:hideMark/>
          </w:tcPr>
          <w:p w14:paraId="093B8AB2" w14:textId="77777777" w:rsidR="00792DC6" w:rsidRPr="00792DC6" w:rsidRDefault="00792DC6" w:rsidP="00792DC6">
            <w:pPr>
              <w:pStyle w:val="NoSpacing"/>
              <w:rPr>
                <w:rFonts w:ascii="Arial" w:eastAsia="Times New Roman" w:hAnsi="Arial" w:cs="Arial"/>
                <w:b/>
                <w:bCs/>
                <w:sz w:val="20"/>
                <w:szCs w:val="20"/>
              </w:rPr>
            </w:pPr>
          </w:p>
        </w:tc>
        <w:tc>
          <w:tcPr>
            <w:tcW w:w="406" w:type="pct"/>
            <w:tcBorders>
              <w:top w:val="single" w:sz="4" w:space="0" w:color="auto"/>
              <w:left w:val="nil"/>
              <w:bottom w:val="single" w:sz="4" w:space="0" w:color="auto"/>
              <w:right w:val="nil"/>
            </w:tcBorders>
            <w:shd w:val="clear" w:color="5B9BD5" w:fill="FFFFFF"/>
            <w:vAlign w:val="center"/>
            <w:hideMark/>
          </w:tcPr>
          <w:p w14:paraId="4C4477E0"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General</w:t>
            </w:r>
          </w:p>
        </w:tc>
        <w:tc>
          <w:tcPr>
            <w:tcW w:w="374" w:type="pct"/>
            <w:tcBorders>
              <w:top w:val="single" w:sz="4" w:space="0" w:color="auto"/>
              <w:left w:val="nil"/>
              <w:bottom w:val="single" w:sz="4" w:space="0" w:color="auto"/>
              <w:right w:val="nil"/>
            </w:tcBorders>
            <w:shd w:val="clear" w:color="000000" w:fill="FFFFFF"/>
            <w:noWrap/>
            <w:vAlign w:val="center"/>
            <w:hideMark/>
          </w:tcPr>
          <w:p w14:paraId="79B7A277"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 xml:space="preserve">Private </w:t>
            </w:r>
          </w:p>
          <w:p w14:paraId="14E0A41F"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sector</w:t>
            </w:r>
          </w:p>
        </w:tc>
        <w:tc>
          <w:tcPr>
            <w:tcW w:w="599" w:type="pct"/>
            <w:tcBorders>
              <w:top w:val="single" w:sz="4" w:space="0" w:color="auto"/>
              <w:left w:val="nil"/>
              <w:bottom w:val="single" w:sz="4" w:space="0" w:color="auto"/>
              <w:right w:val="nil"/>
            </w:tcBorders>
            <w:shd w:val="clear" w:color="000000" w:fill="FFFFFF"/>
            <w:noWrap/>
            <w:vAlign w:val="center"/>
            <w:hideMark/>
          </w:tcPr>
          <w:p w14:paraId="0904FA87"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 xml:space="preserve">Private and </w:t>
            </w:r>
          </w:p>
          <w:p w14:paraId="1F0BC88A"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public sector</w:t>
            </w:r>
          </w:p>
        </w:tc>
        <w:tc>
          <w:tcPr>
            <w:tcW w:w="660" w:type="pct"/>
            <w:tcBorders>
              <w:top w:val="single" w:sz="4" w:space="0" w:color="auto"/>
              <w:left w:val="nil"/>
              <w:bottom w:val="single" w:sz="4" w:space="0" w:color="auto"/>
              <w:right w:val="nil"/>
            </w:tcBorders>
            <w:shd w:val="clear" w:color="000000" w:fill="FFFFFF"/>
            <w:noWrap/>
            <w:vAlign w:val="center"/>
            <w:hideMark/>
          </w:tcPr>
          <w:p w14:paraId="22191227"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 xml:space="preserve">Public </w:t>
            </w:r>
          </w:p>
          <w:p w14:paraId="36DA289A"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sector</w:t>
            </w:r>
          </w:p>
        </w:tc>
        <w:tc>
          <w:tcPr>
            <w:tcW w:w="932" w:type="pct"/>
            <w:tcBorders>
              <w:top w:val="single" w:sz="4" w:space="0" w:color="auto"/>
              <w:left w:val="nil"/>
              <w:bottom w:val="single" w:sz="4" w:space="0" w:color="auto"/>
              <w:right w:val="nil"/>
            </w:tcBorders>
            <w:shd w:val="clear" w:color="000000" w:fill="FFFFFF"/>
            <w:vAlign w:val="center"/>
            <w:hideMark/>
          </w:tcPr>
          <w:p w14:paraId="6A546BE4"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 xml:space="preserve">Exclusively public </w:t>
            </w:r>
          </w:p>
          <w:p w14:paraId="43BC02C3"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x</w:t>
            </w:r>
          </w:p>
          <w:p w14:paraId="1EC2D320"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Exclusively private</w:t>
            </w:r>
          </w:p>
        </w:tc>
        <w:tc>
          <w:tcPr>
            <w:tcW w:w="1012" w:type="pct"/>
            <w:tcBorders>
              <w:top w:val="single" w:sz="4" w:space="0" w:color="auto"/>
              <w:left w:val="nil"/>
              <w:bottom w:val="single" w:sz="4" w:space="0" w:color="auto"/>
              <w:right w:val="nil"/>
            </w:tcBorders>
            <w:shd w:val="clear" w:color="000000" w:fill="FFFFFF"/>
            <w:vAlign w:val="center"/>
            <w:hideMark/>
          </w:tcPr>
          <w:p w14:paraId="332A35C3"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 xml:space="preserve">Public + private </w:t>
            </w:r>
          </w:p>
          <w:p w14:paraId="755D4A16"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 xml:space="preserve">x </w:t>
            </w:r>
          </w:p>
          <w:p w14:paraId="16F01C70" w14:textId="77777777" w:rsidR="00792DC6" w:rsidRPr="00792DC6" w:rsidRDefault="00792DC6" w:rsidP="00792DC6">
            <w:pPr>
              <w:pStyle w:val="NoSpacing"/>
              <w:rPr>
                <w:rFonts w:ascii="Arial" w:eastAsia="Times New Roman" w:hAnsi="Arial" w:cs="Arial"/>
                <w:b/>
                <w:bCs/>
                <w:sz w:val="20"/>
                <w:szCs w:val="20"/>
              </w:rPr>
            </w:pPr>
            <w:r w:rsidRPr="00792DC6">
              <w:rPr>
                <w:rFonts w:ascii="Arial" w:eastAsia="Times New Roman" w:hAnsi="Arial" w:cs="Arial"/>
                <w:b/>
                <w:bCs/>
                <w:sz w:val="20"/>
                <w:szCs w:val="20"/>
              </w:rPr>
              <w:t>Exclusively private</w:t>
            </w:r>
          </w:p>
        </w:tc>
      </w:tr>
      <w:tr w:rsidR="00792DC6" w:rsidRPr="00792DC6" w14:paraId="4202624B" w14:textId="77777777" w:rsidTr="009109E8">
        <w:trPr>
          <w:trHeight w:val="236"/>
          <w:jc w:val="center"/>
        </w:trPr>
        <w:tc>
          <w:tcPr>
            <w:tcW w:w="1016" w:type="pct"/>
            <w:tcBorders>
              <w:top w:val="nil"/>
              <w:left w:val="nil"/>
              <w:bottom w:val="nil"/>
              <w:right w:val="nil"/>
            </w:tcBorders>
            <w:shd w:val="clear" w:color="000000" w:fill="FFFFFF"/>
            <w:noWrap/>
            <w:vAlign w:val="center"/>
            <w:hideMark/>
          </w:tcPr>
          <w:p w14:paraId="04A773CA"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Availability</w:t>
            </w:r>
          </w:p>
        </w:tc>
        <w:tc>
          <w:tcPr>
            <w:tcW w:w="406" w:type="pct"/>
            <w:tcBorders>
              <w:top w:val="nil"/>
              <w:left w:val="nil"/>
              <w:bottom w:val="nil"/>
              <w:right w:val="nil"/>
            </w:tcBorders>
            <w:shd w:val="clear" w:color="000000" w:fill="FFFFFF"/>
            <w:noWrap/>
            <w:vAlign w:val="center"/>
            <w:hideMark/>
          </w:tcPr>
          <w:p w14:paraId="2711C64E"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0.5753</w:t>
            </w:r>
          </w:p>
        </w:tc>
        <w:tc>
          <w:tcPr>
            <w:tcW w:w="374" w:type="pct"/>
            <w:tcBorders>
              <w:top w:val="nil"/>
              <w:left w:val="nil"/>
              <w:bottom w:val="nil"/>
              <w:right w:val="nil"/>
            </w:tcBorders>
            <w:shd w:val="clear" w:color="000000" w:fill="FFFFFF"/>
            <w:noWrap/>
            <w:vAlign w:val="center"/>
            <w:hideMark/>
          </w:tcPr>
          <w:p w14:paraId="6FF16178"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0.6238</w:t>
            </w:r>
          </w:p>
        </w:tc>
        <w:tc>
          <w:tcPr>
            <w:tcW w:w="599" w:type="pct"/>
            <w:tcBorders>
              <w:top w:val="nil"/>
              <w:left w:val="nil"/>
              <w:bottom w:val="nil"/>
              <w:right w:val="nil"/>
            </w:tcBorders>
            <w:shd w:val="clear" w:color="000000" w:fill="FFFFFF"/>
            <w:noWrap/>
            <w:vAlign w:val="center"/>
            <w:hideMark/>
          </w:tcPr>
          <w:p w14:paraId="1A352F35"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0.5074</w:t>
            </w:r>
          </w:p>
        </w:tc>
        <w:tc>
          <w:tcPr>
            <w:tcW w:w="660" w:type="pct"/>
            <w:tcBorders>
              <w:top w:val="nil"/>
              <w:left w:val="nil"/>
              <w:bottom w:val="nil"/>
              <w:right w:val="nil"/>
            </w:tcBorders>
            <w:shd w:val="clear" w:color="000000" w:fill="FFFFFF"/>
            <w:noWrap/>
            <w:vAlign w:val="center"/>
            <w:hideMark/>
          </w:tcPr>
          <w:p w14:paraId="0560CC6A"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0.5100</w:t>
            </w:r>
          </w:p>
        </w:tc>
        <w:tc>
          <w:tcPr>
            <w:tcW w:w="932" w:type="pct"/>
            <w:tcBorders>
              <w:top w:val="nil"/>
              <w:left w:val="nil"/>
              <w:bottom w:val="nil"/>
              <w:right w:val="nil"/>
            </w:tcBorders>
            <w:shd w:val="clear" w:color="000000" w:fill="FFFFFF"/>
            <w:noWrap/>
            <w:vAlign w:val="bottom"/>
            <w:hideMark/>
          </w:tcPr>
          <w:p w14:paraId="6D8EAEE9"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-18.2%</w:t>
            </w:r>
          </w:p>
        </w:tc>
        <w:tc>
          <w:tcPr>
            <w:tcW w:w="1012" w:type="pct"/>
            <w:tcBorders>
              <w:top w:val="nil"/>
              <w:left w:val="nil"/>
              <w:bottom w:val="nil"/>
              <w:right w:val="nil"/>
            </w:tcBorders>
            <w:shd w:val="clear" w:color="000000" w:fill="FFFFFF"/>
            <w:noWrap/>
            <w:vAlign w:val="bottom"/>
            <w:hideMark/>
          </w:tcPr>
          <w:p w14:paraId="15D90786"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-18.7%</w:t>
            </w:r>
          </w:p>
        </w:tc>
      </w:tr>
      <w:tr w:rsidR="00792DC6" w:rsidRPr="00792DC6" w14:paraId="30DF070E" w14:textId="77777777" w:rsidTr="009109E8">
        <w:trPr>
          <w:trHeight w:val="236"/>
          <w:jc w:val="center"/>
        </w:trPr>
        <w:tc>
          <w:tcPr>
            <w:tcW w:w="1016" w:type="pct"/>
            <w:tcBorders>
              <w:top w:val="nil"/>
              <w:left w:val="nil"/>
              <w:bottom w:val="nil"/>
              <w:right w:val="nil"/>
            </w:tcBorders>
            <w:shd w:val="clear" w:color="000000" w:fill="FFFFFF"/>
            <w:noWrap/>
            <w:vAlign w:val="center"/>
            <w:hideMark/>
          </w:tcPr>
          <w:p w14:paraId="70819D14"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Geographic accessibility</w:t>
            </w:r>
          </w:p>
        </w:tc>
        <w:tc>
          <w:tcPr>
            <w:tcW w:w="406" w:type="pct"/>
            <w:tcBorders>
              <w:top w:val="nil"/>
              <w:left w:val="nil"/>
              <w:bottom w:val="nil"/>
              <w:right w:val="nil"/>
            </w:tcBorders>
            <w:shd w:val="clear" w:color="000000" w:fill="FFFFFF"/>
            <w:noWrap/>
            <w:vAlign w:val="center"/>
            <w:hideMark/>
          </w:tcPr>
          <w:p w14:paraId="3773ED32"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0.5761</w:t>
            </w:r>
          </w:p>
        </w:tc>
        <w:tc>
          <w:tcPr>
            <w:tcW w:w="374" w:type="pct"/>
            <w:tcBorders>
              <w:top w:val="nil"/>
              <w:left w:val="nil"/>
              <w:bottom w:val="nil"/>
              <w:right w:val="nil"/>
            </w:tcBorders>
            <w:shd w:val="clear" w:color="000000" w:fill="FFFFFF"/>
            <w:noWrap/>
            <w:vAlign w:val="center"/>
            <w:hideMark/>
          </w:tcPr>
          <w:p w14:paraId="755F646A"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0.6153</w:t>
            </w:r>
          </w:p>
        </w:tc>
        <w:tc>
          <w:tcPr>
            <w:tcW w:w="599" w:type="pct"/>
            <w:tcBorders>
              <w:top w:val="nil"/>
              <w:left w:val="nil"/>
              <w:bottom w:val="nil"/>
              <w:right w:val="nil"/>
            </w:tcBorders>
            <w:shd w:val="clear" w:color="000000" w:fill="FFFFFF"/>
            <w:noWrap/>
            <w:vAlign w:val="center"/>
            <w:hideMark/>
          </w:tcPr>
          <w:p w14:paraId="679C1AC3"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0.5226</w:t>
            </w:r>
          </w:p>
        </w:tc>
        <w:tc>
          <w:tcPr>
            <w:tcW w:w="660" w:type="pct"/>
            <w:tcBorders>
              <w:top w:val="nil"/>
              <w:left w:val="nil"/>
              <w:bottom w:val="nil"/>
              <w:right w:val="nil"/>
            </w:tcBorders>
            <w:shd w:val="clear" w:color="000000" w:fill="FFFFFF"/>
            <w:noWrap/>
            <w:vAlign w:val="center"/>
            <w:hideMark/>
          </w:tcPr>
          <w:p w14:paraId="6ABB862D"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0.5300</w:t>
            </w:r>
          </w:p>
        </w:tc>
        <w:tc>
          <w:tcPr>
            <w:tcW w:w="932" w:type="pct"/>
            <w:tcBorders>
              <w:top w:val="nil"/>
              <w:left w:val="nil"/>
              <w:bottom w:val="nil"/>
              <w:right w:val="nil"/>
            </w:tcBorders>
            <w:shd w:val="clear" w:color="000000" w:fill="FFFFFF"/>
            <w:noWrap/>
            <w:vAlign w:val="bottom"/>
            <w:hideMark/>
          </w:tcPr>
          <w:p w14:paraId="3717564C"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-13.9%</w:t>
            </w:r>
          </w:p>
        </w:tc>
        <w:tc>
          <w:tcPr>
            <w:tcW w:w="1012" w:type="pct"/>
            <w:tcBorders>
              <w:top w:val="nil"/>
              <w:left w:val="nil"/>
              <w:bottom w:val="nil"/>
              <w:right w:val="nil"/>
            </w:tcBorders>
            <w:shd w:val="clear" w:color="000000" w:fill="FFFFFF"/>
            <w:noWrap/>
            <w:vAlign w:val="bottom"/>
            <w:hideMark/>
          </w:tcPr>
          <w:p w14:paraId="1556754F"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-15.1%</w:t>
            </w:r>
          </w:p>
        </w:tc>
      </w:tr>
      <w:tr w:rsidR="00792DC6" w:rsidRPr="00792DC6" w14:paraId="063AEAA9" w14:textId="77777777" w:rsidTr="009109E8">
        <w:trPr>
          <w:trHeight w:val="236"/>
          <w:jc w:val="center"/>
        </w:trPr>
        <w:tc>
          <w:tcPr>
            <w:tcW w:w="1016" w:type="pct"/>
            <w:tcBorders>
              <w:top w:val="nil"/>
              <w:left w:val="nil"/>
              <w:bottom w:val="nil"/>
              <w:right w:val="nil"/>
            </w:tcBorders>
            <w:shd w:val="clear" w:color="000000" w:fill="FFFFFF"/>
            <w:noWrap/>
            <w:vAlign w:val="center"/>
            <w:hideMark/>
          </w:tcPr>
          <w:p w14:paraId="771E7621"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Accommodation</w:t>
            </w:r>
          </w:p>
        </w:tc>
        <w:tc>
          <w:tcPr>
            <w:tcW w:w="406" w:type="pct"/>
            <w:tcBorders>
              <w:top w:val="nil"/>
              <w:left w:val="nil"/>
              <w:bottom w:val="nil"/>
              <w:right w:val="nil"/>
            </w:tcBorders>
            <w:shd w:val="clear" w:color="000000" w:fill="FFFFFF"/>
            <w:noWrap/>
            <w:vAlign w:val="center"/>
            <w:hideMark/>
          </w:tcPr>
          <w:p w14:paraId="66A6CC38"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0.5605</w:t>
            </w:r>
          </w:p>
        </w:tc>
        <w:tc>
          <w:tcPr>
            <w:tcW w:w="374" w:type="pct"/>
            <w:tcBorders>
              <w:top w:val="nil"/>
              <w:left w:val="nil"/>
              <w:bottom w:val="nil"/>
              <w:right w:val="nil"/>
            </w:tcBorders>
            <w:shd w:val="clear" w:color="000000" w:fill="FFFFFF"/>
            <w:noWrap/>
            <w:vAlign w:val="center"/>
            <w:hideMark/>
          </w:tcPr>
          <w:p w14:paraId="27F5607B"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0.5771</w:t>
            </w:r>
          </w:p>
        </w:tc>
        <w:tc>
          <w:tcPr>
            <w:tcW w:w="599" w:type="pct"/>
            <w:tcBorders>
              <w:top w:val="nil"/>
              <w:left w:val="nil"/>
              <w:bottom w:val="nil"/>
              <w:right w:val="nil"/>
            </w:tcBorders>
            <w:shd w:val="clear" w:color="000000" w:fill="FFFFFF"/>
            <w:noWrap/>
            <w:vAlign w:val="center"/>
            <w:hideMark/>
          </w:tcPr>
          <w:p w14:paraId="0B8303E3"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0.5356</w:t>
            </w:r>
          </w:p>
        </w:tc>
        <w:tc>
          <w:tcPr>
            <w:tcW w:w="660" w:type="pct"/>
            <w:tcBorders>
              <w:top w:val="nil"/>
              <w:left w:val="nil"/>
              <w:bottom w:val="nil"/>
              <w:right w:val="nil"/>
            </w:tcBorders>
            <w:shd w:val="clear" w:color="000000" w:fill="FFFFFF"/>
            <w:noWrap/>
            <w:vAlign w:val="center"/>
            <w:hideMark/>
          </w:tcPr>
          <w:p w14:paraId="3C38CD98"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0.4900</w:t>
            </w:r>
          </w:p>
        </w:tc>
        <w:tc>
          <w:tcPr>
            <w:tcW w:w="932" w:type="pct"/>
            <w:tcBorders>
              <w:top w:val="nil"/>
              <w:left w:val="nil"/>
              <w:bottom w:val="nil"/>
              <w:right w:val="nil"/>
            </w:tcBorders>
            <w:shd w:val="clear" w:color="000000" w:fill="FFFFFF"/>
            <w:noWrap/>
            <w:vAlign w:val="bottom"/>
            <w:hideMark/>
          </w:tcPr>
          <w:p w14:paraId="6A34078C"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-15.1%</w:t>
            </w:r>
          </w:p>
        </w:tc>
        <w:tc>
          <w:tcPr>
            <w:tcW w:w="1012" w:type="pct"/>
            <w:tcBorders>
              <w:top w:val="nil"/>
              <w:left w:val="nil"/>
              <w:bottom w:val="nil"/>
              <w:right w:val="nil"/>
            </w:tcBorders>
            <w:shd w:val="clear" w:color="000000" w:fill="FFFFFF"/>
            <w:noWrap/>
            <w:vAlign w:val="bottom"/>
            <w:hideMark/>
          </w:tcPr>
          <w:p w14:paraId="69128310"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-7.2%</w:t>
            </w:r>
          </w:p>
        </w:tc>
      </w:tr>
      <w:tr w:rsidR="00792DC6" w:rsidRPr="00792DC6" w14:paraId="401B5779" w14:textId="77777777" w:rsidTr="009109E8">
        <w:trPr>
          <w:trHeight w:val="236"/>
          <w:jc w:val="center"/>
        </w:trPr>
        <w:tc>
          <w:tcPr>
            <w:tcW w:w="1016" w:type="pct"/>
            <w:tcBorders>
              <w:top w:val="nil"/>
              <w:left w:val="nil"/>
              <w:bottom w:val="nil"/>
              <w:right w:val="nil"/>
            </w:tcBorders>
            <w:shd w:val="clear" w:color="000000" w:fill="FFFFFF"/>
            <w:noWrap/>
            <w:vAlign w:val="center"/>
            <w:hideMark/>
          </w:tcPr>
          <w:p w14:paraId="1D4913D0"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Affordability</w:t>
            </w:r>
          </w:p>
        </w:tc>
        <w:tc>
          <w:tcPr>
            <w:tcW w:w="406" w:type="pct"/>
            <w:tcBorders>
              <w:top w:val="nil"/>
              <w:left w:val="nil"/>
              <w:bottom w:val="nil"/>
              <w:right w:val="nil"/>
            </w:tcBorders>
            <w:shd w:val="clear" w:color="000000" w:fill="FFFFFF"/>
            <w:noWrap/>
            <w:vAlign w:val="center"/>
            <w:hideMark/>
          </w:tcPr>
          <w:p w14:paraId="1789D1CE"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0.5260</w:t>
            </w:r>
          </w:p>
        </w:tc>
        <w:tc>
          <w:tcPr>
            <w:tcW w:w="374" w:type="pct"/>
            <w:tcBorders>
              <w:top w:val="nil"/>
              <w:left w:val="nil"/>
              <w:bottom w:val="nil"/>
              <w:right w:val="nil"/>
            </w:tcBorders>
            <w:shd w:val="clear" w:color="000000" w:fill="FFFFFF"/>
            <w:noWrap/>
            <w:vAlign w:val="center"/>
            <w:hideMark/>
          </w:tcPr>
          <w:p w14:paraId="1D428B01"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0.5891</w:t>
            </w:r>
          </w:p>
        </w:tc>
        <w:tc>
          <w:tcPr>
            <w:tcW w:w="599" w:type="pct"/>
            <w:tcBorders>
              <w:top w:val="nil"/>
              <w:left w:val="nil"/>
              <w:bottom w:val="nil"/>
              <w:right w:val="nil"/>
            </w:tcBorders>
            <w:shd w:val="clear" w:color="000000" w:fill="FFFFFF"/>
            <w:noWrap/>
            <w:vAlign w:val="center"/>
            <w:hideMark/>
          </w:tcPr>
          <w:p w14:paraId="1CDB5D90"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0.4398</w:t>
            </w:r>
          </w:p>
        </w:tc>
        <w:tc>
          <w:tcPr>
            <w:tcW w:w="660" w:type="pct"/>
            <w:tcBorders>
              <w:top w:val="nil"/>
              <w:left w:val="nil"/>
              <w:bottom w:val="nil"/>
              <w:right w:val="nil"/>
            </w:tcBorders>
            <w:shd w:val="clear" w:color="000000" w:fill="FFFFFF"/>
            <w:noWrap/>
            <w:vAlign w:val="center"/>
            <w:hideMark/>
          </w:tcPr>
          <w:p w14:paraId="26A119A2"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0.4386</w:t>
            </w:r>
          </w:p>
        </w:tc>
        <w:tc>
          <w:tcPr>
            <w:tcW w:w="932" w:type="pct"/>
            <w:tcBorders>
              <w:top w:val="nil"/>
              <w:left w:val="nil"/>
              <w:bottom w:val="nil"/>
              <w:right w:val="nil"/>
            </w:tcBorders>
            <w:shd w:val="clear" w:color="000000" w:fill="FFFFFF"/>
            <w:noWrap/>
            <w:vAlign w:val="bottom"/>
            <w:hideMark/>
          </w:tcPr>
          <w:p w14:paraId="0D6117CC"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-25.6%</w:t>
            </w:r>
          </w:p>
        </w:tc>
        <w:tc>
          <w:tcPr>
            <w:tcW w:w="1012" w:type="pct"/>
            <w:tcBorders>
              <w:top w:val="nil"/>
              <w:left w:val="nil"/>
              <w:bottom w:val="nil"/>
              <w:right w:val="nil"/>
            </w:tcBorders>
            <w:shd w:val="clear" w:color="000000" w:fill="FFFFFF"/>
            <w:noWrap/>
            <w:vAlign w:val="bottom"/>
            <w:hideMark/>
          </w:tcPr>
          <w:p w14:paraId="60DAAC92"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-25.3%</w:t>
            </w:r>
          </w:p>
        </w:tc>
      </w:tr>
      <w:tr w:rsidR="00792DC6" w:rsidRPr="00792DC6" w14:paraId="752A715A" w14:textId="77777777" w:rsidTr="009109E8">
        <w:trPr>
          <w:trHeight w:val="236"/>
          <w:jc w:val="center"/>
        </w:trPr>
        <w:tc>
          <w:tcPr>
            <w:tcW w:w="1016" w:type="pct"/>
            <w:tcBorders>
              <w:top w:val="nil"/>
              <w:left w:val="nil"/>
              <w:bottom w:val="nil"/>
              <w:right w:val="nil"/>
            </w:tcBorders>
            <w:shd w:val="clear" w:color="000000" w:fill="FFFFFF"/>
            <w:noWrap/>
            <w:vAlign w:val="center"/>
            <w:hideMark/>
          </w:tcPr>
          <w:p w14:paraId="73F78F27"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Acceptability</w:t>
            </w:r>
          </w:p>
        </w:tc>
        <w:tc>
          <w:tcPr>
            <w:tcW w:w="406" w:type="pct"/>
            <w:tcBorders>
              <w:top w:val="nil"/>
              <w:left w:val="nil"/>
              <w:bottom w:val="nil"/>
              <w:right w:val="nil"/>
            </w:tcBorders>
            <w:shd w:val="clear" w:color="000000" w:fill="FFFFFF"/>
            <w:noWrap/>
            <w:vAlign w:val="center"/>
            <w:hideMark/>
          </w:tcPr>
          <w:p w14:paraId="7B3BAEF8"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0.5204</w:t>
            </w:r>
          </w:p>
        </w:tc>
        <w:tc>
          <w:tcPr>
            <w:tcW w:w="374" w:type="pct"/>
            <w:tcBorders>
              <w:top w:val="nil"/>
              <w:left w:val="nil"/>
              <w:bottom w:val="nil"/>
              <w:right w:val="nil"/>
            </w:tcBorders>
            <w:shd w:val="clear" w:color="000000" w:fill="FFFFFF"/>
            <w:noWrap/>
            <w:vAlign w:val="center"/>
            <w:hideMark/>
          </w:tcPr>
          <w:p w14:paraId="3BB45E33"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0.5283</w:t>
            </w:r>
          </w:p>
        </w:tc>
        <w:tc>
          <w:tcPr>
            <w:tcW w:w="599" w:type="pct"/>
            <w:tcBorders>
              <w:top w:val="nil"/>
              <w:left w:val="nil"/>
              <w:bottom w:val="nil"/>
              <w:right w:val="nil"/>
            </w:tcBorders>
            <w:shd w:val="clear" w:color="000000" w:fill="FFFFFF"/>
            <w:noWrap/>
            <w:vAlign w:val="center"/>
            <w:hideMark/>
          </w:tcPr>
          <w:p w14:paraId="118E98FB"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0.5076</w:t>
            </w:r>
          </w:p>
        </w:tc>
        <w:tc>
          <w:tcPr>
            <w:tcW w:w="660" w:type="pct"/>
            <w:tcBorders>
              <w:top w:val="nil"/>
              <w:left w:val="nil"/>
              <w:bottom w:val="nil"/>
              <w:right w:val="nil"/>
            </w:tcBorders>
            <w:shd w:val="clear" w:color="000000" w:fill="FFFFFF"/>
            <w:noWrap/>
            <w:vAlign w:val="center"/>
            <w:hideMark/>
          </w:tcPr>
          <w:p w14:paraId="268F8F7B"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0.5771</w:t>
            </w:r>
          </w:p>
        </w:tc>
        <w:tc>
          <w:tcPr>
            <w:tcW w:w="932" w:type="pct"/>
            <w:tcBorders>
              <w:top w:val="nil"/>
              <w:left w:val="nil"/>
              <w:bottom w:val="nil"/>
              <w:right w:val="nil"/>
            </w:tcBorders>
            <w:shd w:val="clear" w:color="000000" w:fill="FFFFFF"/>
            <w:noWrap/>
            <w:vAlign w:val="bottom"/>
            <w:hideMark/>
          </w:tcPr>
          <w:p w14:paraId="6C80214C"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9.2%</w:t>
            </w:r>
          </w:p>
        </w:tc>
        <w:tc>
          <w:tcPr>
            <w:tcW w:w="1012" w:type="pct"/>
            <w:tcBorders>
              <w:top w:val="nil"/>
              <w:left w:val="nil"/>
              <w:bottom w:val="nil"/>
              <w:right w:val="nil"/>
            </w:tcBorders>
            <w:shd w:val="clear" w:color="000000" w:fill="FFFFFF"/>
            <w:noWrap/>
            <w:vAlign w:val="bottom"/>
            <w:hideMark/>
          </w:tcPr>
          <w:p w14:paraId="0A8A429F"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-3.9%</w:t>
            </w:r>
          </w:p>
        </w:tc>
      </w:tr>
      <w:tr w:rsidR="00792DC6" w:rsidRPr="00792DC6" w14:paraId="59903917" w14:textId="77777777" w:rsidTr="009109E8">
        <w:trPr>
          <w:trHeight w:val="236"/>
          <w:jc w:val="center"/>
        </w:trPr>
        <w:tc>
          <w:tcPr>
            <w:tcW w:w="1016" w:type="pct"/>
            <w:tcBorders>
              <w:top w:val="nil"/>
              <w:left w:val="nil"/>
              <w:bottom w:val="single" w:sz="4" w:space="0" w:color="auto"/>
              <w:right w:val="nil"/>
            </w:tcBorders>
            <w:shd w:val="clear" w:color="000000" w:fill="FFFFFF"/>
            <w:vAlign w:val="center"/>
            <w:hideMark/>
          </w:tcPr>
          <w:p w14:paraId="784B6E3F" w14:textId="77777777" w:rsidR="00792DC6" w:rsidRPr="00792DC6" w:rsidRDefault="00792DC6" w:rsidP="00792DC6">
            <w:pPr>
              <w:pStyle w:val="NoSpacing"/>
              <w:rPr>
                <w:rFonts w:ascii="Arial" w:eastAsia="Times New Roman" w:hAnsi="Arial" w:cs="Arial"/>
                <w:bCs/>
                <w:sz w:val="20"/>
                <w:szCs w:val="20"/>
              </w:rPr>
            </w:pPr>
            <w:r w:rsidRPr="00792DC6">
              <w:rPr>
                <w:rFonts w:ascii="Arial" w:eastAsia="Times New Roman" w:hAnsi="Arial" w:cs="Arial"/>
                <w:bCs/>
                <w:sz w:val="20"/>
                <w:szCs w:val="20"/>
              </w:rPr>
              <w:t>Relative Weight</w:t>
            </w:r>
          </w:p>
        </w:tc>
        <w:tc>
          <w:tcPr>
            <w:tcW w:w="406" w:type="pct"/>
            <w:tcBorders>
              <w:top w:val="nil"/>
              <w:left w:val="nil"/>
              <w:bottom w:val="single" w:sz="4" w:space="0" w:color="auto"/>
              <w:right w:val="nil"/>
            </w:tcBorders>
            <w:shd w:val="clear" w:color="000000" w:fill="FFFFFF"/>
            <w:noWrap/>
            <w:vAlign w:val="center"/>
            <w:hideMark/>
          </w:tcPr>
          <w:p w14:paraId="00D15E1A" w14:textId="77777777" w:rsidR="00792DC6" w:rsidRPr="00792DC6" w:rsidRDefault="00792DC6" w:rsidP="00792DC6">
            <w:pPr>
              <w:pStyle w:val="NoSpacing"/>
              <w:rPr>
                <w:rFonts w:ascii="Arial" w:eastAsia="Times New Roman" w:hAnsi="Arial" w:cs="Arial"/>
                <w:bCs/>
                <w:sz w:val="20"/>
                <w:szCs w:val="20"/>
              </w:rPr>
            </w:pPr>
            <w:r w:rsidRPr="00792DC6">
              <w:rPr>
                <w:rFonts w:ascii="Arial" w:eastAsia="Times New Roman" w:hAnsi="Arial" w:cs="Arial"/>
                <w:bCs/>
                <w:sz w:val="20"/>
                <w:szCs w:val="20"/>
              </w:rPr>
              <w:t>0.5517</w:t>
            </w:r>
          </w:p>
        </w:tc>
        <w:tc>
          <w:tcPr>
            <w:tcW w:w="374" w:type="pct"/>
            <w:tcBorders>
              <w:top w:val="nil"/>
              <w:left w:val="nil"/>
              <w:bottom w:val="single" w:sz="4" w:space="0" w:color="auto"/>
              <w:right w:val="nil"/>
            </w:tcBorders>
            <w:shd w:val="clear" w:color="000000" w:fill="FFFFFF"/>
            <w:noWrap/>
            <w:vAlign w:val="center"/>
            <w:hideMark/>
          </w:tcPr>
          <w:p w14:paraId="7B13BE9E" w14:textId="77777777" w:rsidR="00792DC6" w:rsidRPr="00792DC6" w:rsidRDefault="00792DC6" w:rsidP="00792DC6">
            <w:pPr>
              <w:pStyle w:val="NoSpacing"/>
              <w:rPr>
                <w:rFonts w:ascii="Arial" w:eastAsia="Times New Roman" w:hAnsi="Arial" w:cs="Arial"/>
                <w:bCs/>
                <w:sz w:val="20"/>
                <w:szCs w:val="20"/>
              </w:rPr>
            </w:pPr>
            <w:r w:rsidRPr="00792DC6">
              <w:rPr>
                <w:rFonts w:ascii="Arial" w:eastAsia="Times New Roman" w:hAnsi="Arial" w:cs="Arial"/>
                <w:bCs/>
                <w:sz w:val="20"/>
                <w:szCs w:val="20"/>
              </w:rPr>
              <w:t>0.5867</w:t>
            </w:r>
          </w:p>
        </w:tc>
        <w:tc>
          <w:tcPr>
            <w:tcW w:w="599" w:type="pct"/>
            <w:tcBorders>
              <w:top w:val="nil"/>
              <w:left w:val="nil"/>
              <w:bottom w:val="single" w:sz="4" w:space="0" w:color="auto"/>
              <w:right w:val="nil"/>
            </w:tcBorders>
            <w:shd w:val="clear" w:color="000000" w:fill="FFFFFF"/>
            <w:noWrap/>
            <w:vAlign w:val="center"/>
            <w:hideMark/>
          </w:tcPr>
          <w:p w14:paraId="3F84B5ED" w14:textId="77777777" w:rsidR="00792DC6" w:rsidRPr="00792DC6" w:rsidRDefault="00792DC6" w:rsidP="00792DC6">
            <w:pPr>
              <w:pStyle w:val="NoSpacing"/>
              <w:rPr>
                <w:rFonts w:ascii="Arial" w:eastAsia="Times New Roman" w:hAnsi="Arial" w:cs="Arial"/>
                <w:bCs/>
                <w:sz w:val="20"/>
                <w:szCs w:val="20"/>
              </w:rPr>
            </w:pPr>
            <w:r w:rsidRPr="00792DC6">
              <w:rPr>
                <w:rFonts w:ascii="Arial" w:eastAsia="Times New Roman" w:hAnsi="Arial" w:cs="Arial"/>
                <w:bCs/>
                <w:sz w:val="20"/>
                <w:szCs w:val="20"/>
              </w:rPr>
              <w:t>0.5026</w:t>
            </w:r>
          </w:p>
        </w:tc>
        <w:tc>
          <w:tcPr>
            <w:tcW w:w="660" w:type="pct"/>
            <w:tcBorders>
              <w:top w:val="nil"/>
              <w:left w:val="nil"/>
              <w:bottom w:val="single" w:sz="4" w:space="0" w:color="auto"/>
              <w:right w:val="nil"/>
            </w:tcBorders>
            <w:shd w:val="clear" w:color="000000" w:fill="FFFFFF"/>
            <w:noWrap/>
            <w:vAlign w:val="center"/>
            <w:hideMark/>
          </w:tcPr>
          <w:p w14:paraId="61441425" w14:textId="77777777" w:rsidR="00792DC6" w:rsidRPr="00792DC6" w:rsidRDefault="00792DC6" w:rsidP="00792DC6">
            <w:pPr>
              <w:pStyle w:val="NoSpacing"/>
              <w:rPr>
                <w:rFonts w:ascii="Arial" w:eastAsia="Times New Roman" w:hAnsi="Arial" w:cs="Arial"/>
                <w:bCs/>
                <w:sz w:val="20"/>
                <w:szCs w:val="20"/>
              </w:rPr>
            </w:pPr>
            <w:r w:rsidRPr="00792DC6">
              <w:rPr>
                <w:rFonts w:ascii="Arial" w:eastAsia="Times New Roman" w:hAnsi="Arial" w:cs="Arial"/>
                <w:bCs/>
                <w:sz w:val="20"/>
                <w:szCs w:val="20"/>
              </w:rPr>
              <w:t>0.5091</w:t>
            </w:r>
          </w:p>
        </w:tc>
        <w:tc>
          <w:tcPr>
            <w:tcW w:w="932" w:type="pct"/>
            <w:tcBorders>
              <w:top w:val="nil"/>
              <w:left w:val="nil"/>
              <w:bottom w:val="single" w:sz="4" w:space="0" w:color="auto"/>
              <w:right w:val="nil"/>
            </w:tcBorders>
            <w:shd w:val="clear" w:color="000000" w:fill="FFFFFF"/>
            <w:noWrap/>
            <w:vAlign w:val="bottom"/>
            <w:hideMark/>
          </w:tcPr>
          <w:p w14:paraId="0BC5C17C"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-18.2%</w:t>
            </w:r>
          </w:p>
        </w:tc>
        <w:tc>
          <w:tcPr>
            <w:tcW w:w="1012" w:type="pct"/>
            <w:tcBorders>
              <w:top w:val="nil"/>
              <w:left w:val="nil"/>
              <w:bottom w:val="single" w:sz="4" w:space="0" w:color="auto"/>
              <w:right w:val="nil"/>
            </w:tcBorders>
            <w:shd w:val="clear" w:color="000000" w:fill="FFFFFF"/>
            <w:noWrap/>
            <w:vAlign w:val="bottom"/>
            <w:hideMark/>
          </w:tcPr>
          <w:p w14:paraId="3C9C770E" w14:textId="77777777" w:rsidR="00792DC6" w:rsidRPr="00792DC6" w:rsidRDefault="00792DC6" w:rsidP="00792DC6">
            <w:pPr>
              <w:pStyle w:val="NoSpacing"/>
              <w:rPr>
                <w:rFonts w:ascii="Arial" w:eastAsia="Times New Roman" w:hAnsi="Arial" w:cs="Arial"/>
                <w:sz w:val="20"/>
                <w:szCs w:val="20"/>
              </w:rPr>
            </w:pPr>
            <w:r w:rsidRPr="00792DC6">
              <w:rPr>
                <w:rFonts w:ascii="Arial" w:eastAsia="Times New Roman" w:hAnsi="Arial" w:cs="Arial"/>
                <w:sz w:val="20"/>
                <w:szCs w:val="20"/>
              </w:rPr>
              <w:t>-18.7%</w:t>
            </w:r>
          </w:p>
        </w:tc>
      </w:tr>
    </w:tbl>
    <w:p w14:paraId="743EC1C0" w14:textId="77777777" w:rsidR="007A515F" w:rsidRDefault="007A515F" w:rsidP="007A515F">
      <w:pPr>
        <w:pStyle w:val="NoSpacing"/>
        <w:rPr>
          <w:rFonts w:ascii="Arial" w:hAnsi="Arial" w:cs="Arial"/>
          <w:sz w:val="20"/>
          <w:szCs w:val="20"/>
        </w:rPr>
      </w:pPr>
    </w:p>
    <w:p w14:paraId="033B0A0E" w14:textId="6DC33114"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Table 6 presents the hypothetical scenarios </w:t>
      </w:r>
      <w:r w:rsidR="00BF669A" w:rsidRPr="007A515F">
        <w:rPr>
          <w:rFonts w:ascii="Arial" w:hAnsi="Arial" w:cs="Arial"/>
          <w:sz w:val="20"/>
          <w:szCs w:val="20"/>
        </w:rPr>
        <w:t xml:space="preserve">mentioned in the Methods section </w:t>
      </w:r>
      <w:r w:rsidRPr="007A515F">
        <w:rPr>
          <w:rFonts w:ascii="Arial" w:hAnsi="Arial" w:cs="Arial"/>
          <w:sz w:val="20"/>
          <w:szCs w:val="20"/>
        </w:rPr>
        <w:t xml:space="preserve">that showed how the access indicator would behave in three different simulations (A, B and C) to illustrate how the indicator is used in practice. In Scenario B, for example, in which the availability of </w:t>
      </w:r>
      <w:r w:rsidR="007A612F" w:rsidRPr="007A515F">
        <w:rPr>
          <w:rFonts w:ascii="Arial" w:hAnsi="Arial" w:cs="Arial"/>
          <w:sz w:val="20"/>
          <w:szCs w:val="20"/>
        </w:rPr>
        <w:t>medicines</w:t>
      </w:r>
      <w:r w:rsidRPr="007A515F">
        <w:rPr>
          <w:rFonts w:ascii="Arial" w:hAnsi="Arial" w:cs="Arial"/>
          <w:sz w:val="20"/>
          <w:szCs w:val="20"/>
        </w:rPr>
        <w:t xml:space="preserve"> was only 85%, geographic accessibility was 90%, accommodation and acceptability </w:t>
      </w:r>
      <w:r w:rsidRPr="007A515F">
        <w:rPr>
          <w:rFonts w:ascii="Arial" w:hAnsi="Arial" w:cs="Arial"/>
          <w:sz w:val="20"/>
          <w:szCs w:val="20"/>
        </w:rPr>
        <w:lastRenderedPageBreak/>
        <w:t>was 95%, and affordability was 50%, the unique access indicator proposed would be 82.8% in the private sector and 84.2% in the public sector.</w:t>
      </w:r>
    </w:p>
    <w:p w14:paraId="444A88CE" w14:textId="77777777" w:rsidR="007A515F" w:rsidRDefault="007A515F" w:rsidP="007A515F">
      <w:pPr>
        <w:pStyle w:val="NoSpacing"/>
        <w:rPr>
          <w:rFonts w:ascii="Arial" w:hAnsi="Arial" w:cs="Arial"/>
          <w:color w:val="FF0000"/>
          <w:sz w:val="20"/>
          <w:szCs w:val="20"/>
        </w:rPr>
      </w:pPr>
    </w:p>
    <w:p w14:paraId="3DB804D7" w14:textId="6569E881" w:rsidR="00792DC6" w:rsidRDefault="00792DC6" w:rsidP="00792DC6">
      <w:pPr>
        <w:pStyle w:val="NoSpacing"/>
        <w:rPr>
          <w:rFonts w:ascii="Arial" w:hAnsi="Arial" w:cs="Arial"/>
          <w:sz w:val="20"/>
          <w:szCs w:val="20"/>
          <w:u w:val="single"/>
        </w:rPr>
      </w:pPr>
      <w:r w:rsidRPr="00792DC6">
        <w:rPr>
          <w:rFonts w:ascii="Arial" w:eastAsia="Times New Roman" w:hAnsi="Arial" w:cs="Arial"/>
          <w:sz w:val="20"/>
          <w:szCs w:val="20"/>
          <w:u w:val="single"/>
        </w:rPr>
        <w:t xml:space="preserve">Table </w:t>
      </w:r>
      <w:bookmarkStart w:id="0" w:name="_GoBack"/>
      <w:bookmarkEnd w:id="0"/>
      <w:r w:rsidRPr="00792DC6">
        <w:rPr>
          <w:rFonts w:ascii="Arial" w:eastAsia="Times New Roman" w:hAnsi="Arial" w:cs="Arial"/>
          <w:sz w:val="20"/>
          <w:szCs w:val="20"/>
          <w:u w:val="single"/>
        </w:rPr>
        <w:t xml:space="preserve">6: </w:t>
      </w:r>
      <w:r w:rsidRPr="00792DC6">
        <w:rPr>
          <w:rFonts w:ascii="Arial" w:hAnsi="Arial" w:cs="Arial"/>
          <w:sz w:val="20"/>
          <w:szCs w:val="20"/>
          <w:u w:val="single"/>
        </w:rPr>
        <w:t xml:space="preserve">Unique access to medicines indicator from three different hypothetic scenarios </w:t>
      </w:r>
    </w:p>
    <w:p w14:paraId="1DC9E52E" w14:textId="77777777" w:rsidR="00792DC6" w:rsidRPr="00792DC6" w:rsidRDefault="00792DC6" w:rsidP="00792DC6">
      <w:pPr>
        <w:pStyle w:val="NoSpacing"/>
        <w:rPr>
          <w:rFonts w:ascii="Arial" w:hAnsi="Arial" w:cs="Arial"/>
          <w:sz w:val="20"/>
          <w:szCs w:val="20"/>
          <w:u w:val="single"/>
        </w:rPr>
      </w:pPr>
    </w:p>
    <w:tbl>
      <w:tblPr>
        <w:tblW w:w="5030" w:type="pct"/>
        <w:jc w:val="center"/>
        <w:tblCellMar>
          <w:left w:w="70" w:type="dxa"/>
          <w:right w:w="70" w:type="dxa"/>
        </w:tblCellMar>
        <w:tblLook w:val="04A0" w:firstRow="1" w:lastRow="0" w:firstColumn="1" w:lastColumn="0" w:noHBand="0" w:noVBand="1"/>
      </w:tblPr>
      <w:tblGrid>
        <w:gridCol w:w="991"/>
        <w:gridCol w:w="991"/>
        <w:gridCol w:w="1121"/>
        <w:gridCol w:w="1481"/>
        <w:gridCol w:w="1081"/>
        <w:gridCol w:w="1151"/>
        <w:gridCol w:w="1101"/>
        <w:gridCol w:w="701"/>
        <w:gridCol w:w="701"/>
        <w:gridCol w:w="701"/>
      </w:tblGrid>
      <w:tr w:rsidR="00792DC6" w:rsidRPr="00792DC6" w14:paraId="399302B0" w14:textId="77777777" w:rsidTr="009109E8">
        <w:trPr>
          <w:trHeight w:val="387"/>
          <w:jc w:val="center"/>
        </w:trPr>
        <w:tc>
          <w:tcPr>
            <w:tcW w:w="378" w:type="pct"/>
            <w:vMerge w:val="restart"/>
            <w:tcBorders>
              <w:top w:val="single" w:sz="4" w:space="0" w:color="auto"/>
              <w:left w:val="nil"/>
              <w:bottom w:val="single" w:sz="4" w:space="0" w:color="000000"/>
              <w:right w:val="nil"/>
            </w:tcBorders>
            <w:shd w:val="clear" w:color="000000" w:fill="FFFFFF"/>
            <w:vAlign w:val="center"/>
            <w:hideMark/>
          </w:tcPr>
          <w:p w14:paraId="579E8738"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Hypothetic</w:t>
            </w:r>
          </w:p>
          <w:p w14:paraId="77B64462"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Scenarios</w:t>
            </w:r>
          </w:p>
        </w:tc>
        <w:tc>
          <w:tcPr>
            <w:tcW w:w="3121" w:type="pct"/>
            <w:gridSpan w:val="5"/>
            <w:tcBorders>
              <w:top w:val="single" w:sz="4" w:space="0" w:color="auto"/>
              <w:left w:val="nil"/>
              <w:bottom w:val="nil"/>
              <w:right w:val="nil"/>
            </w:tcBorders>
            <w:shd w:val="clear" w:color="000000" w:fill="D9D9D9"/>
            <w:vAlign w:val="center"/>
            <w:hideMark/>
          </w:tcPr>
          <w:p w14:paraId="266A6A06"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 xml:space="preserve">Access </w:t>
            </w:r>
          </w:p>
        </w:tc>
        <w:tc>
          <w:tcPr>
            <w:tcW w:w="351" w:type="pct"/>
            <w:vMerge w:val="restart"/>
            <w:tcBorders>
              <w:top w:val="single" w:sz="4" w:space="0" w:color="auto"/>
              <w:left w:val="nil"/>
              <w:bottom w:val="single" w:sz="4" w:space="0" w:color="000000"/>
              <w:right w:val="nil"/>
            </w:tcBorders>
            <w:shd w:val="clear" w:color="000000" w:fill="A6A6A6"/>
            <w:vAlign w:val="center"/>
            <w:hideMark/>
          </w:tcPr>
          <w:p w14:paraId="5B723CEC"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General population’s access</w:t>
            </w:r>
          </w:p>
        </w:tc>
        <w:tc>
          <w:tcPr>
            <w:tcW w:w="369" w:type="pct"/>
            <w:vMerge w:val="restart"/>
            <w:tcBorders>
              <w:top w:val="single" w:sz="4" w:space="0" w:color="auto"/>
              <w:left w:val="nil"/>
              <w:bottom w:val="single" w:sz="4" w:space="0" w:color="000000"/>
              <w:right w:val="nil"/>
            </w:tcBorders>
            <w:shd w:val="clear" w:color="000000" w:fill="A6A6A6"/>
            <w:vAlign w:val="center"/>
            <w:hideMark/>
          </w:tcPr>
          <w:p w14:paraId="48981448"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Private access</w:t>
            </w:r>
          </w:p>
        </w:tc>
        <w:tc>
          <w:tcPr>
            <w:tcW w:w="417" w:type="pct"/>
            <w:vMerge w:val="restart"/>
            <w:tcBorders>
              <w:top w:val="single" w:sz="4" w:space="0" w:color="auto"/>
              <w:left w:val="nil"/>
              <w:bottom w:val="single" w:sz="4" w:space="0" w:color="000000"/>
              <w:right w:val="nil"/>
            </w:tcBorders>
            <w:shd w:val="clear" w:color="000000" w:fill="A6A6A6"/>
            <w:vAlign w:val="center"/>
            <w:hideMark/>
          </w:tcPr>
          <w:p w14:paraId="0D4EF33D"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Public + private access</w:t>
            </w:r>
          </w:p>
        </w:tc>
        <w:tc>
          <w:tcPr>
            <w:tcW w:w="364" w:type="pct"/>
            <w:vMerge w:val="restart"/>
            <w:tcBorders>
              <w:top w:val="single" w:sz="4" w:space="0" w:color="auto"/>
              <w:left w:val="nil"/>
              <w:bottom w:val="single" w:sz="4" w:space="0" w:color="000000"/>
              <w:right w:val="nil"/>
            </w:tcBorders>
            <w:shd w:val="clear" w:color="000000" w:fill="A6A6A6"/>
            <w:vAlign w:val="center"/>
            <w:hideMark/>
          </w:tcPr>
          <w:p w14:paraId="28D61FE9"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Public access</w:t>
            </w:r>
          </w:p>
        </w:tc>
      </w:tr>
      <w:tr w:rsidR="00792DC6" w:rsidRPr="00792DC6" w14:paraId="33200B08" w14:textId="77777777" w:rsidTr="009109E8">
        <w:trPr>
          <w:trHeight w:val="595"/>
          <w:jc w:val="center"/>
        </w:trPr>
        <w:tc>
          <w:tcPr>
            <w:tcW w:w="378" w:type="pct"/>
            <w:vMerge/>
            <w:tcBorders>
              <w:top w:val="single" w:sz="4" w:space="0" w:color="auto"/>
              <w:left w:val="nil"/>
              <w:bottom w:val="single" w:sz="4" w:space="0" w:color="000000"/>
              <w:right w:val="nil"/>
            </w:tcBorders>
            <w:vAlign w:val="center"/>
            <w:hideMark/>
          </w:tcPr>
          <w:p w14:paraId="57DAF9FF" w14:textId="77777777" w:rsidR="00792DC6" w:rsidRPr="00792DC6" w:rsidRDefault="00792DC6" w:rsidP="00792DC6">
            <w:pPr>
              <w:pStyle w:val="NoSpacing"/>
              <w:rPr>
                <w:rFonts w:ascii="Arial" w:eastAsia="Times New Roman" w:hAnsi="Arial" w:cs="Arial"/>
                <w:bCs/>
                <w:sz w:val="18"/>
                <w:szCs w:val="18"/>
              </w:rPr>
            </w:pPr>
          </w:p>
        </w:tc>
        <w:tc>
          <w:tcPr>
            <w:tcW w:w="687" w:type="pct"/>
            <w:tcBorders>
              <w:top w:val="nil"/>
              <w:left w:val="nil"/>
              <w:bottom w:val="single" w:sz="4" w:space="0" w:color="auto"/>
              <w:right w:val="nil"/>
            </w:tcBorders>
            <w:shd w:val="clear" w:color="000000" w:fill="D9D9D9"/>
            <w:vAlign w:val="center"/>
            <w:hideMark/>
          </w:tcPr>
          <w:p w14:paraId="06B5803C"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Availability</w:t>
            </w:r>
          </w:p>
        </w:tc>
        <w:tc>
          <w:tcPr>
            <w:tcW w:w="651" w:type="pct"/>
            <w:tcBorders>
              <w:top w:val="nil"/>
              <w:left w:val="nil"/>
              <w:bottom w:val="single" w:sz="4" w:space="0" w:color="auto"/>
              <w:right w:val="nil"/>
            </w:tcBorders>
            <w:shd w:val="clear" w:color="000000" w:fill="D9D9D9"/>
            <w:vAlign w:val="center"/>
            <w:hideMark/>
          </w:tcPr>
          <w:p w14:paraId="7C05340B"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Geographic/ accessibility</w:t>
            </w:r>
          </w:p>
        </w:tc>
        <w:tc>
          <w:tcPr>
            <w:tcW w:w="614" w:type="pct"/>
            <w:tcBorders>
              <w:top w:val="nil"/>
              <w:left w:val="nil"/>
              <w:bottom w:val="single" w:sz="4" w:space="0" w:color="auto"/>
              <w:right w:val="nil"/>
            </w:tcBorders>
            <w:shd w:val="clear" w:color="000000" w:fill="D9D9D9"/>
            <w:vAlign w:val="center"/>
            <w:hideMark/>
          </w:tcPr>
          <w:p w14:paraId="6EAA7750"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Accommodation/ Adequacy</w:t>
            </w:r>
          </w:p>
        </w:tc>
        <w:tc>
          <w:tcPr>
            <w:tcW w:w="535" w:type="pct"/>
            <w:tcBorders>
              <w:top w:val="nil"/>
              <w:left w:val="nil"/>
              <w:bottom w:val="single" w:sz="4" w:space="0" w:color="auto"/>
              <w:right w:val="nil"/>
            </w:tcBorders>
            <w:shd w:val="clear" w:color="000000" w:fill="D9D9D9"/>
            <w:vAlign w:val="center"/>
            <w:hideMark/>
          </w:tcPr>
          <w:p w14:paraId="1CB038DE"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Affordability</w:t>
            </w:r>
          </w:p>
        </w:tc>
        <w:tc>
          <w:tcPr>
            <w:tcW w:w="632" w:type="pct"/>
            <w:tcBorders>
              <w:top w:val="nil"/>
              <w:left w:val="nil"/>
              <w:bottom w:val="single" w:sz="4" w:space="0" w:color="auto"/>
              <w:right w:val="nil"/>
            </w:tcBorders>
            <w:shd w:val="clear" w:color="000000" w:fill="D9D9D9"/>
            <w:vAlign w:val="center"/>
            <w:hideMark/>
          </w:tcPr>
          <w:p w14:paraId="2F82596B"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Acceptability</w:t>
            </w:r>
          </w:p>
        </w:tc>
        <w:tc>
          <w:tcPr>
            <w:tcW w:w="351" w:type="pct"/>
            <w:vMerge/>
            <w:tcBorders>
              <w:top w:val="single" w:sz="4" w:space="0" w:color="auto"/>
              <w:left w:val="nil"/>
              <w:bottom w:val="single" w:sz="4" w:space="0" w:color="000000"/>
              <w:right w:val="nil"/>
            </w:tcBorders>
            <w:vAlign w:val="center"/>
            <w:hideMark/>
          </w:tcPr>
          <w:p w14:paraId="36AD1D43" w14:textId="77777777" w:rsidR="00792DC6" w:rsidRPr="00792DC6" w:rsidRDefault="00792DC6" w:rsidP="00792DC6">
            <w:pPr>
              <w:pStyle w:val="NoSpacing"/>
              <w:rPr>
                <w:rFonts w:ascii="Arial" w:eastAsia="Times New Roman" w:hAnsi="Arial" w:cs="Arial"/>
                <w:bCs/>
                <w:sz w:val="18"/>
                <w:szCs w:val="18"/>
              </w:rPr>
            </w:pPr>
          </w:p>
        </w:tc>
        <w:tc>
          <w:tcPr>
            <w:tcW w:w="369" w:type="pct"/>
            <w:vMerge/>
            <w:tcBorders>
              <w:top w:val="single" w:sz="4" w:space="0" w:color="auto"/>
              <w:left w:val="nil"/>
              <w:bottom w:val="single" w:sz="4" w:space="0" w:color="000000"/>
              <w:right w:val="nil"/>
            </w:tcBorders>
            <w:vAlign w:val="center"/>
            <w:hideMark/>
          </w:tcPr>
          <w:p w14:paraId="2A486071" w14:textId="77777777" w:rsidR="00792DC6" w:rsidRPr="00792DC6" w:rsidRDefault="00792DC6" w:rsidP="00792DC6">
            <w:pPr>
              <w:pStyle w:val="NoSpacing"/>
              <w:rPr>
                <w:rFonts w:ascii="Arial" w:eastAsia="Times New Roman" w:hAnsi="Arial" w:cs="Arial"/>
                <w:bCs/>
                <w:sz w:val="18"/>
                <w:szCs w:val="18"/>
              </w:rPr>
            </w:pPr>
          </w:p>
        </w:tc>
        <w:tc>
          <w:tcPr>
            <w:tcW w:w="417" w:type="pct"/>
            <w:vMerge/>
            <w:tcBorders>
              <w:top w:val="single" w:sz="4" w:space="0" w:color="auto"/>
              <w:left w:val="nil"/>
              <w:bottom w:val="single" w:sz="4" w:space="0" w:color="000000"/>
              <w:right w:val="nil"/>
            </w:tcBorders>
            <w:vAlign w:val="center"/>
            <w:hideMark/>
          </w:tcPr>
          <w:p w14:paraId="35A8A55E" w14:textId="77777777" w:rsidR="00792DC6" w:rsidRPr="00792DC6" w:rsidRDefault="00792DC6" w:rsidP="00792DC6">
            <w:pPr>
              <w:pStyle w:val="NoSpacing"/>
              <w:rPr>
                <w:rFonts w:ascii="Arial" w:eastAsia="Times New Roman" w:hAnsi="Arial" w:cs="Arial"/>
                <w:bCs/>
                <w:sz w:val="18"/>
                <w:szCs w:val="18"/>
              </w:rPr>
            </w:pPr>
          </w:p>
        </w:tc>
        <w:tc>
          <w:tcPr>
            <w:tcW w:w="364" w:type="pct"/>
            <w:vMerge/>
            <w:tcBorders>
              <w:top w:val="single" w:sz="4" w:space="0" w:color="auto"/>
              <w:left w:val="nil"/>
              <w:bottom w:val="single" w:sz="4" w:space="0" w:color="000000"/>
              <w:right w:val="nil"/>
            </w:tcBorders>
            <w:vAlign w:val="center"/>
            <w:hideMark/>
          </w:tcPr>
          <w:p w14:paraId="21DCEA95" w14:textId="77777777" w:rsidR="00792DC6" w:rsidRPr="00792DC6" w:rsidRDefault="00792DC6" w:rsidP="00792DC6">
            <w:pPr>
              <w:pStyle w:val="NoSpacing"/>
              <w:rPr>
                <w:rFonts w:ascii="Arial" w:eastAsia="Times New Roman" w:hAnsi="Arial" w:cs="Arial"/>
                <w:bCs/>
                <w:sz w:val="18"/>
                <w:szCs w:val="18"/>
              </w:rPr>
            </w:pPr>
          </w:p>
        </w:tc>
      </w:tr>
      <w:tr w:rsidR="00792DC6" w:rsidRPr="00792DC6" w14:paraId="37F6F771" w14:textId="77777777" w:rsidTr="009109E8">
        <w:trPr>
          <w:trHeight w:val="330"/>
          <w:jc w:val="center"/>
        </w:trPr>
        <w:tc>
          <w:tcPr>
            <w:tcW w:w="378" w:type="pct"/>
            <w:tcBorders>
              <w:top w:val="nil"/>
              <w:left w:val="nil"/>
              <w:bottom w:val="nil"/>
              <w:right w:val="nil"/>
            </w:tcBorders>
            <w:shd w:val="clear" w:color="000000" w:fill="FFFFFF"/>
            <w:vAlign w:val="center"/>
            <w:hideMark/>
          </w:tcPr>
          <w:p w14:paraId="6F53EE85"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A</w:t>
            </w:r>
          </w:p>
        </w:tc>
        <w:tc>
          <w:tcPr>
            <w:tcW w:w="687" w:type="pct"/>
            <w:tcBorders>
              <w:top w:val="nil"/>
              <w:left w:val="nil"/>
              <w:bottom w:val="nil"/>
              <w:right w:val="nil"/>
            </w:tcBorders>
            <w:shd w:val="clear" w:color="000000" w:fill="D9D9D9"/>
            <w:vAlign w:val="bottom"/>
            <w:hideMark/>
          </w:tcPr>
          <w:p w14:paraId="01F26280"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0.40</w:t>
            </w:r>
          </w:p>
        </w:tc>
        <w:tc>
          <w:tcPr>
            <w:tcW w:w="651" w:type="pct"/>
            <w:tcBorders>
              <w:top w:val="nil"/>
              <w:left w:val="nil"/>
              <w:bottom w:val="nil"/>
              <w:right w:val="nil"/>
            </w:tcBorders>
            <w:shd w:val="clear" w:color="000000" w:fill="D9D9D9"/>
            <w:noWrap/>
            <w:vAlign w:val="bottom"/>
            <w:hideMark/>
          </w:tcPr>
          <w:p w14:paraId="4AB9777B"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0.70</w:t>
            </w:r>
          </w:p>
        </w:tc>
        <w:tc>
          <w:tcPr>
            <w:tcW w:w="614" w:type="pct"/>
            <w:tcBorders>
              <w:top w:val="nil"/>
              <w:left w:val="nil"/>
              <w:bottom w:val="nil"/>
              <w:right w:val="nil"/>
            </w:tcBorders>
            <w:shd w:val="clear" w:color="000000" w:fill="D9D9D9"/>
            <w:noWrap/>
            <w:vAlign w:val="bottom"/>
            <w:hideMark/>
          </w:tcPr>
          <w:p w14:paraId="48297F41"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0.50</w:t>
            </w:r>
          </w:p>
        </w:tc>
        <w:tc>
          <w:tcPr>
            <w:tcW w:w="535" w:type="pct"/>
            <w:tcBorders>
              <w:top w:val="nil"/>
              <w:left w:val="nil"/>
              <w:bottom w:val="nil"/>
              <w:right w:val="nil"/>
            </w:tcBorders>
            <w:shd w:val="clear" w:color="000000" w:fill="D9D9D9"/>
            <w:noWrap/>
            <w:vAlign w:val="bottom"/>
            <w:hideMark/>
          </w:tcPr>
          <w:p w14:paraId="7B03BBB9"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0.50</w:t>
            </w:r>
          </w:p>
        </w:tc>
        <w:tc>
          <w:tcPr>
            <w:tcW w:w="632" w:type="pct"/>
            <w:tcBorders>
              <w:top w:val="nil"/>
              <w:left w:val="nil"/>
              <w:bottom w:val="nil"/>
              <w:right w:val="nil"/>
            </w:tcBorders>
            <w:shd w:val="clear" w:color="000000" w:fill="D9D9D9"/>
            <w:noWrap/>
            <w:vAlign w:val="bottom"/>
            <w:hideMark/>
          </w:tcPr>
          <w:p w14:paraId="5945A39D"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0.70</w:t>
            </w:r>
          </w:p>
        </w:tc>
        <w:tc>
          <w:tcPr>
            <w:tcW w:w="351" w:type="pct"/>
            <w:tcBorders>
              <w:top w:val="nil"/>
              <w:left w:val="nil"/>
              <w:bottom w:val="nil"/>
              <w:right w:val="nil"/>
            </w:tcBorders>
            <w:shd w:val="clear" w:color="000000" w:fill="A6A6A6"/>
            <w:noWrap/>
            <w:vAlign w:val="bottom"/>
            <w:hideMark/>
          </w:tcPr>
          <w:p w14:paraId="5FA29E2B"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55.9%</w:t>
            </w:r>
          </w:p>
        </w:tc>
        <w:tc>
          <w:tcPr>
            <w:tcW w:w="369" w:type="pct"/>
            <w:tcBorders>
              <w:top w:val="nil"/>
              <w:left w:val="nil"/>
              <w:bottom w:val="nil"/>
              <w:right w:val="nil"/>
            </w:tcBorders>
            <w:shd w:val="clear" w:color="000000" w:fill="A6A6A6"/>
            <w:noWrap/>
            <w:vAlign w:val="bottom"/>
            <w:hideMark/>
          </w:tcPr>
          <w:p w14:paraId="7C9AB32E"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55.7%</w:t>
            </w:r>
          </w:p>
        </w:tc>
        <w:tc>
          <w:tcPr>
            <w:tcW w:w="417" w:type="pct"/>
            <w:tcBorders>
              <w:top w:val="nil"/>
              <w:left w:val="nil"/>
              <w:bottom w:val="nil"/>
              <w:right w:val="nil"/>
            </w:tcBorders>
            <w:shd w:val="clear" w:color="000000" w:fill="A6A6A6"/>
            <w:noWrap/>
            <w:vAlign w:val="bottom"/>
            <w:hideMark/>
          </w:tcPr>
          <w:p w14:paraId="55D8EA90"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56.2%</w:t>
            </w:r>
          </w:p>
        </w:tc>
        <w:tc>
          <w:tcPr>
            <w:tcW w:w="364" w:type="pct"/>
            <w:tcBorders>
              <w:top w:val="nil"/>
              <w:left w:val="nil"/>
              <w:bottom w:val="nil"/>
              <w:right w:val="nil"/>
            </w:tcBorders>
            <w:shd w:val="clear" w:color="000000" w:fill="A6A6A6"/>
            <w:noWrap/>
            <w:vAlign w:val="bottom"/>
            <w:hideMark/>
          </w:tcPr>
          <w:p w14:paraId="7DAB8414"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56.7%</w:t>
            </w:r>
          </w:p>
        </w:tc>
      </w:tr>
      <w:tr w:rsidR="00792DC6" w:rsidRPr="00792DC6" w14:paraId="200605CE" w14:textId="77777777" w:rsidTr="009109E8">
        <w:trPr>
          <w:trHeight w:val="508"/>
          <w:jc w:val="center"/>
        </w:trPr>
        <w:tc>
          <w:tcPr>
            <w:tcW w:w="378" w:type="pct"/>
            <w:tcBorders>
              <w:top w:val="nil"/>
              <w:left w:val="nil"/>
              <w:bottom w:val="nil"/>
              <w:right w:val="nil"/>
            </w:tcBorders>
            <w:shd w:val="clear" w:color="000000" w:fill="FFFFFF"/>
            <w:vAlign w:val="center"/>
            <w:hideMark/>
          </w:tcPr>
          <w:p w14:paraId="187F6D6A"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B</w:t>
            </w:r>
          </w:p>
        </w:tc>
        <w:tc>
          <w:tcPr>
            <w:tcW w:w="687" w:type="pct"/>
            <w:tcBorders>
              <w:top w:val="nil"/>
              <w:left w:val="nil"/>
              <w:bottom w:val="nil"/>
              <w:right w:val="nil"/>
            </w:tcBorders>
            <w:shd w:val="clear" w:color="000000" w:fill="D9D9D9"/>
            <w:vAlign w:val="bottom"/>
            <w:hideMark/>
          </w:tcPr>
          <w:p w14:paraId="6B953A4C"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0.85</w:t>
            </w:r>
          </w:p>
        </w:tc>
        <w:tc>
          <w:tcPr>
            <w:tcW w:w="651" w:type="pct"/>
            <w:tcBorders>
              <w:top w:val="nil"/>
              <w:left w:val="nil"/>
              <w:bottom w:val="nil"/>
              <w:right w:val="nil"/>
            </w:tcBorders>
            <w:shd w:val="clear" w:color="000000" w:fill="D9D9D9"/>
            <w:noWrap/>
            <w:vAlign w:val="bottom"/>
            <w:hideMark/>
          </w:tcPr>
          <w:p w14:paraId="56EA57B0"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0.90</w:t>
            </w:r>
          </w:p>
        </w:tc>
        <w:tc>
          <w:tcPr>
            <w:tcW w:w="614" w:type="pct"/>
            <w:tcBorders>
              <w:top w:val="nil"/>
              <w:left w:val="nil"/>
              <w:bottom w:val="nil"/>
              <w:right w:val="nil"/>
            </w:tcBorders>
            <w:shd w:val="clear" w:color="000000" w:fill="D9D9D9"/>
            <w:noWrap/>
            <w:vAlign w:val="bottom"/>
            <w:hideMark/>
          </w:tcPr>
          <w:p w14:paraId="7732F24C"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0.95</w:t>
            </w:r>
          </w:p>
        </w:tc>
        <w:tc>
          <w:tcPr>
            <w:tcW w:w="535" w:type="pct"/>
            <w:tcBorders>
              <w:top w:val="nil"/>
              <w:left w:val="nil"/>
              <w:bottom w:val="nil"/>
              <w:right w:val="nil"/>
            </w:tcBorders>
            <w:shd w:val="clear" w:color="000000" w:fill="D9D9D9"/>
            <w:noWrap/>
            <w:vAlign w:val="bottom"/>
            <w:hideMark/>
          </w:tcPr>
          <w:p w14:paraId="78863502"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0.50</w:t>
            </w:r>
          </w:p>
        </w:tc>
        <w:tc>
          <w:tcPr>
            <w:tcW w:w="632" w:type="pct"/>
            <w:tcBorders>
              <w:top w:val="nil"/>
              <w:left w:val="nil"/>
              <w:bottom w:val="nil"/>
              <w:right w:val="nil"/>
            </w:tcBorders>
            <w:shd w:val="clear" w:color="000000" w:fill="D9D9D9"/>
            <w:noWrap/>
            <w:vAlign w:val="bottom"/>
            <w:hideMark/>
          </w:tcPr>
          <w:p w14:paraId="4FAC810A"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0.95</w:t>
            </w:r>
          </w:p>
        </w:tc>
        <w:tc>
          <w:tcPr>
            <w:tcW w:w="351" w:type="pct"/>
            <w:tcBorders>
              <w:top w:val="nil"/>
              <w:left w:val="nil"/>
              <w:bottom w:val="nil"/>
              <w:right w:val="nil"/>
            </w:tcBorders>
            <w:shd w:val="clear" w:color="000000" w:fill="A6A6A6"/>
            <w:noWrap/>
            <w:vAlign w:val="bottom"/>
            <w:hideMark/>
          </w:tcPr>
          <w:p w14:paraId="27DF4B74"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83.3%</w:t>
            </w:r>
          </w:p>
        </w:tc>
        <w:tc>
          <w:tcPr>
            <w:tcW w:w="369" w:type="pct"/>
            <w:tcBorders>
              <w:top w:val="nil"/>
              <w:left w:val="nil"/>
              <w:bottom w:val="nil"/>
              <w:right w:val="nil"/>
            </w:tcBorders>
            <w:shd w:val="clear" w:color="000000" w:fill="A6A6A6"/>
            <w:noWrap/>
            <w:vAlign w:val="bottom"/>
            <w:hideMark/>
          </w:tcPr>
          <w:p w14:paraId="3C5E6D6B"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82.8%</w:t>
            </w:r>
          </w:p>
        </w:tc>
        <w:tc>
          <w:tcPr>
            <w:tcW w:w="417" w:type="pct"/>
            <w:tcBorders>
              <w:top w:val="nil"/>
              <w:left w:val="nil"/>
              <w:bottom w:val="nil"/>
              <w:right w:val="nil"/>
            </w:tcBorders>
            <w:shd w:val="clear" w:color="000000" w:fill="A6A6A6"/>
            <w:noWrap/>
            <w:vAlign w:val="bottom"/>
            <w:hideMark/>
          </w:tcPr>
          <w:p w14:paraId="0D987844"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84.1%</w:t>
            </w:r>
          </w:p>
        </w:tc>
        <w:tc>
          <w:tcPr>
            <w:tcW w:w="364" w:type="pct"/>
            <w:tcBorders>
              <w:top w:val="nil"/>
              <w:left w:val="nil"/>
              <w:bottom w:val="nil"/>
              <w:right w:val="nil"/>
            </w:tcBorders>
            <w:shd w:val="clear" w:color="000000" w:fill="A6A6A6"/>
            <w:noWrap/>
            <w:vAlign w:val="bottom"/>
            <w:hideMark/>
          </w:tcPr>
          <w:p w14:paraId="2D4A8CBD"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84.2%</w:t>
            </w:r>
          </w:p>
        </w:tc>
      </w:tr>
      <w:tr w:rsidR="00792DC6" w:rsidRPr="00792DC6" w14:paraId="0C4B1E6F" w14:textId="77777777" w:rsidTr="009109E8">
        <w:trPr>
          <w:trHeight w:val="508"/>
          <w:jc w:val="center"/>
        </w:trPr>
        <w:tc>
          <w:tcPr>
            <w:tcW w:w="378" w:type="pct"/>
            <w:tcBorders>
              <w:top w:val="nil"/>
              <w:left w:val="nil"/>
              <w:bottom w:val="single" w:sz="4" w:space="0" w:color="auto"/>
              <w:right w:val="nil"/>
            </w:tcBorders>
            <w:shd w:val="clear" w:color="000000" w:fill="FFFFFF"/>
            <w:vAlign w:val="center"/>
            <w:hideMark/>
          </w:tcPr>
          <w:p w14:paraId="22196CD4" w14:textId="77777777" w:rsidR="00792DC6" w:rsidRPr="00792DC6" w:rsidRDefault="00792DC6" w:rsidP="00792DC6">
            <w:pPr>
              <w:pStyle w:val="NoSpacing"/>
              <w:rPr>
                <w:rFonts w:ascii="Arial" w:eastAsia="Times New Roman" w:hAnsi="Arial" w:cs="Arial"/>
                <w:bCs/>
                <w:sz w:val="18"/>
                <w:szCs w:val="18"/>
              </w:rPr>
            </w:pPr>
            <w:r w:rsidRPr="00792DC6">
              <w:rPr>
                <w:rFonts w:ascii="Arial" w:eastAsia="Times New Roman" w:hAnsi="Arial" w:cs="Arial"/>
                <w:bCs/>
                <w:sz w:val="18"/>
                <w:szCs w:val="18"/>
              </w:rPr>
              <w:t>C</w:t>
            </w:r>
          </w:p>
        </w:tc>
        <w:tc>
          <w:tcPr>
            <w:tcW w:w="687" w:type="pct"/>
            <w:tcBorders>
              <w:top w:val="nil"/>
              <w:left w:val="nil"/>
              <w:bottom w:val="single" w:sz="4" w:space="0" w:color="auto"/>
              <w:right w:val="nil"/>
            </w:tcBorders>
            <w:shd w:val="clear" w:color="000000" w:fill="D9D9D9"/>
            <w:vAlign w:val="bottom"/>
            <w:hideMark/>
          </w:tcPr>
          <w:p w14:paraId="4470D54F"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0.35</w:t>
            </w:r>
          </w:p>
        </w:tc>
        <w:tc>
          <w:tcPr>
            <w:tcW w:w="651" w:type="pct"/>
            <w:tcBorders>
              <w:top w:val="nil"/>
              <w:left w:val="nil"/>
              <w:bottom w:val="single" w:sz="4" w:space="0" w:color="auto"/>
              <w:right w:val="nil"/>
            </w:tcBorders>
            <w:shd w:val="clear" w:color="000000" w:fill="D9D9D9"/>
            <w:noWrap/>
            <w:vAlign w:val="bottom"/>
            <w:hideMark/>
          </w:tcPr>
          <w:p w14:paraId="37B41ECD"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0.70</w:t>
            </w:r>
          </w:p>
        </w:tc>
        <w:tc>
          <w:tcPr>
            <w:tcW w:w="614" w:type="pct"/>
            <w:tcBorders>
              <w:top w:val="nil"/>
              <w:left w:val="nil"/>
              <w:bottom w:val="single" w:sz="4" w:space="0" w:color="auto"/>
              <w:right w:val="nil"/>
            </w:tcBorders>
            <w:shd w:val="clear" w:color="000000" w:fill="D9D9D9"/>
            <w:noWrap/>
            <w:vAlign w:val="bottom"/>
            <w:hideMark/>
          </w:tcPr>
          <w:p w14:paraId="140E75EB"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0.80</w:t>
            </w:r>
          </w:p>
        </w:tc>
        <w:tc>
          <w:tcPr>
            <w:tcW w:w="535" w:type="pct"/>
            <w:tcBorders>
              <w:top w:val="nil"/>
              <w:left w:val="nil"/>
              <w:bottom w:val="single" w:sz="4" w:space="0" w:color="auto"/>
              <w:right w:val="nil"/>
            </w:tcBorders>
            <w:shd w:val="clear" w:color="000000" w:fill="D9D9D9"/>
            <w:noWrap/>
            <w:vAlign w:val="bottom"/>
            <w:hideMark/>
          </w:tcPr>
          <w:p w14:paraId="09CE6AE0"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0.70</w:t>
            </w:r>
          </w:p>
        </w:tc>
        <w:tc>
          <w:tcPr>
            <w:tcW w:w="632" w:type="pct"/>
            <w:tcBorders>
              <w:top w:val="nil"/>
              <w:left w:val="nil"/>
              <w:bottom w:val="single" w:sz="4" w:space="0" w:color="auto"/>
              <w:right w:val="nil"/>
            </w:tcBorders>
            <w:shd w:val="clear" w:color="000000" w:fill="D9D9D9"/>
            <w:noWrap/>
            <w:vAlign w:val="bottom"/>
            <w:hideMark/>
          </w:tcPr>
          <w:p w14:paraId="4EE6D72F"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0.50</w:t>
            </w:r>
          </w:p>
        </w:tc>
        <w:tc>
          <w:tcPr>
            <w:tcW w:w="351" w:type="pct"/>
            <w:tcBorders>
              <w:top w:val="nil"/>
              <w:left w:val="nil"/>
              <w:bottom w:val="single" w:sz="4" w:space="0" w:color="auto"/>
              <w:right w:val="nil"/>
            </w:tcBorders>
            <w:shd w:val="clear" w:color="000000" w:fill="A6A6A6"/>
            <w:noWrap/>
            <w:vAlign w:val="bottom"/>
            <w:hideMark/>
          </w:tcPr>
          <w:p w14:paraId="08DA0EAE"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61.0%</w:t>
            </w:r>
          </w:p>
        </w:tc>
        <w:tc>
          <w:tcPr>
            <w:tcW w:w="369" w:type="pct"/>
            <w:tcBorders>
              <w:top w:val="nil"/>
              <w:left w:val="nil"/>
              <w:bottom w:val="single" w:sz="4" w:space="0" w:color="auto"/>
              <w:right w:val="nil"/>
            </w:tcBorders>
            <w:shd w:val="clear" w:color="000000" w:fill="A6A6A6"/>
            <w:noWrap/>
            <w:vAlign w:val="bottom"/>
            <w:hideMark/>
          </w:tcPr>
          <w:p w14:paraId="3071CC34"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60.9%</w:t>
            </w:r>
          </w:p>
        </w:tc>
        <w:tc>
          <w:tcPr>
            <w:tcW w:w="417" w:type="pct"/>
            <w:tcBorders>
              <w:top w:val="nil"/>
              <w:left w:val="nil"/>
              <w:bottom w:val="single" w:sz="4" w:space="0" w:color="auto"/>
              <w:right w:val="nil"/>
            </w:tcBorders>
            <w:shd w:val="clear" w:color="000000" w:fill="A6A6A6"/>
            <w:noWrap/>
            <w:vAlign w:val="bottom"/>
            <w:hideMark/>
          </w:tcPr>
          <w:p w14:paraId="18B3BA10"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61.0%</w:t>
            </w:r>
          </w:p>
        </w:tc>
        <w:tc>
          <w:tcPr>
            <w:tcW w:w="364" w:type="pct"/>
            <w:tcBorders>
              <w:top w:val="nil"/>
              <w:left w:val="nil"/>
              <w:bottom w:val="single" w:sz="4" w:space="0" w:color="auto"/>
              <w:right w:val="nil"/>
            </w:tcBorders>
            <w:shd w:val="clear" w:color="000000" w:fill="A6A6A6"/>
            <w:noWrap/>
            <w:vAlign w:val="bottom"/>
            <w:hideMark/>
          </w:tcPr>
          <w:p w14:paraId="41F5C31E" w14:textId="77777777" w:rsidR="00792DC6" w:rsidRPr="00792DC6" w:rsidRDefault="00792DC6" w:rsidP="00792DC6">
            <w:pPr>
              <w:pStyle w:val="NoSpacing"/>
              <w:rPr>
                <w:rFonts w:ascii="Arial" w:eastAsia="Times New Roman" w:hAnsi="Arial" w:cs="Arial"/>
                <w:sz w:val="18"/>
                <w:szCs w:val="18"/>
              </w:rPr>
            </w:pPr>
            <w:r w:rsidRPr="00792DC6">
              <w:rPr>
                <w:rFonts w:ascii="Arial" w:eastAsia="Times New Roman" w:hAnsi="Arial" w:cs="Arial"/>
                <w:sz w:val="18"/>
                <w:szCs w:val="18"/>
              </w:rPr>
              <w:t>60.4%</w:t>
            </w:r>
          </w:p>
        </w:tc>
      </w:tr>
    </w:tbl>
    <w:p w14:paraId="38DB3535" w14:textId="77777777" w:rsidR="00792DC6" w:rsidRPr="00792DC6" w:rsidRDefault="00792DC6" w:rsidP="00792DC6">
      <w:pPr>
        <w:pStyle w:val="NoSpacing"/>
        <w:rPr>
          <w:rFonts w:ascii="Arial" w:hAnsi="Arial" w:cs="Arial"/>
          <w:sz w:val="18"/>
          <w:szCs w:val="18"/>
        </w:rPr>
      </w:pPr>
    </w:p>
    <w:p w14:paraId="114BA0CB" w14:textId="77777777" w:rsidR="007A515F" w:rsidRDefault="007A515F" w:rsidP="007A515F">
      <w:pPr>
        <w:pStyle w:val="NoSpacing"/>
        <w:rPr>
          <w:rFonts w:ascii="Arial" w:hAnsi="Arial" w:cs="Arial"/>
          <w:sz w:val="20"/>
          <w:szCs w:val="20"/>
        </w:rPr>
      </w:pPr>
    </w:p>
    <w:p w14:paraId="0AFD7C94" w14:textId="7A6F0CD1" w:rsidR="00104A61" w:rsidRPr="007A515F" w:rsidRDefault="000A1091" w:rsidP="007A515F">
      <w:pPr>
        <w:pStyle w:val="NoSpacing"/>
        <w:rPr>
          <w:rFonts w:ascii="Arial" w:hAnsi="Arial" w:cs="Arial"/>
          <w:b/>
          <w:bCs/>
          <w:sz w:val="20"/>
          <w:szCs w:val="20"/>
        </w:rPr>
      </w:pPr>
      <w:r w:rsidRPr="007A515F">
        <w:rPr>
          <w:rFonts w:ascii="Arial" w:hAnsi="Arial" w:cs="Arial"/>
          <w:b/>
          <w:bCs/>
          <w:sz w:val="20"/>
          <w:szCs w:val="20"/>
        </w:rPr>
        <w:t>4. Discussion</w:t>
      </w:r>
    </w:p>
    <w:p w14:paraId="2C7AE11E" w14:textId="77777777" w:rsidR="007A515F" w:rsidRDefault="007A515F" w:rsidP="007A515F">
      <w:pPr>
        <w:pStyle w:val="NoSpacing"/>
        <w:rPr>
          <w:rFonts w:ascii="Arial" w:hAnsi="Arial" w:cs="Arial"/>
          <w:sz w:val="20"/>
          <w:szCs w:val="20"/>
        </w:rPr>
      </w:pPr>
    </w:p>
    <w:p w14:paraId="39A0E3CE" w14:textId="1D6450C2"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Currently, </w:t>
      </w:r>
      <w:r w:rsidR="007A612F" w:rsidRPr="007A515F">
        <w:rPr>
          <w:rFonts w:ascii="Arial" w:hAnsi="Arial" w:cs="Arial"/>
          <w:sz w:val="20"/>
          <w:szCs w:val="20"/>
        </w:rPr>
        <w:t xml:space="preserve">we believe </w:t>
      </w:r>
      <w:r w:rsidRPr="007A515F">
        <w:rPr>
          <w:rFonts w:ascii="Arial" w:hAnsi="Arial" w:cs="Arial"/>
          <w:sz w:val="20"/>
          <w:szCs w:val="20"/>
        </w:rPr>
        <w:t>there is no method capable of comparing access in different services, localities, regions or countries, simultaneously contemplating the five dimensions proposed by Penchansky &amp; Thomas</w:t>
      </w:r>
      <w:r w:rsidR="00021604" w:rsidRPr="007A515F">
        <w:rPr>
          <w:rFonts w:ascii="Arial" w:hAnsi="Arial" w:cs="Arial"/>
          <w:sz w:val="20"/>
          <w:szCs w:val="20"/>
        </w:rPr>
        <w:t xml:space="preserve"> </w:t>
      </w:r>
      <w:r w:rsidR="007A612F" w:rsidRPr="007A515F">
        <w:rPr>
          <w:rFonts w:ascii="Arial" w:hAnsi="Arial" w:cs="Arial"/>
          <w:sz w:val="20"/>
          <w:szCs w:val="20"/>
        </w:rPr>
        <w:t>[37]</w:t>
      </w:r>
      <w:r w:rsidRPr="007A515F">
        <w:rPr>
          <w:rFonts w:ascii="Arial" w:hAnsi="Arial" w:cs="Arial"/>
          <w:sz w:val="20"/>
          <w:szCs w:val="20"/>
        </w:rPr>
        <w:t>. We believe th</w:t>
      </w:r>
      <w:r w:rsidR="007A612F" w:rsidRPr="007A515F">
        <w:rPr>
          <w:rFonts w:ascii="Arial" w:hAnsi="Arial" w:cs="Arial"/>
          <w:sz w:val="20"/>
          <w:szCs w:val="20"/>
        </w:rPr>
        <w:t>is</w:t>
      </w:r>
      <w:r w:rsidRPr="007A515F">
        <w:rPr>
          <w:rFonts w:ascii="Arial" w:hAnsi="Arial" w:cs="Arial"/>
          <w:sz w:val="20"/>
          <w:szCs w:val="20"/>
        </w:rPr>
        <w:t xml:space="preserve"> lack of this indicator leads to heterogeneity in access measures and difficulties with comparing the results of different studies, making it challenging to comprehend the reality about access to medicines</w:t>
      </w:r>
      <w:r w:rsidR="007A612F" w:rsidRPr="007A515F">
        <w:rPr>
          <w:rFonts w:ascii="Arial" w:hAnsi="Arial" w:cs="Arial"/>
          <w:sz w:val="20"/>
          <w:szCs w:val="20"/>
        </w:rPr>
        <w:t xml:space="preserve"> [64]</w:t>
      </w:r>
      <w:r w:rsidRPr="007A515F">
        <w:rPr>
          <w:rFonts w:ascii="Arial" w:hAnsi="Arial" w:cs="Arial"/>
          <w:sz w:val="20"/>
          <w:szCs w:val="20"/>
        </w:rPr>
        <w:t xml:space="preserve">. As a result, we believe health service managers tend to make their decisions based on only one of the dimensions of access: availability. In this context, a tendency to encourage health policies has been observed aiming primarily </w:t>
      </w:r>
      <w:r w:rsidR="007A612F" w:rsidRPr="007A515F">
        <w:rPr>
          <w:rFonts w:ascii="Arial" w:hAnsi="Arial" w:cs="Arial"/>
          <w:sz w:val="20"/>
          <w:szCs w:val="20"/>
        </w:rPr>
        <w:t>at</w:t>
      </w:r>
      <w:r w:rsidRPr="007A515F">
        <w:rPr>
          <w:rFonts w:ascii="Arial" w:hAnsi="Arial" w:cs="Arial"/>
          <w:sz w:val="20"/>
          <w:szCs w:val="20"/>
        </w:rPr>
        <w:t xml:space="preserve"> increas</w:t>
      </w:r>
      <w:r w:rsidR="007A612F" w:rsidRPr="007A515F">
        <w:rPr>
          <w:rFonts w:ascii="Arial" w:hAnsi="Arial" w:cs="Arial"/>
          <w:sz w:val="20"/>
          <w:szCs w:val="20"/>
        </w:rPr>
        <w:t>ing</w:t>
      </w:r>
      <w:r w:rsidRPr="007A515F">
        <w:rPr>
          <w:rFonts w:ascii="Arial" w:hAnsi="Arial" w:cs="Arial"/>
          <w:sz w:val="20"/>
          <w:szCs w:val="20"/>
        </w:rPr>
        <w:t xml:space="preserve"> the availability of medicines leaving the other dimensions</w:t>
      </w:r>
      <w:r w:rsidR="007A612F" w:rsidRPr="007A515F">
        <w:rPr>
          <w:rFonts w:ascii="Arial" w:hAnsi="Arial" w:cs="Arial"/>
          <w:sz w:val="20"/>
          <w:szCs w:val="20"/>
        </w:rPr>
        <w:t xml:space="preserve"> in the background</w:t>
      </w:r>
      <w:r w:rsidRPr="007A515F">
        <w:rPr>
          <w:rFonts w:ascii="Arial" w:hAnsi="Arial" w:cs="Arial"/>
          <w:sz w:val="20"/>
          <w:szCs w:val="20"/>
        </w:rPr>
        <w:t xml:space="preserve">, which </w:t>
      </w:r>
      <w:r w:rsidR="007A612F" w:rsidRPr="007A515F">
        <w:rPr>
          <w:rFonts w:ascii="Arial" w:hAnsi="Arial" w:cs="Arial"/>
          <w:sz w:val="20"/>
          <w:szCs w:val="20"/>
        </w:rPr>
        <w:t xml:space="preserve">we also believe </w:t>
      </w:r>
      <w:r w:rsidRPr="007A515F">
        <w:rPr>
          <w:rFonts w:ascii="Arial" w:hAnsi="Arial" w:cs="Arial"/>
          <w:sz w:val="20"/>
          <w:szCs w:val="20"/>
        </w:rPr>
        <w:t xml:space="preserve">are necessary to reach effective access to medicines for all citizens in </w:t>
      </w:r>
      <w:r w:rsidR="007A612F" w:rsidRPr="007A515F">
        <w:rPr>
          <w:rFonts w:ascii="Arial" w:hAnsi="Arial" w:cs="Arial"/>
          <w:sz w:val="20"/>
          <w:szCs w:val="20"/>
        </w:rPr>
        <w:t>a</w:t>
      </w:r>
      <w:r w:rsidRPr="007A515F">
        <w:rPr>
          <w:rFonts w:ascii="Arial" w:hAnsi="Arial" w:cs="Arial"/>
          <w:sz w:val="20"/>
          <w:szCs w:val="20"/>
        </w:rPr>
        <w:t xml:space="preserve"> locality</w:t>
      </w:r>
      <w:r w:rsidR="007A612F" w:rsidRPr="007A515F">
        <w:rPr>
          <w:rFonts w:ascii="Arial" w:hAnsi="Arial" w:cs="Arial"/>
          <w:sz w:val="20"/>
          <w:szCs w:val="20"/>
        </w:rPr>
        <w:t xml:space="preserve"> [65]</w:t>
      </w:r>
      <w:r w:rsidRPr="007A515F">
        <w:rPr>
          <w:rFonts w:ascii="Arial" w:hAnsi="Arial" w:cs="Arial"/>
          <w:sz w:val="20"/>
          <w:szCs w:val="20"/>
        </w:rPr>
        <w:t>.</w:t>
      </w:r>
    </w:p>
    <w:p w14:paraId="06434F2A" w14:textId="77777777" w:rsidR="007A515F" w:rsidRDefault="007A515F" w:rsidP="007A515F">
      <w:pPr>
        <w:pStyle w:val="NoSpacing"/>
        <w:rPr>
          <w:rFonts w:ascii="Arial" w:hAnsi="Arial" w:cs="Arial"/>
          <w:sz w:val="20"/>
          <w:szCs w:val="20"/>
        </w:rPr>
      </w:pPr>
    </w:p>
    <w:p w14:paraId="6C501C7B" w14:textId="011B100C" w:rsidR="00104A61" w:rsidRPr="007A515F" w:rsidRDefault="000A1091" w:rsidP="007A515F">
      <w:pPr>
        <w:pStyle w:val="NoSpacing"/>
        <w:rPr>
          <w:rFonts w:ascii="Arial" w:hAnsi="Arial" w:cs="Arial"/>
          <w:sz w:val="20"/>
          <w:szCs w:val="20"/>
        </w:rPr>
      </w:pPr>
      <w:r w:rsidRPr="007A515F">
        <w:rPr>
          <w:rFonts w:ascii="Arial" w:hAnsi="Arial" w:cs="Arial"/>
          <w:sz w:val="20"/>
          <w:szCs w:val="20"/>
        </w:rPr>
        <w:t>Our results found a small difference between the scores given by in</w:t>
      </w:r>
      <w:r w:rsidR="006B3A2C" w:rsidRPr="007A515F">
        <w:rPr>
          <w:rFonts w:ascii="Arial" w:hAnsi="Arial" w:cs="Arial"/>
          <w:sz w:val="20"/>
          <w:szCs w:val="20"/>
        </w:rPr>
        <w:t>terviewees</w:t>
      </w:r>
      <w:r w:rsidRPr="007A515F">
        <w:rPr>
          <w:rFonts w:ascii="Arial" w:hAnsi="Arial" w:cs="Arial"/>
          <w:sz w:val="20"/>
          <w:szCs w:val="20"/>
        </w:rPr>
        <w:t xml:space="preserve"> to the </w:t>
      </w:r>
      <w:r w:rsidR="006B3A2C" w:rsidRPr="007A515F">
        <w:rPr>
          <w:rFonts w:ascii="Arial" w:hAnsi="Arial" w:cs="Arial"/>
          <w:sz w:val="20"/>
          <w:szCs w:val="20"/>
        </w:rPr>
        <w:t xml:space="preserve">five </w:t>
      </w:r>
      <w:r w:rsidRPr="007A515F">
        <w:rPr>
          <w:rFonts w:ascii="Arial" w:hAnsi="Arial" w:cs="Arial"/>
          <w:sz w:val="20"/>
          <w:szCs w:val="20"/>
        </w:rPr>
        <w:t>access dimensions. Th</w:t>
      </w:r>
      <w:r w:rsidR="006B3A2C" w:rsidRPr="007A515F">
        <w:rPr>
          <w:rFonts w:ascii="Arial" w:hAnsi="Arial" w:cs="Arial"/>
          <w:sz w:val="20"/>
          <w:szCs w:val="20"/>
        </w:rPr>
        <w:t>e</w:t>
      </w:r>
      <w:r w:rsidRPr="007A515F">
        <w:rPr>
          <w:rFonts w:ascii="Arial" w:hAnsi="Arial" w:cs="Arial"/>
          <w:sz w:val="20"/>
          <w:szCs w:val="20"/>
        </w:rPr>
        <w:t xml:space="preserve"> result</w:t>
      </w:r>
      <w:r w:rsidR="006B3A2C" w:rsidRPr="007A515F">
        <w:rPr>
          <w:rFonts w:ascii="Arial" w:hAnsi="Arial" w:cs="Arial"/>
          <w:sz w:val="20"/>
          <w:szCs w:val="20"/>
        </w:rPr>
        <w:t>s</w:t>
      </w:r>
      <w:r w:rsidRPr="007A515F">
        <w:rPr>
          <w:rFonts w:ascii="Arial" w:hAnsi="Arial" w:cs="Arial"/>
          <w:sz w:val="20"/>
          <w:szCs w:val="20"/>
        </w:rPr>
        <w:t xml:space="preserve"> suggest that for users, full access to medicines is better when all </w:t>
      </w:r>
      <w:r w:rsidR="006B3A2C" w:rsidRPr="007A515F">
        <w:rPr>
          <w:rFonts w:ascii="Arial" w:hAnsi="Arial" w:cs="Arial"/>
          <w:sz w:val="20"/>
          <w:szCs w:val="20"/>
        </w:rPr>
        <w:t>five</w:t>
      </w:r>
      <w:r w:rsidRPr="007A515F">
        <w:rPr>
          <w:rFonts w:ascii="Arial" w:hAnsi="Arial" w:cs="Arial"/>
          <w:sz w:val="20"/>
          <w:szCs w:val="20"/>
        </w:rPr>
        <w:t xml:space="preserve"> dimensions are met. Consequently, public policies around access to medicines must not be restricted to just one or two </w:t>
      </w:r>
      <w:r w:rsidR="006B3A2C" w:rsidRPr="007A515F">
        <w:rPr>
          <w:rFonts w:ascii="Arial" w:hAnsi="Arial" w:cs="Arial"/>
          <w:sz w:val="20"/>
          <w:szCs w:val="20"/>
        </w:rPr>
        <w:t xml:space="preserve">of the five </w:t>
      </w:r>
      <w:r w:rsidRPr="007A515F">
        <w:rPr>
          <w:rFonts w:ascii="Arial" w:hAnsi="Arial" w:cs="Arial"/>
          <w:sz w:val="20"/>
          <w:szCs w:val="20"/>
        </w:rPr>
        <w:t xml:space="preserve">dimensions. </w:t>
      </w:r>
    </w:p>
    <w:p w14:paraId="50CF8C61" w14:textId="77777777" w:rsidR="007A515F" w:rsidRDefault="007A515F" w:rsidP="007A515F">
      <w:pPr>
        <w:pStyle w:val="NoSpacing"/>
        <w:rPr>
          <w:rFonts w:ascii="Arial" w:hAnsi="Arial" w:cs="Arial"/>
          <w:sz w:val="20"/>
          <w:szCs w:val="20"/>
        </w:rPr>
      </w:pPr>
    </w:p>
    <w:p w14:paraId="5861969D" w14:textId="5F40B794"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In addition, when analyzing the </w:t>
      </w:r>
      <w:r w:rsidR="006B3A2C" w:rsidRPr="007A515F">
        <w:rPr>
          <w:rFonts w:ascii="Arial" w:hAnsi="Arial" w:cs="Arial"/>
          <w:sz w:val="20"/>
          <w:szCs w:val="20"/>
        </w:rPr>
        <w:t xml:space="preserve">various </w:t>
      </w:r>
      <w:r w:rsidRPr="007A515F">
        <w:rPr>
          <w:rFonts w:ascii="Arial" w:hAnsi="Arial" w:cs="Arial"/>
          <w:sz w:val="20"/>
          <w:szCs w:val="20"/>
        </w:rPr>
        <w:t>dimensions, it was possible to conclude that the majority of the interviewees who gave less importance to geographical accessibility, gave greater importance to acceptability, justifying the need to reassess public policies that, for the most part, prioritize more the regionalization dimension to the detriment of the quality of the service and training to improve the service.</w:t>
      </w:r>
    </w:p>
    <w:p w14:paraId="24D501A6" w14:textId="77777777" w:rsidR="007A515F" w:rsidRDefault="007A515F" w:rsidP="007A515F">
      <w:pPr>
        <w:pStyle w:val="NoSpacing"/>
        <w:rPr>
          <w:rFonts w:ascii="Arial" w:hAnsi="Arial" w:cs="Arial"/>
          <w:sz w:val="20"/>
          <w:szCs w:val="20"/>
        </w:rPr>
      </w:pPr>
    </w:p>
    <w:p w14:paraId="3768ACEA" w14:textId="77777777" w:rsidR="007A515F" w:rsidRDefault="000A1091" w:rsidP="007A515F">
      <w:pPr>
        <w:pStyle w:val="NoSpacing"/>
        <w:rPr>
          <w:rFonts w:ascii="Arial" w:hAnsi="Arial" w:cs="Arial"/>
          <w:sz w:val="20"/>
          <w:szCs w:val="20"/>
        </w:rPr>
      </w:pPr>
      <w:r w:rsidRPr="007A515F">
        <w:rPr>
          <w:rFonts w:ascii="Arial" w:hAnsi="Arial" w:cs="Arial"/>
          <w:sz w:val="20"/>
          <w:szCs w:val="20"/>
        </w:rPr>
        <w:t xml:space="preserve">The </w:t>
      </w:r>
      <w:r w:rsidR="006B3A2C" w:rsidRPr="007A515F">
        <w:rPr>
          <w:rFonts w:ascii="Arial" w:hAnsi="Arial" w:cs="Arial"/>
          <w:sz w:val="20"/>
          <w:szCs w:val="20"/>
        </w:rPr>
        <w:t xml:space="preserve">overall </w:t>
      </w:r>
      <w:r w:rsidRPr="007A515F">
        <w:rPr>
          <w:rFonts w:ascii="Arial" w:hAnsi="Arial" w:cs="Arial"/>
          <w:sz w:val="20"/>
          <w:szCs w:val="20"/>
        </w:rPr>
        <w:t>measurement of access to medicines can be used as an indicator of the quality of public and private care services</w:t>
      </w:r>
      <w:r w:rsidR="006B3A2C" w:rsidRPr="007A515F">
        <w:rPr>
          <w:rFonts w:ascii="Arial" w:hAnsi="Arial" w:cs="Arial"/>
          <w:sz w:val="20"/>
          <w:szCs w:val="20"/>
        </w:rPr>
        <w:t xml:space="preserve"> [66]</w:t>
      </w:r>
      <w:r w:rsidRPr="007A515F">
        <w:rPr>
          <w:rFonts w:ascii="Arial" w:hAnsi="Arial" w:cs="Arial"/>
          <w:sz w:val="20"/>
          <w:szCs w:val="20"/>
        </w:rPr>
        <w:t xml:space="preserve">. However, defining a single access indicator is a complex task, especially since the measurement of </w:t>
      </w:r>
      <w:r w:rsidR="006B3A2C" w:rsidRPr="007A515F">
        <w:rPr>
          <w:rFonts w:ascii="Arial" w:hAnsi="Arial" w:cs="Arial"/>
          <w:sz w:val="20"/>
          <w:szCs w:val="20"/>
        </w:rPr>
        <w:t xml:space="preserve">the five </w:t>
      </w:r>
      <w:r w:rsidRPr="007A515F">
        <w:rPr>
          <w:rFonts w:ascii="Arial" w:hAnsi="Arial" w:cs="Arial"/>
          <w:sz w:val="20"/>
          <w:szCs w:val="20"/>
        </w:rPr>
        <w:t>dimensions is very different, and for example, the degree of subjectivity of affordability is considerably greater than availability.</w:t>
      </w:r>
    </w:p>
    <w:p w14:paraId="3209C0B3" w14:textId="77777777" w:rsidR="007A515F" w:rsidRDefault="007A515F" w:rsidP="007A515F">
      <w:pPr>
        <w:pStyle w:val="NoSpacing"/>
        <w:rPr>
          <w:rFonts w:ascii="Arial" w:hAnsi="Arial" w:cs="Arial"/>
          <w:sz w:val="20"/>
          <w:szCs w:val="20"/>
        </w:rPr>
      </w:pPr>
    </w:p>
    <w:p w14:paraId="3A85EC14" w14:textId="45BE5683" w:rsidR="00104A61" w:rsidRPr="007A515F" w:rsidRDefault="000A1091" w:rsidP="007A515F">
      <w:pPr>
        <w:pStyle w:val="NoSpacing"/>
        <w:rPr>
          <w:rFonts w:ascii="Arial" w:hAnsi="Arial" w:cs="Arial"/>
          <w:sz w:val="20"/>
          <w:szCs w:val="20"/>
        </w:rPr>
      </w:pPr>
      <w:r w:rsidRPr="007A515F">
        <w:rPr>
          <w:rFonts w:ascii="Arial" w:hAnsi="Arial" w:cs="Arial"/>
          <w:sz w:val="20"/>
          <w:szCs w:val="20"/>
        </w:rPr>
        <w:t>In addition, whenever an index or indicator is proposed, it is subject to limitations on the variables selected for its composition. One of the most used indicators for the classification of the level of development of a country - HDI - Human Development Index, despite being an important public policy leader in the world since 1990, still suffers from many criticisms</w:t>
      </w:r>
      <w:r w:rsidR="000D6FA9" w:rsidRPr="007A515F">
        <w:rPr>
          <w:rFonts w:ascii="Arial" w:hAnsi="Arial" w:cs="Arial"/>
          <w:sz w:val="20"/>
          <w:szCs w:val="20"/>
        </w:rPr>
        <w:t xml:space="preserve"> [71,72</w:t>
      </w:r>
      <w:r w:rsidR="006B3A2C" w:rsidRPr="007A515F">
        <w:rPr>
          <w:rFonts w:ascii="Arial" w:hAnsi="Arial" w:cs="Arial"/>
          <w:sz w:val="20"/>
          <w:szCs w:val="20"/>
        </w:rPr>
        <w:t>]</w:t>
      </w:r>
      <w:r w:rsidRPr="007A515F">
        <w:rPr>
          <w:rFonts w:ascii="Arial" w:hAnsi="Arial" w:cs="Arial"/>
          <w:sz w:val="20"/>
          <w:szCs w:val="20"/>
        </w:rPr>
        <w:t xml:space="preserve">. </w:t>
      </w:r>
    </w:p>
    <w:p w14:paraId="3EBE9242" w14:textId="2079611C"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The proposal to create a unique access indicator also showed that only a small proportion of individuals in Brazil currently depend exclusively on public pharmacies to obtain </w:t>
      </w:r>
      <w:r w:rsidR="006B3A2C" w:rsidRPr="007A515F">
        <w:rPr>
          <w:rFonts w:ascii="Arial" w:hAnsi="Arial" w:cs="Arial"/>
          <w:sz w:val="20"/>
          <w:szCs w:val="20"/>
        </w:rPr>
        <w:t xml:space="preserve">their </w:t>
      </w:r>
      <w:r w:rsidRPr="007A515F">
        <w:rPr>
          <w:rFonts w:ascii="Arial" w:hAnsi="Arial" w:cs="Arial"/>
          <w:sz w:val="20"/>
          <w:szCs w:val="20"/>
        </w:rPr>
        <w:t>medicines. This small number can be justified by the increase in self-medication in the country, which is strongly influenced by companies to enhance overall drug consumption</w:t>
      </w:r>
      <w:r w:rsidR="000D6FA9" w:rsidRPr="007A515F">
        <w:rPr>
          <w:rFonts w:ascii="Arial" w:hAnsi="Arial" w:cs="Arial"/>
          <w:sz w:val="20"/>
          <w:szCs w:val="20"/>
        </w:rPr>
        <w:t xml:space="preserve"> [73</w:t>
      </w:r>
      <w:r w:rsidR="006B3A2C" w:rsidRPr="007A515F">
        <w:rPr>
          <w:rFonts w:ascii="Arial" w:hAnsi="Arial" w:cs="Arial"/>
          <w:sz w:val="20"/>
          <w:szCs w:val="20"/>
        </w:rPr>
        <w:t>]</w:t>
      </w:r>
      <w:r w:rsidRPr="007A515F">
        <w:rPr>
          <w:rFonts w:ascii="Arial" w:hAnsi="Arial" w:cs="Arial"/>
          <w:sz w:val="20"/>
          <w:szCs w:val="20"/>
        </w:rPr>
        <w:t xml:space="preserve">. In 2013, medicines for human use were 1.5% of gross domestic product (GDP) as a household expenditure item, and only 0.2% of GDP in public spending. This reinforces the </w:t>
      </w:r>
      <w:r w:rsidR="006B3A2C" w:rsidRPr="007A515F">
        <w:rPr>
          <w:rFonts w:ascii="Arial" w:hAnsi="Arial" w:cs="Arial"/>
          <w:sz w:val="20"/>
          <w:szCs w:val="20"/>
        </w:rPr>
        <w:t xml:space="preserve">current </w:t>
      </w:r>
      <w:r w:rsidRPr="007A515F">
        <w:rPr>
          <w:rFonts w:ascii="Arial" w:hAnsi="Arial" w:cs="Arial"/>
          <w:sz w:val="20"/>
          <w:szCs w:val="20"/>
        </w:rPr>
        <w:t xml:space="preserve">supremacy of the private sector as a source </w:t>
      </w:r>
      <w:r w:rsidR="006B3A2C" w:rsidRPr="007A515F">
        <w:rPr>
          <w:rFonts w:ascii="Arial" w:hAnsi="Arial" w:cs="Arial"/>
          <w:sz w:val="20"/>
          <w:szCs w:val="20"/>
        </w:rPr>
        <w:t>for citizens</w:t>
      </w:r>
      <w:r w:rsidRPr="007A515F">
        <w:rPr>
          <w:rFonts w:ascii="Arial" w:hAnsi="Arial" w:cs="Arial"/>
          <w:sz w:val="20"/>
          <w:szCs w:val="20"/>
        </w:rPr>
        <w:t xml:space="preserve"> obtaining </w:t>
      </w:r>
      <w:r w:rsidR="006B3A2C" w:rsidRPr="007A515F">
        <w:rPr>
          <w:rFonts w:ascii="Arial" w:hAnsi="Arial" w:cs="Arial"/>
          <w:sz w:val="20"/>
          <w:szCs w:val="20"/>
        </w:rPr>
        <w:t xml:space="preserve">their </w:t>
      </w:r>
      <w:r w:rsidRPr="007A515F">
        <w:rPr>
          <w:rFonts w:ascii="Arial" w:hAnsi="Arial" w:cs="Arial"/>
          <w:sz w:val="20"/>
          <w:szCs w:val="20"/>
        </w:rPr>
        <w:t>medicines</w:t>
      </w:r>
      <w:r w:rsidR="000D6FA9" w:rsidRPr="007A515F">
        <w:rPr>
          <w:rFonts w:ascii="Arial" w:hAnsi="Arial" w:cs="Arial"/>
          <w:sz w:val="20"/>
          <w:szCs w:val="20"/>
        </w:rPr>
        <w:t xml:space="preserve"> in Brazil [73</w:t>
      </w:r>
      <w:r w:rsidR="006B3A2C" w:rsidRPr="007A515F">
        <w:rPr>
          <w:rFonts w:ascii="Arial" w:hAnsi="Arial" w:cs="Arial"/>
          <w:sz w:val="20"/>
          <w:szCs w:val="20"/>
        </w:rPr>
        <w:t>]</w:t>
      </w:r>
      <w:r w:rsidRPr="007A515F">
        <w:rPr>
          <w:rFonts w:ascii="Arial" w:hAnsi="Arial" w:cs="Arial"/>
          <w:sz w:val="20"/>
          <w:szCs w:val="20"/>
        </w:rPr>
        <w:t>.</w:t>
      </w:r>
    </w:p>
    <w:p w14:paraId="151D79A3" w14:textId="77777777" w:rsidR="007A515F" w:rsidRDefault="007A515F" w:rsidP="007A515F">
      <w:pPr>
        <w:pStyle w:val="NoSpacing"/>
        <w:rPr>
          <w:rFonts w:ascii="Arial" w:hAnsi="Arial" w:cs="Arial"/>
          <w:sz w:val="20"/>
          <w:szCs w:val="20"/>
        </w:rPr>
      </w:pPr>
    </w:p>
    <w:p w14:paraId="2FFDC365" w14:textId="3B325617" w:rsidR="00104A61" w:rsidRPr="007A515F" w:rsidRDefault="006B3A2C" w:rsidP="007A515F">
      <w:pPr>
        <w:pStyle w:val="NoSpacing"/>
        <w:rPr>
          <w:rFonts w:ascii="Arial" w:hAnsi="Arial" w:cs="Arial"/>
          <w:sz w:val="20"/>
          <w:szCs w:val="20"/>
        </w:rPr>
      </w:pPr>
      <w:r w:rsidRPr="007A515F">
        <w:rPr>
          <w:rFonts w:ascii="Arial" w:hAnsi="Arial" w:cs="Arial"/>
          <w:sz w:val="20"/>
          <w:szCs w:val="20"/>
        </w:rPr>
        <w:t>However</w:t>
      </w:r>
      <w:r w:rsidR="000A1091" w:rsidRPr="007A515F">
        <w:rPr>
          <w:rFonts w:ascii="Arial" w:hAnsi="Arial" w:cs="Arial"/>
          <w:sz w:val="20"/>
          <w:szCs w:val="20"/>
        </w:rPr>
        <w:t>, another hypothesis for this low dependenc</w:t>
      </w:r>
      <w:r w:rsidR="008452F8" w:rsidRPr="007A515F">
        <w:rPr>
          <w:rFonts w:ascii="Arial" w:hAnsi="Arial" w:cs="Arial"/>
          <w:sz w:val="20"/>
          <w:szCs w:val="20"/>
        </w:rPr>
        <w:t>y</w:t>
      </w:r>
      <w:r w:rsidR="000A1091" w:rsidRPr="007A515F">
        <w:rPr>
          <w:rFonts w:ascii="Arial" w:hAnsi="Arial" w:cs="Arial"/>
          <w:sz w:val="20"/>
          <w:szCs w:val="20"/>
        </w:rPr>
        <w:t xml:space="preserve"> on public pharmacies </w:t>
      </w:r>
      <w:r w:rsidR="008452F8" w:rsidRPr="007A515F">
        <w:rPr>
          <w:rFonts w:ascii="Arial" w:hAnsi="Arial" w:cs="Arial"/>
          <w:sz w:val="20"/>
          <w:szCs w:val="20"/>
        </w:rPr>
        <w:t>c</w:t>
      </w:r>
      <w:r w:rsidR="000A1091" w:rsidRPr="007A515F">
        <w:rPr>
          <w:rFonts w:ascii="Arial" w:hAnsi="Arial" w:cs="Arial"/>
          <w:sz w:val="20"/>
          <w:szCs w:val="20"/>
        </w:rPr>
        <w:t xml:space="preserve">ould be the difficulty </w:t>
      </w:r>
      <w:r w:rsidR="008452F8" w:rsidRPr="007A515F">
        <w:rPr>
          <w:rFonts w:ascii="Arial" w:hAnsi="Arial" w:cs="Arial"/>
          <w:sz w:val="20"/>
          <w:szCs w:val="20"/>
        </w:rPr>
        <w:t>in</w:t>
      </w:r>
      <w:r w:rsidR="000A1091" w:rsidRPr="007A515F">
        <w:rPr>
          <w:rFonts w:ascii="Arial" w:hAnsi="Arial" w:cs="Arial"/>
          <w:sz w:val="20"/>
          <w:szCs w:val="20"/>
        </w:rPr>
        <w:t xml:space="preserve"> access</w:t>
      </w:r>
      <w:r w:rsidR="008452F8" w:rsidRPr="007A515F">
        <w:rPr>
          <w:rFonts w:ascii="Arial" w:hAnsi="Arial" w:cs="Arial"/>
          <w:sz w:val="20"/>
          <w:szCs w:val="20"/>
        </w:rPr>
        <w:t>ing</w:t>
      </w:r>
      <w:r w:rsidR="000A1091" w:rsidRPr="007A515F">
        <w:rPr>
          <w:rFonts w:ascii="Arial" w:hAnsi="Arial" w:cs="Arial"/>
          <w:sz w:val="20"/>
          <w:szCs w:val="20"/>
        </w:rPr>
        <w:t xml:space="preserve"> medical care in SUS and the </w:t>
      </w:r>
      <w:r w:rsidR="008452F8" w:rsidRPr="007A515F">
        <w:rPr>
          <w:rFonts w:ascii="Arial" w:hAnsi="Arial" w:cs="Arial"/>
          <w:sz w:val="20"/>
          <w:szCs w:val="20"/>
        </w:rPr>
        <w:t>need for</w:t>
      </w:r>
      <w:r w:rsidR="000A1091" w:rsidRPr="007A515F">
        <w:rPr>
          <w:rFonts w:ascii="Arial" w:hAnsi="Arial" w:cs="Arial"/>
          <w:sz w:val="20"/>
          <w:szCs w:val="20"/>
        </w:rPr>
        <w:t xml:space="preserve"> a prescription for</w:t>
      </w:r>
      <w:r w:rsidR="008452F8" w:rsidRPr="007A515F">
        <w:rPr>
          <w:rFonts w:ascii="Arial" w:hAnsi="Arial" w:cs="Arial"/>
          <w:sz w:val="20"/>
          <w:szCs w:val="20"/>
        </w:rPr>
        <w:t xml:space="preserve"> </w:t>
      </w:r>
      <w:r w:rsidR="000A1091" w:rsidRPr="007A515F">
        <w:rPr>
          <w:rFonts w:ascii="Arial" w:hAnsi="Arial" w:cs="Arial"/>
          <w:sz w:val="20"/>
          <w:szCs w:val="20"/>
        </w:rPr>
        <w:t>medic</w:t>
      </w:r>
      <w:r w:rsidR="008452F8" w:rsidRPr="007A515F">
        <w:rPr>
          <w:rFonts w:ascii="Arial" w:hAnsi="Arial" w:cs="Arial"/>
          <w:sz w:val="20"/>
          <w:szCs w:val="20"/>
        </w:rPr>
        <w:t>ines</w:t>
      </w:r>
      <w:r w:rsidR="000A1091" w:rsidRPr="007A515F">
        <w:rPr>
          <w:rFonts w:ascii="Arial" w:hAnsi="Arial" w:cs="Arial"/>
          <w:sz w:val="20"/>
          <w:szCs w:val="20"/>
        </w:rPr>
        <w:t xml:space="preserve"> </w:t>
      </w:r>
      <w:r w:rsidR="008452F8" w:rsidRPr="007A515F">
        <w:rPr>
          <w:rFonts w:ascii="Arial" w:hAnsi="Arial" w:cs="Arial"/>
          <w:sz w:val="20"/>
          <w:szCs w:val="20"/>
        </w:rPr>
        <w:t xml:space="preserve">to be </w:t>
      </w:r>
      <w:r w:rsidR="008452F8" w:rsidRPr="007A515F">
        <w:rPr>
          <w:rFonts w:ascii="Arial" w:hAnsi="Arial" w:cs="Arial"/>
          <w:sz w:val="20"/>
          <w:szCs w:val="20"/>
        </w:rPr>
        <w:lastRenderedPageBreak/>
        <w:t xml:space="preserve">dispensed </w:t>
      </w:r>
      <w:r w:rsidR="000A1091" w:rsidRPr="007A515F">
        <w:rPr>
          <w:rFonts w:ascii="Arial" w:hAnsi="Arial" w:cs="Arial"/>
          <w:sz w:val="20"/>
          <w:szCs w:val="20"/>
        </w:rPr>
        <w:t>in public pharmacies</w:t>
      </w:r>
      <w:r w:rsidR="008452F8" w:rsidRPr="007A515F">
        <w:rPr>
          <w:rFonts w:ascii="Arial" w:hAnsi="Arial" w:cs="Arial"/>
          <w:sz w:val="20"/>
          <w:szCs w:val="20"/>
        </w:rPr>
        <w:t>. C</w:t>
      </w:r>
      <w:r w:rsidR="000A1091" w:rsidRPr="007A515F">
        <w:rPr>
          <w:rFonts w:ascii="Arial" w:hAnsi="Arial" w:cs="Arial"/>
          <w:sz w:val="20"/>
          <w:szCs w:val="20"/>
        </w:rPr>
        <w:t xml:space="preserve">onsequently, </w:t>
      </w:r>
      <w:r w:rsidR="008452F8" w:rsidRPr="007A515F">
        <w:rPr>
          <w:rFonts w:ascii="Arial" w:hAnsi="Arial" w:cs="Arial"/>
          <w:sz w:val="20"/>
          <w:szCs w:val="20"/>
        </w:rPr>
        <w:t xml:space="preserve">patients often </w:t>
      </w:r>
      <w:r w:rsidR="000A1091" w:rsidRPr="007A515F">
        <w:rPr>
          <w:rFonts w:ascii="Arial" w:hAnsi="Arial" w:cs="Arial"/>
          <w:sz w:val="20"/>
          <w:szCs w:val="20"/>
        </w:rPr>
        <w:t xml:space="preserve">resort to the private sector either through additional supplemental health insurance or 100% co-payment </w:t>
      </w:r>
      <w:r w:rsidR="00645184" w:rsidRPr="007A515F">
        <w:rPr>
          <w:rFonts w:ascii="Arial" w:hAnsi="Arial" w:cs="Arial"/>
          <w:sz w:val="20"/>
          <w:szCs w:val="20"/>
        </w:rPr>
        <w:t>to obtain their medicines [</w:t>
      </w:r>
      <w:r w:rsidR="008452F8" w:rsidRPr="007A515F">
        <w:rPr>
          <w:rFonts w:ascii="Arial" w:hAnsi="Arial" w:cs="Arial"/>
          <w:sz w:val="20"/>
          <w:szCs w:val="20"/>
        </w:rPr>
        <w:t>74</w:t>
      </w:r>
      <w:r w:rsidR="00645184" w:rsidRPr="007A515F">
        <w:rPr>
          <w:rFonts w:ascii="Arial" w:hAnsi="Arial" w:cs="Arial"/>
          <w:sz w:val="20"/>
          <w:szCs w:val="20"/>
        </w:rPr>
        <w:t>-76</w:t>
      </w:r>
      <w:r w:rsidR="008452F8" w:rsidRPr="007A515F">
        <w:rPr>
          <w:rFonts w:ascii="Arial" w:hAnsi="Arial" w:cs="Arial"/>
          <w:sz w:val="20"/>
          <w:szCs w:val="20"/>
        </w:rPr>
        <w:t>]</w:t>
      </w:r>
      <w:r w:rsidR="000A1091" w:rsidRPr="007A515F">
        <w:rPr>
          <w:rFonts w:ascii="Arial" w:hAnsi="Arial" w:cs="Arial"/>
          <w:sz w:val="20"/>
          <w:szCs w:val="20"/>
        </w:rPr>
        <w:t xml:space="preserve">. This scenario, in which a large proportion of medicine costs comes from patient’s direct out-of-pocket payments </w:t>
      </w:r>
      <w:r w:rsidR="008452F8" w:rsidRPr="007A515F">
        <w:rPr>
          <w:rFonts w:ascii="Arial" w:hAnsi="Arial" w:cs="Arial"/>
          <w:sz w:val="20"/>
          <w:szCs w:val="20"/>
        </w:rPr>
        <w:t xml:space="preserve">is </w:t>
      </w:r>
      <w:r w:rsidR="000A1091" w:rsidRPr="007A515F">
        <w:rPr>
          <w:rFonts w:ascii="Arial" w:hAnsi="Arial" w:cs="Arial"/>
          <w:sz w:val="20"/>
          <w:szCs w:val="20"/>
        </w:rPr>
        <w:t>similar to other LMIC</w:t>
      </w:r>
      <w:r w:rsidR="008452F8" w:rsidRPr="007A515F">
        <w:rPr>
          <w:rFonts w:ascii="Arial" w:hAnsi="Arial" w:cs="Arial"/>
          <w:sz w:val="20"/>
          <w:szCs w:val="20"/>
        </w:rPr>
        <w:t>s [76]</w:t>
      </w:r>
      <w:r w:rsidR="000A1091" w:rsidRPr="007A515F">
        <w:rPr>
          <w:rFonts w:ascii="Arial" w:hAnsi="Arial" w:cs="Arial"/>
          <w:sz w:val="20"/>
          <w:szCs w:val="20"/>
        </w:rPr>
        <w:t xml:space="preserve">. However, Brazil is different in that there is a public healthcare system (SUS) where patients can access treatment and medicines; </w:t>
      </w:r>
      <w:r w:rsidR="008452F8" w:rsidRPr="007A515F">
        <w:rPr>
          <w:rFonts w:ascii="Arial" w:hAnsi="Arial" w:cs="Arial"/>
          <w:sz w:val="20"/>
          <w:szCs w:val="20"/>
        </w:rPr>
        <w:t>however, as mentioned,</w:t>
      </w:r>
      <w:r w:rsidR="000A1091" w:rsidRPr="007A515F">
        <w:rPr>
          <w:rFonts w:ascii="Arial" w:hAnsi="Arial" w:cs="Arial"/>
          <w:sz w:val="20"/>
          <w:szCs w:val="20"/>
        </w:rPr>
        <w:t xml:space="preserve"> there are challenges with accessing the public system including medicines. A nationwide study showed that the total availability of medicine</w:t>
      </w:r>
      <w:r w:rsidR="008452F8" w:rsidRPr="007A515F">
        <w:rPr>
          <w:rFonts w:ascii="Arial" w:hAnsi="Arial" w:cs="Arial"/>
          <w:sz w:val="20"/>
          <w:szCs w:val="20"/>
        </w:rPr>
        <w:t>s</w:t>
      </w:r>
      <w:r w:rsidR="000A1091" w:rsidRPr="007A515F">
        <w:rPr>
          <w:rFonts w:ascii="Arial" w:hAnsi="Arial" w:cs="Arial"/>
          <w:sz w:val="20"/>
          <w:szCs w:val="20"/>
        </w:rPr>
        <w:t xml:space="preserve"> in  SUS was 45.2% </w:t>
      </w:r>
      <w:r w:rsidR="008452F8" w:rsidRPr="007A515F">
        <w:rPr>
          <w:rFonts w:ascii="Arial" w:hAnsi="Arial" w:cs="Arial"/>
          <w:sz w:val="20"/>
          <w:szCs w:val="20"/>
        </w:rPr>
        <w:t>whilst it was</w:t>
      </w:r>
      <w:r w:rsidR="000A1091" w:rsidRPr="007A515F">
        <w:rPr>
          <w:rFonts w:ascii="Arial" w:hAnsi="Arial" w:cs="Arial"/>
          <w:sz w:val="20"/>
          <w:szCs w:val="20"/>
        </w:rPr>
        <w:t xml:space="preserve"> 88.5% in private pharmacies</w:t>
      </w:r>
      <w:r w:rsidR="000D6FA9" w:rsidRPr="007A515F">
        <w:rPr>
          <w:rFonts w:ascii="Arial" w:hAnsi="Arial" w:cs="Arial"/>
          <w:sz w:val="20"/>
          <w:szCs w:val="20"/>
        </w:rPr>
        <w:t xml:space="preserve"> [76</w:t>
      </w:r>
      <w:r w:rsidR="008452F8" w:rsidRPr="007A515F">
        <w:rPr>
          <w:rFonts w:ascii="Arial" w:hAnsi="Arial" w:cs="Arial"/>
          <w:sz w:val="20"/>
          <w:szCs w:val="20"/>
        </w:rPr>
        <w:t>]</w:t>
      </w:r>
      <w:r w:rsidR="000A1091" w:rsidRPr="007A515F">
        <w:rPr>
          <w:rFonts w:ascii="Arial" w:hAnsi="Arial" w:cs="Arial"/>
          <w:sz w:val="20"/>
          <w:szCs w:val="20"/>
        </w:rPr>
        <w:t xml:space="preserve">. However, for chronic diseases with a high prevalence in Brazil, such as hypertension and diabetes, the public sector provides </w:t>
      </w:r>
      <w:r w:rsidR="008452F8" w:rsidRPr="007A515F">
        <w:rPr>
          <w:rFonts w:ascii="Arial" w:hAnsi="Arial" w:cs="Arial"/>
          <w:sz w:val="20"/>
          <w:szCs w:val="20"/>
        </w:rPr>
        <w:t xml:space="preserve">a higher proportion at </w:t>
      </w:r>
      <w:r w:rsidR="000A1091" w:rsidRPr="007A515F">
        <w:rPr>
          <w:rFonts w:ascii="Arial" w:hAnsi="Arial" w:cs="Arial"/>
          <w:sz w:val="20"/>
          <w:szCs w:val="20"/>
        </w:rPr>
        <w:t xml:space="preserve"> 57.2% and 60.1%</w:t>
      </w:r>
      <w:r w:rsidR="002E2DB2" w:rsidRPr="007A515F">
        <w:rPr>
          <w:rFonts w:ascii="Arial" w:hAnsi="Arial" w:cs="Arial"/>
          <w:sz w:val="20"/>
          <w:szCs w:val="20"/>
        </w:rPr>
        <w:t xml:space="preserve"> </w:t>
      </w:r>
      <w:r w:rsidR="008452F8" w:rsidRPr="007A515F">
        <w:rPr>
          <w:rFonts w:ascii="Arial" w:hAnsi="Arial" w:cs="Arial"/>
          <w:sz w:val="20"/>
          <w:szCs w:val="20"/>
        </w:rPr>
        <w:t xml:space="preserve">respectively </w:t>
      </w:r>
      <w:r w:rsidR="002E2DB2" w:rsidRPr="007A515F">
        <w:rPr>
          <w:rFonts w:ascii="Arial" w:hAnsi="Arial" w:cs="Arial"/>
          <w:sz w:val="20"/>
          <w:szCs w:val="20"/>
        </w:rPr>
        <w:t>of the essential medicines needed</w:t>
      </w:r>
      <w:r w:rsidR="000D6FA9" w:rsidRPr="007A515F">
        <w:rPr>
          <w:rFonts w:ascii="Arial" w:hAnsi="Arial" w:cs="Arial"/>
          <w:sz w:val="20"/>
          <w:szCs w:val="20"/>
        </w:rPr>
        <w:t xml:space="preserve"> [76</w:t>
      </w:r>
      <w:r w:rsidR="008452F8" w:rsidRPr="007A515F">
        <w:rPr>
          <w:rFonts w:ascii="Arial" w:hAnsi="Arial" w:cs="Arial"/>
          <w:sz w:val="20"/>
          <w:szCs w:val="20"/>
        </w:rPr>
        <w:t>]</w:t>
      </w:r>
      <w:r w:rsidR="000A1091" w:rsidRPr="007A515F">
        <w:rPr>
          <w:rFonts w:ascii="Arial" w:hAnsi="Arial" w:cs="Arial"/>
          <w:sz w:val="20"/>
          <w:szCs w:val="20"/>
        </w:rPr>
        <w:t>.</w:t>
      </w:r>
    </w:p>
    <w:p w14:paraId="353DD63B" w14:textId="57AE7A65" w:rsidR="00104A61" w:rsidRPr="007A515F" w:rsidRDefault="000A1091" w:rsidP="007A515F">
      <w:pPr>
        <w:pStyle w:val="NoSpacing"/>
        <w:rPr>
          <w:rFonts w:ascii="Arial" w:hAnsi="Arial" w:cs="Arial"/>
          <w:sz w:val="20"/>
          <w:szCs w:val="20"/>
        </w:rPr>
      </w:pPr>
      <w:r w:rsidRPr="007A515F">
        <w:rPr>
          <w:rFonts w:ascii="Arial" w:hAnsi="Arial" w:cs="Arial"/>
          <w:sz w:val="20"/>
          <w:szCs w:val="20"/>
        </w:rPr>
        <w:t>Bigdeli et al</w:t>
      </w:r>
      <w:r w:rsidR="008452F8" w:rsidRPr="007A515F">
        <w:rPr>
          <w:rFonts w:ascii="Arial" w:hAnsi="Arial" w:cs="Arial"/>
          <w:sz w:val="20"/>
          <w:szCs w:val="20"/>
        </w:rPr>
        <w:t xml:space="preserve"> [39]</w:t>
      </w:r>
      <w:r w:rsidRPr="007A515F">
        <w:rPr>
          <w:rFonts w:ascii="Arial" w:hAnsi="Arial" w:cs="Arial"/>
          <w:sz w:val="20"/>
          <w:szCs w:val="20"/>
        </w:rPr>
        <w:t xml:space="preserve"> discussed the existence of fragmentation of access to medicines among LMICs</w:t>
      </w:r>
      <w:r w:rsidR="008452F8" w:rsidRPr="007A515F">
        <w:rPr>
          <w:rFonts w:ascii="Arial" w:hAnsi="Arial" w:cs="Arial"/>
          <w:sz w:val="20"/>
          <w:szCs w:val="20"/>
        </w:rPr>
        <w:t>,</w:t>
      </w:r>
      <w:r w:rsidRPr="007A515F">
        <w:rPr>
          <w:rFonts w:ascii="Arial" w:hAnsi="Arial" w:cs="Arial"/>
          <w:sz w:val="20"/>
          <w:szCs w:val="20"/>
        </w:rPr>
        <w:t xml:space="preserve"> which has harmed and isolated other significant components of health systems, sometimes providing access barriers. As an example, the constitution of segmented access, dissociating pharmaceutical care form other sectors of the health and economic systems.</w:t>
      </w:r>
    </w:p>
    <w:p w14:paraId="2050556D" w14:textId="7DA6EB5C" w:rsidR="00104A61" w:rsidRPr="007A515F" w:rsidRDefault="000A1091" w:rsidP="007A515F">
      <w:pPr>
        <w:pStyle w:val="NoSpacing"/>
        <w:rPr>
          <w:rFonts w:ascii="Arial" w:hAnsi="Arial" w:cs="Arial"/>
          <w:sz w:val="20"/>
          <w:szCs w:val="20"/>
        </w:rPr>
      </w:pPr>
      <w:r w:rsidRPr="007A515F">
        <w:rPr>
          <w:rFonts w:ascii="Arial" w:hAnsi="Arial" w:cs="Arial"/>
          <w:sz w:val="20"/>
          <w:szCs w:val="20"/>
        </w:rPr>
        <w:t>When analyzing the profile of the interviewe</w:t>
      </w:r>
      <w:r w:rsidR="008452F8" w:rsidRPr="007A515F">
        <w:rPr>
          <w:rFonts w:ascii="Arial" w:hAnsi="Arial" w:cs="Arial"/>
          <w:sz w:val="20"/>
          <w:szCs w:val="20"/>
        </w:rPr>
        <w:t>es</w:t>
      </w:r>
      <w:r w:rsidRPr="007A515F">
        <w:rPr>
          <w:rFonts w:ascii="Arial" w:hAnsi="Arial" w:cs="Arial"/>
          <w:sz w:val="20"/>
          <w:szCs w:val="20"/>
        </w:rPr>
        <w:t xml:space="preserve">, a greater proportion of </w:t>
      </w:r>
      <w:r w:rsidR="006C6061" w:rsidRPr="007A515F">
        <w:rPr>
          <w:rFonts w:ascii="Arial" w:hAnsi="Arial" w:cs="Arial"/>
          <w:sz w:val="20"/>
          <w:szCs w:val="20"/>
        </w:rPr>
        <w:t>those</w:t>
      </w:r>
      <w:r w:rsidRPr="007A515F">
        <w:rPr>
          <w:rFonts w:ascii="Arial" w:hAnsi="Arial" w:cs="Arial"/>
          <w:sz w:val="20"/>
          <w:szCs w:val="20"/>
        </w:rPr>
        <w:t xml:space="preserve"> 55 years or </w:t>
      </w:r>
      <w:r w:rsidR="006C6061" w:rsidRPr="007A515F">
        <w:rPr>
          <w:rFonts w:ascii="Arial" w:hAnsi="Arial" w:cs="Arial"/>
          <w:sz w:val="20"/>
          <w:szCs w:val="20"/>
        </w:rPr>
        <w:t>older</w:t>
      </w:r>
      <w:r w:rsidRPr="007A515F">
        <w:rPr>
          <w:rFonts w:ascii="Arial" w:hAnsi="Arial" w:cs="Arial"/>
          <w:sz w:val="20"/>
          <w:szCs w:val="20"/>
        </w:rPr>
        <w:t xml:space="preserve"> resort to public pharmacies to obtain their medicines. This is expected since, with increasing age, health spending increases considerably, leading to greater use of public health services </w:t>
      </w:r>
      <w:r w:rsidR="000D6FA9" w:rsidRPr="007A515F">
        <w:rPr>
          <w:rFonts w:ascii="Arial" w:hAnsi="Arial" w:cs="Arial"/>
          <w:sz w:val="20"/>
          <w:szCs w:val="20"/>
        </w:rPr>
        <w:t>[77</w:t>
      </w:r>
      <w:r w:rsidR="006C6061" w:rsidRPr="007A515F">
        <w:rPr>
          <w:rFonts w:ascii="Arial" w:hAnsi="Arial" w:cs="Arial"/>
          <w:sz w:val="20"/>
          <w:szCs w:val="20"/>
        </w:rPr>
        <w:t>]</w:t>
      </w:r>
      <w:r w:rsidRPr="007A515F">
        <w:rPr>
          <w:rFonts w:ascii="Arial" w:hAnsi="Arial" w:cs="Arial"/>
          <w:sz w:val="20"/>
          <w:szCs w:val="20"/>
        </w:rPr>
        <w:t xml:space="preserve">. Consequently, </w:t>
      </w:r>
      <w:r w:rsidR="006C6061" w:rsidRPr="007A515F">
        <w:rPr>
          <w:rFonts w:ascii="Arial" w:hAnsi="Arial" w:cs="Arial"/>
          <w:sz w:val="20"/>
          <w:szCs w:val="20"/>
        </w:rPr>
        <w:t xml:space="preserve">there is </w:t>
      </w:r>
      <w:r w:rsidRPr="007A515F">
        <w:rPr>
          <w:rFonts w:ascii="Arial" w:hAnsi="Arial" w:cs="Arial"/>
          <w:sz w:val="20"/>
          <w:szCs w:val="20"/>
        </w:rPr>
        <w:t xml:space="preserve">a need to improve access to medicines </w:t>
      </w:r>
      <w:r w:rsidR="006C6061" w:rsidRPr="007A515F">
        <w:rPr>
          <w:rFonts w:ascii="Arial" w:hAnsi="Arial" w:cs="Arial"/>
          <w:sz w:val="20"/>
          <w:szCs w:val="20"/>
        </w:rPr>
        <w:t xml:space="preserve">in this age group </w:t>
      </w:r>
      <w:r w:rsidRPr="007A515F">
        <w:rPr>
          <w:rFonts w:ascii="Arial" w:hAnsi="Arial" w:cs="Arial"/>
          <w:sz w:val="20"/>
          <w:szCs w:val="20"/>
        </w:rPr>
        <w:t>where th</w:t>
      </w:r>
      <w:r w:rsidR="006C6061" w:rsidRPr="007A515F">
        <w:rPr>
          <w:rFonts w:ascii="Arial" w:hAnsi="Arial" w:cs="Arial"/>
          <w:sz w:val="20"/>
          <w:szCs w:val="20"/>
        </w:rPr>
        <w:t>ere are identified</w:t>
      </w:r>
      <w:r w:rsidRPr="007A515F">
        <w:rPr>
          <w:rFonts w:ascii="Arial" w:hAnsi="Arial" w:cs="Arial"/>
          <w:sz w:val="20"/>
          <w:szCs w:val="20"/>
        </w:rPr>
        <w:t xml:space="preserve"> concern</w:t>
      </w:r>
      <w:r w:rsidR="006C6061" w:rsidRPr="007A515F">
        <w:rPr>
          <w:rFonts w:ascii="Arial" w:hAnsi="Arial" w:cs="Arial"/>
          <w:sz w:val="20"/>
          <w:szCs w:val="20"/>
        </w:rPr>
        <w:t>s</w:t>
      </w:r>
      <w:r w:rsidRPr="007A515F">
        <w:rPr>
          <w:rFonts w:ascii="Arial" w:hAnsi="Arial" w:cs="Arial"/>
          <w:sz w:val="20"/>
          <w:szCs w:val="20"/>
        </w:rPr>
        <w:t>.</w:t>
      </w:r>
    </w:p>
    <w:p w14:paraId="1B918E4C" w14:textId="77777777" w:rsidR="007A515F" w:rsidRDefault="007A515F" w:rsidP="007A515F">
      <w:pPr>
        <w:pStyle w:val="NoSpacing"/>
        <w:rPr>
          <w:rFonts w:ascii="Arial" w:hAnsi="Arial" w:cs="Arial"/>
          <w:sz w:val="20"/>
          <w:szCs w:val="20"/>
        </w:rPr>
      </w:pPr>
    </w:p>
    <w:p w14:paraId="44E9EEB8" w14:textId="26D02E6B"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As most individuals reported using private pharmacies, it becomes clear that more </w:t>
      </w:r>
      <w:r w:rsidR="006C6061" w:rsidRPr="007A515F">
        <w:rPr>
          <w:rFonts w:ascii="Arial" w:hAnsi="Arial" w:cs="Arial"/>
          <w:sz w:val="20"/>
          <w:szCs w:val="20"/>
        </w:rPr>
        <w:t>research is</w:t>
      </w:r>
      <w:r w:rsidRPr="007A515F">
        <w:rPr>
          <w:rFonts w:ascii="Arial" w:hAnsi="Arial" w:cs="Arial"/>
          <w:sz w:val="20"/>
          <w:szCs w:val="20"/>
        </w:rPr>
        <w:t xml:space="preserve"> needed on access to medicines </w:t>
      </w:r>
      <w:r w:rsidR="006C6061" w:rsidRPr="007A515F">
        <w:rPr>
          <w:rFonts w:ascii="Arial" w:hAnsi="Arial" w:cs="Arial"/>
          <w:sz w:val="20"/>
          <w:szCs w:val="20"/>
        </w:rPr>
        <w:t>in these pharmacies</w:t>
      </w:r>
      <w:r w:rsidRPr="007A515F">
        <w:rPr>
          <w:rFonts w:ascii="Arial" w:hAnsi="Arial" w:cs="Arial"/>
          <w:sz w:val="20"/>
          <w:szCs w:val="20"/>
        </w:rPr>
        <w:t>. In Brazil, a possible reason for the lack of studies in this area may be due to people culturally considering private pharmacies just a commercial establishment even with the recent regulation in Brazil defining private pharmacies and drugstores as health establishments</w:t>
      </w:r>
      <w:r w:rsidR="006C6061" w:rsidRPr="007A515F">
        <w:rPr>
          <w:rFonts w:ascii="Arial" w:hAnsi="Arial" w:cs="Arial"/>
          <w:sz w:val="20"/>
          <w:szCs w:val="20"/>
        </w:rPr>
        <w:t xml:space="preserve"> [76</w:t>
      </w:r>
      <w:r w:rsidR="000D6FA9" w:rsidRPr="007A515F">
        <w:rPr>
          <w:rFonts w:ascii="Arial" w:hAnsi="Arial" w:cs="Arial"/>
          <w:sz w:val="20"/>
          <w:szCs w:val="20"/>
        </w:rPr>
        <w:t>,</w:t>
      </w:r>
      <w:r w:rsidR="006C6061" w:rsidRPr="007A515F">
        <w:rPr>
          <w:rFonts w:ascii="Arial" w:hAnsi="Arial" w:cs="Arial"/>
          <w:sz w:val="20"/>
          <w:szCs w:val="20"/>
        </w:rPr>
        <w:t>7</w:t>
      </w:r>
      <w:r w:rsidR="000D6FA9" w:rsidRPr="007A515F">
        <w:rPr>
          <w:rFonts w:ascii="Arial" w:hAnsi="Arial" w:cs="Arial"/>
          <w:sz w:val="20"/>
          <w:szCs w:val="20"/>
        </w:rPr>
        <w:t>7]</w:t>
      </w:r>
      <w:r w:rsidRPr="007A515F">
        <w:rPr>
          <w:rFonts w:ascii="Arial" w:hAnsi="Arial" w:cs="Arial"/>
          <w:sz w:val="20"/>
          <w:szCs w:val="20"/>
        </w:rPr>
        <w:t>.</w:t>
      </w:r>
    </w:p>
    <w:p w14:paraId="167252F9" w14:textId="77777777" w:rsidR="007A515F" w:rsidRDefault="007A515F" w:rsidP="007A515F">
      <w:pPr>
        <w:pStyle w:val="NoSpacing"/>
        <w:rPr>
          <w:rFonts w:ascii="Arial" w:hAnsi="Arial" w:cs="Arial"/>
          <w:sz w:val="20"/>
          <w:szCs w:val="20"/>
          <w:highlight w:val="white"/>
        </w:rPr>
      </w:pPr>
    </w:p>
    <w:p w14:paraId="5D77E48E" w14:textId="3A0CC1C4" w:rsidR="00104A61" w:rsidRPr="007A515F" w:rsidRDefault="000A1091" w:rsidP="007A515F">
      <w:pPr>
        <w:pStyle w:val="NoSpacing"/>
        <w:rPr>
          <w:rFonts w:ascii="Arial" w:hAnsi="Arial" w:cs="Arial"/>
          <w:sz w:val="20"/>
          <w:szCs w:val="20"/>
          <w:highlight w:val="white"/>
        </w:rPr>
      </w:pPr>
      <w:r w:rsidRPr="007A515F">
        <w:rPr>
          <w:rFonts w:ascii="Arial" w:hAnsi="Arial" w:cs="Arial"/>
          <w:sz w:val="20"/>
          <w:szCs w:val="20"/>
          <w:highlight w:val="white"/>
        </w:rPr>
        <w:t xml:space="preserve">In addition, the results showed that individuals who accessed private pharmacies were more rigorous about the quality of care, possibly because they were more satisfied with the pharmaceutical care services when compared to individuals who accessed </w:t>
      </w:r>
      <w:r w:rsidR="006C6061" w:rsidRPr="007A515F">
        <w:rPr>
          <w:rFonts w:ascii="Arial" w:hAnsi="Arial" w:cs="Arial"/>
          <w:sz w:val="20"/>
          <w:szCs w:val="20"/>
          <w:highlight w:val="white"/>
        </w:rPr>
        <w:t xml:space="preserve">both </w:t>
      </w:r>
      <w:r w:rsidRPr="007A515F">
        <w:rPr>
          <w:rFonts w:ascii="Arial" w:hAnsi="Arial" w:cs="Arial"/>
          <w:sz w:val="20"/>
          <w:szCs w:val="20"/>
          <w:highlight w:val="white"/>
        </w:rPr>
        <w:t>private and public services or exclusively public pharmacies</w:t>
      </w:r>
      <w:r w:rsidR="000D6FA9" w:rsidRPr="007A515F">
        <w:rPr>
          <w:rFonts w:ascii="Arial" w:hAnsi="Arial" w:cs="Arial"/>
          <w:sz w:val="20"/>
          <w:szCs w:val="20"/>
          <w:highlight w:val="white"/>
        </w:rPr>
        <w:t xml:space="preserve"> [78,79</w:t>
      </w:r>
      <w:r w:rsidR="006C6061" w:rsidRPr="007A515F">
        <w:rPr>
          <w:rFonts w:ascii="Arial" w:hAnsi="Arial" w:cs="Arial"/>
          <w:sz w:val="20"/>
          <w:szCs w:val="20"/>
          <w:highlight w:val="white"/>
        </w:rPr>
        <w:t>]</w:t>
      </w:r>
      <w:r w:rsidRPr="007A515F">
        <w:rPr>
          <w:rFonts w:ascii="Arial" w:hAnsi="Arial" w:cs="Arial"/>
          <w:sz w:val="20"/>
          <w:szCs w:val="20"/>
          <w:highlight w:val="white"/>
        </w:rPr>
        <w:t>. Again, this is important for planning future services in Brazil.</w:t>
      </w:r>
    </w:p>
    <w:p w14:paraId="1F0E44FF" w14:textId="77777777" w:rsidR="007A515F" w:rsidRDefault="007A515F" w:rsidP="007A515F">
      <w:pPr>
        <w:pStyle w:val="NoSpacing"/>
        <w:rPr>
          <w:rFonts w:ascii="Arial" w:hAnsi="Arial" w:cs="Arial"/>
          <w:sz w:val="20"/>
          <w:szCs w:val="20"/>
        </w:rPr>
      </w:pPr>
    </w:p>
    <w:p w14:paraId="5B880203" w14:textId="33687C8D" w:rsidR="00104A61" w:rsidRDefault="006C6061" w:rsidP="007A515F">
      <w:pPr>
        <w:pStyle w:val="NoSpacing"/>
        <w:rPr>
          <w:rFonts w:ascii="Arial" w:hAnsi="Arial" w:cs="Arial"/>
          <w:sz w:val="20"/>
          <w:szCs w:val="20"/>
        </w:rPr>
      </w:pPr>
      <w:r w:rsidRPr="007A515F">
        <w:rPr>
          <w:rFonts w:ascii="Arial" w:hAnsi="Arial" w:cs="Arial"/>
          <w:sz w:val="20"/>
          <w:szCs w:val="20"/>
        </w:rPr>
        <w:t>We are aware of a number of limitations with this study. Whilst we believe</w:t>
      </w:r>
      <w:r w:rsidR="000A1091" w:rsidRPr="007A515F">
        <w:rPr>
          <w:rFonts w:ascii="Arial" w:hAnsi="Arial" w:cs="Arial"/>
          <w:sz w:val="20"/>
          <w:szCs w:val="20"/>
        </w:rPr>
        <w:t xml:space="preserve"> the sample is representative, </w:t>
      </w:r>
      <w:r w:rsidRPr="007A515F">
        <w:rPr>
          <w:rFonts w:ascii="Arial" w:hAnsi="Arial" w:cs="Arial"/>
          <w:sz w:val="20"/>
          <w:szCs w:val="20"/>
        </w:rPr>
        <w:t>there may be</w:t>
      </w:r>
      <w:r w:rsidR="000A1091" w:rsidRPr="007A515F">
        <w:rPr>
          <w:rFonts w:ascii="Arial" w:hAnsi="Arial" w:cs="Arial"/>
          <w:sz w:val="20"/>
          <w:szCs w:val="20"/>
        </w:rPr>
        <w:t xml:space="preserve"> some peculiarities</w:t>
      </w:r>
      <w:r w:rsidRPr="007A515F">
        <w:rPr>
          <w:rFonts w:ascii="Arial" w:hAnsi="Arial" w:cs="Arial"/>
          <w:sz w:val="20"/>
          <w:szCs w:val="20"/>
        </w:rPr>
        <w:t xml:space="preserve"> with interviewees </w:t>
      </w:r>
      <w:r w:rsidR="000A1091" w:rsidRPr="007A515F">
        <w:rPr>
          <w:rFonts w:ascii="Arial" w:hAnsi="Arial" w:cs="Arial"/>
          <w:sz w:val="20"/>
          <w:szCs w:val="20"/>
        </w:rPr>
        <w:t xml:space="preserve">only </w:t>
      </w:r>
      <w:r w:rsidRPr="007A515F">
        <w:rPr>
          <w:rFonts w:ascii="Arial" w:hAnsi="Arial" w:cs="Arial"/>
          <w:sz w:val="20"/>
          <w:szCs w:val="20"/>
        </w:rPr>
        <w:t>taken from</w:t>
      </w:r>
      <w:r w:rsidR="000A1091" w:rsidRPr="007A515F">
        <w:rPr>
          <w:rFonts w:ascii="Arial" w:hAnsi="Arial" w:cs="Arial"/>
          <w:sz w:val="20"/>
          <w:szCs w:val="20"/>
        </w:rPr>
        <w:t xml:space="preserve"> the metropolitan area of Belo Horizonte, Minas Gerais. In addition, there may be variations concerning the types of pharmacies available in different locations. We are also aware this study was a cross-sectional study so it wasn't possible to establish the relationship of cause and effect of changes in the importance and satisfaction data. In addition, the efficiency of public pharmacy management and its influences on importance and satisfaction data were not evaluated. Despite the limitations, we believe this work is innovative being we believe </w:t>
      </w:r>
      <w:r w:rsidRPr="007A515F">
        <w:rPr>
          <w:rFonts w:ascii="Arial" w:hAnsi="Arial" w:cs="Arial"/>
          <w:sz w:val="20"/>
          <w:szCs w:val="20"/>
        </w:rPr>
        <w:t xml:space="preserve">the first study attempting </w:t>
      </w:r>
      <w:r w:rsidR="000A1091" w:rsidRPr="007A515F">
        <w:rPr>
          <w:rFonts w:ascii="Arial" w:hAnsi="Arial" w:cs="Arial"/>
          <w:sz w:val="20"/>
          <w:szCs w:val="20"/>
        </w:rPr>
        <w:t>to create a single multifaceted access indicator. The absence of similar studies makes is difficult to compare our findings with others.</w:t>
      </w:r>
    </w:p>
    <w:p w14:paraId="4A7EFA06" w14:textId="77777777" w:rsidR="007A515F" w:rsidRPr="007A515F" w:rsidRDefault="007A515F" w:rsidP="007A515F">
      <w:pPr>
        <w:pStyle w:val="NoSpacing"/>
        <w:rPr>
          <w:rFonts w:ascii="Arial" w:hAnsi="Arial" w:cs="Arial"/>
          <w:sz w:val="20"/>
          <w:szCs w:val="20"/>
        </w:rPr>
      </w:pPr>
    </w:p>
    <w:p w14:paraId="0BC2128C"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Overall, we believe our findings are robust providing future direction to both public and private pharmacies in Brazil as well as the public healthcare system in Brazil.</w:t>
      </w:r>
    </w:p>
    <w:p w14:paraId="3E952B93" w14:textId="77777777" w:rsidR="007A515F" w:rsidRDefault="007A515F" w:rsidP="007A515F">
      <w:pPr>
        <w:pStyle w:val="NoSpacing"/>
        <w:rPr>
          <w:rFonts w:ascii="Arial" w:hAnsi="Arial" w:cs="Arial"/>
          <w:sz w:val="20"/>
          <w:szCs w:val="20"/>
        </w:rPr>
      </w:pPr>
    </w:p>
    <w:p w14:paraId="2F4E3617" w14:textId="044AA47E" w:rsidR="00104A61" w:rsidRPr="007A515F" w:rsidRDefault="000A1091" w:rsidP="007A515F">
      <w:pPr>
        <w:pStyle w:val="NoSpacing"/>
        <w:rPr>
          <w:rFonts w:ascii="Arial" w:hAnsi="Arial" w:cs="Arial"/>
          <w:b/>
          <w:bCs/>
          <w:sz w:val="20"/>
          <w:szCs w:val="20"/>
        </w:rPr>
      </w:pPr>
      <w:r w:rsidRPr="007A515F">
        <w:rPr>
          <w:rFonts w:ascii="Arial" w:hAnsi="Arial" w:cs="Arial"/>
          <w:b/>
          <w:bCs/>
          <w:sz w:val="20"/>
          <w:szCs w:val="20"/>
        </w:rPr>
        <w:t>5. Conclusion</w:t>
      </w:r>
    </w:p>
    <w:p w14:paraId="79AD02BB" w14:textId="77777777" w:rsidR="007A515F" w:rsidRDefault="007A515F" w:rsidP="007A515F">
      <w:pPr>
        <w:pStyle w:val="NoSpacing"/>
        <w:rPr>
          <w:rFonts w:ascii="Arial" w:hAnsi="Arial" w:cs="Arial"/>
          <w:sz w:val="20"/>
          <w:szCs w:val="20"/>
        </w:rPr>
      </w:pPr>
    </w:p>
    <w:p w14:paraId="2CBD891B" w14:textId="7BB569E9" w:rsidR="00C22DD4" w:rsidRPr="007A515F" w:rsidRDefault="000A1091" w:rsidP="007A515F">
      <w:pPr>
        <w:pStyle w:val="NoSpacing"/>
        <w:rPr>
          <w:rFonts w:ascii="Arial" w:hAnsi="Arial" w:cs="Arial"/>
          <w:sz w:val="20"/>
          <w:szCs w:val="20"/>
        </w:rPr>
      </w:pPr>
      <w:r w:rsidRPr="007A515F">
        <w:rPr>
          <w:rFonts w:ascii="Arial" w:hAnsi="Arial" w:cs="Arial"/>
          <w:sz w:val="20"/>
          <w:szCs w:val="20"/>
        </w:rPr>
        <w:t xml:space="preserve">Although there is still considerable debate about the concept of access to health, most authors agree that access is not simply equivalent to the use of services. </w:t>
      </w:r>
      <w:r w:rsidR="00C22DD4" w:rsidRPr="007A515F">
        <w:rPr>
          <w:rFonts w:ascii="Arial" w:hAnsi="Arial" w:cs="Arial"/>
          <w:sz w:val="20"/>
          <w:szCs w:val="20"/>
        </w:rPr>
        <w:t>It should cover a far wider range of considerations. We believe t</w:t>
      </w:r>
      <w:r w:rsidRPr="007A515F">
        <w:rPr>
          <w:rFonts w:ascii="Arial" w:hAnsi="Arial" w:cs="Arial"/>
          <w:sz w:val="20"/>
          <w:szCs w:val="20"/>
        </w:rPr>
        <w:t xml:space="preserve">he unique access to medicines indicator proposed </w:t>
      </w:r>
      <w:r w:rsidR="00C22DD4" w:rsidRPr="007A515F">
        <w:rPr>
          <w:rFonts w:ascii="Arial" w:hAnsi="Arial" w:cs="Arial"/>
          <w:sz w:val="20"/>
          <w:szCs w:val="20"/>
        </w:rPr>
        <w:t xml:space="preserve">based principally on the concept proposed by Penchansky &amp; Thomas </w:t>
      </w:r>
      <w:r w:rsidRPr="007A515F">
        <w:rPr>
          <w:rFonts w:ascii="Arial" w:hAnsi="Arial" w:cs="Arial"/>
          <w:sz w:val="20"/>
          <w:szCs w:val="20"/>
        </w:rPr>
        <w:t xml:space="preserve">will allow a better evaluation of the quality of pharmaceutical care services </w:t>
      </w:r>
      <w:r w:rsidR="00C22DD4" w:rsidRPr="007A515F">
        <w:rPr>
          <w:rFonts w:ascii="Arial" w:hAnsi="Arial" w:cs="Arial"/>
          <w:sz w:val="20"/>
          <w:szCs w:val="20"/>
        </w:rPr>
        <w:t>as</w:t>
      </w:r>
      <w:r w:rsidRPr="007A515F">
        <w:rPr>
          <w:rFonts w:ascii="Arial" w:hAnsi="Arial" w:cs="Arial"/>
          <w:sz w:val="20"/>
          <w:szCs w:val="20"/>
        </w:rPr>
        <w:t xml:space="preserve"> it </w:t>
      </w:r>
      <w:r w:rsidR="00C22DD4" w:rsidRPr="007A515F">
        <w:rPr>
          <w:rFonts w:ascii="Arial" w:hAnsi="Arial" w:cs="Arial"/>
          <w:sz w:val="20"/>
          <w:szCs w:val="20"/>
        </w:rPr>
        <w:t xml:space="preserve">now </w:t>
      </w:r>
      <w:r w:rsidRPr="007A515F">
        <w:rPr>
          <w:rFonts w:ascii="Arial" w:hAnsi="Arial" w:cs="Arial"/>
          <w:sz w:val="20"/>
          <w:szCs w:val="20"/>
        </w:rPr>
        <w:t xml:space="preserve">encompasses all dimensions of access. </w:t>
      </w:r>
      <w:r w:rsidR="00C22DD4" w:rsidRPr="007A515F">
        <w:rPr>
          <w:rFonts w:ascii="Arial" w:hAnsi="Arial" w:cs="Arial"/>
          <w:sz w:val="20"/>
          <w:szCs w:val="20"/>
        </w:rPr>
        <w:t xml:space="preserve">Consequently, we would recommend this refined measure going forward. </w:t>
      </w:r>
    </w:p>
    <w:p w14:paraId="512DD076" w14:textId="77777777" w:rsidR="007A515F" w:rsidRDefault="007A515F" w:rsidP="007A515F">
      <w:pPr>
        <w:pStyle w:val="NoSpacing"/>
        <w:rPr>
          <w:rFonts w:ascii="Arial" w:hAnsi="Arial" w:cs="Arial"/>
          <w:sz w:val="20"/>
          <w:szCs w:val="20"/>
        </w:rPr>
      </w:pPr>
    </w:p>
    <w:p w14:paraId="667DD0CB" w14:textId="7D4EC022" w:rsidR="00104A61" w:rsidRPr="007A515F" w:rsidRDefault="00C22DD4" w:rsidP="007A515F">
      <w:pPr>
        <w:pStyle w:val="NoSpacing"/>
        <w:rPr>
          <w:rFonts w:ascii="Arial" w:hAnsi="Arial" w:cs="Arial"/>
          <w:sz w:val="20"/>
          <w:szCs w:val="20"/>
        </w:rPr>
      </w:pPr>
      <w:r w:rsidRPr="007A515F">
        <w:rPr>
          <w:rFonts w:ascii="Arial" w:hAnsi="Arial" w:cs="Arial"/>
          <w:sz w:val="20"/>
          <w:szCs w:val="20"/>
        </w:rPr>
        <w:t xml:space="preserve">Our findings </w:t>
      </w:r>
      <w:r w:rsidR="00A21DA1" w:rsidRPr="007A515F">
        <w:rPr>
          <w:rFonts w:ascii="Arial" w:hAnsi="Arial" w:cs="Arial"/>
          <w:sz w:val="20"/>
          <w:szCs w:val="20"/>
        </w:rPr>
        <w:t>showed the importance given by interviewees t</w:t>
      </w:r>
      <w:r w:rsidRPr="007A515F">
        <w:rPr>
          <w:rFonts w:ascii="Arial" w:hAnsi="Arial" w:cs="Arial"/>
          <w:sz w:val="20"/>
          <w:szCs w:val="20"/>
        </w:rPr>
        <w:t xml:space="preserve">o the various </w:t>
      </w:r>
      <w:r w:rsidR="00A21DA1" w:rsidRPr="007A515F">
        <w:rPr>
          <w:rFonts w:ascii="Arial" w:hAnsi="Arial" w:cs="Arial"/>
          <w:sz w:val="20"/>
          <w:szCs w:val="20"/>
        </w:rPr>
        <w:t xml:space="preserve">access </w:t>
      </w:r>
      <w:r w:rsidRPr="007A515F">
        <w:rPr>
          <w:rFonts w:ascii="Arial" w:hAnsi="Arial" w:cs="Arial"/>
          <w:sz w:val="20"/>
          <w:szCs w:val="20"/>
        </w:rPr>
        <w:t xml:space="preserve">measures as well as </w:t>
      </w:r>
      <w:r w:rsidR="00A21DA1" w:rsidRPr="007A515F">
        <w:rPr>
          <w:rFonts w:ascii="Arial" w:hAnsi="Arial" w:cs="Arial"/>
          <w:sz w:val="20"/>
          <w:szCs w:val="20"/>
        </w:rPr>
        <w:t>similar</w:t>
      </w:r>
      <w:r w:rsidRPr="007A515F">
        <w:rPr>
          <w:rFonts w:ascii="Arial" w:hAnsi="Arial" w:cs="Arial"/>
          <w:sz w:val="20"/>
          <w:szCs w:val="20"/>
        </w:rPr>
        <w:t>ities and differences</w:t>
      </w:r>
      <w:r w:rsidR="00A21DA1" w:rsidRPr="007A515F">
        <w:rPr>
          <w:rFonts w:ascii="Arial" w:hAnsi="Arial" w:cs="Arial"/>
          <w:sz w:val="20"/>
          <w:szCs w:val="20"/>
        </w:rPr>
        <w:t xml:space="preserve"> between the </w:t>
      </w:r>
      <w:r w:rsidRPr="007A515F">
        <w:rPr>
          <w:rFonts w:ascii="Arial" w:hAnsi="Arial" w:cs="Arial"/>
          <w:sz w:val="20"/>
          <w:szCs w:val="20"/>
        </w:rPr>
        <w:t xml:space="preserve">various </w:t>
      </w:r>
      <w:r w:rsidR="00A21DA1" w:rsidRPr="007A515F">
        <w:rPr>
          <w:rFonts w:ascii="Arial" w:hAnsi="Arial" w:cs="Arial"/>
          <w:sz w:val="20"/>
          <w:szCs w:val="20"/>
        </w:rPr>
        <w:t>dimensions</w:t>
      </w:r>
      <w:r w:rsidRPr="007A515F">
        <w:rPr>
          <w:rFonts w:ascii="Arial" w:hAnsi="Arial" w:cs="Arial"/>
          <w:sz w:val="20"/>
          <w:szCs w:val="20"/>
        </w:rPr>
        <w:t xml:space="preserve"> depending on issues such as gender, age and current pharmacies used.  We believe </w:t>
      </w:r>
      <w:r w:rsidR="00727129" w:rsidRPr="007A515F">
        <w:rPr>
          <w:rFonts w:ascii="Arial" w:hAnsi="Arial" w:cs="Arial"/>
          <w:sz w:val="20"/>
          <w:szCs w:val="20"/>
        </w:rPr>
        <w:t>these points</w:t>
      </w:r>
      <w:r w:rsidR="00A21DA1" w:rsidRPr="007A515F">
        <w:rPr>
          <w:rFonts w:ascii="Arial" w:hAnsi="Arial" w:cs="Arial"/>
          <w:sz w:val="20"/>
          <w:szCs w:val="20"/>
        </w:rPr>
        <w:t xml:space="preserve"> to the need for new public policies to prioritize actions directed to </w:t>
      </w:r>
      <w:r w:rsidRPr="007A515F">
        <w:rPr>
          <w:rFonts w:ascii="Arial" w:hAnsi="Arial" w:cs="Arial"/>
          <w:sz w:val="20"/>
          <w:szCs w:val="20"/>
        </w:rPr>
        <w:t xml:space="preserve">all </w:t>
      </w:r>
      <w:r w:rsidR="00A21DA1" w:rsidRPr="007A515F">
        <w:rPr>
          <w:rFonts w:ascii="Arial" w:hAnsi="Arial" w:cs="Arial"/>
          <w:sz w:val="20"/>
          <w:szCs w:val="20"/>
        </w:rPr>
        <w:t xml:space="preserve">five dimensions of access. This is unlike the current situation in which the </w:t>
      </w:r>
      <w:r w:rsidRPr="007A515F">
        <w:rPr>
          <w:rFonts w:ascii="Arial" w:hAnsi="Arial" w:cs="Arial"/>
          <w:sz w:val="20"/>
          <w:szCs w:val="20"/>
        </w:rPr>
        <w:t xml:space="preserve">principal </w:t>
      </w:r>
      <w:r w:rsidR="00A21DA1" w:rsidRPr="007A515F">
        <w:rPr>
          <w:rFonts w:ascii="Arial" w:hAnsi="Arial" w:cs="Arial"/>
          <w:sz w:val="20"/>
          <w:szCs w:val="20"/>
        </w:rPr>
        <w:t xml:space="preserve">focus </w:t>
      </w:r>
      <w:r w:rsidRPr="007A515F">
        <w:rPr>
          <w:rFonts w:ascii="Arial" w:hAnsi="Arial" w:cs="Arial"/>
          <w:sz w:val="20"/>
          <w:szCs w:val="20"/>
        </w:rPr>
        <w:t xml:space="preserve">in Brazil </w:t>
      </w:r>
      <w:r w:rsidR="00A21DA1" w:rsidRPr="007A515F">
        <w:rPr>
          <w:rFonts w:ascii="Arial" w:hAnsi="Arial" w:cs="Arial"/>
          <w:sz w:val="20"/>
          <w:szCs w:val="20"/>
        </w:rPr>
        <w:t xml:space="preserve">has been on increasing the availability </w:t>
      </w:r>
      <w:r w:rsidR="00A21DA1" w:rsidRPr="007A515F">
        <w:rPr>
          <w:rFonts w:ascii="Arial" w:hAnsi="Arial" w:cs="Arial"/>
          <w:sz w:val="20"/>
          <w:szCs w:val="20"/>
        </w:rPr>
        <w:lastRenderedPageBreak/>
        <w:t xml:space="preserve">and/or greater geographical accessibility. </w:t>
      </w:r>
      <w:r w:rsidR="000A1091" w:rsidRPr="007A515F">
        <w:rPr>
          <w:rFonts w:ascii="Arial" w:hAnsi="Arial" w:cs="Arial"/>
          <w:sz w:val="20"/>
          <w:szCs w:val="20"/>
        </w:rPr>
        <w:t xml:space="preserve">In addition, </w:t>
      </w:r>
      <w:r w:rsidR="00A21DA1" w:rsidRPr="007A515F">
        <w:rPr>
          <w:rFonts w:ascii="Arial" w:hAnsi="Arial" w:cs="Arial"/>
          <w:sz w:val="20"/>
          <w:szCs w:val="20"/>
        </w:rPr>
        <w:t>our findings</w:t>
      </w:r>
      <w:r w:rsidR="000A1091" w:rsidRPr="007A515F">
        <w:rPr>
          <w:rFonts w:ascii="Arial" w:hAnsi="Arial" w:cs="Arial"/>
          <w:sz w:val="20"/>
          <w:szCs w:val="20"/>
        </w:rPr>
        <w:t xml:space="preserve"> makes </w:t>
      </w:r>
      <w:r w:rsidR="00A21DA1" w:rsidRPr="007A515F">
        <w:rPr>
          <w:rFonts w:ascii="Arial" w:hAnsi="Arial" w:cs="Arial"/>
          <w:sz w:val="20"/>
          <w:szCs w:val="20"/>
        </w:rPr>
        <w:t xml:space="preserve">it </w:t>
      </w:r>
      <w:r w:rsidR="000A1091" w:rsidRPr="007A515F">
        <w:rPr>
          <w:rFonts w:ascii="Arial" w:hAnsi="Arial" w:cs="Arial"/>
          <w:sz w:val="20"/>
          <w:szCs w:val="20"/>
        </w:rPr>
        <w:t xml:space="preserve">clear </w:t>
      </w:r>
      <w:r w:rsidR="00A21DA1" w:rsidRPr="007A515F">
        <w:rPr>
          <w:rFonts w:ascii="Arial" w:hAnsi="Arial" w:cs="Arial"/>
          <w:sz w:val="20"/>
          <w:szCs w:val="20"/>
        </w:rPr>
        <w:t xml:space="preserve">that </w:t>
      </w:r>
      <w:r w:rsidR="000A1091" w:rsidRPr="007A515F">
        <w:rPr>
          <w:rFonts w:ascii="Arial" w:hAnsi="Arial" w:cs="Arial"/>
          <w:sz w:val="20"/>
          <w:szCs w:val="20"/>
        </w:rPr>
        <w:t>the</w:t>
      </w:r>
      <w:r w:rsidR="00A21DA1" w:rsidRPr="007A515F">
        <w:rPr>
          <w:rFonts w:ascii="Arial" w:hAnsi="Arial" w:cs="Arial"/>
          <w:sz w:val="20"/>
          <w:szCs w:val="20"/>
        </w:rPr>
        <w:t>re is a</w:t>
      </w:r>
      <w:r w:rsidR="000A1091" w:rsidRPr="007A515F">
        <w:rPr>
          <w:rFonts w:ascii="Arial" w:hAnsi="Arial" w:cs="Arial"/>
          <w:sz w:val="20"/>
          <w:szCs w:val="20"/>
        </w:rPr>
        <w:t xml:space="preserve"> need for further studies on access to medicines in private pharmacies and drugstores in Brazil as well as different countries </w:t>
      </w:r>
      <w:r w:rsidR="00A21DA1" w:rsidRPr="007A515F">
        <w:rPr>
          <w:rFonts w:ascii="Arial" w:hAnsi="Arial" w:cs="Arial"/>
          <w:sz w:val="20"/>
          <w:szCs w:val="20"/>
        </w:rPr>
        <w:t>to help refine and compare access to medicines across countries</w:t>
      </w:r>
      <w:r w:rsidR="000A1091" w:rsidRPr="007A515F">
        <w:rPr>
          <w:rFonts w:ascii="Arial" w:hAnsi="Arial" w:cs="Arial"/>
          <w:sz w:val="20"/>
          <w:szCs w:val="20"/>
        </w:rPr>
        <w:t>.</w:t>
      </w:r>
      <w:r w:rsidRPr="007A515F">
        <w:rPr>
          <w:rFonts w:ascii="Arial" w:hAnsi="Arial" w:cs="Arial"/>
          <w:sz w:val="20"/>
          <w:szCs w:val="20"/>
        </w:rPr>
        <w:t xml:space="preserve"> </w:t>
      </w:r>
    </w:p>
    <w:p w14:paraId="3DF49E0C" w14:textId="77777777" w:rsidR="007A515F" w:rsidRDefault="007A515F" w:rsidP="007A515F">
      <w:pPr>
        <w:pStyle w:val="NoSpacing"/>
        <w:rPr>
          <w:rFonts w:ascii="Arial" w:hAnsi="Arial" w:cs="Arial"/>
          <w:sz w:val="20"/>
          <w:szCs w:val="20"/>
        </w:rPr>
      </w:pPr>
    </w:p>
    <w:p w14:paraId="03BFDDAE" w14:textId="65A31F4C"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Overall, we believe this indicator will enhance research and diagnoses about access to medicines in different services and countries, making possible </w:t>
      </w:r>
      <w:r w:rsidR="00A21DA1" w:rsidRPr="007A515F">
        <w:rPr>
          <w:rFonts w:ascii="Arial" w:hAnsi="Arial" w:cs="Arial"/>
          <w:sz w:val="20"/>
          <w:szCs w:val="20"/>
        </w:rPr>
        <w:t xml:space="preserve">future </w:t>
      </w:r>
      <w:r w:rsidRPr="007A515F">
        <w:rPr>
          <w:rFonts w:ascii="Arial" w:hAnsi="Arial" w:cs="Arial"/>
          <w:sz w:val="20"/>
          <w:szCs w:val="20"/>
        </w:rPr>
        <w:t xml:space="preserve">comparisons to help </w:t>
      </w:r>
      <w:r w:rsidR="00727129" w:rsidRPr="007A515F">
        <w:rPr>
          <w:rFonts w:ascii="Arial" w:hAnsi="Arial" w:cs="Arial"/>
          <w:sz w:val="20"/>
          <w:szCs w:val="20"/>
        </w:rPr>
        <w:t>improve</w:t>
      </w:r>
      <w:r w:rsidRPr="007A515F">
        <w:rPr>
          <w:rFonts w:ascii="Arial" w:hAnsi="Arial" w:cs="Arial"/>
          <w:sz w:val="20"/>
          <w:szCs w:val="20"/>
        </w:rPr>
        <w:t xml:space="preserve"> public policies in the field of Pharmaceutical Service. </w:t>
      </w:r>
      <w:r w:rsidR="00747E49" w:rsidRPr="007A515F">
        <w:rPr>
          <w:rFonts w:ascii="Arial" w:hAnsi="Arial" w:cs="Arial"/>
          <w:sz w:val="20"/>
          <w:szCs w:val="20"/>
        </w:rPr>
        <w:t>Th</w:t>
      </w:r>
      <w:r w:rsidR="00C22DD4" w:rsidRPr="007A515F">
        <w:rPr>
          <w:rFonts w:ascii="Arial" w:hAnsi="Arial" w:cs="Arial"/>
          <w:sz w:val="20"/>
          <w:szCs w:val="20"/>
        </w:rPr>
        <w:t>is is difficult currently without such a comprehensive measure. These are considerations for the future in further research that we and</w:t>
      </w:r>
      <w:r w:rsidR="00727129" w:rsidRPr="007A515F">
        <w:rPr>
          <w:rFonts w:ascii="Arial" w:hAnsi="Arial" w:cs="Arial"/>
          <w:sz w:val="20"/>
          <w:szCs w:val="20"/>
        </w:rPr>
        <w:t xml:space="preserve"> </w:t>
      </w:r>
      <w:r w:rsidR="00C22DD4" w:rsidRPr="007A515F">
        <w:rPr>
          <w:rFonts w:ascii="Arial" w:hAnsi="Arial" w:cs="Arial"/>
          <w:sz w:val="20"/>
          <w:szCs w:val="20"/>
        </w:rPr>
        <w:t>others should conduct comparing access to medicines across countries.</w:t>
      </w:r>
    </w:p>
    <w:p w14:paraId="443DCA6F" w14:textId="77777777" w:rsidR="007A515F" w:rsidRDefault="007A515F" w:rsidP="007A515F">
      <w:pPr>
        <w:pStyle w:val="NoSpacing"/>
        <w:rPr>
          <w:rFonts w:ascii="Arial" w:hAnsi="Arial" w:cs="Arial"/>
          <w:sz w:val="20"/>
          <w:szCs w:val="20"/>
        </w:rPr>
      </w:pPr>
    </w:p>
    <w:p w14:paraId="4BB47BA1" w14:textId="0D8F0EF7" w:rsidR="00104A61" w:rsidRPr="007A515F" w:rsidRDefault="000A1091" w:rsidP="007A515F">
      <w:pPr>
        <w:pStyle w:val="NoSpacing"/>
        <w:rPr>
          <w:rFonts w:ascii="Arial" w:hAnsi="Arial" w:cs="Arial"/>
          <w:b/>
          <w:bCs/>
          <w:sz w:val="20"/>
          <w:szCs w:val="20"/>
        </w:rPr>
      </w:pPr>
      <w:r w:rsidRPr="007A515F">
        <w:rPr>
          <w:rFonts w:ascii="Arial" w:hAnsi="Arial" w:cs="Arial"/>
          <w:b/>
          <w:bCs/>
          <w:sz w:val="20"/>
          <w:szCs w:val="20"/>
        </w:rPr>
        <w:t>References</w:t>
      </w:r>
    </w:p>
    <w:p w14:paraId="0021B42C" w14:textId="4E97250F" w:rsidR="00F53535" w:rsidRPr="007A515F" w:rsidRDefault="002529CB" w:rsidP="007A515F">
      <w:pPr>
        <w:pStyle w:val="NoSpacing"/>
        <w:rPr>
          <w:rFonts w:ascii="Arial" w:hAnsi="Arial" w:cs="Arial"/>
          <w:sz w:val="20"/>
          <w:szCs w:val="20"/>
        </w:rPr>
      </w:pPr>
      <w:r w:rsidRPr="007A515F">
        <w:rPr>
          <w:rFonts w:ascii="Arial" w:hAnsi="Arial" w:cs="Arial"/>
          <w:sz w:val="20"/>
          <w:szCs w:val="20"/>
        </w:rPr>
        <w:t xml:space="preserve">Note: </w:t>
      </w:r>
      <w:r w:rsidR="00F53535" w:rsidRPr="007A515F">
        <w:rPr>
          <w:rFonts w:ascii="Arial" w:hAnsi="Arial" w:cs="Arial"/>
          <w:sz w:val="20"/>
          <w:szCs w:val="20"/>
        </w:rPr>
        <w:t>(*of importance; ** of considerable importance)</w:t>
      </w:r>
    </w:p>
    <w:p w14:paraId="3E387E88" w14:textId="77777777" w:rsidR="007A515F" w:rsidRDefault="007A515F" w:rsidP="007A515F">
      <w:pPr>
        <w:pStyle w:val="NoSpacing"/>
        <w:rPr>
          <w:rFonts w:ascii="Arial" w:hAnsi="Arial" w:cs="Arial"/>
          <w:sz w:val="20"/>
          <w:szCs w:val="20"/>
        </w:rPr>
      </w:pPr>
    </w:p>
    <w:p w14:paraId="65F7AE32" w14:textId="118BE0B7" w:rsidR="00104A61" w:rsidRPr="007A515F" w:rsidRDefault="000A1091" w:rsidP="007A515F">
      <w:pPr>
        <w:pStyle w:val="NoSpacing"/>
        <w:rPr>
          <w:rFonts w:ascii="Arial" w:hAnsi="Arial" w:cs="Arial"/>
          <w:sz w:val="20"/>
          <w:szCs w:val="20"/>
        </w:rPr>
      </w:pPr>
      <w:r w:rsidRPr="007A515F">
        <w:rPr>
          <w:rFonts w:ascii="Arial" w:hAnsi="Arial" w:cs="Arial"/>
          <w:sz w:val="20"/>
          <w:szCs w:val="20"/>
        </w:rPr>
        <w:t>1. Hogerzeil HV, Mirza Z. The world medicines situation 2011: access to essential medicines as part of the right to health. Geneva: World Health Organization; 2011.</w:t>
      </w:r>
      <w:r w:rsidR="00637AA2" w:rsidRPr="007A515F">
        <w:rPr>
          <w:rFonts w:ascii="Arial" w:hAnsi="Arial" w:cs="Arial"/>
          <w:sz w:val="20"/>
          <w:szCs w:val="20"/>
        </w:rPr>
        <w:t xml:space="preserve"> Available at URL: http://apps.who.int/medicinedocs/documents/s20054en/s20054en.pdf?ua=1</w:t>
      </w:r>
    </w:p>
    <w:p w14:paraId="69E2A4C7" w14:textId="50069231"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2. Cameron A, Ewen M, Ross-Degnan D, Ball D, Laing R. Medicine prices, availability, and affordability in 36 developing and middle-income countries: a secondary analysis. </w:t>
      </w:r>
      <w:r w:rsidRPr="007A515F">
        <w:rPr>
          <w:rFonts w:ascii="Arial" w:hAnsi="Arial" w:cs="Arial"/>
          <w:i/>
          <w:sz w:val="20"/>
          <w:szCs w:val="20"/>
        </w:rPr>
        <w:t>Lancet</w:t>
      </w:r>
      <w:r w:rsidRPr="007A515F">
        <w:rPr>
          <w:rFonts w:ascii="Arial" w:hAnsi="Arial" w:cs="Arial"/>
          <w:sz w:val="20"/>
          <w:szCs w:val="20"/>
        </w:rPr>
        <w:t>. 373(9659):240-9</w:t>
      </w:r>
      <w:r w:rsidR="00637AA2" w:rsidRPr="007A515F">
        <w:rPr>
          <w:rFonts w:ascii="Arial" w:hAnsi="Arial" w:cs="Arial"/>
          <w:sz w:val="20"/>
          <w:szCs w:val="20"/>
        </w:rPr>
        <w:t xml:space="preserve"> (2009)</w:t>
      </w:r>
    </w:p>
    <w:p w14:paraId="6DC183B5" w14:textId="7C30F721" w:rsidR="00F53535" w:rsidRPr="007A515F" w:rsidRDefault="00F53535" w:rsidP="007A515F">
      <w:pPr>
        <w:pStyle w:val="NoSpacing"/>
        <w:rPr>
          <w:rFonts w:ascii="Arial" w:hAnsi="Arial" w:cs="Arial"/>
          <w:sz w:val="20"/>
          <w:szCs w:val="20"/>
        </w:rPr>
      </w:pPr>
      <w:r w:rsidRPr="007A515F">
        <w:rPr>
          <w:rFonts w:ascii="Arial" w:hAnsi="Arial" w:cs="Arial"/>
          <w:sz w:val="20"/>
          <w:szCs w:val="20"/>
        </w:rPr>
        <w:t>*Key reference outlining the importance of medicine costs especially in LMICs</w:t>
      </w:r>
    </w:p>
    <w:p w14:paraId="36D866B9"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 xml:space="preserve">3. Ofori-Asenso R, Agyeman AA. </w:t>
      </w:r>
      <w:r w:rsidRPr="007A515F">
        <w:rPr>
          <w:rFonts w:ascii="Arial" w:hAnsi="Arial" w:cs="Arial"/>
          <w:sz w:val="20"/>
          <w:szCs w:val="20"/>
        </w:rPr>
        <w:t>Irrational Use of Medicines—A Summary of Key Concepts. Pharmacy 2016;4,35.</w:t>
      </w:r>
    </w:p>
    <w:p w14:paraId="26E9876C"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4. Abiye Z, Tesfaye A, Hawaze S. Barriers to access: availability and affordability of essential drugs in a retail outlet of a public health center in south western Ethiopia. Journal of Applied Pharmaceutical Science 2013;  3 (10): 101-105.</w:t>
      </w:r>
    </w:p>
    <w:p w14:paraId="67FD0742"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5. Alsairi R. Access to Medicine in Developing Countries. American Journal of Medicine and Medical Sciences. 2017;7(6):271-6.</w:t>
      </w:r>
    </w:p>
    <w:p w14:paraId="710C64B0" w14:textId="5A052F5E" w:rsidR="00104A61" w:rsidRPr="007A515F" w:rsidRDefault="000A1091" w:rsidP="007A515F">
      <w:pPr>
        <w:pStyle w:val="NoSpacing"/>
        <w:rPr>
          <w:rFonts w:ascii="Arial" w:hAnsi="Arial" w:cs="Arial"/>
          <w:sz w:val="20"/>
          <w:szCs w:val="20"/>
        </w:rPr>
      </w:pPr>
      <w:r w:rsidRPr="007A515F">
        <w:rPr>
          <w:rFonts w:ascii="Arial" w:hAnsi="Arial" w:cs="Arial"/>
          <w:sz w:val="20"/>
          <w:szCs w:val="20"/>
        </w:rPr>
        <w:t>6. Guan X, Hu H, Man C, Shi L. A survey of availability, price and affordability of essential medicines from 2011 to 2016 in Chinese secondary and tertiary hospitals. Int J Equity Health. 2018;17(1):158.</w:t>
      </w:r>
    </w:p>
    <w:p w14:paraId="13F707C9" w14:textId="670B5DE2" w:rsidR="00F53535" w:rsidRPr="007A515F" w:rsidRDefault="00F53535" w:rsidP="007A515F">
      <w:pPr>
        <w:pStyle w:val="NoSpacing"/>
        <w:rPr>
          <w:rFonts w:ascii="Arial" w:hAnsi="Arial" w:cs="Arial"/>
          <w:sz w:val="20"/>
          <w:szCs w:val="20"/>
        </w:rPr>
      </w:pPr>
      <w:r w:rsidRPr="007A515F">
        <w:rPr>
          <w:rFonts w:ascii="Arial" w:hAnsi="Arial" w:cs="Arial"/>
          <w:sz w:val="20"/>
          <w:szCs w:val="20"/>
        </w:rPr>
        <w:t>*Interesting paper discussing the availability of essential medicines in different regions in China</w:t>
      </w:r>
    </w:p>
    <w:p w14:paraId="037F9B7E"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7. Alefan Q, Amairi R, Tawalbeh S. Availability, prices and affordability of selected essential medicines in Jordan: a national survey. BMC health services research. 2018;18(1):787.</w:t>
      </w:r>
    </w:p>
    <w:p w14:paraId="517CE573"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8. Putrik P, Ramiro S, Kvien TK, Sokka T, Pavlova M, Uhlig T, et al. Inequities in access to biologic and synthetic DMARDs across 46 European countries. Annals of the rheumatic diseases. 2014;73(1):198-206.</w:t>
      </w:r>
    </w:p>
    <w:p w14:paraId="3F7B3ADA" w14:textId="3A1DA19C" w:rsidR="00104A61" w:rsidRPr="007A515F" w:rsidRDefault="000A1091" w:rsidP="007A515F">
      <w:pPr>
        <w:pStyle w:val="NoSpacing"/>
        <w:rPr>
          <w:rFonts w:ascii="Arial" w:hAnsi="Arial" w:cs="Arial"/>
          <w:noProof/>
          <w:sz w:val="20"/>
          <w:szCs w:val="20"/>
        </w:rPr>
      </w:pPr>
      <w:r w:rsidRPr="007A515F">
        <w:rPr>
          <w:rFonts w:ascii="Arial" w:hAnsi="Arial" w:cs="Arial"/>
          <w:sz w:val="20"/>
          <w:szCs w:val="20"/>
        </w:rPr>
        <w:t xml:space="preserve">9. </w:t>
      </w:r>
      <w:r w:rsidR="008E7AAB" w:rsidRPr="007A515F">
        <w:rPr>
          <w:rFonts w:ascii="Arial" w:hAnsi="Arial" w:cs="Arial"/>
          <w:noProof/>
          <w:sz w:val="20"/>
          <w:szCs w:val="20"/>
        </w:rPr>
        <w:t>Baumgart DC, Misery L, Naeyaert S, Taylor PC. Biological Therapies in Immune-Mediated Inflammatory Diseases: Can Biosimilars Reduce Access Inequities? Frontiers in pharmacology. 2019;10:279.</w:t>
      </w:r>
    </w:p>
    <w:p w14:paraId="1DCDB6D7" w14:textId="784B1B8E" w:rsidR="00F53535" w:rsidRPr="007A515F" w:rsidRDefault="00F53535" w:rsidP="007A515F">
      <w:pPr>
        <w:pStyle w:val="NoSpacing"/>
        <w:rPr>
          <w:rFonts w:ascii="Arial" w:hAnsi="Arial" w:cs="Arial"/>
          <w:sz w:val="20"/>
          <w:szCs w:val="20"/>
        </w:rPr>
      </w:pPr>
      <w:r w:rsidRPr="007A515F">
        <w:rPr>
          <w:rFonts w:ascii="Arial" w:hAnsi="Arial" w:cs="Arial"/>
          <w:noProof/>
          <w:sz w:val="20"/>
          <w:szCs w:val="20"/>
        </w:rPr>
        <w:t>**Good paper discussing the differences in the availbility of biological medicines among European countries depending on issues of affordability and co-payments</w:t>
      </w:r>
    </w:p>
    <w:p w14:paraId="758DA15F"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10. Kostic M, Djakovic L, Sujic R, Godman B, Jankovic SM. Inflammatory Bowel Diseases (Crohn`s Disease and Ulcerative Colitis): Cost of Treatment in Serbia and the Implications. Applied health economics and health policy. 2017;15(1):85-93.</w:t>
      </w:r>
    </w:p>
    <w:p w14:paraId="5574B418" w14:textId="2723363F"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11. Godman B, Shrank W, Andersen M, Berg C, Bishop I, Burkhardt T, et al. Policies to enhance prescribing efficiency in </w:t>
      </w:r>
      <w:r w:rsidR="00637AA2" w:rsidRPr="007A515F">
        <w:rPr>
          <w:rFonts w:ascii="Arial" w:hAnsi="Arial" w:cs="Arial"/>
          <w:sz w:val="20"/>
          <w:szCs w:val="20"/>
        </w:rPr>
        <w:t>E</w:t>
      </w:r>
      <w:r w:rsidRPr="007A515F">
        <w:rPr>
          <w:rFonts w:ascii="Arial" w:hAnsi="Arial" w:cs="Arial"/>
          <w:sz w:val="20"/>
          <w:szCs w:val="20"/>
        </w:rPr>
        <w:t>urope: findings and future implications. Frontiers in pharmacology. 2010;1:141.</w:t>
      </w:r>
    </w:p>
    <w:p w14:paraId="792DDCD9"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12. Garuoliene K, Godman B, Gulbinovic J, Schiffers K, Wettermark B. Differences in utilization rates between commercial and administrative databases: implications for future health-economic and cross-national studies. Expert review of pharmacoeconomics &amp; outcomes research. 2016;16(2):149-52.</w:t>
      </w:r>
    </w:p>
    <w:p w14:paraId="6F7E72C1"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13. Markovic-Pekovic V, Skrbic R, Godman B, Gustafsson LL. Ongoing initiatives in the Republic of Srpska to enhance prescribing efficiency: influence and future directions. Expert review of pharmacoeconomics &amp; outcomes research. 2012;12(5):661-71.</w:t>
      </w:r>
    </w:p>
    <w:p w14:paraId="6105551D"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14. Gammie T, Lu CY, Babar ZU. Access to Orphan Drugs: A Comprehensive Review of Legislations, Regulations and Policies in 35 Countries. PloS one. 2015;10(10):e0140002.</w:t>
      </w:r>
    </w:p>
    <w:p w14:paraId="249F353E"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15. EURODIS. Breaking the Access Deadlock to Leave No One Behind. A contribution by EURORDIS and its Members on possibilities for patients' full and equitable access to rare disease therapies in Europe. 2018. Available at URL: </w:t>
      </w:r>
      <w:r w:rsidRPr="007A515F">
        <w:rPr>
          <w:rFonts w:ascii="Arial" w:hAnsi="Arial" w:cs="Arial"/>
          <w:sz w:val="20"/>
          <w:szCs w:val="20"/>
        </w:rPr>
        <w:lastRenderedPageBreak/>
        <w:t xml:space="preserve">http://download2.eurordis.org.s3.amazonaws.com/positionpapers/eurordis_access_position_paper_final_4122017.pdf </w:t>
      </w:r>
    </w:p>
    <w:p w14:paraId="0ACA6118" w14:textId="19019A94" w:rsidR="00104A61" w:rsidRPr="007A515F" w:rsidRDefault="000A1091" w:rsidP="007A515F">
      <w:pPr>
        <w:pStyle w:val="NoSpacing"/>
        <w:rPr>
          <w:rFonts w:ascii="Arial" w:hAnsi="Arial" w:cs="Arial"/>
          <w:sz w:val="20"/>
          <w:szCs w:val="20"/>
        </w:rPr>
      </w:pPr>
      <w:r w:rsidRPr="007A515F">
        <w:rPr>
          <w:rFonts w:ascii="Arial" w:hAnsi="Arial" w:cs="Arial"/>
          <w:sz w:val="20"/>
          <w:szCs w:val="20"/>
        </w:rPr>
        <w:t>16.</w:t>
      </w:r>
      <w:r w:rsidR="00FD20C0" w:rsidRPr="007A515F">
        <w:rPr>
          <w:rFonts w:ascii="Arial" w:hAnsi="Arial" w:cs="Arial"/>
          <w:sz w:val="20"/>
          <w:szCs w:val="20"/>
        </w:rPr>
        <w:t xml:space="preserve"> </w:t>
      </w:r>
      <w:r w:rsidRPr="007A515F">
        <w:rPr>
          <w:rFonts w:ascii="Arial" w:hAnsi="Arial" w:cs="Arial"/>
          <w:sz w:val="20"/>
          <w:szCs w:val="20"/>
        </w:rPr>
        <w:t>Kwon H-Y, Kim H, Godman B. Availability and Affordability of Drugs With a Conditional Approval by the European Medicines Agency; Comparison of Korea With Other Countries and the Implications. Frontiers in pharmacology. 2018;9(938).</w:t>
      </w:r>
    </w:p>
    <w:p w14:paraId="10FB99D5"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17. Chivukula MV, Tisocki K. Approaches to improving access to essential cancer medicines in the WHO South-East Asia Region. WHO South East Asia J Public Health. 2018;7(2):62-6.</w:t>
      </w:r>
    </w:p>
    <w:p w14:paraId="1F493821"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18. Saqib A, Iftikhar S, Sarwar MR. Availability and affordability of biologic versus non-biologic anticancer medicines: a cross-sectional study in Punjab, Pakistan. BMJ open. 2018;8(6):e019015.</w:t>
      </w:r>
    </w:p>
    <w:p w14:paraId="56FB02DC"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19. Sarnola K, Ahonen R, Martikainen JE, Timonen J. Policies and availability of orphan medicines in outpatient care in 24 European countries. European journal of clinical pharmacology. 2018;74(7):895-902.</w:t>
      </w:r>
    </w:p>
    <w:p w14:paraId="76A98696"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20. Laxminarayan R, Matsoso P, Pant S, Brower C, Rottingen JA, Klugman K, et al. Access to effective antimicrobials: a worldwide challenge. Lancet. 2016;387(10014):168-</w:t>
      </w:r>
    </w:p>
    <w:p w14:paraId="609D326F"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21. Simoens S, Sinnaeve PR. Patient co-payment and adherence to statins: a review and case studies. Cardiovascular drugs and therapy. 2014;28(1):99-109.</w:t>
      </w:r>
    </w:p>
    <w:p w14:paraId="09A4B59A"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22.Nielsen JO, Shrestha AD, Neupane D, Kallestrup P. Non-adherence to anti-hypertensive medication in low- and middle-income countries: a systematic review and meta-analysis of 92443 subjects. Journal of human hypertension. 2017;31(1):14-21.</w:t>
      </w:r>
    </w:p>
    <w:p w14:paraId="0ED7904B" w14:textId="4B386146" w:rsidR="00104A61" w:rsidRPr="007A515F" w:rsidRDefault="000A1091" w:rsidP="007A515F">
      <w:pPr>
        <w:pStyle w:val="NoSpacing"/>
        <w:rPr>
          <w:rFonts w:ascii="Arial" w:hAnsi="Arial" w:cs="Arial"/>
          <w:sz w:val="20"/>
          <w:szCs w:val="20"/>
        </w:rPr>
      </w:pPr>
      <w:r w:rsidRPr="007A515F">
        <w:rPr>
          <w:rFonts w:ascii="Arial" w:hAnsi="Arial" w:cs="Arial"/>
          <w:sz w:val="20"/>
          <w:szCs w:val="20"/>
        </w:rPr>
        <w:t>23.</w:t>
      </w:r>
      <w:r w:rsidR="00637AA2" w:rsidRPr="007A515F">
        <w:rPr>
          <w:rFonts w:ascii="Arial" w:hAnsi="Arial" w:cs="Arial"/>
          <w:sz w:val="20"/>
          <w:szCs w:val="20"/>
        </w:rPr>
        <w:t xml:space="preserve"> </w:t>
      </w:r>
      <w:r w:rsidRPr="007A515F">
        <w:rPr>
          <w:rFonts w:ascii="Arial" w:hAnsi="Arial" w:cs="Arial"/>
          <w:sz w:val="20"/>
          <w:szCs w:val="20"/>
        </w:rPr>
        <w:t>Chipwaza B, Mugasa JP, Mayumana I, Amuri M, Makungu C, Gwakisa PS. Self-medication with anti-malarials is a common practice in rural communities of Kilosa district in Tanzania despite the reported decline of malaria. Malaria Journal. 2014;13(1):252.</w:t>
      </w:r>
    </w:p>
    <w:p w14:paraId="7EC73B53" w14:textId="5FB8D9DA" w:rsidR="00104A61" w:rsidRPr="007A515F" w:rsidRDefault="000A1091" w:rsidP="007A515F">
      <w:pPr>
        <w:pStyle w:val="NoSpacing"/>
        <w:rPr>
          <w:rFonts w:ascii="Arial" w:hAnsi="Arial" w:cs="Arial"/>
          <w:sz w:val="20"/>
          <w:szCs w:val="20"/>
        </w:rPr>
      </w:pPr>
      <w:r w:rsidRPr="007A515F">
        <w:rPr>
          <w:rFonts w:ascii="Arial" w:hAnsi="Arial" w:cs="Arial"/>
          <w:sz w:val="20"/>
          <w:szCs w:val="20"/>
        </w:rPr>
        <w:t>24. Wirtz VJ, Kaplan WA, Kwan GF, Laing RO. Access to Medications for Cardiovascular Diseases in Low- and Middle-Income Countries. Circulation. 2016;133(21):2076-85.</w:t>
      </w:r>
    </w:p>
    <w:p w14:paraId="518A6C8A" w14:textId="3D1B3350" w:rsidR="00F53535" w:rsidRPr="007A515F" w:rsidRDefault="00F53535" w:rsidP="007A515F">
      <w:pPr>
        <w:pStyle w:val="NoSpacing"/>
        <w:rPr>
          <w:rFonts w:ascii="Arial" w:hAnsi="Arial" w:cs="Arial"/>
          <w:sz w:val="20"/>
          <w:szCs w:val="20"/>
        </w:rPr>
      </w:pPr>
      <w:r w:rsidRPr="007A515F">
        <w:rPr>
          <w:rFonts w:ascii="Arial" w:hAnsi="Arial" w:cs="Arial"/>
          <w:sz w:val="20"/>
          <w:szCs w:val="20"/>
        </w:rPr>
        <w:t>*Interesting paper discussing ways to enhance access to CV medicines in LMICs</w:t>
      </w:r>
    </w:p>
    <w:p w14:paraId="3C3BD431" w14:textId="17757DA1" w:rsidR="00104A61" w:rsidRPr="007A515F" w:rsidRDefault="000A1091" w:rsidP="007A515F">
      <w:pPr>
        <w:pStyle w:val="NoSpacing"/>
        <w:rPr>
          <w:rFonts w:ascii="Arial" w:hAnsi="Arial" w:cs="Arial"/>
          <w:sz w:val="20"/>
          <w:szCs w:val="20"/>
        </w:rPr>
      </w:pPr>
      <w:r w:rsidRPr="007A515F">
        <w:rPr>
          <w:rFonts w:ascii="Arial" w:hAnsi="Arial" w:cs="Arial"/>
          <w:sz w:val="20"/>
          <w:szCs w:val="20"/>
        </w:rPr>
        <w:t>25.</w:t>
      </w:r>
      <w:r w:rsidR="002529CB" w:rsidRPr="007A515F">
        <w:rPr>
          <w:rFonts w:ascii="Arial" w:hAnsi="Arial" w:cs="Arial"/>
          <w:sz w:val="20"/>
          <w:szCs w:val="20"/>
        </w:rPr>
        <w:t xml:space="preserve"> </w:t>
      </w:r>
      <w:r w:rsidRPr="007A515F">
        <w:rPr>
          <w:rFonts w:ascii="Arial" w:hAnsi="Arial" w:cs="Arial"/>
          <w:sz w:val="20"/>
          <w:szCs w:val="20"/>
        </w:rPr>
        <w:t>Vasheghani Farahani A, Salamzadeh J, Rasekh HR, Najafi S, Mosadegh V. The Availability and Affordability of Cardiovascular Medicines for Secondary Prevention in Tehran Province (Iran). Iran J Pharm Res. 2018;17(Suppl):64-72.</w:t>
      </w:r>
    </w:p>
    <w:p w14:paraId="5E482B26" w14:textId="4314AC83" w:rsidR="00104A61" w:rsidRPr="007A515F" w:rsidRDefault="000A1091" w:rsidP="007A515F">
      <w:pPr>
        <w:pStyle w:val="NoSpacing"/>
        <w:rPr>
          <w:rFonts w:ascii="Arial" w:hAnsi="Arial" w:cs="Arial"/>
          <w:sz w:val="20"/>
          <w:szCs w:val="20"/>
        </w:rPr>
      </w:pPr>
      <w:r w:rsidRPr="007A515F">
        <w:rPr>
          <w:rFonts w:ascii="Arial" w:hAnsi="Arial" w:cs="Arial"/>
          <w:sz w:val="20"/>
          <w:szCs w:val="20"/>
        </w:rPr>
        <w:t>26. The Pan American Health Organization (PAHO). Access to high-cost medicines in the Americas: situation, challenges and perspectives</w:t>
      </w:r>
      <w:r w:rsidR="00637AA2" w:rsidRPr="007A515F">
        <w:rPr>
          <w:rFonts w:ascii="Arial" w:hAnsi="Arial" w:cs="Arial"/>
          <w:sz w:val="20"/>
          <w:szCs w:val="20"/>
        </w:rPr>
        <w:t xml:space="preserve">. </w:t>
      </w:r>
      <w:r w:rsidRPr="007A515F">
        <w:rPr>
          <w:rFonts w:ascii="Arial" w:hAnsi="Arial" w:cs="Arial"/>
          <w:sz w:val="20"/>
          <w:szCs w:val="20"/>
        </w:rPr>
        <w:t>The Pan American Health Organization, Ministry of Health; Ministry of External Relations, 20</w:t>
      </w:r>
      <w:r w:rsidR="00637AA2" w:rsidRPr="007A515F">
        <w:rPr>
          <w:rFonts w:ascii="Arial" w:hAnsi="Arial" w:cs="Arial"/>
          <w:sz w:val="20"/>
          <w:szCs w:val="20"/>
        </w:rPr>
        <w:t>10. Available at URL: http://apps.who.int/medicinedocs/documents/s19112en/s19112en.pdf</w:t>
      </w:r>
      <w:r w:rsidR="00637AA2" w:rsidRPr="007A515F" w:rsidDel="00637AA2">
        <w:rPr>
          <w:rFonts w:ascii="Arial" w:hAnsi="Arial" w:cs="Arial"/>
          <w:sz w:val="20"/>
          <w:szCs w:val="20"/>
        </w:rPr>
        <w:t xml:space="preserve"> </w:t>
      </w:r>
    </w:p>
    <w:p w14:paraId="11AC385C" w14:textId="1161406A"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t>27.</w:t>
      </w:r>
      <w:r w:rsidR="002529CB" w:rsidRPr="007A515F">
        <w:rPr>
          <w:rFonts w:ascii="Arial" w:hAnsi="Arial" w:cs="Arial"/>
          <w:sz w:val="20"/>
          <w:szCs w:val="20"/>
          <w:lang w:val="pt-BR"/>
        </w:rPr>
        <w:t xml:space="preserve"> </w:t>
      </w:r>
      <w:r w:rsidRPr="007A515F">
        <w:rPr>
          <w:rFonts w:ascii="Arial" w:hAnsi="Arial" w:cs="Arial"/>
          <w:sz w:val="20"/>
          <w:szCs w:val="20"/>
          <w:lang w:val="pt-BR"/>
        </w:rPr>
        <w:t xml:space="preserve">Caires de Souza AL, de Assis Acurcio F, Guerra Junior AA, Rezende Macedo do Nascimento RC, Godman B, Diniz LM. </w:t>
      </w:r>
      <w:r w:rsidRPr="007A515F">
        <w:rPr>
          <w:rFonts w:ascii="Arial" w:hAnsi="Arial" w:cs="Arial"/>
          <w:sz w:val="20"/>
          <w:szCs w:val="20"/>
        </w:rPr>
        <w:t xml:space="preserve">Insulin glargine in a Brazilian state: should the government disinvest? An assessment based on a systematic review. Applied health economics and health policy. </w:t>
      </w:r>
      <w:r w:rsidRPr="007A515F">
        <w:rPr>
          <w:rFonts w:ascii="Arial" w:hAnsi="Arial" w:cs="Arial"/>
          <w:sz w:val="20"/>
          <w:szCs w:val="20"/>
          <w:lang w:val="pt-BR"/>
        </w:rPr>
        <w:t>2014;12(1):19-32.</w:t>
      </w:r>
    </w:p>
    <w:p w14:paraId="16FAD5F3" w14:textId="5AF0DB74"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28.</w:t>
      </w:r>
      <w:r w:rsidR="002529CB" w:rsidRPr="007A515F">
        <w:rPr>
          <w:rFonts w:ascii="Arial" w:hAnsi="Arial" w:cs="Arial"/>
          <w:sz w:val="20"/>
          <w:szCs w:val="20"/>
          <w:lang w:val="pt-BR"/>
        </w:rPr>
        <w:t xml:space="preserve"> </w:t>
      </w:r>
      <w:r w:rsidRPr="007A515F">
        <w:rPr>
          <w:rFonts w:ascii="Arial" w:hAnsi="Arial" w:cs="Arial"/>
          <w:sz w:val="20"/>
          <w:szCs w:val="20"/>
          <w:lang w:val="pt-BR"/>
        </w:rPr>
        <w:t xml:space="preserve">Teodoro C, Caetano R, Godman B, Dos Reis ALA, Maia AA, Ramos MCB, et al. </w:t>
      </w:r>
      <w:r w:rsidRPr="007A515F">
        <w:rPr>
          <w:rFonts w:ascii="Arial" w:hAnsi="Arial" w:cs="Arial"/>
          <w:sz w:val="20"/>
          <w:szCs w:val="20"/>
        </w:rPr>
        <w:t>Federal procurement of unlicensed medicines in Brazil; findings and implications. Expert review of pharmacoeconomics &amp; outcomes research. 2017;17(6):607-13.</w:t>
      </w:r>
    </w:p>
    <w:p w14:paraId="2FEE8B6B"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29. De Oliveira GL, Guerra Junior AA, Godman B, Acurcio FA. Cost-effectiveness of vildagliptin for people with type 2 diabetes mellitus in Brazil; findings and implications. Expert review of pharmacoeconomics &amp; outcomes research. 2017;17(2):109-19.</w:t>
      </w:r>
    </w:p>
    <w:p w14:paraId="6D674DED"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30. Spivey P, Goodman B. Health system perspectives. In: Monique Elseviers et al. (Eds.)</w:t>
      </w:r>
      <w:r w:rsidRPr="007A515F">
        <w:rPr>
          <w:rFonts w:ascii="Arial" w:hAnsi="Arial" w:cs="Arial"/>
          <w:sz w:val="20"/>
          <w:szCs w:val="20"/>
          <w:highlight w:val="white"/>
        </w:rPr>
        <w:t xml:space="preserve"> Assessment of medication adherence in field research. Wiley, </w:t>
      </w:r>
      <w:r w:rsidRPr="007A515F">
        <w:rPr>
          <w:rFonts w:ascii="Arial" w:hAnsi="Arial" w:cs="Arial"/>
          <w:i/>
          <w:sz w:val="20"/>
          <w:szCs w:val="20"/>
          <w:highlight w:val="white"/>
        </w:rPr>
        <w:t>Drug Utilization Research: Methods and Applications</w:t>
      </w:r>
      <w:r w:rsidRPr="007A515F">
        <w:rPr>
          <w:rFonts w:ascii="Arial" w:hAnsi="Arial" w:cs="Arial"/>
          <w:sz w:val="20"/>
          <w:szCs w:val="20"/>
          <w:highlight w:val="white"/>
        </w:rPr>
        <w:t>. Chichester: 2016.</w:t>
      </w:r>
    </w:p>
    <w:p w14:paraId="2F2576EF"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31. </w:t>
      </w:r>
      <w:r w:rsidRPr="007A515F">
        <w:rPr>
          <w:rFonts w:ascii="Arial" w:hAnsi="Arial" w:cs="Arial"/>
          <w:sz w:val="20"/>
          <w:szCs w:val="20"/>
          <w:highlight w:val="white"/>
        </w:rPr>
        <w:t>Elseviers M, Vrijens B. Elseviers M, Wettermark B, Almarsdóttir AB, et al., editors. Assessment of medication adherence in field research. Wiley, </w:t>
      </w:r>
      <w:r w:rsidRPr="007A515F">
        <w:rPr>
          <w:rFonts w:ascii="Arial" w:hAnsi="Arial" w:cs="Arial"/>
          <w:i/>
          <w:sz w:val="20"/>
          <w:szCs w:val="20"/>
          <w:highlight w:val="white"/>
        </w:rPr>
        <w:t>Drug Utilization Research: Methods and Applications</w:t>
      </w:r>
      <w:r w:rsidRPr="007A515F">
        <w:rPr>
          <w:rFonts w:ascii="Arial" w:hAnsi="Arial" w:cs="Arial"/>
          <w:sz w:val="20"/>
          <w:szCs w:val="20"/>
          <w:highlight w:val="white"/>
        </w:rPr>
        <w:t>. Chichester: 2016.</w:t>
      </w:r>
    </w:p>
    <w:p w14:paraId="4B506FC9" w14:textId="19E3AED2" w:rsidR="00104A61" w:rsidRPr="007A515F" w:rsidRDefault="000A1091" w:rsidP="007A515F">
      <w:pPr>
        <w:pStyle w:val="NoSpacing"/>
        <w:rPr>
          <w:rFonts w:ascii="Arial" w:hAnsi="Arial" w:cs="Arial"/>
          <w:sz w:val="20"/>
          <w:szCs w:val="20"/>
        </w:rPr>
      </w:pPr>
      <w:r w:rsidRPr="007A515F">
        <w:rPr>
          <w:rFonts w:ascii="Arial" w:hAnsi="Arial" w:cs="Arial"/>
          <w:sz w:val="20"/>
          <w:szCs w:val="20"/>
        </w:rPr>
        <w:t>32. Wirtz VJ, Hogerzeil HV, Gray AL, Bigdeli M, de Joncheere CP, Ewen MA, et al. Essential medicines for universal health coverage. Lancet. 2017; 389(10067):403-76.</w:t>
      </w:r>
    </w:p>
    <w:p w14:paraId="4EB6710D" w14:textId="7A3A6E8F" w:rsidR="00861577" w:rsidRPr="007A515F" w:rsidRDefault="00861577" w:rsidP="007A515F">
      <w:pPr>
        <w:pStyle w:val="NoSpacing"/>
        <w:rPr>
          <w:rFonts w:ascii="Arial" w:hAnsi="Arial" w:cs="Arial"/>
          <w:sz w:val="20"/>
          <w:szCs w:val="20"/>
        </w:rPr>
      </w:pPr>
      <w:r w:rsidRPr="007A515F">
        <w:rPr>
          <w:rFonts w:ascii="Arial" w:hAnsi="Arial" w:cs="Arial"/>
          <w:sz w:val="20"/>
          <w:szCs w:val="20"/>
        </w:rPr>
        <w:t>**Landmark paper discussing essential medicines for UHC</w:t>
      </w:r>
    </w:p>
    <w:p w14:paraId="67DD5E5D"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33. WORLD HEALTH ORGANIZATION (WHO). Equitable access to essential medicines: a framework for collective action [internet]. WHO: Geneva; 2004. Available from: </w:t>
      </w:r>
      <w:hyperlink r:id="rId16">
        <w:r w:rsidRPr="007A515F">
          <w:rPr>
            <w:rFonts w:ascii="Arial" w:hAnsi="Arial" w:cs="Arial"/>
            <w:sz w:val="20"/>
            <w:szCs w:val="20"/>
          </w:rPr>
          <w:t>http://whqlibdoc.who.int/hq/2004/WHO_EDM_2004.4.pdf</w:t>
        </w:r>
      </w:hyperlink>
      <w:r w:rsidRPr="007A515F">
        <w:rPr>
          <w:rFonts w:ascii="Arial" w:hAnsi="Arial" w:cs="Arial"/>
          <w:sz w:val="20"/>
          <w:szCs w:val="20"/>
        </w:rPr>
        <w:t>.</w:t>
      </w:r>
    </w:p>
    <w:p w14:paraId="327A08A7"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34. Mbui JM, Oluka MN, Guantai EM, Sinei KA, Achieng L, Baker A, et al. Prescription patterns and adequacy of blood pressure control among adult hypertensive patients in Kenya; findings and implications. Expert review of clinical pharmacology. 2017;10(11):1263-71.</w:t>
      </w:r>
    </w:p>
    <w:p w14:paraId="0EAAB39B"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35. Sandoz - A Novartis Division. Kenya is first country to launch ‘Novartis Access’, expanding affordable treatment options against chronic diseases. 2015. Available at URL: </w:t>
      </w:r>
      <w:r w:rsidRPr="007A515F">
        <w:rPr>
          <w:rFonts w:ascii="Arial" w:hAnsi="Arial" w:cs="Arial"/>
          <w:sz w:val="20"/>
          <w:szCs w:val="20"/>
        </w:rPr>
        <w:lastRenderedPageBreak/>
        <w:t>https://www.sandoz.com/news/media-releases/kenya-first-country-launch-novartis-access-expanding-affordable-treatment.</w:t>
      </w:r>
    </w:p>
    <w:p w14:paraId="45B8F8FB" w14:textId="2EB06880"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rPr>
        <w:t xml:space="preserve">36. Alvares, J. et al. Are we really measuring access? Systematic review of access measures to medicines in Brazil. </w:t>
      </w:r>
      <w:r w:rsidRPr="007A515F">
        <w:rPr>
          <w:rFonts w:ascii="Arial" w:hAnsi="Arial" w:cs="Arial"/>
          <w:sz w:val="20"/>
          <w:szCs w:val="20"/>
          <w:lang w:val="pt-BR"/>
        </w:rPr>
        <w:t>Revista Brasileira de Pesquisa em Saúde, Vitória, 17(4): 138-155, out-dez, 2015.</w:t>
      </w:r>
    </w:p>
    <w:p w14:paraId="40A5B66A" w14:textId="51568EC9" w:rsidR="00861577" w:rsidRPr="007A515F" w:rsidRDefault="00861577" w:rsidP="007A515F">
      <w:pPr>
        <w:pStyle w:val="NoSpacing"/>
        <w:rPr>
          <w:rFonts w:ascii="Arial" w:hAnsi="Arial" w:cs="Arial"/>
          <w:sz w:val="20"/>
          <w:szCs w:val="20"/>
          <w:lang w:val="pt-BR"/>
        </w:rPr>
      </w:pPr>
      <w:r w:rsidRPr="007A515F">
        <w:rPr>
          <w:rFonts w:ascii="Arial" w:hAnsi="Arial" w:cs="Arial"/>
          <w:sz w:val="20"/>
          <w:szCs w:val="20"/>
          <w:lang w:val="pt-BR"/>
        </w:rPr>
        <w:t>**Good review discussing access to medicines in Brazil</w:t>
      </w:r>
    </w:p>
    <w:p w14:paraId="64348D72"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37. Penchansky R, Thomas JW. The concept of access: definition and relationship to consumer satisfaction. MedCare. 1981; 19(2):127-140. </w:t>
      </w:r>
    </w:p>
    <w:p w14:paraId="4F234D91"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38. Aday, L.A.; Andersen R. Development of Indices of Access to Medical Care; Health Administration Press, </w:t>
      </w:r>
      <w:r w:rsidRPr="007A515F">
        <w:rPr>
          <w:rFonts w:ascii="Arial" w:hAnsi="Arial" w:cs="Arial"/>
          <w:i/>
          <w:sz w:val="20"/>
          <w:szCs w:val="20"/>
        </w:rPr>
        <w:t>Ann Arbor</w:t>
      </w:r>
      <w:r w:rsidRPr="007A515F">
        <w:rPr>
          <w:rFonts w:ascii="Arial" w:hAnsi="Arial" w:cs="Arial"/>
          <w:sz w:val="20"/>
          <w:szCs w:val="20"/>
        </w:rPr>
        <w:t>, 1975.</w:t>
      </w:r>
    </w:p>
    <w:p w14:paraId="186396E2" w14:textId="77777777"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rPr>
        <w:t xml:space="preserve">39. Bigdeli et al., 2013. Health Policy Plan. 2013 Oct;28(7):692-704. doi: 10.1093/heapol/czs108. </w:t>
      </w:r>
      <w:r w:rsidRPr="007A515F">
        <w:rPr>
          <w:rFonts w:ascii="Arial" w:hAnsi="Arial" w:cs="Arial"/>
          <w:sz w:val="20"/>
          <w:szCs w:val="20"/>
          <w:lang w:val="pt-BR"/>
        </w:rPr>
        <w:t>Epub 2012 Nov 22.</w:t>
      </w:r>
    </w:p>
    <w:p w14:paraId="3FA02276" w14:textId="77777777"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t xml:space="preserve">40. Guerra JR AA, Acúrcio F DE A, Gomes CAP, Miralles M, Girardi SN, Werneck GAF, et al. </w:t>
      </w:r>
      <w:r w:rsidRPr="007A515F">
        <w:rPr>
          <w:rFonts w:ascii="Arial" w:hAnsi="Arial" w:cs="Arial"/>
          <w:sz w:val="20"/>
          <w:szCs w:val="20"/>
        </w:rPr>
        <w:t xml:space="preserve">Availability of essential medicines in two regions of Minas Gerais, Brazil. </w:t>
      </w:r>
      <w:r w:rsidRPr="007A515F">
        <w:rPr>
          <w:rFonts w:ascii="Arial" w:hAnsi="Arial" w:cs="Arial"/>
          <w:i/>
          <w:sz w:val="20"/>
          <w:szCs w:val="20"/>
          <w:lang w:val="pt-BR"/>
        </w:rPr>
        <w:t>Rev Panam Salud Publica</w:t>
      </w:r>
      <w:r w:rsidRPr="007A515F">
        <w:rPr>
          <w:rFonts w:ascii="Arial" w:hAnsi="Arial" w:cs="Arial"/>
          <w:sz w:val="20"/>
          <w:szCs w:val="20"/>
          <w:lang w:val="pt-BR"/>
        </w:rPr>
        <w:t>. 2004;15(3):168–75.</w:t>
      </w:r>
    </w:p>
    <w:p w14:paraId="7D56D1D8" w14:textId="00B0A677"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 xml:space="preserve">41. Nascimento RCRM, Álvares J, Guerra Junior AA, Gomes IC, Costa EA, Leite SN, </w:t>
      </w:r>
      <w:r w:rsidRPr="007A515F">
        <w:rPr>
          <w:rFonts w:ascii="Arial" w:hAnsi="Arial" w:cs="Arial"/>
          <w:i/>
          <w:sz w:val="20"/>
          <w:szCs w:val="20"/>
          <w:lang w:val="pt-BR"/>
        </w:rPr>
        <w:t>et</w:t>
      </w:r>
      <w:r w:rsidRPr="007A515F">
        <w:rPr>
          <w:rFonts w:ascii="Arial" w:hAnsi="Arial" w:cs="Arial"/>
          <w:sz w:val="20"/>
          <w:szCs w:val="20"/>
          <w:lang w:val="pt-BR"/>
        </w:rPr>
        <w:t xml:space="preserve"> al. </w:t>
      </w:r>
      <w:r w:rsidRPr="007A515F">
        <w:rPr>
          <w:rFonts w:ascii="Arial" w:hAnsi="Arial" w:cs="Arial"/>
          <w:sz w:val="20"/>
          <w:szCs w:val="20"/>
        </w:rPr>
        <w:t>Availability of essential medicines in primary health care of the Brazilian Unified Health System. Rev Saude Publica. 2017;51 Supl 2:10s. </w:t>
      </w:r>
      <w:hyperlink r:id="rId17">
        <w:r w:rsidRPr="007A515F">
          <w:rPr>
            <w:rFonts w:ascii="Arial" w:hAnsi="Arial" w:cs="Arial"/>
            <w:sz w:val="20"/>
            <w:szCs w:val="20"/>
          </w:rPr>
          <w:t>https://doi.org/10.1590/S1518-8787.2017051007062</w:t>
        </w:r>
      </w:hyperlink>
    </w:p>
    <w:p w14:paraId="13EED6DC" w14:textId="20B194C9" w:rsidR="00861577" w:rsidRPr="007A515F" w:rsidRDefault="00861577" w:rsidP="007A515F">
      <w:pPr>
        <w:pStyle w:val="NoSpacing"/>
        <w:rPr>
          <w:rFonts w:ascii="Arial" w:hAnsi="Arial" w:cs="Arial"/>
          <w:sz w:val="20"/>
          <w:szCs w:val="20"/>
        </w:rPr>
      </w:pPr>
      <w:r w:rsidRPr="007A515F">
        <w:rPr>
          <w:rFonts w:ascii="Arial" w:hAnsi="Arial" w:cs="Arial"/>
          <w:sz w:val="20"/>
          <w:szCs w:val="20"/>
        </w:rPr>
        <w:t xml:space="preserve">**Good paper discussing current access to medicines in ambulatory care in Brazil </w:t>
      </w:r>
    </w:p>
    <w:p w14:paraId="06BD4887"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42. Helfer AP, Camargo AL, Tavares NUL, Kanavos P &amp; Bertoldi AD. Affordability and availability of drugs for treatment of chronic diseases in the public health care system. </w:t>
      </w:r>
      <w:r w:rsidRPr="007A515F">
        <w:rPr>
          <w:rFonts w:ascii="Arial" w:hAnsi="Arial" w:cs="Arial"/>
          <w:sz w:val="20"/>
          <w:szCs w:val="20"/>
          <w:lang w:val="pt-BR"/>
        </w:rPr>
        <w:t xml:space="preserve">Revista Panamericana de Salud Pública, 31(3), 225-232. 2012. Disponível em: &lt;http://www.scielosp.org/scielo.php?script=sci_arttext&amp;pid=S1020-49892012000300007&amp;lng=en&amp;tlng=pt. </w:t>
      </w:r>
      <w:r w:rsidRPr="007A515F">
        <w:rPr>
          <w:rFonts w:ascii="Arial" w:hAnsi="Arial" w:cs="Arial"/>
          <w:sz w:val="20"/>
          <w:szCs w:val="20"/>
        </w:rPr>
        <w:t>Acesso em 23 fev 2016.</w:t>
      </w:r>
    </w:p>
    <w:p w14:paraId="26941CAA"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 xml:space="preserve">43. Barreto MNSC, Cesse EAP, Lima RF, Marinho MGS, Specht YS, Carvalho EMF, Fonfbonne A. Analysis of access to hypertensive and diabetic drugs in the Family Health Strategy, State of Pernambuco, Brazil. Revista Brasileira de Epidemiologia, 18(2), 413-424. 2015. </w:t>
      </w:r>
      <w:hyperlink r:id="rId18">
        <w:r w:rsidRPr="007A515F">
          <w:rPr>
            <w:rFonts w:ascii="Arial" w:hAnsi="Arial" w:cs="Arial"/>
            <w:sz w:val="20"/>
            <w:szCs w:val="20"/>
          </w:rPr>
          <w:t>https://dx.doi.org/10.1590/1980-5497201500020010</w:t>
        </w:r>
      </w:hyperlink>
    </w:p>
    <w:p w14:paraId="1B1C7363" w14:textId="77777777"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rPr>
        <w:t xml:space="preserve">44. Barreto JL &amp; Guimarães M.C.L. Evaluation of decentralized management of basic pharmaceutical care in Bahia State, Brazil. </w:t>
      </w:r>
      <w:r w:rsidRPr="007A515F">
        <w:rPr>
          <w:rFonts w:ascii="Arial" w:hAnsi="Arial" w:cs="Arial"/>
          <w:sz w:val="20"/>
          <w:szCs w:val="20"/>
          <w:lang w:val="pt-BR"/>
        </w:rPr>
        <w:t>Cad. Saúde Pública, Rio de Janeiro, 26(6):1207-1220, jun, 2010.</w:t>
      </w:r>
    </w:p>
    <w:p w14:paraId="2D835756" w14:textId="57A5B25E"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 xml:space="preserve">45. Barbosa M.M; Garcia, M.M; Nascimento, R.C.R.M; Reis, E.A; Guerra Junior, A.A; Acurcio, FA; Alavres, J. Infrastructure evaluation of Pharmaceutical Services in the National Health System of Minas Gerais. </w:t>
      </w:r>
      <w:r w:rsidRPr="007A515F">
        <w:rPr>
          <w:rFonts w:ascii="Arial" w:hAnsi="Arial" w:cs="Arial"/>
          <w:i/>
          <w:sz w:val="20"/>
          <w:szCs w:val="20"/>
          <w:lang w:val="pt-BR"/>
        </w:rPr>
        <w:t>Revista Ciência e Saúde Coletiva</w:t>
      </w:r>
      <w:r w:rsidRPr="007A515F">
        <w:rPr>
          <w:rFonts w:ascii="Arial" w:hAnsi="Arial" w:cs="Arial"/>
          <w:sz w:val="20"/>
          <w:szCs w:val="20"/>
          <w:lang w:val="pt-BR"/>
        </w:rPr>
        <w:t xml:space="preserve">, Rio de Janeiro, Vol.22 (8): 2475- 2486 ago, 2017. </w:t>
      </w:r>
      <w:r w:rsidRPr="007A515F">
        <w:rPr>
          <w:rFonts w:ascii="Arial" w:hAnsi="Arial" w:cs="Arial"/>
          <w:sz w:val="20"/>
          <w:szCs w:val="20"/>
        </w:rPr>
        <w:t>DOI: 10.1590/1413-81232017228.10952017.</w:t>
      </w:r>
    </w:p>
    <w:p w14:paraId="2F2D3EE5" w14:textId="77777777" w:rsidR="00687DE7" w:rsidRPr="007A515F" w:rsidRDefault="00861577" w:rsidP="007A515F">
      <w:pPr>
        <w:pStyle w:val="NoSpacing"/>
        <w:rPr>
          <w:rFonts w:ascii="Arial" w:hAnsi="Arial" w:cs="Arial"/>
          <w:sz w:val="20"/>
          <w:szCs w:val="20"/>
        </w:rPr>
      </w:pPr>
      <w:r w:rsidRPr="007A515F">
        <w:rPr>
          <w:rFonts w:ascii="Arial" w:hAnsi="Arial" w:cs="Arial"/>
          <w:sz w:val="20"/>
          <w:szCs w:val="20"/>
        </w:rPr>
        <w:t xml:space="preserve">*Interesting paper </w:t>
      </w:r>
      <w:r w:rsidR="00F27D16" w:rsidRPr="007A515F">
        <w:rPr>
          <w:rFonts w:ascii="Arial" w:hAnsi="Arial" w:cs="Arial"/>
          <w:sz w:val="20"/>
          <w:szCs w:val="20"/>
        </w:rPr>
        <w:t>discussing</w:t>
      </w:r>
      <w:r w:rsidRPr="007A515F">
        <w:rPr>
          <w:rFonts w:ascii="Arial" w:hAnsi="Arial" w:cs="Arial"/>
          <w:sz w:val="20"/>
          <w:szCs w:val="20"/>
        </w:rPr>
        <w:t xml:space="preserve"> the infrastructure of ph</w:t>
      </w:r>
      <w:r w:rsidR="00687DE7" w:rsidRPr="007A515F">
        <w:rPr>
          <w:rFonts w:ascii="Arial" w:hAnsi="Arial" w:cs="Arial"/>
          <w:sz w:val="20"/>
          <w:szCs w:val="20"/>
        </w:rPr>
        <w:t>armaceutical services in Brazil</w:t>
      </w:r>
    </w:p>
    <w:p w14:paraId="22BA44D4" w14:textId="75D29335"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t>46. Minas Gerais. SECRETARIA DE ESTADO DE SAÚDE. SUPERINTENDÊNCIA DE ASSISTÊNCIA FARMACÊUTICA. Rede farmácia de Minas: plano estadual de estruturação da rede de assistência farmacêutica: uma estratégia para ampliar o acesso e o uso racional de medicamentos no SUS – Belo Horizonte: SES-MG, 2008.112 p.</w:t>
      </w:r>
    </w:p>
    <w:p w14:paraId="5EEF3089"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 xml:space="preserve">47. Nezenega ZS, Gacho YHM, Tafere TE. </w:t>
      </w:r>
      <w:r w:rsidRPr="007A515F">
        <w:rPr>
          <w:rFonts w:ascii="Arial" w:hAnsi="Arial" w:cs="Arial"/>
          <w:sz w:val="20"/>
          <w:szCs w:val="20"/>
        </w:rPr>
        <w:t>Patient satisfaction on tuberculosis treatment service and adherence to treatment in public health facilities of Sidama zone, South Ethiopia. BMC health services research. 2013;13(1):110.</w:t>
      </w:r>
    </w:p>
    <w:p w14:paraId="1925E877"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48. Doyle C, Lennox L, Bell D. A systematic review of evidence on the links between patient experience and clinical safety and effectiveness. BMJ open. 2013;3(1).</w:t>
      </w:r>
    </w:p>
    <w:p w14:paraId="5E53D7E6"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49. Farhat R, Assaf J, Jabbour H, Licha H, Hajj A, Hallit S, et al. Adherence to oral glucose lowering drugs, quality of life, treatment satisfaction and illness perception: A cross-sectional study in patients with type 2 diabetes. Saudi pharmaceutical journal. 2019;27(1):126-32.</w:t>
      </w:r>
    </w:p>
    <w:p w14:paraId="518E7502"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50. Bochenek T, Abilova V, Alkan A, Asanin B, de Miguel Beriain I, Besovic Z, et al. Systemic Measures and Legislative and Organizational Frameworks Aimed at Preventing or Mitigating Drug Shortages in 28 European and Western Asian Countries. Frontiers in pharmacology. 2017;8:942.</w:t>
      </w:r>
    </w:p>
    <w:p w14:paraId="612BC17D" w14:textId="2D82395F" w:rsidR="00104A61" w:rsidRPr="007A515F" w:rsidRDefault="000A1091" w:rsidP="007A515F">
      <w:pPr>
        <w:pStyle w:val="NoSpacing"/>
        <w:rPr>
          <w:rFonts w:ascii="Arial" w:hAnsi="Arial" w:cs="Arial"/>
          <w:sz w:val="20"/>
          <w:szCs w:val="20"/>
        </w:rPr>
      </w:pPr>
      <w:r w:rsidRPr="007A515F">
        <w:rPr>
          <w:rFonts w:ascii="Arial" w:hAnsi="Arial" w:cs="Arial"/>
          <w:sz w:val="20"/>
          <w:szCs w:val="20"/>
        </w:rPr>
        <w:t>51. Access to Medicine Foundation. Shortages, stockouts and scarcity. 2018. Available from:</w:t>
      </w:r>
      <w:r w:rsidR="00687DE7" w:rsidRPr="007A515F">
        <w:rPr>
          <w:rFonts w:ascii="Arial" w:hAnsi="Arial" w:cs="Arial"/>
          <w:sz w:val="20"/>
          <w:szCs w:val="20"/>
        </w:rPr>
        <w:t xml:space="preserve"> </w:t>
      </w:r>
      <w:r w:rsidRPr="007A515F">
        <w:rPr>
          <w:rFonts w:ascii="Arial" w:hAnsi="Arial" w:cs="Arial"/>
          <w:sz w:val="20"/>
          <w:szCs w:val="20"/>
        </w:rPr>
        <w:t>https://accesstomedicinefoundation.org/media/atmf/Antibiotic-Shortages-Stockouts-and-Scarcity_Access-to-Medicine-Foundation_31-May-2018.pdf.</w:t>
      </w:r>
    </w:p>
    <w:p w14:paraId="66AACA99"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52. Sanchez RM, Ciconelli RM. The concepts of health access. Rev Panam Salud Publica. 2012; 31(3):260–8.</w:t>
      </w:r>
    </w:p>
    <w:p w14:paraId="412B48E4" w14:textId="77777777"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rPr>
        <w:t xml:space="preserve">53. Meyer JC, Schellack N, Stokes J, Lancaster R, Zeeman H, Defty D, et al. Ongoing Initiatives to Improve the Quality and Efficiency of Medicine Use within the Public Healthcare System in South Africa; A Preliminary Study. </w:t>
      </w:r>
      <w:r w:rsidRPr="007A515F">
        <w:rPr>
          <w:rFonts w:ascii="Arial" w:hAnsi="Arial" w:cs="Arial"/>
          <w:sz w:val="20"/>
          <w:szCs w:val="20"/>
          <w:lang w:val="pt-BR"/>
        </w:rPr>
        <w:t>Frontiers in pharmacology. 2017;8:751.</w:t>
      </w:r>
    </w:p>
    <w:p w14:paraId="34982F97" w14:textId="77777777"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lastRenderedPageBreak/>
        <w:t xml:space="preserve">54. Costa JO, Almeida-Brasil CC, Godman B, Fischer MA, Dartnell J, Heaney A, Santos CGB, Acurcio FA, Álvares J, Guerra Jr AA. </w:t>
      </w:r>
      <w:r w:rsidRPr="007A515F">
        <w:rPr>
          <w:rFonts w:ascii="Arial" w:hAnsi="Arial" w:cs="Arial"/>
          <w:sz w:val="20"/>
          <w:szCs w:val="20"/>
        </w:rPr>
        <w:t xml:space="preserve">Implementation of clinical guidelines in Brazil: Should academic detailing be used? </w:t>
      </w:r>
      <w:r w:rsidRPr="007A515F">
        <w:rPr>
          <w:rFonts w:ascii="Arial" w:hAnsi="Arial" w:cs="Arial"/>
          <w:sz w:val="20"/>
          <w:szCs w:val="20"/>
          <w:lang w:val="pt-BR"/>
        </w:rPr>
        <w:t>Jn Pharm Health Services Res. 2016;7:105-15.</w:t>
      </w:r>
    </w:p>
    <w:p w14:paraId="4D6688C0" w14:textId="41292338"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 xml:space="preserve">55. Do Nascimento R, Guerra AA, Jr., Alvares J, Gomes IC, Godman B, Bennie M, et al. </w:t>
      </w:r>
      <w:r w:rsidRPr="007A515F">
        <w:rPr>
          <w:rFonts w:ascii="Arial" w:hAnsi="Arial" w:cs="Arial"/>
          <w:sz w:val="20"/>
          <w:szCs w:val="20"/>
        </w:rPr>
        <w:t>Statin use in Brazil: findings and implications. Current medical research and opinion. 2018;34(10):180917.</w:t>
      </w:r>
    </w:p>
    <w:p w14:paraId="6238F45B" w14:textId="1CE22F1F" w:rsidR="00861577" w:rsidRPr="007A515F" w:rsidRDefault="00861577" w:rsidP="007A515F">
      <w:pPr>
        <w:pStyle w:val="NoSpacing"/>
        <w:rPr>
          <w:rFonts w:ascii="Arial" w:hAnsi="Arial" w:cs="Arial"/>
          <w:sz w:val="20"/>
          <w:szCs w:val="20"/>
        </w:rPr>
      </w:pPr>
      <w:r w:rsidRPr="007A515F">
        <w:rPr>
          <w:rFonts w:ascii="Arial" w:hAnsi="Arial" w:cs="Arial"/>
          <w:sz w:val="20"/>
          <w:szCs w:val="20"/>
        </w:rPr>
        <w:t>*Good paper discussing current statin use in ambulatory care in Brazil including issues of availability</w:t>
      </w:r>
    </w:p>
    <w:p w14:paraId="7198FFDE" w14:textId="77777777"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t xml:space="preserve">56. Agencia Nacional de Saúde Complementar (ANS). Caderno de Informação da Saúde Suplementar: beneficiários, Operadoras e Planos [Supplementary Health Information Booklet: beneficiaries, Operators and Plans]. Rio de Janeiro: ANS; 2017; (2) </w:t>
      </w:r>
    </w:p>
    <w:p w14:paraId="159CEADA" w14:textId="05381296" w:rsidR="00104A61" w:rsidRPr="007A515F" w:rsidRDefault="000A1091" w:rsidP="007A515F">
      <w:pPr>
        <w:pStyle w:val="NoSpacing"/>
        <w:rPr>
          <w:rFonts w:ascii="Arial" w:hAnsi="Arial" w:cs="Arial"/>
          <w:sz w:val="20"/>
          <w:szCs w:val="20"/>
        </w:rPr>
      </w:pPr>
      <w:r w:rsidRPr="007A515F">
        <w:rPr>
          <w:rFonts w:ascii="Arial" w:hAnsi="Arial" w:cs="Arial"/>
          <w:sz w:val="20"/>
          <w:szCs w:val="20"/>
        </w:rPr>
        <w:t>57. Flawed but fair: Brazil’s health system reaches out to the poor [internet].World Health Organization (WHO).</w:t>
      </w:r>
      <w:r w:rsidR="00687DE7" w:rsidRPr="007A515F">
        <w:rPr>
          <w:rFonts w:ascii="Arial" w:hAnsi="Arial" w:cs="Arial"/>
          <w:sz w:val="20"/>
          <w:szCs w:val="20"/>
        </w:rPr>
        <w:t xml:space="preserve"> </w:t>
      </w:r>
      <w:r w:rsidRPr="007A515F">
        <w:rPr>
          <w:rFonts w:ascii="Arial" w:hAnsi="Arial" w:cs="Arial"/>
          <w:sz w:val="20"/>
          <w:szCs w:val="20"/>
        </w:rPr>
        <w:t>April 2008 [cited: 2018 Mar 09]. Available from: http://www.who.int/bulletin/volumes/86/4/08-030408/en/.</w:t>
      </w:r>
    </w:p>
    <w:p w14:paraId="3FEA62C5" w14:textId="77777777"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t xml:space="preserve">58. da Silva WC, de Araujo VE, Lima E, Dos Santos JBR, Silva M, Almeida P, et al. </w:t>
      </w:r>
      <w:r w:rsidRPr="007A515F">
        <w:rPr>
          <w:rFonts w:ascii="Arial" w:hAnsi="Arial" w:cs="Arial"/>
          <w:sz w:val="20"/>
          <w:szCs w:val="20"/>
        </w:rPr>
        <w:t xml:space="preserve">Comparative Effectiveness and Safety of Monoclonal Antibodies (Bevacizumab, Cetuximab, and Panitumumab) in Combination with Chemotherapy for Metastatic Colorectal Cancer: A Systematic Review and Meta-Analysis. </w:t>
      </w:r>
      <w:r w:rsidRPr="007A515F">
        <w:rPr>
          <w:rFonts w:ascii="Arial" w:hAnsi="Arial" w:cs="Arial"/>
          <w:sz w:val="20"/>
          <w:szCs w:val="20"/>
          <w:lang w:val="pt-BR"/>
        </w:rPr>
        <w:t>BioDrugs: clinical immunotherapeutics, biopharmaceuticals and gene therapy. 2018;32(6):585-606.</w:t>
      </w:r>
    </w:p>
    <w:p w14:paraId="1DDBF48A" w14:textId="77777777"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t xml:space="preserve">59. Dos Santos JB, Almeida AM, Acurcio FA, de Oliveira Junior HA, Kakehasi AM, Guerra Junior AA, et al. </w:t>
      </w:r>
      <w:r w:rsidRPr="007A515F">
        <w:rPr>
          <w:rFonts w:ascii="Arial" w:hAnsi="Arial" w:cs="Arial"/>
          <w:sz w:val="20"/>
          <w:szCs w:val="20"/>
        </w:rPr>
        <w:t xml:space="preserve">Comparative effectiveness of adalimumab and etanercept for rheumatoid arthritis in the Brazilian Public Health System. </w:t>
      </w:r>
      <w:r w:rsidRPr="007A515F">
        <w:rPr>
          <w:rFonts w:ascii="Arial" w:hAnsi="Arial" w:cs="Arial"/>
          <w:sz w:val="20"/>
          <w:szCs w:val="20"/>
          <w:lang w:val="pt-BR"/>
        </w:rPr>
        <w:t>Journal of comparative effectiveness research. 2016;5(6):539-49.</w:t>
      </w:r>
    </w:p>
    <w:p w14:paraId="1A4104DD"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 xml:space="preserve">60. Barbosa WB, Costa JO, de Lemos LLP, Gomes RM, de Oliveira HN, Ruas CM, et al. </w:t>
      </w:r>
      <w:r w:rsidRPr="007A515F">
        <w:rPr>
          <w:rFonts w:ascii="Arial" w:hAnsi="Arial" w:cs="Arial"/>
          <w:sz w:val="20"/>
          <w:szCs w:val="20"/>
        </w:rPr>
        <w:t>Costs in the Treatment of Schizophrenia in Adults Receiving Atypical Antipsychotics: An 11-Year Cohort in Brazil. Applied health economics and health policy. 2018;16(5):697-709.</w:t>
      </w:r>
    </w:p>
    <w:p w14:paraId="4B6444A3" w14:textId="77777777" w:rsidR="00104A61" w:rsidRPr="007A515F" w:rsidRDefault="000A1091" w:rsidP="007A515F">
      <w:pPr>
        <w:pStyle w:val="NoSpacing"/>
        <w:rPr>
          <w:rFonts w:ascii="Arial" w:hAnsi="Arial" w:cs="Arial"/>
          <w:sz w:val="20"/>
          <w:szCs w:val="20"/>
          <w:highlight w:val="white"/>
        </w:rPr>
      </w:pPr>
      <w:r w:rsidRPr="007A515F">
        <w:rPr>
          <w:rFonts w:ascii="Arial" w:hAnsi="Arial" w:cs="Arial"/>
          <w:sz w:val="20"/>
          <w:szCs w:val="20"/>
          <w:highlight w:val="white"/>
        </w:rPr>
        <w:t>61. Roberts Marc J. William Hsiao. Peter Berman. Michael R. Reich. Getting Health Reform. Right. Oxford University Press. Print ISBN-13: 9780195371505.  DOI:10.1093/acprof:oso/9780195371505.001.0001.</w:t>
      </w:r>
    </w:p>
    <w:p w14:paraId="60A9FD73" w14:textId="79387045"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rPr>
        <w:t xml:space="preserve">62. Fegg, M. J.; Kramer, M.; L’HOSTE, S.; Borasio, G. D. - The Schedule for Meaning in Life Evaluation (SMiLE): Validation of a New Instrument for Meaning-in-Life Research. </w:t>
      </w:r>
      <w:r w:rsidRPr="007A515F">
        <w:rPr>
          <w:rFonts w:ascii="Arial" w:hAnsi="Arial" w:cs="Arial"/>
          <w:i/>
          <w:sz w:val="20"/>
          <w:szCs w:val="20"/>
          <w:lang w:val="pt-BR"/>
        </w:rPr>
        <w:t>Journal of Pain and Symptom Management</w:t>
      </w:r>
      <w:r w:rsidRPr="007A515F">
        <w:rPr>
          <w:rFonts w:ascii="Arial" w:hAnsi="Arial" w:cs="Arial"/>
          <w:sz w:val="20"/>
          <w:szCs w:val="20"/>
          <w:lang w:val="pt-BR"/>
        </w:rPr>
        <w:t>. vol</w:t>
      </w:r>
      <w:r w:rsidR="00687DE7" w:rsidRPr="007A515F">
        <w:rPr>
          <w:rFonts w:ascii="Arial" w:hAnsi="Arial" w:cs="Arial"/>
          <w:sz w:val="20"/>
          <w:szCs w:val="20"/>
          <w:lang w:val="pt-BR"/>
        </w:rPr>
        <w:t>. 35, n</w:t>
      </w:r>
      <w:r w:rsidRPr="007A515F">
        <w:rPr>
          <w:rFonts w:ascii="Arial" w:hAnsi="Arial" w:cs="Arial"/>
          <w:sz w:val="20"/>
          <w:szCs w:val="20"/>
          <w:lang w:val="pt-BR"/>
        </w:rPr>
        <w:t>º 4, p. 356-364, 2008.</w:t>
      </w:r>
    </w:p>
    <w:p w14:paraId="746D159E"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 xml:space="preserve">63. Moimaz, Suzely adas saliba, Marques, Jeidson antônio morais, Saliba, orlando, garbin, cléa adas saliba, zina, lívia guimarães, &amp; saliba, nemre adas. </w:t>
      </w:r>
      <w:r w:rsidRPr="007A515F">
        <w:rPr>
          <w:rFonts w:ascii="Arial" w:hAnsi="Arial" w:cs="Arial"/>
          <w:sz w:val="20"/>
          <w:szCs w:val="20"/>
        </w:rPr>
        <w:t xml:space="preserve">(2010). Satisfaction and perception of SUS's users about public health care. </w:t>
      </w:r>
      <w:r w:rsidRPr="007A515F">
        <w:rPr>
          <w:rFonts w:ascii="Arial" w:hAnsi="Arial" w:cs="Arial"/>
          <w:i/>
          <w:sz w:val="20"/>
          <w:szCs w:val="20"/>
        </w:rPr>
        <w:t>Physis: Revista de Saúde Coletiva</w:t>
      </w:r>
      <w:r w:rsidRPr="007A515F">
        <w:rPr>
          <w:rFonts w:ascii="Arial" w:hAnsi="Arial" w:cs="Arial"/>
          <w:sz w:val="20"/>
          <w:szCs w:val="20"/>
        </w:rPr>
        <w:t xml:space="preserve">, </w:t>
      </w:r>
      <w:r w:rsidRPr="007A515F">
        <w:rPr>
          <w:rFonts w:ascii="Arial" w:hAnsi="Arial" w:cs="Arial"/>
          <w:i/>
          <w:sz w:val="20"/>
          <w:szCs w:val="20"/>
        </w:rPr>
        <w:t>20</w:t>
      </w:r>
      <w:r w:rsidRPr="007A515F">
        <w:rPr>
          <w:rFonts w:ascii="Arial" w:hAnsi="Arial" w:cs="Arial"/>
          <w:sz w:val="20"/>
          <w:szCs w:val="20"/>
        </w:rPr>
        <w:t>(4), 1419-1440.</w:t>
      </w:r>
    </w:p>
    <w:p w14:paraId="17E33D5F"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64. Frenk, J. Concept and measurement of accessibility. Salud Publica Mex, 27(5), p. 438, 1985.</w:t>
      </w:r>
    </w:p>
    <w:p w14:paraId="03B61971"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65. UNITED NATIONS DEVELOPMENT GROUP. Indicators for Monitoring the Millennium Development Goals (United Nations, New York, 2003).</w:t>
      </w:r>
    </w:p>
    <w:p w14:paraId="7BFAB2CD" w14:textId="1D545090" w:rsidR="00104A61" w:rsidRPr="007A515F" w:rsidRDefault="000A1091" w:rsidP="007A515F">
      <w:pPr>
        <w:pStyle w:val="NoSpacing"/>
        <w:rPr>
          <w:rFonts w:ascii="Arial" w:hAnsi="Arial" w:cs="Arial"/>
          <w:sz w:val="20"/>
          <w:szCs w:val="20"/>
        </w:rPr>
      </w:pPr>
      <w:r w:rsidRPr="007A515F">
        <w:rPr>
          <w:rFonts w:ascii="Arial" w:hAnsi="Arial" w:cs="Arial"/>
          <w:sz w:val="20"/>
          <w:szCs w:val="20"/>
        </w:rPr>
        <w:t>66. WORLD HEALTH ORGANIZATION [Internet]. How to develop and implement a national drug policy. 2. ed. Geneva: World H</w:t>
      </w:r>
      <w:r w:rsidR="00687DE7" w:rsidRPr="007A515F">
        <w:rPr>
          <w:rFonts w:ascii="Arial" w:hAnsi="Arial" w:cs="Arial"/>
          <w:sz w:val="20"/>
          <w:szCs w:val="20"/>
        </w:rPr>
        <w:t>ealth Organization; 1988 [access</w:t>
      </w:r>
      <w:r w:rsidRPr="007A515F">
        <w:rPr>
          <w:rFonts w:ascii="Arial" w:hAnsi="Arial" w:cs="Arial"/>
          <w:sz w:val="20"/>
          <w:szCs w:val="20"/>
        </w:rPr>
        <w:t xml:space="preserve"> 04 nov 2016]. </w:t>
      </w:r>
      <w:r w:rsidR="00687DE7" w:rsidRPr="007A515F">
        <w:rPr>
          <w:rFonts w:ascii="Arial" w:hAnsi="Arial" w:cs="Arial"/>
          <w:sz w:val="20"/>
          <w:szCs w:val="20"/>
        </w:rPr>
        <w:t xml:space="preserve">Available from </w:t>
      </w:r>
      <w:r w:rsidRPr="007A515F">
        <w:rPr>
          <w:rFonts w:ascii="Arial" w:hAnsi="Arial" w:cs="Arial"/>
          <w:sz w:val="20"/>
          <w:szCs w:val="20"/>
        </w:rPr>
        <w:t xml:space="preserve">URL:&lt;http://apps.who.int/medicinedocs/pdf/s2283e/s2283e.pdf&gt; </w:t>
      </w:r>
    </w:p>
    <w:p w14:paraId="5BAA6FDC" w14:textId="77DFB4A5" w:rsidR="00104A61" w:rsidRPr="007A515F" w:rsidRDefault="000A1091" w:rsidP="007A515F">
      <w:pPr>
        <w:pStyle w:val="NoSpacing"/>
        <w:rPr>
          <w:rFonts w:ascii="Arial" w:hAnsi="Arial" w:cs="Arial"/>
          <w:sz w:val="20"/>
          <w:szCs w:val="20"/>
        </w:rPr>
      </w:pPr>
      <w:r w:rsidRPr="007A515F">
        <w:rPr>
          <w:rFonts w:ascii="Arial" w:hAnsi="Arial" w:cs="Arial"/>
          <w:sz w:val="20"/>
          <w:szCs w:val="20"/>
        </w:rPr>
        <w:t>67.</w:t>
      </w:r>
      <w:r w:rsidR="00687DE7" w:rsidRPr="007A515F">
        <w:rPr>
          <w:rFonts w:ascii="Arial" w:hAnsi="Arial" w:cs="Arial"/>
          <w:sz w:val="20"/>
          <w:szCs w:val="20"/>
        </w:rPr>
        <w:t xml:space="preserve"> </w:t>
      </w:r>
      <w:r w:rsidRPr="007A515F">
        <w:rPr>
          <w:rFonts w:ascii="Arial" w:hAnsi="Arial" w:cs="Arial"/>
          <w:sz w:val="20"/>
          <w:szCs w:val="20"/>
        </w:rPr>
        <w:t>Likert R. "A Technique for the Measurement of Attitudes", Archives of Psychology, 1932: 140: pp. 1-55.</w:t>
      </w:r>
    </w:p>
    <w:p w14:paraId="349241D6"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 xml:space="preserve">68. Godoi IP, Santos AS, Reis EA, Lemos LL, Brandao CM, Alvares J, et al. </w:t>
      </w:r>
      <w:r w:rsidRPr="007A515F">
        <w:rPr>
          <w:rFonts w:ascii="Arial" w:hAnsi="Arial" w:cs="Arial"/>
          <w:sz w:val="20"/>
          <w:szCs w:val="20"/>
        </w:rPr>
        <w:t>Consumer Willingness to Pay for Dengue Vaccine (CYD-TDV, Dengvaxia(R)) in Brazil; Implications for Future Pricing Considerations. Frontiers in pharmacology. 2017;8:41.</w:t>
      </w:r>
    </w:p>
    <w:p w14:paraId="69F46C55" w14:textId="77777777" w:rsidR="00104A61" w:rsidRPr="007A515F" w:rsidRDefault="000A1091" w:rsidP="007A515F">
      <w:pPr>
        <w:pStyle w:val="NoSpacing"/>
        <w:rPr>
          <w:rFonts w:ascii="Arial" w:hAnsi="Arial" w:cs="Arial"/>
          <w:sz w:val="20"/>
          <w:szCs w:val="20"/>
        </w:rPr>
      </w:pPr>
      <w:r w:rsidRPr="007A515F">
        <w:rPr>
          <w:rFonts w:ascii="Arial" w:hAnsi="Arial" w:cs="Arial"/>
          <w:sz w:val="20"/>
          <w:szCs w:val="20"/>
        </w:rPr>
        <w:t>69. Muniz Júnior RL, Godói IP, Reis EA, Garcia MM, Guerra-Júnior AA, Godman B, et al. Consumer willingness to pay for a hypothetical Zika vaccine in Brazil and the implications. Expert review of pharmacoeconomics &amp; outcomes research. 2018:1-10.</w:t>
      </w:r>
    </w:p>
    <w:p w14:paraId="7A22DA14" w14:textId="4CAF0A23" w:rsidR="00104A61" w:rsidRPr="007A515F" w:rsidRDefault="000D6FA9" w:rsidP="007A515F">
      <w:pPr>
        <w:pStyle w:val="NoSpacing"/>
        <w:rPr>
          <w:rFonts w:ascii="Arial" w:hAnsi="Arial" w:cs="Arial"/>
          <w:sz w:val="20"/>
          <w:szCs w:val="20"/>
        </w:rPr>
      </w:pPr>
      <w:r w:rsidRPr="007A515F">
        <w:rPr>
          <w:rFonts w:ascii="Arial" w:hAnsi="Arial" w:cs="Arial"/>
          <w:sz w:val="20"/>
          <w:szCs w:val="20"/>
        </w:rPr>
        <w:t>70</w:t>
      </w:r>
      <w:r w:rsidR="000A1091" w:rsidRPr="007A515F">
        <w:rPr>
          <w:rFonts w:ascii="Arial" w:hAnsi="Arial" w:cs="Arial"/>
          <w:sz w:val="20"/>
          <w:szCs w:val="20"/>
        </w:rPr>
        <w:t>. MINITAB 17 STATISTICAL SOFTWARE. State College, PA: Minitab; 2010.</w:t>
      </w:r>
    </w:p>
    <w:p w14:paraId="26153212" w14:textId="08F58A27" w:rsidR="00104A61" w:rsidRPr="007A515F" w:rsidRDefault="000D6FA9" w:rsidP="007A515F">
      <w:pPr>
        <w:pStyle w:val="NoSpacing"/>
        <w:rPr>
          <w:rFonts w:ascii="Arial" w:hAnsi="Arial" w:cs="Arial"/>
          <w:sz w:val="20"/>
          <w:szCs w:val="20"/>
        </w:rPr>
      </w:pPr>
      <w:r w:rsidRPr="007A515F">
        <w:rPr>
          <w:rFonts w:ascii="Arial" w:hAnsi="Arial" w:cs="Arial"/>
          <w:sz w:val="20"/>
          <w:szCs w:val="20"/>
        </w:rPr>
        <w:t>71</w:t>
      </w:r>
      <w:r w:rsidR="000A1091" w:rsidRPr="007A515F">
        <w:rPr>
          <w:rFonts w:ascii="Arial" w:hAnsi="Arial" w:cs="Arial"/>
          <w:sz w:val="20"/>
          <w:szCs w:val="20"/>
        </w:rPr>
        <w:t>.</w:t>
      </w:r>
      <w:r w:rsidR="00687DE7" w:rsidRPr="007A515F">
        <w:rPr>
          <w:rFonts w:ascii="Arial" w:hAnsi="Arial" w:cs="Arial"/>
          <w:sz w:val="20"/>
          <w:szCs w:val="20"/>
        </w:rPr>
        <w:t xml:space="preserve"> </w:t>
      </w:r>
      <w:r w:rsidR="000A1091" w:rsidRPr="007A515F">
        <w:rPr>
          <w:rFonts w:ascii="Arial" w:hAnsi="Arial" w:cs="Arial"/>
          <w:i/>
          <w:sz w:val="20"/>
          <w:szCs w:val="20"/>
        </w:rPr>
        <w:t>HUMAN DEVELOPMENT REPORT 1990. Published for the United Nations Development Programme (UNDP) New York Oxford Oxford University Press</w:t>
      </w:r>
      <w:r w:rsidR="000A1091" w:rsidRPr="007A515F">
        <w:rPr>
          <w:rFonts w:ascii="Arial" w:hAnsi="Arial" w:cs="Arial"/>
          <w:sz w:val="20"/>
          <w:szCs w:val="20"/>
        </w:rPr>
        <w:t xml:space="preserve"> 1990. </w:t>
      </w:r>
    </w:p>
    <w:p w14:paraId="162E994F" w14:textId="6D93CDC5" w:rsidR="00104A6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t>7</w:t>
      </w:r>
      <w:r w:rsidR="000D6FA9" w:rsidRPr="007A515F">
        <w:rPr>
          <w:rFonts w:ascii="Arial" w:hAnsi="Arial" w:cs="Arial"/>
          <w:sz w:val="20"/>
          <w:szCs w:val="20"/>
          <w:lang w:val="pt-BR"/>
        </w:rPr>
        <w:t>2</w:t>
      </w:r>
      <w:r w:rsidRPr="007A515F">
        <w:rPr>
          <w:rFonts w:ascii="Arial" w:hAnsi="Arial" w:cs="Arial"/>
          <w:sz w:val="20"/>
          <w:szCs w:val="20"/>
          <w:lang w:val="pt-BR"/>
        </w:rPr>
        <w:t>. IBGE- INSTITUTO BRASILEIRO DE GEOGRAFI</w:t>
      </w:r>
      <w:r w:rsidR="00687DE7" w:rsidRPr="007A515F">
        <w:rPr>
          <w:rFonts w:ascii="Arial" w:hAnsi="Arial" w:cs="Arial"/>
          <w:sz w:val="20"/>
          <w:szCs w:val="20"/>
          <w:lang w:val="pt-BR"/>
        </w:rPr>
        <w:t>A E ESTATÍSTICA, 2015</w:t>
      </w:r>
      <w:r w:rsidRPr="007A515F">
        <w:rPr>
          <w:rFonts w:ascii="Arial" w:hAnsi="Arial" w:cs="Arial"/>
          <w:sz w:val="20"/>
          <w:szCs w:val="20"/>
          <w:lang w:val="pt-BR"/>
        </w:rPr>
        <w:t xml:space="preserve">. </w:t>
      </w:r>
      <w:r w:rsidR="00687DE7" w:rsidRPr="007A515F">
        <w:rPr>
          <w:rFonts w:ascii="Arial" w:hAnsi="Arial" w:cs="Arial"/>
          <w:sz w:val="20"/>
          <w:szCs w:val="20"/>
          <w:lang w:val="pt-BR"/>
        </w:rPr>
        <w:t>Available from https://ww2.ibge.gov.br/home/.</w:t>
      </w:r>
    </w:p>
    <w:p w14:paraId="14BC2B17" w14:textId="1BCF5899" w:rsidR="00104A61" w:rsidRPr="007A515F" w:rsidRDefault="000A1091" w:rsidP="007A515F">
      <w:pPr>
        <w:pStyle w:val="NoSpacing"/>
        <w:rPr>
          <w:rFonts w:ascii="Arial" w:hAnsi="Arial" w:cs="Arial"/>
          <w:sz w:val="20"/>
          <w:szCs w:val="20"/>
        </w:rPr>
      </w:pPr>
      <w:r w:rsidRPr="007A515F">
        <w:rPr>
          <w:rFonts w:ascii="Arial" w:hAnsi="Arial" w:cs="Arial"/>
          <w:sz w:val="20"/>
          <w:szCs w:val="20"/>
          <w:lang w:val="pt-BR"/>
        </w:rPr>
        <w:t>7</w:t>
      </w:r>
      <w:r w:rsidR="000D6FA9" w:rsidRPr="007A515F">
        <w:rPr>
          <w:rFonts w:ascii="Arial" w:hAnsi="Arial" w:cs="Arial"/>
          <w:sz w:val="20"/>
          <w:szCs w:val="20"/>
          <w:lang w:val="pt-BR"/>
        </w:rPr>
        <w:t>3</w:t>
      </w:r>
      <w:r w:rsidRPr="007A515F">
        <w:rPr>
          <w:rFonts w:ascii="Arial" w:hAnsi="Arial" w:cs="Arial"/>
          <w:sz w:val="20"/>
          <w:szCs w:val="20"/>
          <w:lang w:val="pt-BR"/>
        </w:rPr>
        <w:t xml:space="preserve">. Nascimento, M. C. Medicamentos: ameaça ou apoio à saúde? Rio de Janeiro: Vieira &amp; Lent, 2003. </w:t>
      </w:r>
      <w:r w:rsidRPr="007A515F">
        <w:rPr>
          <w:rFonts w:ascii="Arial" w:hAnsi="Arial" w:cs="Arial"/>
          <w:sz w:val="20"/>
          <w:szCs w:val="20"/>
        </w:rPr>
        <w:t xml:space="preserve">200 p. </w:t>
      </w:r>
    </w:p>
    <w:p w14:paraId="11CDDE76" w14:textId="7C86B155" w:rsidR="00104A61" w:rsidRPr="007A515F" w:rsidRDefault="000A1091" w:rsidP="007A515F">
      <w:pPr>
        <w:pStyle w:val="NoSpacing"/>
        <w:rPr>
          <w:rFonts w:ascii="Arial" w:hAnsi="Arial" w:cs="Arial"/>
          <w:sz w:val="20"/>
          <w:szCs w:val="20"/>
        </w:rPr>
      </w:pPr>
      <w:r w:rsidRPr="007A515F">
        <w:rPr>
          <w:rFonts w:ascii="Arial" w:hAnsi="Arial" w:cs="Arial"/>
          <w:sz w:val="20"/>
          <w:szCs w:val="20"/>
        </w:rPr>
        <w:t>7</w:t>
      </w:r>
      <w:r w:rsidR="000D6FA9" w:rsidRPr="007A515F">
        <w:rPr>
          <w:rFonts w:ascii="Arial" w:hAnsi="Arial" w:cs="Arial"/>
          <w:sz w:val="20"/>
          <w:szCs w:val="20"/>
        </w:rPr>
        <w:t>4</w:t>
      </w:r>
      <w:r w:rsidRPr="007A515F">
        <w:rPr>
          <w:rFonts w:ascii="Arial" w:hAnsi="Arial" w:cs="Arial"/>
          <w:sz w:val="20"/>
          <w:szCs w:val="20"/>
        </w:rPr>
        <w:t xml:space="preserve">. Bortolon, P. C; Karnikowski, M.G e Assis, M. Self-medication versus Pharmaceutical indication: the pharmacy professional in the Primary Care Health of elderly. </w:t>
      </w:r>
      <w:r w:rsidRPr="007A515F">
        <w:rPr>
          <w:rFonts w:ascii="Arial" w:hAnsi="Arial" w:cs="Arial"/>
          <w:sz w:val="20"/>
          <w:szCs w:val="20"/>
          <w:lang w:val="pt-BR"/>
        </w:rPr>
        <w:t xml:space="preserve">Disponível em </w:t>
      </w:r>
      <w:hyperlink r:id="rId19">
        <w:r w:rsidRPr="007A515F">
          <w:rPr>
            <w:rFonts w:ascii="Arial" w:hAnsi="Arial" w:cs="Arial"/>
            <w:sz w:val="20"/>
            <w:szCs w:val="20"/>
            <w:lang w:val="pt-BR"/>
          </w:rPr>
          <w:t>http://www.ufjf.br/nates/files/2009/12/12automedicacao1.pdf</w:t>
        </w:r>
      </w:hyperlink>
      <w:r w:rsidR="00687DE7" w:rsidRPr="007A515F">
        <w:rPr>
          <w:rFonts w:ascii="Arial" w:hAnsi="Arial" w:cs="Arial"/>
          <w:sz w:val="20"/>
          <w:szCs w:val="20"/>
          <w:lang w:val="pt-BR"/>
        </w:rPr>
        <w:t xml:space="preserve">. </w:t>
      </w:r>
      <w:r w:rsidR="00B80E60" w:rsidRPr="007A515F">
        <w:rPr>
          <w:rFonts w:ascii="Arial" w:hAnsi="Arial" w:cs="Arial"/>
          <w:sz w:val="20"/>
          <w:szCs w:val="20"/>
        </w:rPr>
        <w:t>[access</w:t>
      </w:r>
      <w:r w:rsidR="00687DE7" w:rsidRPr="007A515F">
        <w:rPr>
          <w:rFonts w:ascii="Arial" w:hAnsi="Arial" w:cs="Arial"/>
          <w:sz w:val="20"/>
          <w:szCs w:val="20"/>
        </w:rPr>
        <w:t xml:space="preserve"> </w:t>
      </w:r>
      <w:r w:rsidRPr="007A515F">
        <w:rPr>
          <w:rFonts w:ascii="Arial" w:hAnsi="Arial" w:cs="Arial"/>
          <w:sz w:val="20"/>
          <w:szCs w:val="20"/>
        </w:rPr>
        <w:t xml:space="preserve">25 </w:t>
      </w:r>
      <w:r w:rsidR="00687DE7" w:rsidRPr="007A515F">
        <w:rPr>
          <w:rFonts w:ascii="Arial" w:hAnsi="Arial" w:cs="Arial"/>
          <w:sz w:val="20"/>
          <w:szCs w:val="20"/>
        </w:rPr>
        <w:t>may</w:t>
      </w:r>
      <w:r w:rsidRPr="007A515F">
        <w:rPr>
          <w:rFonts w:ascii="Arial" w:hAnsi="Arial" w:cs="Arial"/>
          <w:sz w:val="20"/>
          <w:szCs w:val="20"/>
        </w:rPr>
        <w:t xml:space="preserve"> 2017</w:t>
      </w:r>
      <w:r w:rsidR="00B80E60" w:rsidRPr="007A515F">
        <w:rPr>
          <w:rFonts w:ascii="Arial" w:hAnsi="Arial" w:cs="Arial"/>
          <w:sz w:val="20"/>
          <w:szCs w:val="20"/>
        </w:rPr>
        <w:t>]</w:t>
      </w:r>
      <w:r w:rsidRPr="007A515F">
        <w:rPr>
          <w:rFonts w:ascii="Arial" w:hAnsi="Arial" w:cs="Arial"/>
          <w:sz w:val="20"/>
          <w:szCs w:val="20"/>
        </w:rPr>
        <w:t>.</w:t>
      </w:r>
    </w:p>
    <w:p w14:paraId="21DC04D3" w14:textId="564DFC38" w:rsidR="00104A61" w:rsidRPr="007A515F" w:rsidRDefault="000A1091" w:rsidP="007A515F">
      <w:pPr>
        <w:pStyle w:val="NoSpacing"/>
        <w:rPr>
          <w:rFonts w:ascii="Arial" w:hAnsi="Arial" w:cs="Arial"/>
          <w:sz w:val="20"/>
          <w:szCs w:val="20"/>
        </w:rPr>
      </w:pPr>
      <w:r w:rsidRPr="007A515F">
        <w:rPr>
          <w:rFonts w:ascii="Arial" w:hAnsi="Arial" w:cs="Arial"/>
          <w:sz w:val="20"/>
          <w:szCs w:val="20"/>
        </w:rPr>
        <w:lastRenderedPageBreak/>
        <w:t>7</w:t>
      </w:r>
      <w:r w:rsidR="000D6FA9" w:rsidRPr="007A515F">
        <w:rPr>
          <w:rFonts w:ascii="Arial" w:hAnsi="Arial" w:cs="Arial"/>
          <w:sz w:val="20"/>
          <w:szCs w:val="20"/>
        </w:rPr>
        <w:t>5</w:t>
      </w:r>
      <w:r w:rsidRPr="007A515F">
        <w:rPr>
          <w:rFonts w:ascii="Arial" w:hAnsi="Arial" w:cs="Arial"/>
          <w:sz w:val="20"/>
          <w:szCs w:val="20"/>
        </w:rPr>
        <w:t>. Cameron A, Roubos, I, Ewen M, Mantel-Teewisse AK, Leufkens, HGM, Lainkg RO. Differences in the availability of medicines for chronic and acute conditions in the public and private sectors of developing countries. Bulletin of the World Health Organization 2011; 89:412-421. DOI: 10.2471/BLT.10.084327.</w:t>
      </w:r>
    </w:p>
    <w:p w14:paraId="10B1CFB9" w14:textId="08D1D161" w:rsidR="00104A61" w:rsidRPr="007A515F" w:rsidRDefault="000A1091" w:rsidP="007A515F">
      <w:pPr>
        <w:pStyle w:val="NoSpacing"/>
        <w:rPr>
          <w:rFonts w:ascii="Arial" w:hAnsi="Arial" w:cs="Arial"/>
          <w:sz w:val="20"/>
          <w:szCs w:val="20"/>
        </w:rPr>
      </w:pPr>
      <w:r w:rsidRPr="007A515F">
        <w:rPr>
          <w:rFonts w:ascii="Arial" w:hAnsi="Arial" w:cs="Arial"/>
          <w:sz w:val="20"/>
          <w:szCs w:val="20"/>
        </w:rPr>
        <w:t>7</w:t>
      </w:r>
      <w:r w:rsidR="000D6FA9" w:rsidRPr="007A515F">
        <w:rPr>
          <w:rFonts w:ascii="Arial" w:hAnsi="Arial" w:cs="Arial"/>
          <w:sz w:val="20"/>
          <w:szCs w:val="20"/>
        </w:rPr>
        <w:t>6</w:t>
      </w:r>
      <w:r w:rsidRPr="007A515F">
        <w:rPr>
          <w:rFonts w:ascii="Arial" w:hAnsi="Arial" w:cs="Arial"/>
          <w:sz w:val="20"/>
          <w:szCs w:val="20"/>
        </w:rPr>
        <w:t>. Oliveira MA, Luiza VL, Tavares NUL, Memgue SS, Arrais PSD, Farias MR, et al. Access to medicines for chronic diseases in Brazil: a multidimensional approach. Rev Saúde Publica. 2016;50(suppl 2):6s.</w:t>
      </w:r>
    </w:p>
    <w:p w14:paraId="3E5FF3E1" w14:textId="6614ABB7" w:rsidR="00861577" w:rsidRPr="007A515F" w:rsidRDefault="00861577" w:rsidP="007A515F">
      <w:pPr>
        <w:pStyle w:val="NoSpacing"/>
        <w:rPr>
          <w:rFonts w:ascii="Arial" w:hAnsi="Arial" w:cs="Arial"/>
          <w:sz w:val="20"/>
          <w:szCs w:val="20"/>
        </w:rPr>
      </w:pPr>
      <w:r w:rsidRPr="007A515F">
        <w:rPr>
          <w:rFonts w:ascii="Arial" w:hAnsi="Arial" w:cs="Arial"/>
          <w:sz w:val="20"/>
          <w:szCs w:val="20"/>
        </w:rPr>
        <w:t>**Key paper discussing access to m</w:t>
      </w:r>
      <w:r w:rsidR="00687DE7" w:rsidRPr="007A515F">
        <w:rPr>
          <w:rFonts w:ascii="Arial" w:hAnsi="Arial" w:cs="Arial"/>
          <w:sz w:val="20"/>
          <w:szCs w:val="20"/>
        </w:rPr>
        <w:t>edicines for chronic diseases i</w:t>
      </w:r>
      <w:r w:rsidRPr="007A515F">
        <w:rPr>
          <w:rFonts w:ascii="Arial" w:hAnsi="Arial" w:cs="Arial"/>
          <w:sz w:val="20"/>
          <w:szCs w:val="20"/>
        </w:rPr>
        <w:t>n Brazil</w:t>
      </w:r>
    </w:p>
    <w:p w14:paraId="107AA11C" w14:textId="69BE8AAD" w:rsidR="000A109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t>7</w:t>
      </w:r>
      <w:r w:rsidR="000D6FA9" w:rsidRPr="007A515F">
        <w:rPr>
          <w:rFonts w:ascii="Arial" w:hAnsi="Arial" w:cs="Arial"/>
          <w:sz w:val="20"/>
          <w:szCs w:val="20"/>
          <w:lang w:val="pt-BR"/>
        </w:rPr>
        <w:t>7</w:t>
      </w:r>
      <w:r w:rsidRPr="007A515F">
        <w:rPr>
          <w:rFonts w:ascii="Arial" w:hAnsi="Arial" w:cs="Arial"/>
          <w:sz w:val="20"/>
          <w:szCs w:val="20"/>
          <w:lang w:val="pt-BR"/>
        </w:rPr>
        <w:t xml:space="preserve">. Zucchi, P; Nero, Carlos; Malik, Ana. </w:t>
      </w:r>
      <w:r w:rsidRPr="007A515F">
        <w:rPr>
          <w:rFonts w:ascii="Arial" w:hAnsi="Arial" w:cs="Arial"/>
          <w:sz w:val="20"/>
          <w:szCs w:val="20"/>
        </w:rPr>
        <w:t xml:space="preserve">Health expenditures: demand and supply factors in health services. </w:t>
      </w:r>
      <w:r w:rsidRPr="007A515F">
        <w:rPr>
          <w:rFonts w:ascii="Arial" w:hAnsi="Arial" w:cs="Arial"/>
          <w:sz w:val="20"/>
          <w:szCs w:val="20"/>
          <w:lang w:val="pt-BR"/>
        </w:rPr>
        <w:t xml:space="preserve">Saúde e Sociedade 9(1/2):127-150, 2000. </w:t>
      </w:r>
      <w:r w:rsidR="00727129" w:rsidRPr="007A515F">
        <w:rPr>
          <w:rFonts w:ascii="Arial" w:hAnsi="Arial" w:cs="Arial"/>
          <w:sz w:val="20"/>
          <w:szCs w:val="20"/>
          <w:lang w:val="pt-BR"/>
        </w:rPr>
        <w:t>Available from: http://www.mpgo.mp.br/portalweb/hp/2/docs/gastos_saude_fatores_demanda.pdf</w:t>
      </w:r>
    </w:p>
    <w:p w14:paraId="4B836BCA" w14:textId="4349B448" w:rsidR="000A1091" w:rsidRPr="007A515F" w:rsidRDefault="000A1091" w:rsidP="007A515F">
      <w:pPr>
        <w:pStyle w:val="NoSpacing"/>
        <w:rPr>
          <w:rFonts w:ascii="Arial" w:hAnsi="Arial" w:cs="Arial"/>
          <w:sz w:val="20"/>
          <w:szCs w:val="20"/>
          <w:lang w:val="pt-BR"/>
        </w:rPr>
      </w:pPr>
      <w:r w:rsidRPr="007A515F">
        <w:rPr>
          <w:rFonts w:ascii="Arial" w:hAnsi="Arial" w:cs="Arial"/>
          <w:sz w:val="20"/>
          <w:szCs w:val="20"/>
          <w:lang w:val="pt-BR"/>
        </w:rPr>
        <w:t>7</w:t>
      </w:r>
      <w:r w:rsidR="000D6FA9" w:rsidRPr="007A515F">
        <w:rPr>
          <w:rFonts w:ascii="Arial" w:hAnsi="Arial" w:cs="Arial"/>
          <w:sz w:val="20"/>
          <w:szCs w:val="20"/>
          <w:lang w:val="pt-BR"/>
        </w:rPr>
        <w:t>8</w:t>
      </w:r>
      <w:r w:rsidRPr="007A515F">
        <w:rPr>
          <w:rFonts w:ascii="Arial" w:hAnsi="Arial" w:cs="Arial"/>
          <w:sz w:val="20"/>
          <w:szCs w:val="20"/>
          <w:lang w:val="pt-BR"/>
        </w:rPr>
        <w:t>. Brasil. MINISTÉRIO DA SAÚDE. Lei nº 13.021, de 8 de agosto de 2014.</w:t>
      </w:r>
    </w:p>
    <w:p w14:paraId="0BCAFC34" w14:textId="5692FC5A" w:rsidR="00104A61" w:rsidRPr="007A515F" w:rsidRDefault="000D6FA9" w:rsidP="007A515F">
      <w:pPr>
        <w:pStyle w:val="NoSpacing"/>
        <w:rPr>
          <w:rFonts w:ascii="Arial" w:hAnsi="Arial" w:cs="Arial"/>
          <w:sz w:val="20"/>
          <w:szCs w:val="20"/>
        </w:rPr>
      </w:pPr>
      <w:r w:rsidRPr="007A515F">
        <w:rPr>
          <w:rFonts w:ascii="Arial" w:hAnsi="Arial" w:cs="Arial"/>
          <w:sz w:val="20"/>
          <w:szCs w:val="20"/>
          <w:lang w:val="pt-BR"/>
        </w:rPr>
        <w:t>79</w:t>
      </w:r>
      <w:r w:rsidR="00727129" w:rsidRPr="007A515F">
        <w:rPr>
          <w:rFonts w:ascii="Arial" w:hAnsi="Arial" w:cs="Arial"/>
          <w:sz w:val="20"/>
          <w:szCs w:val="20"/>
          <w:lang w:val="pt-BR"/>
        </w:rPr>
        <w:t>. Brasil. MINISTÉRIO DA SAÚDE.</w:t>
      </w:r>
      <w:r w:rsidR="000A1091" w:rsidRPr="007A515F">
        <w:rPr>
          <w:rFonts w:ascii="Arial" w:hAnsi="Arial" w:cs="Arial"/>
          <w:sz w:val="20"/>
          <w:szCs w:val="20"/>
          <w:lang w:val="pt-BR"/>
        </w:rPr>
        <w:t xml:space="preserve"> ORG</w:t>
      </w:r>
      <w:r w:rsidR="00727129" w:rsidRPr="007A515F">
        <w:rPr>
          <w:rFonts w:ascii="Arial" w:hAnsi="Arial" w:cs="Arial"/>
          <w:sz w:val="20"/>
          <w:szCs w:val="20"/>
          <w:lang w:val="pt-BR"/>
        </w:rPr>
        <w:t>ANIZAÇÃO PAN-AMERICANA DA SAÚDE.</w:t>
      </w:r>
      <w:r w:rsidR="000A1091" w:rsidRPr="007A515F">
        <w:rPr>
          <w:rFonts w:ascii="Arial" w:hAnsi="Arial" w:cs="Arial"/>
          <w:sz w:val="20"/>
          <w:szCs w:val="20"/>
          <w:lang w:val="pt-BR"/>
        </w:rPr>
        <w:t xml:space="preserve"> ORGANIZAÇÃO MUNDIAL DA SAÚDE. Avaliação da assistência farmacêutica no Brasil: estrutura, processo e resulta</w:t>
      </w:r>
      <w:r w:rsidR="00B80E60" w:rsidRPr="007A515F">
        <w:rPr>
          <w:rFonts w:ascii="Arial" w:hAnsi="Arial" w:cs="Arial"/>
          <w:sz w:val="20"/>
          <w:szCs w:val="20"/>
          <w:lang w:val="pt-BR"/>
        </w:rPr>
        <w:t xml:space="preserve">dos. </w:t>
      </w:r>
      <w:r w:rsidR="00B80E60" w:rsidRPr="007A515F">
        <w:rPr>
          <w:rFonts w:ascii="Arial" w:hAnsi="Arial" w:cs="Arial"/>
          <w:sz w:val="20"/>
          <w:szCs w:val="20"/>
        </w:rPr>
        <w:t xml:space="preserve">Brasília: MS; 2005. [access </w:t>
      </w:r>
      <w:r w:rsidR="00687DE7" w:rsidRPr="007A515F">
        <w:rPr>
          <w:rFonts w:ascii="Arial" w:hAnsi="Arial" w:cs="Arial"/>
          <w:sz w:val="20"/>
          <w:szCs w:val="20"/>
        </w:rPr>
        <w:t xml:space="preserve">4 </w:t>
      </w:r>
      <w:r w:rsidR="00B80E60" w:rsidRPr="007A515F">
        <w:rPr>
          <w:rFonts w:ascii="Arial" w:hAnsi="Arial" w:cs="Arial"/>
          <w:sz w:val="20"/>
          <w:szCs w:val="20"/>
        </w:rPr>
        <w:t>may</w:t>
      </w:r>
      <w:r w:rsidR="00687DE7" w:rsidRPr="007A515F">
        <w:rPr>
          <w:rFonts w:ascii="Arial" w:hAnsi="Arial" w:cs="Arial"/>
          <w:sz w:val="20"/>
          <w:szCs w:val="20"/>
        </w:rPr>
        <w:t xml:space="preserve"> 2017]. Available from</w:t>
      </w:r>
      <w:r w:rsidR="000A1091" w:rsidRPr="007A515F">
        <w:rPr>
          <w:rFonts w:ascii="Arial" w:hAnsi="Arial" w:cs="Arial"/>
          <w:sz w:val="20"/>
          <w:szCs w:val="20"/>
        </w:rPr>
        <w:t xml:space="preserve">: </w:t>
      </w:r>
      <w:hyperlink r:id="rId20">
        <w:r w:rsidR="000A1091" w:rsidRPr="007A515F">
          <w:rPr>
            <w:rFonts w:ascii="Arial" w:hAnsi="Arial" w:cs="Arial"/>
            <w:sz w:val="20"/>
            <w:szCs w:val="20"/>
          </w:rPr>
          <w:t>http://www.paho.org/bra/index.php?option=com_docman&amp;task=doc_view&amp;gid=744&amp;Itemid=965</w:t>
        </w:r>
      </w:hyperlink>
      <w:r w:rsidR="000A1091" w:rsidRPr="007A515F">
        <w:rPr>
          <w:rFonts w:ascii="Arial" w:hAnsi="Arial" w:cs="Arial"/>
          <w:sz w:val="20"/>
          <w:szCs w:val="20"/>
        </w:rPr>
        <w:t>.</w:t>
      </w:r>
      <w:r w:rsidR="000A1091" w:rsidRPr="007A515F">
        <w:rPr>
          <w:rFonts w:ascii="Arial" w:hAnsi="Arial" w:cs="Arial"/>
          <w:sz w:val="20"/>
          <w:szCs w:val="20"/>
        </w:rPr>
        <w:tab/>
      </w:r>
    </w:p>
    <w:sectPr w:rsidR="00104A61" w:rsidRPr="007A515F">
      <w:footerReference w:type="default" r:id="rId2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7E11" w14:textId="77777777" w:rsidR="00A34472" w:rsidRDefault="00A34472" w:rsidP="007A515F">
      <w:pPr>
        <w:spacing w:after="0" w:line="240" w:lineRule="auto"/>
      </w:pPr>
      <w:r>
        <w:separator/>
      </w:r>
    </w:p>
  </w:endnote>
  <w:endnote w:type="continuationSeparator" w:id="0">
    <w:p w14:paraId="313645CB" w14:textId="77777777" w:rsidR="00A34472" w:rsidRDefault="00A34472" w:rsidP="007A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112940"/>
      <w:docPartObj>
        <w:docPartGallery w:val="Page Numbers (Bottom of Page)"/>
        <w:docPartUnique/>
      </w:docPartObj>
    </w:sdtPr>
    <w:sdtEndPr>
      <w:rPr>
        <w:noProof/>
      </w:rPr>
    </w:sdtEndPr>
    <w:sdtContent>
      <w:p w14:paraId="5A15A5D8" w14:textId="03015DBA" w:rsidR="007A515F" w:rsidRDefault="007A5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10ABDF" w14:textId="77777777" w:rsidR="007A515F" w:rsidRDefault="007A5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4218" w14:textId="77777777" w:rsidR="00A34472" w:rsidRDefault="00A34472" w:rsidP="007A515F">
      <w:pPr>
        <w:spacing w:after="0" w:line="240" w:lineRule="auto"/>
      </w:pPr>
      <w:r>
        <w:separator/>
      </w:r>
    </w:p>
  </w:footnote>
  <w:footnote w:type="continuationSeparator" w:id="0">
    <w:p w14:paraId="4ECEC734" w14:textId="77777777" w:rsidR="00A34472" w:rsidRDefault="00A34472" w:rsidP="007A5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7039"/>
    <w:multiLevelType w:val="hybridMultilevel"/>
    <w:tmpl w:val="1A26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67229"/>
    <w:multiLevelType w:val="multilevel"/>
    <w:tmpl w:val="BCB01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7A746B"/>
    <w:multiLevelType w:val="hybridMultilevel"/>
    <w:tmpl w:val="023AE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0B2002"/>
    <w:multiLevelType w:val="hybridMultilevel"/>
    <w:tmpl w:val="5B7E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61"/>
    <w:rsid w:val="00021604"/>
    <w:rsid w:val="000252DF"/>
    <w:rsid w:val="00052AD5"/>
    <w:rsid w:val="0005608B"/>
    <w:rsid w:val="00092B14"/>
    <w:rsid w:val="000934DD"/>
    <w:rsid w:val="000A1091"/>
    <w:rsid w:val="000B1AFB"/>
    <w:rsid w:val="000B2271"/>
    <w:rsid w:val="000D6FA9"/>
    <w:rsid w:val="00104A61"/>
    <w:rsid w:val="00141D3A"/>
    <w:rsid w:val="00145466"/>
    <w:rsid w:val="00161810"/>
    <w:rsid w:val="00182CF5"/>
    <w:rsid w:val="00187CFB"/>
    <w:rsid w:val="001F11EB"/>
    <w:rsid w:val="00201E10"/>
    <w:rsid w:val="002529CB"/>
    <w:rsid w:val="002947A3"/>
    <w:rsid w:val="002E2DB2"/>
    <w:rsid w:val="00324A0A"/>
    <w:rsid w:val="003728AE"/>
    <w:rsid w:val="003A61A7"/>
    <w:rsid w:val="003C70EE"/>
    <w:rsid w:val="003F0354"/>
    <w:rsid w:val="0042558E"/>
    <w:rsid w:val="004C755F"/>
    <w:rsid w:val="00563825"/>
    <w:rsid w:val="00590214"/>
    <w:rsid w:val="005F7CF3"/>
    <w:rsid w:val="00607D8B"/>
    <w:rsid w:val="00614C4E"/>
    <w:rsid w:val="00620A47"/>
    <w:rsid w:val="00637AA2"/>
    <w:rsid w:val="00645184"/>
    <w:rsid w:val="00687DE7"/>
    <w:rsid w:val="006B3A2C"/>
    <w:rsid w:val="006C6061"/>
    <w:rsid w:val="00727129"/>
    <w:rsid w:val="007401A5"/>
    <w:rsid w:val="00747E49"/>
    <w:rsid w:val="00774F99"/>
    <w:rsid w:val="00792DC6"/>
    <w:rsid w:val="00796488"/>
    <w:rsid w:val="007A515F"/>
    <w:rsid w:val="007A612F"/>
    <w:rsid w:val="007A7B3D"/>
    <w:rsid w:val="007B2D16"/>
    <w:rsid w:val="007D7892"/>
    <w:rsid w:val="008452F8"/>
    <w:rsid w:val="00846323"/>
    <w:rsid w:val="00861577"/>
    <w:rsid w:val="00872527"/>
    <w:rsid w:val="00895437"/>
    <w:rsid w:val="008B03BB"/>
    <w:rsid w:val="008E7AAB"/>
    <w:rsid w:val="009449B9"/>
    <w:rsid w:val="009A11A8"/>
    <w:rsid w:val="009A3E4D"/>
    <w:rsid w:val="009B7DA0"/>
    <w:rsid w:val="009E367A"/>
    <w:rsid w:val="00A21DA1"/>
    <w:rsid w:val="00A34472"/>
    <w:rsid w:val="00A35610"/>
    <w:rsid w:val="00AD6BDB"/>
    <w:rsid w:val="00AD6F1F"/>
    <w:rsid w:val="00AF7D72"/>
    <w:rsid w:val="00B620EC"/>
    <w:rsid w:val="00B80E60"/>
    <w:rsid w:val="00B95CE5"/>
    <w:rsid w:val="00BA547B"/>
    <w:rsid w:val="00BF669A"/>
    <w:rsid w:val="00C00403"/>
    <w:rsid w:val="00C22DD4"/>
    <w:rsid w:val="00C32943"/>
    <w:rsid w:val="00C827CB"/>
    <w:rsid w:val="00CC1B8E"/>
    <w:rsid w:val="00E571A4"/>
    <w:rsid w:val="00E8726F"/>
    <w:rsid w:val="00E87D19"/>
    <w:rsid w:val="00EA0AA2"/>
    <w:rsid w:val="00ED5323"/>
    <w:rsid w:val="00EE3C5D"/>
    <w:rsid w:val="00F27D16"/>
    <w:rsid w:val="00F53535"/>
    <w:rsid w:val="00F94224"/>
    <w:rsid w:val="00FD2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48F4"/>
  <w15:docId w15:val="{1C604914-8C70-498C-A107-E830161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keepLines/>
      <w:spacing w:before="200" w:after="0"/>
      <w:outlineLvl w:val="2"/>
    </w:pPr>
    <w:rPr>
      <w:b/>
      <w:color w:val="5B9BD5"/>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1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91"/>
    <w:rPr>
      <w:rFonts w:ascii="Segoe UI" w:hAnsi="Segoe UI" w:cs="Segoe UI"/>
      <w:sz w:val="18"/>
      <w:szCs w:val="18"/>
    </w:rPr>
  </w:style>
  <w:style w:type="paragraph" w:styleId="Revision">
    <w:name w:val="Revision"/>
    <w:hidden/>
    <w:uiPriority w:val="99"/>
    <w:semiHidden/>
    <w:rsid w:val="00846323"/>
    <w:pPr>
      <w:spacing w:after="0" w:line="240" w:lineRule="auto"/>
    </w:pPr>
  </w:style>
  <w:style w:type="paragraph" w:styleId="CommentSubject">
    <w:name w:val="annotation subject"/>
    <w:basedOn w:val="CommentText"/>
    <w:next w:val="CommentText"/>
    <w:link w:val="CommentSubjectChar"/>
    <w:uiPriority w:val="99"/>
    <w:semiHidden/>
    <w:unhideWhenUsed/>
    <w:rsid w:val="00846323"/>
    <w:rPr>
      <w:b/>
      <w:bCs/>
    </w:rPr>
  </w:style>
  <w:style w:type="character" w:customStyle="1" w:styleId="CommentSubjectChar">
    <w:name w:val="Comment Subject Char"/>
    <w:basedOn w:val="CommentTextChar"/>
    <w:link w:val="CommentSubject"/>
    <w:uiPriority w:val="99"/>
    <w:semiHidden/>
    <w:rsid w:val="00846323"/>
    <w:rPr>
      <w:b/>
      <w:bCs/>
      <w:sz w:val="20"/>
      <w:szCs w:val="20"/>
    </w:rPr>
  </w:style>
  <w:style w:type="paragraph" w:styleId="ListParagraph">
    <w:name w:val="List Paragraph"/>
    <w:basedOn w:val="Normal"/>
    <w:uiPriority w:val="34"/>
    <w:qFormat/>
    <w:rsid w:val="007401A5"/>
    <w:pPr>
      <w:ind w:left="720"/>
      <w:contextualSpacing/>
    </w:pPr>
  </w:style>
  <w:style w:type="character" w:styleId="Hyperlink">
    <w:name w:val="Hyperlink"/>
    <w:basedOn w:val="DefaultParagraphFont"/>
    <w:uiPriority w:val="99"/>
    <w:unhideWhenUsed/>
    <w:rsid w:val="00727129"/>
    <w:rPr>
      <w:color w:val="0000FF" w:themeColor="hyperlink"/>
      <w:u w:val="single"/>
    </w:rPr>
  </w:style>
  <w:style w:type="character" w:styleId="UnresolvedMention">
    <w:name w:val="Unresolved Mention"/>
    <w:basedOn w:val="DefaultParagraphFont"/>
    <w:uiPriority w:val="99"/>
    <w:semiHidden/>
    <w:unhideWhenUsed/>
    <w:rsid w:val="00161810"/>
    <w:rPr>
      <w:color w:val="605E5C"/>
      <w:shd w:val="clear" w:color="auto" w:fill="E1DFDD"/>
    </w:rPr>
  </w:style>
  <w:style w:type="paragraph" w:styleId="NoSpacing">
    <w:name w:val="No Spacing"/>
    <w:uiPriority w:val="1"/>
    <w:qFormat/>
    <w:rsid w:val="00161810"/>
    <w:pPr>
      <w:spacing w:after="0" w:line="240" w:lineRule="auto"/>
    </w:pPr>
  </w:style>
  <w:style w:type="paragraph" w:styleId="Header">
    <w:name w:val="header"/>
    <w:basedOn w:val="Normal"/>
    <w:link w:val="HeaderChar"/>
    <w:uiPriority w:val="99"/>
    <w:unhideWhenUsed/>
    <w:rsid w:val="007A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5F"/>
  </w:style>
  <w:style w:type="paragraph" w:styleId="Footer">
    <w:name w:val="footer"/>
    <w:basedOn w:val="Normal"/>
    <w:link w:val="FooterChar"/>
    <w:uiPriority w:val="99"/>
    <w:unhideWhenUsed/>
    <w:rsid w:val="007A5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5F"/>
  </w:style>
  <w:style w:type="table" w:styleId="TableGrid">
    <w:name w:val="Table Grid"/>
    <w:basedOn w:val="TableNormal"/>
    <w:uiPriority w:val="39"/>
    <w:rsid w:val="00792DC6"/>
    <w:pPr>
      <w:spacing w:after="0" w:line="240" w:lineRule="auto"/>
    </w:pPr>
    <w:rPr>
      <w:rFonts w:asciiTheme="minorHAnsi" w:eastAsiaTheme="minorHAnsi" w:hAnsiTheme="minorHAnsi" w:cstheme="minorBidi"/>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morgarcia@gmail.com" TargetMode="External"/><Relationship Id="rId13" Type="http://schemas.openxmlformats.org/officeDocument/2006/relationships/hyperlink" Target="mailto:rondinelisilva@ensp.fiocruz.br" TargetMode="External"/><Relationship Id="rId18" Type="http://schemas.openxmlformats.org/officeDocument/2006/relationships/hyperlink" Target="https://dx.doi.org/10.1590/1980-54972015000200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ugustoguerramg@gmail.com" TargetMode="External"/><Relationship Id="rId17" Type="http://schemas.openxmlformats.org/officeDocument/2006/relationships/hyperlink" Target="https://doi.org/10.1590/S1518-8787.2017051007062" TargetMode="External"/><Relationship Id="rId2" Type="http://schemas.openxmlformats.org/officeDocument/2006/relationships/numbering" Target="numbering.xml"/><Relationship Id="rId16" Type="http://schemas.openxmlformats.org/officeDocument/2006/relationships/hyperlink" Target="http://whqlibdoc.who.int/hq/2004/WHO_EDM_2004.4.pdf" TargetMode="External"/><Relationship Id="rId20" Type="http://schemas.openxmlformats.org/officeDocument/2006/relationships/hyperlink" Target="http://www.paho.org/bra/index.php?option=com_docman&amp;task=doc_view&amp;gid=744&amp;Itemid=9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curcio@gmail.com" TargetMode="External"/><Relationship Id="rId5" Type="http://schemas.openxmlformats.org/officeDocument/2006/relationships/webSettings" Target="webSettings.xml"/><Relationship Id="rId15" Type="http://schemas.openxmlformats.org/officeDocument/2006/relationships/hyperlink" Target="mailto:Brian.Godman@ki.se" TargetMode="External"/><Relationship Id="rId23" Type="http://schemas.openxmlformats.org/officeDocument/2006/relationships/theme" Target="theme/theme1.xml"/><Relationship Id="rId10" Type="http://schemas.openxmlformats.org/officeDocument/2006/relationships/hyperlink" Target="mailto:jualvares@gmail.com" TargetMode="External"/><Relationship Id="rId19" Type="http://schemas.openxmlformats.org/officeDocument/2006/relationships/hyperlink" Target="http://www.ufjf.br/nates/files/2009/12/12automedicacao1.pdf" TargetMode="External"/><Relationship Id="rId4" Type="http://schemas.openxmlformats.org/officeDocument/2006/relationships/settings" Target="settings.xml"/><Relationship Id="rId9" Type="http://schemas.openxmlformats.org/officeDocument/2006/relationships/hyperlink" Target="mailto:marianamichelbarbosa@gmail.com" TargetMode="External"/><Relationship Id="rId14" Type="http://schemas.openxmlformats.org/officeDocument/2006/relationships/hyperlink" Target="mailto:edna@est.ufmg.b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37048-B527-4FEE-BCC5-96559DF5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8730</Words>
  <Characters>49766</Characters>
  <Application>Microsoft Office Word</Application>
  <DocSecurity>0</DocSecurity>
  <Lines>414</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dc:creator>
  <cp:lastModifiedBy>Brian Godman</cp:lastModifiedBy>
  <cp:revision>5</cp:revision>
  <dcterms:created xsi:type="dcterms:W3CDTF">2019-06-04T06:57:00Z</dcterms:created>
  <dcterms:modified xsi:type="dcterms:W3CDTF">2019-06-05T12:51:00Z</dcterms:modified>
</cp:coreProperties>
</file>