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790" w:rsidRPr="00F044FD" w:rsidRDefault="00112790" w:rsidP="00112790">
      <w:pPr>
        <w:pStyle w:val="Articletitle"/>
        <w:rPr>
          <w:rFonts w:eastAsia="Calibri"/>
          <w:lang w:val="en-US" w:eastAsia="en-US"/>
        </w:rPr>
      </w:pPr>
      <w:bookmarkStart w:id="0" w:name="_GoBack"/>
      <w:bookmarkEnd w:id="0"/>
      <w:r w:rsidRPr="00F044FD">
        <w:rPr>
          <w:rFonts w:eastAsia="Calibri"/>
          <w:lang w:val="en-US" w:eastAsia="en-US"/>
        </w:rPr>
        <w:t xml:space="preserve">European Union Funds and the </w:t>
      </w:r>
      <w:r w:rsidR="007727F0" w:rsidRPr="00F044FD">
        <w:rPr>
          <w:rFonts w:eastAsia="Calibri"/>
          <w:lang w:val="en-US" w:eastAsia="en-US"/>
        </w:rPr>
        <w:t xml:space="preserve">Assumed </w:t>
      </w:r>
      <w:r w:rsidRPr="00F044FD">
        <w:rPr>
          <w:rFonts w:eastAsia="Calibri"/>
          <w:lang w:val="en-US" w:eastAsia="en-US"/>
        </w:rPr>
        <w:t>Professionalization of Turkish Civil Society Organizations</w:t>
      </w:r>
    </w:p>
    <w:p w:rsidR="00442B9C" w:rsidRPr="00F044FD" w:rsidRDefault="00112790" w:rsidP="009914A5">
      <w:pPr>
        <w:pStyle w:val="Authornames"/>
        <w:rPr>
          <w:lang w:val="en-US"/>
        </w:rPr>
      </w:pPr>
      <w:proofErr w:type="spellStart"/>
      <w:r w:rsidRPr="00F044FD">
        <w:rPr>
          <w:lang w:val="en-US"/>
        </w:rPr>
        <w:t>Özge</w:t>
      </w:r>
      <w:proofErr w:type="spellEnd"/>
      <w:r w:rsidRPr="00F044FD">
        <w:rPr>
          <w:lang w:val="en-US"/>
        </w:rPr>
        <w:t xml:space="preserve"> </w:t>
      </w:r>
      <w:proofErr w:type="spellStart"/>
      <w:r w:rsidRPr="00F044FD">
        <w:rPr>
          <w:lang w:val="en-US"/>
        </w:rPr>
        <w:t>Zihnioğlu</w:t>
      </w:r>
      <w:proofErr w:type="spellEnd"/>
    </w:p>
    <w:p w:rsidR="00997B0F" w:rsidRPr="00F044FD" w:rsidRDefault="00997B0F" w:rsidP="00A2360E">
      <w:pPr>
        <w:pStyle w:val="Affiliation"/>
        <w:rPr>
          <w:lang w:val="en-US"/>
        </w:rPr>
      </w:pPr>
      <w:r w:rsidRPr="00F044FD">
        <w:rPr>
          <w:lang w:val="en-US"/>
        </w:rPr>
        <w:t>Department</w:t>
      </w:r>
      <w:r w:rsidR="00112790" w:rsidRPr="00F044FD">
        <w:rPr>
          <w:lang w:val="en-US"/>
        </w:rPr>
        <w:t xml:space="preserve"> of </w:t>
      </w:r>
      <w:r w:rsidR="008413AC" w:rsidRPr="00F044FD">
        <w:rPr>
          <w:lang w:val="en-US"/>
        </w:rPr>
        <w:t xml:space="preserve">Political Science and </w:t>
      </w:r>
      <w:r w:rsidR="00112790" w:rsidRPr="00F044FD">
        <w:rPr>
          <w:lang w:val="en-US"/>
        </w:rPr>
        <w:t>International Relations</w:t>
      </w:r>
      <w:r w:rsidRPr="00F044FD">
        <w:rPr>
          <w:lang w:val="en-US"/>
        </w:rPr>
        <w:t>,</w:t>
      </w:r>
      <w:r w:rsidR="00112790" w:rsidRPr="00F044FD">
        <w:rPr>
          <w:lang w:val="en-US"/>
        </w:rPr>
        <w:t xml:space="preserve"> </w:t>
      </w:r>
      <w:proofErr w:type="spellStart"/>
      <w:r w:rsidR="008413AC" w:rsidRPr="00F044FD">
        <w:rPr>
          <w:lang w:val="en-US"/>
        </w:rPr>
        <w:t>Bahçeşehir</w:t>
      </w:r>
      <w:proofErr w:type="spellEnd"/>
      <w:r w:rsidR="00F044FD">
        <w:rPr>
          <w:lang w:val="en-US"/>
        </w:rPr>
        <w:t xml:space="preserve"> </w:t>
      </w:r>
      <w:r w:rsidRPr="00F044FD">
        <w:rPr>
          <w:lang w:val="en-US"/>
        </w:rPr>
        <w:t xml:space="preserve">University, </w:t>
      </w:r>
      <w:r w:rsidR="00112790" w:rsidRPr="00F044FD">
        <w:rPr>
          <w:lang w:val="en-US"/>
        </w:rPr>
        <w:t>İstanbul</w:t>
      </w:r>
      <w:r w:rsidRPr="00F044FD">
        <w:rPr>
          <w:lang w:val="en-US"/>
        </w:rPr>
        <w:t xml:space="preserve">, </w:t>
      </w:r>
      <w:r w:rsidR="00112790" w:rsidRPr="00F044FD">
        <w:rPr>
          <w:lang w:val="en-US"/>
        </w:rPr>
        <w:t>Turkey</w:t>
      </w:r>
    </w:p>
    <w:p w:rsidR="000A4428" w:rsidRPr="00F044FD" w:rsidRDefault="008413AC" w:rsidP="00A2360E">
      <w:pPr>
        <w:pStyle w:val="Correspondencedetails"/>
        <w:rPr>
          <w:lang w:val="en-US"/>
        </w:rPr>
      </w:pPr>
      <w:proofErr w:type="spellStart"/>
      <w:r w:rsidRPr="00F044FD">
        <w:rPr>
          <w:lang w:val="en-US"/>
        </w:rPr>
        <w:t>Bahçeşehir</w:t>
      </w:r>
      <w:proofErr w:type="spellEnd"/>
      <w:r w:rsidRPr="00F044FD">
        <w:rPr>
          <w:lang w:val="en-US"/>
        </w:rPr>
        <w:t xml:space="preserve"> University, </w:t>
      </w:r>
      <w:proofErr w:type="spellStart"/>
      <w:r w:rsidRPr="00F044FD">
        <w:rPr>
          <w:lang w:val="en-US"/>
        </w:rPr>
        <w:t>Çırağan</w:t>
      </w:r>
      <w:proofErr w:type="spellEnd"/>
      <w:r w:rsidRPr="00F044FD">
        <w:rPr>
          <w:lang w:val="en-US"/>
        </w:rPr>
        <w:t xml:space="preserve"> </w:t>
      </w:r>
      <w:proofErr w:type="spellStart"/>
      <w:r w:rsidRPr="00F044FD">
        <w:rPr>
          <w:lang w:val="en-US"/>
        </w:rPr>
        <w:t>Caddesi</w:t>
      </w:r>
      <w:proofErr w:type="spellEnd"/>
      <w:r w:rsidRPr="00F044FD">
        <w:rPr>
          <w:lang w:val="en-US"/>
        </w:rPr>
        <w:t xml:space="preserve"> </w:t>
      </w:r>
      <w:proofErr w:type="spellStart"/>
      <w:r w:rsidR="00A969CC" w:rsidRPr="00F044FD">
        <w:rPr>
          <w:lang w:val="en-US"/>
        </w:rPr>
        <w:t>Osmanpaşa</w:t>
      </w:r>
      <w:proofErr w:type="spellEnd"/>
      <w:r w:rsidRPr="00F044FD">
        <w:rPr>
          <w:lang w:val="en-US"/>
        </w:rPr>
        <w:t xml:space="preserve"> </w:t>
      </w:r>
      <w:proofErr w:type="spellStart"/>
      <w:r w:rsidRPr="00F044FD">
        <w:rPr>
          <w:lang w:val="en-US"/>
        </w:rPr>
        <w:t>Mektebi</w:t>
      </w:r>
      <w:proofErr w:type="spellEnd"/>
      <w:r w:rsidRPr="00F044FD">
        <w:rPr>
          <w:lang w:val="en-US"/>
        </w:rPr>
        <w:t xml:space="preserve"> Sokak</w:t>
      </w:r>
      <w:r w:rsidR="00A969CC" w:rsidRPr="00F044FD">
        <w:rPr>
          <w:lang w:val="en-US"/>
        </w:rPr>
        <w:t xml:space="preserve"> No: 4-6 34353</w:t>
      </w:r>
      <w:r w:rsidRPr="00F044FD">
        <w:rPr>
          <w:lang w:val="en-US"/>
        </w:rPr>
        <w:t xml:space="preserve"> Beşiktaş İstanbul Turkey </w:t>
      </w:r>
      <w:r w:rsidR="009F6693" w:rsidRPr="00F044FD">
        <w:rPr>
          <w:lang w:val="en-US"/>
        </w:rPr>
        <w:t>+90 532 580 8398</w:t>
      </w:r>
    </w:p>
    <w:p w:rsidR="003C1849" w:rsidRPr="00F044FD" w:rsidRDefault="003C1849" w:rsidP="005E2EEA">
      <w:pPr>
        <w:pStyle w:val="Notesoncontributors"/>
        <w:rPr>
          <w:b/>
          <w:lang w:val="en-US"/>
        </w:rPr>
      </w:pPr>
      <w:r w:rsidRPr="00F044FD">
        <w:rPr>
          <w:b/>
          <w:lang w:val="en-US"/>
        </w:rPr>
        <w:t>Funding</w:t>
      </w:r>
    </w:p>
    <w:p w:rsidR="003C1849" w:rsidRPr="00F044FD" w:rsidRDefault="003C1849" w:rsidP="005E2EEA">
      <w:pPr>
        <w:pStyle w:val="Notesoncontributors"/>
        <w:rPr>
          <w:lang w:val="en-US"/>
        </w:rPr>
      </w:pPr>
      <w:r w:rsidRPr="00F044FD">
        <w:rPr>
          <w:lang w:val="en-US"/>
        </w:rPr>
        <w:t xml:space="preserve">This work was supported by the </w:t>
      </w:r>
      <w:proofErr w:type="spellStart"/>
      <w:r w:rsidRPr="00F044FD">
        <w:rPr>
          <w:lang w:val="en-US"/>
        </w:rPr>
        <w:t>The</w:t>
      </w:r>
      <w:proofErr w:type="spellEnd"/>
      <w:r w:rsidRPr="00F044FD">
        <w:rPr>
          <w:lang w:val="en-US"/>
        </w:rPr>
        <w:t xml:space="preserve"> Scientific and Technological Research Council of Turkey under Grant 114K774. </w:t>
      </w:r>
    </w:p>
    <w:p w:rsidR="003C1849" w:rsidRPr="00F044FD" w:rsidRDefault="003C1849" w:rsidP="005E2EEA">
      <w:pPr>
        <w:pStyle w:val="Notesoncontributors"/>
        <w:rPr>
          <w:b/>
          <w:lang w:val="en-US"/>
        </w:rPr>
      </w:pPr>
      <w:r w:rsidRPr="00F044FD">
        <w:rPr>
          <w:b/>
          <w:lang w:val="en-US"/>
        </w:rPr>
        <w:t>Disclosure</w:t>
      </w:r>
    </w:p>
    <w:p w:rsidR="003C1849" w:rsidRPr="00F044FD" w:rsidRDefault="003C1849" w:rsidP="005E2EEA">
      <w:pPr>
        <w:pStyle w:val="Notesoncontributors"/>
        <w:rPr>
          <w:lang w:val="en-US"/>
        </w:rPr>
      </w:pPr>
      <w:r w:rsidRPr="00F044FD">
        <w:rPr>
          <w:lang w:val="en-US"/>
        </w:rPr>
        <w:t>No potential conflict of interest was reported by the author</w:t>
      </w:r>
    </w:p>
    <w:p w:rsidR="000E2F9B" w:rsidRPr="00F044FD" w:rsidRDefault="000E2F9B" w:rsidP="005E2EEA">
      <w:pPr>
        <w:pStyle w:val="Notesoncontributors"/>
        <w:rPr>
          <w:b/>
          <w:lang w:val="en-US"/>
        </w:rPr>
      </w:pPr>
      <w:r w:rsidRPr="00F044FD">
        <w:rPr>
          <w:b/>
          <w:lang w:val="en-US"/>
        </w:rPr>
        <w:t>Note on Contributor</w:t>
      </w:r>
    </w:p>
    <w:p w:rsidR="000E2F9B" w:rsidRPr="00F044FD" w:rsidRDefault="004B7E78" w:rsidP="000E2F9B">
      <w:pPr>
        <w:pStyle w:val="Notesoncontributors"/>
        <w:rPr>
          <w:lang w:val="en-US"/>
        </w:rPr>
      </w:pPr>
      <w:r w:rsidRPr="00F044FD">
        <w:rPr>
          <w:lang w:val="en-US"/>
        </w:rPr>
        <w:t xml:space="preserve">Dr. </w:t>
      </w:r>
      <w:proofErr w:type="spellStart"/>
      <w:r w:rsidR="000E2F9B" w:rsidRPr="00F044FD">
        <w:rPr>
          <w:lang w:val="en-US"/>
        </w:rPr>
        <w:t>Özge</w:t>
      </w:r>
      <w:proofErr w:type="spellEnd"/>
      <w:r w:rsidR="000E2F9B" w:rsidRPr="00F044FD">
        <w:rPr>
          <w:lang w:val="en-US"/>
        </w:rPr>
        <w:t xml:space="preserve"> </w:t>
      </w:r>
      <w:proofErr w:type="spellStart"/>
      <w:r w:rsidR="000E2F9B" w:rsidRPr="00F044FD">
        <w:rPr>
          <w:lang w:val="en-US"/>
        </w:rPr>
        <w:t>Zihnioğlu</w:t>
      </w:r>
      <w:proofErr w:type="spellEnd"/>
      <w:r w:rsidR="000E2F9B" w:rsidRPr="00F044FD">
        <w:rPr>
          <w:lang w:val="en-US"/>
        </w:rPr>
        <w:t xml:space="preserve"> is an associate professor in the Department of </w:t>
      </w:r>
      <w:r w:rsidRPr="00F044FD">
        <w:rPr>
          <w:lang w:val="en-US"/>
        </w:rPr>
        <w:t xml:space="preserve">Political Science and </w:t>
      </w:r>
      <w:r w:rsidR="000E2F9B" w:rsidRPr="00F044FD">
        <w:rPr>
          <w:lang w:val="en-US"/>
        </w:rPr>
        <w:t xml:space="preserve">International Relations at </w:t>
      </w:r>
      <w:proofErr w:type="spellStart"/>
      <w:r w:rsidRPr="00F044FD">
        <w:rPr>
          <w:lang w:val="en-US"/>
        </w:rPr>
        <w:t>Bahçeşehir</w:t>
      </w:r>
      <w:proofErr w:type="spellEnd"/>
      <w:r w:rsidR="000E2F9B" w:rsidRPr="00F044FD">
        <w:rPr>
          <w:lang w:val="en-US"/>
        </w:rPr>
        <w:t xml:space="preserve"> University in Turkey. Her main research interests include the EU’s civil</w:t>
      </w:r>
      <w:r w:rsidR="002163E2" w:rsidRPr="00F044FD">
        <w:rPr>
          <w:lang w:val="en-US"/>
        </w:rPr>
        <w:t xml:space="preserve"> </w:t>
      </w:r>
      <w:r w:rsidR="000E2F9B" w:rsidRPr="00F044FD">
        <w:rPr>
          <w:lang w:val="en-US"/>
        </w:rPr>
        <w:t>society policy, Turkish civil society, and Turkey</w:t>
      </w:r>
      <w:r w:rsidRPr="00F044FD">
        <w:rPr>
          <w:lang w:val="en-US"/>
        </w:rPr>
        <w:t xml:space="preserve"> and </w:t>
      </w:r>
      <w:r w:rsidR="000E2F9B" w:rsidRPr="00F044FD">
        <w:rPr>
          <w:lang w:val="en-US"/>
        </w:rPr>
        <w:t>E</w:t>
      </w:r>
      <w:r w:rsidRPr="00F044FD">
        <w:rPr>
          <w:lang w:val="en-US"/>
        </w:rPr>
        <w:t xml:space="preserve">uropean </w:t>
      </w:r>
      <w:r w:rsidR="000E2F9B" w:rsidRPr="00F044FD">
        <w:rPr>
          <w:lang w:val="en-US"/>
        </w:rPr>
        <w:t>U</w:t>
      </w:r>
      <w:r w:rsidRPr="00F044FD">
        <w:rPr>
          <w:lang w:val="en-US"/>
        </w:rPr>
        <w:t>nion</w:t>
      </w:r>
      <w:r w:rsidR="000E2F9B" w:rsidRPr="00F044FD">
        <w:rPr>
          <w:lang w:val="en-US"/>
        </w:rPr>
        <w:t xml:space="preserve"> relations. </w:t>
      </w:r>
      <w:proofErr w:type="spellStart"/>
      <w:r w:rsidR="000E2F9B" w:rsidRPr="00F044FD">
        <w:rPr>
          <w:lang w:val="en-US"/>
        </w:rPr>
        <w:t>Zihnioğlu</w:t>
      </w:r>
      <w:proofErr w:type="spellEnd"/>
      <w:r w:rsidR="000E2F9B" w:rsidRPr="00F044FD">
        <w:rPr>
          <w:lang w:val="en-US"/>
        </w:rPr>
        <w:t xml:space="preserve"> is a member of Carnegie Endowment’s Civic Research Network.</w:t>
      </w:r>
    </w:p>
    <w:p w:rsidR="000E2F9B" w:rsidRPr="00F044FD" w:rsidRDefault="000E2F9B" w:rsidP="005E2EEA">
      <w:pPr>
        <w:pStyle w:val="Notesoncontributors"/>
        <w:rPr>
          <w:lang w:val="en-US"/>
        </w:rPr>
      </w:pPr>
    </w:p>
    <w:p w:rsidR="00112790" w:rsidRPr="00F044FD" w:rsidRDefault="00C14585" w:rsidP="00112790">
      <w:pPr>
        <w:pStyle w:val="Articletitle"/>
        <w:rPr>
          <w:rFonts w:eastAsia="Calibri"/>
          <w:lang w:val="en-US" w:eastAsia="en-US"/>
        </w:rPr>
      </w:pPr>
      <w:r w:rsidRPr="00F044FD">
        <w:rPr>
          <w:lang w:val="en-US"/>
        </w:rPr>
        <w:br w:type="page"/>
      </w:r>
      <w:r w:rsidR="00112790" w:rsidRPr="00F044FD">
        <w:rPr>
          <w:rFonts w:eastAsia="Calibri"/>
          <w:lang w:val="en-US" w:eastAsia="en-US"/>
        </w:rPr>
        <w:lastRenderedPageBreak/>
        <w:t xml:space="preserve">European Union Funds and the </w:t>
      </w:r>
      <w:r w:rsidR="007727F0" w:rsidRPr="00F044FD">
        <w:rPr>
          <w:rFonts w:eastAsia="Calibri"/>
          <w:lang w:val="en-US" w:eastAsia="en-US"/>
        </w:rPr>
        <w:t xml:space="preserve">Assumed </w:t>
      </w:r>
      <w:r w:rsidR="00112790" w:rsidRPr="00F044FD">
        <w:rPr>
          <w:rFonts w:eastAsia="Calibri"/>
          <w:lang w:val="en-US" w:eastAsia="en-US"/>
        </w:rPr>
        <w:t>Professionalization of Turkish Civil Society Organizations</w:t>
      </w:r>
    </w:p>
    <w:p w:rsidR="00163DF0" w:rsidRPr="00F044FD" w:rsidRDefault="009B1F54" w:rsidP="009B1F54">
      <w:pPr>
        <w:pStyle w:val="Abstract"/>
        <w:rPr>
          <w:lang w:val="en-US"/>
        </w:rPr>
      </w:pPr>
      <w:r w:rsidRPr="00F044FD">
        <w:rPr>
          <w:lang w:val="en-US"/>
        </w:rPr>
        <w:t xml:space="preserve">Professionalization effect of foreign funding is one of the prominent issues in </w:t>
      </w:r>
      <w:r w:rsidR="00D03EF9" w:rsidRPr="00F044FD">
        <w:rPr>
          <w:lang w:val="en-US"/>
        </w:rPr>
        <w:t>the</w:t>
      </w:r>
      <w:r w:rsidRPr="00F044FD">
        <w:rPr>
          <w:lang w:val="en-US"/>
        </w:rPr>
        <w:t xml:space="preserve"> </w:t>
      </w:r>
      <w:r w:rsidR="00D03EF9" w:rsidRPr="00F044FD">
        <w:rPr>
          <w:lang w:val="en-US"/>
        </w:rPr>
        <w:t>critical literature on donor and recipient relations</w:t>
      </w:r>
      <w:r w:rsidRPr="00F044FD">
        <w:rPr>
          <w:lang w:val="en-US"/>
        </w:rPr>
        <w:t>. Despite growing attention on this topic, the link between European Union (EU) funding to Turkish civil society organizations (CSOs) and the</w:t>
      </w:r>
      <w:r w:rsidR="00D03EF9" w:rsidRPr="00F044FD">
        <w:rPr>
          <w:lang w:val="en-US"/>
        </w:rPr>
        <w:t>ir</w:t>
      </w:r>
      <w:r w:rsidRPr="00F044FD">
        <w:rPr>
          <w:lang w:val="en-US"/>
        </w:rPr>
        <w:t xml:space="preserve"> professionalization </w:t>
      </w:r>
      <w:r w:rsidR="00D03EF9" w:rsidRPr="00F044FD">
        <w:rPr>
          <w:lang w:val="en-US"/>
        </w:rPr>
        <w:t>remain</w:t>
      </w:r>
      <w:r w:rsidRPr="00F044FD">
        <w:rPr>
          <w:lang w:val="en-US"/>
        </w:rPr>
        <w:t xml:space="preserve"> understudied. </w:t>
      </w:r>
      <w:r w:rsidR="00A30511" w:rsidRPr="00F044FD">
        <w:rPr>
          <w:lang w:val="en-US"/>
        </w:rPr>
        <w:t xml:space="preserve">This article fills this gap. </w:t>
      </w:r>
      <w:r w:rsidRPr="00F044FD">
        <w:rPr>
          <w:lang w:val="en-US"/>
        </w:rPr>
        <w:t xml:space="preserve">Drawing on </w:t>
      </w:r>
      <w:r w:rsidR="005B07F2" w:rsidRPr="00F044FD">
        <w:rPr>
          <w:lang w:val="en-US"/>
        </w:rPr>
        <w:t xml:space="preserve">an </w:t>
      </w:r>
      <w:r w:rsidRPr="00F044FD">
        <w:rPr>
          <w:lang w:val="en-US"/>
        </w:rPr>
        <w:t>original set of interviews with leaders of 45 CSOs in Turkey, this article finds that EU-funded projects have not led to the professionalizatio</w:t>
      </w:r>
      <w:r w:rsidR="00163DF0" w:rsidRPr="00F044FD">
        <w:rPr>
          <w:lang w:val="en-US"/>
        </w:rPr>
        <w:t xml:space="preserve">n of Turkish CSOs. This article </w:t>
      </w:r>
      <w:r w:rsidR="000C519B" w:rsidRPr="00F044FD">
        <w:rPr>
          <w:lang w:val="en-US"/>
        </w:rPr>
        <w:t>suggests</w:t>
      </w:r>
      <w:r w:rsidR="00163DF0" w:rsidRPr="00F044FD">
        <w:rPr>
          <w:lang w:val="en-US"/>
        </w:rPr>
        <w:t xml:space="preserve"> several reasons for this and also discusses the broader impact of EU funds in relation to CSO’s professionalization.</w:t>
      </w:r>
    </w:p>
    <w:p w:rsidR="0020415E" w:rsidRPr="00F044FD" w:rsidRDefault="00997B0F" w:rsidP="00F30DFF">
      <w:pPr>
        <w:pStyle w:val="Keywords"/>
        <w:rPr>
          <w:lang w:val="en-US"/>
        </w:rPr>
      </w:pPr>
      <w:r w:rsidRPr="00F044FD">
        <w:rPr>
          <w:lang w:val="en-US"/>
        </w:rPr>
        <w:t xml:space="preserve">Keywords: </w:t>
      </w:r>
      <w:r w:rsidR="009B1F54" w:rsidRPr="00F044FD">
        <w:rPr>
          <w:lang w:val="en-US"/>
        </w:rPr>
        <w:t>professionalizat</w:t>
      </w:r>
      <w:r w:rsidR="00BC2D6E" w:rsidRPr="00F044FD">
        <w:rPr>
          <w:lang w:val="en-US"/>
        </w:rPr>
        <w:t>ion; NGO-</w:t>
      </w:r>
      <w:proofErr w:type="spellStart"/>
      <w:r w:rsidR="00BC2D6E" w:rsidRPr="00F044FD">
        <w:rPr>
          <w:lang w:val="en-US"/>
        </w:rPr>
        <w:t>ization</w:t>
      </w:r>
      <w:proofErr w:type="spellEnd"/>
      <w:r w:rsidR="00BC2D6E" w:rsidRPr="00F044FD">
        <w:rPr>
          <w:lang w:val="en-US"/>
        </w:rPr>
        <w:t>; civil society</w:t>
      </w:r>
      <w:r w:rsidR="009B1F54" w:rsidRPr="00F044FD">
        <w:rPr>
          <w:lang w:val="en-US"/>
        </w:rPr>
        <w:t>; foreign funding; European Union; Turkey</w:t>
      </w:r>
    </w:p>
    <w:p w:rsidR="009B1F54" w:rsidRPr="00F044FD" w:rsidRDefault="009B1F54" w:rsidP="009B1F54">
      <w:pPr>
        <w:pStyle w:val="Heading1"/>
        <w:rPr>
          <w:rFonts w:eastAsia="Calibri"/>
          <w:lang w:val="en-US" w:eastAsia="en-US"/>
        </w:rPr>
      </w:pPr>
      <w:r w:rsidRPr="00F044FD">
        <w:rPr>
          <w:rFonts w:eastAsia="Calibri"/>
          <w:lang w:val="en-US" w:eastAsia="en-US"/>
        </w:rPr>
        <w:t>Introduction</w:t>
      </w:r>
    </w:p>
    <w:p w:rsidR="00205F3A" w:rsidRPr="00F044FD" w:rsidRDefault="00A166EE" w:rsidP="003F5493">
      <w:pPr>
        <w:pStyle w:val="Newparagraph"/>
        <w:rPr>
          <w:rFonts w:eastAsia="Calibri"/>
          <w:lang w:val="en-US" w:eastAsia="en-US"/>
        </w:rPr>
      </w:pPr>
      <w:r w:rsidRPr="00F044FD">
        <w:rPr>
          <w:rFonts w:eastAsia="Calibri"/>
          <w:lang w:val="en-US" w:eastAsia="en-US"/>
        </w:rPr>
        <w:t>Supporting civil society as part of development assistance and democracy promotion has long been a common practice. Especially since the “associational revolution”</w:t>
      </w:r>
      <w:r w:rsidRPr="00F044FD">
        <w:rPr>
          <w:rFonts w:eastAsia="Calibri"/>
          <w:vertAlign w:val="superscript"/>
          <w:lang w:val="en-US" w:eastAsia="en-US"/>
        </w:rPr>
        <w:endnoteReference w:id="1"/>
      </w:r>
      <w:r w:rsidRPr="00F044FD">
        <w:rPr>
          <w:rFonts w:eastAsia="Calibri"/>
          <w:lang w:val="en-US" w:eastAsia="en-US"/>
        </w:rPr>
        <w:t xml:space="preserve"> of the early 1990s, support from the West</w:t>
      </w:r>
      <w:r w:rsidRPr="00F044FD">
        <w:rPr>
          <w:rFonts w:eastAsia="Calibri"/>
          <w:vertAlign w:val="superscript"/>
          <w:lang w:val="en-US" w:eastAsia="en-US"/>
        </w:rPr>
        <w:endnoteReference w:id="2"/>
      </w:r>
      <w:r w:rsidRPr="00F044FD">
        <w:rPr>
          <w:rFonts w:eastAsia="Calibri"/>
          <w:lang w:val="en-US" w:eastAsia="en-US"/>
        </w:rPr>
        <w:t xml:space="preserve"> to civil society in developing countries has become increasingly more and diverse. </w:t>
      </w:r>
      <w:r w:rsidR="00132E7F" w:rsidRPr="00F044FD">
        <w:rPr>
          <w:rFonts w:eastAsia="Calibri"/>
          <w:lang w:val="en-US" w:eastAsia="en-US"/>
        </w:rPr>
        <w:t>Initially, the literature was dominated by development policy-making community informed by (neo) liberal theory and the practitioners with their bottom-up development model.</w:t>
      </w:r>
      <w:r w:rsidR="00DC71BB" w:rsidRPr="00F044FD">
        <w:rPr>
          <w:rStyle w:val="EndnoteReference"/>
          <w:rFonts w:eastAsia="Calibri"/>
          <w:lang w:val="en-US" w:eastAsia="en-US"/>
        </w:rPr>
        <w:endnoteReference w:id="3"/>
      </w:r>
      <w:r w:rsidR="00132E7F" w:rsidRPr="00F044FD">
        <w:rPr>
          <w:rFonts w:eastAsia="Calibri"/>
          <w:lang w:val="en-US" w:eastAsia="en-US"/>
        </w:rPr>
        <w:t xml:space="preserve"> This changed in the mid-1990s. Since then, a critical literature emerged both from within the civil society community</w:t>
      </w:r>
      <w:r w:rsidR="00041B65" w:rsidRPr="00F044FD">
        <w:rPr>
          <w:rStyle w:val="EndnoteReference"/>
          <w:rFonts w:eastAsia="Calibri"/>
          <w:lang w:val="en-US" w:eastAsia="en-US"/>
        </w:rPr>
        <w:endnoteReference w:id="4"/>
      </w:r>
      <w:r w:rsidR="00132E7F" w:rsidRPr="00F044FD">
        <w:rPr>
          <w:rFonts w:eastAsia="Calibri"/>
          <w:lang w:val="en-US" w:eastAsia="en-US"/>
        </w:rPr>
        <w:t xml:space="preserve"> and from independent academic researchers</w:t>
      </w:r>
      <w:r w:rsidR="00041B65" w:rsidRPr="00F044FD">
        <w:rPr>
          <w:rStyle w:val="EndnoteReference"/>
          <w:rFonts w:eastAsia="Calibri"/>
          <w:lang w:val="en-US" w:eastAsia="en-US"/>
        </w:rPr>
        <w:endnoteReference w:id="5"/>
      </w:r>
      <w:r w:rsidR="00132E7F" w:rsidRPr="00F044FD">
        <w:rPr>
          <w:rFonts w:eastAsia="Calibri"/>
          <w:lang w:val="en-US" w:eastAsia="en-US"/>
        </w:rPr>
        <w:t xml:space="preserve"> who found donor and recipient relations to be far more complex. </w:t>
      </w:r>
      <w:r w:rsidR="009B1F54" w:rsidRPr="00F044FD">
        <w:rPr>
          <w:rFonts w:eastAsia="Calibri"/>
          <w:lang w:val="en-US" w:eastAsia="en-US"/>
        </w:rPr>
        <w:t xml:space="preserve">This article explores the impact of the </w:t>
      </w:r>
      <w:r w:rsidR="003F5493" w:rsidRPr="00F044FD">
        <w:rPr>
          <w:rFonts w:eastAsia="Calibri"/>
          <w:lang w:val="en-US" w:eastAsia="en-US"/>
        </w:rPr>
        <w:t>European Union’s (</w:t>
      </w:r>
      <w:r w:rsidR="009B1F54" w:rsidRPr="00F044FD">
        <w:rPr>
          <w:rFonts w:eastAsia="Calibri"/>
          <w:lang w:val="en-US" w:eastAsia="en-US"/>
        </w:rPr>
        <w:t>EU</w:t>
      </w:r>
      <w:r w:rsidR="003F5493" w:rsidRPr="00F044FD">
        <w:rPr>
          <w:rFonts w:eastAsia="Calibri"/>
          <w:lang w:val="en-US" w:eastAsia="en-US"/>
        </w:rPr>
        <w:t>)</w:t>
      </w:r>
      <w:r w:rsidR="009B1F54" w:rsidRPr="00F044FD">
        <w:rPr>
          <w:rFonts w:eastAsia="Calibri"/>
          <w:lang w:val="en-US" w:eastAsia="en-US"/>
        </w:rPr>
        <w:t xml:space="preserve"> support to Turkish</w:t>
      </w:r>
      <w:r w:rsidR="00EC1BE4" w:rsidRPr="00F044FD">
        <w:rPr>
          <w:rFonts w:eastAsia="Calibri"/>
          <w:lang w:val="en-US" w:eastAsia="en-US"/>
        </w:rPr>
        <w:t xml:space="preserve"> civil society organizations</w:t>
      </w:r>
      <w:r w:rsidR="009B1F54" w:rsidRPr="00F044FD">
        <w:rPr>
          <w:rFonts w:eastAsia="Calibri"/>
          <w:lang w:val="en-US" w:eastAsia="en-US"/>
        </w:rPr>
        <w:t xml:space="preserve"> </w:t>
      </w:r>
      <w:r w:rsidR="00EC1BE4" w:rsidRPr="00F044FD">
        <w:rPr>
          <w:rFonts w:eastAsia="Calibri"/>
          <w:lang w:val="en-US" w:eastAsia="en-US"/>
        </w:rPr>
        <w:t>(</w:t>
      </w:r>
      <w:r w:rsidR="009B1F54" w:rsidRPr="00F044FD">
        <w:rPr>
          <w:rFonts w:eastAsia="Calibri"/>
          <w:lang w:val="en-US" w:eastAsia="en-US"/>
        </w:rPr>
        <w:t>CSOs</w:t>
      </w:r>
      <w:r w:rsidR="00EC1BE4" w:rsidRPr="00F044FD">
        <w:rPr>
          <w:rFonts w:eastAsia="Calibri"/>
          <w:lang w:val="en-US" w:eastAsia="en-US"/>
        </w:rPr>
        <w:t>)</w:t>
      </w:r>
      <w:r w:rsidR="00EC1BE4" w:rsidRPr="00F044FD">
        <w:rPr>
          <w:rFonts w:eastAsia="Calibri"/>
          <w:vertAlign w:val="superscript"/>
          <w:lang w:val="en-US" w:eastAsia="en-US"/>
        </w:rPr>
        <w:endnoteReference w:id="6"/>
      </w:r>
      <w:r w:rsidR="00A53ED4" w:rsidRPr="00F044FD">
        <w:rPr>
          <w:rFonts w:eastAsia="Calibri"/>
          <w:lang w:val="en-US" w:eastAsia="en-US"/>
        </w:rPr>
        <w:t>. M</w:t>
      </w:r>
      <w:r w:rsidR="009B1F54" w:rsidRPr="00F044FD">
        <w:rPr>
          <w:rFonts w:eastAsia="Calibri"/>
          <w:lang w:val="en-US" w:eastAsia="en-US"/>
        </w:rPr>
        <w:t>ore specifically, this article examines whether the EU funds have led to the</w:t>
      </w:r>
      <w:r w:rsidR="006507E1" w:rsidRPr="00F044FD">
        <w:rPr>
          <w:rFonts w:eastAsia="Calibri"/>
          <w:lang w:val="en-US" w:eastAsia="en-US"/>
        </w:rPr>
        <w:t>ir</w:t>
      </w:r>
      <w:r w:rsidR="009B1F54" w:rsidRPr="00F044FD">
        <w:rPr>
          <w:rFonts w:eastAsia="Calibri"/>
          <w:lang w:val="en-US" w:eastAsia="en-US"/>
        </w:rPr>
        <w:t xml:space="preserve"> professionalization. </w:t>
      </w:r>
    </w:p>
    <w:p w:rsidR="007D575E" w:rsidRPr="00F044FD" w:rsidRDefault="007D575E" w:rsidP="00FB48D0">
      <w:pPr>
        <w:pStyle w:val="Newparagraph"/>
        <w:rPr>
          <w:rFonts w:eastAsia="Calibri"/>
          <w:lang w:val="en-US" w:eastAsia="en-US"/>
        </w:rPr>
      </w:pPr>
      <w:r w:rsidRPr="00F044FD">
        <w:rPr>
          <w:rFonts w:eastAsia="Calibri"/>
          <w:lang w:val="en-US" w:eastAsia="en-US"/>
        </w:rPr>
        <w:lastRenderedPageBreak/>
        <w:t xml:space="preserve">There is no commonly accepted definition of professionalization in the literature. </w:t>
      </w:r>
      <w:r w:rsidRPr="00FB48D0">
        <w:rPr>
          <w:lang w:val="en-US"/>
        </w:rPr>
        <w:t>For some, professionalization refers to a process bringing CSOs closer to the workings of the state.</w:t>
      </w:r>
      <w:r w:rsidRPr="00FB48D0">
        <w:rPr>
          <w:rStyle w:val="EndnoteReference"/>
          <w:lang w:val="en-US"/>
        </w:rPr>
        <w:endnoteReference w:id="7"/>
      </w:r>
      <w:r w:rsidRPr="00FB48D0">
        <w:rPr>
          <w:lang w:val="en-US"/>
        </w:rPr>
        <w:t xml:space="preserve"> This understan</w:t>
      </w:r>
      <w:r w:rsidR="00A41D10" w:rsidRPr="00FB48D0">
        <w:rPr>
          <w:lang w:val="en-US"/>
        </w:rPr>
        <w:t>ding often sees professionalization as</w:t>
      </w:r>
      <w:r w:rsidRPr="00FB48D0">
        <w:rPr>
          <w:lang w:val="en-US"/>
        </w:rPr>
        <w:t xml:space="preserve"> an enhancement of CSOs’ managerial capabilities and their functioning as government’s technical agencies.</w:t>
      </w:r>
      <w:r w:rsidRPr="00FB48D0">
        <w:rPr>
          <w:rStyle w:val="EndnoteReference"/>
          <w:lang w:val="en-US"/>
        </w:rPr>
        <w:endnoteReference w:id="8"/>
      </w:r>
      <w:r w:rsidRPr="00FB48D0">
        <w:rPr>
          <w:lang w:val="en-US"/>
        </w:rPr>
        <w:t xml:space="preserve"> The critical literature takes such managerialism pejoratively and defines professionalism in relation to its impact on members, base and activities. Accordingly, professionalization is typically characterized as having functionally specialized, paid, professional staff and, sometimes, a li</w:t>
      </w:r>
      <w:r w:rsidR="00803EDD" w:rsidRPr="00FB48D0">
        <w:rPr>
          <w:lang w:val="en-US"/>
        </w:rPr>
        <w:t>mited set of volunteers, receiving</w:t>
      </w:r>
      <w:r w:rsidRPr="00FB48D0">
        <w:rPr>
          <w:lang w:val="en-US"/>
        </w:rPr>
        <w:t xml:space="preserve"> funding from </w:t>
      </w:r>
      <w:r w:rsidR="008B13E7">
        <w:rPr>
          <w:lang w:val="en-US"/>
        </w:rPr>
        <w:t>international</w:t>
      </w:r>
      <w:r w:rsidRPr="00FB48D0">
        <w:rPr>
          <w:lang w:val="en-US"/>
        </w:rPr>
        <w:t xml:space="preserve"> agencies and</w:t>
      </w:r>
      <w:r w:rsidR="00803EDD" w:rsidRPr="00FB48D0">
        <w:rPr>
          <w:lang w:val="en-US"/>
        </w:rPr>
        <w:t xml:space="preserve"> private foundations, and engaging</w:t>
      </w:r>
      <w:r w:rsidRPr="00FB48D0">
        <w:rPr>
          <w:lang w:val="en-US"/>
        </w:rPr>
        <w:t xml:space="preserve"> in pragmatic, strategic planning to develop reports or projects aimed at influencing public policies and/or providing advice.</w:t>
      </w:r>
      <w:r w:rsidRPr="00FB48D0">
        <w:rPr>
          <w:rStyle w:val="EndnoteReference"/>
          <w:lang w:val="en-US"/>
        </w:rPr>
        <w:endnoteReference w:id="9"/>
      </w:r>
      <w:r w:rsidRPr="00FB48D0">
        <w:rPr>
          <w:lang w:val="en-US"/>
        </w:rPr>
        <w:t xml:space="preserve"> This erodes the participatory approaches and weakens the organizations’ local ties.</w:t>
      </w:r>
      <w:r w:rsidRPr="00FB48D0">
        <w:rPr>
          <w:rStyle w:val="EndnoteReference"/>
          <w:lang w:val="en-US"/>
        </w:rPr>
        <w:endnoteReference w:id="10"/>
      </w:r>
      <w:r w:rsidRPr="00FB48D0">
        <w:rPr>
          <w:lang w:val="en-US"/>
        </w:rPr>
        <w:t xml:space="preserve"> This article approaches the topic from within the critical literature and </w:t>
      </w:r>
      <w:r w:rsidRPr="00F044FD">
        <w:rPr>
          <w:rFonts w:eastAsia="Calibri"/>
          <w:lang w:val="en-US" w:eastAsia="en-US"/>
        </w:rPr>
        <w:t xml:space="preserve">defines professionalization as the gradual replacement of volunteers with paid (professional) staff in designing and implementing activities and projects of the organization. </w:t>
      </w:r>
    </w:p>
    <w:p w:rsidR="009B1F54" w:rsidRPr="00F044FD" w:rsidRDefault="009B1F54" w:rsidP="00DA6470">
      <w:pPr>
        <w:pStyle w:val="Newparagraph"/>
        <w:rPr>
          <w:rFonts w:eastAsia="Calibri"/>
          <w:lang w:val="en-US" w:eastAsia="en-US"/>
        </w:rPr>
      </w:pPr>
      <w:r w:rsidRPr="00F044FD">
        <w:rPr>
          <w:rFonts w:eastAsia="Calibri"/>
          <w:lang w:val="en-US" w:eastAsia="en-US"/>
        </w:rPr>
        <w:t xml:space="preserve">This is an </w:t>
      </w:r>
      <w:r w:rsidR="00604B45" w:rsidRPr="00F044FD">
        <w:rPr>
          <w:rFonts w:eastAsia="Calibri"/>
          <w:lang w:val="en-US" w:eastAsia="en-US"/>
        </w:rPr>
        <w:t>important case first because the professionalization may have broader implications and shape CSOs in certain ways (e.g.</w:t>
      </w:r>
      <w:r w:rsidR="00A41D10" w:rsidRPr="00F044FD">
        <w:rPr>
          <w:rFonts w:eastAsia="Calibri"/>
          <w:lang w:val="en-US" w:eastAsia="en-US"/>
        </w:rPr>
        <w:t>,</w:t>
      </w:r>
      <w:r w:rsidR="00604B45" w:rsidRPr="00F044FD">
        <w:rPr>
          <w:rFonts w:eastAsia="Calibri"/>
          <w:lang w:val="en-US" w:eastAsia="en-US"/>
        </w:rPr>
        <w:t xml:space="preserve"> relations with members or grassroots if any).</w:t>
      </w:r>
      <w:r w:rsidRPr="00F044FD">
        <w:rPr>
          <w:rFonts w:eastAsia="Calibri"/>
          <w:color w:val="FF0000"/>
          <w:lang w:val="en-US" w:eastAsia="en-US"/>
        </w:rPr>
        <w:t xml:space="preserve"> </w:t>
      </w:r>
      <w:r w:rsidR="00604B45" w:rsidRPr="00F044FD">
        <w:rPr>
          <w:rFonts w:eastAsia="Calibri"/>
          <w:lang w:val="en-US" w:eastAsia="en-US"/>
        </w:rPr>
        <w:t>Second</w:t>
      </w:r>
      <w:r w:rsidRPr="00F044FD">
        <w:rPr>
          <w:rFonts w:eastAsia="Calibri"/>
          <w:lang w:val="en-US" w:eastAsia="en-US"/>
        </w:rPr>
        <w:t xml:space="preserve">, </w:t>
      </w:r>
      <w:r w:rsidR="003F5493" w:rsidRPr="00F044FD">
        <w:rPr>
          <w:rFonts w:eastAsia="Calibri"/>
          <w:lang w:val="en-US" w:eastAsia="en-US"/>
        </w:rPr>
        <w:t>the EU has been providing a substantial amount of financial and organizational resources to CSOs in a vast array of countries.</w:t>
      </w:r>
      <w:r w:rsidR="003F5493" w:rsidRPr="00F044FD">
        <w:rPr>
          <w:rFonts w:eastAsia="Calibri"/>
          <w:vertAlign w:val="superscript"/>
          <w:lang w:val="en-US" w:eastAsia="en-US"/>
        </w:rPr>
        <w:endnoteReference w:id="11"/>
      </w:r>
      <w:r w:rsidR="003F5493" w:rsidRPr="00F044FD">
        <w:rPr>
          <w:rFonts w:eastAsia="Calibri"/>
          <w:lang w:val="en-US" w:eastAsia="en-US"/>
        </w:rPr>
        <w:t xml:space="preserve"> However, </w:t>
      </w:r>
      <w:r w:rsidRPr="00F044FD">
        <w:rPr>
          <w:rFonts w:eastAsia="Calibri"/>
          <w:lang w:val="en-US" w:eastAsia="en-US"/>
        </w:rPr>
        <w:t>the overall impact of EU funding in the context of professionalization is understudied with only a few cases looking at central and eastern European countries</w:t>
      </w:r>
      <w:r w:rsidR="00205F3A" w:rsidRPr="00F044FD">
        <w:rPr>
          <w:rFonts w:eastAsia="Calibri"/>
          <w:lang w:val="en-US" w:eastAsia="en-US"/>
        </w:rPr>
        <w:t>. These studies either focus</w:t>
      </w:r>
      <w:r w:rsidRPr="00F044FD">
        <w:rPr>
          <w:rFonts w:eastAsia="Calibri"/>
          <w:lang w:val="en-US" w:eastAsia="en-US"/>
        </w:rPr>
        <w:t xml:space="preserve"> more broadly on NGO-</w:t>
      </w:r>
      <w:proofErr w:type="spellStart"/>
      <w:r w:rsidRPr="00F044FD">
        <w:rPr>
          <w:rFonts w:eastAsia="Calibri"/>
          <w:lang w:val="en-US" w:eastAsia="en-US"/>
        </w:rPr>
        <w:t>ization</w:t>
      </w:r>
      <w:proofErr w:type="spellEnd"/>
      <w:r w:rsidRPr="00F044FD">
        <w:rPr>
          <w:rFonts w:eastAsia="Calibri"/>
          <w:vertAlign w:val="superscript"/>
          <w:lang w:val="en-US" w:eastAsia="en-US"/>
        </w:rPr>
        <w:endnoteReference w:id="12"/>
      </w:r>
      <w:r w:rsidRPr="00F044FD">
        <w:rPr>
          <w:rFonts w:eastAsia="Calibri"/>
          <w:lang w:val="en-US" w:eastAsia="en-US"/>
        </w:rPr>
        <w:t xml:space="preserve"> or </w:t>
      </w:r>
      <w:r w:rsidR="00205F3A" w:rsidRPr="00F044FD">
        <w:rPr>
          <w:rFonts w:eastAsia="Calibri"/>
          <w:lang w:val="en-US" w:eastAsia="en-US"/>
        </w:rPr>
        <w:t xml:space="preserve">the EU funds’ </w:t>
      </w:r>
      <w:r w:rsidRPr="00F044FD">
        <w:rPr>
          <w:rFonts w:eastAsia="Calibri"/>
          <w:lang w:val="en-US" w:eastAsia="en-US"/>
        </w:rPr>
        <w:t>link to the depoliticization of CSOs.</w:t>
      </w:r>
      <w:r w:rsidRPr="00F044FD">
        <w:rPr>
          <w:rFonts w:eastAsia="Calibri"/>
          <w:vertAlign w:val="superscript"/>
          <w:lang w:val="en-US" w:eastAsia="en-US"/>
        </w:rPr>
        <w:endnoteReference w:id="13"/>
      </w:r>
      <w:r w:rsidRPr="00F044FD">
        <w:rPr>
          <w:rFonts w:eastAsia="Calibri"/>
          <w:lang w:val="en-US" w:eastAsia="en-US"/>
        </w:rPr>
        <w:t xml:space="preserve"> </w:t>
      </w:r>
      <w:r w:rsidR="00604B45" w:rsidRPr="00F044FD">
        <w:rPr>
          <w:rFonts w:eastAsia="Calibri"/>
          <w:lang w:val="en-US" w:eastAsia="en-US"/>
        </w:rPr>
        <w:t>Third</w:t>
      </w:r>
      <w:r w:rsidRPr="00F044FD">
        <w:rPr>
          <w:rFonts w:eastAsia="Calibri"/>
          <w:lang w:val="en-US" w:eastAsia="en-US"/>
        </w:rPr>
        <w:t xml:space="preserve">, the EU has been supporting Turkish CSOs for a long time. Especially since the EU’s acceptance of Turkey’s candidacy in 1999, EU funds make up one of the largest financial support Turkish civil society receives. A number of studies developed a more </w:t>
      </w:r>
      <w:r w:rsidRPr="00F044FD">
        <w:rPr>
          <w:rFonts w:eastAsia="Calibri"/>
          <w:lang w:val="en-US" w:eastAsia="en-US"/>
        </w:rPr>
        <w:lastRenderedPageBreak/>
        <w:t>critical approach to EU support to Turkish civil society. These studies criticized the scope of EU funds,</w:t>
      </w:r>
      <w:r w:rsidRPr="00F044FD">
        <w:rPr>
          <w:rFonts w:eastAsia="Calibri"/>
          <w:vertAlign w:val="superscript"/>
          <w:lang w:val="en-US" w:eastAsia="en-US"/>
        </w:rPr>
        <w:endnoteReference w:id="14"/>
      </w:r>
      <w:r w:rsidRPr="00F044FD">
        <w:rPr>
          <w:rFonts w:eastAsia="Calibri"/>
          <w:lang w:val="en-US" w:eastAsia="en-US"/>
        </w:rPr>
        <w:t xml:space="preserve"> questioned the impact of EU incentives</w:t>
      </w:r>
      <w:r w:rsidRPr="00F044FD">
        <w:rPr>
          <w:rFonts w:eastAsia="Calibri"/>
          <w:vertAlign w:val="superscript"/>
          <w:lang w:val="en-US" w:eastAsia="en-US"/>
        </w:rPr>
        <w:endnoteReference w:id="15"/>
      </w:r>
      <w:r w:rsidRPr="00F044FD">
        <w:rPr>
          <w:rFonts w:eastAsia="Calibri"/>
          <w:lang w:val="en-US" w:eastAsia="en-US"/>
        </w:rPr>
        <w:t xml:space="preserve"> and more recently discussed this issue in relation to Turkey’s de-Europeanization</w:t>
      </w:r>
      <w:r w:rsidRPr="00F044FD">
        <w:rPr>
          <w:rFonts w:eastAsia="Calibri"/>
          <w:vertAlign w:val="superscript"/>
          <w:lang w:val="en-US" w:eastAsia="en-US"/>
        </w:rPr>
        <w:endnoteReference w:id="16"/>
      </w:r>
      <w:r w:rsidRPr="00F044FD">
        <w:rPr>
          <w:rFonts w:eastAsia="Calibri"/>
          <w:lang w:val="en-US" w:eastAsia="en-US"/>
        </w:rPr>
        <w:t xml:space="preserve"> and depoliticization.</w:t>
      </w:r>
      <w:r w:rsidRPr="00F044FD">
        <w:rPr>
          <w:rFonts w:eastAsia="Calibri"/>
          <w:vertAlign w:val="superscript"/>
          <w:lang w:val="en-US" w:eastAsia="en-US"/>
        </w:rPr>
        <w:endnoteReference w:id="17"/>
      </w:r>
      <w:r w:rsidRPr="00F044FD">
        <w:rPr>
          <w:rFonts w:eastAsia="Calibri"/>
          <w:lang w:val="en-US" w:eastAsia="en-US"/>
        </w:rPr>
        <w:t xml:space="preserve">  The professionalization effect of EU funds has been raised only as part of broader analyses on the impact of EU funds over Turkish civil society.</w:t>
      </w:r>
      <w:r w:rsidRPr="00F044FD">
        <w:rPr>
          <w:rFonts w:eastAsia="Calibri"/>
          <w:vertAlign w:val="superscript"/>
          <w:lang w:val="en-US" w:eastAsia="en-US"/>
        </w:rPr>
        <w:endnoteReference w:id="18"/>
      </w:r>
    </w:p>
    <w:p w:rsidR="009B1F54" w:rsidRPr="00F044FD" w:rsidRDefault="009B1F54" w:rsidP="009B1F54">
      <w:pPr>
        <w:pStyle w:val="Newparagraph"/>
        <w:rPr>
          <w:rFonts w:eastAsia="Calibri"/>
          <w:lang w:val="en-US" w:eastAsia="en-US"/>
        </w:rPr>
      </w:pPr>
      <w:r w:rsidRPr="00F044FD">
        <w:rPr>
          <w:rFonts w:eastAsia="Calibri"/>
          <w:lang w:val="en-US" w:eastAsia="en-US"/>
        </w:rPr>
        <w:t>The professionalization of Turkish CSOs and what, if any, links there are to EU funding is yet to be explored. This article does just</w:t>
      </w:r>
      <w:r w:rsidR="007B3297" w:rsidRPr="00F044FD">
        <w:rPr>
          <w:rFonts w:eastAsia="Calibri"/>
          <w:lang w:val="en-US" w:eastAsia="en-US"/>
        </w:rPr>
        <w:t xml:space="preserve"> that</w:t>
      </w:r>
      <w:r w:rsidR="0091154C" w:rsidRPr="00F044FD">
        <w:rPr>
          <w:rFonts w:eastAsia="Calibri"/>
          <w:lang w:val="en-US" w:eastAsia="en-US"/>
        </w:rPr>
        <w:t xml:space="preserve">. In addition, </w:t>
      </w:r>
      <w:r w:rsidR="00A41D10" w:rsidRPr="00F044FD">
        <w:rPr>
          <w:rFonts w:eastAsia="Calibri"/>
          <w:lang w:val="en-US" w:eastAsia="en-US"/>
        </w:rPr>
        <w:t>this article examines</w:t>
      </w:r>
      <w:r w:rsidR="0091154C" w:rsidRPr="00F044FD">
        <w:rPr>
          <w:rFonts w:eastAsia="Calibri"/>
          <w:lang w:val="en-US" w:eastAsia="en-US"/>
        </w:rPr>
        <w:t xml:space="preserve"> professionalization within </w:t>
      </w:r>
      <w:r w:rsidR="00034569" w:rsidRPr="00F044FD">
        <w:rPr>
          <w:rFonts w:eastAsia="Calibri"/>
          <w:lang w:val="en-US" w:eastAsia="en-US"/>
        </w:rPr>
        <w:t xml:space="preserve">the </w:t>
      </w:r>
      <w:r w:rsidR="0091154C" w:rsidRPr="00F044FD">
        <w:rPr>
          <w:rFonts w:eastAsia="Calibri"/>
          <w:lang w:val="en-US" w:eastAsia="en-US"/>
        </w:rPr>
        <w:t xml:space="preserve">context of CSOs’ broader relations with </w:t>
      </w:r>
      <w:r w:rsidR="00205F3A" w:rsidRPr="00F044FD">
        <w:rPr>
          <w:rFonts w:eastAsia="Calibri"/>
          <w:lang w:val="en-US" w:eastAsia="en-US"/>
        </w:rPr>
        <w:t>their</w:t>
      </w:r>
      <w:r w:rsidR="0091154C" w:rsidRPr="00F044FD">
        <w:rPr>
          <w:rFonts w:eastAsia="Calibri"/>
          <w:lang w:val="en-US" w:eastAsia="en-US"/>
        </w:rPr>
        <w:t xml:space="preserve"> members, </w:t>
      </w:r>
      <w:r w:rsidR="00205F3A" w:rsidRPr="00F044FD">
        <w:rPr>
          <w:rFonts w:eastAsia="Calibri"/>
          <w:lang w:val="en-US" w:eastAsia="en-US"/>
        </w:rPr>
        <w:t xml:space="preserve">their </w:t>
      </w:r>
      <w:r w:rsidR="0091154C" w:rsidRPr="00F044FD">
        <w:rPr>
          <w:rFonts w:eastAsia="Calibri"/>
          <w:lang w:val="en-US" w:eastAsia="en-US"/>
        </w:rPr>
        <w:t>links to grassroots and society. B</w:t>
      </w:r>
      <w:r w:rsidRPr="00F044FD">
        <w:rPr>
          <w:rFonts w:eastAsia="Calibri"/>
          <w:lang w:val="en-US" w:eastAsia="en-US"/>
        </w:rPr>
        <w:t xml:space="preserve">y doing so, </w:t>
      </w:r>
      <w:r w:rsidR="00205F3A" w:rsidRPr="00F044FD">
        <w:rPr>
          <w:rFonts w:eastAsia="Calibri"/>
          <w:lang w:val="en-US" w:eastAsia="en-US"/>
        </w:rPr>
        <w:t xml:space="preserve">this article </w:t>
      </w:r>
      <w:r w:rsidRPr="00F044FD">
        <w:rPr>
          <w:rFonts w:eastAsia="Calibri"/>
          <w:lang w:val="en-US" w:eastAsia="en-US"/>
        </w:rPr>
        <w:t xml:space="preserve">provides insights not only on the impact of EU funding to Turkish CSOs but </w:t>
      </w:r>
      <w:r w:rsidR="00A41D10" w:rsidRPr="00F044FD">
        <w:rPr>
          <w:rFonts w:eastAsia="Calibri"/>
          <w:lang w:val="en-US" w:eastAsia="en-US"/>
        </w:rPr>
        <w:t>also</w:t>
      </w:r>
      <w:r w:rsidRPr="00F044FD">
        <w:rPr>
          <w:rFonts w:eastAsia="Calibri"/>
          <w:lang w:val="en-US" w:eastAsia="en-US"/>
        </w:rPr>
        <w:t xml:space="preserve"> into the literature on </w:t>
      </w:r>
      <w:r w:rsidR="00242D8C" w:rsidRPr="00F044FD">
        <w:rPr>
          <w:rFonts w:eastAsia="Calibri"/>
          <w:lang w:val="en-US" w:eastAsia="en-US"/>
        </w:rPr>
        <w:t>Turkish civil society</w:t>
      </w:r>
      <w:r w:rsidRPr="00F044FD">
        <w:rPr>
          <w:rFonts w:eastAsia="Calibri"/>
          <w:lang w:val="en-US" w:eastAsia="en-US"/>
        </w:rPr>
        <w:t>. In contrast with the literature, this article argues that EU funds do not lead to the prof</w:t>
      </w:r>
      <w:r w:rsidR="00331285" w:rsidRPr="00F044FD">
        <w:rPr>
          <w:rFonts w:eastAsia="Calibri"/>
          <w:lang w:val="en-US" w:eastAsia="en-US"/>
        </w:rPr>
        <w:t>essionalization of Turkish CSOs</w:t>
      </w:r>
      <w:r w:rsidRPr="00F044FD">
        <w:rPr>
          <w:rFonts w:eastAsia="Calibri"/>
          <w:lang w:val="en-US" w:eastAsia="en-US"/>
        </w:rPr>
        <w:t xml:space="preserve">. This article draws from my original interviews with the leaders of 45 </w:t>
      </w:r>
      <w:r w:rsidR="005510E0" w:rsidRPr="00F044FD">
        <w:rPr>
          <w:rFonts w:eastAsia="Calibri"/>
          <w:lang w:val="en-US" w:eastAsia="en-US"/>
        </w:rPr>
        <w:t>CSOs</w:t>
      </w:r>
      <w:r w:rsidR="0044498C" w:rsidRPr="00F044FD">
        <w:rPr>
          <w:rFonts w:eastAsia="Calibri"/>
          <w:lang w:val="en-US" w:eastAsia="en-US"/>
        </w:rPr>
        <w:t xml:space="preserve"> </w:t>
      </w:r>
      <w:r w:rsidRPr="00F044FD">
        <w:rPr>
          <w:rFonts w:eastAsia="Calibri"/>
          <w:lang w:val="en-US" w:eastAsia="en-US"/>
        </w:rPr>
        <w:t>in Turkey and works within insights offered in civil society literature</w:t>
      </w:r>
      <w:r w:rsidR="00803EDD">
        <w:rPr>
          <w:rFonts w:eastAsia="Calibri"/>
          <w:lang w:val="en-US" w:eastAsia="en-US"/>
        </w:rPr>
        <w:t xml:space="preserve"> and Resource Dependency Theory.</w:t>
      </w:r>
    </w:p>
    <w:p w:rsidR="00BB4BEF" w:rsidRPr="00F044FD" w:rsidRDefault="00BB4BEF" w:rsidP="009B1F54">
      <w:pPr>
        <w:pStyle w:val="Newparagraph"/>
        <w:rPr>
          <w:rFonts w:eastAsia="Calibri"/>
          <w:lang w:val="en-US" w:eastAsia="en-US"/>
        </w:rPr>
      </w:pPr>
    </w:p>
    <w:p w:rsidR="003A04B2" w:rsidRPr="00F044FD" w:rsidRDefault="003A04B2" w:rsidP="003A04B2">
      <w:pPr>
        <w:rPr>
          <w:b/>
          <w:lang w:val="en-US"/>
        </w:rPr>
      </w:pPr>
      <w:r w:rsidRPr="00F044FD">
        <w:rPr>
          <w:b/>
          <w:lang w:val="en-US"/>
        </w:rPr>
        <w:t>Resource Dependency Theory</w:t>
      </w:r>
    </w:p>
    <w:p w:rsidR="003A04B2" w:rsidRPr="00F044FD" w:rsidRDefault="003A04B2" w:rsidP="003A04B2">
      <w:pPr>
        <w:rPr>
          <w:lang w:val="en-US"/>
        </w:rPr>
      </w:pPr>
      <w:r w:rsidRPr="00F044FD">
        <w:rPr>
          <w:lang w:val="en-US"/>
        </w:rPr>
        <w:t xml:space="preserve">The conceptual framework in this article draws on Resource Dependency Theory (RDT). RDT, initially formulated by Pfeffer and </w:t>
      </w:r>
      <w:proofErr w:type="spellStart"/>
      <w:r w:rsidRPr="00F044FD">
        <w:rPr>
          <w:lang w:val="en-US"/>
        </w:rPr>
        <w:t>Salancik</w:t>
      </w:r>
      <w:proofErr w:type="spellEnd"/>
      <w:r w:rsidRPr="00F044FD">
        <w:rPr>
          <w:lang w:val="en-US"/>
        </w:rPr>
        <w:t>,</w:t>
      </w:r>
      <w:r w:rsidRPr="00F044FD">
        <w:rPr>
          <w:rStyle w:val="EndnoteReference"/>
          <w:lang w:val="en-US"/>
        </w:rPr>
        <w:endnoteReference w:id="19"/>
      </w:r>
      <w:r w:rsidRPr="00F044FD">
        <w:rPr>
          <w:lang w:val="en-US"/>
        </w:rPr>
        <w:t xml:space="preserve"> explains how organizations respond to pressures from external environment and therefore provides a useful framework to understand EU funds’ impact on Turkish CSOs.</w:t>
      </w:r>
    </w:p>
    <w:p w:rsidR="003A04B2" w:rsidRPr="00F044FD" w:rsidRDefault="003A04B2" w:rsidP="003A04B2">
      <w:pPr>
        <w:ind w:firstLine="708"/>
        <w:rPr>
          <w:lang w:val="en-US"/>
        </w:rPr>
      </w:pPr>
      <w:r w:rsidRPr="00F044FD">
        <w:rPr>
          <w:lang w:val="en-US"/>
        </w:rPr>
        <w:t xml:space="preserve">RDT has two main tenets. First, RDT sees an organization as part of its environment. </w:t>
      </w:r>
      <w:r w:rsidR="005C72CE" w:rsidRPr="00F044FD">
        <w:rPr>
          <w:lang w:val="en-US"/>
        </w:rPr>
        <w:t>Explaining</w:t>
      </w:r>
      <w:r w:rsidRPr="00F044FD">
        <w:rPr>
          <w:lang w:val="en-US"/>
        </w:rPr>
        <w:t xml:space="preserve"> an organization</w:t>
      </w:r>
      <w:r w:rsidR="005C72CE" w:rsidRPr="00F044FD">
        <w:rPr>
          <w:lang w:val="en-US"/>
        </w:rPr>
        <w:t>’s</w:t>
      </w:r>
      <w:r w:rsidRPr="00F044FD">
        <w:rPr>
          <w:lang w:val="en-US"/>
        </w:rPr>
        <w:t xml:space="preserve"> behavior requires a broader to understanding of the “ecology of the organization</w:t>
      </w:r>
      <w:r w:rsidR="004D59A2" w:rsidRPr="00F044FD">
        <w:rPr>
          <w:lang w:val="en-US"/>
        </w:rPr>
        <w:t>.</w:t>
      </w:r>
      <w:r w:rsidRPr="00F044FD">
        <w:rPr>
          <w:lang w:val="en-US"/>
        </w:rPr>
        <w:t>”</w:t>
      </w:r>
      <w:r w:rsidRPr="00F044FD">
        <w:rPr>
          <w:rStyle w:val="EndnoteReference"/>
          <w:lang w:val="en-US"/>
        </w:rPr>
        <w:endnoteReference w:id="20"/>
      </w:r>
      <w:r w:rsidRPr="00F044FD">
        <w:rPr>
          <w:lang w:val="en-US"/>
        </w:rPr>
        <w:t xml:space="preserve"> In this environment, organizations are constrained by and depend on other organizations that control resources. </w:t>
      </w:r>
      <w:r w:rsidR="005C72CE" w:rsidRPr="00F044FD">
        <w:rPr>
          <w:lang w:val="en-US"/>
        </w:rPr>
        <w:t xml:space="preserve">An organization’s survival therefore depends on its ability to acquire and maintain these </w:t>
      </w:r>
      <w:r w:rsidR="005C72CE" w:rsidRPr="00F044FD">
        <w:rPr>
          <w:lang w:val="en-US"/>
        </w:rPr>
        <w:lastRenderedPageBreak/>
        <w:t>relevant resources.</w:t>
      </w:r>
      <w:r w:rsidR="005C72CE" w:rsidRPr="00F044FD">
        <w:rPr>
          <w:rStyle w:val="EndnoteReference"/>
          <w:lang w:val="en-US"/>
        </w:rPr>
        <w:endnoteReference w:id="21"/>
      </w:r>
      <w:r w:rsidR="005C72CE" w:rsidRPr="00F044FD">
        <w:rPr>
          <w:lang w:val="en-US"/>
        </w:rPr>
        <w:t xml:space="preserve"> </w:t>
      </w:r>
      <w:r w:rsidR="00203409" w:rsidRPr="00F044FD">
        <w:rPr>
          <w:lang w:val="en-US"/>
        </w:rPr>
        <w:t>Despite the emphasis on environmental conditions, managerial decisions to adopt these conditions are equally important in RDT. Accordingly, the second tenet is that the</w:t>
      </w:r>
      <w:r w:rsidRPr="00F044FD">
        <w:rPr>
          <w:lang w:val="en-US"/>
        </w:rPr>
        <w:t xml:space="preserve"> </w:t>
      </w:r>
      <w:r w:rsidR="005C72CE" w:rsidRPr="00F044FD">
        <w:rPr>
          <w:lang w:val="en-US"/>
        </w:rPr>
        <w:t xml:space="preserve">organizations </w:t>
      </w:r>
      <w:proofErr w:type="gramStart"/>
      <w:r w:rsidRPr="00F044FD">
        <w:rPr>
          <w:lang w:val="en-US"/>
        </w:rPr>
        <w:t>take action</w:t>
      </w:r>
      <w:proofErr w:type="gramEnd"/>
      <w:r w:rsidRPr="00F044FD">
        <w:rPr>
          <w:lang w:val="en-US"/>
        </w:rPr>
        <w:t xml:space="preserve"> to manage their dependency on external institutions and increase their autonomy. RDT describes an array of actions and tactics that organization have recourse to minimize their dependency and uncertainty. However, such actions inevitably produce new dependencies.</w:t>
      </w:r>
    </w:p>
    <w:p w:rsidR="003A04B2" w:rsidRPr="00F044FD" w:rsidRDefault="003A04B2">
      <w:pPr>
        <w:ind w:firstLine="708"/>
        <w:rPr>
          <w:lang w:val="en-US"/>
        </w:rPr>
      </w:pPr>
      <w:r w:rsidRPr="00F044FD">
        <w:rPr>
          <w:lang w:val="en-US"/>
        </w:rPr>
        <w:t xml:space="preserve">In RDT terms, resource refers to things that the organization is dependent. For CSOs, funding is an obvious resource, one that is likely to create dependence on external institutions providing funds. Pfeffer and </w:t>
      </w:r>
      <w:proofErr w:type="spellStart"/>
      <w:r w:rsidRPr="00F044FD">
        <w:rPr>
          <w:lang w:val="en-US"/>
        </w:rPr>
        <w:t>Salancik</w:t>
      </w:r>
      <w:proofErr w:type="spellEnd"/>
      <w:r w:rsidRPr="00F044FD">
        <w:rPr>
          <w:rStyle w:val="EndnoteReference"/>
          <w:lang w:val="en-US"/>
        </w:rPr>
        <w:endnoteReference w:id="22"/>
      </w:r>
      <w:r w:rsidRPr="00F044FD">
        <w:rPr>
          <w:lang w:val="en-US"/>
        </w:rPr>
        <w:t xml:space="preserve"> state that charitable organizations “may willingly exchange their autonomy for the promise of some funding rather than face drastically reduced resources.” To respond </w:t>
      </w:r>
      <w:r w:rsidR="005C72CE" w:rsidRPr="00F044FD">
        <w:rPr>
          <w:lang w:val="en-US"/>
        </w:rPr>
        <w:t xml:space="preserve">to </w:t>
      </w:r>
      <w:r w:rsidRPr="00F044FD">
        <w:rPr>
          <w:lang w:val="en-US"/>
        </w:rPr>
        <w:t xml:space="preserve">the funding dependency and to overcome funding uncertainty, CSOs may resort to professional staff. This may create a new dependency – on professional staff – and result gradually in the organizations’ professionalization. </w:t>
      </w:r>
    </w:p>
    <w:p w:rsidR="003A04B2" w:rsidRPr="00F044FD" w:rsidRDefault="003A04B2">
      <w:pPr>
        <w:ind w:firstLine="708"/>
        <w:rPr>
          <w:lang w:val="en-US"/>
        </w:rPr>
      </w:pPr>
      <w:r w:rsidRPr="00F044FD">
        <w:rPr>
          <w:lang w:val="en-US"/>
        </w:rPr>
        <w:t>However, for CSOs</w:t>
      </w:r>
      <w:r w:rsidR="005C72CE" w:rsidRPr="00F044FD">
        <w:rPr>
          <w:lang w:val="en-US"/>
        </w:rPr>
        <w:t>,</w:t>
      </w:r>
      <w:r w:rsidRPr="00F044FD">
        <w:rPr>
          <w:lang w:val="en-US"/>
        </w:rPr>
        <w:t xml:space="preserve"> resource may not </w:t>
      </w:r>
      <w:r w:rsidR="005C72CE" w:rsidRPr="00F044FD">
        <w:rPr>
          <w:lang w:val="en-US"/>
        </w:rPr>
        <w:t xml:space="preserve">necessarily </w:t>
      </w:r>
      <w:r w:rsidRPr="00F044FD">
        <w:rPr>
          <w:lang w:val="en-US"/>
        </w:rPr>
        <w:t>be defined in terms of funding only. Other things</w:t>
      </w:r>
      <w:r w:rsidR="005C72CE" w:rsidRPr="00F044FD">
        <w:rPr>
          <w:lang w:val="en-US"/>
        </w:rPr>
        <w:t>, such as</w:t>
      </w:r>
      <w:r w:rsidRPr="00F044FD">
        <w:rPr>
          <w:lang w:val="en-US"/>
        </w:rPr>
        <w:t xml:space="preserve"> legitimacy </w:t>
      </w:r>
      <w:r w:rsidR="005C72CE" w:rsidRPr="00F044FD">
        <w:rPr>
          <w:lang w:val="en-US"/>
        </w:rPr>
        <w:t>is</w:t>
      </w:r>
      <w:r w:rsidRPr="00F044FD">
        <w:rPr>
          <w:lang w:val="en-US"/>
        </w:rPr>
        <w:t xml:space="preserve"> also </w:t>
      </w:r>
      <w:r w:rsidR="005C72CE" w:rsidRPr="00F044FD">
        <w:rPr>
          <w:lang w:val="en-US"/>
        </w:rPr>
        <w:t>an important resource</w:t>
      </w:r>
      <w:r w:rsidRPr="00F044FD">
        <w:rPr>
          <w:lang w:val="en-US"/>
        </w:rPr>
        <w:t>.</w:t>
      </w:r>
      <w:r w:rsidRPr="00F044FD">
        <w:rPr>
          <w:rStyle w:val="EndnoteReference"/>
          <w:lang w:val="en-US"/>
        </w:rPr>
        <w:endnoteReference w:id="23"/>
      </w:r>
      <w:r w:rsidRPr="00F044FD">
        <w:rPr>
          <w:lang w:val="en-US"/>
        </w:rPr>
        <w:t xml:space="preserve"> </w:t>
      </w:r>
      <w:r w:rsidR="0010188A" w:rsidRPr="00F044FD">
        <w:rPr>
          <w:lang w:val="en-US"/>
        </w:rPr>
        <w:t xml:space="preserve">In addition, one can argue intra-organizational resources such as members and volunteers. </w:t>
      </w:r>
      <w:r w:rsidRPr="00F044FD">
        <w:rPr>
          <w:lang w:val="en-US"/>
        </w:rPr>
        <w:t>In that sense, an organization’s dependency on its environment is not a single dependency, but it is rather “a complex set of dependencies that exist between an organization and the specific elements of its environment found in the inter-organizational network”.</w:t>
      </w:r>
      <w:r w:rsidRPr="00F044FD">
        <w:rPr>
          <w:rStyle w:val="EndnoteReference"/>
          <w:lang w:val="en-US"/>
        </w:rPr>
        <w:endnoteReference w:id="24"/>
      </w:r>
      <w:r w:rsidRPr="00F044FD">
        <w:rPr>
          <w:lang w:val="en-US"/>
        </w:rPr>
        <w:t xml:space="preserve"> </w:t>
      </w:r>
      <w:r w:rsidR="00910A19" w:rsidRPr="00F044FD">
        <w:rPr>
          <w:lang w:val="en-US"/>
        </w:rPr>
        <w:t>In addition, dependency is not absolute, but its degree is determined by the importance and concentration of resources.</w:t>
      </w:r>
      <w:r w:rsidR="00910A19" w:rsidRPr="00F044FD">
        <w:rPr>
          <w:rStyle w:val="EndnoteReference"/>
          <w:lang w:val="en-US"/>
        </w:rPr>
        <w:endnoteReference w:id="25"/>
      </w:r>
      <w:r w:rsidR="00910A19" w:rsidRPr="00F044FD">
        <w:rPr>
          <w:lang w:val="en-US"/>
        </w:rPr>
        <w:t xml:space="preserve"> Therefore, i</w:t>
      </w:r>
      <w:r w:rsidRPr="00F044FD">
        <w:rPr>
          <w:lang w:val="en-US"/>
        </w:rPr>
        <w:t xml:space="preserve">mportant as it </w:t>
      </w:r>
      <w:r w:rsidR="00185051" w:rsidRPr="00F044FD">
        <w:rPr>
          <w:lang w:val="en-US"/>
        </w:rPr>
        <w:t>is</w:t>
      </w:r>
      <w:r w:rsidRPr="00F044FD">
        <w:rPr>
          <w:lang w:val="en-US"/>
        </w:rPr>
        <w:t xml:space="preserve">, an organization </w:t>
      </w:r>
      <w:r w:rsidR="00185051" w:rsidRPr="00F044FD">
        <w:rPr>
          <w:lang w:val="en-US"/>
        </w:rPr>
        <w:t>may</w:t>
      </w:r>
      <w:r w:rsidRPr="00F044FD">
        <w:rPr>
          <w:lang w:val="en-US"/>
        </w:rPr>
        <w:t xml:space="preserve"> not only and primarily seek funding, but may be </w:t>
      </w:r>
      <w:r w:rsidR="00910A19" w:rsidRPr="00F044FD">
        <w:rPr>
          <w:lang w:val="en-US"/>
        </w:rPr>
        <w:t>guided by</w:t>
      </w:r>
      <w:r w:rsidRPr="00F044FD">
        <w:rPr>
          <w:lang w:val="en-US"/>
        </w:rPr>
        <w:t xml:space="preserve"> other resources </w:t>
      </w:r>
      <w:r w:rsidR="00463F87" w:rsidRPr="00F044FD">
        <w:rPr>
          <w:lang w:val="en-US"/>
        </w:rPr>
        <w:t>that could</w:t>
      </w:r>
      <w:r w:rsidR="00910A19" w:rsidRPr="00F044FD">
        <w:rPr>
          <w:lang w:val="en-US"/>
        </w:rPr>
        <w:t xml:space="preserve"> balance </w:t>
      </w:r>
      <w:r w:rsidRPr="00F044FD">
        <w:rPr>
          <w:lang w:val="en-US"/>
        </w:rPr>
        <w:t>their</w:t>
      </w:r>
      <w:r w:rsidR="00910A19" w:rsidRPr="00F044FD">
        <w:rPr>
          <w:lang w:val="en-US"/>
        </w:rPr>
        <w:t xml:space="preserve"> </w:t>
      </w:r>
      <w:r w:rsidR="00163C84" w:rsidRPr="00F044FD">
        <w:rPr>
          <w:lang w:val="en-US"/>
        </w:rPr>
        <w:t xml:space="preserve">existing or potential </w:t>
      </w:r>
      <w:r w:rsidR="00910A19" w:rsidRPr="00F044FD">
        <w:rPr>
          <w:lang w:val="en-US"/>
        </w:rPr>
        <w:t>funding</w:t>
      </w:r>
      <w:r w:rsidRPr="00F044FD">
        <w:rPr>
          <w:lang w:val="en-US"/>
        </w:rPr>
        <w:t xml:space="preserve"> dependency. </w:t>
      </w:r>
    </w:p>
    <w:p w:rsidR="009B1F54" w:rsidRPr="00F044FD" w:rsidRDefault="009B1F54" w:rsidP="00623176">
      <w:pPr>
        <w:pStyle w:val="Heading1"/>
        <w:rPr>
          <w:rFonts w:eastAsia="Calibri"/>
          <w:lang w:val="en-US" w:eastAsia="en-US"/>
        </w:rPr>
      </w:pPr>
      <w:r w:rsidRPr="00F044FD">
        <w:rPr>
          <w:rFonts w:eastAsia="Calibri"/>
          <w:lang w:val="en-US" w:eastAsia="en-US"/>
        </w:rPr>
        <w:lastRenderedPageBreak/>
        <w:t>Professionalization of CSOs: Defining and Operationalizing the Concept</w:t>
      </w:r>
    </w:p>
    <w:p w:rsidR="00230EFC" w:rsidRPr="00F044FD" w:rsidRDefault="00230EFC" w:rsidP="00230EFC">
      <w:pPr>
        <w:pStyle w:val="Paragraph"/>
        <w:rPr>
          <w:rFonts w:eastAsia="Calibri"/>
          <w:lang w:val="en-US" w:eastAsia="en-US"/>
        </w:rPr>
      </w:pPr>
      <w:r w:rsidRPr="00F044FD">
        <w:rPr>
          <w:rFonts w:eastAsia="Calibri"/>
          <w:lang w:val="en-US" w:eastAsia="en-US"/>
        </w:rPr>
        <w:t>The literature</w:t>
      </w:r>
      <w:r w:rsidR="007B3297" w:rsidRPr="00F044FD">
        <w:rPr>
          <w:rFonts w:eastAsia="Calibri"/>
          <w:lang w:val="en-US" w:eastAsia="en-US"/>
        </w:rPr>
        <w:t xml:space="preserve"> on the Western</w:t>
      </w:r>
      <w:r w:rsidRPr="00F044FD">
        <w:rPr>
          <w:rFonts w:eastAsia="Calibri"/>
          <w:lang w:val="en-US" w:eastAsia="en-US"/>
        </w:rPr>
        <w:t xml:space="preserve"> civil society support was initially dominated by development policy-making community informed by (neo) liberal theory and the practitioners with their bottom-up development model.</w:t>
      </w:r>
      <w:r w:rsidRPr="00F044FD">
        <w:rPr>
          <w:rFonts w:eastAsia="Calibri"/>
          <w:vertAlign w:val="superscript"/>
          <w:lang w:val="en-US" w:eastAsia="en-US"/>
        </w:rPr>
        <w:endnoteReference w:id="26"/>
      </w:r>
      <w:r w:rsidRPr="00F044FD">
        <w:rPr>
          <w:rFonts w:eastAsia="Calibri"/>
          <w:lang w:val="en-US" w:eastAsia="en-US"/>
        </w:rPr>
        <w:t xml:space="preserve"> This changed in the mid-1990s. Since then, a critical literature emerged both from within the civil society community</w:t>
      </w:r>
      <w:r w:rsidRPr="00F044FD">
        <w:rPr>
          <w:rFonts w:eastAsia="Calibri"/>
          <w:vertAlign w:val="superscript"/>
          <w:lang w:val="en-US" w:eastAsia="en-US"/>
        </w:rPr>
        <w:endnoteReference w:id="27"/>
      </w:r>
      <w:r w:rsidRPr="00F044FD">
        <w:rPr>
          <w:rFonts w:eastAsia="Calibri"/>
          <w:lang w:val="en-US" w:eastAsia="en-US"/>
        </w:rPr>
        <w:t xml:space="preserve"> and from independent academic researchers</w:t>
      </w:r>
      <w:r w:rsidRPr="00F044FD">
        <w:rPr>
          <w:rFonts w:eastAsia="Calibri"/>
          <w:vertAlign w:val="superscript"/>
          <w:lang w:val="en-US" w:eastAsia="en-US"/>
        </w:rPr>
        <w:endnoteReference w:id="28"/>
      </w:r>
      <w:r w:rsidRPr="00F044FD">
        <w:rPr>
          <w:rFonts w:eastAsia="Calibri"/>
          <w:lang w:val="en-US" w:eastAsia="en-US"/>
        </w:rPr>
        <w:t xml:space="preserve"> who found donor and recipient relations to be far more complex. Various cases focusing on feminist groups in Latin America,</w:t>
      </w:r>
      <w:r w:rsidRPr="00F044FD">
        <w:rPr>
          <w:rFonts w:eastAsia="Calibri"/>
          <w:vertAlign w:val="superscript"/>
          <w:lang w:val="en-US" w:eastAsia="en-US"/>
        </w:rPr>
        <w:endnoteReference w:id="29"/>
      </w:r>
      <w:r w:rsidRPr="00F044FD">
        <w:rPr>
          <w:rFonts w:eastAsia="Calibri"/>
          <w:lang w:val="en-US" w:eastAsia="en-US"/>
        </w:rPr>
        <w:t xml:space="preserve"> in Palestine</w:t>
      </w:r>
      <w:r w:rsidRPr="00F044FD">
        <w:rPr>
          <w:rFonts w:eastAsia="Calibri"/>
          <w:vertAlign w:val="superscript"/>
          <w:lang w:val="en-US" w:eastAsia="en-US"/>
        </w:rPr>
        <w:endnoteReference w:id="30"/>
      </w:r>
      <w:r w:rsidRPr="00F044FD">
        <w:rPr>
          <w:rFonts w:eastAsia="Calibri"/>
          <w:lang w:val="en-US" w:eastAsia="en-US"/>
        </w:rPr>
        <w:t xml:space="preserve"> and in India,</w:t>
      </w:r>
      <w:r w:rsidRPr="00F044FD">
        <w:rPr>
          <w:rFonts w:eastAsia="Calibri"/>
          <w:vertAlign w:val="superscript"/>
          <w:lang w:val="en-US" w:eastAsia="en-US"/>
        </w:rPr>
        <w:endnoteReference w:id="31"/>
      </w:r>
      <w:r w:rsidRPr="00F044FD">
        <w:rPr>
          <w:rFonts w:eastAsia="Calibri"/>
          <w:lang w:val="en-US" w:eastAsia="en-US"/>
        </w:rPr>
        <w:t xml:space="preserve"> LGBT</w:t>
      </w:r>
      <w:r w:rsidRPr="00F044FD">
        <w:rPr>
          <w:rFonts w:eastAsia="Calibri"/>
          <w:vertAlign w:val="superscript"/>
          <w:lang w:val="en-US" w:eastAsia="en-US"/>
        </w:rPr>
        <w:endnoteReference w:id="32"/>
      </w:r>
      <w:r w:rsidRPr="00F044FD">
        <w:rPr>
          <w:rFonts w:eastAsia="Calibri"/>
          <w:lang w:val="en-US" w:eastAsia="en-US"/>
        </w:rPr>
        <w:t xml:space="preserve"> groups,</w:t>
      </w:r>
      <w:r w:rsidRPr="00F044FD">
        <w:rPr>
          <w:rFonts w:eastAsia="Calibri"/>
          <w:vertAlign w:val="superscript"/>
          <w:lang w:val="en-US" w:eastAsia="en-US"/>
        </w:rPr>
        <w:endnoteReference w:id="33"/>
      </w:r>
      <w:r w:rsidRPr="00F044FD">
        <w:rPr>
          <w:rFonts w:eastAsia="Calibri"/>
          <w:lang w:val="en-US" w:eastAsia="en-US"/>
        </w:rPr>
        <w:t xml:space="preserve"> anti-mining movements in India,</w:t>
      </w:r>
      <w:r w:rsidRPr="00F044FD">
        <w:rPr>
          <w:rFonts w:eastAsia="Calibri"/>
          <w:vertAlign w:val="superscript"/>
          <w:lang w:val="en-US" w:eastAsia="en-US"/>
        </w:rPr>
        <w:endnoteReference w:id="34"/>
      </w:r>
      <w:r w:rsidRPr="00F044FD">
        <w:rPr>
          <w:rFonts w:eastAsia="Calibri"/>
          <w:lang w:val="en-US" w:eastAsia="en-US"/>
        </w:rPr>
        <w:t xml:space="preserve"> Democratic Left in South Africa</w:t>
      </w:r>
      <w:r w:rsidRPr="00F044FD">
        <w:rPr>
          <w:rFonts w:eastAsia="Calibri"/>
          <w:vertAlign w:val="superscript"/>
          <w:lang w:val="en-US" w:eastAsia="en-US"/>
        </w:rPr>
        <w:endnoteReference w:id="35"/>
      </w:r>
      <w:r w:rsidRPr="00F044FD">
        <w:rPr>
          <w:rFonts w:eastAsia="Calibri"/>
          <w:lang w:val="en-US" w:eastAsia="en-US"/>
        </w:rPr>
        <w:t xml:space="preserve"> found Western support to civil society to be problematical and argued how civil society became an agent for stabilizing status quo than bring change.</w:t>
      </w:r>
      <w:r w:rsidRPr="00F044FD">
        <w:rPr>
          <w:rFonts w:eastAsia="Calibri"/>
          <w:vertAlign w:val="superscript"/>
          <w:lang w:val="en-US" w:eastAsia="en-US"/>
        </w:rPr>
        <w:endnoteReference w:id="36"/>
      </w:r>
      <w:r w:rsidRPr="00F044FD">
        <w:rPr>
          <w:rFonts w:eastAsia="Calibri"/>
          <w:lang w:val="en-US" w:eastAsia="en-US"/>
        </w:rPr>
        <w:t xml:space="preserve"> Others suggest that funding dependency,</w:t>
      </w:r>
      <w:r w:rsidRPr="00F044FD">
        <w:rPr>
          <w:rStyle w:val="EndnoteReference"/>
          <w:rFonts w:eastAsia="Calibri"/>
          <w:lang w:val="en-US" w:eastAsia="en-US"/>
        </w:rPr>
        <w:endnoteReference w:id="37"/>
      </w:r>
      <w:r w:rsidRPr="00F044FD">
        <w:rPr>
          <w:rFonts w:eastAsia="Calibri"/>
          <w:lang w:val="en-US" w:eastAsia="en-US"/>
        </w:rPr>
        <w:t xml:space="preserve"> weak links to grassroots and rising technocracy obstruct NGOs’ long-term transformative goals.</w:t>
      </w:r>
      <w:r w:rsidRPr="00F044FD">
        <w:rPr>
          <w:rStyle w:val="EndnoteReference"/>
          <w:rFonts w:eastAsia="Calibri"/>
          <w:lang w:val="en-US" w:eastAsia="en-US"/>
        </w:rPr>
        <w:endnoteReference w:id="38"/>
      </w:r>
      <w:r w:rsidRPr="00F044FD">
        <w:rPr>
          <w:rFonts w:eastAsia="Calibri"/>
          <w:lang w:val="en-US" w:eastAsia="en-US"/>
        </w:rPr>
        <w:t xml:space="preserve"> These studies argue that with Western support, grass-roots organizations</w:t>
      </w:r>
      <w:r w:rsidR="00A53ED4" w:rsidRPr="00F044FD">
        <w:rPr>
          <w:rFonts w:eastAsia="Calibri"/>
          <w:vertAlign w:val="superscript"/>
          <w:lang w:val="en-US" w:eastAsia="en-US"/>
        </w:rPr>
        <w:endnoteReference w:id="39"/>
      </w:r>
      <w:r w:rsidRPr="00F044FD">
        <w:rPr>
          <w:rFonts w:eastAsia="Calibri"/>
          <w:lang w:val="en-US" w:eastAsia="en-US"/>
        </w:rPr>
        <w:t xml:space="preserve"> that confront the state are being replaced by professional and institutional CSOs that run projects to help implement state policies. In a nutshell, we see NGO-</w:t>
      </w:r>
      <w:proofErr w:type="spellStart"/>
      <w:r w:rsidRPr="00F044FD">
        <w:rPr>
          <w:rFonts w:eastAsia="Calibri"/>
          <w:lang w:val="en-US" w:eastAsia="en-US"/>
        </w:rPr>
        <w:t>ization</w:t>
      </w:r>
      <w:proofErr w:type="spellEnd"/>
      <w:r w:rsidRPr="00F044FD">
        <w:rPr>
          <w:rFonts w:eastAsia="Calibri"/>
          <w:lang w:val="en-US" w:eastAsia="en-US"/>
        </w:rPr>
        <w:t xml:space="preserve"> of civil society.</w:t>
      </w:r>
      <w:r w:rsidRPr="00F044FD">
        <w:rPr>
          <w:rFonts w:eastAsia="Calibri"/>
          <w:vertAlign w:val="superscript"/>
          <w:lang w:val="en-US" w:eastAsia="en-US"/>
        </w:rPr>
        <w:endnoteReference w:id="40"/>
      </w:r>
      <w:r w:rsidRPr="00F044FD">
        <w:rPr>
          <w:rFonts w:eastAsia="Calibri"/>
          <w:lang w:val="en-US" w:eastAsia="en-US"/>
        </w:rPr>
        <w:t xml:space="preserve"> </w:t>
      </w:r>
    </w:p>
    <w:p w:rsidR="009B1F54" w:rsidRPr="00F044FD" w:rsidRDefault="00A53ED4" w:rsidP="00240B3F">
      <w:pPr>
        <w:pStyle w:val="Newparagraph"/>
        <w:rPr>
          <w:rFonts w:eastAsia="Calibri"/>
          <w:lang w:val="en-US" w:eastAsia="en-US"/>
        </w:rPr>
      </w:pPr>
      <w:r w:rsidRPr="00F044FD">
        <w:rPr>
          <w:rFonts w:eastAsia="Calibri"/>
          <w:lang w:val="en-US" w:eastAsia="en-US"/>
        </w:rPr>
        <w:t>W</w:t>
      </w:r>
      <w:r w:rsidR="009B1F54" w:rsidRPr="00F044FD">
        <w:rPr>
          <w:rFonts w:eastAsia="Calibri"/>
          <w:lang w:val="en-US" w:eastAsia="en-US"/>
        </w:rPr>
        <w:t>hat underlies the NGO-</w:t>
      </w:r>
      <w:proofErr w:type="spellStart"/>
      <w:r w:rsidR="009B1F54" w:rsidRPr="00F044FD">
        <w:rPr>
          <w:rFonts w:eastAsia="Calibri"/>
          <w:lang w:val="en-US" w:eastAsia="en-US"/>
        </w:rPr>
        <w:t>ization</w:t>
      </w:r>
      <w:proofErr w:type="spellEnd"/>
      <w:r w:rsidR="009B1F54" w:rsidRPr="00F044FD">
        <w:rPr>
          <w:rFonts w:eastAsia="Calibri"/>
          <w:lang w:val="en-US" w:eastAsia="en-US"/>
        </w:rPr>
        <w:t xml:space="preserve"> literature is a critique of how </w:t>
      </w:r>
      <w:r w:rsidR="0027761E" w:rsidRPr="00F044FD">
        <w:rPr>
          <w:rFonts w:eastAsia="Calibri"/>
          <w:lang w:val="en-US" w:eastAsia="en-US"/>
        </w:rPr>
        <w:t xml:space="preserve">neoliberal policies </w:t>
      </w:r>
      <w:r w:rsidR="009B1F54" w:rsidRPr="00F044FD">
        <w:rPr>
          <w:rFonts w:eastAsia="Calibri"/>
          <w:lang w:val="en-US" w:eastAsia="en-US"/>
        </w:rPr>
        <w:t>relate to civil society.</w:t>
      </w:r>
      <w:r w:rsidR="0093463B" w:rsidRPr="00F044FD">
        <w:rPr>
          <w:rFonts w:eastAsia="Calibri"/>
          <w:lang w:val="en-US" w:eastAsia="en-US"/>
        </w:rPr>
        <w:t xml:space="preserve"> </w:t>
      </w:r>
      <w:r w:rsidR="00B8388F" w:rsidRPr="00F044FD">
        <w:rPr>
          <w:rFonts w:eastAsia="Calibri"/>
          <w:lang w:val="en-US" w:eastAsia="en-US"/>
        </w:rPr>
        <w:t xml:space="preserve">As the state stepped down its traditional role, CSOs stepped in to </w:t>
      </w:r>
      <w:r w:rsidR="00B8388F" w:rsidRPr="00F044FD">
        <w:rPr>
          <w:rFonts w:eastAsia="Calibri"/>
          <w:i/>
          <w:lang w:val="en-US" w:eastAsia="en-US"/>
        </w:rPr>
        <w:t>deliver</w:t>
      </w:r>
      <w:r w:rsidR="00B8388F" w:rsidRPr="00F044FD">
        <w:rPr>
          <w:rFonts w:eastAsia="Calibri"/>
          <w:lang w:val="en-US" w:eastAsia="en-US"/>
        </w:rPr>
        <w:t xml:space="preserve">, and not only </w:t>
      </w:r>
      <w:r w:rsidR="00B8388F" w:rsidRPr="00F044FD">
        <w:rPr>
          <w:rFonts w:eastAsia="Calibri"/>
          <w:i/>
          <w:lang w:val="en-US" w:eastAsia="en-US"/>
        </w:rPr>
        <w:t>demand</w:t>
      </w:r>
      <w:r w:rsidR="00B8388F" w:rsidRPr="00F044FD">
        <w:rPr>
          <w:rFonts w:eastAsia="Calibri"/>
          <w:lang w:val="en-US" w:eastAsia="en-US"/>
        </w:rPr>
        <w:t>, development.</w:t>
      </w:r>
      <w:r w:rsidR="00B8388F" w:rsidRPr="00F044FD">
        <w:rPr>
          <w:rFonts w:eastAsia="Calibri"/>
          <w:vertAlign w:val="superscript"/>
          <w:lang w:val="en-US" w:eastAsia="en-US"/>
        </w:rPr>
        <w:endnoteReference w:id="41"/>
      </w:r>
      <w:r w:rsidR="00B8388F" w:rsidRPr="00F044FD">
        <w:rPr>
          <w:rFonts w:eastAsia="Calibri"/>
          <w:lang w:val="en-US" w:eastAsia="en-US"/>
        </w:rPr>
        <w:t xml:space="preserve"> </w:t>
      </w:r>
      <w:r w:rsidR="008525A4" w:rsidRPr="00F044FD">
        <w:rPr>
          <w:rFonts w:eastAsia="Calibri"/>
          <w:lang w:val="en-US" w:eastAsia="en-US"/>
        </w:rPr>
        <w:t>T</w:t>
      </w:r>
      <w:r w:rsidR="00B8388F" w:rsidRPr="00F044FD">
        <w:rPr>
          <w:rFonts w:eastAsia="Calibri"/>
          <w:lang w:val="en-US" w:eastAsia="en-US"/>
        </w:rPr>
        <w:t xml:space="preserve">he Western institutions began funding CSOs because </w:t>
      </w:r>
      <w:r w:rsidR="002925EC" w:rsidRPr="00F044FD">
        <w:rPr>
          <w:rFonts w:eastAsia="Calibri"/>
          <w:lang w:val="en-US" w:eastAsia="en-US"/>
        </w:rPr>
        <w:t xml:space="preserve">the CSOs </w:t>
      </w:r>
      <w:r w:rsidR="00B8388F" w:rsidRPr="00F044FD">
        <w:rPr>
          <w:rFonts w:eastAsia="Calibri"/>
          <w:lang w:val="en-US" w:eastAsia="en-US"/>
        </w:rPr>
        <w:t>could meet the immediate needs of those hurt by the withdrawal of the state from service provision.</w:t>
      </w:r>
      <w:r w:rsidR="00B8388F" w:rsidRPr="00F044FD">
        <w:rPr>
          <w:rFonts w:eastAsia="Calibri"/>
          <w:vertAlign w:val="superscript"/>
          <w:lang w:val="en-US" w:eastAsia="en-US"/>
        </w:rPr>
        <w:endnoteReference w:id="42"/>
      </w:r>
      <w:r w:rsidR="00B8388F" w:rsidRPr="00F044FD">
        <w:rPr>
          <w:rFonts w:eastAsia="Calibri"/>
          <w:lang w:val="en-US" w:eastAsia="en-US"/>
        </w:rPr>
        <w:t xml:space="preserve"> As such, CSOs have become a strategic tool to ease in neoliberal changes.</w:t>
      </w:r>
      <w:r w:rsidR="00B8388F" w:rsidRPr="00F044FD">
        <w:rPr>
          <w:rFonts w:eastAsia="Calibri"/>
          <w:vertAlign w:val="superscript"/>
          <w:lang w:val="en-US" w:eastAsia="en-US"/>
        </w:rPr>
        <w:endnoteReference w:id="43"/>
      </w:r>
      <w:r w:rsidR="00B8388F" w:rsidRPr="00F044FD">
        <w:rPr>
          <w:rFonts w:eastAsia="Calibri"/>
          <w:lang w:val="en-US" w:eastAsia="en-US"/>
        </w:rPr>
        <w:t xml:space="preserve"> </w:t>
      </w:r>
      <w:r w:rsidR="002925EC" w:rsidRPr="00F044FD">
        <w:rPr>
          <w:rFonts w:eastAsia="Calibri"/>
          <w:lang w:val="en-US" w:eastAsia="en-US"/>
        </w:rPr>
        <w:t xml:space="preserve">The </w:t>
      </w:r>
      <w:r w:rsidR="009B1F54" w:rsidRPr="00F044FD">
        <w:rPr>
          <w:rFonts w:eastAsia="Calibri"/>
          <w:lang w:val="en-US" w:eastAsia="en-US"/>
        </w:rPr>
        <w:t>NGO-</w:t>
      </w:r>
      <w:proofErr w:type="spellStart"/>
      <w:r w:rsidR="009B1F54" w:rsidRPr="00F044FD">
        <w:rPr>
          <w:rFonts w:eastAsia="Calibri"/>
          <w:lang w:val="en-US" w:eastAsia="en-US"/>
        </w:rPr>
        <w:t>ization</w:t>
      </w:r>
      <w:proofErr w:type="spellEnd"/>
      <w:r w:rsidR="00DF556D" w:rsidRPr="00F044FD">
        <w:rPr>
          <w:rFonts w:eastAsia="Calibri"/>
          <w:lang w:val="en-US" w:eastAsia="en-US"/>
        </w:rPr>
        <w:t xml:space="preserve"> literature</w:t>
      </w:r>
      <w:r w:rsidR="009B1F54" w:rsidRPr="00F044FD">
        <w:rPr>
          <w:rFonts w:eastAsia="Calibri"/>
          <w:lang w:val="en-US" w:eastAsia="en-US"/>
        </w:rPr>
        <w:t xml:space="preserve"> explores how </w:t>
      </w:r>
      <w:r w:rsidR="00B8388F" w:rsidRPr="00F044FD">
        <w:rPr>
          <w:rFonts w:eastAsia="Calibri"/>
          <w:lang w:val="en-US" w:eastAsia="en-US"/>
        </w:rPr>
        <w:t>foreign</w:t>
      </w:r>
      <w:r w:rsidR="009B1F54" w:rsidRPr="00F044FD">
        <w:rPr>
          <w:rFonts w:eastAsia="Calibri"/>
          <w:lang w:val="en-US" w:eastAsia="en-US"/>
        </w:rPr>
        <w:t xml:space="preserve"> funding affects the structure, agenda, discourse and accountability of CSOs. It criticizes foreign funding on the basis of </w:t>
      </w:r>
      <w:r w:rsidR="00B83AB9" w:rsidRPr="00F044FD">
        <w:rPr>
          <w:rFonts w:eastAsia="Calibri"/>
          <w:lang w:val="en-US" w:eastAsia="en-US"/>
        </w:rPr>
        <w:t>its</w:t>
      </w:r>
      <w:r w:rsidR="009B1F54" w:rsidRPr="00F044FD">
        <w:rPr>
          <w:rFonts w:eastAsia="Calibri"/>
          <w:lang w:val="en-US" w:eastAsia="en-US"/>
        </w:rPr>
        <w:t xml:space="preserve"> link to demobilization, depoliticization, funding dependency and professionalization of CSOs.</w:t>
      </w:r>
      <w:r w:rsidR="009B1F54" w:rsidRPr="00F044FD">
        <w:rPr>
          <w:rFonts w:eastAsia="Calibri"/>
          <w:vertAlign w:val="superscript"/>
          <w:lang w:val="en-US" w:eastAsia="en-US"/>
        </w:rPr>
        <w:endnoteReference w:id="44"/>
      </w:r>
      <w:r w:rsidR="009B1F54" w:rsidRPr="00F044FD">
        <w:rPr>
          <w:rFonts w:eastAsia="Calibri"/>
          <w:lang w:val="en-US" w:eastAsia="en-US"/>
        </w:rPr>
        <w:t xml:space="preserve"> This article focuses only on</w:t>
      </w:r>
      <w:r w:rsidR="00B8388F" w:rsidRPr="00F044FD">
        <w:rPr>
          <w:rFonts w:eastAsia="Calibri"/>
          <w:lang w:val="en-US" w:eastAsia="en-US"/>
        </w:rPr>
        <w:t xml:space="preserve"> the</w:t>
      </w:r>
      <w:r w:rsidR="009B1F54" w:rsidRPr="00F044FD">
        <w:rPr>
          <w:rFonts w:eastAsia="Calibri"/>
          <w:lang w:val="en-US" w:eastAsia="en-US"/>
        </w:rPr>
        <w:t xml:space="preserve"> professionalization</w:t>
      </w:r>
      <w:r w:rsidR="00B8388F" w:rsidRPr="00F044FD">
        <w:rPr>
          <w:rFonts w:eastAsia="Calibri"/>
          <w:lang w:val="en-US" w:eastAsia="en-US"/>
        </w:rPr>
        <w:t xml:space="preserve"> of CSOs</w:t>
      </w:r>
      <w:r w:rsidR="009B1F54" w:rsidRPr="00F044FD">
        <w:rPr>
          <w:rFonts w:eastAsia="Calibri"/>
          <w:lang w:val="en-US" w:eastAsia="en-US"/>
        </w:rPr>
        <w:t>.</w:t>
      </w:r>
      <w:r w:rsidR="0093463B" w:rsidRPr="00F044FD">
        <w:rPr>
          <w:rFonts w:eastAsia="Calibri"/>
          <w:lang w:val="en-US" w:eastAsia="en-US"/>
        </w:rPr>
        <w:t xml:space="preserve"> No doubt several factors, –inter alia institutionalization, </w:t>
      </w:r>
      <w:r w:rsidR="0093463B" w:rsidRPr="00F044FD">
        <w:rPr>
          <w:rFonts w:eastAsia="Calibri"/>
          <w:lang w:val="en-US" w:eastAsia="en-US"/>
        </w:rPr>
        <w:lastRenderedPageBreak/>
        <w:t xml:space="preserve">political position, relations with state and transnational actors– may be relevant </w:t>
      </w:r>
      <w:r w:rsidR="00B63AAD" w:rsidRPr="00F044FD">
        <w:rPr>
          <w:rFonts w:eastAsia="Calibri"/>
          <w:lang w:val="en-US" w:eastAsia="en-US"/>
        </w:rPr>
        <w:t>to</w:t>
      </w:r>
      <w:r w:rsidR="0093463B" w:rsidRPr="00F044FD">
        <w:rPr>
          <w:rFonts w:eastAsia="Calibri"/>
          <w:lang w:val="en-US" w:eastAsia="en-US"/>
        </w:rPr>
        <w:t xml:space="preserve"> understanding CSOs’ organizational choices. </w:t>
      </w:r>
      <w:r w:rsidR="001A6258" w:rsidRPr="00F044FD">
        <w:rPr>
          <w:rFonts w:eastAsia="Calibri"/>
          <w:lang w:val="en-US" w:eastAsia="en-US"/>
        </w:rPr>
        <w:t>However, factoring them all</w:t>
      </w:r>
      <w:r w:rsidR="00B63AAD" w:rsidRPr="00F044FD">
        <w:rPr>
          <w:rFonts w:eastAsia="Calibri"/>
          <w:lang w:val="en-US" w:eastAsia="en-US"/>
        </w:rPr>
        <w:t xml:space="preserve"> in</w:t>
      </w:r>
      <w:r w:rsidR="001A6258" w:rsidRPr="00F044FD">
        <w:rPr>
          <w:rFonts w:eastAsia="Calibri"/>
          <w:lang w:val="en-US" w:eastAsia="en-US"/>
        </w:rPr>
        <w:t xml:space="preserve"> </w:t>
      </w:r>
      <w:r w:rsidR="00CC7F59" w:rsidRPr="00F044FD">
        <w:rPr>
          <w:rFonts w:eastAsia="Calibri"/>
          <w:lang w:val="en-US" w:eastAsia="en-US"/>
        </w:rPr>
        <w:t xml:space="preserve">would be beyond the scope of </w:t>
      </w:r>
      <w:r w:rsidR="00DF556D" w:rsidRPr="00F044FD">
        <w:rPr>
          <w:rFonts w:eastAsia="Calibri"/>
          <w:lang w:val="en-US" w:eastAsia="en-US"/>
        </w:rPr>
        <w:t>one</w:t>
      </w:r>
      <w:r w:rsidR="00CC7F59" w:rsidRPr="00F044FD">
        <w:rPr>
          <w:rFonts w:eastAsia="Calibri"/>
          <w:lang w:val="en-US" w:eastAsia="en-US"/>
        </w:rPr>
        <w:t xml:space="preserve"> article. Without overlooking this point, this article focuses on </w:t>
      </w:r>
      <w:r w:rsidR="001A6258" w:rsidRPr="00F044FD">
        <w:rPr>
          <w:rFonts w:eastAsia="Calibri"/>
          <w:lang w:val="en-US" w:eastAsia="en-US"/>
        </w:rPr>
        <w:t xml:space="preserve">one </w:t>
      </w:r>
      <w:r w:rsidR="00CC7F59" w:rsidRPr="00F044FD">
        <w:rPr>
          <w:rFonts w:eastAsia="Calibri"/>
          <w:lang w:val="en-US" w:eastAsia="en-US"/>
        </w:rPr>
        <w:t xml:space="preserve">understudied </w:t>
      </w:r>
      <w:r w:rsidR="001A6258" w:rsidRPr="00F044FD">
        <w:rPr>
          <w:rFonts w:eastAsia="Calibri"/>
          <w:lang w:val="en-US" w:eastAsia="en-US"/>
        </w:rPr>
        <w:t>dimension</w:t>
      </w:r>
      <w:r w:rsidR="00DF556D" w:rsidRPr="00F044FD">
        <w:rPr>
          <w:rFonts w:eastAsia="Calibri"/>
          <w:lang w:val="en-US" w:eastAsia="en-US"/>
        </w:rPr>
        <w:t xml:space="preserve"> of foreign funding</w:t>
      </w:r>
      <w:r w:rsidR="001A6258" w:rsidRPr="00F044FD">
        <w:rPr>
          <w:rFonts w:eastAsia="Calibri"/>
          <w:lang w:val="en-US" w:eastAsia="en-US"/>
        </w:rPr>
        <w:t>, namely</w:t>
      </w:r>
      <w:r w:rsidR="00CC7F59" w:rsidRPr="00F044FD">
        <w:rPr>
          <w:rFonts w:eastAsia="Calibri"/>
          <w:lang w:val="en-US" w:eastAsia="en-US"/>
        </w:rPr>
        <w:t xml:space="preserve"> professionalization.</w:t>
      </w:r>
    </w:p>
    <w:p w:rsidR="009B1F54" w:rsidRPr="00F044FD" w:rsidRDefault="00B83AB9" w:rsidP="009B1F54">
      <w:pPr>
        <w:pStyle w:val="Newparagraph"/>
        <w:rPr>
          <w:rFonts w:eastAsia="Calibri"/>
          <w:lang w:val="en-US" w:eastAsia="en-US"/>
        </w:rPr>
      </w:pPr>
      <w:r w:rsidRPr="00F044FD">
        <w:rPr>
          <w:rFonts w:eastAsia="Calibri"/>
          <w:lang w:val="en-US" w:eastAsia="en-US"/>
        </w:rPr>
        <w:t>Running</w:t>
      </w:r>
      <w:r w:rsidR="009B1F54" w:rsidRPr="00F044FD">
        <w:rPr>
          <w:rFonts w:eastAsia="Calibri"/>
          <w:lang w:val="en-US" w:eastAsia="en-US"/>
        </w:rPr>
        <w:t xml:space="preserve"> foreign-funded projec</w:t>
      </w:r>
      <w:r w:rsidR="00305E16" w:rsidRPr="00F044FD">
        <w:rPr>
          <w:rFonts w:eastAsia="Calibri"/>
          <w:lang w:val="en-US" w:eastAsia="en-US"/>
        </w:rPr>
        <w:t>ts may be a challenging endeavor</w:t>
      </w:r>
      <w:r w:rsidR="009B1F54" w:rsidRPr="00F044FD">
        <w:rPr>
          <w:rFonts w:eastAsia="Calibri"/>
          <w:lang w:val="en-US" w:eastAsia="en-US"/>
        </w:rPr>
        <w:t xml:space="preserve"> for CSOs. To meet funders’ demands, CSOs often have to overcome different challenges such as multiple task management in tight timeline</w:t>
      </w:r>
      <w:r w:rsidR="00505BAF" w:rsidRPr="00F044FD">
        <w:rPr>
          <w:rFonts w:eastAsia="Calibri"/>
          <w:lang w:val="en-US" w:eastAsia="en-US"/>
        </w:rPr>
        <w:t>s</w:t>
      </w:r>
      <w:r w:rsidR="009B1F54" w:rsidRPr="00F044FD">
        <w:rPr>
          <w:rFonts w:eastAsia="Calibri"/>
          <w:lang w:val="en-US" w:eastAsia="en-US"/>
        </w:rPr>
        <w:t xml:space="preserve"> and resource management in limited budgets. Equally challenging is to access these funds. Better organized CSOs with knowledge and expertise in funding seem to be better at tracing foreign funds even if they have weak links to the people they claim to represent.</w:t>
      </w:r>
      <w:r w:rsidR="009B1F54" w:rsidRPr="00F044FD">
        <w:rPr>
          <w:rFonts w:eastAsia="Calibri"/>
          <w:vertAlign w:val="superscript"/>
          <w:lang w:val="en-US" w:eastAsia="en-US"/>
        </w:rPr>
        <w:endnoteReference w:id="45"/>
      </w:r>
      <w:r w:rsidR="009B1F54" w:rsidRPr="00F044FD">
        <w:rPr>
          <w:rFonts w:eastAsia="Calibri"/>
          <w:lang w:val="en-US" w:eastAsia="en-US"/>
        </w:rPr>
        <w:t xml:space="preserve"> Many CSOs that can barely overcome the complicated application procedures and competitive evaluations are intimidated by the bureaucratic hurdles and strict monitoring of foreign funding.</w:t>
      </w:r>
      <w:r w:rsidR="009B1F54" w:rsidRPr="00F044FD">
        <w:rPr>
          <w:rFonts w:eastAsia="Calibri"/>
          <w:vertAlign w:val="superscript"/>
          <w:lang w:val="en-US" w:eastAsia="en-US"/>
        </w:rPr>
        <w:endnoteReference w:id="46"/>
      </w:r>
      <w:r w:rsidR="009B1F54" w:rsidRPr="00F044FD">
        <w:rPr>
          <w:rFonts w:eastAsia="Calibri"/>
          <w:lang w:val="en-US" w:eastAsia="en-US"/>
        </w:rPr>
        <w:t xml:space="preserve"> This </w:t>
      </w:r>
      <w:r w:rsidR="00921714" w:rsidRPr="00F044FD">
        <w:rPr>
          <w:rFonts w:eastAsia="Calibri"/>
          <w:lang w:val="en-US" w:eastAsia="en-US"/>
        </w:rPr>
        <w:t>may create</w:t>
      </w:r>
      <w:r w:rsidR="009B1F54" w:rsidRPr="00F044FD">
        <w:rPr>
          <w:rFonts w:eastAsia="Calibri"/>
          <w:lang w:val="en-US" w:eastAsia="en-US"/>
        </w:rPr>
        <w:t xml:space="preserve"> a new line of work within CSOs that requires people who not only has the expertise in but also the ample time for project development and management. Ultimately, this may result in the professionalization of CSOs. </w:t>
      </w:r>
    </w:p>
    <w:p w:rsidR="009B1F54" w:rsidRPr="00F044FD" w:rsidRDefault="003020D9">
      <w:pPr>
        <w:pStyle w:val="Newparagraph"/>
        <w:rPr>
          <w:rFonts w:eastAsia="Calibri"/>
          <w:lang w:val="en-US" w:eastAsia="en-US"/>
        </w:rPr>
      </w:pPr>
      <w:r w:rsidRPr="00F044FD">
        <w:rPr>
          <w:rFonts w:eastAsia="Calibri"/>
          <w:lang w:val="en-US" w:eastAsia="en-US"/>
        </w:rPr>
        <w:t>In a way,</w:t>
      </w:r>
      <w:r w:rsidR="009B1F54" w:rsidRPr="00F044FD">
        <w:rPr>
          <w:rFonts w:eastAsia="Calibri"/>
          <w:lang w:val="en-US" w:eastAsia="en-US"/>
        </w:rPr>
        <w:t xml:space="preserve"> </w:t>
      </w:r>
      <w:r w:rsidRPr="00F044FD">
        <w:rPr>
          <w:rFonts w:eastAsia="Calibri"/>
          <w:lang w:val="en-US" w:eastAsia="en-US"/>
        </w:rPr>
        <w:t>p</w:t>
      </w:r>
      <w:r w:rsidR="009B1F54" w:rsidRPr="00F044FD">
        <w:rPr>
          <w:rFonts w:eastAsia="Calibri"/>
          <w:lang w:val="en-US" w:eastAsia="en-US"/>
        </w:rPr>
        <w:t xml:space="preserve">rofessionalization connotes an estrangement of the organization from its volunteers. While </w:t>
      </w:r>
      <w:r w:rsidR="00F328AB" w:rsidRPr="00F044FD">
        <w:rPr>
          <w:rFonts w:eastAsia="Calibri"/>
          <w:lang w:val="en-US" w:eastAsia="en-US"/>
        </w:rPr>
        <w:t xml:space="preserve">the paid </w:t>
      </w:r>
      <w:r w:rsidR="009B1F54" w:rsidRPr="00F044FD">
        <w:rPr>
          <w:rFonts w:eastAsia="Calibri"/>
          <w:lang w:val="en-US" w:eastAsia="en-US"/>
        </w:rPr>
        <w:t>staff may personally support the cause of the organizations s/he works for, his/her status is different than a member or volunteer. The paid staff usually consists of people who have received professional training that is largely technical</w:t>
      </w:r>
      <w:r w:rsidR="00F328AB" w:rsidRPr="00F044FD">
        <w:rPr>
          <w:rFonts w:eastAsia="Calibri"/>
          <w:lang w:val="en-US" w:eastAsia="en-US"/>
        </w:rPr>
        <w:t>,</w:t>
      </w:r>
      <w:r w:rsidR="009B1F54" w:rsidRPr="00F044FD">
        <w:rPr>
          <w:rFonts w:eastAsia="Calibri"/>
          <w:lang w:val="en-US" w:eastAsia="en-US"/>
        </w:rPr>
        <w:t xml:space="preserve"> including organizational development and strategic planning. Depending on the size of the organization, there may be only one or several paid staff to run the activities. This article does not take into consideration the number of </w:t>
      </w:r>
      <w:r w:rsidR="00F328AB" w:rsidRPr="00F044FD">
        <w:rPr>
          <w:rFonts w:eastAsia="Calibri"/>
          <w:lang w:val="en-US" w:eastAsia="en-US"/>
        </w:rPr>
        <w:t xml:space="preserve">paid </w:t>
      </w:r>
      <w:r w:rsidR="009B1F54" w:rsidRPr="00F044FD">
        <w:rPr>
          <w:rFonts w:eastAsia="Calibri"/>
          <w:lang w:val="en-US" w:eastAsia="en-US"/>
        </w:rPr>
        <w:t>staff</w:t>
      </w:r>
      <w:r w:rsidR="008870ED" w:rsidRPr="00F044FD">
        <w:rPr>
          <w:rFonts w:eastAsia="Calibri"/>
          <w:lang w:val="en-US" w:eastAsia="en-US"/>
        </w:rPr>
        <w:t xml:space="preserve"> but focuses on whether it is the paid staff or the members/volunteers responsible for implementing the organization’s activities. This is because</w:t>
      </w:r>
      <w:r w:rsidR="00CC2694" w:rsidRPr="00F044FD">
        <w:rPr>
          <w:rFonts w:eastAsia="Calibri"/>
          <w:lang w:val="en-US" w:eastAsia="en-US"/>
        </w:rPr>
        <w:t xml:space="preserve"> </w:t>
      </w:r>
      <w:r w:rsidR="008870ED" w:rsidRPr="00F044FD">
        <w:rPr>
          <w:rFonts w:eastAsia="Calibri"/>
          <w:lang w:val="en-US" w:eastAsia="en-US"/>
        </w:rPr>
        <w:t>p</w:t>
      </w:r>
      <w:r w:rsidR="00CC2694" w:rsidRPr="00F044FD">
        <w:rPr>
          <w:rFonts w:eastAsia="Calibri"/>
          <w:lang w:val="en-US" w:eastAsia="en-US"/>
        </w:rPr>
        <w:t>rofessionalization is a qualitative change in the workings of the organization</w:t>
      </w:r>
      <w:r w:rsidR="008870ED" w:rsidRPr="00F044FD">
        <w:rPr>
          <w:rFonts w:eastAsia="Calibri"/>
          <w:lang w:val="en-US" w:eastAsia="en-US"/>
        </w:rPr>
        <w:t xml:space="preserve"> where paid staff replaces </w:t>
      </w:r>
      <w:r w:rsidR="008870ED" w:rsidRPr="00F044FD">
        <w:rPr>
          <w:rFonts w:eastAsia="Calibri"/>
          <w:lang w:val="en-US" w:eastAsia="en-US"/>
        </w:rPr>
        <w:lastRenderedPageBreak/>
        <w:t>members/volunteers for implementing the organization’s activities</w:t>
      </w:r>
      <w:r w:rsidR="00CC2694" w:rsidRPr="00F044FD">
        <w:rPr>
          <w:rFonts w:eastAsia="Calibri"/>
          <w:lang w:val="en-US" w:eastAsia="en-US"/>
        </w:rPr>
        <w:t>.</w:t>
      </w:r>
      <w:r w:rsidR="008870ED" w:rsidRPr="00F044FD">
        <w:rPr>
          <w:rFonts w:eastAsia="Calibri"/>
          <w:lang w:val="en-US" w:eastAsia="en-US"/>
        </w:rPr>
        <w:t xml:space="preserve"> The number of paid </w:t>
      </w:r>
      <w:proofErr w:type="gramStart"/>
      <w:r w:rsidR="008870ED" w:rsidRPr="00F044FD">
        <w:rPr>
          <w:rFonts w:eastAsia="Calibri"/>
          <w:lang w:val="en-US" w:eastAsia="en-US"/>
        </w:rPr>
        <w:t>staff</w:t>
      </w:r>
      <w:proofErr w:type="gramEnd"/>
      <w:r w:rsidR="008870ED" w:rsidRPr="00F044FD">
        <w:rPr>
          <w:rFonts w:eastAsia="Calibri"/>
          <w:lang w:val="en-US" w:eastAsia="en-US"/>
        </w:rPr>
        <w:t xml:space="preserve"> replacing the volunteers is not determinative over whether there is professionalization or not. In smaller organizations one staff may be enough to shoulder the workload, while </w:t>
      </w:r>
      <w:r w:rsidR="000A075E" w:rsidRPr="00F044FD">
        <w:rPr>
          <w:rFonts w:eastAsia="Calibri"/>
          <w:lang w:val="en-US" w:eastAsia="en-US"/>
        </w:rPr>
        <w:t>larger organizations may need several staff. In other words</w:t>
      </w:r>
      <w:r w:rsidR="008870ED" w:rsidRPr="00F044FD">
        <w:rPr>
          <w:rFonts w:eastAsia="Calibri"/>
          <w:lang w:val="en-US" w:eastAsia="en-US"/>
        </w:rPr>
        <w:t>, this number depends on the size and accordingly the income of the organization</w:t>
      </w:r>
      <w:r w:rsidR="009B1F54" w:rsidRPr="00F044FD">
        <w:rPr>
          <w:rFonts w:eastAsia="Calibri"/>
          <w:lang w:val="en-US" w:eastAsia="en-US"/>
        </w:rPr>
        <w:t>.</w:t>
      </w:r>
      <w:r w:rsidR="008870ED" w:rsidRPr="00F044FD">
        <w:rPr>
          <w:rFonts w:eastAsia="Calibri"/>
          <w:lang w:val="en-US" w:eastAsia="en-US"/>
        </w:rPr>
        <w:t xml:space="preserve"> </w:t>
      </w:r>
      <w:r w:rsidR="009B1F54" w:rsidRPr="00F044FD">
        <w:rPr>
          <w:rFonts w:eastAsia="Calibri"/>
          <w:lang w:val="en-US" w:eastAsia="en-US"/>
        </w:rPr>
        <w:t xml:space="preserve">While </w:t>
      </w:r>
      <w:r w:rsidR="008870ED" w:rsidRPr="00F044FD">
        <w:rPr>
          <w:rFonts w:eastAsia="Calibri"/>
          <w:lang w:val="en-US" w:eastAsia="en-US"/>
        </w:rPr>
        <w:t xml:space="preserve">paid staff’s </w:t>
      </w:r>
      <w:r w:rsidR="009B1F54" w:rsidRPr="00F044FD">
        <w:rPr>
          <w:rFonts w:eastAsia="Calibri"/>
          <w:lang w:val="en-US" w:eastAsia="en-US"/>
        </w:rPr>
        <w:t xml:space="preserve">training may bring more efficiency </w:t>
      </w:r>
      <w:r w:rsidR="004D601D" w:rsidRPr="00F044FD">
        <w:rPr>
          <w:rFonts w:eastAsia="Calibri"/>
          <w:lang w:val="en-US" w:eastAsia="en-US"/>
        </w:rPr>
        <w:t>to</w:t>
      </w:r>
      <w:r w:rsidR="009B1F54" w:rsidRPr="00F044FD">
        <w:rPr>
          <w:rFonts w:eastAsia="Calibri"/>
          <w:lang w:val="en-US" w:eastAsia="en-US"/>
        </w:rPr>
        <w:t xml:space="preserve"> the organizations, such </w:t>
      </w:r>
      <w:r w:rsidR="00461208" w:rsidRPr="00F044FD">
        <w:rPr>
          <w:rFonts w:eastAsia="Calibri"/>
          <w:lang w:val="en-US" w:eastAsia="en-US"/>
        </w:rPr>
        <w:t>managerialism carries the risk “</w:t>
      </w:r>
      <w:r w:rsidR="009B1F54" w:rsidRPr="00F044FD">
        <w:rPr>
          <w:rFonts w:eastAsia="Calibri"/>
          <w:lang w:val="en-US" w:eastAsia="en-US"/>
        </w:rPr>
        <w:t>that emphasizes organizational governance over radical politics and support for mo</w:t>
      </w:r>
      <w:r w:rsidR="00461208" w:rsidRPr="00F044FD">
        <w:rPr>
          <w:rFonts w:eastAsia="Calibri"/>
          <w:lang w:val="en-US" w:eastAsia="en-US"/>
        </w:rPr>
        <w:t>bilization and social movements”</w:t>
      </w:r>
      <w:r w:rsidR="009B1F54" w:rsidRPr="00F044FD">
        <w:rPr>
          <w:rFonts w:eastAsia="Calibri"/>
          <w:lang w:val="en-US" w:eastAsia="en-US"/>
        </w:rPr>
        <w:t>.</w:t>
      </w:r>
      <w:r w:rsidR="009B1F54" w:rsidRPr="00F044FD">
        <w:rPr>
          <w:rFonts w:eastAsia="Calibri"/>
          <w:vertAlign w:val="superscript"/>
          <w:lang w:val="en-US" w:eastAsia="en-US"/>
        </w:rPr>
        <w:endnoteReference w:id="47"/>
      </w:r>
      <w:r w:rsidR="009B1F54" w:rsidRPr="00F044FD">
        <w:rPr>
          <w:rFonts w:eastAsia="Calibri"/>
          <w:lang w:val="en-US" w:eastAsia="en-US"/>
        </w:rPr>
        <w:t xml:space="preserve">  </w:t>
      </w:r>
    </w:p>
    <w:p w:rsidR="009B1F54" w:rsidRPr="00F044FD" w:rsidRDefault="009B1F54" w:rsidP="009B1F54">
      <w:pPr>
        <w:pStyle w:val="Newparagraph"/>
        <w:rPr>
          <w:rFonts w:eastAsia="Calibri"/>
          <w:lang w:val="en-US" w:eastAsia="en-US"/>
        </w:rPr>
      </w:pPr>
      <w:r w:rsidRPr="00F044FD">
        <w:rPr>
          <w:rFonts w:eastAsia="Calibri"/>
          <w:lang w:val="en-US" w:eastAsia="en-US"/>
        </w:rPr>
        <w:t>Roy</w:t>
      </w:r>
      <w:r w:rsidRPr="00F044FD">
        <w:rPr>
          <w:rFonts w:eastAsia="Calibri"/>
          <w:vertAlign w:val="superscript"/>
          <w:lang w:val="en-US" w:eastAsia="en-US"/>
        </w:rPr>
        <w:endnoteReference w:id="48"/>
      </w:r>
      <w:r w:rsidR="00B8388F" w:rsidRPr="00F044FD">
        <w:rPr>
          <w:rFonts w:eastAsia="Calibri"/>
          <w:lang w:val="en-US" w:eastAsia="en-US"/>
        </w:rPr>
        <w:t xml:space="preserve"> argues that</w:t>
      </w:r>
      <w:r w:rsidRPr="00F044FD">
        <w:rPr>
          <w:rFonts w:eastAsia="Calibri"/>
          <w:lang w:val="en-US" w:eastAsia="en-US"/>
        </w:rPr>
        <w:t xml:space="preserve"> such professionalization transforms social movements into reasonable and nine am to six pm paid jobs that employ local people who could otherwise have mobilized for the same cause. Representativeness, while still an important criterion, is not always a priority for foreign funders. </w:t>
      </w:r>
      <w:r w:rsidR="00B8388F" w:rsidRPr="00F044FD">
        <w:rPr>
          <w:rFonts w:eastAsia="Calibri"/>
          <w:lang w:val="en-US" w:eastAsia="en-US"/>
        </w:rPr>
        <w:t>D</w:t>
      </w:r>
      <w:r w:rsidRPr="00F044FD">
        <w:rPr>
          <w:rFonts w:eastAsia="Calibri"/>
          <w:lang w:val="en-US" w:eastAsia="en-US"/>
        </w:rPr>
        <w:t>espite th</w:t>
      </w:r>
      <w:r w:rsidR="00461208" w:rsidRPr="00F044FD">
        <w:rPr>
          <w:rFonts w:eastAsia="Calibri"/>
          <w:lang w:val="en-US" w:eastAsia="en-US"/>
        </w:rPr>
        <w:t>e</w:t>
      </w:r>
      <w:r w:rsidR="00B8388F" w:rsidRPr="00F044FD">
        <w:rPr>
          <w:rFonts w:eastAsia="Calibri"/>
          <w:lang w:val="en-US" w:eastAsia="en-US"/>
        </w:rPr>
        <w:t xml:space="preserve"> funders’</w:t>
      </w:r>
      <w:r w:rsidR="00461208" w:rsidRPr="00F044FD">
        <w:rPr>
          <w:rFonts w:eastAsia="Calibri"/>
          <w:lang w:val="en-US" w:eastAsia="en-US"/>
        </w:rPr>
        <w:t xml:space="preserve"> emphasis on </w:t>
      </w:r>
      <w:r w:rsidR="00B8388F" w:rsidRPr="00F044FD">
        <w:rPr>
          <w:rFonts w:eastAsia="Calibri"/>
          <w:lang w:val="en-US" w:eastAsia="en-US"/>
        </w:rPr>
        <w:t xml:space="preserve">the </w:t>
      </w:r>
      <w:r w:rsidR="00461208" w:rsidRPr="00F044FD">
        <w:rPr>
          <w:rFonts w:eastAsia="Calibri"/>
          <w:lang w:val="en-US" w:eastAsia="en-US"/>
        </w:rPr>
        <w:t>development of civil society,</w:t>
      </w:r>
      <w:r w:rsidRPr="00F044FD">
        <w:rPr>
          <w:rFonts w:eastAsia="Calibri"/>
          <w:lang w:val="en-US" w:eastAsia="en-US"/>
        </w:rPr>
        <w:t xml:space="preserve"> their funding criteria rarely prioritize how </w:t>
      </w:r>
      <w:r w:rsidR="00B8388F" w:rsidRPr="00F044FD">
        <w:rPr>
          <w:rFonts w:eastAsia="Calibri"/>
          <w:lang w:val="en-US" w:eastAsia="en-US"/>
        </w:rPr>
        <w:t>representative</w:t>
      </w:r>
      <w:r w:rsidRPr="00F044FD">
        <w:rPr>
          <w:rFonts w:eastAsia="Calibri"/>
          <w:lang w:val="en-US" w:eastAsia="en-US"/>
        </w:rPr>
        <w:t xml:space="preserve"> the</w:t>
      </w:r>
      <w:r w:rsidR="00B63AAD" w:rsidRPr="00F044FD">
        <w:rPr>
          <w:rFonts w:eastAsia="Calibri"/>
          <w:lang w:val="en-US" w:eastAsia="en-US"/>
        </w:rPr>
        <w:t>se</w:t>
      </w:r>
      <w:r w:rsidRPr="00F044FD">
        <w:rPr>
          <w:rFonts w:eastAsia="Calibri"/>
          <w:lang w:val="en-US" w:eastAsia="en-US"/>
        </w:rPr>
        <w:t xml:space="preserve"> CSOs</w:t>
      </w:r>
      <w:r w:rsidR="00F328AB" w:rsidRPr="00F044FD">
        <w:rPr>
          <w:rFonts w:eastAsia="Calibri"/>
          <w:lang w:val="en-US" w:eastAsia="en-US"/>
        </w:rPr>
        <w:t xml:space="preserve"> are</w:t>
      </w:r>
      <w:r w:rsidRPr="00F044FD">
        <w:rPr>
          <w:rFonts w:eastAsia="Calibri"/>
          <w:lang w:val="en-US" w:eastAsia="en-US"/>
        </w:rPr>
        <w:t>.</w:t>
      </w:r>
      <w:r w:rsidRPr="00F044FD">
        <w:rPr>
          <w:rFonts w:eastAsia="Calibri"/>
          <w:vertAlign w:val="superscript"/>
          <w:lang w:val="en-US" w:eastAsia="en-US"/>
        </w:rPr>
        <w:endnoteReference w:id="49"/>
      </w:r>
      <w:r w:rsidRPr="00F044FD">
        <w:rPr>
          <w:rFonts w:eastAsia="Calibri"/>
          <w:lang w:val="en-US" w:eastAsia="en-US"/>
        </w:rPr>
        <w:t xml:space="preserve"> </w:t>
      </w:r>
      <w:r w:rsidR="00B4453F" w:rsidRPr="00F044FD">
        <w:rPr>
          <w:rFonts w:eastAsia="Calibri"/>
          <w:lang w:val="en-US" w:eastAsia="en-US"/>
        </w:rPr>
        <w:t>Banks et. al.</w:t>
      </w:r>
      <w:r w:rsidR="00B4453F" w:rsidRPr="00F044FD">
        <w:rPr>
          <w:rStyle w:val="EndnoteReference"/>
          <w:rFonts w:eastAsia="Calibri"/>
          <w:lang w:val="en-US" w:eastAsia="en-US"/>
        </w:rPr>
        <w:endnoteReference w:id="50"/>
      </w:r>
      <w:r w:rsidR="00B4453F" w:rsidRPr="00F044FD">
        <w:rPr>
          <w:rFonts w:eastAsia="Calibri"/>
          <w:lang w:val="en-US" w:eastAsia="en-US"/>
        </w:rPr>
        <w:t xml:space="preserve"> argue that increasing professionalization of CSOs have eroded par</w:t>
      </w:r>
      <w:r w:rsidR="00EE294D" w:rsidRPr="00F044FD">
        <w:rPr>
          <w:rFonts w:eastAsia="Calibri"/>
          <w:lang w:val="en-US" w:eastAsia="en-US"/>
        </w:rPr>
        <w:t>ticipatory approaches and</w:t>
      </w:r>
      <w:r w:rsidR="00B4453F" w:rsidRPr="00F044FD">
        <w:rPr>
          <w:rFonts w:eastAsia="Calibri"/>
          <w:lang w:val="en-US" w:eastAsia="en-US"/>
        </w:rPr>
        <w:t xml:space="preserve"> weakened </w:t>
      </w:r>
      <w:r w:rsidR="00EE294D" w:rsidRPr="00F044FD">
        <w:rPr>
          <w:rFonts w:eastAsia="Calibri"/>
          <w:lang w:val="en-US" w:eastAsia="en-US"/>
        </w:rPr>
        <w:t xml:space="preserve">local </w:t>
      </w:r>
      <w:r w:rsidR="00B4453F" w:rsidRPr="00F044FD">
        <w:rPr>
          <w:rFonts w:eastAsia="Calibri"/>
          <w:lang w:val="en-US" w:eastAsia="en-US"/>
        </w:rPr>
        <w:t xml:space="preserve">ties as these organizations are not independent actors but implement donor policy. In a way, as Hearn suggests, professionalized CSOs </w:t>
      </w:r>
      <w:r w:rsidR="00461208" w:rsidRPr="00F044FD">
        <w:rPr>
          <w:rFonts w:eastAsia="Calibri"/>
          <w:lang w:val="en-US" w:eastAsia="en-US"/>
        </w:rPr>
        <w:t>have become the new “compradors”</w:t>
      </w:r>
      <w:r w:rsidRPr="00F044FD">
        <w:rPr>
          <w:rFonts w:eastAsia="Calibri"/>
          <w:lang w:val="en-US" w:eastAsia="en-US"/>
        </w:rPr>
        <w:t xml:space="preserve"> in civil society in a number of countries.</w:t>
      </w:r>
      <w:r w:rsidRPr="00F044FD">
        <w:rPr>
          <w:rFonts w:eastAsia="Calibri"/>
          <w:vertAlign w:val="superscript"/>
          <w:lang w:val="en-US" w:eastAsia="en-US"/>
        </w:rPr>
        <w:endnoteReference w:id="51"/>
      </w:r>
    </w:p>
    <w:p w:rsidR="00EB6017" w:rsidRPr="00F044FD" w:rsidRDefault="00872B5A" w:rsidP="00ED5F3C">
      <w:pPr>
        <w:pStyle w:val="Newparagraph"/>
        <w:rPr>
          <w:rFonts w:eastAsia="Calibri"/>
          <w:lang w:val="en-US" w:eastAsia="en-US"/>
        </w:rPr>
      </w:pPr>
      <w:r w:rsidRPr="00F044FD">
        <w:rPr>
          <w:rFonts w:eastAsia="Calibri"/>
          <w:lang w:val="en-US" w:eastAsia="en-US"/>
        </w:rPr>
        <w:t>S</w:t>
      </w:r>
      <w:r w:rsidR="009B1F54" w:rsidRPr="00F044FD">
        <w:rPr>
          <w:rFonts w:eastAsia="Calibri"/>
          <w:lang w:val="en-US" w:eastAsia="en-US"/>
        </w:rPr>
        <w:t xml:space="preserve">tudies </w:t>
      </w:r>
      <w:r w:rsidR="00305E16" w:rsidRPr="00F044FD">
        <w:rPr>
          <w:rFonts w:eastAsia="Calibri"/>
          <w:lang w:val="en-US" w:eastAsia="en-US"/>
        </w:rPr>
        <w:t>analyzing</w:t>
      </w:r>
      <w:r w:rsidR="009B1F54" w:rsidRPr="00F044FD">
        <w:rPr>
          <w:rFonts w:eastAsia="Calibri"/>
          <w:lang w:val="en-US" w:eastAsia="en-US"/>
        </w:rPr>
        <w:t xml:space="preserve"> </w:t>
      </w:r>
      <w:r w:rsidR="00EB6017" w:rsidRPr="00F044FD">
        <w:rPr>
          <w:rFonts w:eastAsia="Calibri"/>
          <w:lang w:val="en-US" w:eastAsia="en-US"/>
        </w:rPr>
        <w:t>the</w:t>
      </w:r>
      <w:r w:rsidR="009B1F54" w:rsidRPr="00F044FD">
        <w:rPr>
          <w:rFonts w:eastAsia="Calibri"/>
          <w:lang w:val="en-US" w:eastAsia="en-US"/>
        </w:rPr>
        <w:t xml:space="preserve"> Turkish </w:t>
      </w:r>
      <w:r w:rsidRPr="00F044FD">
        <w:rPr>
          <w:rFonts w:eastAsia="Calibri"/>
          <w:lang w:val="en-US" w:eastAsia="en-US"/>
        </w:rPr>
        <w:t xml:space="preserve">context </w:t>
      </w:r>
      <w:r w:rsidR="00EB6017" w:rsidRPr="00F044FD">
        <w:rPr>
          <w:rFonts w:eastAsia="Calibri"/>
          <w:lang w:val="en-US" w:eastAsia="en-US"/>
        </w:rPr>
        <w:t>argue that EU funds risk undermining the culture of volunteerism</w:t>
      </w:r>
      <w:r w:rsidR="00F328AB" w:rsidRPr="00F044FD">
        <w:rPr>
          <w:rFonts w:eastAsia="Calibri"/>
          <w:lang w:val="en-US" w:eastAsia="en-US"/>
        </w:rPr>
        <w:t xml:space="preserve"> </w:t>
      </w:r>
      <w:r w:rsidR="00EB6017" w:rsidRPr="00F044FD">
        <w:rPr>
          <w:rFonts w:eastAsia="Calibri"/>
          <w:lang w:val="en-US" w:eastAsia="en-US"/>
        </w:rPr>
        <w:t xml:space="preserve">and </w:t>
      </w:r>
      <w:r w:rsidRPr="00F044FD">
        <w:rPr>
          <w:rFonts w:eastAsia="Calibri"/>
          <w:lang w:val="en-US" w:eastAsia="en-US"/>
        </w:rPr>
        <w:t xml:space="preserve">reduce </w:t>
      </w:r>
      <w:r w:rsidR="00EB6017" w:rsidRPr="00F044FD">
        <w:rPr>
          <w:rFonts w:eastAsia="Calibri"/>
          <w:lang w:val="en-US" w:eastAsia="en-US"/>
        </w:rPr>
        <w:t>the necessity for generating funds from members.</w:t>
      </w:r>
      <w:r w:rsidR="00F328AB" w:rsidRPr="00F044FD">
        <w:rPr>
          <w:rFonts w:eastAsia="Calibri"/>
          <w:vertAlign w:val="superscript"/>
          <w:lang w:val="en-US" w:eastAsia="en-US"/>
        </w:rPr>
        <w:t xml:space="preserve"> </w:t>
      </w:r>
      <w:r w:rsidR="00F328AB" w:rsidRPr="00F044FD">
        <w:rPr>
          <w:rFonts w:eastAsia="Calibri"/>
          <w:vertAlign w:val="superscript"/>
          <w:lang w:val="en-US" w:eastAsia="en-US"/>
        </w:rPr>
        <w:endnoteReference w:id="52"/>
      </w:r>
      <w:r w:rsidR="00EB6017" w:rsidRPr="00F044FD">
        <w:rPr>
          <w:rFonts w:eastAsia="Calibri"/>
          <w:lang w:val="en-US" w:eastAsia="en-US"/>
        </w:rPr>
        <w:t xml:space="preserve"> In addition, EU funds are criticized for diverting the staff en</w:t>
      </w:r>
      <w:r w:rsidR="00A516C4" w:rsidRPr="00F044FD">
        <w:rPr>
          <w:rFonts w:eastAsia="Calibri"/>
          <w:lang w:val="en-US" w:eastAsia="en-US"/>
        </w:rPr>
        <w:t>ergy to the EU-</w:t>
      </w:r>
      <w:r w:rsidR="00EB6017" w:rsidRPr="00F044FD">
        <w:rPr>
          <w:rFonts w:eastAsia="Calibri"/>
          <w:lang w:val="en-US" w:eastAsia="en-US"/>
        </w:rPr>
        <w:t>funded projects only with little or no human resources left for member training.</w:t>
      </w:r>
      <w:r w:rsidR="00EB6017" w:rsidRPr="00F044FD">
        <w:rPr>
          <w:rStyle w:val="EndnoteReference"/>
          <w:rFonts w:eastAsia="Calibri"/>
          <w:lang w:val="en-US" w:eastAsia="en-US"/>
        </w:rPr>
        <w:endnoteReference w:id="53"/>
      </w:r>
      <w:r w:rsidR="00EB6017" w:rsidRPr="00F044FD">
        <w:rPr>
          <w:rFonts w:eastAsia="Calibri"/>
          <w:lang w:val="en-US" w:eastAsia="en-US"/>
        </w:rPr>
        <w:t xml:space="preserve"> Other critiques of EU funding underline that </w:t>
      </w:r>
      <w:r w:rsidR="002F2B52" w:rsidRPr="00F044FD">
        <w:rPr>
          <w:rFonts w:eastAsia="Calibri"/>
          <w:lang w:val="en-US" w:eastAsia="en-US"/>
        </w:rPr>
        <w:t>EU funds professionalize</w:t>
      </w:r>
      <w:r w:rsidR="00EB6017" w:rsidRPr="00F044FD">
        <w:rPr>
          <w:rFonts w:eastAsia="Calibri"/>
          <w:lang w:val="en-US" w:eastAsia="en-US"/>
        </w:rPr>
        <w:t xml:space="preserve"> these organizations in such a way that they lose their focus on their core activities.</w:t>
      </w:r>
      <w:r w:rsidR="00EB6017" w:rsidRPr="00F044FD">
        <w:rPr>
          <w:rFonts w:eastAsia="Calibri"/>
          <w:vertAlign w:val="superscript"/>
          <w:lang w:val="en-US" w:eastAsia="en-US"/>
        </w:rPr>
        <w:endnoteReference w:id="54"/>
      </w:r>
      <w:r w:rsidR="00EB6017" w:rsidRPr="00F044FD">
        <w:rPr>
          <w:rFonts w:eastAsia="Calibri"/>
          <w:lang w:val="en-US" w:eastAsia="en-US"/>
        </w:rPr>
        <w:t xml:space="preserve"> On the positive side, </w:t>
      </w:r>
      <w:r w:rsidR="008B60D4" w:rsidRPr="00F044FD">
        <w:rPr>
          <w:rFonts w:eastAsia="Calibri"/>
          <w:lang w:val="en-US" w:eastAsia="en-US"/>
        </w:rPr>
        <w:t>some scholars</w:t>
      </w:r>
      <w:r w:rsidRPr="00F044FD">
        <w:rPr>
          <w:rFonts w:eastAsia="Calibri"/>
          <w:lang w:val="en-US" w:eastAsia="en-US"/>
        </w:rPr>
        <w:t xml:space="preserve"> note</w:t>
      </w:r>
      <w:r w:rsidR="00EB6017" w:rsidRPr="00F044FD">
        <w:rPr>
          <w:rFonts w:eastAsia="Calibri"/>
          <w:lang w:val="en-US" w:eastAsia="en-US"/>
        </w:rPr>
        <w:t xml:space="preserve"> how EU funds and the ensuing professionalization help CSOs to </w:t>
      </w:r>
      <w:r w:rsidR="00EB6017" w:rsidRPr="00F044FD">
        <w:rPr>
          <w:rFonts w:eastAsia="Calibri"/>
          <w:lang w:val="en-US" w:eastAsia="en-US"/>
        </w:rPr>
        <w:lastRenderedPageBreak/>
        <w:t>enhance their capacity. This article questions this link between EU funds to Turkish CSOs and the professionalization of these organizations.</w:t>
      </w:r>
    </w:p>
    <w:p w:rsidR="00D405A1" w:rsidRPr="00F044FD" w:rsidRDefault="00D405A1" w:rsidP="00D405A1">
      <w:pPr>
        <w:pStyle w:val="Heading1"/>
        <w:rPr>
          <w:rFonts w:eastAsia="Calibri"/>
          <w:lang w:val="en-US" w:eastAsia="en-US"/>
        </w:rPr>
      </w:pPr>
      <w:r w:rsidRPr="00F044FD">
        <w:rPr>
          <w:rFonts w:eastAsia="Calibri"/>
          <w:lang w:val="en-US" w:eastAsia="en-US"/>
        </w:rPr>
        <w:t>Methods and Sampling</w:t>
      </w:r>
    </w:p>
    <w:p w:rsidR="00D405A1" w:rsidRPr="00F044FD" w:rsidRDefault="00D405A1" w:rsidP="00D405A1">
      <w:pPr>
        <w:pStyle w:val="Paragraph"/>
        <w:rPr>
          <w:rFonts w:eastAsia="Calibri"/>
          <w:lang w:val="en-US" w:eastAsia="en-US"/>
        </w:rPr>
      </w:pPr>
      <w:r w:rsidRPr="00F044FD">
        <w:rPr>
          <w:rFonts w:eastAsia="Calibri"/>
          <w:lang w:val="en-US" w:eastAsia="en-US"/>
        </w:rPr>
        <w:t>The primary data relies on my original interviews with the leaders of 45 CSOs in Turkey. I resorted to the grants database at Turkey’s Central Finance and Contracts Unit (CFCU)</w:t>
      </w:r>
      <w:r w:rsidRPr="00F044FD">
        <w:rPr>
          <w:rFonts w:eastAsia="Calibri"/>
          <w:vertAlign w:val="superscript"/>
          <w:lang w:val="en-US" w:eastAsia="en-US"/>
        </w:rPr>
        <w:t xml:space="preserve"> </w:t>
      </w:r>
      <w:r w:rsidRPr="00F044FD">
        <w:rPr>
          <w:rFonts w:eastAsia="Calibri"/>
          <w:vertAlign w:val="superscript"/>
          <w:lang w:val="en-US" w:eastAsia="en-US"/>
        </w:rPr>
        <w:endnoteReference w:id="55"/>
      </w:r>
      <w:r w:rsidRPr="00F044FD">
        <w:rPr>
          <w:rFonts w:eastAsia="Calibri"/>
          <w:lang w:val="en-US" w:eastAsia="en-US"/>
        </w:rPr>
        <w:t xml:space="preserve"> for the list of CSOs benefited from the EU’s pre-accession assistance to Turkish civil society. I selected CSOs </w:t>
      </w:r>
      <w:r w:rsidR="006E7154" w:rsidRPr="00F044FD">
        <w:rPr>
          <w:rFonts w:eastAsia="Calibri"/>
          <w:lang w:val="en-US" w:eastAsia="en-US"/>
        </w:rPr>
        <w:t xml:space="preserve">with purposive sampling and </w:t>
      </w:r>
      <w:r w:rsidRPr="00F044FD">
        <w:rPr>
          <w:rFonts w:eastAsia="Calibri"/>
          <w:lang w:val="en-US" w:eastAsia="en-US"/>
        </w:rPr>
        <w:t>according to certain criteria detailed below. While non-random sampling can introduce a selection bias, random sampling in small-n samples may entail more serious irregularities. In such cases, it may be better to justify the purposive sampling. As interviews progressed</w:t>
      </w:r>
      <w:r w:rsidR="006E7154" w:rsidRPr="00F044FD">
        <w:rPr>
          <w:rFonts w:eastAsia="Calibri"/>
          <w:lang w:val="en-US" w:eastAsia="en-US"/>
        </w:rPr>
        <w:t>,</w:t>
      </w:r>
      <w:r w:rsidRPr="00F044FD">
        <w:rPr>
          <w:rFonts w:eastAsia="Calibri"/>
          <w:lang w:val="en-US" w:eastAsia="en-US"/>
        </w:rPr>
        <w:t xml:space="preserve"> it became very difficult to adhere to the initial list of preselected CSOs. This is because many CSOs still do not have an active website, the contact information on their website </w:t>
      </w:r>
      <w:r w:rsidR="006E7154" w:rsidRPr="00F044FD">
        <w:rPr>
          <w:rFonts w:eastAsia="Calibri"/>
          <w:lang w:val="en-US" w:eastAsia="en-US"/>
        </w:rPr>
        <w:t>is</w:t>
      </w:r>
      <w:r w:rsidRPr="00F044FD">
        <w:rPr>
          <w:rFonts w:eastAsia="Calibri"/>
          <w:lang w:val="en-US" w:eastAsia="en-US"/>
        </w:rPr>
        <w:t xml:space="preserve"> outdated </w:t>
      </w:r>
      <w:r w:rsidR="00633838" w:rsidRPr="00F044FD">
        <w:rPr>
          <w:rFonts w:eastAsia="Calibri"/>
          <w:lang w:val="en-US" w:eastAsia="en-US"/>
        </w:rPr>
        <w:t>or</w:t>
      </w:r>
      <w:r w:rsidRPr="00F044FD">
        <w:rPr>
          <w:rFonts w:eastAsia="Calibri"/>
          <w:lang w:val="en-US" w:eastAsia="en-US"/>
        </w:rPr>
        <w:t xml:space="preserve"> </w:t>
      </w:r>
      <w:r w:rsidR="008B60D4" w:rsidRPr="00F044FD">
        <w:rPr>
          <w:rFonts w:eastAsia="Calibri"/>
          <w:lang w:val="en-US" w:eastAsia="en-US"/>
        </w:rPr>
        <w:t xml:space="preserve">they </w:t>
      </w:r>
      <w:r w:rsidRPr="00F044FD">
        <w:rPr>
          <w:rFonts w:eastAsia="Calibri"/>
          <w:lang w:val="en-US" w:eastAsia="en-US"/>
        </w:rPr>
        <w:t>cannot afford an office. In such cases, I used snowball sampling to reach the most relevant CSO for the sample.</w:t>
      </w:r>
      <w:r w:rsidR="00134484" w:rsidRPr="00F044FD">
        <w:rPr>
          <w:rFonts w:eastAsia="Calibri"/>
          <w:lang w:val="en-US" w:eastAsia="en-US"/>
        </w:rPr>
        <w:t xml:space="preserve"> Relevancy is determined by the sampling criteria below</w:t>
      </w:r>
      <w:r w:rsidR="00ED21D3" w:rsidRPr="00F044FD">
        <w:rPr>
          <w:rFonts w:eastAsia="Calibri"/>
          <w:lang w:val="en-US" w:eastAsia="en-US"/>
        </w:rPr>
        <w:t>.</w:t>
      </w:r>
      <w:r w:rsidRPr="00F044FD">
        <w:rPr>
          <w:rFonts w:eastAsia="Calibri"/>
          <w:lang w:val="en-US" w:eastAsia="en-US"/>
        </w:rPr>
        <w:t xml:space="preserve"> Snowball sampling became necessary especially in small towns to overcome some of the CSOs’ reluctance to participate in this research. The potential impact of this on the research results is negligible as I continued sampling until a point of saturation where no new data was emerging.</w:t>
      </w:r>
    </w:p>
    <w:p w:rsidR="00D405A1" w:rsidRPr="00F044FD" w:rsidRDefault="00D405A1" w:rsidP="00D405A1">
      <w:pPr>
        <w:pStyle w:val="Newparagraph"/>
        <w:rPr>
          <w:rFonts w:eastAsia="Calibri"/>
          <w:lang w:val="en-US" w:eastAsia="en-US"/>
        </w:rPr>
      </w:pPr>
      <w:r w:rsidRPr="00F044FD">
        <w:rPr>
          <w:rFonts w:eastAsia="Calibri"/>
          <w:lang w:val="en-US" w:eastAsia="en-US"/>
        </w:rPr>
        <w:t>Sampling satisfies certain criteria. First, to reflect the composition of Turkish civil society, the sample shows variety in terms of the organizations’ working area, size and geographical location (See Annex 1). The sample includes organizations working in areas prioritized by the EU and also those others that are less related to EU funding priorities but are widespread in Turkey. 33 of the interviewed organizations are local, 3 of them work locally as a branch of a nationwide organization</w:t>
      </w:r>
      <w:r w:rsidR="002465B3" w:rsidRPr="00F044FD">
        <w:rPr>
          <w:rFonts w:eastAsia="Calibri"/>
          <w:lang w:val="en-US" w:eastAsia="en-US"/>
        </w:rPr>
        <w:t>,</w:t>
      </w:r>
      <w:r w:rsidRPr="00F044FD">
        <w:rPr>
          <w:rFonts w:eastAsia="Calibri"/>
          <w:lang w:val="en-US" w:eastAsia="en-US"/>
        </w:rPr>
        <w:t xml:space="preserve"> while the work of 9 </w:t>
      </w:r>
      <w:r w:rsidRPr="00F044FD">
        <w:rPr>
          <w:rFonts w:eastAsia="Calibri"/>
          <w:lang w:val="en-US" w:eastAsia="en-US"/>
        </w:rPr>
        <w:lastRenderedPageBreak/>
        <w:t xml:space="preserve">organizations is nationwide.  I interviewed organizations from eight cities in Turkey: Ankara, Antalya, </w:t>
      </w:r>
      <w:proofErr w:type="spellStart"/>
      <w:r w:rsidRPr="00F044FD">
        <w:rPr>
          <w:rFonts w:eastAsia="Calibri"/>
          <w:lang w:val="en-US" w:eastAsia="en-US"/>
        </w:rPr>
        <w:t>Iğdır</w:t>
      </w:r>
      <w:proofErr w:type="spellEnd"/>
      <w:r w:rsidRPr="00F044FD">
        <w:rPr>
          <w:rFonts w:eastAsia="Calibri"/>
          <w:lang w:val="en-US" w:eastAsia="en-US"/>
        </w:rPr>
        <w:t xml:space="preserve">, İstanbul, İzmir, Kayseri, Samsun and Van. The geographical distribution reflects Turkey’s different regions and variation in the concentration of CSOs and in the use of EU funds. The sample also included a control group of organizations that have not received EU funding. </w:t>
      </w:r>
      <w:r w:rsidR="005E47C0" w:rsidRPr="00F044FD">
        <w:rPr>
          <w:rFonts w:eastAsia="Calibri"/>
          <w:lang w:val="en-US" w:eastAsia="en-US"/>
        </w:rPr>
        <w:t xml:space="preserve">In the control group, </w:t>
      </w:r>
      <w:r w:rsidR="005E47C0" w:rsidRPr="00F044FD">
        <w:rPr>
          <w:shd w:val="clear" w:color="auto" w:fill="FFFFFF"/>
          <w:lang w:val="en-US"/>
        </w:rPr>
        <w:t>the factor (EU funds) thought to be causing an effect (professionalization) is removed.</w:t>
      </w:r>
      <w:r w:rsidR="005E47C0" w:rsidRPr="00F044FD">
        <w:rPr>
          <w:rFonts w:eastAsia="Calibri"/>
          <w:lang w:val="en-US" w:eastAsia="en-US"/>
        </w:rPr>
        <w:t xml:space="preserve"> </w:t>
      </w:r>
      <w:r w:rsidRPr="00F044FD">
        <w:rPr>
          <w:rFonts w:eastAsia="Calibri"/>
          <w:lang w:val="en-US" w:eastAsia="en-US"/>
        </w:rPr>
        <w:t xml:space="preserve">Finally, I interviewed organizations established both before and after 1999 to better understand the broader implications of EU funding for Turkish civil society. </w:t>
      </w:r>
    </w:p>
    <w:p w:rsidR="00D405A1" w:rsidRPr="00F044FD" w:rsidRDefault="00D405A1" w:rsidP="00D405A1">
      <w:pPr>
        <w:pStyle w:val="Newparagraph"/>
        <w:rPr>
          <w:rFonts w:eastAsia="Calibri"/>
          <w:lang w:val="en-US" w:eastAsia="en-US"/>
        </w:rPr>
      </w:pPr>
      <w:r w:rsidRPr="00F044FD">
        <w:rPr>
          <w:rFonts w:eastAsia="Calibri"/>
          <w:lang w:val="en-US" w:eastAsia="en-US"/>
        </w:rPr>
        <w:t>Most of the interviewees are members of their organizations’ executive board. In few cases, where the board members meet only to oversee management issues and therefore do not have in-depth knowledge of their activities or in cases when they were not available, I held an interview with the most relevant staff or member. Interviews were half-structured and included several questions on whether or not they employ paid staff, what type of staff they employ, who they employ and how they feel they are impacted by EU funding. The interviews were in Turkish, lasted on average one and a half hour. I also reviewed the organizations’ websites and publications to collect any background information possible. Finally, I studied official data from Turkey’s Department of Associations and the EU</w:t>
      </w:r>
      <w:r w:rsidR="002465B3" w:rsidRPr="00F044FD">
        <w:rPr>
          <w:rFonts w:eastAsia="Calibri"/>
          <w:lang w:val="en-US" w:eastAsia="en-US"/>
        </w:rPr>
        <w:t>, and</w:t>
      </w:r>
      <w:r w:rsidRPr="00F044FD">
        <w:rPr>
          <w:rFonts w:eastAsia="Calibri"/>
          <w:lang w:val="en-US" w:eastAsia="en-US"/>
        </w:rPr>
        <w:t xml:space="preserve"> other relevant studies to contextualize the transformation of Turkish civil society.</w:t>
      </w:r>
    </w:p>
    <w:p w:rsidR="0023512C" w:rsidRPr="00F044FD" w:rsidRDefault="0023512C" w:rsidP="0023512C">
      <w:pPr>
        <w:pStyle w:val="Newparagraph"/>
        <w:rPr>
          <w:rFonts w:eastAsia="Calibri"/>
          <w:lang w:val="en-US" w:eastAsia="en-US"/>
        </w:rPr>
      </w:pPr>
      <w:r w:rsidRPr="00F044FD">
        <w:rPr>
          <w:rFonts w:eastAsia="Calibri"/>
          <w:lang w:val="en-US" w:eastAsia="en-US"/>
        </w:rPr>
        <w:t xml:space="preserve">All interviews were recorded and were supplemented by my notes taken during the interviews. To analyze the data, I first identified professionalized and partially professionalized CSOs among those that received EU funds. Given that only less than a third of those that received EU funds were professionalized or partially professionalized, I checked to find other commonalities than having used EU funds to explain professionalization. I cross-checked these commonalities with the control group. </w:t>
      </w:r>
      <w:r w:rsidRPr="00F044FD">
        <w:rPr>
          <w:rFonts w:eastAsia="Calibri"/>
          <w:lang w:val="en-US" w:eastAsia="en-US"/>
        </w:rPr>
        <w:lastRenderedPageBreak/>
        <w:t>To establish why EU funds did not professionalize the beneficiary CSOs, I analyzed answers to questions regarding employed staff. Finally, I determined certain themes (e.g.</w:t>
      </w:r>
      <w:r w:rsidR="00827BE6">
        <w:rPr>
          <w:rFonts w:eastAsia="Calibri"/>
          <w:lang w:val="en-US" w:eastAsia="en-US"/>
        </w:rPr>
        <w:t>,</w:t>
      </w:r>
      <w:r w:rsidRPr="00F044FD">
        <w:rPr>
          <w:rFonts w:eastAsia="Calibri"/>
          <w:lang w:val="en-US" w:eastAsia="en-US"/>
        </w:rPr>
        <w:t xml:space="preserve"> </w:t>
      </w:r>
      <w:r w:rsidR="00AA5414" w:rsidRPr="00F044FD">
        <w:rPr>
          <w:rFonts w:eastAsia="Calibri"/>
          <w:lang w:val="en-US" w:eastAsia="en-US"/>
        </w:rPr>
        <w:t>structure of EU funds</w:t>
      </w:r>
      <w:r w:rsidRPr="00F044FD">
        <w:rPr>
          <w:rFonts w:eastAsia="Calibri"/>
          <w:lang w:val="en-US" w:eastAsia="en-US"/>
        </w:rPr>
        <w:t>) that may relate to broader impact of professional staff or EU funds on Turkish civil society. In light of these subjects, I thematically analyzed the interviews and supplemented them with earlier research.</w:t>
      </w:r>
    </w:p>
    <w:p w:rsidR="00A66E98" w:rsidRPr="00F044FD" w:rsidRDefault="00A66E98" w:rsidP="00D405A1">
      <w:pPr>
        <w:pStyle w:val="Newparagraph"/>
        <w:rPr>
          <w:rFonts w:eastAsia="Calibri"/>
          <w:lang w:val="en-US" w:eastAsia="en-US"/>
        </w:rPr>
      </w:pPr>
    </w:p>
    <w:p w:rsidR="002B6408" w:rsidRPr="00F044FD" w:rsidRDefault="002B6408" w:rsidP="002B6408">
      <w:pPr>
        <w:pStyle w:val="Heading1"/>
        <w:rPr>
          <w:rFonts w:eastAsia="Calibri"/>
          <w:lang w:val="en-US" w:eastAsia="en-US"/>
        </w:rPr>
      </w:pPr>
      <w:r w:rsidRPr="00F044FD">
        <w:rPr>
          <w:rFonts w:eastAsia="Calibri"/>
          <w:lang w:val="en-US" w:eastAsia="en-US"/>
        </w:rPr>
        <w:t>EU Funds to Turkish Civil Society</w:t>
      </w:r>
    </w:p>
    <w:p w:rsidR="009B1F54" w:rsidRPr="00F044FD" w:rsidRDefault="009B1F54" w:rsidP="004632D6">
      <w:pPr>
        <w:pStyle w:val="Newparagraph"/>
        <w:ind w:firstLine="0"/>
        <w:rPr>
          <w:rFonts w:eastAsia="Calibri"/>
          <w:lang w:val="en-US" w:eastAsia="en-US"/>
        </w:rPr>
      </w:pPr>
      <w:r w:rsidRPr="00F044FD">
        <w:rPr>
          <w:rFonts w:eastAsia="Calibri"/>
          <w:lang w:val="en-US" w:eastAsia="en-US"/>
        </w:rPr>
        <w:t xml:space="preserve">The EU’s financial support to Turkish civil society predates Turkey’s candidacy. However, under the new financial support mechanisms in place since 1999, EU funding to Turkish civil society has increased dramatically. Since then, Turkish CSOs can benefit from pre-accession financial assistance and EU </w:t>
      </w:r>
      <w:proofErr w:type="spellStart"/>
      <w:r w:rsidRPr="00F044FD">
        <w:rPr>
          <w:rFonts w:eastAsia="Calibri"/>
          <w:lang w:val="en-US" w:eastAsia="en-US"/>
        </w:rPr>
        <w:t>programmes</w:t>
      </w:r>
      <w:proofErr w:type="spellEnd"/>
      <w:r w:rsidRPr="00F044FD">
        <w:rPr>
          <w:rFonts w:eastAsia="Calibri"/>
          <w:lang w:val="en-US" w:eastAsia="en-US"/>
        </w:rPr>
        <w:t xml:space="preserve">. These funds make up an unprecedented amount of foreign funding that Turkish civil society receives. Due to EU </w:t>
      </w:r>
      <w:proofErr w:type="spellStart"/>
      <w:r w:rsidRPr="00F044FD">
        <w:rPr>
          <w:rFonts w:eastAsia="Calibri"/>
          <w:lang w:val="en-US" w:eastAsia="en-US"/>
        </w:rPr>
        <w:t>programmes</w:t>
      </w:r>
      <w:r w:rsidR="003E6FE5" w:rsidRPr="00F044FD">
        <w:rPr>
          <w:rFonts w:eastAsia="Calibri"/>
          <w:lang w:val="en-US" w:eastAsia="en-US"/>
        </w:rPr>
        <w:t>’</w:t>
      </w:r>
      <w:proofErr w:type="spellEnd"/>
      <w:r w:rsidRPr="00F044FD">
        <w:rPr>
          <w:rFonts w:eastAsia="Calibri"/>
          <w:lang w:val="en-US" w:eastAsia="en-US"/>
        </w:rPr>
        <w:t xml:space="preserve"> multifaceted structure, this article focuses on the funds Turkish </w:t>
      </w:r>
      <w:r w:rsidR="002465B3" w:rsidRPr="00F044FD">
        <w:rPr>
          <w:rFonts w:eastAsia="Calibri"/>
          <w:lang w:val="en-US" w:eastAsia="en-US"/>
        </w:rPr>
        <w:t>CSOs</w:t>
      </w:r>
      <w:r w:rsidRPr="00F044FD">
        <w:rPr>
          <w:rFonts w:eastAsia="Calibri"/>
          <w:lang w:val="en-US" w:eastAsia="en-US"/>
        </w:rPr>
        <w:t xml:space="preserve"> received under Pre-Accession Financial Assistance. </w:t>
      </w:r>
      <w:r w:rsidR="003E6FE5" w:rsidRPr="00F044FD">
        <w:rPr>
          <w:rFonts w:eastAsia="Calibri"/>
          <w:lang w:val="en-US" w:eastAsia="en-US"/>
        </w:rPr>
        <w:t>In addition, g</w:t>
      </w:r>
      <w:r w:rsidRPr="00F044FD">
        <w:rPr>
          <w:rFonts w:eastAsia="Calibri"/>
          <w:lang w:val="en-US" w:eastAsia="en-US"/>
        </w:rPr>
        <w:t>rants under Pre-Accession Financial Assistance are better known among CSOs and th</w:t>
      </w:r>
      <w:r w:rsidR="00461208" w:rsidRPr="00F044FD">
        <w:rPr>
          <w:rFonts w:eastAsia="Calibri"/>
          <w:lang w:val="en-US" w:eastAsia="en-US"/>
        </w:rPr>
        <w:t xml:space="preserve">erefore many </w:t>
      </w:r>
      <w:r w:rsidR="003E6FE5" w:rsidRPr="00F044FD">
        <w:rPr>
          <w:rFonts w:eastAsia="Calibri"/>
          <w:lang w:val="en-US" w:eastAsia="en-US"/>
        </w:rPr>
        <w:t xml:space="preserve">CSOs </w:t>
      </w:r>
      <w:r w:rsidR="00461208" w:rsidRPr="00F044FD">
        <w:rPr>
          <w:rFonts w:eastAsia="Calibri"/>
          <w:lang w:val="en-US" w:eastAsia="en-US"/>
        </w:rPr>
        <w:t>associate “t</w:t>
      </w:r>
      <w:r w:rsidRPr="00F044FD">
        <w:rPr>
          <w:rFonts w:eastAsia="Calibri"/>
          <w:lang w:val="en-US" w:eastAsia="en-US"/>
        </w:rPr>
        <w:t>he idea of EU funds</w:t>
      </w:r>
      <w:r w:rsidR="00461208" w:rsidRPr="00F044FD">
        <w:rPr>
          <w:rFonts w:eastAsia="Calibri"/>
          <w:lang w:val="en-US" w:eastAsia="en-US"/>
        </w:rPr>
        <w:t>”</w:t>
      </w:r>
      <w:r w:rsidRPr="00F044FD">
        <w:rPr>
          <w:rFonts w:eastAsia="Calibri"/>
          <w:lang w:val="en-US" w:eastAsia="en-US"/>
        </w:rPr>
        <w:t xml:space="preserve"> with those that come through </w:t>
      </w:r>
      <w:r w:rsidR="003E6FE5" w:rsidRPr="00F044FD">
        <w:rPr>
          <w:rFonts w:eastAsia="Calibri"/>
          <w:lang w:val="en-US" w:eastAsia="en-US"/>
        </w:rPr>
        <w:t>this</w:t>
      </w:r>
      <w:r w:rsidRPr="00F044FD">
        <w:rPr>
          <w:rFonts w:eastAsia="Calibri"/>
          <w:lang w:val="en-US" w:eastAsia="en-US"/>
        </w:rPr>
        <w:t xml:space="preserve"> Assistance.  </w:t>
      </w:r>
    </w:p>
    <w:p w:rsidR="009B1F54" w:rsidRPr="00F044FD" w:rsidRDefault="009B1F54" w:rsidP="009B1F54">
      <w:pPr>
        <w:pStyle w:val="Newparagraph"/>
        <w:rPr>
          <w:rFonts w:eastAsia="Calibri"/>
          <w:lang w:val="en-US" w:eastAsia="en-US"/>
        </w:rPr>
      </w:pPr>
      <w:r w:rsidRPr="00F044FD">
        <w:rPr>
          <w:rFonts w:eastAsia="Calibri"/>
          <w:lang w:val="en-US" w:eastAsia="en-US"/>
        </w:rPr>
        <w:t>Turkey started receiving funds from Pre-Accession Financial Assistance in 2002. During the first period that lasted until 2006 Turkey received 1.3 billion Euros and in the following phase between 2007 and 2013</w:t>
      </w:r>
      <w:r w:rsidRPr="00F044FD">
        <w:rPr>
          <w:rFonts w:eastAsia="Calibri"/>
          <w:vertAlign w:val="superscript"/>
          <w:lang w:val="en-US" w:eastAsia="en-US"/>
        </w:rPr>
        <w:endnoteReference w:id="56"/>
      </w:r>
      <w:r w:rsidRPr="00F044FD">
        <w:rPr>
          <w:rFonts w:eastAsia="Calibri"/>
          <w:lang w:val="en-US" w:eastAsia="en-US"/>
        </w:rPr>
        <w:t xml:space="preserve"> the amount reached 4.8 billion Euros. The EU allocated 4.5 billion Euros for Turkey under the new phase that will run through 2020. The overall aim of pre-accession assistance is to support efforts and projects relating to Turkey’s harmonization to the EU as well as its economic and social development.</w:t>
      </w:r>
      <w:r w:rsidRPr="00F044FD">
        <w:rPr>
          <w:rFonts w:eastAsia="Calibri"/>
          <w:vertAlign w:val="superscript"/>
          <w:lang w:val="en-US" w:eastAsia="en-US"/>
        </w:rPr>
        <w:endnoteReference w:id="57"/>
      </w:r>
      <w:r w:rsidRPr="00F044FD">
        <w:rPr>
          <w:rFonts w:eastAsia="Calibri"/>
          <w:lang w:val="en-US" w:eastAsia="en-US"/>
        </w:rPr>
        <w:t xml:space="preserve"> Civil society support </w:t>
      </w:r>
      <w:r w:rsidRPr="00F044FD">
        <w:rPr>
          <w:rFonts w:eastAsia="Calibri"/>
          <w:shd w:val="clear" w:color="auto" w:fill="FFFFFF"/>
          <w:lang w:val="en-US" w:eastAsia="en-US"/>
        </w:rPr>
        <w:t xml:space="preserve">under the pre-accession assistance complements these broader objectives. In addition, with this support, the EU aims to improve mutual </w:t>
      </w:r>
      <w:r w:rsidRPr="00F044FD">
        <w:rPr>
          <w:rFonts w:eastAsia="Calibri"/>
          <w:shd w:val="clear" w:color="auto" w:fill="FFFFFF"/>
          <w:lang w:val="en-US" w:eastAsia="en-US"/>
        </w:rPr>
        <w:lastRenderedPageBreak/>
        <w:t>knowledge and understanding between member states and Turkish society</w:t>
      </w:r>
      <w:r w:rsidRPr="00F044FD">
        <w:rPr>
          <w:rFonts w:eastAsia="Calibri"/>
          <w:shd w:val="clear" w:color="auto" w:fill="FFFFFF"/>
          <w:vertAlign w:val="superscript"/>
          <w:lang w:val="en-US" w:eastAsia="en-US"/>
        </w:rPr>
        <w:endnoteReference w:id="58"/>
      </w:r>
      <w:r w:rsidRPr="00F044FD">
        <w:rPr>
          <w:rFonts w:eastAsia="Calibri"/>
          <w:shd w:val="clear" w:color="auto" w:fill="FFFFFF"/>
          <w:lang w:val="en-US" w:eastAsia="en-US"/>
        </w:rPr>
        <w:t xml:space="preserve"> and more broadly support the development and capacity building of CSOs.</w:t>
      </w:r>
      <w:r w:rsidRPr="00F044FD">
        <w:rPr>
          <w:rFonts w:eastAsia="Calibri"/>
          <w:shd w:val="clear" w:color="auto" w:fill="FFFFFF"/>
          <w:vertAlign w:val="superscript"/>
          <w:lang w:val="en-US" w:eastAsia="en-US"/>
        </w:rPr>
        <w:endnoteReference w:id="59"/>
      </w:r>
    </w:p>
    <w:p w:rsidR="009B1F54" w:rsidRPr="00F044FD" w:rsidRDefault="009B1F54" w:rsidP="009B1F54">
      <w:pPr>
        <w:pStyle w:val="Newparagraph"/>
        <w:rPr>
          <w:rFonts w:eastAsia="Calibri"/>
          <w:shd w:val="clear" w:color="auto" w:fill="FFFFFF"/>
          <w:lang w:val="en-US" w:eastAsia="en-US"/>
        </w:rPr>
      </w:pPr>
      <w:r w:rsidRPr="00F044FD">
        <w:rPr>
          <w:rFonts w:eastAsia="Calibri"/>
          <w:shd w:val="clear" w:color="auto" w:fill="FFFFFF"/>
          <w:lang w:val="en-US" w:eastAsia="en-US"/>
        </w:rPr>
        <w:t>The EU adopts a broad definition of civil society that includes all non-state, not-for-profit, non-partisan and non-violent structures, through which people organize to pursue their shared objectives and ideals as CSOs.</w:t>
      </w:r>
      <w:r w:rsidRPr="00F044FD">
        <w:rPr>
          <w:rFonts w:eastAsia="Calibri"/>
          <w:shd w:val="clear" w:color="auto" w:fill="FFFFFF"/>
          <w:vertAlign w:val="superscript"/>
          <w:lang w:val="en-US" w:eastAsia="en-US"/>
        </w:rPr>
        <w:endnoteReference w:id="60"/>
      </w:r>
      <w:r w:rsidRPr="00F044FD">
        <w:rPr>
          <w:rFonts w:eastAsia="Calibri"/>
          <w:shd w:val="clear" w:color="auto" w:fill="FFFFFF"/>
          <w:lang w:val="en-US" w:eastAsia="en-US"/>
        </w:rPr>
        <w:t xml:space="preserve"> A</w:t>
      </w:r>
      <w:r w:rsidR="00F7289C" w:rsidRPr="00F044FD">
        <w:rPr>
          <w:rFonts w:eastAsia="Calibri"/>
          <w:shd w:val="clear" w:color="auto" w:fill="FFFFFF"/>
          <w:lang w:val="en-US" w:eastAsia="en-US"/>
        </w:rPr>
        <w:t xml:space="preserve">ccordingly, </w:t>
      </w:r>
      <w:proofErr w:type="spellStart"/>
      <w:r w:rsidR="00F7289C" w:rsidRPr="00F044FD">
        <w:rPr>
          <w:rFonts w:eastAsia="Calibri"/>
          <w:shd w:val="clear" w:color="auto" w:fill="FFFFFF"/>
          <w:lang w:val="en-US" w:eastAsia="en-US"/>
        </w:rPr>
        <w:t>programmes</w:t>
      </w:r>
      <w:proofErr w:type="spellEnd"/>
      <w:r w:rsidR="00F7289C" w:rsidRPr="00F044FD">
        <w:rPr>
          <w:rFonts w:eastAsia="Calibri"/>
          <w:shd w:val="clear" w:color="auto" w:fill="FFFFFF"/>
          <w:lang w:val="en-US" w:eastAsia="en-US"/>
        </w:rPr>
        <w:t xml:space="preserve"> under Instrument for Pre-Accession Assistance</w:t>
      </w:r>
      <w:r w:rsidR="002B6408" w:rsidRPr="00F044FD">
        <w:rPr>
          <w:rStyle w:val="EndnoteReference"/>
          <w:rFonts w:eastAsia="Calibri"/>
          <w:shd w:val="clear" w:color="auto" w:fill="FFFFFF"/>
          <w:lang w:val="en-US" w:eastAsia="en-US"/>
        </w:rPr>
        <w:endnoteReference w:id="61"/>
      </w:r>
      <w:r w:rsidR="00F7289C" w:rsidRPr="00F044FD">
        <w:rPr>
          <w:rFonts w:eastAsia="Calibri"/>
          <w:shd w:val="clear" w:color="auto" w:fill="FFFFFF"/>
          <w:lang w:val="en-US" w:eastAsia="en-US"/>
        </w:rPr>
        <w:t xml:space="preserve"> (IPA)</w:t>
      </w:r>
      <w:r w:rsidRPr="00F044FD">
        <w:rPr>
          <w:rFonts w:eastAsia="Calibri"/>
          <w:shd w:val="clear" w:color="auto" w:fill="FFFFFF"/>
          <w:lang w:val="en-US" w:eastAsia="en-US"/>
        </w:rPr>
        <w:t xml:space="preserve"> are open to various actors including </w:t>
      </w:r>
      <w:r w:rsidR="00F7289C" w:rsidRPr="00F044FD">
        <w:rPr>
          <w:rFonts w:eastAsia="Calibri"/>
          <w:shd w:val="clear" w:color="auto" w:fill="FFFFFF"/>
          <w:lang w:val="en-US" w:eastAsia="en-US"/>
        </w:rPr>
        <w:t>non-governmental organizations (</w:t>
      </w:r>
      <w:r w:rsidRPr="00F044FD">
        <w:rPr>
          <w:rFonts w:eastAsia="Calibri"/>
          <w:shd w:val="clear" w:color="auto" w:fill="FFFFFF"/>
          <w:lang w:val="en-US" w:eastAsia="en-US"/>
        </w:rPr>
        <w:t>NGOs</w:t>
      </w:r>
      <w:r w:rsidR="00F7289C" w:rsidRPr="00F044FD">
        <w:rPr>
          <w:rFonts w:eastAsia="Calibri"/>
          <w:shd w:val="clear" w:color="auto" w:fill="FFFFFF"/>
          <w:lang w:val="en-US" w:eastAsia="en-US"/>
        </w:rPr>
        <w:t>)</w:t>
      </w:r>
      <w:r w:rsidRPr="00F044FD">
        <w:rPr>
          <w:rFonts w:eastAsia="Calibri"/>
          <w:shd w:val="clear" w:color="auto" w:fill="FFFFFF"/>
          <w:lang w:val="en-US" w:eastAsia="en-US"/>
        </w:rPr>
        <w:t xml:space="preserve">, unions, cooperatives, universities, municipalities and </w:t>
      </w:r>
      <w:r w:rsidR="005D70D8" w:rsidRPr="00F044FD">
        <w:rPr>
          <w:rFonts w:eastAsia="Calibri"/>
          <w:shd w:val="clear" w:color="auto" w:fill="FFFFFF"/>
          <w:lang w:val="en-US" w:eastAsia="en-US"/>
        </w:rPr>
        <w:t>small- and medium-size enterprises (</w:t>
      </w:r>
      <w:r w:rsidRPr="00F044FD">
        <w:rPr>
          <w:rFonts w:eastAsia="Calibri"/>
          <w:shd w:val="clear" w:color="auto" w:fill="FFFFFF"/>
          <w:lang w:val="en-US" w:eastAsia="en-US"/>
        </w:rPr>
        <w:t>SMEs</w:t>
      </w:r>
      <w:r w:rsidR="005D70D8" w:rsidRPr="00F044FD">
        <w:rPr>
          <w:rFonts w:eastAsia="Calibri"/>
          <w:shd w:val="clear" w:color="auto" w:fill="FFFFFF"/>
          <w:lang w:val="en-US" w:eastAsia="en-US"/>
        </w:rPr>
        <w:t>)</w:t>
      </w:r>
      <w:r w:rsidRPr="00F044FD">
        <w:rPr>
          <w:rFonts w:eastAsia="Calibri"/>
          <w:shd w:val="clear" w:color="auto" w:fill="FFFFFF"/>
          <w:lang w:val="en-US" w:eastAsia="en-US"/>
        </w:rPr>
        <w:t>. This article focuses on</w:t>
      </w:r>
      <w:r w:rsidR="00BA50B3" w:rsidRPr="00F044FD">
        <w:rPr>
          <w:rFonts w:eastAsia="Calibri"/>
          <w:shd w:val="clear" w:color="auto" w:fill="FFFFFF"/>
          <w:lang w:val="en-US" w:eastAsia="en-US"/>
        </w:rPr>
        <w:t xml:space="preserve"> the</w:t>
      </w:r>
      <w:r w:rsidRPr="00F044FD">
        <w:rPr>
          <w:rFonts w:eastAsia="Calibri"/>
          <w:shd w:val="clear" w:color="auto" w:fill="FFFFFF"/>
          <w:lang w:val="en-US" w:eastAsia="en-US"/>
        </w:rPr>
        <w:t xml:space="preserve"> support given to associations and foundations </w:t>
      </w:r>
      <w:r w:rsidR="002465B3" w:rsidRPr="00F044FD">
        <w:rPr>
          <w:rFonts w:eastAsia="Calibri"/>
          <w:shd w:val="clear" w:color="auto" w:fill="FFFFFF"/>
          <w:lang w:val="en-US" w:eastAsia="en-US"/>
        </w:rPr>
        <w:t xml:space="preserve">because </w:t>
      </w:r>
      <w:r w:rsidRPr="00F044FD">
        <w:rPr>
          <w:rFonts w:eastAsia="Calibri"/>
          <w:shd w:val="clear" w:color="auto" w:fill="FFFFFF"/>
          <w:lang w:val="en-US" w:eastAsia="en-US"/>
        </w:rPr>
        <w:t>they are usually considered as the two main actors of Turkish civil society. From 2002 until the end of 2014, associations and foundations have carried out 972 projects and received 89.230.432,56 Euros of grants under above-mentioned pre-accession financial assistance.</w:t>
      </w:r>
      <w:r w:rsidRPr="00F044FD">
        <w:rPr>
          <w:rFonts w:eastAsia="Calibri"/>
          <w:shd w:val="clear" w:color="auto" w:fill="FFFFFF"/>
          <w:vertAlign w:val="superscript"/>
          <w:lang w:val="en-US" w:eastAsia="en-US"/>
        </w:rPr>
        <w:endnoteReference w:id="62"/>
      </w:r>
      <w:r w:rsidRPr="00F044FD">
        <w:rPr>
          <w:rFonts w:eastAsia="Calibri"/>
          <w:shd w:val="clear" w:color="auto" w:fill="FFFFFF"/>
          <w:lang w:val="en-US" w:eastAsia="en-US"/>
        </w:rPr>
        <w:t xml:space="preserve"> With the new phase of IPA II discussed below, as of July 201</w:t>
      </w:r>
      <w:r w:rsidR="006A1053" w:rsidRPr="00F044FD">
        <w:rPr>
          <w:rFonts w:eastAsia="Calibri"/>
          <w:shd w:val="clear" w:color="auto" w:fill="FFFFFF"/>
          <w:lang w:val="en-US" w:eastAsia="en-US"/>
        </w:rPr>
        <w:t>8</w:t>
      </w:r>
      <w:r w:rsidRPr="00F044FD">
        <w:rPr>
          <w:rFonts w:eastAsia="Calibri"/>
          <w:shd w:val="clear" w:color="auto" w:fill="FFFFFF"/>
          <w:lang w:val="en-US" w:eastAsia="en-US"/>
        </w:rPr>
        <w:t xml:space="preserve">, the total number of completed projects supported </w:t>
      </w:r>
      <w:r w:rsidRPr="00F044FD">
        <w:rPr>
          <w:rFonts w:eastAsia="Calibri"/>
          <w:lang w:val="en-US" w:eastAsia="en-US"/>
        </w:rPr>
        <w:t>under subsequent pre-accession financial assistance</w:t>
      </w:r>
      <w:r w:rsidRPr="00F044FD">
        <w:rPr>
          <w:rFonts w:eastAsia="Calibri"/>
          <w:shd w:val="clear" w:color="auto" w:fill="FFFFFF"/>
          <w:lang w:val="en-US" w:eastAsia="en-US"/>
        </w:rPr>
        <w:t xml:space="preserve"> increased to 101</w:t>
      </w:r>
      <w:r w:rsidR="006A1053" w:rsidRPr="00F044FD">
        <w:rPr>
          <w:rFonts w:eastAsia="Calibri"/>
          <w:shd w:val="clear" w:color="auto" w:fill="FFFFFF"/>
          <w:lang w:val="en-US" w:eastAsia="en-US"/>
        </w:rPr>
        <w:t>8</w:t>
      </w:r>
      <w:r w:rsidR="003E6FE5" w:rsidRPr="00F044FD">
        <w:rPr>
          <w:rFonts w:eastAsia="Calibri"/>
          <w:shd w:val="clear" w:color="auto" w:fill="FFFFFF"/>
          <w:lang w:val="en-US" w:eastAsia="en-US"/>
        </w:rPr>
        <w:t>.</w:t>
      </w:r>
      <w:r w:rsidRPr="00F044FD">
        <w:rPr>
          <w:rFonts w:eastAsia="Calibri"/>
          <w:shd w:val="clear" w:color="auto" w:fill="FFFFFF"/>
          <w:lang w:val="en-US" w:eastAsia="en-US"/>
        </w:rPr>
        <w:t xml:space="preserve"> </w:t>
      </w:r>
      <w:r w:rsidR="003E6FE5" w:rsidRPr="00F044FD">
        <w:rPr>
          <w:rFonts w:eastAsia="Calibri"/>
          <w:shd w:val="clear" w:color="auto" w:fill="FFFFFF"/>
          <w:lang w:val="en-US" w:eastAsia="en-US"/>
        </w:rPr>
        <w:t>T</w:t>
      </w:r>
      <w:r w:rsidRPr="00F044FD">
        <w:rPr>
          <w:rFonts w:eastAsia="Calibri"/>
          <w:shd w:val="clear" w:color="auto" w:fill="FFFFFF"/>
          <w:lang w:val="en-US" w:eastAsia="en-US"/>
        </w:rPr>
        <w:t>he total amount of grants awarded to these projects is 92.</w:t>
      </w:r>
      <w:r w:rsidR="006A1053" w:rsidRPr="00F044FD">
        <w:rPr>
          <w:rFonts w:eastAsia="Calibri"/>
          <w:shd w:val="clear" w:color="auto" w:fill="FFFFFF"/>
          <w:lang w:val="en-US" w:eastAsia="en-US"/>
        </w:rPr>
        <w:t>525.329,10</w:t>
      </w:r>
      <w:r w:rsidRPr="00F044FD">
        <w:rPr>
          <w:rFonts w:eastAsia="Calibri"/>
          <w:shd w:val="clear" w:color="auto" w:fill="FFFFFF"/>
          <w:lang w:val="en-US" w:eastAsia="en-US"/>
        </w:rPr>
        <w:t xml:space="preserve"> Euros.</w:t>
      </w:r>
      <w:r w:rsidRPr="00F044FD">
        <w:rPr>
          <w:rFonts w:eastAsia="Calibri"/>
          <w:shd w:val="clear" w:color="auto" w:fill="FFFFFF"/>
          <w:vertAlign w:val="superscript"/>
          <w:lang w:val="en-US" w:eastAsia="en-US"/>
        </w:rPr>
        <w:endnoteReference w:id="63"/>
      </w:r>
      <w:r w:rsidRPr="00F044FD">
        <w:rPr>
          <w:rFonts w:eastAsia="Calibri"/>
          <w:shd w:val="clear" w:color="auto" w:fill="FFFFFF"/>
          <w:lang w:val="en-US" w:eastAsia="en-US"/>
        </w:rPr>
        <w:t xml:space="preserve"> </w:t>
      </w:r>
    </w:p>
    <w:p w:rsidR="009B1F54" w:rsidRPr="00F044FD" w:rsidRDefault="009B1F54" w:rsidP="009B1F54">
      <w:pPr>
        <w:pStyle w:val="Newparagraph"/>
        <w:rPr>
          <w:rFonts w:eastAsia="Calibri"/>
          <w:shd w:val="clear" w:color="auto" w:fill="FFFFFF"/>
          <w:lang w:val="en-US" w:eastAsia="en-US"/>
        </w:rPr>
      </w:pPr>
      <w:r w:rsidRPr="00F044FD">
        <w:rPr>
          <w:rFonts w:eastAsia="Calibri"/>
          <w:shd w:val="clear" w:color="auto" w:fill="FFFFFF"/>
          <w:lang w:val="en-US" w:eastAsia="en-US"/>
        </w:rPr>
        <w:t>Understanding EU funds</w:t>
      </w:r>
      <w:r w:rsidR="003E6FE5" w:rsidRPr="00F044FD">
        <w:rPr>
          <w:rFonts w:eastAsia="Calibri"/>
          <w:shd w:val="clear" w:color="auto" w:fill="FFFFFF"/>
          <w:lang w:val="en-US" w:eastAsia="en-US"/>
        </w:rPr>
        <w:t>’</w:t>
      </w:r>
      <w:r w:rsidRPr="00F044FD">
        <w:rPr>
          <w:rFonts w:eastAsia="Calibri"/>
          <w:shd w:val="clear" w:color="auto" w:fill="FFFFFF"/>
          <w:lang w:val="en-US" w:eastAsia="en-US"/>
        </w:rPr>
        <w:t xml:space="preserve"> potential link to the professionalization of CSOs requires look</w:t>
      </w:r>
      <w:r w:rsidR="00F041E5" w:rsidRPr="00F044FD">
        <w:rPr>
          <w:rFonts w:eastAsia="Calibri"/>
          <w:shd w:val="clear" w:color="auto" w:fill="FFFFFF"/>
          <w:lang w:val="en-US" w:eastAsia="en-US"/>
        </w:rPr>
        <w:t>ing at the</w:t>
      </w:r>
      <w:r w:rsidR="003E6FE5" w:rsidRPr="00F044FD">
        <w:rPr>
          <w:rFonts w:eastAsia="Calibri"/>
          <w:shd w:val="clear" w:color="auto" w:fill="FFFFFF"/>
          <w:lang w:val="en-US" w:eastAsia="en-US"/>
        </w:rPr>
        <w:t>se</w:t>
      </w:r>
      <w:r w:rsidR="00F041E5" w:rsidRPr="00F044FD">
        <w:rPr>
          <w:rFonts w:eastAsia="Calibri"/>
          <w:shd w:val="clear" w:color="auto" w:fill="FFFFFF"/>
          <w:lang w:val="en-US" w:eastAsia="en-US"/>
        </w:rPr>
        <w:t xml:space="preserve"> funds in more detail. The f</w:t>
      </w:r>
      <w:r w:rsidRPr="00F044FD">
        <w:rPr>
          <w:rFonts w:eastAsia="Calibri"/>
          <w:shd w:val="clear" w:color="auto" w:fill="FFFFFF"/>
          <w:lang w:val="en-US" w:eastAsia="en-US"/>
        </w:rPr>
        <w:t xml:space="preserve">irst issue is the amount of distributed grants. Depending on the program and the proposed project, the amount of grant received by a CSO ranges from anything just below ten thousand Euros to a few hundred thousand Euros. </w:t>
      </w:r>
      <w:r w:rsidR="00A60D43" w:rsidRPr="00F044FD">
        <w:rPr>
          <w:rFonts w:eastAsia="Calibri"/>
          <w:shd w:val="clear" w:color="auto" w:fill="FFFFFF"/>
          <w:lang w:val="en-US" w:eastAsia="en-US"/>
        </w:rPr>
        <w:t>The s</w:t>
      </w:r>
      <w:r w:rsidRPr="00F044FD">
        <w:rPr>
          <w:rFonts w:eastAsia="Calibri"/>
          <w:shd w:val="clear" w:color="auto" w:fill="FFFFFF"/>
          <w:lang w:val="en-US" w:eastAsia="en-US"/>
        </w:rPr>
        <w:t xml:space="preserve">econd issue is the duration of the projects. Most projects last around </w:t>
      </w:r>
      <w:r w:rsidR="00C16EA3" w:rsidRPr="00F044FD">
        <w:rPr>
          <w:rFonts w:eastAsia="Calibri"/>
          <w:shd w:val="clear" w:color="auto" w:fill="FFFFFF"/>
          <w:lang w:val="en-US" w:eastAsia="en-US"/>
        </w:rPr>
        <w:t>ten</w:t>
      </w:r>
      <w:r w:rsidRPr="00F044FD">
        <w:rPr>
          <w:rFonts w:eastAsia="Calibri"/>
          <w:shd w:val="clear" w:color="auto" w:fill="FFFFFF"/>
          <w:lang w:val="en-US" w:eastAsia="en-US"/>
        </w:rPr>
        <w:t xml:space="preserve"> to 18 months, although some could be a little shorter. All in all, under most programs, it is not uncommon for a civil society organization to receive tens of thousands of Euros for a period that rarely exceeds 18 month</w:t>
      </w:r>
      <w:r w:rsidR="002F33E1" w:rsidRPr="00F044FD">
        <w:rPr>
          <w:rFonts w:eastAsia="Calibri"/>
          <w:shd w:val="clear" w:color="auto" w:fill="FFFFFF"/>
          <w:lang w:val="en-US" w:eastAsia="en-US"/>
        </w:rPr>
        <w:t>s. Third, EU funds are activity-</w:t>
      </w:r>
      <w:r w:rsidRPr="00F044FD">
        <w:rPr>
          <w:rFonts w:eastAsia="Calibri"/>
          <w:shd w:val="clear" w:color="auto" w:fill="FFFFFF"/>
          <w:lang w:val="en-US" w:eastAsia="en-US"/>
        </w:rPr>
        <w:t>orie</w:t>
      </w:r>
      <w:r w:rsidR="0005506F" w:rsidRPr="00F044FD">
        <w:rPr>
          <w:rFonts w:eastAsia="Calibri"/>
          <w:shd w:val="clear" w:color="auto" w:fill="FFFFFF"/>
          <w:lang w:val="en-US" w:eastAsia="en-US"/>
        </w:rPr>
        <w:t>nted, meaning that the principal</w:t>
      </w:r>
      <w:r w:rsidRPr="00F044FD">
        <w:rPr>
          <w:rFonts w:eastAsia="Calibri"/>
          <w:shd w:val="clear" w:color="auto" w:fill="FFFFFF"/>
          <w:lang w:val="en-US" w:eastAsia="en-US"/>
        </w:rPr>
        <w:t xml:space="preserve"> aim of the grants is to implement a set of predetermined activities. Coupled with these </w:t>
      </w:r>
      <w:proofErr w:type="spellStart"/>
      <w:r w:rsidRPr="00F044FD">
        <w:rPr>
          <w:rFonts w:eastAsia="Calibri"/>
          <w:shd w:val="clear" w:color="auto" w:fill="FFFFFF"/>
          <w:lang w:val="en-US" w:eastAsia="en-US"/>
        </w:rPr>
        <w:t>programmes’</w:t>
      </w:r>
      <w:proofErr w:type="spellEnd"/>
      <w:r w:rsidRPr="00F044FD">
        <w:rPr>
          <w:rFonts w:eastAsia="Calibri"/>
          <w:shd w:val="clear" w:color="auto" w:fill="FFFFFF"/>
          <w:lang w:val="en-US" w:eastAsia="en-US"/>
        </w:rPr>
        <w:t xml:space="preserve"> expectation for visibility and </w:t>
      </w:r>
      <w:r w:rsidRPr="00F044FD">
        <w:rPr>
          <w:rFonts w:eastAsia="Calibri"/>
          <w:shd w:val="clear" w:color="auto" w:fill="FFFFFF"/>
          <w:lang w:val="en-US" w:eastAsia="en-US"/>
        </w:rPr>
        <w:lastRenderedPageBreak/>
        <w:t>output</w:t>
      </w:r>
      <w:r w:rsidR="002F33E1" w:rsidRPr="00F044FD">
        <w:rPr>
          <w:rFonts w:eastAsia="Calibri"/>
          <w:shd w:val="clear" w:color="auto" w:fill="FFFFFF"/>
          <w:lang w:val="en-US" w:eastAsia="en-US"/>
        </w:rPr>
        <w:t>,</w:t>
      </w:r>
      <w:r w:rsidRPr="00F044FD">
        <w:rPr>
          <w:rFonts w:eastAsia="Calibri"/>
          <w:shd w:val="clear" w:color="auto" w:fill="FFFFFF"/>
          <w:lang w:val="en-US" w:eastAsia="en-US"/>
        </w:rPr>
        <w:t xml:space="preserve"> CSOs end up running several activities during the project’s relatively short life span. </w:t>
      </w:r>
    </w:p>
    <w:p w:rsidR="009B1F54" w:rsidRPr="00F044FD" w:rsidRDefault="009B1F54" w:rsidP="00914C84">
      <w:pPr>
        <w:pStyle w:val="Newparagraph"/>
        <w:rPr>
          <w:rFonts w:eastAsia="Calibri"/>
          <w:shd w:val="clear" w:color="auto" w:fill="FFFFFF"/>
          <w:lang w:val="en-US" w:eastAsia="en-US"/>
        </w:rPr>
      </w:pPr>
      <w:r w:rsidRPr="00F044FD">
        <w:rPr>
          <w:rFonts w:eastAsia="Calibri"/>
          <w:shd w:val="clear" w:color="auto" w:fill="FFFFFF"/>
          <w:lang w:val="en-US" w:eastAsia="en-US"/>
        </w:rPr>
        <w:t>Implementing EU-funded projects may become a challenge for CSOs in Turkey. Most CSOs have relatively smal</w:t>
      </w:r>
      <w:r w:rsidR="0070783D" w:rsidRPr="00F044FD">
        <w:rPr>
          <w:rFonts w:eastAsia="Calibri"/>
          <w:shd w:val="clear" w:color="auto" w:fill="FFFFFF"/>
          <w:lang w:val="en-US" w:eastAsia="en-US"/>
        </w:rPr>
        <w:t>l</w:t>
      </w:r>
      <w:r w:rsidRPr="00F044FD">
        <w:rPr>
          <w:rFonts w:eastAsia="Calibri"/>
          <w:shd w:val="clear" w:color="auto" w:fill="FFFFFF"/>
          <w:lang w:val="en-US" w:eastAsia="en-US"/>
        </w:rPr>
        <w:t xml:space="preserve"> budgets and accordingly limited operational capacity. Most interviewed organizations that carried out EU-funded projects acknowledged that the budget of EU-funded projects is above their standard budget or the budget they are used to managing. In addition, EU-funded projects come with a workload and intensity of activities usually not experienced by that organization. Interviewed CSOs also complain about the overwhelming red tape in terms of reporting requirements. The EU, probably in anti</w:t>
      </w:r>
      <w:r w:rsidR="00555E09" w:rsidRPr="00F044FD">
        <w:rPr>
          <w:rFonts w:eastAsia="Calibri"/>
          <w:shd w:val="clear" w:color="auto" w:fill="FFFFFF"/>
          <w:lang w:val="en-US" w:eastAsia="en-US"/>
        </w:rPr>
        <w:t>cipation of this, funds project-</w:t>
      </w:r>
      <w:r w:rsidRPr="00F044FD">
        <w:rPr>
          <w:rFonts w:eastAsia="Calibri"/>
          <w:shd w:val="clear" w:color="auto" w:fill="FFFFFF"/>
          <w:lang w:val="en-US" w:eastAsia="en-US"/>
        </w:rPr>
        <w:t>related staff’s employment (including managerial positions such as project coordinator) as part of these grants. Being able to have this item in the budget seems to work both ways. On the one hand, the EU can rightfully expect an effective</w:t>
      </w:r>
      <w:r w:rsidR="005B0F8E" w:rsidRPr="00F044FD">
        <w:rPr>
          <w:rFonts w:eastAsia="Calibri"/>
          <w:shd w:val="clear" w:color="auto" w:fill="FFFFFF"/>
          <w:lang w:val="en-US" w:eastAsia="en-US"/>
        </w:rPr>
        <w:t xml:space="preserve"> project</w:t>
      </w:r>
      <w:r w:rsidRPr="00F044FD">
        <w:rPr>
          <w:rFonts w:eastAsia="Calibri"/>
          <w:shd w:val="clear" w:color="auto" w:fill="FFFFFF"/>
          <w:lang w:val="en-US" w:eastAsia="en-US"/>
        </w:rPr>
        <w:t xml:space="preserve"> implementation since it is funding staff explicitly for </w:t>
      </w:r>
      <w:r w:rsidR="005B0F8E" w:rsidRPr="00F044FD">
        <w:rPr>
          <w:rFonts w:eastAsia="Calibri"/>
          <w:shd w:val="clear" w:color="auto" w:fill="FFFFFF"/>
          <w:lang w:val="en-US" w:eastAsia="en-US"/>
        </w:rPr>
        <w:t>that purpose</w:t>
      </w:r>
      <w:r w:rsidRPr="00F044FD">
        <w:rPr>
          <w:rFonts w:eastAsia="Calibri"/>
          <w:shd w:val="clear" w:color="auto" w:fill="FFFFFF"/>
          <w:lang w:val="en-US" w:eastAsia="en-US"/>
        </w:rPr>
        <w:t>. On the other hand, CSO</w:t>
      </w:r>
      <w:r w:rsidR="004D0FF0" w:rsidRPr="00F044FD">
        <w:rPr>
          <w:rFonts w:eastAsia="Calibri"/>
          <w:shd w:val="clear" w:color="auto" w:fill="FFFFFF"/>
          <w:lang w:val="en-US" w:eastAsia="en-US"/>
        </w:rPr>
        <w:t>s</w:t>
      </w:r>
      <w:r w:rsidRPr="00F044FD">
        <w:rPr>
          <w:rFonts w:eastAsia="Calibri"/>
          <w:shd w:val="clear" w:color="auto" w:fill="FFFFFF"/>
          <w:lang w:val="en-US" w:eastAsia="en-US"/>
        </w:rPr>
        <w:t xml:space="preserve"> can successfully implement </w:t>
      </w:r>
      <w:r w:rsidR="00F12A4E" w:rsidRPr="00F044FD">
        <w:rPr>
          <w:rFonts w:eastAsia="Calibri"/>
          <w:shd w:val="clear" w:color="auto" w:fill="FFFFFF"/>
          <w:lang w:val="en-US" w:eastAsia="en-US"/>
        </w:rPr>
        <w:t>their</w:t>
      </w:r>
      <w:r w:rsidRPr="00F044FD">
        <w:rPr>
          <w:rFonts w:eastAsia="Calibri"/>
          <w:shd w:val="clear" w:color="auto" w:fill="FFFFFF"/>
          <w:lang w:val="en-US" w:eastAsia="en-US"/>
        </w:rPr>
        <w:t xml:space="preserve"> project without putting so </w:t>
      </w:r>
      <w:r w:rsidR="000653DD" w:rsidRPr="00F044FD">
        <w:rPr>
          <w:rFonts w:eastAsia="Calibri"/>
          <w:shd w:val="clear" w:color="auto" w:fill="FFFFFF"/>
          <w:lang w:val="en-US" w:eastAsia="en-US"/>
        </w:rPr>
        <w:t xml:space="preserve">much </w:t>
      </w:r>
      <w:r w:rsidRPr="00F044FD">
        <w:rPr>
          <w:rFonts w:eastAsia="Calibri"/>
          <w:shd w:val="clear" w:color="auto" w:fill="FFFFFF"/>
          <w:lang w:val="en-US" w:eastAsia="en-US"/>
        </w:rPr>
        <w:t>burden on the</w:t>
      </w:r>
      <w:r w:rsidR="000653DD" w:rsidRPr="00F044FD">
        <w:rPr>
          <w:rFonts w:eastAsia="Calibri"/>
          <w:shd w:val="clear" w:color="auto" w:fill="FFFFFF"/>
          <w:lang w:val="en-US" w:eastAsia="en-US"/>
        </w:rPr>
        <w:t xml:space="preserve"> members’</w:t>
      </w:r>
      <w:r w:rsidRPr="00F044FD">
        <w:rPr>
          <w:rFonts w:eastAsia="Calibri"/>
          <w:shd w:val="clear" w:color="auto" w:fill="FFFFFF"/>
          <w:lang w:val="en-US" w:eastAsia="en-US"/>
        </w:rPr>
        <w:t xml:space="preserve"> shoulders. However, </w:t>
      </w:r>
      <w:r w:rsidR="000653DD" w:rsidRPr="00F044FD">
        <w:rPr>
          <w:rFonts w:eastAsia="Calibri"/>
          <w:shd w:val="clear" w:color="auto" w:fill="FFFFFF"/>
          <w:lang w:val="en-US" w:eastAsia="en-US"/>
        </w:rPr>
        <w:t>the</w:t>
      </w:r>
      <w:r w:rsidRPr="00F044FD">
        <w:rPr>
          <w:rFonts w:eastAsia="Calibri"/>
          <w:shd w:val="clear" w:color="auto" w:fill="FFFFFF"/>
          <w:lang w:val="en-US" w:eastAsia="en-US"/>
        </w:rPr>
        <w:t xml:space="preserve"> caveat here </w:t>
      </w:r>
      <w:r w:rsidR="000653DD" w:rsidRPr="00F044FD">
        <w:rPr>
          <w:rFonts w:eastAsia="Calibri"/>
          <w:shd w:val="clear" w:color="auto" w:fill="FFFFFF"/>
          <w:lang w:val="en-US" w:eastAsia="en-US"/>
        </w:rPr>
        <w:t>is</w:t>
      </w:r>
      <w:r w:rsidRPr="00F044FD">
        <w:rPr>
          <w:rFonts w:eastAsia="Calibri"/>
          <w:shd w:val="clear" w:color="auto" w:fill="FFFFFF"/>
          <w:lang w:val="en-US" w:eastAsia="en-US"/>
        </w:rPr>
        <w:t xml:space="preserve"> the danger of taking the activities and therefore the organization away from its members and leaving it to the hands of the professionals. In other words, EU funds bear the risk of professionalizing the CSOs. </w:t>
      </w:r>
    </w:p>
    <w:p w:rsidR="009B1F54" w:rsidRPr="00F044FD" w:rsidRDefault="009B1F54" w:rsidP="009B1F54">
      <w:pPr>
        <w:pStyle w:val="Heading1"/>
        <w:rPr>
          <w:rFonts w:eastAsia="Calibri"/>
          <w:lang w:val="en-US" w:eastAsia="en-US"/>
        </w:rPr>
      </w:pPr>
      <w:r w:rsidRPr="00F044FD">
        <w:rPr>
          <w:rFonts w:eastAsia="Calibri"/>
          <w:lang w:val="en-US" w:eastAsia="en-US"/>
        </w:rPr>
        <w:t>Discussions – Evidence from Field Work</w:t>
      </w:r>
    </w:p>
    <w:p w:rsidR="00914C84" w:rsidRPr="00F044FD" w:rsidRDefault="00914C84" w:rsidP="00914C84">
      <w:pPr>
        <w:pStyle w:val="Newparagraph"/>
        <w:ind w:firstLine="0"/>
        <w:rPr>
          <w:rFonts w:eastAsia="Calibri"/>
          <w:bCs/>
          <w:color w:val="FF0000"/>
          <w:lang w:val="en-US" w:eastAsia="en-US"/>
        </w:rPr>
      </w:pPr>
      <w:r w:rsidRPr="00F044FD">
        <w:rPr>
          <w:rFonts w:eastAsia="Calibri"/>
          <w:bCs/>
          <w:lang w:val="en-US" w:eastAsia="en-US"/>
        </w:rPr>
        <w:t xml:space="preserve">The official figures from </w:t>
      </w:r>
      <w:r w:rsidR="000653DD" w:rsidRPr="00F044FD">
        <w:rPr>
          <w:rFonts w:eastAsia="Calibri"/>
          <w:bCs/>
          <w:lang w:val="en-US" w:eastAsia="en-US"/>
        </w:rPr>
        <w:t xml:space="preserve">the </w:t>
      </w:r>
      <w:r w:rsidRPr="00F044FD">
        <w:rPr>
          <w:rFonts w:eastAsia="Calibri"/>
          <w:bCs/>
          <w:lang w:val="en-US" w:eastAsia="en-US"/>
        </w:rPr>
        <w:t xml:space="preserve">Department of Associations on paid-staff are illustrative. The sharp increase in the number of full-time paid staff in associations in the early years of EU funding and its steady increase since then suggest a relation between EU funds and the professionalization of CSOs in Turkey (see Figure 1). The figures are also in line with the literature’s assumption that foreign funding leads to the professionalization </w:t>
      </w:r>
      <w:r w:rsidRPr="00F044FD">
        <w:rPr>
          <w:rFonts w:eastAsia="Calibri"/>
          <w:bCs/>
          <w:lang w:val="en-US" w:eastAsia="en-US"/>
        </w:rPr>
        <w:lastRenderedPageBreak/>
        <w:t xml:space="preserve">of civil society. However, discussions on the field work and careful analysis of the interviews show that this may not necessarily be so. </w:t>
      </w:r>
    </w:p>
    <w:p w:rsidR="00914C84" w:rsidRPr="00F044FD" w:rsidRDefault="00914C84" w:rsidP="00914C84">
      <w:pPr>
        <w:pStyle w:val="Figurecaption"/>
        <w:rPr>
          <w:rFonts w:eastAsia="Calibri"/>
          <w:lang w:val="en-US" w:eastAsia="en-US"/>
        </w:rPr>
      </w:pPr>
      <w:r w:rsidRPr="00F044FD">
        <w:rPr>
          <w:rFonts w:eastAsia="Calibri"/>
          <w:lang w:val="en-US" w:eastAsia="en-US"/>
        </w:rPr>
        <w:t>Figure 1: Number of paid-staff in associations in Turkey (2004-201</w:t>
      </w:r>
      <w:r w:rsidR="00E8650D" w:rsidRPr="00F044FD">
        <w:rPr>
          <w:rFonts w:eastAsia="Calibri"/>
          <w:lang w:val="en-US" w:eastAsia="en-US"/>
        </w:rPr>
        <w:t>7</w:t>
      </w:r>
      <w:r w:rsidRPr="00F044FD">
        <w:rPr>
          <w:rFonts w:eastAsia="Calibri"/>
          <w:lang w:val="en-US" w:eastAsia="en-US"/>
        </w:rPr>
        <w:t xml:space="preserve">) </w:t>
      </w:r>
    </w:p>
    <w:p w:rsidR="00914C84" w:rsidRPr="00F044FD" w:rsidRDefault="00914C84" w:rsidP="00914C84">
      <w:pPr>
        <w:pStyle w:val="Paragraph"/>
        <w:rPr>
          <w:rFonts w:eastAsia="Calibri"/>
          <w:lang w:val="en-US" w:eastAsia="en-US"/>
        </w:rPr>
      </w:pPr>
      <w:r w:rsidRPr="00F044FD">
        <w:rPr>
          <w:rFonts w:eastAsia="Calibri"/>
          <w:bCs/>
          <w:lang w:val="en-US" w:eastAsia="en-US"/>
        </w:rPr>
        <w:t>Source: Department of Associations, 201</w:t>
      </w:r>
      <w:r w:rsidR="001514CC" w:rsidRPr="00F044FD">
        <w:rPr>
          <w:rFonts w:eastAsia="Calibri"/>
          <w:bCs/>
          <w:lang w:val="en-US" w:eastAsia="en-US"/>
        </w:rPr>
        <w:t>8</w:t>
      </w:r>
    </w:p>
    <w:p w:rsidR="009B1F54" w:rsidRPr="00F044FD" w:rsidRDefault="009B1F54" w:rsidP="0091048D">
      <w:pPr>
        <w:pStyle w:val="Heading2"/>
        <w:rPr>
          <w:rFonts w:eastAsia="Calibri"/>
          <w:lang w:val="en-US" w:eastAsia="en-US"/>
        </w:rPr>
      </w:pPr>
      <w:r w:rsidRPr="00F044FD">
        <w:rPr>
          <w:rFonts w:eastAsia="Calibri"/>
          <w:lang w:val="en-US" w:eastAsia="en-US"/>
        </w:rPr>
        <w:t>Employment of New Staff</w:t>
      </w:r>
    </w:p>
    <w:p w:rsidR="009B1F54" w:rsidRPr="00F044FD" w:rsidRDefault="009D5A3B" w:rsidP="0091048D">
      <w:pPr>
        <w:pStyle w:val="Paragraph"/>
        <w:rPr>
          <w:rFonts w:eastAsia="Calibri"/>
          <w:lang w:val="en-US" w:eastAsia="en-US"/>
        </w:rPr>
      </w:pPr>
      <w:r w:rsidRPr="00F044FD">
        <w:rPr>
          <w:rFonts w:eastAsia="Calibri"/>
          <w:lang w:val="en-US" w:eastAsia="en-US"/>
        </w:rPr>
        <w:t xml:space="preserve">The first question is whether EU funds have led to the professionalization in </w:t>
      </w:r>
      <w:r w:rsidR="00F467F0" w:rsidRPr="00F044FD">
        <w:rPr>
          <w:rFonts w:eastAsia="Calibri"/>
          <w:lang w:val="en-US" w:eastAsia="en-US"/>
        </w:rPr>
        <w:t>its</w:t>
      </w:r>
      <w:r w:rsidRPr="00F044FD">
        <w:rPr>
          <w:rFonts w:eastAsia="Calibri"/>
          <w:lang w:val="en-US" w:eastAsia="en-US"/>
        </w:rPr>
        <w:t xml:space="preserve"> narrow sense</w:t>
      </w:r>
      <w:r w:rsidR="00F467F0" w:rsidRPr="00F044FD">
        <w:rPr>
          <w:rFonts w:eastAsia="Calibri"/>
          <w:lang w:val="en-US" w:eastAsia="en-US"/>
        </w:rPr>
        <w:t xml:space="preserve">, meaning </w:t>
      </w:r>
      <w:r w:rsidR="00557491">
        <w:rPr>
          <w:rFonts w:eastAsia="Calibri"/>
          <w:lang w:val="en-US" w:eastAsia="en-US"/>
        </w:rPr>
        <w:t xml:space="preserve">whether </w:t>
      </w:r>
      <w:r w:rsidR="00F467F0" w:rsidRPr="00F044FD">
        <w:rPr>
          <w:rFonts w:eastAsia="Calibri"/>
          <w:lang w:val="en-US" w:eastAsia="en-US"/>
        </w:rPr>
        <w:t>there is a replacement of volunteers with outsider professionals in designing and implementing activities and projects</w:t>
      </w:r>
      <w:r w:rsidRPr="00F044FD">
        <w:rPr>
          <w:rFonts w:eastAsia="Calibri"/>
          <w:lang w:val="en-US" w:eastAsia="en-US"/>
        </w:rPr>
        <w:t>.</w:t>
      </w:r>
      <w:r w:rsidR="00AE49DA" w:rsidRPr="00F044FD">
        <w:rPr>
          <w:rFonts w:eastAsia="Calibri"/>
          <w:lang w:val="en-US" w:eastAsia="en-US"/>
        </w:rPr>
        <w:t xml:space="preserve"> </w:t>
      </w:r>
      <w:r w:rsidR="009624DE" w:rsidRPr="00F044FD">
        <w:rPr>
          <w:rFonts w:eastAsia="Calibri"/>
          <w:lang w:val="en-US" w:eastAsia="en-US"/>
        </w:rPr>
        <w:t>O</w:t>
      </w:r>
      <w:r w:rsidR="009B1F54" w:rsidRPr="00F044FD">
        <w:rPr>
          <w:rFonts w:eastAsia="Calibri"/>
          <w:lang w:val="en-US" w:eastAsia="en-US"/>
        </w:rPr>
        <w:t>f the 45 interviewed CSOs, 33 of them benefited from EU funds. Of</w:t>
      </w:r>
      <w:r w:rsidR="00C16EA3" w:rsidRPr="00F044FD">
        <w:rPr>
          <w:rFonts w:eastAsia="Calibri"/>
          <w:lang w:val="en-US" w:eastAsia="en-US"/>
        </w:rPr>
        <w:t xml:space="preserve"> these 33, only eight (24.2 per</w:t>
      </w:r>
      <w:r w:rsidR="009B1F54" w:rsidRPr="00F044FD">
        <w:rPr>
          <w:rFonts w:eastAsia="Calibri"/>
          <w:lang w:val="en-US" w:eastAsia="en-US"/>
        </w:rPr>
        <w:t xml:space="preserve">cent) appear as professionalized, meaning their activities are consistently designed and implemented by paid staff and not their members. Of these eight, seven are established as professional organizations from the start. </w:t>
      </w:r>
      <w:r w:rsidR="00504CDD" w:rsidRPr="00F044FD">
        <w:rPr>
          <w:rFonts w:eastAsia="Calibri"/>
          <w:lang w:val="en-US" w:eastAsia="en-US"/>
        </w:rPr>
        <w:t xml:space="preserve">These </w:t>
      </w:r>
      <w:r w:rsidR="009B1F54" w:rsidRPr="00F044FD">
        <w:rPr>
          <w:rFonts w:eastAsia="Calibri"/>
          <w:lang w:val="en-US" w:eastAsia="en-US"/>
        </w:rPr>
        <w:t xml:space="preserve">organizations are established in consideration of financial resources for paid staff, which, as will be discussed later, appears as a major issue delinking professionalization and EU-funded projects. Interestingly, all seven are sectorial or interest groups. The remaining organization, Culture Routes Society is established with the Ministry of Culture and Tourism’s recommendation to determine the cultural routes in Turkey. This organization relies heavily on the efforts of a single person (founder and chair) who actively tries to institutionalize the organization to make it sustainable. </w:t>
      </w:r>
      <w:r w:rsidR="00284AD0" w:rsidRPr="00F044FD">
        <w:rPr>
          <w:rFonts w:eastAsia="Calibri"/>
          <w:lang w:val="en-US" w:eastAsia="en-US"/>
        </w:rPr>
        <w:t>Although they have about 40 members, the employed staff acknowledged that they do not need the members for their activities or projects.</w:t>
      </w:r>
      <w:r w:rsidR="00284AD0" w:rsidRPr="00F044FD">
        <w:rPr>
          <w:rStyle w:val="EndnoteReference"/>
          <w:rFonts w:eastAsia="Calibri"/>
          <w:lang w:val="en-US" w:eastAsia="en-US"/>
        </w:rPr>
        <w:endnoteReference w:id="64"/>
      </w:r>
      <w:r w:rsidR="00284AD0" w:rsidRPr="00F044FD">
        <w:rPr>
          <w:rFonts w:eastAsia="Calibri"/>
          <w:lang w:val="en-US" w:eastAsia="en-US"/>
        </w:rPr>
        <w:t xml:space="preserve"> </w:t>
      </w:r>
      <w:r w:rsidR="009B1F54" w:rsidRPr="00F044FD">
        <w:rPr>
          <w:rFonts w:eastAsia="Calibri"/>
          <w:lang w:val="en-US" w:eastAsia="en-US"/>
        </w:rPr>
        <w:t xml:space="preserve">The organization employs paid staff to plan and implement the activities and </w:t>
      </w:r>
      <w:r w:rsidR="00E8650D" w:rsidRPr="00F044FD">
        <w:rPr>
          <w:rFonts w:eastAsia="Calibri"/>
          <w:lang w:val="en-US" w:eastAsia="en-US"/>
        </w:rPr>
        <w:t xml:space="preserve">they plan to </w:t>
      </w:r>
      <w:r w:rsidR="009B1F54" w:rsidRPr="00F044FD">
        <w:rPr>
          <w:rFonts w:eastAsia="Calibri"/>
          <w:lang w:val="en-US" w:eastAsia="en-US"/>
        </w:rPr>
        <w:t xml:space="preserve">gradually transfer the relevant workload. At the time of the interview, the staff </w:t>
      </w:r>
      <w:r w:rsidR="00F210E1" w:rsidRPr="00F044FD">
        <w:rPr>
          <w:rFonts w:eastAsia="Calibri"/>
          <w:lang w:val="en-US" w:eastAsia="en-US"/>
        </w:rPr>
        <w:t>was</w:t>
      </w:r>
      <w:r w:rsidR="009B1F54" w:rsidRPr="00F044FD">
        <w:rPr>
          <w:rFonts w:eastAsia="Calibri"/>
          <w:lang w:val="en-US" w:eastAsia="en-US"/>
        </w:rPr>
        <w:t xml:space="preserve"> employed through an EU-funded project and the organization was seeking other financial resources (e.g.</w:t>
      </w:r>
      <w:r w:rsidR="00557491">
        <w:rPr>
          <w:rFonts w:eastAsia="Calibri"/>
          <w:lang w:val="en-US" w:eastAsia="en-US"/>
        </w:rPr>
        <w:t>,</w:t>
      </w:r>
      <w:r w:rsidR="009B1F54" w:rsidRPr="00F044FD">
        <w:rPr>
          <w:rFonts w:eastAsia="Calibri"/>
          <w:lang w:val="en-US" w:eastAsia="en-US"/>
        </w:rPr>
        <w:t xml:space="preserve"> social entrepreneurship) to keep their staff. The rationale behind this </w:t>
      </w:r>
      <w:r w:rsidR="009B1F54" w:rsidRPr="00F044FD">
        <w:rPr>
          <w:rFonts w:eastAsia="Calibri"/>
          <w:lang w:val="en-US" w:eastAsia="en-US"/>
        </w:rPr>
        <w:lastRenderedPageBreak/>
        <w:t xml:space="preserve">organization’s professionalization is not EU funds. In short, there is no apparent causal relation between </w:t>
      </w:r>
      <w:r w:rsidR="00E8650D" w:rsidRPr="00F044FD">
        <w:rPr>
          <w:rFonts w:eastAsia="Calibri"/>
          <w:lang w:val="en-US" w:eastAsia="en-US"/>
        </w:rPr>
        <w:t>use of EU funds and transferring the workload to</w:t>
      </w:r>
      <w:r w:rsidR="00F467F0" w:rsidRPr="00F044FD">
        <w:rPr>
          <w:rFonts w:eastAsia="Calibri"/>
          <w:lang w:val="en-US" w:eastAsia="en-US"/>
        </w:rPr>
        <w:t xml:space="preserve"> professional</w:t>
      </w:r>
      <w:r w:rsidR="00E8650D" w:rsidRPr="00F044FD">
        <w:rPr>
          <w:rFonts w:eastAsia="Calibri"/>
          <w:lang w:val="en-US" w:eastAsia="en-US"/>
        </w:rPr>
        <w:t xml:space="preserve"> staff</w:t>
      </w:r>
      <w:r w:rsidR="00F467F0" w:rsidRPr="00F044FD">
        <w:rPr>
          <w:rFonts w:eastAsia="Calibri"/>
          <w:lang w:val="en-US" w:eastAsia="en-US"/>
        </w:rPr>
        <w:t>.</w:t>
      </w:r>
    </w:p>
    <w:p w:rsidR="009B1F54" w:rsidRPr="00F044FD" w:rsidRDefault="009B1F54" w:rsidP="0091048D">
      <w:pPr>
        <w:pStyle w:val="Newparagraph"/>
        <w:rPr>
          <w:rFonts w:eastAsia="Calibri"/>
          <w:lang w:val="en-US" w:eastAsia="en-US"/>
        </w:rPr>
      </w:pPr>
      <w:r w:rsidRPr="00F044FD">
        <w:rPr>
          <w:rFonts w:eastAsia="Calibri"/>
          <w:lang w:val="en-US" w:eastAsia="en-US"/>
        </w:rPr>
        <w:t xml:space="preserve">The control group reveals a similar result. Two of the interviewed CSOs are professionalized and have not benefited from EU funds. As in the above seven cases, both were established with financial resources and institutional structure from early on. </w:t>
      </w:r>
    </w:p>
    <w:p w:rsidR="00284AD0" w:rsidRPr="00F044FD" w:rsidRDefault="009B1F54" w:rsidP="0091048D">
      <w:pPr>
        <w:pStyle w:val="Newparagraph"/>
        <w:rPr>
          <w:rFonts w:eastAsia="Calibri"/>
          <w:lang w:val="en-US" w:eastAsia="en-US"/>
        </w:rPr>
      </w:pPr>
      <w:r w:rsidRPr="00F044FD">
        <w:rPr>
          <w:rFonts w:eastAsia="Calibri"/>
          <w:lang w:val="en-US" w:eastAsia="en-US"/>
        </w:rPr>
        <w:t xml:space="preserve">Two other interviewed organizations, working on gender issues, are partially professionalized. One is Women Entrepreneurs Association of Turkey. This organization runs several projects with different financial resources. Some of these projects are refinanced over the years by the funders.  The number of paid staff (project experts or coordinators) has been increasing over the years. The other is Leader Creative Participants Association established relatively more recently in 2010. This </w:t>
      </w:r>
      <w:r w:rsidR="009624DE" w:rsidRPr="00F044FD">
        <w:rPr>
          <w:rFonts w:eastAsia="Calibri"/>
          <w:lang w:val="en-US" w:eastAsia="en-US"/>
        </w:rPr>
        <w:t>association</w:t>
      </w:r>
      <w:r w:rsidRPr="00F044FD">
        <w:rPr>
          <w:rFonts w:eastAsia="Calibri"/>
          <w:lang w:val="en-US" w:eastAsia="en-US"/>
        </w:rPr>
        <w:t>, too, runs several projects</w:t>
      </w:r>
      <w:r w:rsidR="00504CDD" w:rsidRPr="00F044FD">
        <w:rPr>
          <w:rFonts w:eastAsia="Calibri"/>
          <w:lang w:val="en-US" w:eastAsia="en-US"/>
        </w:rPr>
        <w:t>, althou</w:t>
      </w:r>
      <w:r w:rsidRPr="00F044FD">
        <w:rPr>
          <w:rFonts w:eastAsia="Calibri"/>
          <w:lang w:val="en-US" w:eastAsia="en-US"/>
        </w:rPr>
        <w:t>gh</w:t>
      </w:r>
      <w:r w:rsidR="00504CDD" w:rsidRPr="00F044FD">
        <w:rPr>
          <w:rFonts w:eastAsia="Calibri"/>
          <w:lang w:val="en-US" w:eastAsia="en-US"/>
        </w:rPr>
        <w:t xml:space="preserve"> their projects are</w:t>
      </w:r>
      <w:r w:rsidRPr="00F044FD">
        <w:rPr>
          <w:rFonts w:eastAsia="Calibri"/>
          <w:lang w:val="en-US" w:eastAsia="en-US"/>
        </w:rPr>
        <w:t xml:space="preserve"> based</w:t>
      </w:r>
      <w:r w:rsidR="00504CDD" w:rsidRPr="00F044FD">
        <w:rPr>
          <w:rFonts w:eastAsia="Calibri"/>
          <w:lang w:val="en-US" w:eastAsia="en-US"/>
        </w:rPr>
        <w:t xml:space="preserve"> more</w:t>
      </w:r>
      <w:r w:rsidRPr="00F044FD">
        <w:rPr>
          <w:rFonts w:eastAsia="Calibri"/>
          <w:lang w:val="en-US" w:eastAsia="en-US"/>
        </w:rPr>
        <w:t xml:space="preserve"> on its own resources.  In both organizations, the members continue assuming responsibility for some of the activities and projects. </w:t>
      </w:r>
    </w:p>
    <w:p w:rsidR="00284AD0" w:rsidRPr="00F044FD" w:rsidRDefault="00284AD0" w:rsidP="00240B3F">
      <w:pPr>
        <w:pStyle w:val="Newparagraph"/>
        <w:ind w:left="426" w:right="561" w:firstLine="0"/>
        <w:rPr>
          <w:rFonts w:eastAsia="Calibri"/>
          <w:lang w:val="en-US" w:eastAsia="en-US"/>
        </w:rPr>
      </w:pPr>
      <w:r w:rsidRPr="00F044FD">
        <w:rPr>
          <w:rFonts w:eastAsia="Calibri"/>
          <w:lang w:val="en-US" w:eastAsia="en-US"/>
        </w:rPr>
        <w:t>“Those who speak to the institutions [about the new projects] are usually professionals. We meet, identify the demand. Accordingly, there are strategy groups here in KAGİDER</w:t>
      </w:r>
      <w:r w:rsidR="00504CDD" w:rsidRPr="00F044FD">
        <w:rPr>
          <w:rFonts w:eastAsia="Calibri"/>
          <w:lang w:val="en-US" w:eastAsia="en-US"/>
        </w:rPr>
        <w:t xml:space="preserve"> [Women Entrepreneurs Association of Turkey] </w:t>
      </w:r>
      <w:r w:rsidRPr="00F044FD">
        <w:rPr>
          <w:rFonts w:eastAsia="Calibri"/>
          <w:lang w:val="en-US" w:eastAsia="en-US"/>
        </w:rPr>
        <w:t xml:space="preserve">… we send our notes from the meeting to </w:t>
      </w:r>
      <w:r w:rsidR="00504CDD" w:rsidRPr="00F044FD">
        <w:rPr>
          <w:rFonts w:eastAsia="Calibri"/>
          <w:lang w:val="en-US" w:eastAsia="en-US"/>
        </w:rPr>
        <w:t>those</w:t>
      </w:r>
      <w:r w:rsidRPr="00F044FD">
        <w:rPr>
          <w:rFonts w:eastAsia="Calibri"/>
          <w:lang w:val="en-US" w:eastAsia="en-US"/>
        </w:rPr>
        <w:t xml:space="preserve"> strategy groups. At the head of each strategy group there is a board member. Therefore, we get together with the board member afterwards for this project proposals and say which members we can call, get support from. … From our members we invite people who know the job, in this way, we include them. After this, of course we write that project.”</w:t>
      </w:r>
    </w:p>
    <w:p w:rsidR="009B1F54" w:rsidRPr="00F044FD" w:rsidRDefault="009B1F54" w:rsidP="0091048D">
      <w:pPr>
        <w:pStyle w:val="Newparagraph"/>
        <w:rPr>
          <w:rFonts w:eastAsia="Calibri"/>
          <w:lang w:val="en-US" w:eastAsia="en-US"/>
        </w:rPr>
      </w:pPr>
      <w:r w:rsidRPr="00F044FD">
        <w:rPr>
          <w:rFonts w:eastAsia="Calibri"/>
          <w:lang w:val="en-US" w:eastAsia="en-US"/>
        </w:rPr>
        <w:t>This leaves us wi</w:t>
      </w:r>
      <w:r w:rsidR="00C16EA3" w:rsidRPr="00F044FD">
        <w:rPr>
          <w:rFonts w:eastAsia="Calibri"/>
          <w:lang w:val="en-US" w:eastAsia="en-US"/>
        </w:rPr>
        <w:t>th 23 out of 33 (69.7 per</w:t>
      </w:r>
      <w:r w:rsidRPr="00F044FD">
        <w:rPr>
          <w:rFonts w:eastAsia="Calibri"/>
          <w:lang w:val="en-US" w:eastAsia="en-US"/>
        </w:rPr>
        <w:t>cent) of the interviewed organizations that have carried out EU-funded projects, but not professionalized.</w:t>
      </w:r>
    </w:p>
    <w:p w:rsidR="009B1F54" w:rsidRPr="00F044FD" w:rsidRDefault="009B1F54" w:rsidP="00FB48D0">
      <w:pPr>
        <w:pStyle w:val="Heading2"/>
        <w:tabs>
          <w:tab w:val="left" w:pos="2415"/>
        </w:tabs>
        <w:rPr>
          <w:rFonts w:eastAsia="Calibri"/>
          <w:lang w:val="en-US" w:eastAsia="en-US"/>
        </w:rPr>
      </w:pPr>
      <w:r w:rsidRPr="00F044FD">
        <w:rPr>
          <w:rFonts w:eastAsia="Calibri"/>
          <w:lang w:val="en-US" w:eastAsia="en-US"/>
        </w:rPr>
        <w:lastRenderedPageBreak/>
        <w:t>The Employed Staff</w:t>
      </w:r>
      <w:r w:rsidR="00B178AF">
        <w:rPr>
          <w:rFonts w:eastAsia="Calibri"/>
          <w:lang w:val="en-US" w:eastAsia="en-US"/>
        </w:rPr>
        <w:tab/>
      </w:r>
    </w:p>
    <w:p w:rsidR="009B1F54" w:rsidRPr="00F044FD" w:rsidRDefault="009B1F54" w:rsidP="00442C24">
      <w:pPr>
        <w:pStyle w:val="Paragraph"/>
        <w:rPr>
          <w:lang w:val="en-US"/>
        </w:rPr>
      </w:pPr>
      <w:r w:rsidRPr="00F044FD">
        <w:rPr>
          <w:lang w:val="en-US"/>
        </w:rPr>
        <w:t xml:space="preserve">The interesting question is why then the EU funds have not led to professionalization. </w:t>
      </w:r>
      <w:r w:rsidR="007C65B2" w:rsidRPr="00F044FD">
        <w:rPr>
          <w:lang w:val="en-US"/>
        </w:rPr>
        <w:t>There are two reasons for that</w:t>
      </w:r>
      <w:r w:rsidRPr="00F044FD">
        <w:rPr>
          <w:lang w:val="en-US"/>
        </w:rPr>
        <w:t xml:space="preserve">. </w:t>
      </w:r>
    </w:p>
    <w:p w:rsidR="00EE294D" w:rsidRPr="00F044FD" w:rsidRDefault="007C65B2">
      <w:pPr>
        <w:pStyle w:val="Newparagraph"/>
        <w:rPr>
          <w:lang w:val="en-US"/>
        </w:rPr>
      </w:pPr>
      <w:r w:rsidRPr="00F044FD">
        <w:rPr>
          <w:lang w:val="en-US"/>
        </w:rPr>
        <w:t>First, i</w:t>
      </w:r>
      <w:r w:rsidR="009B1F54" w:rsidRPr="00F044FD">
        <w:rPr>
          <w:lang w:val="en-US"/>
        </w:rPr>
        <w:t>n the majority of the cases, the managerial positions of EU-funded projects are filled up by existing members or volunteers. Of the 33 CSOs that benefited from EU funds, 22 employed their existin</w:t>
      </w:r>
      <w:r w:rsidR="00C16EA3" w:rsidRPr="00F044FD">
        <w:rPr>
          <w:lang w:val="en-US"/>
        </w:rPr>
        <w:t>g member or volunteer (66.6 per</w:t>
      </w:r>
      <w:r w:rsidR="009B1F54" w:rsidRPr="00F044FD">
        <w:rPr>
          <w:lang w:val="en-US"/>
        </w:rPr>
        <w:t xml:space="preserve">cent). These people are board members, active members or volunteers, who tend to have prepared the application, too. </w:t>
      </w:r>
      <w:r w:rsidR="0029560E" w:rsidRPr="00F044FD">
        <w:rPr>
          <w:lang w:val="en-US"/>
        </w:rPr>
        <w:t xml:space="preserve">In a way, the funds became a financial incentive for those who have actively and voluntarily been contributing to the organization’s work. </w:t>
      </w:r>
      <w:r w:rsidR="009B1F54" w:rsidRPr="00F044FD">
        <w:rPr>
          <w:lang w:val="en-US"/>
        </w:rPr>
        <w:t>These people continue their voluntary work once the project ends.</w:t>
      </w:r>
      <w:r w:rsidR="00527063" w:rsidRPr="00F044FD">
        <w:rPr>
          <w:lang w:val="en-US"/>
        </w:rPr>
        <w:t xml:space="preserve"> </w:t>
      </w:r>
      <w:r w:rsidR="0081213F" w:rsidRPr="00F044FD">
        <w:rPr>
          <w:lang w:val="en-US"/>
        </w:rPr>
        <w:t>T</w:t>
      </w:r>
      <w:r w:rsidR="009B1F54" w:rsidRPr="00F044FD">
        <w:rPr>
          <w:lang w:val="en-US"/>
        </w:rPr>
        <w:t xml:space="preserve">hese organizations (with one exception) are not professionalized. </w:t>
      </w:r>
      <w:r w:rsidR="00527063" w:rsidRPr="00F044FD">
        <w:rPr>
          <w:lang w:val="en-US"/>
        </w:rPr>
        <w:t>Indeed, employment of volunteers and members for EU-funded projects are usually not considered as “employment”</w:t>
      </w:r>
      <w:r w:rsidR="009A4BA3" w:rsidRPr="00F044FD">
        <w:rPr>
          <w:lang w:val="en-US"/>
        </w:rPr>
        <w:t xml:space="preserve"> per se</w:t>
      </w:r>
      <w:r w:rsidR="00527063" w:rsidRPr="00F044FD">
        <w:rPr>
          <w:lang w:val="en-US"/>
        </w:rPr>
        <w:t xml:space="preserve">. Several interviewees </w:t>
      </w:r>
      <w:r w:rsidR="007F6281" w:rsidRPr="00F044FD">
        <w:rPr>
          <w:lang w:val="en-US"/>
        </w:rPr>
        <w:t>who said they never have had any paid staff in their organization, later acknowledged having their members or themselves employed during their EU-funded project</w:t>
      </w:r>
      <w:r w:rsidR="00527063" w:rsidRPr="00F044FD">
        <w:rPr>
          <w:lang w:val="en-US"/>
        </w:rPr>
        <w:t xml:space="preserve">. </w:t>
      </w:r>
      <w:r w:rsidR="007F6281" w:rsidRPr="00F044FD">
        <w:rPr>
          <w:lang w:val="en-US"/>
        </w:rPr>
        <w:t xml:space="preserve">In a way, “employment” connotes the working of an outsider. </w:t>
      </w:r>
      <w:r w:rsidR="00527063" w:rsidRPr="00F044FD">
        <w:rPr>
          <w:lang w:val="en-US"/>
        </w:rPr>
        <w:t>“We did not employ anyone in the project with insurance.</w:t>
      </w:r>
      <w:r w:rsidR="00527063" w:rsidRPr="00F044FD">
        <w:rPr>
          <w:rStyle w:val="EndnoteReference"/>
          <w:lang w:val="en-US"/>
        </w:rPr>
        <w:endnoteReference w:id="65"/>
      </w:r>
      <w:r w:rsidR="00527063" w:rsidRPr="00F044FD">
        <w:rPr>
          <w:lang w:val="en-US"/>
        </w:rPr>
        <w:t xml:space="preserve"> Of course there is the project coordination. We carried that out officially.”</w:t>
      </w:r>
      <w:r w:rsidR="00527063" w:rsidRPr="00F044FD">
        <w:rPr>
          <w:rStyle w:val="EndnoteReference"/>
          <w:lang w:val="en-US"/>
        </w:rPr>
        <w:endnoteReference w:id="66"/>
      </w:r>
      <w:r w:rsidR="007F6281" w:rsidRPr="00F044FD">
        <w:rPr>
          <w:lang w:val="en-US"/>
        </w:rPr>
        <w:t xml:space="preserve"> </w:t>
      </w:r>
      <w:r w:rsidR="005F1758" w:rsidRPr="00F044FD">
        <w:rPr>
          <w:lang w:val="en-US"/>
        </w:rPr>
        <w:t>Furthermore, it came natural to many interviewees that those who drafted the project proposal should also be responsible for managing it</w:t>
      </w:r>
      <w:r w:rsidR="002C6F57" w:rsidRPr="00F044FD">
        <w:rPr>
          <w:lang w:val="en-US"/>
        </w:rPr>
        <w:t>. This is first</w:t>
      </w:r>
      <w:r w:rsidR="005F1758" w:rsidRPr="00F044FD">
        <w:rPr>
          <w:lang w:val="en-US"/>
        </w:rPr>
        <w:t xml:space="preserve"> because</w:t>
      </w:r>
      <w:r w:rsidR="002C6F57" w:rsidRPr="00F044FD">
        <w:rPr>
          <w:lang w:val="en-US"/>
        </w:rPr>
        <w:t xml:space="preserve"> “there is already a handful of people actively working. They get employed.”</w:t>
      </w:r>
      <w:r w:rsidR="002C6F57" w:rsidRPr="00F044FD">
        <w:rPr>
          <w:rStyle w:val="EndnoteReference"/>
          <w:lang w:val="en-US"/>
        </w:rPr>
        <w:endnoteReference w:id="67"/>
      </w:r>
      <w:r w:rsidR="002C6F57" w:rsidRPr="00F044FD">
        <w:rPr>
          <w:lang w:val="en-US"/>
        </w:rPr>
        <w:t xml:space="preserve"> Second, these people are</w:t>
      </w:r>
      <w:r w:rsidR="005F1758" w:rsidRPr="00F044FD">
        <w:rPr>
          <w:lang w:val="en-US"/>
        </w:rPr>
        <w:t xml:space="preserve"> considered </w:t>
      </w:r>
      <w:r w:rsidR="009A4BA3" w:rsidRPr="00F044FD">
        <w:rPr>
          <w:lang w:val="en-US"/>
        </w:rPr>
        <w:t>to know</w:t>
      </w:r>
      <w:r w:rsidR="005F1758" w:rsidRPr="00F044FD">
        <w:rPr>
          <w:lang w:val="en-US"/>
        </w:rPr>
        <w:t xml:space="preserve"> the project better than anyone else. </w:t>
      </w:r>
      <w:r w:rsidR="007C7E45" w:rsidRPr="00F044FD">
        <w:rPr>
          <w:lang w:val="en-US"/>
        </w:rPr>
        <w:t xml:space="preserve">It becomes part of their task </w:t>
      </w:r>
      <w:r w:rsidR="009A4BA3" w:rsidRPr="00F044FD">
        <w:rPr>
          <w:lang w:val="en-US"/>
        </w:rPr>
        <w:t>in</w:t>
      </w:r>
      <w:r w:rsidR="007C7E45" w:rsidRPr="00F044FD">
        <w:rPr>
          <w:lang w:val="en-US"/>
        </w:rPr>
        <w:t xml:space="preserve"> the </w:t>
      </w:r>
      <w:r w:rsidR="009A4BA3" w:rsidRPr="00F044FD">
        <w:rPr>
          <w:lang w:val="en-US"/>
        </w:rPr>
        <w:t>organization</w:t>
      </w:r>
      <w:r w:rsidR="007C7E45" w:rsidRPr="00F044FD">
        <w:rPr>
          <w:lang w:val="en-US"/>
        </w:rPr>
        <w:t xml:space="preserve">. </w:t>
      </w:r>
      <w:r w:rsidR="005F1758" w:rsidRPr="00F044FD">
        <w:rPr>
          <w:lang w:val="en-US"/>
        </w:rPr>
        <w:t xml:space="preserve">One interviewee who ran several EU-funded projects in a CSO said she was the project coordinator “because I had that skill. </w:t>
      </w:r>
      <w:r w:rsidR="007C7E45" w:rsidRPr="00F044FD">
        <w:rPr>
          <w:lang w:val="en-US"/>
        </w:rPr>
        <w:t xml:space="preserve">To run the project, to report it, in other words to master in the project, to know your subject well. … I was doing it because I had that skill. Otherwise, there are a lot of members in the association. They did not assume that task because they lacked </w:t>
      </w:r>
      <w:r w:rsidR="007C7E45" w:rsidRPr="00F044FD">
        <w:rPr>
          <w:lang w:val="en-US"/>
        </w:rPr>
        <w:lastRenderedPageBreak/>
        <w:t>that skill.”</w:t>
      </w:r>
      <w:r w:rsidR="007C7E45" w:rsidRPr="00F044FD">
        <w:rPr>
          <w:rStyle w:val="EndnoteReference"/>
          <w:lang w:val="en-US"/>
        </w:rPr>
        <w:endnoteReference w:id="68"/>
      </w:r>
      <w:r w:rsidR="009A4BA3" w:rsidRPr="00F044FD">
        <w:rPr>
          <w:lang w:val="en-US"/>
        </w:rPr>
        <w:t xml:space="preserve"> </w:t>
      </w:r>
      <w:r w:rsidR="00BC13D9" w:rsidRPr="00F044FD">
        <w:rPr>
          <w:lang w:val="en-US"/>
        </w:rPr>
        <w:t xml:space="preserve">Therefore, while people who </w:t>
      </w:r>
      <w:r w:rsidR="00316B29" w:rsidRPr="00F044FD">
        <w:rPr>
          <w:lang w:val="en-US"/>
        </w:rPr>
        <w:t>are otherwise</w:t>
      </w:r>
      <w:r w:rsidR="00BC13D9" w:rsidRPr="00F044FD">
        <w:rPr>
          <w:lang w:val="en-US"/>
        </w:rPr>
        <w:t xml:space="preserve"> volunteers or members become employed by the</w:t>
      </w:r>
      <w:r w:rsidR="00316B29" w:rsidRPr="00F044FD">
        <w:rPr>
          <w:lang w:val="en-US"/>
        </w:rPr>
        <w:t xml:space="preserve"> CSO, this does not necessarily </w:t>
      </w:r>
      <w:r w:rsidR="000F11F4" w:rsidRPr="00F044FD">
        <w:rPr>
          <w:lang w:val="en-US"/>
        </w:rPr>
        <w:t>affect volunteerism as suggested by the literature.</w:t>
      </w:r>
      <w:r w:rsidR="000F11F4" w:rsidRPr="00F044FD">
        <w:rPr>
          <w:rStyle w:val="EndnoteReference"/>
          <w:lang w:val="en-US"/>
        </w:rPr>
        <w:endnoteReference w:id="69"/>
      </w:r>
    </w:p>
    <w:p w:rsidR="00D50EE9" w:rsidRPr="00F044FD" w:rsidRDefault="007C65B2" w:rsidP="007C65B2">
      <w:pPr>
        <w:pStyle w:val="Newparagraph"/>
        <w:rPr>
          <w:lang w:val="en-US"/>
        </w:rPr>
      </w:pPr>
      <w:r w:rsidRPr="00F044FD">
        <w:rPr>
          <w:lang w:val="en-US"/>
        </w:rPr>
        <w:t xml:space="preserve">Second, </w:t>
      </w:r>
      <w:r w:rsidR="009B1F54" w:rsidRPr="00F044FD">
        <w:rPr>
          <w:lang w:val="en-US"/>
        </w:rPr>
        <w:t xml:space="preserve">one CSO employed </w:t>
      </w:r>
      <w:r w:rsidR="00FF7116" w:rsidRPr="00F044FD">
        <w:rPr>
          <w:lang w:val="en-US"/>
        </w:rPr>
        <w:t xml:space="preserve">one of </w:t>
      </w:r>
      <w:r w:rsidR="00305E16" w:rsidRPr="00F044FD">
        <w:rPr>
          <w:lang w:val="en-US"/>
        </w:rPr>
        <w:t>their</w:t>
      </w:r>
      <w:r w:rsidR="00681080" w:rsidRPr="00F044FD">
        <w:rPr>
          <w:lang w:val="en-US"/>
        </w:rPr>
        <w:t xml:space="preserve"> staff and</w:t>
      </w:r>
      <w:r w:rsidR="009B1F54" w:rsidRPr="00F044FD">
        <w:rPr>
          <w:lang w:val="en-US"/>
        </w:rPr>
        <w:t xml:space="preserve"> the rest of the CSOs employed outsider professionals to run their EU-funded projects. These professionals</w:t>
      </w:r>
      <w:r w:rsidRPr="00F044FD">
        <w:rPr>
          <w:lang w:val="en-US"/>
        </w:rPr>
        <w:t xml:space="preserve"> in the latter group</w:t>
      </w:r>
      <w:r w:rsidR="009B1F54" w:rsidRPr="00F044FD">
        <w:rPr>
          <w:lang w:val="en-US"/>
        </w:rPr>
        <w:t xml:space="preserve"> broke their connection soon after their project ended. This is because it is nearly impossible for most organizations to maintain the generous financial means the EU funds provide.</w:t>
      </w:r>
      <w:r w:rsidR="00284AD0" w:rsidRPr="00F044FD">
        <w:rPr>
          <w:lang w:val="en-US"/>
        </w:rPr>
        <w:t xml:space="preserve"> Several interviewees underl</w:t>
      </w:r>
      <w:r w:rsidR="00230643" w:rsidRPr="00F044FD">
        <w:rPr>
          <w:lang w:val="en-US"/>
        </w:rPr>
        <w:t>ined that it is not possible to</w:t>
      </w:r>
      <w:r w:rsidR="00284AD0" w:rsidRPr="00F044FD">
        <w:rPr>
          <w:lang w:val="en-US"/>
        </w:rPr>
        <w:t xml:space="preserve"> keep a staff without the financial means of a project.</w:t>
      </w:r>
      <w:r w:rsidR="009B1F54" w:rsidRPr="00F044FD">
        <w:rPr>
          <w:lang w:val="en-US"/>
        </w:rPr>
        <w:t xml:space="preserve"> </w:t>
      </w:r>
      <w:r w:rsidR="00D50EE9" w:rsidRPr="00F044FD">
        <w:rPr>
          <w:lang w:val="en-US"/>
        </w:rPr>
        <w:t xml:space="preserve">In addition, “because s/he improved herself/himself here and because </w:t>
      </w:r>
      <w:r w:rsidR="009A4BA3" w:rsidRPr="00F044FD">
        <w:rPr>
          <w:lang w:val="en-US"/>
        </w:rPr>
        <w:t xml:space="preserve">s/he </w:t>
      </w:r>
      <w:r w:rsidR="00D50EE9" w:rsidRPr="00F044FD">
        <w:rPr>
          <w:lang w:val="en-US"/>
        </w:rPr>
        <w:t>carried out this project better, they become a staff in demand. … they can go to somewhere else before they leave you.</w:t>
      </w:r>
      <w:r w:rsidR="009A4BA3" w:rsidRPr="00F044FD">
        <w:rPr>
          <w:lang w:val="en-US"/>
        </w:rPr>
        <w:t>”</w:t>
      </w:r>
      <w:r w:rsidR="00D50EE9" w:rsidRPr="00F044FD">
        <w:rPr>
          <w:rStyle w:val="EndnoteReference"/>
          <w:lang w:val="en-US"/>
        </w:rPr>
        <w:endnoteReference w:id="70"/>
      </w:r>
    </w:p>
    <w:p w:rsidR="00213975" w:rsidRPr="00F044FD" w:rsidRDefault="009B1F54" w:rsidP="006F3884">
      <w:pPr>
        <w:pStyle w:val="Newparagraph"/>
        <w:rPr>
          <w:lang w:val="en-US"/>
        </w:rPr>
      </w:pPr>
      <w:r w:rsidRPr="00F044FD">
        <w:rPr>
          <w:lang w:val="en-US"/>
        </w:rPr>
        <w:t xml:space="preserve">There are two exceptions here: Women Entrepreneurs Association of Turkey and Cultural Routes Society. While the former found the means to move the staff to another project, the latter, at the time of the interview was seeking financial resources for the project staff to stay. In two other cases, the projects were implemented with the professional assistance of a consultancy company. This, too, terminated with the completion of the project. </w:t>
      </w:r>
    </w:p>
    <w:p w:rsidR="009B1F54" w:rsidRPr="00F044FD" w:rsidRDefault="009B1F54" w:rsidP="00442C24">
      <w:pPr>
        <w:pStyle w:val="Newparagraph"/>
        <w:rPr>
          <w:lang w:val="en-US"/>
        </w:rPr>
      </w:pPr>
      <w:r w:rsidRPr="00F044FD">
        <w:rPr>
          <w:lang w:val="en-US"/>
        </w:rPr>
        <w:t xml:space="preserve">It is also important to note that a number of non-degree and graduate </w:t>
      </w:r>
      <w:proofErr w:type="spellStart"/>
      <w:r w:rsidRPr="00F044FD">
        <w:rPr>
          <w:lang w:val="en-US"/>
        </w:rPr>
        <w:t>programmes</w:t>
      </w:r>
      <w:proofErr w:type="spellEnd"/>
      <w:r w:rsidRPr="00F044FD">
        <w:rPr>
          <w:lang w:val="en-US"/>
        </w:rPr>
        <w:t xml:space="preserve"> on CSO management confirm the interest in working for CSOs. However</w:t>
      </w:r>
      <w:r w:rsidR="009E6287" w:rsidRPr="00F044FD">
        <w:rPr>
          <w:lang w:val="en-US"/>
        </w:rPr>
        <w:t>,</w:t>
      </w:r>
      <w:r w:rsidRPr="00F044FD">
        <w:rPr>
          <w:lang w:val="en-US"/>
        </w:rPr>
        <w:t xml:space="preserve"> a career in this sector requires working selflessly usually with low salary and</w:t>
      </w:r>
      <w:r w:rsidR="00AE0116">
        <w:rPr>
          <w:lang w:val="en-US"/>
        </w:rPr>
        <w:t xml:space="preserve"> without job security</w:t>
      </w:r>
      <w:r w:rsidRPr="00F044FD">
        <w:rPr>
          <w:lang w:val="en-US"/>
        </w:rPr>
        <w:t>.</w:t>
      </w:r>
      <w:r w:rsidR="005A7450" w:rsidRPr="00F044FD">
        <w:rPr>
          <w:lang w:val="en-US"/>
        </w:rPr>
        <w:t xml:space="preserve"> “If you do not have a very strong bond to that issue, it is not possible to sustain it for a long time. </w:t>
      </w:r>
      <w:r w:rsidR="00892F5C" w:rsidRPr="00F044FD">
        <w:rPr>
          <w:lang w:val="en-US"/>
        </w:rPr>
        <w:t xml:space="preserve">Therefore, </w:t>
      </w:r>
      <w:r w:rsidR="00C73773" w:rsidRPr="00F044FD">
        <w:rPr>
          <w:lang w:val="en-US"/>
        </w:rPr>
        <w:t xml:space="preserve">[the professionals] must have </w:t>
      </w:r>
      <w:r w:rsidR="00892F5C" w:rsidRPr="00F044FD">
        <w:rPr>
          <w:lang w:val="en-US"/>
        </w:rPr>
        <w:t>already</w:t>
      </w:r>
      <w:r w:rsidR="00C73773" w:rsidRPr="00F044FD">
        <w:rPr>
          <w:lang w:val="en-US"/>
        </w:rPr>
        <w:t xml:space="preserve"> had</w:t>
      </w:r>
      <w:r w:rsidR="00892F5C" w:rsidRPr="00F044FD">
        <w:rPr>
          <w:lang w:val="en-US"/>
        </w:rPr>
        <w:t xml:space="preserve"> a political bond with that issue and therefore they </w:t>
      </w:r>
      <w:r w:rsidR="00C73773" w:rsidRPr="00F044FD">
        <w:rPr>
          <w:lang w:val="en-US"/>
        </w:rPr>
        <w:t xml:space="preserve">must have </w:t>
      </w:r>
      <w:r w:rsidR="00892F5C" w:rsidRPr="00F044FD">
        <w:rPr>
          <w:lang w:val="en-US"/>
        </w:rPr>
        <w:t>come from such a street movement.</w:t>
      </w:r>
      <w:r w:rsidR="00C73773" w:rsidRPr="00F044FD">
        <w:rPr>
          <w:lang w:val="en-US"/>
        </w:rPr>
        <w:t>”</w:t>
      </w:r>
      <w:r w:rsidRPr="00F044FD">
        <w:rPr>
          <w:rFonts w:eastAsia="Calibri"/>
          <w:vertAlign w:val="superscript"/>
          <w:lang w:val="en-US" w:eastAsia="en-US"/>
        </w:rPr>
        <w:endnoteReference w:id="71"/>
      </w:r>
      <w:r w:rsidRPr="00F044FD">
        <w:rPr>
          <w:rFonts w:eastAsia="Calibri"/>
          <w:vertAlign w:val="superscript"/>
          <w:lang w:val="en-US" w:eastAsia="en-US"/>
        </w:rPr>
        <w:t xml:space="preserve"> </w:t>
      </w:r>
      <w:r w:rsidRPr="00F044FD">
        <w:rPr>
          <w:lang w:val="en-US"/>
        </w:rPr>
        <w:t xml:space="preserve">Therefore, while professionals may become permanent in some CSOs, it </w:t>
      </w:r>
      <w:r w:rsidRPr="00F044FD">
        <w:rPr>
          <w:lang w:val="en-US"/>
        </w:rPr>
        <w:lastRenderedPageBreak/>
        <w:t xml:space="preserve">is not accurate to see them as complete outsiders to that organization’s cause or their position in conflict with the organization’s members or volunteers.  </w:t>
      </w:r>
    </w:p>
    <w:p w:rsidR="009B1F54" w:rsidRPr="00F044FD" w:rsidRDefault="00112AF3" w:rsidP="00442C24">
      <w:pPr>
        <w:pStyle w:val="Heading2"/>
        <w:rPr>
          <w:rFonts w:eastAsia="Calibri"/>
          <w:lang w:val="en-US" w:eastAsia="en-US"/>
        </w:rPr>
      </w:pPr>
      <w:r w:rsidRPr="00F044FD">
        <w:rPr>
          <w:rFonts w:eastAsia="Calibri"/>
          <w:lang w:val="en-US" w:eastAsia="en-US"/>
        </w:rPr>
        <w:t xml:space="preserve">Broader </w:t>
      </w:r>
      <w:r w:rsidR="009B1F54" w:rsidRPr="00F044FD">
        <w:rPr>
          <w:rFonts w:eastAsia="Calibri"/>
          <w:lang w:val="en-US" w:eastAsia="en-US"/>
        </w:rPr>
        <w:t>Impact of EU-Funded Projects</w:t>
      </w:r>
    </w:p>
    <w:p w:rsidR="009D051B" w:rsidRPr="00F044FD" w:rsidRDefault="009B1F54" w:rsidP="00442C24">
      <w:pPr>
        <w:pStyle w:val="Paragraph"/>
        <w:rPr>
          <w:rFonts w:eastAsia="Calibri"/>
          <w:lang w:val="en-US" w:eastAsia="en-US"/>
        </w:rPr>
      </w:pPr>
      <w:r w:rsidRPr="00F044FD">
        <w:rPr>
          <w:rFonts w:eastAsia="Calibri"/>
          <w:lang w:val="en-US" w:eastAsia="en-US"/>
        </w:rPr>
        <w:t xml:space="preserve">A final important question is </w:t>
      </w:r>
      <w:r w:rsidR="000176F2" w:rsidRPr="00F044FD">
        <w:rPr>
          <w:rFonts w:eastAsia="Calibri"/>
          <w:lang w:val="en-US" w:eastAsia="en-US"/>
        </w:rPr>
        <w:t>about</w:t>
      </w:r>
      <w:r w:rsidRPr="00F044FD">
        <w:rPr>
          <w:rFonts w:eastAsia="Calibri"/>
          <w:lang w:val="en-US" w:eastAsia="en-US"/>
        </w:rPr>
        <w:t xml:space="preserve"> the </w:t>
      </w:r>
      <w:r w:rsidR="000176F2" w:rsidRPr="00F044FD">
        <w:rPr>
          <w:rFonts w:eastAsia="Calibri"/>
          <w:lang w:val="en-US" w:eastAsia="en-US"/>
        </w:rPr>
        <w:t xml:space="preserve">broader impact of </w:t>
      </w:r>
      <w:r w:rsidR="000551D1" w:rsidRPr="00F044FD">
        <w:rPr>
          <w:rFonts w:eastAsia="Calibri"/>
          <w:lang w:val="en-US" w:eastAsia="en-US"/>
        </w:rPr>
        <w:t xml:space="preserve">professionalization and the </w:t>
      </w:r>
      <w:r w:rsidR="001D55CF" w:rsidRPr="00F044FD">
        <w:rPr>
          <w:rFonts w:eastAsia="Calibri"/>
          <w:lang w:val="en-US" w:eastAsia="en-US"/>
        </w:rPr>
        <w:t xml:space="preserve">related discussions on the </w:t>
      </w:r>
      <w:r w:rsidR="000551D1" w:rsidRPr="00F044FD">
        <w:rPr>
          <w:rFonts w:eastAsia="Calibri"/>
          <w:lang w:val="en-US" w:eastAsia="en-US"/>
        </w:rPr>
        <w:t>impact of EU funds on</w:t>
      </w:r>
      <w:r w:rsidR="001D55CF" w:rsidRPr="00F044FD">
        <w:rPr>
          <w:rFonts w:eastAsia="Calibri"/>
          <w:lang w:val="en-US" w:eastAsia="en-US"/>
        </w:rPr>
        <w:t xml:space="preserve"> Turkish</w:t>
      </w:r>
      <w:r w:rsidR="000551D1" w:rsidRPr="00F044FD">
        <w:rPr>
          <w:rFonts w:eastAsia="Calibri"/>
          <w:lang w:val="en-US" w:eastAsia="en-US"/>
        </w:rPr>
        <w:t xml:space="preserve"> CSOs</w:t>
      </w:r>
      <w:r w:rsidR="001D55CF" w:rsidRPr="00F044FD">
        <w:rPr>
          <w:rFonts w:eastAsia="Calibri"/>
          <w:lang w:val="en-US" w:eastAsia="en-US"/>
        </w:rPr>
        <w:t>.</w:t>
      </w:r>
    </w:p>
    <w:p w:rsidR="009D051B" w:rsidRPr="00F044FD" w:rsidRDefault="001D55CF" w:rsidP="009D051B">
      <w:pPr>
        <w:pStyle w:val="Newparagraph"/>
        <w:rPr>
          <w:lang w:val="en-US"/>
        </w:rPr>
      </w:pPr>
      <w:r w:rsidRPr="00F044FD">
        <w:rPr>
          <w:lang w:val="en-US"/>
        </w:rPr>
        <w:t>First, the</w:t>
      </w:r>
      <w:r w:rsidR="009D051B" w:rsidRPr="00F044FD">
        <w:rPr>
          <w:lang w:val="en-US"/>
        </w:rPr>
        <w:t xml:space="preserve"> CSOs that </w:t>
      </w:r>
      <w:r w:rsidRPr="00F044FD">
        <w:rPr>
          <w:lang w:val="en-US"/>
        </w:rPr>
        <w:t>employed outsider professionals</w:t>
      </w:r>
      <w:r w:rsidR="009D051B" w:rsidRPr="00F044FD">
        <w:rPr>
          <w:lang w:val="en-US"/>
        </w:rPr>
        <w:t xml:space="preserve"> do not perceive any effect of that staff over the organization apart from the better management of the project. There are several reasons behind this. </w:t>
      </w:r>
      <w:r w:rsidR="008176DC" w:rsidRPr="00F044FD">
        <w:rPr>
          <w:lang w:val="en-US"/>
        </w:rPr>
        <w:t>U</w:t>
      </w:r>
      <w:r w:rsidR="009D051B" w:rsidRPr="00F044FD">
        <w:rPr>
          <w:lang w:val="en-US"/>
        </w:rPr>
        <w:t>nder IPA, the EU provides activity-oriented funding, rather than operational funding. In other words, the EU provides funds for CSOs to carry out certain activities and not for their institutional development. While the budget for EU-funded projects may cover the employment costs of paid staff, the rationale for such staff is to help better implement the planned activities. The second reason is the limited duration of the EU-funded projects. Most projects last around ten to 18 months, although they may be a lot shorter. Considering that the EU does not refund the same project, winning a new grant is challenging and some CSOs do not even desire to apply for a new grant due to its bureaucratic overload, the time that professional staff can have an impact on the respective CSO is very limited. A project’s lifetime is not long enough to professionalize a CSO. Finally, as discussed above, the projects come with a demanding timetable. Running a project “financially, activity wise, implementation, with methodology is a difficulty thing… Goes so fast. In fact, you can face various unpredicted situations”.</w:t>
      </w:r>
      <w:r w:rsidR="009D051B" w:rsidRPr="00F044FD">
        <w:rPr>
          <w:rFonts w:eastAsia="Calibri"/>
          <w:vertAlign w:val="superscript"/>
          <w:lang w:val="en-US" w:eastAsia="en-US"/>
        </w:rPr>
        <w:endnoteReference w:id="72"/>
      </w:r>
      <w:r w:rsidR="009D051B" w:rsidRPr="00F044FD">
        <w:rPr>
          <w:rFonts w:eastAsia="Calibri"/>
          <w:vertAlign w:val="superscript"/>
          <w:lang w:val="en-US" w:eastAsia="en-US"/>
        </w:rPr>
        <w:t xml:space="preserve"> </w:t>
      </w:r>
      <w:r w:rsidR="009D051B" w:rsidRPr="00F044FD">
        <w:rPr>
          <w:lang w:val="en-US"/>
        </w:rPr>
        <w:t xml:space="preserve">Therefore, throughout the project’s lifetime, the professional and depending on the size of the organization, the members focus on the project’s activities only. Efforts for retaining the professional staff remain exceptional. So, when the outsider professionals are employed, they may bring some </w:t>
      </w:r>
      <w:r w:rsidR="009D051B" w:rsidRPr="00F044FD">
        <w:rPr>
          <w:lang w:val="en-US"/>
        </w:rPr>
        <w:lastRenderedPageBreak/>
        <w:t xml:space="preserve">“managerialism” as suggested by </w:t>
      </w:r>
      <w:proofErr w:type="spellStart"/>
      <w:r w:rsidR="009D051B" w:rsidRPr="00F044FD">
        <w:rPr>
          <w:lang w:val="en-US"/>
        </w:rPr>
        <w:t>Choudry</w:t>
      </w:r>
      <w:proofErr w:type="spellEnd"/>
      <w:r w:rsidR="009D051B" w:rsidRPr="00F044FD">
        <w:rPr>
          <w:lang w:val="en-US"/>
        </w:rPr>
        <w:t xml:space="preserve"> and Kapoor. But this is unlikely to have lasting impact on the organizational structure and choices. </w:t>
      </w:r>
    </w:p>
    <w:p w:rsidR="009D051B" w:rsidRPr="00F044FD" w:rsidRDefault="001D55CF" w:rsidP="009D051B">
      <w:pPr>
        <w:pStyle w:val="Newparagraph"/>
        <w:rPr>
          <w:rFonts w:eastAsia="Calibri"/>
          <w:bCs/>
          <w:lang w:val="en-US" w:eastAsia="en-US"/>
        </w:rPr>
      </w:pPr>
      <w:r w:rsidRPr="00F044FD">
        <w:rPr>
          <w:lang w:val="en-US"/>
        </w:rPr>
        <w:t>Second</w:t>
      </w:r>
      <w:r w:rsidR="009D051B" w:rsidRPr="00F044FD">
        <w:rPr>
          <w:lang w:val="en-US"/>
        </w:rPr>
        <w:t xml:space="preserve">, Turkey is characterized by </w:t>
      </w:r>
      <w:r w:rsidR="009D051B" w:rsidRPr="00F044FD">
        <w:rPr>
          <w:rFonts w:eastAsia="Calibri"/>
          <w:bCs/>
          <w:lang w:val="en-US" w:eastAsia="en-US"/>
        </w:rPr>
        <w:t>low interpersonal trust</w:t>
      </w:r>
      <w:r w:rsidR="009D051B" w:rsidRPr="00F044FD">
        <w:rPr>
          <w:rFonts w:eastAsia="Calibri"/>
          <w:bCs/>
          <w:vertAlign w:val="superscript"/>
          <w:lang w:val="en-US" w:eastAsia="en-US"/>
        </w:rPr>
        <w:endnoteReference w:id="73"/>
      </w:r>
      <w:r w:rsidR="009D051B" w:rsidRPr="00F044FD">
        <w:rPr>
          <w:rFonts w:eastAsia="Calibri"/>
          <w:bCs/>
          <w:lang w:val="en-US" w:eastAsia="en-US"/>
        </w:rPr>
        <w:t xml:space="preserve"> leading to very low levels of volunteerism and philanthropy.</w:t>
      </w:r>
      <w:r w:rsidR="009D051B" w:rsidRPr="00F044FD">
        <w:rPr>
          <w:rFonts w:eastAsia="Calibri"/>
          <w:bCs/>
          <w:vertAlign w:val="superscript"/>
          <w:lang w:val="en-US" w:eastAsia="en-US"/>
        </w:rPr>
        <w:endnoteReference w:id="74"/>
      </w:r>
      <w:r w:rsidR="009D051B" w:rsidRPr="00F044FD">
        <w:rPr>
          <w:rFonts w:eastAsia="Calibri"/>
          <w:bCs/>
          <w:lang w:val="en-US" w:eastAsia="en-US"/>
        </w:rPr>
        <w:t xml:space="preserve"> V</w:t>
      </w:r>
      <w:r w:rsidR="009D051B" w:rsidRPr="00F044FD">
        <w:rPr>
          <w:lang w:val="en-US"/>
        </w:rPr>
        <w:t xml:space="preserve">olunteering for CSOs becomes a “professional” job put on the shoulders of a few, ultimately creating quasi-professionals for the civil society sector. </w:t>
      </w:r>
      <w:r w:rsidR="00331335" w:rsidRPr="00F044FD">
        <w:rPr>
          <w:lang w:val="en-US"/>
        </w:rPr>
        <w:t>T</w:t>
      </w:r>
      <w:r w:rsidR="009D051B" w:rsidRPr="00F044FD">
        <w:rPr>
          <w:lang w:val="en-US"/>
        </w:rPr>
        <w:t>his may lead to a hierarchical and elitist structure in most organizations where one person has a strong hold over the organization</w:t>
      </w:r>
      <w:r w:rsidR="00331335" w:rsidRPr="00F044FD">
        <w:rPr>
          <w:lang w:val="en-US"/>
        </w:rPr>
        <w:t xml:space="preserve">. </w:t>
      </w:r>
      <w:proofErr w:type="gramStart"/>
      <w:r w:rsidR="00331335" w:rsidRPr="00F044FD">
        <w:rPr>
          <w:lang w:val="en-US"/>
        </w:rPr>
        <w:t>However</w:t>
      </w:r>
      <w:proofErr w:type="gramEnd"/>
      <w:r w:rsidR="009D051B" w:rsidRPr="00F044FD">
        <w:rPr>
          <w:lang w:val="en-US"/>
        </w:rPr>
        <w:t xml:space="preserve"> it also prevents professional staff to take over and estrange the CSO from its member and volunteer base. In return, the undermining volunteerism or participatory approaches, as the literature suggest</w:t>
      </w:r>
      <w:r w:rsidR="00331335" w:rsidRPr="00F044FD">
        <w:rPr>
          <w:lang w:val="en-US"/>
        </w:rPr>
        <w:t>s</w:t>
      </w:r>
      <w:r w:rsidR="009D051B" w:rsidRPr="00F044FD">
        <w:rPr>
          <w:lang w:val="en-US"/>
        </w:rPr>
        <w:t>, does not come to forefront as a big risk for EU-funded projects in Turkey.</w:t>
      </w:r>
    </w:p>
    <w:p w:rsidR="000176F2" w:rsidRPr="00F044FD" w:rsidRDefault="001D55CF" w:rsidP="000176F2">
      <w:pPr>
        <w:pStyle w:val="Newparagraph"/>
        <w:rPr>
          <w:rFonts w:eastAsia="Calibri"/>
          <w:lang w:val="en-US" w:eastAsia="en-US"/>
        </w:rPr>
      </w:pPr>
      <w:r w:rsidRPr="00F044FD">
        <w:rPr>
          <w:rFonts w:eastAsia="Calibri"/>
          <w:lang w:val="en-US" w:eastAsia="en-US"/>
        </w:rPr>
        <w:t xml:space="preserve">The field work yields several points on the broader impact of EU funds in relation to professionalization. </w:t>
      </w:r>
      <w:r w:rsidR="002C37D6" w:rsidRPr="00F044FD">
        <w:rPr>
          <w:rFonts w:eastAsia="Calibri"/>
          <w:lang w:val="en-US" w:eastAsia="en-US"/>
        </w:rPr>
        <w:t>First, visibility is an important aspect of EU</w:t>
      </w:r>
      <w:r w:rsidR="00AC23C6" w:rsidRPr="00F044FD">
        <w:rPr>
          <w:rFonts w:eastAsia="Calibri"/>
          <w:lang w:val="en-US" w:eastAsia="en-US"/>
        </w:rPr>
        <w:t>-</w:t>
      </w:r>
      <w:r w:rsidR="002C37D6" w:rsidRPr="00F044FD">
        <w:rPr>
          <w:rFonts w:eastAsia="Calibri"/>
          <w:lang w:val="en-US" w:eastAsia="en-US"/>
        </w:rPr>
        <w:t>funded projects. CSOs have to outline how they will enhance the project’s visibility in their proposal. In addition, EU-funded projects are activity-oriented, which in turn increase the project’s and the CSOs’ visibility. In the words of one volunteer, the EU “want</w:t>
      </w:r>
      <w:r w:rsidR="00F434CB" w:rsidRPr="00F044FD">
        <w:rPr>
          <w:rFonts w:eastAsia="Calibri"/>
          <w:lang w:val="en-US" w:eastAsia="en-US"/>
        </w:rPr>
        <w:t>s</w:t>
      </w:r>
      <w:r w:rsidR="002C37D6" w:rsidRPr="00F044FD">
        <w:rPr>
          <w:rFonts w:eastAsia="Calibri"/>
          <w:lang w:val="en-US" w:eastAsia="en-US"/>
        </w:rPr>
        <w:t xml:space="preserve"> to stay at a level that is rather activity-oriented, short-term, smooth, both very high visibility and easy to follow the work for the two sides”.</w:t>
      </w:r>
      <w:r w:rsidR="009E09EE" w:rsidRPr="00F044FD">
        <w:rPr>
          <w:rStyle w:val="EndnoteReference"/>
          <w:rFonts w:eastAsia="Calibri"/>
          <w:lang w:val="en-US" w:eastAsia="en-US"/>
        </w:rPr>
        <w:endnoteReference w:id="75"/>
      </w:r>
    </w:p>
    <w:p w:rsidR="002C37D6" w:rsidRPr="00F044FD" w:rsidRDefault="00D22C23" w:rsidP="000176F2">
      <w:pPr>
        <w:pStyle w:val="Newparagraph"/>
        <w:rPr>
          <w:rFonts w:eastAsia="Calibri"/>
          <w:lang w:val="en-US" w:eastAsia="en-US"/>
        </w:rPr>
      </w:pPr>
      <w:r w:rsidRPr="00F044FD">
        <w:rPr>
          <w:rFonts w:eastAsia="Calibri"/>
          <w:lang w:val="en-US" w:eastAsia="en-US"/>
        </w:rPr>
        <w:t>The pressure for h</w:t>
      </w:r>
      <w:r w:rsidR="002C37D6" w:rsidRPr="00F044FD">
        <w:rPr>
          <w:rFonts w:eastAsia="Calibri"/>
          <w:lang w:val="en-US" w:eastAsia="en-US"/>
        </w:rPr>
        <w:t xml:space="preserve">igher visibility </w:t>
      </w:r>
      <w:r w:rsidR="00E722D1" w:rsidRPr="00F044FD">
        <w:rPr>
          <w:rFonts w:eastAsia="Calibri"/>
          <w:lang w:val="en-US" w:eastAsia="en-US"/>
        </w:rPr>
        <w:t>is</w:t>
      </w:r>
      <w:r w:rsidRPr="00F044FD">
        <w:rPr>
          <w:rFonts w:eastAsia="Calibri"/>
          <w:lang w:val="en-US" w:eastAsia="en-US"/>
        </w:rPr>
        <w:t xml:space="preserve"> also coupled with the EU’s emphasis on measurable outputs. To better meet </w:t>
      </w:r>
      <w:proofErr w:type="gramStart"/>
      <w:r w:rsidRPr="00F044FD">
        <w:rPr>
          <w:rFonts w:eastAsia="Calibri"/>
          <w:lang w:val="en-US" w:eastAsia="en-US"/>
        </w:rPr>
        <w:t>this criteria</w:t>
      </w:r>
      <w:proofErr w:type="gramEnd"/>
      <w:r w:rsidRPr="00F044FD">
        <w:rPr>
          <w:rFonts w:eastAsia="Calibri"/>
          <w:lang w:val="en-US" w:eastAsia="en-US"/>
        </w:rPr>
        <w:t xml:space="preserve"> the CSOs try to reach as many beneficiaries (especially for their </w:t>
      </w:r>
      <w:r w:rsidR="00372BBB" w:rsidRPr="00F044FD">
        <w:rPr>
          <w:rFonts w:eastAsia="Calibri"/>
          <w:lang w:val="en-US" w:eastAsia="en-US"/>
        </w:rPr>
        <w:t xml:space="preserve">trainings, </w:t>
      </w:r>
      <w:r w:rsidRPr="00F044FD">
        <w:rPr>
          <w:rFonts w:eastAsia="Calibri"/>
          <w:lang w:val="en-US" w:eastAsia="en-US"/>
        </w:rPr>
        <w:t xml:space="preserve">conferences, meetings) as possible. In return, with EU-funded projects, CSOs </w:t>
      </w:r>
      <w:r w:rsidR="00AC23C6" w:rsidRPr="00F044FD">
        <w:rPr>
          <w:rFonts w:eastAsia="Calibri"/>
          <w:lang w:val="en-US" w:eastAsia="en-US"/>
        </w:rPr>
        <w:t xml:space="preserve">may </w:t>
      </w:r>
      <w:r w:rsidRPr="00F044FD">
        <w:rPr>
          <w:rFonts w:eastAsia="Calibri"/>
          <w:lang w:val="en-US" w:eastAsia="en-US"/>
        </w:rPr>
        <w:t>achieve better access to groups they claim to represent.</w:t>
      </w:r>
      <w:r w:rsidR="00893BAF" w:rsidRPr="00F044FD">
        <w:rPr>
          <w:rFonts w:eastAsia="Calibri"/>
          <w:lang w:val="en-US" w:eastAsia="en-US"/>
        </w:rPr>
        <w:t xml:space="preserve"> Some of the examples prove this. With their EU-funded projects, Van Women’s Association and Association for Raising Consumer Awareness gave seminars </w:t>
      </w:r>
      <w:r w:rsidR="00893BAF" w:rsidRPr="00F044FD">
        <w:rPr>
          <w:rFonts w:eastAsia="Calibri"/>
          <w:lang w:val="en-US" w:eastAsia="en-US"/>
        </w:rPr>
        <w:lastRenderedPageBreak/>
        <w:t>to thousands in their respective areas, while Handicapped People’s Association of Turkey provided vocational education to hundreds.</w:t>
      </w:r>
    </w:p>
    <w:p w:rsidR="00E1331F" w:rsidRPr="00F044FD" w:rsidRDefault="001D55CF">
      <w:pPr>
        <w:pStyle w:val="Newparagraph"/>
        <w:rPr>
          <w:rFonts w:eastAsia="Calibri"/>
          <w:lang w:val="en-US" w:eastAsia="en-US"/>
        </w:rPr>
      </w:pPr>
      <w:r w:rsidRPr="00F044FD">
        <w:rPr>
          <w:rFonts w:eastAsia="Calibri"/>
          <w:lang w:val="en-US" w:eastAsia="en-US"/>
        </w:rPr>
        <w:t>Second, i</w:t>
      </w:r>
      <w:r w:rsidR="00946664" w:rsidRPr="00F044FD">
        <w:rPr>
          <w:rFonts w:eastAsia="Calibri"/>
          <w:lang w:val="en-US" w:eastAsia="en-US"/>
        </w:rPr>
        <w:t>nterviewees noted that EU-funded projects yielded higher recognition. “This association can now do any work, it has the capacity, it goes with a plan and project and has education support, has staff … [EU-funded project] had a great effect.”</w:t>
      </w:r>
      <w:r w:rsidR="00946664" w:rsidRPr="00F044FD">
        <w:rPr>
          <w:rStyle w:val="EndnoteReference"/>
          <w:rFonts w:eastAsia="Calibri"/>
          <w:lang w:val="en-US" w:eastAsia="en-US"/>
        </w:rPr>
        <w:endnoteReference w:id="76"/>
      </w:r>
      <w:r w:rsidRPr="00F044FD">
        <w:rPr>
          <w:rFonts w:eastAsia="Calibri"/>
          <w:lang w:val="en-US" w:eastAsia="en-US"/>
        </w:rPr>
        <w:t xml:space="preserve"> </w:t>
      </w:r>
      <w:r w:rsidR="006D280B" w:rsidRPr="00F044FD">
        <w:rPr>
          <w:rFonts w:eastAsia="Calibri"/>
          <w:lang w:val="en-US" w:eastAsia="en-US"/>
        </w:rPr>
        <w:t xml:space="preserve">Higher recognition </w:t>
      </w:r>
      <w:r w:rsidRPr="00F044FD">
        <w:rPr>
          <w:rFonts w:eastAsia="Calibri"/>
          <w:lang w:val="en-US" w:eastAsia="en-US"/>
        </w:rPr>
        <w:t>is also likely to be an indirect consequence of the higher visibility and intense activities.</w:t>
      </w:r>
    </w:p>
    <w:p w:rsidR="00893BAF" w:rsidRPr="00F044FD" w:rsidRDefault="003969A6" w:rsidP="000176F2">
      <w:pPr>
        <w:pStyle w:val="Newparagraph"/>
        <w:rPr>
          <w:rFonts w:eastAsia="Calibri"/>
          <w:lang w:val="en-US" w:eastAsia="en-US"/>
        </w:rPr>
      </w:pPr>
      <w:r w:rsidRPr="00F044FD">
        <w:rPr>
          <w:rFonts w:eastAsia="Calibri"/>
          <w:lang w:val="en-US" w:eastAsia="en-US"/>
        </w:rPr>
        <w:t>Third, i</w:t>
      </w:r>
      <w:r w:rsidR="00BB3358" w:rsidRPr="00F044FD">
        <w:rPr>
          <w:rFonts w:eastAsia="Calibri"/>
          <w:lang w:val="en-US" w:eastAsia="en-US"/>
        </w:rPr>
        <w:t>n line with the concerns raised by the</w:t>
      </w:r>
      <w:r w:rsidR="00893BAF" w:rsidRPr="00F044FD">
        <w:rPr>
          <w:rFonts w:eastAsia="Calibri"/>
          <w:lang w:val="en-US" w:eastAsia="en-US"/>
        </w:rPr>
        <w:t xml:space="preserve"> literature,</w:t>
      </w:r>
      <w:r w:rsidR="00BB3358" w:rsidRPr="00F044FD">
        <w:rPr>
          <w:rFonts w:eastAsia="Calibri"/>
          <w:vertAlign w:val="superscript"/>
          <w:lang w:val="en-US" w:eastAsia="en-US"/>
        </w:rPr>
        <w:endnoteReference w:id="77"/>
      </w:r>
      <w:r w:rsidR="00BB3358" w:rsidRPr="00F044FD">
        <w:rPr>
          <w:rFonts w:eastAsia="Calibri"/>
          <w:lang w:val="en-US" w:eastAsia="en-US"/>
        </w:rPr>
        <w:t xml:space="preserve"> reaching out to more people makes CSOs better intermediaries and not more representative. However,</w:t>
      </w:r>
      <w:r w:rsidR="003B2370" w:rsidRPr="00F044FD">
        <w:rPr>
          <w:rFonts w:eastAsia="Calibri"/>
          <w:lang w:val="en-US" w:eastAsia="en-US"/>
        </w:rPr>
        <w:t xml:space="preserve"> reaching out to more people may have an</w:t>
      </w:r>
      <w:r w:rsidR="00BB3358" w:rsidRPr="00F044FD">
        <w:rPr>
          <w:rFonts w:eastAsia="Calibri"/>
          <w:lang w:val="en-US" w:eastAsia="en-US"/>
        </w:rPr>
        <w:t xml:space="preserve"> indirect consequence </w:t>
      </w:r>
      <w:r w:rsidR="003B2370" w:rsidRPr="00F044FD">
        <w:rPr>
          <w:rFonts w:eastAsia="Calibri"/>
          <w:lang w:val="en-US" w:eastAsia="en-US"/>
        </w:rPr>
        <w:t xml:space="preserve">of </w:t>
      </w:r>
      <w:r w:rsidR="00BB3358" w:rsidRPr="00F044FD">
        <w:rPr>
          <w:rFonts w:eastAsia="Calibri"/>
          <w:lang w:val="en-US" w:eastAsia="en-US"/>
        </w:rPr>
        <w:t>expand</w:t>
      </w:r>
      <w:r w:rsidR="003B2370" w:rsidRPr="00F044FD">
        <w:rPr>
          <w:rFonts w:eastAsia="Calibri"/>
          <w:lang w:val="en-US" w:eastAsia="en-US"/>
        </w:rPr>
        <w:t xml:space="preserve">ing CSOs’ </w:t>
      </w:r>
      <w:r w:rsidR="00BB3358" w:rsidRPr="00F044FD">
        <w:rPr>
          <w:rFonts w:eastAsia="Calibri"/>
          <w:lang w:val="en-US" w:eastAsia="en-US"/>
        </w:rPr>
        <w:t>membership or volunteer base. For instance, in some cases, “during the project, we had volunteers … a new group of volunteers emerged with experience in this area”.</w:t>
      </w:r>
      <w:r w:rsidR="00BB3358" w:rsidRPr="00F044FD">
        <w:rPr>
          <w:rFonts w:eastAsia="Calibri"/>
          <w:vertAlign w:val="superscript"/>
          <w:lang w:val="en-US" w:eastAsia="en-US"/>
        </w:rPr>
        <w:endnoteReference w:id="78"/>
      </w:r>
      <w:r w:rsidR="00BB3358" w:rsidRPr="00F044FD">
        <w:rPr>
          <w:rFonts w:eastAsia="Calibri"/>
          <w:lang w:val="en-US" w:eastAsia="en-US"/>
        </w:rPr>
        <w:t xml:space="preserve"> The impact need not be limited with the project’s lifetime. “When a new member goes to [the CSO] or when [the CSO] wants to recruit a new member, when it says ‘I ran this project, I understand from this job, I have an office, I have a computer, I have conference halls, I do seminars’ people are influenced.”</w:t>
      </w:r>
      <w:r w:rsidR="00BB3358" w:rsidRPr="00F044FD">
        <w:rPr>
          <w:rStyle w:val="EndnoteReference"/>
          <w:rFonts w:eastAsia="Calibri"/>
          <w:lang w:val="en-US" w:eastAsia="en-US"/>
        </w:rPr>
        <w:endnoteReference w:id="79"/>
      </w:r>
    </w:p>
    <w:p w:rsidR="009B1F54" w:rsidRPr="00F044FD" w:rsidRDefault="003969A6" w:rsidP="00442C24">
      <w:pPr>
        <w:pStyle w:val="Newparagraph"/>
        <w:rPr>
          <w:lang w:val="en-US"/>
        </w:rPr>
      </w:pPr>
      <w:r w:rsidRPr="00F044FD">
        <w:rPr>
          <w:lang w:val="en-US"/>
        </w:rPr>
        <w:t>Fourth, t</w:t>
      </w:r>
      <w:r w:rsidR="00D506DB" w:rsidRPr="00F044FD">
        <w:rPr>
          <w:lang w:val="en-US"/>
        </w:rPr>
        <w:t xml:space="preserve">he </w:t>
      </w:r>
      <w:r w:rsidR="003C41DD" w:rsidRPr="00F044FD">
        <w:rPr>
          <w:lang w:val="en-US"/>
        </w:rPr>
        <w:t>interviewees’</w:t>
      </w:r>
      <w:r w:rsidR="00D506DB" w:rsidRPr="00F044FD">
        <w:rPr>
          <w:lang w:val="en-US"/>
        </w:rPr>
        <w:t xml:space="preserve"> statements are in line with the critique</w:t>
      </w:r>
      <w:r w:rsidR="00D506DB" w:rsidRPr="00F044FD">
        <w:rPr>
          <w:rStyle w:val="EndnoteReference"/>
          <w:rFonts w:eastAsia="Calibri"/>
          <w:lang w:val="en-US" w:eastAsia="en-US"/>
        </w:rPr>
        <w:endnoteReference w:id="80"/>
      </w:r>
      <w:r w:rsidR="00D506DB" w:rsidRPr="00F044FD">
        <w:rPr>
          <w:lang w:val="en-US"/>
        </w:rPr>
        <w:t xml:space="preserve"> that EU funds divert the</w:t>
      </w:r>
      <w:r w:rsidR="003C41DD" w:rsidRPr="00F044FD">
        <w:rPr>
          <w:lang w:val="en-US"/>
        </w:rPr>
        <w:t>ir</w:t>
      </w:r>
      <w:r w:rsidR="00D506DB" w:rsidRPr="00F044FD">
        <w:rPr>
          <w:lang w:val="en-US"/>
        </w:rPr>
        <w:t xml:space="preserve"> energy to EU-funded projects. </w:t>
      </w:r>
      <w:r w:rsidR="003C41DD" w:rsidRPr="00F044FD">
        <w:rPr>
          <w:lang w:val="en-US"/>
        </w:rPr>
        <w:t>Then again, s</w:t>
      </w:r>
      <w:r w:rsidR="00D506DB" w:rsidRPr="00F044FD">
        <w:rPr>
          <w:lang w:val="en-US"/>
        </w:rPr>
        <w:t>everal interviewees</w:t>
      </w:r>
      <w:r w:rsidR="00D506DB" w:rsidRPr="00F044FD">
        <w:rPr>
          <w:rStyle w:val="EndnoteReference"/>
          <w:lang w:val="en-US"/>
        </w:rPr>
        <w:endnoteReference w:id="81"/>
      </w:r>
      <w:r w:rsidR="00D506DB" w:rsidRPr="00F044FD">
        <w:rPr>
          <w:lang w:val="en-US"/>
        </w:rPr>
        <w:t xml:space="preserve"> underlined that EU-funded projects improved their capacity for problem description, generating solutions and guided them for systematizing their work. Especially t</w:t>
      </w:r>
      <w:r w:rsidR="009B1F54" w:rsidRPr="00F044FD">
        <w:rPr>
          <w:lang w:val="en-US"/>
        </w:rPr>
        <w:t>hose CSOs that employed their member explained how “EU projects disciplined”</w:t>
      </w:r>
      <w:r w:rsidR="009B1F54" w:rsidRPr="00F044FD">
        <w:rPr>
          <w:rFonts w:eastAsia="Calibri"/>
          <w:vertAlign w:val="superscript"/>
          <w:lang w:val="en-US" w:eastAsia="en-US"/>
        </w:rPr>
        <w:endnoteReference w:id="82"/>
      </w:r>
      <w:r w:rsidR="009B1F54" w:rsidRPr="00F044FD">
        <w:rPr>
          <w:rFonts w:eastAsia="Calibri"/>
          <w:vertAlign w:val="superscript"/>
          <w:lang w:val="en-US" w:eastAsia="en-US"/>
        </w:rPr>
        <w:t xml:space="preserve"> </w:t>
      </w:r>
      <w:r w:rsidR="009B1F54" w:rsidRPr="00F044FD">
        <w:rPr>
          <w:lang w:val="en-US"/>
        </w:rPr>
        <w:t>them or how they “at least learn to act more orderly, namely to learn to set goals. At least, plan how to reach these goals”.</w:t>
      </w:r>
      <w:r w:rsidR="009B1F54" w:rsidRPr="00F044FD">
        <w:rPr>
          <w:rFonts w:eastAsia="Calibri"/>
          <w:vertAlign w:val="superscript"/>
          <w:lang w:val="en-US" w:eastAsia="en-US"/>
        </w:rPr>
        <w:endnoteReference w:id="83"/>
      </w:r>
      <w:r w:rsidR="009B1F54" w:rsidRPr="00F044FD">
        <w:rPr>
          <w:rFonts w:eastAsia="Calibri"/>
          <w:vertAlign w:val="superscript"/>
          <w:lang w:val="en-US" w:eastAsia="en-US"/>
        </w:rPr>
        <w:t xml:space="preserve"> </w:t>
      </w:r>
      <w:r w:rsidR="009B1F54" w:rsidRPr="00F044FD">
        <w:rPr>
          <w:lang w:val="en-US"/>
        </w:rPr>
        <w:t xml:space="preserve">While this may lead to a certain level of institutionalization, this does not amount to professionalization as defined in this article where volunteers are replaced with professional staff in designing and implementing activities and projects of </w:t>
      </w:r>
      <w:r w:rsidR="009B1F54" w:rsidRPr="00F044FD">
        <w:rPr>
          <w:lang w:val="en-US"/>
        </w:rPr>
        <w:lastRenderedPageBreak/>
        <w:t>the organization. Even afte</w:t>
      </w:r>
      <w:r w:rsidR="001B5288" w:rsidRPr="00F044FD">
        <w:rPr>
          <w:lang w:val="en-US"/>
        </w:rPr>
        <w:t>r the project is completed,</w:t>
      </w:r>
      <w:r w:rsidR="009B1F54" w:rsidRPr="00F044FD">
        <w:rPr>
          <w:lang w:val="en-US"/>
        </w:rPr>
        <w:t xml:space="preserve"> most CSOs continue similar work, albeit in</w:t>
      </w:r>
      <w:r w:rsidR="001B5288" w:rsidRPr="00F044FD">
        <w:rPr>
          <w:lang w:val="en-US"/>
        </w:rPr>
        <w:t xml:space="preserve"> a</w:t>
      </w:r>
      <w:r w:rsidR="009B1F54" w:rsidRPr="00F044FD">
        <w:rPr>
          <w:lang w:val="en-US"/>
        </w:rPr>
        <w:t xml:space="preserve"> smaller scale. “The work is the same, we do not reflect it… We continue, meaning we take care of ourselves”.</w:t>
      </w:r>
      <w:r w:rsidR="009B1F54" w:rsidRPr="00F044FD">
        <w:rPr>
          <w:rFonts w:eastAsia="Calibri"/>
          <w:vertAlign w:val="superscript"/>
          <w:lang w:val="en-US" w:eastAsia="en-US"/>
        </w:rPr>
        <w:endnoteReference w:id="84"/>
      </w:r>
    </w:p>
    <w:p w:rsidR="009B1F54" w:rsidRPr="00F044FD" w:rsidRDefault="009B1F54" w:rsidP="00442C24">
      <w:pPr>
        <w:pStyle w:val="Heading1"/>
        <w:rPr>
          <w:rFonts w:eastAsia="Calibri"/>
          <w:lang w:val="en-US" w:eastAsia="en-US"/>
        </w:rPr>
      </w:pPr>
      <w:r w:rsidRPr="00F044FD">
        <w:rPr>
          <w:rFonts w:eastAsia="Calibri"/>
          <w:lang w:val="en-US" w:eastAsia="en-US"/>
        </w:rPr>
        <w:t>Conclusions</w:t>
      </w:r>
    </w:p>
    <w:p w:rsidR="008B13E7" w:rsidRDefault="008B13E7" w:rsidP="008B13E7">
      <w:pPr>
        <w:pStyle w:val="Paragraph"/>
        <w:spacing w:before="0"/>
        <w:rPr>
          <w:rFonts w:eastAsia="Calibri"/>
          <w:lang w:val="en-US" w:eastAsia="en-US"/>
        </w:rPr>
      </w:pPr>
      <w:r>
        <w:rPr>
          <w:rFonts w:eastAsia="Calibri"/>
          <w:lang w:val="en-US" w:eastAsia="en-US"/>
        </w:rPr>
        <w:t>Running EU-funded projects under IPA is a challenging endeavor for many of the CSOs in Turkey. These organizations have to manage a budget and intensity of activities they usually have not experienced, in a tight timeline and under an overwhelming bureaucracy. Earlier studies exploring different cases argue that both the appeal of foreign funding and the immense workload it creates lead to the professionalization of CSOs at the expense of their members or volunteers.</w:t>
      </w:r>
    </w:p>
    <w:p w:rsidR="008B13E7" w:rsidRDefault="008B13E7" w:rsidP="008B13E7">
      <w:pPr>
        <w:pStyle w:val="Newparagraph"/>
        <w:rPr>
          <w:rFonts w:eastAsia="Calibri"/>
          <w:lang w:val="en-US" w:eastAsia="en-US"/>
        </w:rPr>
      </w:pPr>
      <w:r>
        <w:rPr>
          <w:rFonts w:eastAsia="Calibri"/>
          <w:lang w:val="en-US" w:eastAsia="en-US"/>
        </w:rPr>
        <w:t xml:space="preserve">Official data in Turkey indicates an increasing number of paid </w:t>
      </w:r>
      <w:proofErr w:type="gramStart"/>
      <w:r>
        <w:rPr>
          <w:rFonts w:eastAsia="Calibri"/>
          <w:lang w:val="en-US" w:eastAsia="en-US"/>
        </w:rPr>
        <w:t>staff</w:t>
      </w:r>
      <w:proofErr w:type="gramEnd"/>
      <w:r>
        <w:rPr>
          <w:rFonts w:eastAsia="Calibri"/>
          <w:lang w:val="en-US" w:eastAsia="en-US"/>
        </w:rPr>
        <w:t xml:space="preserve"> in Turkish CSOs over the past decade. The figures coincide with an ever-increasing EU funding to Turkish civil society. However, the findings of this study suggest that the link between EU funds and the professionalization of Turkish CSOs to be weak. So, in contrast with the findings of the earlier research, why has the EU funding not led to professionalization of Turkish CSOs?</w:t>
      </w:r>
    </w:p>
    <w:p w:rsidR="008B13E7" w:rsidRPr="007779C3" w:rsidRDefault="008B13E7" w:rsidP="008B13E7">
      <w:pPr>
        <w:pStyle w:val="Newparagraph"/>
        <w:rPr>
          <w:rFonts w:eastAsia="Calibri"/>
          <w:lang w:val="en-US" w:eastAsia="en-US"/>
        </w:rPr>
      </w:pPr>
      <w:r>
        <w:rPr>
          <w:rFonts w:eastAsia="Calibri"/>
          <w:lang w:val="en-US" w:eastAsia="en-US"/>
        </w:rPr>
        <w:t xml:space="preserve">Professionalization argument </w:t>
      </w:r>
      <w:proofErr w:type="gramStart"/>
      <w:r>
        <w:rPr>
          <w:rFonts w:eastAsia="Calibri"/>
          <w:lang w:val="en-US" w:eastAsia="en-US"/>
        </w:rPr>
        <w:t>is based on the assumption</w:t>
      </w:r>
      <w:proofErr w:type="gramEnd"/>
      <w:r>
        <w:rPr>
          <w:rFonts w:eastAsia="Calibri"/>
          <w:lang w:val="en-US" w:eastAsia="en-US"/>
        </w:rPr>
        <w:t xml:space="preserve"> that CSOs are dependent on external funding. From this it follows that accessing and managing external funding require professional staff and sustaining it entails professionalization. Needless to </w:t>
      </w:r>
      <w:proofErr w:type="gramStart"/>
      <w:r>
        <w:rPr>
          <w:rFonts w:eastAsia="Calibri"/>
          <w:lang w:val="en-US" w:eastAsia="en-US"/>
        </w:rPr>
        <w:t>say</w:t>
      </w:r>
      <w:proofErr w:type="gramEnd"/>
      <w:r>
        <w:rPr>
          <w:rFonts w:eastAsia="Calibri"/>
          <w:lang w:val="en-US" w:eastAsia="en-US"/>
        </w:rPr>
        <w:t xml:space="preserve"> that external funding is a key resource for CSOs and in Turkey, EU funding makes up an important part of this. However, as suggested by RDT, organizations take different actions to manage their dependency. In this case, the research shows that some of the CSOs transformed EU funding into other resources, such as increased legitimacy or new members. In some cases, external funding is used as an incentive for existing members and volunteers. </w:t>
      </w:r>
      <w:r w:rsidRPr="007779C3">
        <w:rPr>
          <w:rFonts w:eastAsia="Calibri"/>
          <w:lang w:val="en-US" w:eastAsia="en-US"/>
        </w:rPr>
        <w:t xml:space="preserve">Therefore, </w:t>
      </w:r>
      <w:r w:rsidR="00831323">
        <w:rPr>
          <w:rFonts w:eastAsia="Calibri"/>
          <w:lang w:val="en-US" w:eastAsia="en-US"/>
        </w:rPr>
        <w:t xml:space="preserve">professionalization of </w:t>
      </w:r>
      <w:r w:rsidR="00831323">
        <w:rPr>
          <w:rFonts w:eastAsia="Calibri"/>
          <w:lang w:val="en-US" w:eastAsia="en-US"/>
        </w:rPr>
        <w:lastRenderedPageBreak/>
        <w:t>Turkish CSOs is not a necessary outcome of EU funding thanks to their</w:t>
      </w:r>
      <w:r>
        <w:rPr>
          <w:rFonts w:eastAsia="Calibri"/>
          <w:lang w:val="en-US" w:eastAsia="en-US"/>
        </w:rPr>
        <w:t xml:space="preserve"> decisions in managing their funding dependency.</w:t>
      </w:r>
    </w:p>
    <w:p w:rsidR="008B13E7" w:rsidRDefault="008B13E7" w:rsidP="008B13E7">
      <w:pPr>
        <w:pStyle w:val="Newparagraph"/>
        <w:rPr>
          <w:rFonts w:eastAsia="Calibri"/>
          <w:lang w:val="en-US" w:eastAsia="en-US"/>
        </w:rPr>
      </w:pPr>
      <w:r>
        <w:rPr>
          <w:rFonts w:eastAsia="Calibri"/>
          <w:lang w:val="en-US" w:eastAsia="en-US"/>
        </w:rPr>
        <w:t xml:space="preserve">Second, professionalization argument also considers professional staff as a key resource. However, as RDT rightly </w:t>
      </w:r>
      <w:r w:rsidR="006A29B3">
        <w:rPr>
          <w:rFonts w:eastAsia="Calibri"/>
          <w:lang w:val="en-US" w:eastAsia="en-US"/>
        </w:rPr>
        <w:t>underlines</w:t>
      </w:r>
      <w:r>
        <w:rPr>
          <w:rFonts w:eastAsia="Calibri"/>
          <w:lang w:val="en-US" w:eastAsia="en-US"/>
        </w:rPr>
        <w:t xml:space="preserve">, resource refers to things that the organization is dependent, which is not the case for professional staff employed by CSOs in Turkey under EU-funded projects. The research suggests that these CSOs resort to professional staff mainly to </w:t>
      </w:r>
      <w:r w:rsidR="006A29B3">
        <w:rPr>
          <w:rFonts w:eastAsia="Calibri"/>
          <w:lang w:val="en-US" w:eastAsia="en-US"/>
        </w:rPr>
        <w:t>ensure</w:t>
      </w:r>
      <w:r>
        <w:rPr>
          <w:rFonts w:eastAsia="Calibri"/>
          <w:lang w:val="en-US" w:eastAsia="en-US"/>
        </w:rPr>
        <w:t xml:space="preserve"> the project’s successful implementation and do not perceive any effect of that staff over their organization apart from this. The staff is seen as necessary for the project, but are not expected to bring a long-term input for the CSO. In </w:t>
      </w:r>
      <w:r w:rsidR="006A29B3">
        <w:rPr>
          <w:rFonts w:eastAsia="Calibri"/>
          <w:lang w:val="en-US" w:eastAsia="en-US"/>
        </w:rPr>
        <w:t>this sense</w:t>
      </w:r>
      <w:r>
        <w:rPr>
          <w:rFonts w:eastAsia="Calibri"/>
          <w:lang w:val="en-US" w:eastAsia="en-US"/>
        </w:rPr>
        <w:t xml:space="preserve">, professional staff is not a resource, but rather an interim facilitator. </w:t>
      </w:r>
      <w:proofErr w:type="gramStart"/>
      <w:r>
        <w:rPr>
          <w:rFonts w:eastAsia="Calibri"/>
          <w:lang w:val="en-US" w:eastAsia="en-US"/>
        </w:rPr>
        <w:t>Therefore</w:t>
      </w:r>
      <w:proofErr w:type="gramEnd"/>
      <w:r>
        <w:rPr>
          <w:rFonts w:eastAsia="Calibri"/>
          <w:lang w:val="en-US" w:eastAsia="en-US"/>
        </w:rPr>
        <w:t xml:space="preserve"> the incentive to keep the professional staff, and as such prospects for dependency and professionalization remain low.</w:t>
      </w:r>
    </w:p>
    <w:p w:rsidR="008B13E7" w:rsidRDefault="008B13E7" w:rsidP="008B13E7">
      <w:pPr>
        <w:pStyle w:val="Newparagraph"/>
        <w:rPr>
          <w:rFonts w:eastAsia="Calibri"/>
          <w:lang w:val="en-US" w:eastAsia="en-US"/>
        </w:rPr>
      </w:pPr>
      <w:r>
        <w:rPr>
          <w:rFonts w:eastAsia="Calibri"/>
          <w:lang w:val="en-US" w:eastAsia="en-US"/>
        </w:rPr>
        <w:t>In short, Turkish case does not validate the widely accepted argument in the literature that links professionalization effect with external funding. It is true that CSOs in Turkey are constrained by funding dependency, but managerial decisions to adopt these conditions have proven equally important. In Turkey, it is these decisions and actions taken as a result that impeded professionalization of CSOs.</w:t>
      </w:r>
    </w:p>
    <w:p w:rsidR="006A41EF" w:rsidRPr="00FD58C4" w:rsidRDefault="006A41EF" w:rsidP="008B13E7">
      <w:pPr>
        <w:pStyle w:val="Newparagraph"/>
        <w:rPr>
          <w:rFonts w:eastAsia="Calibri"/>
          <w:lang w:val="en-US" w:eastAsia="en-US"/>
        </w:rPr>
      </w:pPr>
    </w:p>
    <w:p w:rsidR="009B1F54" w:rsidRPr="00F044FD" w:rsidRDefault="0032702A" w:rsidP="00442C24">
      <w:pPr>
        <w:pStyle w:val="Heading1"/>
        <w:rPr>
          <w:rFonts w:eastAsia="Calibri"/>
          <w:lang w:val="en-US" w:eastAsia="en-US"/>
        </w:rPr>
      </w:pPr>
      <w:r w:rsidRPr="00F044FD">
        <w:rPr>
          <w:rFonts w:eastAsia="Calibri"/>
          <w:lang w:val="en-US" w:eastAsia="en-US"/>
        </w:rPr>
        <w:t>Bibliography</w:t>
      </w:r>
    </w:p>
    <w:p w:rsidR="009B1F54" w:rsidRPr="00F044FD" w:rsidRDefault="009B1F54" w:rsidP="009B1F54">
      <w:pPr>
        <w:rPr>
          <w:rFonts w:eastAsia="Calibri"/>
          <w:bCs/>
          <w:lang w:val="en-US"/>
        </w:rPr>
      </w:pPr>
      <w:r w:rsidRPr="00F044FD">
        <w:rPr>
          <w:rFonts w:eastAsia="Calibri"/>
          <w:lang w:val="en-US"/>
        </w:rPr>
        <w:t xml:space="preserve">Alvarez, </w:t>
      </w:r>
      <w:r w:rsidR="00112663" w:rsidRPr="00F044FD">
        <w:rPr>
          <w:rFonts w:eastAsia="Calibri"/>
          <w:lang w:val="en-US"/>
        </w:rPr>
        <w:t>S</w:t>
      </w:r>
      <w:r w:rsidR="0053337C" w:rsidRPr="00F044FD">
        <w:rPr>
          <w:rFonts w:eastAsia="Calibri"/>
          <w:lang w:val="en-US"/>
        </w:rPr>
        <w:t>onia</w:t>
      </w:r>
      <w:r w:rsidRPr="00F044FD">
        <w:rPr>
          <w:rFonts w:eastAsia="Calibri"/>
          <w:lang w:val="en-US"/>
        </w:rPr>
        <w:t xml:space="preserve"> E. “Advocating Feminism: The Latin American Feminist NGO ‘Boom’.” </w:t>
      </w:r>
      <w:r w:rsidRPr="00F044FD">
        <w:rPr>
          <w:rFonts w:eastAsia="Calibri"/>
          <w:i/>
          <w:lang w:val="en-US"/>
        </w:rPr>
        <w:t>International Feminist Journal of Politics</w:t>
      </w:r>
      <w:r w:rsidRPr="00F044FD">
        <w:rPr>
          <w:rFonts w:eastAsia="Calibri"/>
          <w:lang w:val="en-US"/>
        </w:rPr>
        <w:t xml:space="preserve"> 1, no. 2 (1999): 181—209.</w:t>
      </w:r>
    </w:p>
    <w:p w:rsidR="009B1F54" w:rsidRPr="00F044FD" w:rsidRDefault="009B1F54" w:rsidP="009B1F54">
      <w:pPr>
        <w:rPr>
          <w:b/>
          <w:bCs/>
          <w:lang w:val="en-US"/>
        </w:rPr>
      </w:pPr>
      <w:r w:rsidRPr="00F044FD">
        <w:rPr>
          <w:rFonts w:eastAsia="Calibri"/>
          <w:lang w:val="en-US"/>
        </w:rPr>
        <w:t xml:space="preserve">Armstrong, Elizabeth and Vijay </w:t>
      </w:r>
      <w:proofErr w:type="spellStart"/>
      <w:r w:rsidRPr="00F044FD">
        <w:rPr>
          <w:rFonts w:eastAsia="Calibri"/>
          <w:lang w:val="en-US"/>
        </w:rPr>
        <w:t>Prashad</w:t>
      </w:r>
      <w:proofErr w:type="spellEnd"/>
      <w:r w:rsidRPr="00F044FD">
        <w:rPr>
          <w:rFonts w:eastAsia="Calibri"/>
          <w:lang w:val="en-US"/>
        </w:rPr>
        <w:t xml:space="preserve">. “Exiles from a Future Land: Moving Beyond Coalitional Politics.” </w:t>
      </w:r>
      <w:r w:rsidRPr="00F044FD">
        <w:rPr>
          <w:rFonts w:eastAsia="Calibri"/>
          <w:i/>
          <w:iCs/>
          <w:lang w:val="en-US"/>
        </w:rPr>
        <w:t>Antipode</w:t>
      </w:r>
      <w:r w:rsidRPr="00F044FD">
        <w:rPr>
          <w:rFonts w:eastAsia="Calibri"/>
          <w:iCs/>
          <w:lang w:val="en-US"/>
        </w:rPr>
        <w:t xml:space="preserve"> 37 no. </w:t>
      </w:r>
      <w:r w:rsidRPr="00F044FD">
        <w:rPr>
          <w:rFonts w:eastAsia="Calibri"/>
          <w:lang w:val="en-US"/>
        </w:rPr>
        <w:t>1 (2005): 181</w:t>
      </w:r>
      <w:r w:rsidRPr="00F044FD">
        <w:rPr>
          <w:lang w:val="en-US"/>
        </w:rPr>
        <w:t>—</w:t>
      </w:r>
      <w:r w:rsidRPr="00F044FD">
        <w:rPr>
          <w:rFonts w:eastAsia="Calibri"/>
          <w:lang w:val="en-US"/>
        </w:rPr>
        <w:t>185.</w:t>
      </w:r>
      <w:r w:rsidRPr="00F044FD">
        <w:rPr>
          <w:b/>
          <w:bCs/>
          <w:lang w:val="en-US"/>
        </w:rPr>
        <w:t xml:space="preserve"> </w:t>
      </w:r>
    </w:p>
    <w:p w:rsidR="005F63A7" w:rsidRPr="00F044FD" w:rsidRDefault="005F63A7" w:rsidP="005F63A7">
      <w:pPr>
        <w:rPr>
          <w:rFonts w:eastAsia="Calibri"/>
          <w:lang w:val="en-US"/>
        </w:rPr>
      </w:pPr>
      <w:r w:rsidRPr="00F044FD">
        <w:rPr>
          <w:rFonts w:eastAsia="Calibri"/>
          <w:lang w:val="en-US"/>
        </w:rPr>
        <w:t xml:space="preserve">Nicola Banks, David </w:t>
      </w:r>
      <w:proofErr w:type="spellStart"/>
      <w:r w:rsidRPr="00F044FD">
        <w:rPr>
          <w:rFonts w:eastAsia="Calibri"/>
          <w:lang w:val="en-US"/>
        </w:rPr>
        <w:t>Hulme</w:t>
      </w:r>
      <w:proofErr w:type="spellEnd"/>
      <w:r w:rsidRPr="00F044FD">
        <w:rPr>
          <w:rFonts w:eastAsia="Calibri"/>
          <w:lang w:val="en-US"/>
        </w:rPr>
        <w:t xml:space="preserve"> and Michael Edwards. “NGOs, States, and Donors Revisited: Still Too Close for Comfort?” </w:t>
      </w:r>
      <w:r w:rsidRPr="00F044FD">
        <w:rPr>
          <w:rFonts w:eastAsia="Calibri"/>
          <w:i/>
          <w:lang w:val="en-US"/>
        </w:rPr>
        <w:t>World Development</w:t>
      </w:r>
      <w:r w:rsidRPr="00F044FD">
        <w:rPr>
          <w:rFonts w:eastAsia="Calibri"/>
          <w:lang w:val="en-US"/>
        </w:rPr>
        <w:t xml:space="preserve"> 66 (2015): 707–718.</w:t>
      </w:r>
    </w:p>
    <w:p w:rsidR="009B1F54" w:rsidRPr="00F044FD" w:rsidRDefault="009B1F54" w:rsidP="005F63A7">
      <w:pPr>
        <w:rPr>
          <w:lang w:val="en-US"/>
        </w:rPr>
      </w:pPr>
      <w:proofErr w:type="spellStart"/>
      <w:r w:rsidRPr="00F044FD">
        <w:rPr>
          <w:lang w:val="en-US"/>
        </w:rPr>
        <w:lastRenderedPageBreak/>
        <w:t>Biekart</w:t>
      </w:r>
      <w:proofErr w:type="spellEnd"/>
      <w:r w:rsidRPr="00F044FD">
        <w:rPr>
          <w:lang w:val="en-US"/>
        </w:rPr>
        <w:t xml:space="preserve">, </w:t>
      </w:r>
      <w:proofErr w:type="spellStart"/>
      <w:r w:rsidR="00112663" w:rsidRPr="00F044FD">
        <w:rPr>
          <w:lang w:val="en-US"/>
        </w:rPr>
        <w:t>K</w:t>
      </w:r>
      <w:r w:rsidR="0053337C" w:rsidRPr="00F044FD">
        <w:rPr>
          <w:lang w:val="en-US"/>
        </w:rPr>
        <w:t>ees</w:t>
      </w:r>
      <w:proofErr w:type="spellEnd"/>
      <w:r w:rsidR="0053337C" w:rsidRPr="00F044FD">
        <w:rPr>
          <w:lang w:val="en-US"/>
        </w:rPr>
        <w:t>.</w:t>
      </w:r>
      <w:r w:rsidRPr="00F044FD">
        <w:rPr>
          <w:lang w:val="en-US"/>
        </w:rPr>
        <w:t xml:space="preserve"> </w:t>
      </w:r>
      <w:r w:rsidRPr="00F044FD">
        <w:rPr>
          <w:i/>
          <w:lang w:val="en-US"/>
        </w:rPr>
        <w:t>The Politics of Civil Society Building: European Private Aid Agencies and Democratic Transitions in Central America</w:t>
      </w:r>
      <w:r w:rsidRPr="00F044FD">
        <w:rPr>
          <w:lang w:val="en-US"/>
        </w:rPr>
        <w:t>. Utrecht, The Netherlands: International Books, 1999.</w:t>
      </w:r>
    </w:p>
    <w:p w:rsidR="009B1F54" w:rsidRPr="00F044FD" w:rsidRDefault="009B1F54" w:rsidP="009B1F54">
      <w:pPr>
        <w:rPr>
          <w:lang w:val="en-US"/>
        </w:rPr>
      </w:pPr>
      <w:proofErr w:type="spellStart"/>
      <w:r w:rsidRPr="00F044FD">
        <w:rPr>
          <w:rFonts w:eastAsia="Calibri"/>
          <w:shd w:val="clear" w:color="auto" w:fill="FFFFFF"/>
          <w:lang w:val="en-US" w:eastAsia="en-US"/>
        </w:rPr>
        <w:t>Boşnak</w:t>
      </w:r>
      <w:proofErr w:type="spellEnd"/>
      <w:r w:rsidRPr="00F044FD">
        <w:rPr>
          <w:rFonts w:eastAsia="Calibri"/>
          <w:shd w:val="clear" w:color="auto" w:fill="FFFFFF"/>
          <w:lang w:val="en-US" w:eastAsia="en-US"/>
        </w:rPr>
        <w:t xml:space="preserve">, </w:t>
      </w:r>
      <w:proofErr w:type="spellStart"/>
      <w:r w:rsidR="00112663" w:rsidRPr="00F044FD">
        <w:rPr>
          <w:rFonts w:eastAsia="Calibri"/>
          <w:shd w:val="clear" w:color="auto" w:fill="FFFFFF"/>
          <w:lang w:val="en-US" w:eastAsia="en-US"/>
        </w:rPr>
        <w:t>B</w:t>
      </w:r>
      <w:r w:rsidR="0053337C" w:rsidRPr="00F044FD">
        <w:rPr>
          <w:rFonts w:eastAsia="Calibri"/>
          <w:shd w:val="clear" w:color="auto" w:fill="FFFFFF"/>
          <w:lang w:val="en-US" w:eastAsia="en-US"/>
        </w:rPr>
        <w:t>üke</w:t>
      </w:r>
      <w:proofErr w:type="spellEnd"/>
      <w:r w:rsidRPr="00F044FD">
        <w:rPr>
          <w:rFonts w:eastAsia="Calibri"/>
          <w:shd w:val="clear" w:color="auto" w:fill="FFFFFF"/>
          <w:lang w:val="en-US" w:eastAsia="en-US"/>
        </w:rPr>
        <w:t xml:space="preserve">. “Europeanisation and De-Europeanisation Dynamics in Turkey: The Case of Environmental </w:t>
      </w:r>
      <w:proofErr w:type="spellStart"/>
      <w:r w:rsidRPr="00F044FD">
        <w:rPr>
          <w:rFonts w:eastAsia="Calibri"/>
          <w:shd w:val="clear" w:color="auto" w:fill="FFFFFF"/>
          <w:lang w:val="en-US" w:eastAsia="en-US"/>
        </w:rPr>
        <w:t>Organisations</w:t>
      </w:r>
      <w:proofErr w:type="spellEnd"/>
      <w:r w:rsidRPr="00F044FD">
        <w:rPr>
          <w:rFonts w:eastAsia="Calibri"/>
          <w:shd w:val="clear" w:color="auto" w:fill="FFFFFF"/>
          <w:lang w:val="en-US" w:eastAsia="en-US"/>
        </w:rPr>
        <w:t xml:space="preserve">.” </w:t>
      </w:r>
      <w:r w:rsidRPr="00F044FD">
        <w:rPr>
          <w:rFonts w:eastAsia="Calibri"/>
          <w:i/>
          <w:lang w:val="en-US" w:eastAsia="en-US"/>
        </w:rPr>
        <w:t xml:space="preserve">South European Society and Politic, </w:t>
      </w:r>
      <w:r w:rsidR="00452FC8" w:rsidRPr="00F044FD">
        <w:rPr>
          <w:rFonts w:eastAsia="Calibri"/>
          <w:lang w:val="en-US" w:eastAsia="en-US"/>
        </w:rPr>
        <w:t xml:space="preserve">21, no. 1 </w:t>
      </w:r>
      <w:r w:rsidR="00452FC8" w:rsidRPr="00F044FD">
        <w:rPr>
          <w:rFonts w:eastAsia="Calibri"/>
          <w:shd w:val="clear" w:color="auto" w:fill="FFFFFF"/>
          <w:lang w:val="en-US" w:eastAsia="en-US"/>
        </w:rPr>
        <w:t xml:space="preserve">(2016): </w:t>
      </w:r>
      <w:r w:rsidRPr="00F044FD">
        <w:rPr>
          <w:rFonts w:eastAsia="Calibri"/>
          <w:lang w:val="en-US" w:eastAsia="en-US"/>
        </w:rPr>
        <w:t xml:space="preserve">75—90. </w:t>
      </w:r>
    </w:p>
    <w:p w:rsidR="009B1F54" w:rsidRPr="00F044FD" w:rsidRDefault="009B1F54" w:rsidP="009B1F54">
      <w:pPr>
        <w:autoSpaceDE w:val="0"/>
        <w:autoSpaceDN w:val="0"/>
        <w:adjustRightInd w:val="0"/>
        <w:rPr>
          <w:rFonts w:eastAsia="Calibri"/>
          <w:shd w:val="clear" w:color="auto" w:fill="FFFFFF"/>
          <w:lang w:val="en-US" w:eastAsia="en-US"/>
        </w:rPr>
      </w:pPr>
      <w:r w:rsidRPr="00F044FD">
        <w:rPr>
          <w:rFonts w:eastAsia="Calibri"/>
          <w:shd w:val="clear" w:color="auto" w:fill="FFFFFF"/>
          <w:lang w:val="en-US" w:eastAsia="en-US"/>
        </w:rPr>
        <w:t xml:space="preserve">Central Finance and Contracts Unit. “Grants Database.” Available at </w:t>
      </w:r>
      <w:hyperlink r:id="rId8" w:history="1">
        <w:r w:rsidRPr="00F044FD">
          <w:rPr>
            <w:rFonts w:eastAsia="Calibri"/>
            <w:color w:val="0000FF"/>
            <w:u w:val="single"/>
            <w:lang w:val="en-US" w:eastAsia="en-US"/>
          </w:rPr>
          <w:t>http://www.cfcu.gov.tr/</w:t>
        </w:r>
      </w:hyperlink>
      <w:r w:rsidRPr="00F044FD">
        <w:rPr>
          <w:rFonts w:eastAsia="Calibri"/>
          <w:lang w:val="en-US" w:eastAsia="en-US"/>
        </w:rPr>
        <w:t>, Accessed 8 July 2017.</w:t>
      </w:r>
    </w:p>
    <w:p w:rsidR="00095EC0" w:rsidRPr="009A17C0" w:rsidRDefault="00095EC0" w:rsidP="009B1F54">
      <w:pPr>
        <w:rPr>
          <w:lang w:val="en-US"/>
        </w:rPr>
      </w:pPr>
      <w:r w:rsidRPr="009A17C0">
        <w:rPr>
          <w:lang w:val="en-US"/>
        </w:rPr>
        <w:t xml:space="preserve">Charities Aid Foundation. </w:t>
      </w:r>
      <w:r w:rsidRPr="009A17C0">
        <w:rPr>
          <w:i/>
          <w:lang w:val="en-US"/>
        </w:rPr>
        <w:t>World Giving Index.</w:t>
      </w:r>
      <w:r w:rsidRPr="009A17C0">
        <w:rPr>
          <w:lang w:val="en-US"/>
        </w:rPr>
        <w:t xml:space="preserve"> 2014. Available at </w:t>
      </w:r>
      <w:hyperlink r:id="rId9" w:history="1">
        <w:r w:rsidRPr="009A17C0">
          <w:rPr>
            <w:rStyle w:val="Hyperlink"/>
            <w:lang w:val="en-US"/>
          </w:rPr>
          <w:t>https://www.cafonline.org/docs/default-source/about-us-publications/caf_wgi2014_report_1555awebfinal.pdf?sfvrsn=fcdcf440_4</w:t>
        </w:r>
      </w:hyperlink>
      <w:r w:rsidRPr="009A17C0">
        <w:rPr>
          <w:lang w:val="en-US"/>
        </w:rPr>
        <w:t>, Accessed 15 March 2017.</w:t>
      </w:r>
    </w:p>
    <w:p w:rsidR="009B1F54" w:rsidRPr="00F044FD" w:rsidRDefault="009B1F54" w:rsidP="009B1F54">
      <w:pPr>
        <w:rPr>
          <w:rFonts w:eastAsia="Calibri"/>
          <w:lang w:val="en-US"/>
        </w:rPr>
      </w:pPr>
      <w:proofErr w:type="spellStart"/>
      <w:r w:rsidRPr="00F044FD">
        <w:rPr>
          <w:rFonts w:eastAsia="Calibri"/>
          <w:iCs/>
          <w:lang w:val="en-US"/>
        </w:rPr>
        <w:t>Choudry</w:t>
      </w:r>
      <w:proofErr w:type="spellEnd"/>
      <w:r w:rsidRPr="00F044FD">
        <w:rPr>
          <w:rFonts w:eastAsia="Calibri"/>
          <w:iCs/>
          <w:lang w:val="en-US"/>
        </w:rPr>
        <w:t xml:space="preserve">, </w:t>
      </w:r>
      <w:r w:rsidR="00112663" w:rsidRPr="00F044FD">
        <w:rPr>
          <w:rFonts w:eastAsia="Calibri"/>
          <w:iCs/>
          <w:lang w:val="en-US"/>
        </w:rPr>
        <w:t>A</w:t>
      </w:r>
      <w:r w:rsidR="0053337C" w:rsidRPr="00F044FD">
        <w:rPr>
          <w:rFonts w:eastAsia="Calibri"/>
          <w:iCs/>
          <w:lang w:val="en-US"/>
        </w:rPr>
        <w:t>ziz</w:t>
      </w:r>
      <w:r w:rsidRPr="00F044FD">
        <w:rPr>
          <w:rFonts w:eastAsia="Calibri"/>
          <w:iCs/>
          <w:lang w:val="en-US"/>
        </w:rPr>
        <w:t>. “</w:t>
      </w:r>
      <w:r w:rsidRPr="00F044FD">
        <w:rPr>
          <w:rFonts w:eastAsia="Calibri"/>
          <w:lang w:val="en-US"/>
        </w:rPr>
        <w:t>Global Justice? Contesting NGO-</w:t>
      </w:r>
      <w:proofErr w:type="spellStart"/>
      <w:r w:rsidRPr="00F044FD">
        <w:rPr>
          <w:rFonts w:eastAsia="Calibri"/>
          <w:lang w:val="en-US"/>
        </w:rPr>
        <w:t>ization</w:t>
      </w:r>
      <w:proofErr w:type="spellEnd"/>
      <w:r w:rsidRPr="00F044FD">
        <w:rPr>
          <w:rFonts w:eastAsia="Calibri"/>
          <w:lang w:val="en-US"/>
        </w:rPr>
        <w:t xml:space="preserve">: Knowledge Politics and Containment in </w:t>
      </w:r>
      <w:proofErr w:type="spellStart"/>
      <w:r w:rsidRPr="00F044FD">
        <w:rPr>
          <w:rFonts w:eastAsia="Calibri"/>
          <w:lang w:val="en-US"/>
        </w:rPr>
        <w:t>Antiglobalization</w:t>
      </w:r>
      <w:proofErr w:type="spellEnd"/>
      <w:r w:rsidRPr="00F044FD">
        <w:rPr>
          <w:rFonts w:eastAsia="Calibri"/>
          <w:lang w:val="en-US"/>
        </w:rPr>
        <w:t xml:space="preserve"> Networks.” In </w:t>
      </w:r>
      <w:r w:rsidRPr="00F044FD">
        <w:rPr>
          <w:rFonts w:eastAsia="Calibri"/>
          <w:i/>
          <w:lang w:val="en-US"/>
        </w:rPr>
        <w:t>Learning from the Ground Up Global Perspectives on Social Movements and Knowledge Production</w:t>
      </w:r>
      <w:r w:rsidRPr="00F044FD">
        <w:rPr>
          <w:rFonts w:eastAsia="Calibri"/>
          <w:lang w:val="en-US"/>
        </w:rPr>
        <w:t>, edited by A</w:t>
      </w:r>
      <w:r w:rsidR="0053337C" w:rsidRPr="00F044FD">
        <w:rPr>
          <w:rFonts w:eastAsia="Calibri"/>
          <w:lang w:val="en-US"/>
        </w:rPr>
        <w:t xml:space="preserve">ziz </w:t>
      </w:r>
      <w:proofErr w:type="spellStart"/>
      <w:r w:rsidR="0053337C" w:rsidRPr="00F044FD">
        <w:rPr>
          <w:rFonts w:eastAsia="Calibri"/>
          <w:lang w:val="en-US"/>
        </w:rPr>
        <w:t>Choudry</w:t>
      </w:r>
      <w:proofErr w:type="spellEnd"/>
      <w:r w:rsidR="0053337C" w:rsidRPr="00F044FD">
        <w:rPr>
          <w:rFonts w:eastAsia="Calibri"/>
          <w:lang w:val="en-US"/>
        </w:rPr>
        <w:t xml:space="preserve"> and Dip</w:t>
      </w:r>
      <w:r w:rsidRPr="00F044FD">
        <w:rPr>
          <w:rFonts w:eastAsia="Calibri"/>
          <w:lang w:val="en-US"/>
        </w:rPr>
        <w:t xml:space="preserve"> Kapoor</w:t>
      </w:r>
      <w:r w:rsidRPr="00F044FD">
        <w:rPr>
          <w:lang w:val="en-US"/>
        </w:rPr>
        <w:t xml:space="preserve">. </w:t>
      </w:r>
      <w:r w:rsidRPr="00F044FD">
        <w:rPr>
          <w:rFonts w:eastAsia="Calibri"/>
          <w:iCs/>
          <w:lang w:val="en-US"/>
        </w:rPr>
        <w:t>New York: Palgrave Macmillan, 2010.</w:t>
      </w:r>
    </w:p>
    <w:p w:rsidR="009B1F54" w:rsidRPr="00F044FD" w:rsidRDefault="009B1F54" w:rsidP="009B1F54">
      <w:pPr>
        <w:rPr>
          <w:rFonts w:eastAsia="Calibri"/>
          <w:b/>
          <w:lang w:val="en-US" w:eastAsia="en-US"/>
        </w:rPr>
      </w:pPr>
      <w:proofErr w:type="spellStart"/>
      <w:r w:rsidRPr="00F044FD">
        <w:rPr>
          <w:rFonts w:eastAsia="Calibri"/>
          <w:bCs/>
          <w:shd w:val="clear" w:color="auto" w:fill="FFFFFF"/>
          <w:lang w:val="en-US" w:eastAsia="en-US"/>
        </w:rPr>
        <w:t>Choudry</w:t>
      </w:r>
      <w:proofErr w:type="spellEnd"/>
      <w:r w:rsidRPr="00F044FD">
        <w:rPr>
          <w:rFonts w:eastAsia="Calibri"/>
          <w:bCs/>
          <w:shd w:val="clear" w:color="auto" w:fill="FFFFFF"/>
          <w:lang w:val="en-US" w:eastAsia="en-US"/>
        </w:rPr>
        <w:t xml:space="preserve">, </w:t>
      </w:r>
      <w:r w:rsidR="00112663" w:rsidRPr="00F044FD">
        <w:rPr>
          <w:rFonts w:eastAsia="Calibri"/>
          <w:bCs/>
          <w:shd w:val="clear" w:color="auto" w:fill="FFFFFF"/>
          <w:lang w:val="en-US" w:eastAsia="en-US"/>
        </w:rPr>
        <w:t>A</w:t>
      </w:r>
      <w:r w:rsidR="0053337C" w:rsidRPr="00F044FD">
        <w:rPr>
          <w:rFonts w:eastAsia="Calibri"/>
          <w:bCs/>
          <w:shd w:val="clear" w:color="auto" w:fill="FFFFFF"/>
          <w:lang w:val="en-US" w:eastAsia="en-US"/>
        </w:rPr>
        <w:t>ziz</w:t>
      </w:r>
      <w:r w:rsidRPr="00F044FD">
        <w:rPr>
          <w:rFonts w:eastAsia="Calibri"/>
          <w:bCs/>
          <w:shd w:val="clear" w:color="auto" w:fill="FFFFFF"/>
          <w:lang w:val="en-US" w:eastAsia="en-US"/>
        </w:rPr>
        <w:t xml:space="preserve"> and </w:t>
      </w:r>
      <w:r w:rsidR="0053337C" w:rsidRPr="00F044FD">
        <w:rPr>
          <w:rFonts w:eastAsia="Calibri"/>
          <w:bCs/>
          <w:shd w:val="clear" w:color="auto" w:fill="FFFFFF"/>
          <w:lang w:val="en-US" w:eastAsia="en-US"/>
        </w:rPr>
        <w:t>Dip</w:t>
      </w:r>
      <w:r w:rsidRPr="00F044FD">
        <w:rPr>
          <w:rFonts w:eastAsia="Calibri"/>
          <w:bCs/>
          <w:shd w:val="clear" w:color="auto" w:fill="FFFFFF"/>
          <w:lang w:val="en-US" w:eastAsia="en-US"/>
        </w:rPr>
        <w:t xml:space="preserve"> Kapoor. “</w:t>
      </w:r>
      <w:r w:rsidRPr="00F044FD">
        <w:rPr>
          <w:rFonts w:eastAsia="Calibri"/>
          <w:lang w:val="en-US" w:eastAsia="en-US"/>
        </w:rPr>
        <w:t xml:space="preserve">Introduction: </w:t>
      </w:r>
      <w:proofErr w:type="spellStart"/>
      <w:r w:rsidRPr="00F044FD">
        <w:rPr>
          <w:rFonts w:eastAsia="Calibri"/>
          <w:lang w:val="en-US" w:eastAsia="en-US"/>
        </w:rPr>
        <w:t>NGOization</w:t>
      </w:r>
      <w:proofErr w:type="spellEnd"/>
      <w:r w:rsidRPr="00F044FD">
        <w:rPr>
          <w:rFonts w:eastAsia="Calibri"/>
          <w:lang w:val="en-US" w:eastAsia="en-US"/>
        </w:rPr>
        <w:t>: Complicity, Contradictions and Prospects.”</w:t>
      </w:r>
      <w:r w:rsidRPr="00F044FD">
        <w:rPr>
          <w:rFonts w:eastAsia="Calibri"/>
          <w:b/>
          <w:lang w:val="en-US" w:eastAsia="en-US"/>
        </w:rPr>
        <w:t xml:space="preserve"> </w:t>
      </w:r>
      <w:proofErr w:type="spellStart"/>
      <w:r w:rsidRPr="00F044FD">
        <w:rPr>
          <w:rFonts w:eastAsia="Calibri"/>
          <w:i/>
          <w:lang w:val="en-US" w:eastAsia="en-US"/>
        </w:rPr>
        <w:t>NGOization</w:t>
      </w:r>
      <w:proofErr w:type="spellEnd"/>
      <w:r w:rsidRPr="00F044FD">
        <w:rPr>
          <w:rFonts w:eastAsia="Calibri"/>
          <w:i/>
          <w:lang w:val="en-US" w:eastAsia="en-US"/>
        </w:rPr>
        <w:t xml:space="preserve"> Complicity, Contradictions and Prospects</w:t>
      </w:r>
      <w:r w:rsidRPr="00F044FD">
        <w:rPr>
          <w:rFonts w:eastAsia="Calibri"/>
          <w:lang w:val="en-US" w:eastAsia="en-US"/>
        </w:rPr>
        <w:t xml:space="preserve">, edited by Aziz </w:t>
      </w:r>
      <w:proofErr w:type="spellStart"/>
      <w:r w:rsidRPr="00F044FD">
        <w:rPr>
          <w:rFonts w:eastAsia="Calibri"/>
          <w:lang w:val="en-US" w:eastAsia="en-US"/>
        </w:rPr>
        <w:t>Choudry</w:t>
      </w:r>
      <w:proofErr w:type="spellEnd"/>
      <w:r w:rsidRPr="00F044FD">
        <w:rPr>
          <w:rFonts w:eastAsia="Calibri"/>
          <w:lang w:val="en-US" w:eastAsia="en-US"/>
        </w:rPr>
        <w:t xml:space="preserve"> and Dip Kapoor. USA: Zed Books, 2013.</w:t>
      </w:r>
    </w:p>
    <w:p w:rsidR="009B1F54" w:rsidRPr="00F044FD" w:rsidRDefault="009B1F54" w:rsidP="009B1F54">
      <w:pPr>
        <w:rPr>
          <w:rFonts w:eastAsia="Calibri"/>
          <w:bCs/>
          <w:shd w:val="clear" w:color="auto" w:fill="FFFFFF"/>
          <w:lang w:val="en-US" w:eastAsia="en-US"/>
        </w:rPr>
      </w:pPr>
      <w:proofErr w:type="spellStart"/>
      <w:r w:rsidRPr="00F044FD">
        <w:rPr>
          <w:rFonts w:eastAsia="Calibri"/>
          <w:bCs/>
          <w:shd w:val="clear" w:color="auto" w:fill="FFFFFF"/>
          <w:lang w:val="en-US" w:eastAsia="en-US"/>
        </w:rPr>
        <w:t>Choudry</w:t>
      </w:r>
      <w:proofErr w:type="spellEnd"/>
      <w:r w:rsidRPr="00F044FD">
        <w:rPr>
          <w:rFonts w:eastAsia="Calibri"/>
          <w:bCs/>
          <w:shd w:val="clear" w:color="auto" w:fill="FFFFFF"/>
          <w:lang w:val="en-US" w:eastAsia="en-US"/>
        </w:rPr>
        <w:t xml:space="preserve">, Aziz and Dip Kapoor, ed. </w:t>
      </w:r>
      <w:r w:rsidRPr="00F044FD">
        <w:rPr>
          <w:rFonts w:eastAsia="Calibri"/>
          <w:bCs/>
          <w:i/>
          <w:shd w:val="clear" w:color="auto" w:fill="FFFFFF"/>
          <w:lang w:val="en-US" w:eastAsia="en-US"/>
        </w:rPr>
        <w:t xml:space="preserve">Learning from the Ground Up, Global Perspectives on Social Movements and Knowledge Production. </w:t>
      </w:r>
      <w:r w:rsidRPr="00F044FD">
        <w:rPr>
          <w:rFonts w:eastAsia="Calibri"/>
          <w:bCs/>
          <w:shd w:val="clear" w:color="auto" w:fill="FFFFFF"/>
          <w:lang w:val="en-US" w:eastAsia="en-US"/>
        </w:rPr>
        <w:t>New York: Palgrave Macmillan, 2010.</w:t>
      </w:r>
    </w:p>
    <w:p w:rsidR="002A4CB3" w:rsidRPr="009A17C0" w:rsidRDefault="002A4CB3" w:rsidP="009B1F54">
      <w:pPr>
        <w:autoSpaceDE w:val="0"/>
        <w:autoSpaceDN w:val="0"/>
        <w:adjustRightInd w:val="0"/>
        <w:rPr>
          <w:lang w:val="en-US"/>
        </w:rPr>
      </w:pPr>
      <w:r w:rsidRPr="009A17C0">
        <w:rPr>
          <w:lang w:val="en-US"/>
        </w:rPr>
        <w:t xml:space="preserve">Cumming, Gordon D. </w:t>
      </w:r>
      <w:r w:rsidRPr="009A17C0">
        <w:rPr>
          <w:i/>
          <w:lang w:val="en-US"/>
        </w:rPr>
        <w:t xml:space="preserve">French NGOs in the Global Era. A Distinctive Role in International Development. </w:t>
      </w:r>
      <w:r w:rsidRPr="009A17C0">
        <w:rPr>
          <w:lang w:val="en-US"/>
        </w:rPr>
        <w:t>United Kingdom: Palgrave Macmillan, 2009.</w:t>
      </w:r>
    </w:p>
    <w:p w:rsidR="009B1F54" w:rsidRPr="00F044FD" w:rsidRDefault="009B1F54" w:rsidP="009B1F54">
      <w:pPr>
        <w:rPr>
          <w:rFonts w:eastAsia="Calibri"/>
          <w:lang w:val="en-US" w:eastAsia="en-US"/>
        </w:rPr>
      </w:pPr>
      <w:r w:rsidRPr="00F044FD">
        <w:rPr>
          <w:rFonts w:eastAsia="Calibri"/>
          <w:lang w:val="en-US" w:eastAsia="en-US"/>
        </w:rPr>
        <w:lastRenderedPageBreak/>
        <w:t xml:space="preserve">De </w:t>
      </w:r>
      <w:proofErr w:type="spellStart"/>
      <w:r w:rsidRPr="00F044FD">
        <w:rPr>
          <w:rFonts w:eastAsia="Calibri"/>
          <w:lang w:val="en-US" w:eastAsia="en-US"/>
        </w:rPr>
        <w:t>Schutter</w:t>
      </w:r>
      <w:proofErr w:type="spellEnd"/>
      <w:r w:rsidRPr="00F044FD">
        <w:rPr>
          <w:rFonts w:eastAsia="Calibri"/>
          <w:lang w:val="en-US" w:eastAsia="en-US"/>
        </w:rPr>
        <w:t xml:space="preserve">, </w:t>
      </w:r>
      <w:r w:rsidR="00112663" w:rsidRPr="00F044FD">
        <w:rPr>
          <w:rFonts w:eastAsia="Calibri"/>
          <w:lang w:val="en-US" w:eastAsia="en-US"/>
        </w:rPr>
        <w:t>O</w:t>
      </w:r>
      <w:r w:rsidR="0053337C" w:rsidRPr="00F044FD">
        <w:rPr>
          <w:rFonts w:eastAsia="Calibri"/>
          <w:lang w:val="en-US" w:eastAsia="en-US"/>
        </w:rPr>
        <w:t>livier</w:t>
      </w:r>
      <w:r w:rsidRPr="00F044FD">
        <w:rPr>
          <w:rFonts w:eastAsia="Calibri"/>
          <w:lang w:val="en-US" w:eastAsia="en-US"/>
        </w:rPr>
        <w:t xml:space="preserve">. “Europe in Search of its Civil Society.” </w:t>
      </w:r>
      <w:r w:rsidRPr="00F044FD">
        <w:rPr>
          <w:rFonts w:eastAsia="Calibri"/>
          <w:i/>
          <w:lang w:val="en-US" w:eastAsia="en-US"/>
        </w:rPr>
        <w:t xml:space="preserve">European Law Journal </w:t>
      </w:r>
      <w:r w:rsidRPr="00F044FD">
        <w:rPr>
          <w:rFonts w:eastAsia="Calibri"/>
          <w:lang w:val="en-US" w:eastAsia="en-US"/>
        </w:rPr>
        <w:t>8, no.2 (2002): 198—217.</w:t>
      </w:r>
    </w:p>
    <w:p w:rsidR="009B1F54" w:rsidRPr="00F044FD" w:rsidRDefault="009B1F54" w:rsidP="009B1F54">
      <w:pPr>
        <w:autoSpaceDE w:val="0"/>
        <w:autoSpaceDN w:val="0"/>
        <w:adjustRightInd w:val="0"/>
        <w:rPr>
          <w:rFonts w:eastAsia="Calibri"/>
          <w:lang w:val="en-US" w:eastAsia="en-US"/>
        </w:rPr>
      </w:pPr>
      <w:r w:rsidRPr="00F044FD">
        <w:rPr>
          <w:rFonts w:eastAsia="Calibri"/>
          <w:lang w:val="en-US" w:eastAsia="en-US"/>
        </w:rPr>
        <w:t xml:space="preserve">Department of Associations. Available at </w:t>
      </w:r>
      <w:hyperlink r:id="rId10" w:history="1">
        <w:r w:rsidRPr="00F044FD">
          <w:rPr>
            <w:rFonts w:eastAsia="Calibri"/>
            <w:color w:val="0000FF"/>
            <w:u w:val="single"/>
            <w:lang w:val="en-US" w:eastAsia="en-US"/>
          </w:rPr>
          <w:t>https://www.dernekler.gov.tr/tr/AnasayfaLinkler/calisan-sayisi.aspx</w:t>
        </w:r>
      </w:hyperlink>
      <w:r w:rsidRPr="00F044FD">
        <w:rPr>
          <w:rFonts w:eastAsia="Calibri"/>
          <w:lang w:val="en-US" w:eastAsia="en-US"/>
        </w:rPr>
        <w:t xml:space="preserve">, Accessed </w:t>
      </w:r>
      <w:r w:rsidR="001514CC" w:rsidRPr="00F044FD">
        <w:rPr>
          <w:rFonts w:eastAsia="Calibri"/>
          <w:lang w:val="en-US" w:eastAsia="en-US"/>
        </w:rPr>
        <w:t>31</w:t>
      </w:r>
      <w:r w:rsidRPr="00F044FD">
        <w:rPr>
          <w:rFonts w:eastAsia="Calibri"/>
          <w:lang w:val="en-US" w:eastAsia="en-US"/>
        </w:rPr>
        <w:t xml:space="preserve"> July 201</w:t>
      </w:r>
      <w:r w:rsidR="001514CC" w:rsidRPr="00F044FD">
        <w:rPr>
          <w:rFonts w:eastAsia="Calibri"/>
          <w:lang w:val="en-US" w:eastAsia="en-US"/>
        </w:rPr>
        <w:t>8</w:t>
      </w:r>
      <w:r w:rsidRPr="00F044FD">
        <w:rPr>
          <w:rFonts w:eastAsia="Calibri"/>
          <w:lang w:val="en-US" w:eastAsia="en-US"/>
        </w:rPr>
        <w:t>.</w:t>
      </w:r>
    </w:p>
    <w:p w:rsidR="009B1F54" w:rsidRPr="00F044FD" w:rsidRDefault="009B1F54" w:rsidP="009B1F54">
      <w:pPr>
        <w:autoSpaceDE w:val="0"/>
        <w:autoSpaceDN w:val="0"/>
        <w:adjustRightInd w:val="0"/>
        <w:rPr>
          <w:rFonts w:eastAsia="Calibri"/>
          <w:lang w:val="en-US" w:eastAsia="en-US"/>
        </w:rPr>
      </w:pPr>
      <w:r w:rsidRPr="00F044FD">
        <w:rPr>
          <w:rFonts w:eastAsia="Calibri"/>
          <w:lang w:val="en-US" w:eastAsia="en-US"/>
        </w:rPr>
        <w:t xml:space="preserve">Edwards, </w:t>
      </w:r>
      <w:r w:rsidR="00112663" w:rsidRPr="00F044FD">
        <w:rPr>
          <w:rFonts w:eastAsia="Calibri"/>
          <w:lang w:val="en-US" w:eastAsia="en-US"/>
        </w:rPr>
        <w:t>M</w:t>
      </w:r>
      <w:r w:rsidR="0053337C" w:rsidRPr="00F044FD">
        <w:rPr>
          <w:rFonts w:eastAsia="Calibri"/>
          <w:lang w:val="en-US" w:eastAsia="en-US"/>
        </w:rPr>
        <w:t>ichael</w:t>
      </w:r>
      <w:r w:rsidRPr="00F044FD">
        <w:rPr>
          <w:rFonts w:eastAsia="Calibri"/>
          <w:lang w:val="en-US" w:eastAsia="en-US"/>
        </w:rPr>
        <w:t xml:space="preserve"> and </w:t>
      </w:r>
      <w:r w:rsidR="00112663" w:rsidRPr="00F044FD">
        <w:rPr>
          <w:rFonts w:eastAsia="Calibri"/>
          <w:lang w:val="en-US" w:eastAsia="en-US"/>
        </w:rPr>
        <w:t>D</w:t>
      </w:r>
      <w:r w:rsidR="0053337C" w:rsidRPr="00F044FD">
        <w:rPr>
          <w:rFonts w:eastAsia="Calibri"/>
          <w:lang w:val="en-US" w:eastAsia="en-US"/>
        </w:rPr>
        <w:t>avid</w:t>
      </w:r>
      <w:r w:rsidRPr="00F044FD">
        <w:rPr>
          <w:rFonts w:eastAsia="Calibri"/>
          <w:lang w:val="en-US" w:eastAsia="en-US"/>
        </w:rPr>
        <w:t xml:space="preserve"> </w:t>
      </w:r>
      <w:proofErr w:type="spellStart"/>
      <w:r w:rsidRPr="00F044FD">
        <w:rPr>
          <w:rFonts w:eastAsia="Calibri"/>
          <w:lang w:val="en-US" w:eastAsia="en-US"/>
        </w:rPr>
        <w:t>Hulme</w:t>
      </w:r>
      <w:proofErr w:type="spellEnd"/>
      <w:r w:rsidRPr="00F044FD">
        <w:rPr>
          <w:rFonts w:eastAsia="Calibri"/>
          <w:lang w:val="en-US" w:eastAsia="en-US"/>
        </w:rPr>
        <w:t xml:space="preserve">. “Too Close for </w:t>
      </w:r>
      <w:proofErr w:type="gramStart"/>
      <w:r w:rsidRPr="00F044FD">
        <w:rPr>
          <w:rFonts w:eastAsia="Calibri"/>
          <w:lang w:val="en-US" w:eastAsia="en-US"/>
        </w:rPr>
        <w:t>Comfort?:</w:t>
      </w:r>
      <w:proofErr w:type="gramEnd"/>
      <w:r w:rsidRPr="00F044FD">
        <w:rPr>
          <w:rFonts w:eastAsia="Calibri"/>
          <w:lang w:val="en-US" w:eastAsia="en-US"/>
        </w:rPr>
        <w:t xml:space="preserve"> The Impact of Official Aid on Nongovernmental Organizations.” </w:t>
      </w:r>
      <w:r w:rsidRPr="00F044FD">
        <w:rPr>
          <w:rFonts w:eastAsia="Calibri"/>
          <w:i/>
          <w:lang w:val="en-US" w:eastAsia="en-US"/>
        </w:rPr>
        <w:t>World Development</w:t>
      </w:r>
      <w:r w:rsidRPr="00F044FD">
        <w:rPr>
          <w:rFonts w:eastAsia="Calibri"/>
          <w:lang w:val="en-US" w:eastAsia="en-US"/>
        </w:rPr>
        <w:t xml:space="preserve"> 24, no. 6 (1996): 961–973. </w:t>
      </w:r>
    </w:p>
    <w:p w:rsidR="002A4CB3" w:rsidRPr="00F044FD" w:rsidRDefault="002A4CB3" w:rsidP="002A4CB3">
      <w:pPr>
        <w:autoSpaceDE w:val="0"/>
        <w:autoSpaceDN w:val="0"/>
        <w:adjustRightInd w:val="0"/>
        <w:rPr>
          <w:bCs/>
          <w:lang w:val="en-US"/>
        </w:rPr>
      </w:pPr>
      <w:r w:rsidRPr="00F044FD">
        <w:rPr>
          <w:rFonts w:eastAsia="Calibri"/>
          <w:lang w:val="en-US" w:eastAsia="en-US"/>
        </w:rPr>
        <w:t xml:space="preserve">Ergun, </w:t>
      </w:r>
      <w:proofErr w:type="spellStart"/>
      <w:r w:rsidRPr="00F044FD">
        <w:rPr>
          <w:rFonts w:eastAsia="Calibri"/>
          <w:lang w:val="en-US" w:eastAsia="en-US"/>
        </w:rPr>
        <w:t>Ayça</w:t>
      </w:r>
      <w:proofErr w:type="spellEnd"/>
      <w:r w:rsidRPr="00F044FD">
        <w:rPr>
          <w:rFonts w:eastAsia="Calibri"/>
          <w:lang w:val="en-US" w:eastAsia="en-US"/>
        </w:rPr>
        <w:t xml:space="preserve">. “Civil Society in Turkey and Local Dimensions of Europeanization.” </w:t>
      </w:r>
      <w:r w:rsidRPr="00F044FD">
        <w:rPr>
          <w:rFonts w:eastAsia="Calibri"/>
          <w:i/>
          <w:iCs/>
          <w:lang w:val="en-US" w:eastAsia="en-US"/>
        </w:rPr>
        <w:t>Journal of European Integration</w:t>
      </w:r>
      <w:r w:rsidRPr="00F044FD">
        <w:rPr>
          <w:rFonts w:eastAsia="Calibri"/>
          <w:lang w:val="en-US" w:eastAsia="en-US"/>
        </w:rPr>
        <w:t xml:space="preserve"> 32, no. 5 (2010): 507–22.</w:t>
      </w:r>
      <w:r w:rsidRPr="00F044FD">
        <w:rPr>
          <w:bCs/>
          <w:lang w:val="en-US"/>
        </w:rPr>
        <w:t xml:space="preserve"> </w:t>
      </w:r>
    </w:p>
    <w:p w:rsidR="009B1F54" w:rsidRPr="00F044FD" w:rsidRDefault="009B1F54" w:rsidP="009B1F54">
      <w:pPr>
        <w:rPr>
          <w:i/>
          <w:lang w:val="en-US"/>
        </w:rPr>
      </w:pPr>
      <w:r w:rsidRPr="00F044FD">
        <w:rPr>
          <w:bCs/>
          <w:lang w:val="en-US"/>
        </w:rPr>
        <w:t>European Commission</w:t>
      </w:r>
      <w:r w:rsidRPr="00F044FD">
        <w:rPr>
          <w:lang w:val="en-US"/>
        </w:rPr>
        <w:t xml:space="preserve">. </w:t>
      </w:r>
      <w:r w:rsidRPr="00F044FD">
        <w:rPr>
          <w:i/>
          <w:lang w:val="en-US"/>
        </w:rPr>
        <w:t>Communication from the Commission to the Council, the European Parliament, the European Economic and Social Committee and the Committee of the Regions, Civil Society Dialogue between the EU and Candidate Countries</w:t>
      </w:r>
      <w:r w:rsidRPr="00F044FD">
        <w:rPr>
          <w:lang w:val="en-US"/>
        </w:rPr>
        <w:t>. 2005</w:t>
      </w:r>
    </w:p>
    <w:p w:rsidR="009B1F54" w:rsidRPr="00F044FD" w:rsidRDefault="009B1F54" w:rsidP="009B1F54">
      <w:pPr>
        <w:autoSpaceDE w:val="0"/>
        <w:autoSpaceDN w:val="0"/>
        <w:adjustRightInd w:val="0"/>
        <w:rPr>
          <w:rFonts w:eastAsia="StoneSerif"/>
          <w:lang w:val="en-US" w:eastAsia="en-US"/>
        </w:rPr>
      </w:pPr>
      <w:r w:rsidRPr="00F044FD">
        <w:rPr>
          <w:bCs/>
          <w:lang w:val="en-US"/>
        </w:rPr>
        <w:t>European Commission</w:t>
      </w:r>
      <w:r w:rsidRPr="00F044FD">
        <w:rPr>
          <w:lang w:val="en-US"/>
        </w:rPr>
        <w:t xml:space="preserve">. </w:t>
      </w:r>
      <w:r w:rsidRPr="00F044FD">
        <w:rPr>
          <w:rFonts w:eastAsia="StoneSerif"/>
          <w:i/>
          <w:iCs/>
          <w:lang w:val="en-US" w:eastAsia="en-US"/>
        </w:rPr>
        <w:t>Communication from the Commission to European Parliament and the Council, the Enlargement Strategy and Main Challenges 2007–2008</w:t>
      </w:r>
      <w:r w:rsidRPr="00F044FD">
        <w:rPr>
          <w:rFonts w:eastAsia="StoneSerif"/>
          <w:lang w:val="en-US" w:eastAsia="en-US"/>
        </w:rPr>
        <w:t>. Brussels, 2007.</w:t>
      </w:r>
    </w:p>
    <w:p w:rsidR="009B1F54" w:rsidRPr="00F044FD" w:rsidRDefault="009B1F54" w:rsidP="009B1F54">
      <w:pPr>
        <w:rPr>
          <w:rFonts w:eastAsia="Calibri"/>
          <w:lang w:val="en-US" w:eastAsia="en-US"/>
        </w:rPr>
      </w:pPr>
      <w:r w:rsidRPr="00F044FD">
        <w:rPr>
          <w:rFonts w:eastAsia="Calibri"/>
          <w:bCs/>
          <w:lang w:val="en-US" w:eastAsia="tr-TR"/>
        </w:rPr>
        <w:t xml:space="preserve">European Commission. </w:t>
      </w:r>
      <w:r w:rsidRPr="00F044FD">
        <w:rPr>
          <w:rFonts w:eastAsia="Calibri"/>
          <w:bCs/>
          <w:i/>
          <w:lang w:val="en-US" w:eastAsia="tr-TR"/>
        </w:rPr>
        <w:t>Communication from the Commission to the European Parliament, the Council, the European Economic and Social Committee and the Committee of the Regions, The Roots of Democracy and Sustainable Development: Europe's Engagement with Civil Society in External Relations</w:t>
      </w:r>
      <w:r w:rsidRPr="00F044FD">
        <w:rPr>
          <w:rFonts w:eastAsia="Calibri"/>
          <w:bCs/>
          <w:lang w:val="en-US" w:eastAsia="tr-TR"/>
        </w:rPr>
        <w:t xml:space="preserve">. </w:t>
      </w:r>
      <w:proofErr w:type="gramStart"/>
      <w:r w:rsidRPr="00F044FD">
        <w:rPr>
          <w:rFonts w:eastAsia="Calibri"/>
          <w:lang w:val="en-US" w:eastAsia="tr-TR"/>
        </w:rPr>
        <w:t>COM(</w:t>
      </w:r>
      <w:proofErr w:type="gramEnd"/>
      <w:r w:rsidRPr="00F044FD">
        <w:rPr>
          <w:rFonts w:eastAsia="Calibri"/>
          <w:lang w:val="en-US" w:eastAsia="tr-TR"/>
        </w:rPr>
        <w:t xml:space="preserve">2012) 492 final, </w:t>
      </w:r>
      <w:r w:rsidRPr="00F044FD">
        <w:rPr>
          <w:rFonts w:eastAsia="Calibri"/>
          <w:bCs/>
          <w:lang w:val="en-US" w:eastAsia="tr-TR"/>
        </w:rPr>
        <w:t>2012.</w:t>
      </w:r>
    </w:p>
    <w:p w:rsidR="009B1F54" w:rsidRPr="00F044FD" w:rsidRDefault="009B1F54" w:rsidP="009B1F54">
      <w:pPr>
        <w:autoSpaceDE w:val="0"/>
        <w:autoSpaceDN w:val="0"/>
        <w:adjustRightInd w:val="0"/>
        <w:rPr>
          <w:rFonts w:eastAsia="StoneSerif"/>
          <w:lang w:val="en-US" w:eastAsia="en-US"/>
        </w:rPr>
      </w:pPr>
      <w:r w:rsidRPr="00F044FD">
        <w:rPr>
          <w:bCs/>
          <w:lang w:val="en-US"/>
        </w:rPr>
        <w:t>European Council</w:t>
      </w:r>
      <w:r w:rsidRPr="00F044FD">
        <w:rPr>
          <w:lang w:val="en-US"/>
        </w:rPr>
        <w:t xml:space="preserve">. </w:t>
      </w:r>
      <w:r w:rsidRPr="00F044FD">
        <w:rPr>
          <w:rFonts w:eastAsia="StoneSerif"/>
          <w:i/>
          <w:iCs/>
          <w:lang w:val="en-US" w:eastAsia="en-US"/>
        </w:rPr>
        <w:t>Regulation No 1085/2006 Establishing an Instrument for Pre-Accession Assistance (IPA)</w:t>
      </w:r>
      <w:r w:rsidRPr="00F044FD">
        <w:rPr>
          <w:rFonts w:eastAsia="StoneSerif"/>
          <w:lang w:val="en-US" w:eastAsia="en-US"/>
        </w:rPr>
        <w:t>. Brussels, 2006.</w:t>
      </w:r>
    </w:p>
    <w:p w:rsidR="008B63B3" w:rsidRPr="009A17C0" w:rsidRDefault="008B63B3" w:rsidP="009B1F54">
      <w:pPr>
        <w:autoSpaceDE w:val="0"/>
        <w:autoSpaceDN w:val="0"/>
        <w:adjustRightInd w:val="0"/>
        <w:rPr>
          <w:lang w:val="en-US"/>
        </w:rPr>
      </w:pPr>
      <w:r w:rsidRPr="009A17C0">
        <w:rPr>
          <w:lang w:val="en-US"/>
        </w:rPr>
        <w:lastRenderedPageBreak/>
        <w:t>Faulkner, D</w:t>
      </w:r>
      <w:r w:rsidR="00A656CD" w:rsidRPr="009A17C0">
        <w:rPr>
          <w:lang w:val="en-US"/>
        </w:rPr>
        <w:t>avid</w:t>
      </w:r>
      <w:r w:rsidRPr="009A17C0">
        <w:rPr>
          <w:lang w:val="en-US"/>
        </w:rPr>
        <w:t xml:space="preserve">. </w:t>
      </w:r>
      <w:r w:rsidRPr="009A17C0">
        <w:rPr>
          <w:i/>
          <w:lang w:val="en-US"/>
        </w:rPr>
        <w:t xml:space="preserve">International </w:t>
      </w:r>
      <w:proofErr w:type="spellStart"/>
      <w:r w:rsidRPr="009A17C0">
        <w:rPr>
          <w:i/>
          <w:lang w:val="en-US"/>
        </w:rPr>
        <w:t>Strategi</w:t>
      </w:r>
      <w:proofErr w:type="spellEnd"/>
      <w:r w:rsidRPr="009A17C0">
        <w:rPr>
          <w:i/>
          <w:lang w:val="en-US"/>
        </w:rPr>
        <w:t xml:space="preserve"> Alliances: Co-operating to Compete,</w:t>
      </w:r>
      <w:r w:rsidRPr="009A17C0">
        <w:rPr>
          <w:lang w:val="en-US"/>
        </w:rPr>
        <w:t xml:space="preserve"> London: McGraw-Hill Book Company, 1995.</w:t>
      </w:r>
    </w:p>
    <w:p w:rsidR="009B1F54" w:rsidRPr="00F044FD" w:rsidRDefault="002A4CB3" w:rsidP="009B1F54">
      <w:pPr>
        <w:autoSpaceDE w:val="0"/>
        <w:autoSpaceDN w:val="0"/>
        <w:adjustRightInd w:val="0"/>
        <w:rPr>
          <w:rFonts w:eastAsia="Calibri"/>
          <w:lang w:val="en-US" w:eastAsia="en-US"/>
        </w:rPr>
      </w:pPr>
      <w:r w:rsidRPr="009A17C0">
        <w:rPr>
          <w:lang w:val="en-US"/>
        </w:rPr>
        <w:t xml:space="preserve">Fowler, Alan. </w:t>
      </w:r>
      <w:r w:rsidRPr="009A17C0">
        <w:rPr>
          <w:i/>
          <w:lang w:val="en-US"/>
        </w:rPr>
        <w:t xml:space="preserve">The Virtuous Spiral: A Guide to Sustainability </w:t>
      </w:r>
      <w:proofErr w:type="gramStart"/>
      <w:r w:rsidRPr="009A17C0">
        <w:rPr>
          <w:i/>
          <w:lang w:val="en-US"/>
        </w:rPr>
        <w:t>For</w:t>
      </w:r>
      <w:proofErr w:type="gramEnd"/>
      <w:r w:rsidRPr="009A17C0">
        <w:rPr>
          <w:i/>
          <w:lang w:val="en-US"/>
        </w:rPr>
        <w:t xml:space="preserve"> Non-Governmental </w:t>
      </w:r>
      <w:proofErr w:type="spellStart"/>
      <w:r w:rsidRPr="009A17C0">
        <w:rPr>
          <w:i/>
          <w:lang w:val="en-US"/>
        </w:rPr>
        <w:t>Organisations</w:t>
      </w:r>
      <w:proofErr w:type="spellEnd"/>
      <w:r w:rsidRPr="009A17C0">
        <w:rPr>
          <w:i/>
          <w:lang w:val="en-US"/>
        </w:rPr>
        <w:t xml:space="preserve"> in Development</w:t>
      </w:r>
      <w:r w:rsidRPr="009A17C0">
        <w:rPr>
          <w:lang w:val="en-US"/>
        </w:rPr>
        <w:t>. London: Earthscan, 2000.</w:t>
      </w:r>
      <w:r w:rsidR="009B1F54" w:rsidRPr="00F044FD">
        <w:rPr>
          <w:rFonts w:eastAsia="Calibri"/>
          <w:lang w:val="en-US" w:eastAsia="en-US"/>
        </w:rPr>
        <w:t xml:space="preserve">Grigoriadis, </w:t>
      </w:r>
      <w:proofErr w:type="spellStart"/>
      <w:r w:rsidR="00112663" w:rsidRPr="00F044FD">
        <w:rPr>
          <w:rFonts w:eastAsia="Calibri"/>
          <w:lang w:val="en-US" w:eastAsia="en-US"/>
        </w:rPr>
        <w:t>I</w:t>
      </w:r>
      <w:r w:rsidR="0053337C" w:rsidRPr="00F044FD">
        <w:rPr>
          <w:rFonts w:eastAsia="Calibri"/>
          <w:lang w:val="en-US" w:eastAsia="en-US"/>
        </w:rPr>
        <w:t>oannis</w:t>
      </w:r>
      <w:proofErr w:type="spellEnd"/>
      <w:r w:rsidR="009B1F54" w:rsidRPr="00F044FD">
        <w:rPr>
          <w:rFonts w:eastAsia="Calibri"/>
          <w:lang w:val="en-US" w:eastAsia="en-US"/>
        </w:rPr>
        <w:t xml:space="preserve"> N. </w:t>
      </w:r>
      <w:r w:rsidR="009B1F54" w:rsidRPr="00F044FD">
        <w:rPr>
          <w:rFonts w:eastAsia="Calibri"/>
          <w:i/>
          <w:iCs/>
          <w:lang w:val="en-US" w:eastAsia="en-US"/>
        </w:rPr>
        <w:t>Trials of Europeanization: Turkish Political Culture and the European Union</w:t>
      </w:r>
      <w:r w:rsidR="009B1F54" w:rsidRPr="00F044FD">
        <w:rPr>
          <w:rFonts w:eastAsia="Calibri"/>
          <w:lang w:val="en-US" w:eastAsia="en-US"/>
        </w:rPr>
        <w:t>. New York: Palgrave Macmillan, 2009.</w:t>
      </w:r>
    </w:p>
    <w:p w:rsidR="00191C55" w:rsidRPr="00F044FD" w:rsidRDefault="00191C55" w:rsidP="009B1F54">
      <w:pPr>
        <w:autoSpaceDE w:val="0"/>
        <w:autoSpaceDN w:val="0"/>
        <w:adjustRightInd w:val="0"/>
        <w:rPr>
          <w:rFonts w:eastAsia="Calibri"/>
          <w:lang w:val="en-US" w:eastAsia="en-US"/>
        </w:rPr>
      </w:pPr>
      <w:r w:rsidRPr="00F044FD">
        <w:rPr>
          <w:rFonts w:eastAsia="Calibri"/>
          <w:lang w:val="en-US" w:eastAsia="en-US"/>
        </w:rPr>
        <w:t>Froelich,</w:t>
      </w:r>
      <w:r w:rsidR="006C2C07" w:rsidRPr="00F044FD">
        <w:rPr>
          <w:rFonts w:eastAsia="Calibri"/>
          <w:lang w:val="en-US" w:eastAsia="en-US"/>
        </w:rPr>
        <w:t xml:space="preserve"> Karen, A.</w:t>
      </w:r>
      <w:r w:rsidRPr="00F044FD">
        <w:rPr>
          <w:rFonts w:eastAsia="Calibri"/>
          <w:lang w:val="en-US" w:eastAsia="en-US"/>
        </w:rPr>
        <w:t xml:space="preserve"> “Diversification </w:t>
      </w:r>
      <w:r w:rsidR="005708C5" w:rsidRPr="00F044FD">
        <w:rPr>
          <w:rFonts w:eastAsia="Calibri"/>
          <w:lang w:val="en-US" w:eastAsia="en-US"/>
        </w:rPr>
        <w:t>of</w:t>
      </w:r>
      <w:r w:rsidRPr="00F044FD">
        <w:rPr>
          <w:rFonts w:eastAsia="Calibri"/>
          <w:lang w:val="en-US" w:eastAsia="en-US"/>
        </w:rPr>
        <w:t xml:space="preserve"> Revenue Str</w:t>
      </w:r>
      <w:r w:rsidR="005708C5" w:rsidRPr="00F044FD">
        <w:rPr>
          <w:rFonts w:eastAsia="Calibri"/>
          <w:lang w:val="en-US" w:eastAsia="en-US"/>
        </w:rPr>
        <w:t>ategies: Evolving Resource Depe</w:t>
      </w:r>
      <w:r w:rsidRPr="00F044FD">
        <w:rPr>
          <w:rFonts w:eastAsia="Calibri"/>
          <w:lang w:val="en-US" w:eastAsia="en-US"/>
        </w:rPr>
        <w:t>n</w:t>
      </w:r>
      <w:r w:rsidR="005708C5" w:rsidRPr="00F044FD">
        <w:rPr>
          <w:rFonts w:eastAsia="Calibri"/>
          <w:lang w:val="en-US" w:eastAsia="en-US"/>
        </w:rPr>
        <w:t>d</w:t>
      </w:r>
      <w:r w:rsidRPr="00F044FD">
        <w:rPr>
          <w:rFonts w:eastAsia="Calibri"/>
          <w:lang w:val="en-US" w:eastAsia="en-US"/>
        </w:rPr>
        <w:t>e</w:t>
      </w:r>
      <w:r w:rsidR="005708C5" w:rsidRPr="00F044FD">
        <w:rPr>
          <w:rFonts w:eastAsia="Calibri"/>
          <w:lang w:val="en-US" w:eastAsia="en-US"/>
        </w:rPr>
        <w:t>n</w:t>
      </w:r>
      <w:r w:rsidRPr="00F044FD">
        <w:rPr>
          <w:rFonts w:eastAsia="Calibri"/>
          <w:lang w:val="en-US" w:eastAsia="en-US"/>
        </w:rPr>
        <w:t xml:space="preserve">ce in Nonprofit Organizations.” </w:t>
      </w:r>
      <w:r w:rsidRPr="00F044FD">
        <w:rPr>
          <w:rFonts w:eastAsia="Calibri"/>
          <w:i/>
          <w:lang w:val="en-US" w:eastAsia="en-US"/>
        </w:rPr>
        <w:t xml:space="preserve">Nonprofit and Voluntary Sector Quarterly, </w:t>
      </w:r>
      <w:r w:rsidRPr="00F044FD">
        <w:rPr>
          <w:rFonts w:eastAsia="Calibri"/>
          <w:lang w:val="en-US" w:eastAsia="en-US"/>
        </w:rPr>
        <w:t>28, no. 3 (1999): 246-268.</w:t>
      </w:r>
    </w:p>
    <w:p w:rsidR="009B1F54" w:rsidRPr="00F044FD" w:rsidRDefault="009B1F54" w:rsidP="009B1F54">
      <w:pPr>
        <w:rPr>
          <w:shd w:val="clear" w:color="auto" w:fill="FFFFFF"/>
          <w:lang w:val="en-US"/>
        </w:rPr>
      </w:pPr>
      <w:r w:rsidRPr="00F044FD">
        <w:rPr>
          <w:shd w:val="clear" w:color="auto" w:fill="FFFFFF"/>
          <w:lang w:val="en-US"/>
        </w:rPr>
        <w:t>Gupta</w:t>
      </w:r>
      <w:r w:rsidR="00112663" w:rsidRPr="00F044FD">
        <w:rPr>
          <w:shd w:val="clear" w:color="auto" w:fill="FFFFFF"/>
          <w:lang w:val="en-US"/>
        </w:rPr>
        <w:t>,</w:t>
      </w:r>
      <w:r w:rsidRPr="00F044FD">
        <w:rPr>
          <w:shd w:val="clear" w:color="auto" w:fill="FFFFFF"/>
          <w:lang w:val="en-US"/>
        </w:rPr>
        <w:t xml:space="preserve"> </w:t>
      </w:r>
      <w:proofErr w:type="spellStart"/>
      <w:r w:rsidR="00112663" w:rsidRPr="00F044FD">
        <w:rPr>
          <w:shd w:val="clear" w:color="auto" w:fill="FFFFFF"/>
          <w:lang w:val="en-US"/>
        </w:rPr>
        <w:t>S</w:t>
      </w:r>
      <w:r w:rsidR="0053337C" w:rsidRPr="00F044FD">
        <w:rPr>
          <w:shd w:val="clear" w:color="auto" w:fill="FFFFFF"/>
          <w:lang w:val="en-US"/>
        </w:rPr>
        <w:t>a</w:t>
      </w:r>
      <w:r w:rsidR="008B63B3" w:rsidRPr="00F044FD">
        <w:rPr>
          <w:shd w:val="clear" w:color="auto" w:fill="FFFFFF"/>
          <w:lang w:val="en-US"/>
        </w:rPr>
        <w:t>i</w:t>
      </w:r>
      <w:r w:rsidR="0053337C" w:rsidRPr="00F044FD">
        <w:rPr>
          <w:shd w:val="clear" w:color="auto" w:fill="FFFFFF"/>
          <w:lang w:val="en-US"/>
        </w:rPr>
        <w:t>rabh</w:t>
      </w:r>
      <w:proofErr w:type="spellEnd"/>
      <w:r w:rsidR="00112663" w:rsidRPr="00F044FD">
        <w:rPr>
          <w:shd w:val="clear" w:color="auto" w:fill="FFFFFF"/>
          <w:lang w:val="en-US"/>
        </w:rPr>
        <w:t>.</w:t>
      </w:r>
      <w:r w:rsidRPr="00F044FD">
        <w:rPr>
          <w:shd w:val="clear" w:color="auto" w:fill="FFFFFF"/>
          <w:lang w:val="en-US"/>
        </w:rPr>
        <w:t xml:space="preserve"> “From Demanding to Delivering Development.” </w:t>
      </w:r>
      <w:r w:rsidRPr="00F044FD">
        <w:rPr>
          <w:i/>
          <w:shd w:val="clear" w:color="auto" w:fill="FFFFFF"/>
          <w:lang w:val="en-US"/>
        </w:rPr>
        <w:t>Journal of South Asian Development</w:t>
      </w:r>
      <w:r w:rsidRPr="00F044FD">
        <w:rPr>
          <w:shd w:val="clear" w:color="auto" w:fill="FFFFFF"/>
          <w:lang w:val="en-US"/>
        </w:rPr>
        <w:t xml:space="preserve"> 9, no. 2 (2014): 121–145.</w:t>
      </w:r>
    </w:p>
    <w:p w:rsidR="00940C3A" w:rsidRPr="00F044FD" w:rsidRDefault="00940C3A" w:rsidP="009B1F54">
      <w:pPr>
        <w:rPr>
          <w:color w:val="000000"/>
          <w:lang w:val="en-US"/>
        </w:rPr>
      </w:pPr>
      <w:r w:rsidRPr="00F044FD">
        <w:rPr>
          <w:color w:val="000000"/>
          <w:lang w:val="en-US"/>
        </w:rPr>
        <w:t xml:space="preserve">Hatch, Mary Jo. </w:t>
      </w:r>
      <w:r w:rsidRPr="00F044FD">
        <w:rPr>
          <w:i/>
          <w:color w:val="000000"/>
          <w:lang w:val="en-US"/>
        </w:rPr>
        <w:t>Organization Theory: Modern, Symbolic and Postmodern Perspectives,</w:t>
      </w:r>
      <w:r w:rsidRPr="00F044FD">
        <w:rPr>
          <w:color w:val="000000"/>
          <w:lang w:val="en-US"/>
        </w:rPr>
        <w:t xml:space="preserve"> Oxford: Oxford University Press, 1997.</w:t>
      </w:r>
    </w:p>
    <w:p w:rsidR="009B1F54" w:rsidRPr="00F044FD" w:rsidRDefault="009B1F54" w:rsidP="009B1F54">
      <w:pPr>
        <w:rPr>
          <w:color w:val="000000"/>
          <w:lang w:val="en-US"/>
        </w:rPr>
      </w:pPr>
      <w:r w:rsidRPr="00F044FD">
        <w:rPr>
          <w:color w:val="000000"/>
          <w:lang w:val="en-US"/>
        </w:rPr>
        <w:t xml:space="preserve">Hearn, </w:t>
      </w:r>
      <w:r w:rsidR="00112663" w:rsidRPr="00F044FD">
        <w:rPr>
          <w:color w:val="000000"/>
          <w:lang w:val="en-US"/>
        </w:rPr>
        <w:t>J</w:t>
      </w:r>
      <w:r w:rsidR="0053337C" w:rsidRPr="00F044FD">
        <w:rPr>
          <w:color w:val="000000"/>
          <w:lang w:val="en-US"/>
        </w:rPr>
        <w:t>ulie</w:t>
      </w:r>
      <w:r w:rsidRPr="00F044FD">
        <w:rPr>
          <w:color w:val="000000"/>
          <w:lang w:val="en-US"/>
        </w:rPr>
        <w:t xml:space="preserve">. “African NGOs: The New Compradors?” </w:t>
      </w:r>
      <w:r w:rsidRPr="00F044FD">
        <w:rPr>
          <w:i/>
          <w:color w:val="000000"/>
          <w:lang w:val="en-US"/>
        </w:rPr>
        <w:t>Development and Change</w:t>
      </w:r>
      <w:r w:rsidRPr="00F044FD">
        <w:rPr>
          <w:color w:val="000000"/>
          <w:lang w:val="en-US"/>
        </w:rPr>
        <w:t xml:space="preserve"> 38, no. 6 (2007): 1095-1110.</w:t>
      </w:r>
    </w:p>
    <w:p w:rsidR="009B1F54" w:rsidRPr="00F044FD" w:rsidRDefault="009B1F54" w:rsidP="009B1F54">
      <w:pPr>
        <w:rPr>
          <w:color w:val="000000"/>
          <w:lang w:val="en-US"/>
        </w:rPr>
      </w:pPr>
      <w:r w:rsidRPr="00F044FD">
        <w:rPr>
          <w:color w:val="000000"/>
          <w:lang w:val="en-US"/>
        </w:rPr>
        <w:t xml:space="preserve">Hearn, </w:t>
      </w:r>
      <w:r w:rsidR="00112663" w:rsidRPr="00F044FD">
        <w:rPr>
          <w:color w:val="000000"/>
          <w:lang w:val="en-US"/>
        </w:rPr>
        <w:t>J</w:t>
      </w:r>
      <w:r w:rsidR="0053337C" w:rsidRPr="00F044FD">
        <w:rPr>
          <w:color w:val="000000"/>
          <w:lang w:val="en-US"/>
        </w:rPr>
        <w:t>ulie</w:t>
      </w:r>
      <w:r w:rsidRPr="00F044FD">
        <w:rPr>
          <w:color w:val="000000"/>
          <w:lang w:val="en-US"/>
        </w:rPr>
        <w:t xml:space="preserve">. “The 'Uses and Abuses' of Civil Society in Africa.” </w:t>
      </w:r>
      <w:r w:rsidRPr="00F044FD">
        <w:rPr>
          <w:i/>
          <w:color w:val="000000"/>
          <w:lang w:val="en-US"/>
        </w:rPr>
        <w:t>Review of African Political Economy</w:t>
      </w:r>
      <w:r w:rsidRPr="00F044FD">
        <w:rPr>
          <w:color w:val="000000"/>
          <w:lang w:val="en-US"/>
        </w:rPr>
        <w:t xml:space="preserve"> no. 87 (2001): 43-53.</w:t>
      </w:r>
    </w:p>
    <w:p w:rsidR="009B1F54" w:rsidRPr="00F044FD" w:rsidRDefault="009B1F54" w:rsidP="009B1F54">
      <w:pPr>
        <w:autoSpaceDE w:val="0"/>
        <w:autoSpaceDN w:val="0"/>
        <w:adjustRightInd w:val="0"/>
        <w:rPr>
          <w:rFonts w:eastAsia="Calibri"/>
          <w:lang w:val="en-US" w:eastAsia="en-US"/>
        </w:rPr>
      </w:pPr>
      <w:r w:rsidRPr="00F044FD">
        <w:rPr>
          <w:rFonts w:eastAsia="Calibri"/>
          <w:lang w:val="en-US" w:eastAsia="en-US"/>
        </w:rPr>
        <w:t xml:space="preserve">Henderson, </w:t>
      </w:r>
      <w:r w:rsidR="00112663" w:rsidRPr="00F044FD">
        <w:rPr>
          <w:rFonts w:eastAsia="Calibri"/>
          <w:lang w:val="en-US" w:eastAsia="en-US"/>
        </w:rPr>
        <w:t>S</w:t>
      </w:r>
      <w:r w:rsidR="0053337C" w:rsidRPr="00F044FD">
        <w:rPr>
          <w:rFonts w:eastAsia="Calibri"/>
          <w:lang w:val="en-US" w:eastAsia="en-US"/>
        </w:rPr>
        <w:t>arah</w:t>
      </w:r>
      <w:r w:rsidR="00112663" w:rsidRPr="00F044FD">
        <w:rPr>
          <w:rFonts w:eastAsia="Calibri"/>
          <w:lang w:val="en-US" w:eastAsia="en-US"/>
        </w:rPr>
        <w:t>.</w:t>
      </w:r>
      <w:r w:rsidRPr="00F044FD">
        <w:rPr>
          <w:rFonts w:eastAsia="Calibri"/>
          <w:lang w:val="en-US" w:eastAsia="en-US"/>
        </w:rPr>
        <w:t xml:space="preserve"> L. “Selling Civil Society - Western Aid and the Nongovernmental Organization Sector in Russia.” </w:t>
      </w:r>
      <w:r w:rsidRPr="00F044FD">
        <w:rPr>
          <w:rFonts w:eastAsia="Calibri"/>
          <w:i/>
          <w:iCs/>
          <w:lang w:val="en-US" w:eastAsia="en-US"/>
        </w:rPr>
        <w:t>Comparative Political Studies</w:t>
      </w:r>
      <w:r w:rsidRPr="00F044FD">
        <w:rPr>
          <w:rFonts w:eastAsia="Calibri"/>
          <w:iCs/>
          <w:lang w:val="en-US" w:eastAsia="en-US"/>
        </w:rPr>
        <w:t xml:space="preserve"> </w:t>
      </w:r>
      <w:r w:rsidRPr="00F044FD">
        <w:rPr>
          <w:rFonts w:eastAsia="Calibri"/>
          <w:lang w:val="en-US" w:eastAsia="en-US"/>
        </w:rPr>
        <w:t xml:space="preserve">35, no. 2 (2002): 139-67. </w:t>
      </w:r>
    </w:p>
    <w:p w:rsidR="009B1F54" w:rsidRPr="00F044FD" w:rsidRDefault="009B1F54" w:rsidP="009B1F54">
      <w:pPr>
        <w:rPr>
          <w:color w:val="000000"/>
          <w:lang w:val="en-US"/>
        </w:rPr>
      </w:pPr>
      <w:r w:rsidRPr="00F044FD">
        <w:rPr>
          <w:color w:val="000000"/>
          <w:lang w:val="en-US"/>
        </w:rPr>
        <w:t xml:space="preserve">Howell, </w:t>
      </w:r>
      <w:r w:rsidR="00112663" w:rsidRPr="00F044FD">
        <w:rPr>
          <w:color w:val="000000"/>
          <w:lang w:val="en-US"/>
        </w:rPr>
        <w:t>J</w:t>
      </w:r>
      <w:r w:rsidR="0053337C" w:rsidRPr="00F044FD">
        <w:rPr>
          <w:color w:val="000000"/>
          <w:lang w:val="en-US"/>
        </w:rPr>
        <w:t>ude</w:t>
      </w:r>
      <w:r w:rsidRPr="00F044FD">
        <w:rPr>
          <w:color w:val="000000"/>
          <w:lang w:val="en-US"/>
        </w:rPr>
        <w:t xml:space="preserve"> and </w:t>
      </w:r>
      <w:r w:rsidR="00112663" w:rsidRPr="00F044FD">
        <w:rPr>
          <w:color w:val="000000"/>
          <w:lang w:val="en-US"/>
        </w:rPr>
        <w:t>J</w:t>
      </w:r>
      <w:r w:rsidR="0053337C" w:rsidRPr="00F044FD">
        <w:rPr>
          <w:color w:val="000000"/>
          <w:lang w:val="en-US"/>
        </w:rPr>
        <w:t>enny</w:t>
      </w:r>
      <w:r w:rsidRPr="00F044FD">
        <w:rPr>
          <w:color w:val="000000"/>
          <w:lang w:val="en-US"/>
        </w:rPr>
        <w:t xml:space="preserve"> Pearce. </w:t>
      </w:r>
      <w:r w:rsidRPr="00F044FD">
        <w:rPr>
          <w:i/>
          <w:color w:val="000000"/>
          <w:lang w:val="en-US"/>
        </w:rPr>
        <w:t>Civil Society &amp; Development: A Critical Exploration.</w:t>
      </w:r>
      <w:r w:rsidRPr="00F044FD">
        <w:rPr>
          <w:color w:val="000000"/>
          <w:lang w:val="en-US"/>
        </w:rPr>
        <w:t xml:space="preserve"> Boulder, CO: Lynne </w:t>
      </w:r>
      <w:proofErr w:type="spellStart"/>
      <w:r w:rsidRPr="00F044FD">
        <w:rPr>
          <w:color w:val="000000"/>
          <w:lang w:val="en-US"/>
        </w:rPr>
        <w:t>Rienner</w:t>
      </w:r>
      <w:proofErr w:type="spellEnd"/>
      <w:r w:rsidRPr="00F044FD">
        <w:rPr>
          <w:color w:val="000000"/>
          <w:lang w:val="en-US"/>
        </w:rPr>
        <w:t xml:space="preserve"> Publishers, Inc., 2001.</w:t>
      </w:r>
    </w:p>
    <w:p w:rsidR="009B1F54" w:rsidRPr="00F044FD" w:rsidRDefault="009B1F54" w:rsidP="009B1F54">
      <w:pPr>
        <w:autoSpaceDE w:val="0"/>
        <w:autoSpaceDN w:val="0"/>
        <w:adjustRightInd w:val="0"/>
        <w:rPr>
          <w:rFonts w:eastAsia="Calibri"/>
          <w:lang w:val="en-US" w:eastAsia="en-US"/>
        </w:rPr>
      </w:pPr>
      <w:proofErr w:type="spellStart"/>
      <w:r w:rsidRPr="00F044FD">
        <w:rPr>
          <w:rFonts w:eastAsia="Calibri"/>
          <w:lang w:val="en-US" w:eastAsia="en-US"/>
        </w:rPr>
        <w:t>Hulme</w:t>
      </w:r>
      <w:proofErr w:type="spellEnd"/>
      <w:r w:rsidRPr="00F044FD">
        <w:rPr>
          <w:rFonts w:eastAsia="Calibri"/>
          <w:lang w:val="en-US" w:eastAsia="en-US"/>
        </w:rPr>
        <w:t xml:space="preserve">, </w:t>
      </w:r>
      <w:r w:rsidR="00112663" w:rsidRPr="00F044FD">
        <w:rPr>
          <w:rFonts w:eastAsia="Calibri"/>
          <w:lang w:val="en-US" w:eastAsia="en-US"/>
        </w:rPr>
        <w:t>D</w:t>
      </w:r>
      <w:r w:rsidR="0053337C" w:rsidRPr="00F044FD">
        <w:rPr>
          <w:rFonts w:eastAsia="Calibri"/>
          <w:lang w:val="en-US" w:eastAsia="en-US"/>
        </w:rPr>
        <w:t>avid</w:t>
      </w:r>
      <w:r w:rsidRPr="00F044FD">
        <w:rPr>
          <w:rFonts w:eastAsia="Calibri"/>
          <w:lang w:val="en-US" w:eastAsia="en-US"/>
        </w:rPr>
        <w:t xml:space="preserve"> and </w:t>
      </w:r>
      <w:r w:rsidR="0053337C" w:rsidRPr="00F044FD">
        <w:rPr>
          <w:rFonts w:eastAsia="Calibri"/>
          <w:lang w:val="en-US" w:eastAsia="en-US"/>
        </w:rPr>
        <w:t>Michael</w:t>
      </w:r>
      <w:r w:rsidRPr="00F044FD">
        <w:rPr>
          <w:rFonts w:eastAsia="Calibri"/>
          <w:lang w:val="en-US" w:eastAsia="en-US"/>
        </w:rPr>
        <w:t xml:space="preserve"> Edwards. “NGOs, States and Donors: An Overview.” In </w:t>
      </w:r>
      <w:r w:rsidRPr="00F044FD">
        <w:rPr>
          <w:rFonts w:eastAsia="Calibri"/>
          <w:i/>
          <w:iCs/>
          <w:lang w:val="en-US" w:eastAsia="en-US"/>
        </w:rPr>
        <w:t>NGOs, States and Donors: Too Close for Comfort</w:t>
      </w:r>
      <w:r w:rsidRPr="00F044FD">
        <w:rPr>
          <w:rFonts w:eastAsia="Calibri"/>
          <w:iCs/>
          <w:lang w:val="en-US" w:eastAsia="en-US"/>
        </w:rPr>
        <w:t xml:space="preserve">, edited by David </w:t>
      </w:r>
      <w:proofErr w:type="spellStart"/>
      <w:r w:rsidRPr="00F044FD">
        <w:rPr>
          <w:rFonts w:eastAsia="Calibri"/>
          <w:iCs/>
          <w:lang w:val="en-US" w:eastAsia="en-US"/>
        </w:rPr>
        <w:t>Hulme</w:t>
      </w:r>
      <w:proofErr w:type="spellEnd"/>
      <w:r w:rsidRPr="00F044FD">
        <w:rPr>
          <w:rFonts w:eastAsia="Calibri"/>
          <w:iCs/>
          <w:lang w:val="en-US" w:eastAsia="en-US"/>
        </w:rPr>
        <w:t xml:space="preserve"> and Michael Edwards. </w:t>
      </w:r>
      <w:r w:rsidRPr="00F044FD">
        <w:rPr>
          <w:rFonts w:eastAsia="Calibri"/>
          <w:lang w:val="en-US" w:eastAsia="en-US"/>
        </w:rPr>
        <w:t>New York: St. Martin’s Press/Save the Children, 1997.</w:t>
      </w:r>
    </w:p>
    <w:p w:rsidR="00576AD6" w:rsidRPr="00F044FD" w:rsidRDefault="00576AD6" w:rsidP="00576AD6">
      <w:pPr>
        <w:autoSpaceDE w:val="0"/>
        <w:autoSpaceDN w:val="0"/>
        <w:adjustRightInd w:val="0"/>
        <w:rPr>
          <w:rFonts w:eastAsia="Calibri"/>
          <w:lang w:val="en-US" w:eastAsia="en-US"/>
        </w:rPr>
      </w:pPr>
      <w:proofErr w:type="spellStart"/>
      <w:r w:rsidRPr="00F044FD">
        <w:rPr>
          <w:rFonts w:eastAsia="Calibri"/>
          <w:lang w:val="en-US" w:eastAsia="en-US"/>
        </w:rPr>
        <w:lastRenderedPageBreak/>
        <w:t>Hulme</w:t>
      </w:r>
      <w:proofErr w:type="spellEnd"/>
      <w:r w:rsidRPr="00F044FD">
        <w:rPr>
          <w:rFonts w:eastAsia="Calibri"/>
          <w:lang w:val="en-US" w:eastAsia="en-US"/>
        </w:rPr>
        <w:t xml:space="preserve">, David and Michael Edwards. “Too Close for Comfort? The impact of Official Aid on Nongovernmental Organizations.” </w:t>
      </w:r>
      <w:r w:rsidRPr="00F044FD">
        <w:rPr>
          <w:rFonts w:eastAsia="Calibri"/>
          <w:i/>
          <w:lang w:val="en-US" w:eastAsia="en-US"/>
        </w:rPr>
        <w:t>World Development</w:t>
      </w:r>
      <w:r w:rsidRPr="00F044FD">
        <w:rPr>
          <w:rFonts w:eastAsia="Calibri"/>
          <w:lang w:val="en-US" w:eastAsia="en-US"/>
        </w:rPr>
        <w:t>, 24, no 6 (1996): 961–973.</w:t>
      </w:r>
    </w:p>
    <w:p w:rsidR="009B1F54" w:rsidRPr="00F044FD" w:rsidRDefault="009B1F54" w:rsidP="00576AD6">
      <w:pPr>
        <w:rPr>
          <w:lang w:val="en-US"/>
        </w:rPr>
      </w:pPr>
      <w:proofErr w:type="spellStart"/>
      <w:r w:rsidRPr="00F044FD">
        <w:rPr>
          <w:lang w:val="en-US"/>
        </w:rPr>
        <w:t>İçduygu</w:t>
      </w:r>
      <w:proofErr w:type="spellEnd"/>
      <w:r w:rsidRPr="00F044FD">
        <w:rPr>
          <w:lang w:val="en-US"/>
        </w:rPr>
        <w:t xml:space="preserve">, </w:t>
      </w:r>
      <w:r w:rsidR="00112663" w:rsidRPr="00F044FD">
        <w:rPr>
          <w:lang w:val="en-US"/>
        </w:rPr>
        <w:t>A</w:t>
      </w:r>
      <w:r w:rsidR="0053337C" w:rsidRPr="00F044FD">
        <w:rPr>
          <w:lang w:val="en-US"/>
        </w:rPr>
        <w:t>hmet</w:t>
      </w:r>
      <w:r w:rsidRPr="00F044FD">
        <w:rPr>
          <w:lang w:val="en-US"/>
        </w:rPr>
        <w:t xml:space="preserve">. “Interacting Actors: The EU and Civil Society in Turkey.” </w:t>
      </w:r>
      <w:r w:rsidRPr="00F044FD">
        <w:rPr>
          <w:i/>
          <w:lang w:val="en-US"/>
        </w:rPr>
        <w:t xml:space="preserve">South European Society and Politics </w:t>
      </w:r>
      <w:r w:rsidRPr="00F044FD">
        <w:rPr>
          <w:lang w:val="en-US"/>
        </w:rPr>
        <w:t>16, no. 3 (2011): 381—394.</w:t>
      </w:r>
    </w:p>
    <w:p w:rsidR="009B1F54" w:rsidRPr="00F044FD" w:rsidRDefault="009B1F54" w:rsidP="009B1F54">
      <w:pPr>
        <w:autoSpaceDE w:val="0"/>
        <w:autoSpaceDN w:val="0"/>
        <w:adjustRightInd w:val="0"/>
        <w:rPr>
          <w:rFonts w:eastAsia="Calibri"/>
          <w:lang w:val="en-US" w:eastAsia="en-US"/>
        </w:rPr>
      </w:pPr>
      <w:proofErr w:type="spellStart"/>
      <w:r w:rsidRPr="00F044FD">
        <w:rPr>
          <w:rFonts w:eastAsia="Calibri"/>
          <w:lang w:val="en-US" w:eastAsia="en-US"/>
        </w:rPr>
        <w:t>Jacobsson</w:t>
      </w:r>
      <w:proofErr w:type="spellEnd"/>
      <w:r w:rsidRPr="00F044FD">
        <w:rPr>
          <w:rFonts w:eastAsia="Calibri"/>
          <w:lang w:val="en-US" w:eastAsia="en-US"/>
        </w:rPr>
        <w:t xml:space="preserve">, </w:t>
      </w:r>
      <w:r w:rsidR="00112663" w:rsidRPr="00F044FD">
        <w:rPr>
          <w:rFonts w:eastAsia="Calibri"/>
          <w:lang w:val="en-US" w:eastAsia="en-US"/>
        </w:rPr>
        <w:t>K</w:t>
      </w:r>
      <w:r w:rsidR="0053337C" w:rsidRPr="00F044FD">
        <w:rPr>
          <w:rFonts w:eastAsia="Calibri"/>
          <w:lang w:val="en-US" w:eastAsia="en-US"/>
        </w:rPr>
        <w:t>erstin</w:t>
      </w:r>
      <w:r w:rsidRPr="00F044FD">
        <w:rPr>
          <w:rFonts w:eastAsia="Calibri"/>
          <w:lang w:val="en-US" w:eastAsia="en-US"/>
        </w:rPr>
        <w:t xml:space="preserve"> and </w:t>
      </w:r>
      <w:r w:rsidR="00112663" w:rsidRPr="00F044FD">
        <w:rPr>
          <w:rFonts w:eastAsia="Calibri"/>
          <w:lang w:val="en-US" w:eastAsia="en-US"/>
        </w:rPr>
        <w:t>S</w:t>
      </w:r>
      <w:r w:rsidR="0053337C" w:rsidRPr="00F044FD">
        <w:rPr>
          <w:rFonts w:eastAsia="Calibri"/>
          <w:lang w:val="en-US" w:eastAsia="en-US"/>
        </w:rPr>
        <w:t>teven</w:t>
      </w:r>
      <w:r w:rsidRPr="00F044FD">
        <w:rPr>
          <w:rFonts w:eastAsia="Calibri"/>
          <w:lang w:val="en-US" w:eastAsia="en-US"/>
        </w:rPr>
        <w:t xml:space="preserve"> </w:t>
      </w:r>
      <w:proofErr w:type="spellStart"/>
      <w:r w:rsidRPr="00F044FD">
        <w:rPr>
          <w:rFonts w:eastAsia="Calibri"/>
          <w:lang w:val="en-US" w:eastAsia="en-US"/>
        </w:rPr>
        <w:t>Saxonberg</w:t>
      </w:r>
      <w:proofErr w:type="spellEnd"/>
      <w:r w:rsidRPr="00F044FD">
        <w:rPr>
          <w:rFonts w:eastAsia="Calibri"/>
          <w:lang w:val="en-US" w:eastAsia="en-US"/>
        </w:rPr>
        <w:t xml:space="preserve">, eds. </w:t>
      </w:r>
      <w:r w:rsidRPr="00F044FD">
        <w:rPr>
          <w:rFonts w:eastAsia="Calibri"/>
          <w:i/>
          <w:lang w:val="en-US" w:eastAsia="en-US"/>
        </w:rPr>
        <w:t>Beyond NGO-</w:t>
      </w:r>
      <w:proofErr w:type="spellStart"/>
      <w:r w:rsidRPr="00F044FD">
        <w:rPr>
          <w:rFonts w:eastAsia="Calibri"/>
          <w:i/>
          <w:lang w:val="en-US" w:eastAsia="en-US"/>
        </w:rPr>
        <w:t>ization</w:t>
      </w:r>
      <w:proofErr w:type="spellEnd"/>
      <w:r w:rsidRPr="00F044FD">
        <w:rPr>
          <w:rFonts w:eastAsia="Calibri"/>
          <w:i/>
          <w:lang w:val="en-US" w:eastAsia="en-US"/>
        </w:rPr>
        <w:t xml:space="preserve">: The Development of Social Movements in Central and Eastern Europe, </w:t>
      </w:r>
      <w:r w:rsidRPr="00F044FD">
        <w:rPr>
          <w:rFonts w:eastAsia="Calibri"/>
          <w:lang w:val="en-US" w:eastAsia="en-US"/>
        </w:rPr>
        <w:t>London and New York:</w:t>
      </w:r>
      <w:r w:rsidRPr="00F044FD">
        <w:rPr>
          <w:rFonts w:eastAsia="Calibri"/>
          <w:i/>
          <w:lang w:val="en-US" w:eastAsia="en-US"/>
        </w:rPr>
        <w:t xml:space="preserve"> </w:t>
      </w:r>
      <w:r w:rsidRPr="00F044FD">
        <w:rPr>
          <w:rFonts w:eastAsia="Calibri"/>
          <w:lang w:val="en-US" w:eastAsia="en-US"/>
        </w:rPr>
        <w:t>Routledge, 2013.</w:t>
      </w:r>
    </w:p>
    <w:p w:rsidR="009B1F54" w:rsidRPr="00F044FD" w:rsidRDefault="009B1F54" w:rsidP="009B1F54">
      <w:pPr>
        <w:rPr>
          <w:color w:val="000000"/>
          <w:lang w:val="en-US"/>
        </w:rPr>
      </w:pPr>
      <w:proofErr w:type="spellStart"/>
      <w:r w:rsidRPr="00F044FD">
        <w:rPr>
          <w:lang w:val="en-US"/>
        </w:rPr>
        <w:t>Jad</w:t>
      </w:r>
      <w:proofErr w:type="spellEnd"/>
      <w:r w:rsidRPr="00F044FD">
        <w:rPr>
          <w:lang w:val="en-US"/>
        </w:rPr>
        <w:t xml:space="preserve">, </w:t>
      </w:r>
      <w:proofErr w:type="spellStart"/>
      <w:r w:rsidR="00112663" w:rsidRPr="00F044FD">
        <w:rPr>
          <w:lang w:val="en-US"/>
        </w:rPr>
        <w:t>I</w:t>
      </w:r>
      <w:r w:rsidR="0053337C" w:rsidRPr="00F044FD">
        <w:rPr>
          <w:lang w:val="en-US"/>
        </w:rPr>
        <w:t>slah</w:t>
      </w:r>
      <w:proofErr w:type="spellEnd"/>
      <w:r w:rsidRPr="00F044FD">
        <w:rPr>
          <w:lang w:val="en-US"/>
        </w:rPr>
        <w:t>. “The NGO-</w:t>
      </w:r>
      <w:proofErr w:type="spellStart"/>
      <w:r w:rsidRPr="00F044FD">
        <w:rPr>
          <w:lang w:val="en-US"/>
        </w:rPr>
        <w:t>isation</w:t>
      </w:r>
      <w:proofErr w:type="spellEnd"/>
      <w:r w:rsidRPr="00F044FD">
        <w:rPr>
          <w:lang w:val="en-US"/>
        </w:rPr>
        <w:t xml:space="preserve"> of Arab Women's Movements.” </w:t>
      </w:r>
      <w:r w:rsidRPr="00F044FD">
        <w:rPr>
          <w:i/>
          <w:lang w:val="en-US"/>
        </w:rPr>
        <w:t xml:space="preserve">Institute of Development </w:t>
      </w:r>
      <w:r w:rsidRPr="00F044FD">
        <w:rPr>
          <w:i/>
          <w:color w:val="000000"/>
          <w:lang w:val="en-US"/>
        </w:rPr>
        <w:t>Studies Bulletin</w:t>
      </w:r>
      <w:r w:rsidRPr="00F044FD">
        <w:rPr>
          <w:color w:val="000000"/>
          <w:lang w:val="en-US"/>
        </w:rPr>
        <w:t xml:space="preserve"> 35, no. 4 </w:t>
      </w:r>
      <w:r w:rsidRPr="00F044FD">
        <w:rPr>
          <w:lang w:val="en-US"/>
        </w:rPr>
        <w:t>(2004)</w:t>
      </w:r>
      <w:r w:rsidRPr="00F044FD">
        <w:rPr>
          <w:color w:val="000000"/>
          <w:lang w:val="en-US"/>
        </w:rPr>
        <w:t>: 34—42.</w:t>
      </w:r>
    </w:p>
    <w:p w:rsidR="009B1F54" w:rsidRPr="00F044FD" w:rsidRDefault="009B1F54" w:rsidP="009B1F54">
      <w:pPr>
        <w:widowControl w:val="0"/>
        <w:tabs>
          <w:tab w:val="left" w:pos="4327"/>
        </w:tabs>
        <w:rPr>
          <w:rFonts w:eastAsia="Calibri"/>
          <w:lang w:val="en-US" w:eastAsia="en-US"/>
        </w:rPr>
      </w:pPr>
      <w:proofErr w:type="spellStart"/>
      <w:r w:rsidRPr="00F044FD">
        <w:rPr>
          <w:rFonts w:eastAsia="Calibri"/>
          <w:iCs/>
          <w:lang w:val="en-US" w:eastAsia="en-US"/>
        </w:rPr>
        <w:t>Jad</w:t>
      </w:r>
      <w:proofErr w:type="spellEnd"/>
      <w:r w:rsidRPr="00F044FD">
        <w:rPr>
          <w:rFonts w:eastAsia="Calibri"/>
          <w:iCs/>
          <w:lang w:val="en-US" w:eastAsia="en-US"/>
        </w:rPr>
        <w:t xml:space="preserve">, </w:t>
      </w:r>
      <w:proofErr w:type="spellStart"/>
      <w:r w:rsidR="00112663" w:rsidRPr="00F044FD">
        <w:rPr>
          <w:rFonts w:eastAsia="Calibri"/>
          <w:iCs/>
          <w:lang w:val="en-US" w:eastAsia="en-US"/>
        </w:rPr>
        <w:t>I</w:t>
      </w:r>
      <w:r w:rsidR="0053337C" w:rsidRPr="00F044FD">
        <w:rPr>
          <w:rFonts w:eastAsia="Calibri"/>
          <w:iCs/>
          <w:lang w:val="en-US" w:eastAsia="en-US"/>
        </w:rPr>
        <w:t>slah</w:t>
      </w:r>
      <w:proofErr w:type="spellEnd"/>
      <w:r w:rsidRPr="00F044FD">
        <w:rPr>
          <w:rFonts w:eastAsia="Calibri"/>
          <w:iCs/>
          <w:lang w:val="en-US" w:eastAsia="en-US"/>
        </w:rPr>
        <w:t>. “</w:t>
      </w:r>
      <w:r w:rsidRPr="00F044FD">
        <w:rPr>
          <w:rFonts w:eastAsia="Calibri"/>
          <w:lang w:val="en-US" w:eastAsia="en-US"/>
        </w:rPr>
        <w:t>NGOs: Between Buzzwords and Social Movements.”</w:t>
      </w:r>
      <w:r w:rsidRPr="00F044FD">
        <w:rPr>
          <w:rFonts w:eastAsia="Calibri"/>
          <w:i/>
          <w:lang w:val="en-US" w:eastAsia="en-US"/>
        </w:rPr>
        <w:t xml:space="preserve"> Deconstructing Development Discourse Buzzwords and </w:t>
      </w:r>
      <w:proofErr w:type="spellStart"/>
      <w:r w:rsidRPr="00F044FD">
        <w:rPr>
          <w:rFonts w:eastAsia="Calibri"/>
          <w:i/>
          <w:lang w:val="en-US" w:eastAsia="en-US"/>
        </w:rPr>
        <w:t>Fuzzword</w:t>
      </w:r>
      <w:proofErr w:type="spellEnd"/>
      <w:r w:rsidRPr="00F044FD">
        <w:rPr>
          <w:rFonts w:eastAsia="Calibri"/>
          <w:i/>
          <w:lang w:val="en-US" w:eastAsia="en-US"/>
        </w:rPr>
        <w:t>,</w:t>
      </w:r>
      <w:r w:rsidRPr="00F044FD">
        <w:rPr>
          <w:rFonts w:eastAsia="Calibri"/>
          <w:lang w:val="en-US" w:eastAsia="en-US"/>
        </w:rPr>
        <w:t xml:space="preserve"> edited by Andrea Cornwall and Deborah </w:t>
      </w:r>
      <w:proofErr w:type="spellStart"/>
      <w:r w:rsidRPr="00F044FD">
        <w:rPr>
          <w:rFonts w:eastAsia="Calibri"/>
          <w:lang w:val="en-US" w:eastAsia="en-US"/>
        </w:rPr>
        <w:t>Eade</w:t>
      </w:r>
      <w:proofErr w:type="spellEnd"/>
      <w:r w:rsidRPr="00F044FD">
        <w:rPr>
          <w:rFonts w:eastAsia="Calibri"/>
          <w:lang w:val="en-US" w:eastAsia="en-US"/>
        </w:rPr>
        <w:t>. Oxford: Practical Action Press, 2010.</w:t>
      </w:r>
    </w:p>
    <w:p w:rsidR="009B1F54" w:rsidRPr="00F044FD" w:rsidRDefault="009B1F54" w:rsidP="009B1F54">
      <w:pPr>
        <w:rPr>
          <w:color w:val="000000"/>
          <w:lang w:val="en-US"/>
        </w:rPr>
      </w:pPr>
      <w:proofErr w:type="spellStart"/>
      <w:r w:rsidRPr="00F044FD">
        <w:rPr>
          <w:color w:val="000000"/>
          <w:lang w:val="en-US"/>
        </w:rPr>
        <w:t>Kaliber</w:t>
      </w:r>
      <w:proofErr w:type="spellEnd"/>
      <w:r w:rsidRPr="00F044FD">
        <w:rPr>
          <w:color w:val="000000"/>
          <w:lang w:val="en-US"/>
        </w:rPr>
        <w:t xml:space="preserve">, </w:t>
      </w:r>
      <w:proofErr w:type="spellStart"/>
      <w:r w:rsidR="00112663" w:rsidRPr="00F044FD">
        <w:rPr>
          <w:color w:val="000000"/>
          <w:lang w:val="en-US"/>
        </w:rPr>
        <w:t>A</w:t>
      </w:r>
      <w:r w:rsidR="0053337C" w:rsidRPr="00F044FD">
        <w:rPr>
          <w:color w:val="000000"/>
          <w:lang w:val="en-US"/>
        </w:rPr>
        <w:t>lper</w:t>
      </w:r>
      <w:proofErr w:type="spellEnd"/>
      <w:r w:rsidRPr="00F044FD">
        <w:rPr>
          <w:color w:val="000000"/>
          <w:lang w:val="en-US"/>
        </w:rPr>
        <w:t xml:space="preserve">. “De-Europeanisation of Civil Society and Public Debates in Turkey: The Kurdish Question Revisited.” </w:t>
      </w:r>
      <w:r w:rsidRPr="00F044FD">
        <w:rPr>
          <w:i/>
          <w:lang w:val="en-US"/>
        </w:rPr>
        <w:t xml:space="preserve">South European Society and Politics </w:t>
      </w:r>
      <w:r w:rsidRPr="00F044FD">
        <w:rPr>
          <w:lang w:val="en-US"/>
        </w:rPr>
        <w:t xml:space="preserve">21, no. 1 </w:t>
      </w:r>
      <w:r w:rsidRPr="00F044FD">
        <w:rPr>
          <w:color w:val="000000"/>
          <w:lang w:val="en-US"/>
        </w:rPr>
        <w:t>(2016)</w:t>
      </w:r>
      <w:r w:rsidRPr="00F044FD">
        <w:rPr>
          <w:lang w:val="en-US"/>
        </w:rPr>
        <w:t>: 59—74.</w:t>
      </w:r>
    </w:p>
    <w:p w:rsidR="009B1F54" w:rsidRPr="00F044FD" w:rsidRDefault="009B1F54" w:rsidP="009B1F54">
      <w:pPr>
        <w:rPr>
          <w:lang w:val="en-US"/>
        </w:rPr>
      </w:pPr>
      <w:proofErr w:type="spellStart"/>
      <w:r w:rsidRPr="00F044FD">
        <w:rPr>
          <w:lang w:val="en-US"/>
        </w:rPr>
        <w:t>Kamat</w:t>
      </w:r>
      <w:proofErr w:type="spellEnd"/>
      <w:r w:rsidRPr="00F044FD">
        <w:rPr>
          <w:lang w:val="en-US"/>
        </w:rPr>
        <w:t xml:space="preserve">, </w:t>
      </w:r>
      <w:r w:rsidR="00112663" w:rsidRPr="00F044FD">
        <w:rPr>
          <w:lang w:val="en-US"/>
        </w:rPr>
        <w:t>S</w:t>
      </w:r>
      <w:r w:rsidR="0053337C" w:rsidRPr="00F044FD">
        <w:rPr>
          <w:lang w:val="en-US"/>
        </w:rPr>
        <w:t>angeeta</w:t>
      </w:r>
      <w:r w:rsidRPr="00F044FD">
        <w:rPr>
          <w:lang w:val="en-US"/>
        </w:rPr>
        <w:t xml:space="preserve">. “The Privatization of Public Interest: Theorizing NGO Discourse in a Neoliberal Era.” </w:t>
      </w:r>
      <w:r w:rsidRPr="00F044FD">
        <w:rPr>
          <w:i/>
          <w:lang w:val="en-US"/>
        </w:rPr>
        <w:t>Review</w:t>
      </w:r>
      <w:r w:rsidRPr="00F044FD">
        <w:rPr>
          <w:rFonts w:eastAsia="Calibri"/>
          <w:i/>
          <w:iCs/>
          <w:lang w:val="en-US"/>
        </w:rPr>
        <w:t xml:space="preserve"> of International Political Economy </w:t>
      </w:r>
      <w:r w:rsidRPr="00F044FD">
        <w:rPr>
          <w:rFonts w:eastAsia="Calibri"/>
          <w:iCs/>
          <w:lang w:val="en-US"/>
        </w:rPr>
        <w:t xml:space="preserve">11, no. </w:t>
      </w:r>
      <w:r w:rsidRPr="00F044FD">
        <w:rPr>
          <w:rFonts w:eastAsia="Calibri"/>
          <w:lang w:val="en-US"/>
        </w:rPr>
        <w:t>1 (2004): 155</w:t>
      </w:r>
      <w:r w:rsidRPr="00F044FD">
        <w:rPr>
          <w:lang w:val="en-US"/>
        </w:rPr>
        <w:t>—</w:t>
      </w:r>
      <w:r w:rsidRPr="00F044FD">
        <w:rPr>
          <w:rFonts w:eastAsia="Calibri"/>
          <w:lang w:val="en-US"/>
        </w:rPr>
        <w:t>176.</w:t>
      </w:r>
      <w:r w:rsidRPr="00F044FD">
        <w:rPr>
          <w:lang w:val="en-US"/>
        </w:rPr>
        <w:t xml:space="preserve"> </w:t>
      </w:r>
    </w:p>
    <w:p w:rsidR="009B1F54" w:rsidRPr="00F044FD" w:rsidRDefault="009B1F54" w:rsidP="009B1F54">
      <w:pPr>
        <w:rPr>
          <w:lang w:val="en-US"/>
        </w:rPr>
      </w:pPr>
      <w:r w:rsidRPr="00F044FD">
        <w:rPr>
          <w:lang w:val="en-US"/>
        </w:rPr>
        <w:t xml:space="preserve">Kapoor, </w:t>
      </w:r>
      <w:r w:rsidR="00112663" w:rsidRPr="00F044FD">
        <w:rPr>
          <w:lang w:val="en-US"/>
        </w:rPr>
        <w:t>D</w:t>
      </w:r>
      <w:r w:rsidR="0053337C" w:rsidRPr="00F044FD">
        <w:rPr>
          <w:lang w:val="en-US"/>
        </w:rPr>
        <w:t>ip</w:t>
      </w:r>
      <w:r w:rsidRPr="00F044FD">
        <w:rPr>
          <w:lang w:val="en-US"/>
        </w:rPr>
        <w:t xml:space="preserve">. “Social Action and </w:t>
      </w:r>
      <w:proofErr w:type="spellStart"/>
      <w:r w:rsidRPr="00F044FD">
        <w:rPr>
          <w:lang w:val="en-US"/>
        </w:rPr>
        <w:t>NGOization</w:t>
      </w:r>
      <w:proofErr w:type="spellEnd"/>
      <w:r w:rsidRPr="00F044FD">
        <w:rPr>
          <w:lang w:val="en-US"/>
        </w:rPr>
        <w:t xml:space="preserve"> in Context of Development Dispossession in Rural India: Explorations into the Un-Civility of Civil Society.” In </w:t>
      </w:r>
      <w:proofErr w:type="spellStart"/>
      <w:r w:rsidRPr="00F044FD">
        <w:rPr>
          <w:i/>
          <w:lang w:val="en-US"/>
        </w:rPr>
        <w:t>NGOization</w:t>
      </w:r>
      <w:proofErr w:type="spellEnd"/>
      <w:r w:rsidRPr="00F044FD">
        <w:rPr>
          <w:i/>
          <w:lang w:val="en-US"/>
        </w:rPr>
        <w:t xml:space="preserve"> Complicity, Contradictions and </w:t>
      </w:r>
      <w:r w:rsidRPr="00F044FD">
        <w:rPr>
          <w:lang w:val="en-US"/>
        </w:rPr>
        <w:t>Prospect, edited by A</w:t>
      </w:r>
      <w:r w:rsidR="0053337C" w:rsidRPr="00F044FD">
        <w:rPr>
          <w:lang w:val="en-US"/>
        </w:rPr>
        <w:t xml:space="preserve">ziz </w:t>
      </w:r>
      <w:proofErr w:type="spellStart"/>
      <w:r w:rsidR="0053337C" w:rsidRPr="00F044FD">
        <w:rPr>
          <w:lang w:val="en-US"/>
        </w:rPr>
        <w:t>Choudry</w:t>
      </w:r>
      <w:proofErr w:type="spellEnd"/>
      <w:r w:rsidR="0053337C" w:rsidRPr="00F044FD">
        <w:rPr>
          <w:lang w:val="en-US"/>
        </w:rPr>
        <w:t xml:space="preserve"> and Dip</w:t>
      </w:r>
      <w:r w:rsidRPr="00F044FD">
        <w:rPr>
          <w:lang w:val="en-US"/>
        </w:rPr>
        <w:t xml:space="preserve"> Kapoor</w:t>
      </w:r>
      <w:r w:rsidRPr="00F044FD">
        <w:rPr>
          <w:i/>
          <w:lang w:val="en-US"/>
        </w:rPr>
        <w:t>.</w:t>
      </w:r>
      <w:r w:rsidRPr="00F044FD">
        <w:rPr>
          <w:lang w:val="en-US"/>
        </w:rPr>
        <w:t xml:space="preserve"> USA: Zed Books, 2013.</w:t>
      </w:r>
    </w:p>
    <w:p w:rsidR="009B1F54" w:rsidRPr="00F044FD" w:rsidRDefault="009B1F54" w:rsidP="009B1F54">
      <w:pPr>
        <w:rPr>
          <w:lang w:val="en-US"/>
        </w:rPr>
      </w:pPr>
      <w:proofErr w:type="spellStart"/>
      <w:r w:rsidRPr="00F044FD">
        <w:rPr>
          <w:lang w:val="en-US"/>
        </w:rPr>
        <w:t>Ketola</w:t>
      </w:r>
      <w:proofErr w:type="spellEnd"/>
      <w:r w:rsidRPr="00F044FD">
        <w:rPr>
          <w:lang w:val="en-US"/>
        </w:rPr>
        <w:t xml:space="preserve">, </w:t>
      </w:r>
      <w:r w:rsidR="00E05E30" w:rsidRPr="00F044FD">
        <w:rPr>
          <w:lang w:val="en-US"/>
        </w:rPr>
        <w:t>M</w:t>
      </w:r>
      <w:r w:rsidR="0053337C" w:rsidRPr="00F044FD">
        <w:rPr>
          <w:lang w:val="en-US"/>
        </w:rPr>
        <w:t>arkus</w:t>
      </w:r>
      <w:r w:rsidRPr="00F044FD">
        <w:rPr>
          <w:lang w:val="en-US"/>
        </w:rPr>
        <w:t xml:space="preserve">. </w:t>
      </w:r>
      <w:r w:rsidRPr="00F044FD">
        <w:rPr>
          <w:i/>
          <w:lang w:val="en-US"/>
        </w:rPr>
        <w:t>Europeanization and Civil Society: Turkish NGOs as Instruments of Change?</w:t>
      </w:r>
      <w:r w:rsidRPr="00F044FD">
        <w:rPr>
          <w:color w:val="000000"/>
          <w:kern w:val="36"/>
          <w:lang w:val="en-US"/>
        </w:rPr>
        <w:t xml:space="preserve"> </w:t>
      </w:r>
      <w:r w:rsidRPr="00F044FD">
        <w:rPr>
          <w:lang w:val="en-US"/>
        </w:rPr>
        <w:t>United Kingdom: Palgrave Macmillan, 2013.</w:t>
      </w:r>
    </w:p>
    <w:p w:rsidR="009B1F54" w:rsidRPr="00F044FD" w:rsidRDefault="009B1F54" w:rsidP="00112663">
      <w:pPr>
        <w:tabs>
          <w:tab w:val="left" w:pos="993"/>
        </w:tabs>
        <w:rPr>
          <w:lang w:val="en-US"/>
        </w:rPr>
      </w:pPr>
      <w:proofErr w:type="spellStart"/>
      <w:r w:rsidRPr="00F044FD">
        <w:rPr>
          <w:color w:val="000000"/>
          <w:lang w:val="en-US"/>
        </w:rPr>
        <w:lastRenderedPageBreak/>
        <w:t>Kihika</w:t>
      </w:r>
      <w:proofErr w:type="spellEnd"/>
      <w:r w:rsidRPr="00F044FD">
        <w:rPr>
          <w:color w:val="000000"/>
          <w:lang w:val="en-US"/>
        </w:rPr>
        <w:t xml:space="preserve">, </w:t>
      </w:r>
      <w:r w:rsidR="00E05E30" w:rsidRPr="00F044FD">
        <w:rPr>
          <w:color w:val="000000"/>
          <w:lang w:val="en-US"/>
        </w:rPr>
        <w:t>M</w:t>
      </w:r>
      <w:r w:rsidR="0053337C" w:rsidRPr="00F044FD">
        <w:rPr>
          <w:color w:val="000000"/>
          <w:lang w:val="en-US"/>
        </w:rPr>
        <w:t>aureen</w:t>
      </w:r>
      <w:r w:rsidRPr="00F044FD">
        <w:rPr>
          <w:color w:val="000000"/>
          <w:lang w:val="en-US"/>
        </w:rPr>
        <w:t xml:space="preserve">. “Development or Underdevelopment: The Case of Non-Governmental Organizations in Neoliberal Sub-Saharan Africa.” </w:t>
      </w:r>
      <w:r w:rsidRPr="00F044FD">
        <w:rPr>
          <w:i/>
          <w:color w:val="000000"/>
          <w:lang w:val="en-US"/>
        </w:rPr>
        <w:t>Journal of Alternative Perspectives in the Social Sciences</w:t>
      </w:r>
      <w:r w:rsidRPr="00F044FD">
        <w:rPr>
          <w:color w:val="000000"/>
          <w:lang w:val="en-US"/>
        </w:rPr>
        <w:t xml:space="preserve"> 1, no. 3 (2009): 783–795.</w:t>
      </w:r>
    </w:p>
    <w:p w:rsidR="00167B0F" w:rsidRPr="009A17C0" w:rsidRDefault="00167B0F" w:rsidP="00167B0F">
      <w:pPr>
        <w:pStyle w:val="Newparagraph"/>
        <w:ind w:firstLine="0"/>
        <w:rPr>
          <w:lang w:val="en-US"/>
        </w:rPr>
      </w:pPr>
      <w:proofErr w:type="spellStart"/>
      <w:r w:rsidRPr="009A17C0">
        <w:rPr>
          <w:lang w:val="en-US"/>
        </w:rPr>
        <w:t>Korten</w:t>
      </w:r>
      <w:proofErr w:type="spellEnd"/>
      <w:r w:rsidRPr="009A17C0">
        <w:rPr>
          <w:lang w:val="en-US"/>
        </w:rPr>
        <w:t xml:space="preserve">, David, C. “The Role of Non-Governmental Organizations in Development: Changing Patterns and Perspectives.” In </w:t>
      </w:r>
      <w:r w:rsidRPr="009A17C0">
        <w:rPr>
          <w:i/>
          <w:lang w:val="en-US"/>
        </w:rPr>
        <w:t>Nongovernmental Organizations and The World Bank</w:t>
      </w:r>
      <w:r w:rsidRPr="009A17C0">
        <w:rPr>
          <w:lang w:val="en-US"/>
        </w:rPr>
        <w:t>, edited by Samuel. Paul and Arturo. Israel, Washington DC: The World Bank, 1991.</w:t>
      </w:r>
    </w:p>
    <w:p w:rsidR="009B1F54" w:rsidRPr="00F044FD" w:rsidRDefault="009B1F54" w:rsidP="009B1F54">
      <w:pPr>
        <w:rPr>
          <w:rFonts w:eastAsia="Calibri"/>
          <w:lang w:val="en-US" w:eastAsia="en-US"/>
        </w:rPr>
      </w:pPr>
      <w:proofErr w:type="spellStart"/>
      <w:r w:rsidRPr="00F044FD">
        <w:rPr>
          <w:rFonts w:eastAsia="Calibri"/>
          <w:lang w:val="en-US" w:eastAsia="en-US"/>
        </w:rPr>
        <w:t>Kubicek</w:t>
      </w:r>
      <w:proofErr w:type="spellEnd"/>
      <w:r w:rsidRPr="00F044FD">
        <w:rPr>
          <w:rFonts w:eastAsia="Calibri"/>
          <w:lang w:val="en-US" w:eastAsia="en-US"/>
        </w:rPr>
        <w:t xml:space="preserve">, </w:t>
      </w:r>
      <w:r w:rsidR="00E05E30" w:rsidRPr="00F044FD">
        <w:rPr>
          <w:rFonts w:eastAsia="Calibri"/>
          <w:lang w:val="en-US" w:eastAsia="en-US"/>
        </w:rPr>
        <w:t>P</w:t>
      </w:r>
      <w:r w:rsidR="0053337C" w:rsidRPr="00F044FD">
        <w:rPr>
          <w:rFonts w:eastAsia="Calibri"/>
          <w:lang w:val="en-US" w:eastAsia="en-US"/>
        </w:rPr>
        <w:t>aul</w:t>
      </w:r>
      <w:r w:rsidRPr="00F044FD">
        <w:rPr>
          <w:rFonts w:eastAsia="Calibri"/>
          <w:lang w:val="en-US" w:eastAsia="en-US"/>
        </w:rPr>
        <w:t xml:space="preserve">. “Political Conditionality and European Union’s Cultivation of Democracy in Turkey.” </w:t>
      </w:r>
      <w:r w:rsidRPr="00F044FD">
        <w:rPr>
          <w:rFonts w:eastAsia="Calibri"/>
          <w:i/>
          <w:lang w:val="en-US" w:eastAsia="en-US"/>
        </w:rPr>
        <w:t>Democratization</w:t>
      </w:r>
      <w:r w:rsidRPr="00F044FD">
        <w:rPr>
          <w:rFonts w:eastAsia="Calibri"/>
          <w:lang w:val="en-US" w:eastAsia="en-US"/>
        </w:rPr>
        <w:t xml:space="preserve"> 18, no. 4 (2011): 910–31.</w:t>
      </w:r>
    </w:p>
    <w:p w:rsidR="009B1F54" w:rsidRPr="00F044FD" w:rsidRDefault="009B1F54" w:rsidP="009B1F54">
      <w:pPr>
        <w:rPr>
          <w:lang w:val="en-US"/>
        </w:rPr>
      </w:pPr>
      <w:proofErr w:type="spellStart"/>
      <w:r w:rsidRPr="00F044FD">
        <w:rPr>
          <w:lang w:val="en-US"/>
        </w:rPr>
        <w:t>Kurki</w:t>
      </w:r>
      <w:proofErr w:type="spellEnd"/>
      <w:r w:rsidRPr="00F044FD">
        <w:rPr>
          <w:lang w:val="en-US"/>
        </w:rPr>
        <w:t xml:space="preserve">, </w:t>
      </w:r>
      <w:proofErr w:type="spellStart"/>
      <w:r w:rsidR="00E05E30" w:rsidRPr="00F044FD">
        <w:rPr>
          <w:lang w:val="en-US"/>
        </w:rPr>
        <w:t>M</w:t>
      </w:r>
      <w:r w:rsidR="0053337C" w:rsidRPr="00F044FD">
        <w:rPr>
          <w:lang w:val="en-US"/>
        </w:rPr>
        <w:t>ilja</w:t>
      </w:r>
      <w:proofErr w:type="spellEnd"/>
      <w:r w:rsidRPr="00F044FD">
        <w:rPr>
          <w:lang w:val="en-US"/>
        </w:rPr>
        <w:t xml:space="preserve">. “Democracy through Technocracy.” </w:t>
      </w:r>
      <w:r w:rsidRPr="00F044FD">
        <w:rPr>
          <w:i/>
          <w:lang w:val="en-US"/>
        </w:rPr>
        <w:t>Journal of Intervention and State-Building</w:t>
      </w:r>
      <w:r w:rsidRPr="00F044FD">
        <w:rPr>
          <w:lang w:val="en-US"/>
        </w:rPr>
        <w:t xml:space="preserve"> 5, no. 2 (2011b): 211–34. </w:t>
      </w:r>
    </w:p>
    <w:p w:rsidR="009B1F54" w:rsidRPr="00F044FD" w:rsidRDefault="009B1F54" w:rsidP="009B1F54">
      <w:pPr>
        <w:rPr>
          <w:lang w:val="en-US"/>
        </w:rPr>
      </w:pPr>
      <w:proofErr w:type="spellStart"/>
      <w:r w:rsidRPr="00F044FD">
        <w:rPr>
          <w:lang w:val="en-US"/>
        </w:rPr>
        <w:t>Kurki</w:t>
      </w:r>
      <w:proofErr w:type="spellEnd"/>
      <w:r w:rsidRPr="00F044FD">
        <w:rPr>
          <w:lang w:val="en-US"/>
        </w:rPr>
        <w:t xml:space="preserve">, </w:t>
      </w:r>
      <w:proofErr w:type="spellStart"/>
      <w:r w:rsidR="0053337C" w:rsidRPr="00F044FD">
        <w:rPr>
          <w:lang w:val="en-US"/>
        </w:rPr>
        <w:t>Milja</w:t>
      </w:r>
      <w:proofErr w:type="spellEnd"/>
      <w:r w:rsidRPr="00F044FD">
        <w:rPr>
          <w:lang w:val="en-US"/>
        </w:rPr>
        <w:t xml:space="preserve">. </w:t>
      </w:r>
      <w:r w:rsidRPr="00F044FD">
        <w:rPr>
          <w:i/>
          <w:lang w:val="en-US"/>
        </w:rPr>
        <w:t>Democratic Futures: Revisioning Democracy Promotion.</w:t>
      </w:r>
      <w:r w:rsidRPr="00F044FD">
        <w:rPr>
          <w:lang w:val="en-US"/>
        </w:rPr>
        <w:t xml:space="preserve"> London: Routledge, 2013.</w:t>
      </w:r>
    </w:p>
    <w:p w:rsidR="009B1F54" w:rsidRPr="00F044FD" w:rsidRDefault="009B1F54" w:rsidP="009B1F54">
      <w:pPr>
        <w:rPr>
          <w:lang w:val="en-US"/>
        </w:rPr>
      </w:pPr>
      <w:proofErr w:type="spellStart"/>
      <w:r w:rsidRPr="00F044FD">
        <w:rPr>
          <w:lang w:val="en-US"/>
        </w:rPr>
        <w:t>Kurki</w:t>
      </w:r>
      <w:proofErr w:type="spellEnd"/>
      <w:r w:rsidRPr="00F044FD">
        <w:rPr>
          <w:lang w:val="en-US"/>
        </w:rPr>
        <w:t xml:space="preserve">, </w:t>
      </w:r>
      <w:proofErr w:type="spellStart"/>
      <w:r w:rsidR="0053337C" w:rsidRPr="00F044FD">
        <w:rPr>
          <w:lang w:val="en-US"/>
        </w:rPr>
        <w:t>Milja</w:t>
      </w:r>
      <w:proofErr w:type="spellEnd"/>
      <w:r w:rsidRPr="00F044FD">
        <w:rPr>
          <w:lang w:val="en-US"/>
        </w:rPr>
        <w:t xml:space="preserve">. “Governmentality and EU Democracy Promotion: The European Instrument for Democracy and Human Rights and the Construction of Democratic Civil Societies.” </w:t>
      </w:r>
      <w:r w:rsidRPr="00F044FD">
        <w:rPr>
          <w:i/>
          <w:lang w:val="en-US"/>
        </w:rPr>
        <w:t>International Political Sociology</w:t>
      </w:r>
      <w:r w:rsidRPr="00F044FD">
        <w:rPr>
          <w:lang w:val="en-US"/>
        </w:rPr>
        <w:t xml:space="preserve"> 5, no. 4 (2011a): 349–66. </w:t>
      </w:r>
    </w:p>
    <w:p w:rsidR="009B1F54" w:rsidRPr="00F044FD" w:rsidRDefault="009B1F54" w:rsidP="009B1F54">
      <w:pPr>
        <w:rPr>
          <w:lang w:val="en-US"/>
        </w:rPr>
      </w:pPr>
      <w:r w:rsidRPr="00F044FD">
        <w:rPr>
          <w:lang w:val="en-US"/>
        </w:rPr>
        <w:t xml:space="preserve">Kuzmanovic, Daniella. “Project Culture and Turkish Civil Society.” </w:t>
      </w:r>
      <w:r w:rsidRPr="00F044FD">
        <w:rPr>
          <w:i/>
          <w:lang w:val="en-US"/>
        </w:rPr>
        <w:t xml:space="preserve">Turkish Studies </w:t>
      </w:r>
      <w:r w:rsidRPr="00F044FD">
        <w:rPr>
          <w:lang w:val="en-US"/>
        </w:rPr>
        <w:t>11, no. 3 (2010): 429-444.</w:t>
      </w:r>
    </w:p>
    <w:p w:rsidR="009B1F54" w:rsidRPr="00F044FD" w:rsidRDefault="009B1F54" w:rsidP="009B1F54">
      <w:pPr>
        <w:rPr>
          <w:rFonts w:eastAsia="Calibri"/>
          <w:lang w:val="en-US" w:eastAsia="en-US"/>
        </w:rPr>
      </w:pPr>
      <w:r w:rsidRPr="00F044FD">
        <w:rPr>
          <w:rFonts w:eastAsia="Calibri"/>
          <w:lang w:val="en-US" w:eastAsia="en-US"/>
        </w:rPr>
        <w:t xml:space="preserve">Lang, </w:t>
      </w:r>
      <w:r w:rsidR="00E05E30" w:rsidRPr="00F044FD">
        <w:rPr>
          <w:rFonts w:eastAsia="Calibri"/>
          <w:lang w:val="en-US" w:eastAsia="en-US"/>
        </w:rPr>
        <w:t>S</w:t>
      </w:r>
      <w:r w:rsidR="0053337C" w:rsidRPr="00F044FD">
        <w:rPr>
          <w:rFonts w:eastAsia="Calibri"/>
          <w:lang w:val="en-US" w:eastAsia="en-US"/>
        </w:rPr>
        <w:t>abine</w:t>
      </w:r>
      <w:r w:rsidRPr="00F044FD">
        <w:rPr>
          <w:rFonts w:eastAsia="Calibri"/>
          <w:lang w:val="en-US" w:eastAsia="en-US"/>
        </w:rPr>
        <w:t xml:space="preserve">. “The </w:t>
      </w:r>
      <w:proofErr w:type="spellStart"/>
      <w:r w:rsidRPr="00F044FD">
        <w:rPr>
          <w:rFonts w:eastAsia="Calibri"/>
          <w:lang w:val="en-US" w:eastAsia="en-US"/>
        </w:rPr>
        <w:t>NGOization</w:t>
      </w:r>
      <w:proofErr w:type="spellEnd"/>
      <w:r w:rsidRPr="00F044FD">
        <w:rPr>
          <w:rFonts w:eastAsia="Calibri"/>
          <w:lang w:val="en-US" w:eastAsia="en-US"/>
        </w:rPr>
        <w:t xml:space="preserve"> of Feminism.” In</w:t>
      </w:r>
      <w:r w:rsidRPr="00F044FD">
        <w:rPr>
          <w:rFonts w:eastAsia="Calibri"/>
          <w:i/>
          <w:lang w:val="en-US" w:eastAsia="en-US"/>
        </w:rPr>
        <w:t xml:space="preserve"> Transitions, Environments, Translations. Feminism in International Politics</w:t>
      </w:r>
      <w:r w:rsidRPr="00F044FD">
        <w:rPr>
          <w:rFonts w:eastAsia="Calibri"/>
          <w:lang w:val="en-US" w:eastAsia="en-US"/>
        </w:rPr>
        <w:t>¸ edited by Scott, J., Kaplan, C. and Keates. London and New York: Routledge, 1997.</w:t>
      </w:r>
    </w:p>
    <w:p w:rsidR="009B1F54" w:rsidRPr="00F044FD" w:rsidRDefault="009B1F54" w:rsidP="009B1F54">
      <w:pPr>
        <w:rPr>
          <w:lang w:val="en-US"/>
        </w:rPr>
      </w:pPr>
      <w:r w:rsidRPr="00F044FD">
        <w:rPr>
          <w:lang w:val="en-US"/>
        </w:rPr>
        <w:t xml:space="preserve">Mercer, </w:t>
      </w:r>
      <w:r w:rsidR="00E05E30" w:rsidRPr="00F044FD">
        <w:rPr>
          <w:lang w:val="en-US"/>
        </w:rPr>
        <w:t>C</w:t>
      </w:r>
      <w:r w:rsidR="0053337C" w:rsidRPr="00F044FD">
        <w:rPr>
          <w:lang w:val="en-US"/>
        </w:rPr>
        <w:t>laire</w:t>
      </w:r>
      <w:r w:rsidRPr="00F044FD">
        <w:rPr>
          <w:lang w:val="en-US"/>
        </w:rPr>
        <w:t xml:space="preserve">. “NGOs, Civil Society, and Democratization: A Critical Review of the Literature.” </w:t>
      </w:r>
      <w:r w:rsidRPr="00F044FD">
        <w:rPr>
          <w:i/>
          <w:lang w:val="en-US"/>
        </w:rPr>
        <w:t>Progress in Development Studies</w:t>
      </w:r>
      <w:r w:rsidRPr="00F044FD">
        <w:rPr>
          <w:lang w:val="en-US"/>
        </w:rPr>
        <w:t xml:space="preserve"> 2, no. 1 (2002): 5–22. </w:t>
      </w:r>
    </w:p>
    <w:p w:rsidR="009B1F54" w:rsidRPr="00F044FD" w:rsidRDefault="009B1F54" w:rsidP="009B1F54">
      <w:pPr>
        <w:rPr>
          <w:shd w:val="clear" w:color="auto" w:fill="FFFFFF"/>
          <w:lang w:val="en-US"/>
        </w:rPr>
      </w:pPr>
      <w:r w:rsidRPr="00F044FD">
        <w:rPr>
          <w:shd w:val="clear" w:color="auto" w:fill="FFFFFF"/>
          <w:lang w:val="en-US"/>
        </w:rPr>
        <w:t xml:space="preserve">Ministry for EU Affairs. </w:t>
      </w:r>
      <w:proofErr w:type="spellStart"/>
      <w:r w:rsidRPr="00F044FD">
        <w:rPr>
          <w:i/>
          <w:shd w:val="clear" w:color="auto" w:fill="FFFFFF"/>
          <w:lang w:val="en-US"/>
        </w:rPr>
        <w:t>Avrupa</w:t>
      </w:r>
      <w:proofErr w:type="spellEnd"/>
      <w:r w:rsidRPr="00F044FD">
        <w:rPr>
          <w:i/>
          <w:shd w:val="clear" w:color="auto" w:fill="FFFFFF"/>
          <w:lang w:val="en-US"/>
        </w:rPr>
        <w:t xml:space="preserve"> </w:t>
      </w:r>
      <w:proofErr w:type="spellStart"/>
      <w:r w:rsidRPr="00F044FD">
        <w:rPr>
          <w:i/>
          <w:shd w:val="clear" w:color="auto" w:fill="FFFFFF"/>
          <w:lang w:val="en-US"/>
        </w:rPr>
        <w:t>Birliği</w:t>
      </w:r>
      <w:proofErr w:type="spellEnd"/>
      <w:r w:rsidRPr="00F044FD">
        <w:rPr>
          <w:i/>
          <w:shd w:val="clear" w:color="auto" w:fill="FFFFFF"/>
          <w:lang w:val="en-US"/>
        </w:rPr>
        <w:t xml:space="preserve"> </w:t>
      </w:r>
      <w:proofErr w:type="spellStart"/>
      <w:r w:rsidRPr="00F044FD">
        <w:rPr>
          <w:i/>
          <w:shd w:val="clear" w:color="auto" w:fill="FFFFFF"/>
          <w:lang w:val="en-US"/>
        </w:rPr>
        <w:t>Hibe</w:t>
      </w:r>
      <w:proofErr w:type="spellEnd"/>
      <w:r w:rsidRPr="00F044FD">
        <w:rPr>
          <w:i/>
          <w:shd w:val="clear" w:color="auto" w:fill="FFFFFF"/>
          <w:lang w:val="en-US"/>
        </w:rPr>
        <w:t xml:space="preserve"> </w:t>
      </w:r>
      <w:proofErr w:type="spellStart"/>
      <w:r w:rsidRPr="00F044FD">
        <w:rPr>
          <w:i/>
          <w:shd w:val="clear" w:color="auto" w:fill="FFFFFF"/>
          <w:lang w:val="en-US"/>
        </w:rPr>
        <w:t>Programları</w:t>
      </w:r>
      <w:proofErr w:type="spellEnd"/>
      <w:r w:rsidRPr="00F044FD">
        <w:rPr>
          <w:i/>
          <w:shd w:val="clear" w:color="auto" w:fill="FFFFFF"/>
          <w:lang w:val="en-US"/>
        </w:rPr>
        <w:t xml:space="preserve"> </w:t>
      </w:r>
      <w:proofErr w:type="spellStart"/>
      <w:r w:rsidRPr="00F044FD">
        <w:rPr>
          <w:i/>
          <w:shd w:val="clear" w:color="auto" w:fill="FFFFFF"/>
          <w:lang w:val="en-US"/>
        </w:rPr>
        <w:t>Kapsamında</w:t>
      </w:r>
      <w:proofErr w:type="spellEnd"/>
      <w:r w:rsidRPr="00F044FD">
        <w:rPr>
          <w:i/>
          <w:shd w:val="clear" w:color="auto" w:fill="FFFFFF"/>
          <w:lang w:val="en-US"/>
        </w:rPr>
        <w:t xml:space="preserve"> </w:t>
      </w:r>
      <w:proofErr w:type="spellStart"/>
      <w:r w:rsidRPr="00F044FD">
        <w:rPr>
          <w:i/>
          <w:shd w:val="clear" w:color="auto" w:fill="FFFFFF"/>
          <w:lang w:val="en-US"/>
        </w:rPr>
        <w:t>Sivil</w:t>
      </w:r>
      <w:proofErr w:type="spellEnd"/>
      <w:r w:rsidRPr="00F044FD">
        <w:rPr>
          <w:i/>
          <w:shd w:val="clear" w:color="auto" w:fill="FFFFFF"/>
          <w:lang w:val="en-US"/>
        </w:rPr>
        <w:t xml:space="preserve"> </w:t>
      </w:r>
      <w:proofErr w:type="spellStart"/>
      <w:r w:rsidRPr="00F044FD">
        <w:rPr>
          <w:i/>
          <w:shd w:val="clear" w:color="auto" w:fill="FFFFFF"/>
          <w:lang w:val="en-US"/>
        </w:rPr>
        <w:t>Toplum</w:t>
      </w:r>
      <w:proofErr w:type="spellEnd"/>
      <w:r w:rsidRPr="00F044FD">
        <w:rPr>
          <w:i/>
          <w:shd w:val="clear" w:color="auto" w:fill="FFFFFF"/>
          <w:lang w:val="en-US"/>
        </w:rPr>
        <w:t xml:space="preserve"> </w:t>
      </w:r>
      <w:proofErr w:type="spellStart"/>
      <w:r w:rsidRPr="00F044FD">
        <w:rPr>
          <w:i/>
          <w:shd w:val="clear" w:color="auto" w:fill="FFFFFF"/>
          <w:lang w:val="en-US"/>
        </w:rPr>
        <w:t>Kuruluşlarına</w:t>
      </w:r>
      <w:proofErr w:type="spellEnd"/>
      <w:r w:rsidRPr="00F044FD">
        <w:rPr>
          <w:i/>
          <w:shd w:val="clear" w:color="auto" w:fill="FFFFFF"/>
          <w:lang w:val="en-US"/>
        </w:rPr>
        <w:t xml:space="preserve"> </w:t>
      </w:r>
      <w:proofErr w:type="spellStart"/>
      <w:r w:rsidRPr="00F044FD">
        <w:rPr>
          <w:i/>
          <w:shd w:val="clear" w:color="auto" w:fill="FFFFFF"/>
          <w:lang w:val="en-US"/>
        </w:rPr>
        <w:t>Sağlanan</w:t>
      </w:r>
      <w:proofErr w:type="spellEnd"/>
      <w:r w:rsidRPr="00F044FD">
        <w:rPr>
          <w:i/>
          <w:shd w:val="clear" w:color="auto" w:fill="FFFFFF"/>
          <w:lang w:val="en-US"/>
        </w:rPr>
        <w:t xml:space="preserve"> </w:t>
      </w:r>
      <w:proofErr w:type="spellStart"/>
      <w:r w:rsidRPr="00F044FD">
        <w:rPr>
          <w:i/>
          <w:shd w:val="clear" w:color="auto" w:fill="FFFFFF"/>
          <w:lang w:val="en-US"/>
        </w:rPr>
        <w:t>Destekler</w:t>
      </w:r>
      <w:proofErr w:type="spellEnd"/>
      <w:r w:rsidRPr="00F044FD">
        <w:rPr>
          <w:shd w:val="clear" w:color="auto" w:fill="FFFFFF"/>
          <w:lang w:val="en-US"/>
        </w:rPr>
        <w:t>. Ankara</w:t>
      </w:r>
      <w:r w:rsidR="00664952" w:rsidRPr="00F044FD">
        <w:rPr>
          <w:shd w:val="clear" w:color="auto" w:fill="FFFFFF"/>
          <w:lang w:val="en-US"/>
        </w:rPr>
        <w:t>.</w:t>
      </w:r>
    </w:p>
    <w:p w:rsidR="009B1F54" w:rsidRPr="00F044FD" w:rsidRDefault="009B1F54" w:rsidP="009B1F54">
      <w:pPr>
        <w:rPr>
          <w:rFonts w:eastAsia="Calibri"/>
          <w:lang w:val="en-US" w:eastAsia="en-US"/>
        </w:rPr>
      </w:pPr>
      <w:r w:rsidRPr="00F044FD">
        <w:rPr>
          <w:rFonts w:eastAsia="Calibri"/>
          <w:shd w:val="clear" w:color="auto" w:fill="FFFFFF"/>
          <w:lang w:val="en-US" w:eastAsia="en-US"/>
        </w:rPr>
        <w:lastRenderedPageBreak/>
        <w:t xml:space="preserve">Ministry for EU Affairs. “Turkey-EU Financial Cooperation.” Available at </w:t>
      </w:r>
      <w:hyperlink r:id="rId11" w:history="1">
        <w:r w:rsidRPr="00F044FD">
          <w:rPr>
            <w:rFonts w:eastAsia="Calibri"/>
            <w:color w:val="0000FF"/>
            <w:u w:val="single"/>
            <w:lang w:val="en-US" w:eastAsia="en-US"/>
          </w:rPr>
          <w:t>http://www.ab.gov.tr/5_en.html</w:t>
        </w:r>
      </w:hyperlink>
      <w:r w:rsidRPr="00F044FD">
        <w:rPr>
          <w:rFonts w:eastAsia="Calibri"/>
          <w:lang w:val="en-US" w:eastAsia="en-US"/>
        </w:rPr>
        <w:t>, Accessed 8 July 2017.</w:t>
      </w:r>
    </w:p>
    <w:p w:rsidR="009B1F54" w:rsidRPr="00F044FD" w:rsidRDefault="009B1F54" w:rsidP="009B1F54">
      <w:pPr>
        <w:rPr>
          <w:lang w:val="en-US"/>
        </w:rPr>
      </w:pPr>
      <w:proofErr w:type="spellStart"/>
      <w:r w:rsidRPr="00F044FD">
        <w:rPr>
          <w:lang w:val="en-US"/>
        </w:rPr>
        <w:t>Mühlenhoff</w:t>
      </w:r>
      <w:proofErr w:type="spellEnd"/>
      <w:r w:rsidRPr="00F044FD">
        <w:rPr>
          <w:lang w:val="en-US"/>
        </w:rPr>
        <w:t xml:space="preserve">, </w:t>
      </w:r>
      <w:r w:rsidR="00E05E30" w:rsidRPr="00F044FD">
        <w:rPr>
          <w:lang w:val="en-US"/>
        </w:rPr>
        <w:t>H</w:t>
      </w:r>
      <w:r w:rsidR="009E0ABF" w:rsidRPr="00F044FD">
        <w:rPr>
          <w:lang w:val="en-US"/>
        </w:rPr>
        <w:t>anna</w:t>
      </w:r>
      <w:r w:rsidRPr="00F044FD">
        <w:rPr>
          <w:lang w:val="en-US"/>
        </w:rPr>
        <w:t xml:space="preserve">. “Funding Democracy? Funding Social Services? The European Instrument for Democracy and Human Rights in the Context of Competing Narratives in Turkey.” </w:t>
      </w:r>
      <w:r w:rsidRPr="00F044FD">
        <w:rPr>
          <w:i/>
          <w:lang w:val="en-US"/>
        </w:rPr>
        <w:t>Journal of Balkan and Near Eastern Studies</w:t>
      </w:r>
      <w:r w:rsidRPr="00F044FD">
        <w:rPr>
          <w:lang w:val="en-US"/>
        </w:rPr>
        <w:t xml:space="preserve"> 16, no. 1 (2014): 102-118.</w:t>
      </w:r>
    </w:p>
    <w:p w:rsidR="009B1F54" w:rsidRPr="00F044FD" w:rsidRDefault="009B1F54" w:rsidP="009B1F54">
      <w:pPr>
        <w:autoSpaceDE w:val="0"/>
        <w:autoSpaceDN w:val="0"/>
        <w:adjustRightInd w:val="0"/>
        <w:rPr>
          <w:rFonts w:eastAsia="Calibri"/>
          <w:lang w:val="en-US" w:eastAsia="en-US"/>
        </w:rPr>
      </w:pPr>
      <w:proofErr w:type="spellStart"/>
      <w:r w:rsidRPr="00F044FD">
        <w:rPr>
          <w:rFonts w:eastAsia="Calibri"/>
          <w:lang w:val="en-US" w:eastAsia="en-US"/>
        </w:rPr>
        <w:t>Öner</w:t>
      </w:r>
      <w:proofErr w:type="spellEnd"/>
      <w:r w:rsidRPr="00F044FD">
        <w:rPr>
          <w:rFonts w:eastAsia="Calibri"/>
          <w:lang w:val="en-US" w:eastAsia="en-US"/>
        </w:rPr>
        <w:t xml:space="preserve">, </w:t>
      </w:r>
      <w:proofErr w:type="spellStart"/>
      <w:r w:rsidR="00E05E30" w:rsidRPr="00F044FD">
        <w:rPr>
          <w:rFonts w:eastAsia="Calibri"/>
          <w:lang w:val="en-US" w:eastAsia="en-US"/>
        </w:rPr>
        <w:t>S</w:t>
      </w:r>
      <w:r w:rsidR="0053337C" w:rsidRPr="00F044FD">
        <w:rPr>
          <w:rFonts w:eastAsia="Calibri"/>
          <w:lang w:val="en-US" w:eastAsia="en-US"/>
        </w:rPr>
        <w:t>elcen</w:t>
      </w:r>
      <w:proofErr w:type="spellEnd"/>
      <w:r w:rsidRPr="00F044FD">
        <w:rPr>
          <w:rFonts w:eastAsia="Calibri"/>
          <w:lang w:val="en-US" w:eastAsia="en-US"/>
        </w:rPr>
        <w:t>. “Europeanisation of Civil Society in Turkey during the Accession Process</w:t>
      </w:r>
    </w:p>
    <w:p w:rsidR="009B1F54" w:rsidRPr="00F044FD" w:rsidRDefault="009B1F54" w:rsidP="009B1F54">
      <w:pPr>
        <w:autoSpaceDE w:val="0"/>
        <w:autoSpaceDN w:val="0"/>
        <w:adjustRightInd w:val="0"/>
        <w:rPr>
          <w:rFonts w:eastAsia="Calibri"/>
          <w:lang w:val="en-US" w:eastAsia="en-US"/>
        </w:rPr>
      </w:pPr>
      <w:r w:rsidRPr="00F044FD">
        <w:rPr>
          <w:rFonts w:eastAsia="Calibri"/>
          <w:lang w:val="en-US" w:eastAsia="en-US"/>
        </w:rPr>
        <w:t>to the European Union.” In</w:t>
      </w:r>
      <w:r w:rsidRPr="00F044FD">
        <w:rPr>
          <w:rFonts w:eastAsia="Calibri"/>
          <w:i/>
          <w:iCs/>
          <w:lang w:val="en-US" w:eastAsia="en-US"/>
        </w:rPr>
        <w:t xml:space="preserve"> Turkey and the European Union: Processes of Europeanisation</w:t>
      </w:r>
      <w:r w:rsidRPr="00F044FD">
        <w:rPr>
          <w:rFonts w:eastAsia="Calibri"/>
          <w:iCs/>
          <w:lang w:val="en-US" w:eastAsia="en-US"/>
        </w:rPr>
        <w:t xml:space="preserve">. Edited by </w:t>
      </w:r>
      <w:proofErr w:type="spellStart"/>
      <w:r w:rsidRPr="00F044FD">
        <w:rPr>
          <w:rFonts w:eastAsia="Calibri"/>
          <w:iCs/>
          <w:lang w:val="en-US" w:eastAsia="en-US"/>
        </w:rPr>
        <w:t>Çiğdem</w:t>
      </w:r>
      <w:proofErr w:type="spellEnd"/>
      <w:r w:rsidRPr="00F044FD">
        <w:rPr>
          <w:rFonts w:eastAsia="Calibri"/>
          <w:lang w:val="en-US" w:eastAsia="en-US"/>
        </w:rPr>
        <w:t xml:space="preserve"> </w:t>
      </w:r>
      <w:proofErr w:type="spellStart"/>
      <w:r w:rsidRPr="00F044FD">
        <w:rPr>
          <w:rFonts w:eastAsia="Calibri"/>
          <w:lang w:val="en-US" w:eastAsia="en-US"/>
        </w:rPr>
        <w:t>Nas</w:t>
      </w:r>
      <w:proofErr w:type="spellEnd"/>
      <w:r w:rsidRPr="00F044FD">
        <w:rPr>
          <w:rFonts w:eastAsia="Calibri"/>
          <w:lang w:val="en-US" w:eastAsia="en-US"/>
        </w:rPr>
        <w:t xml:space="preserve"> and </w:t>
      </w:r>
      <w:proofErr w:type="spellStart"/>
      <w:r w:rsidRPr="00F044FD">
        <w:rPr>
          <w:rFonts w:eastAsia="Calibri"/>
          <w:lang w:val="en-US" w:eastAsia="en-US"/>
        </w:rPr>
        <w:t>Yaprak</w:t>
      </w:r>
      <w:proofErr w:type="spellEnd"/>
      <w:r w:rsidRPr="00F044FD">
        <w:rPr>
          <w:rFonts w:eastAsia="Calibri"/>
          <w:lang w:val="en-US" w:eastAsia="en-US"/>
        </w:rPr>
        <w:t xml:space="preserve"> Özer. Burlington: Ashgate, 2012.</w:t>
      </w:r>
    </w:p>
    <w:p w:rsidR="009B1F54" w:rsidRPr="00F044FD" w:rsidRDefault="009B1F54" w:rsidP="009B1F54">
      <w:pPr>
        <w:rPr>
          <w:shd w:val="clear" w:color="auto" w:fill="FFFFFF"/>
          <w:lang w:val="en-US"/>
        </w:rPr>
      </w:pPr>
      <w:proofErr w:type="spellStart"/>
      <w:r w:rsidRPr="00F044FD">
        <w:rPr>
          <w:lang w:val="en-US"/>
        </w:rPr>
        <w:t>Paternotte</w:t>
      </w:r>
      <w:proofErr w:type="spellEnd"/>
      <w:r w:rsidRPr="00F044FD">
        <w:rPr>
          <w:lang w:val="en-US"/>
        </w:rPr>
        <w:t xml:space="preserve">, </w:t>
      </w:r>
      <w:proofErr w:type="spellStart"/>
      <w:r w:rsidR="00E05E30" w:rsidRPr="00F044FD">
        <w:rPr>
          <w:lang w:val="en-US"/>
        </w:rPr>
        <w:t>D</w:t>
      </w:r>
      <w:r w:rsidR="0053337C" w:rsidRPr="00F044FD">
        <w:rPr>
          <w:lang w:val="en-US"/>
        </w:rPr>
        <w:t>abid</w:t>
      </w:r>
      <w:proofErr w:type="spellEnd"/>
      <w:r w:rsidRPr="00F044FD">
        <w:rPr>
          <w:lang w:val="en-US"/>
        </w:rPr>
        <w:t xml:space="preserve">. “The </w:t>
      </w:r>
      <w:proofErr w:type="spellStart"/>
      <w:r w:rsidRPr="00F044FD">
        <w:rPr>
          <w:lang w:val="en-US"/>
        </w:rPr>
        <w:t>NGOization</w:t>
      </w:r>
      <w:proofErr w:type="spellEnd"/>
      <w:r w:rsidRPr="00F044FD">
        <w:rPr>
          <w:lang w:val="en-US"/>
        </w:rPr>
        <w:t xml:space="preserve"> of LGBT Activism: ILGA-Europe and the Treaty of Amsterdam”</w:t>
      </w:r>
      <w:r w:rsidRPr="00F044FD">
        <w:rPr>
          <w:b/>
          <w:lang w:val="en-US"/>
        </w:rPr>
        <w:t xml:space="preserve"> </w:t>
      </w:r>
      <w:r w:rsidRPr="00F044FD">
        <w:rPr>
          <w:i/>
          <w:lang w:val="en-US"/>
        </w:rPr>
        <w:t xml:space="preserve">Social Movement Studies: Journal of Social Cultural and Political Protest </w:t>
      </w:r>
      <w:r w:rsidRPr="00F044FD">
        <w:rPr>
          <w:lang w:val="en-US"/>
        </w:rPr>
        <w:t>15, no. 4 (2016): 388-402.</w:t>
      </w:r>
    </w:p>
    <w:p w:rsidR="00E3744D" w:rsidRPr="00F044FD" w:rsidRDefault="00E3744D" w:rsidP="00E3744D">
      <w:pPr>
        <w:rPr>
          <w:lang w:val="en-US"/>
        </w:rPr>
      </w:pPr>
      <w:proofErr w:type="spellStart"/>
      <w:r w:rsidRPr="00F044FD">
        <w:rPr>
          <w:lang w:val="en-US"/>
        </w:rPr>
        <w:t>Paker</w:t>
      </w:r>
      <w:proofErr w:type="spellEnd"/>
      <w:r w:rsidRPr="00F044FD">
        <w:rPr>
          <w:lang w:val="en-US"/>
        </w:rPr>
        <w:t xml:space="preserve">, </w:t>
      </w:r>
      <w:proofErr w:type="spellStart"/>
      <w:r w:rsidRPr="00F044FD">
        <w:rPr>
          <w:lang w:val="en-US"/>
        </w:rPr>
        <w:t>Hande</w:t>
      </w:r>
      <w:proofErr w:type="spellEnd"/>
      <w:r w:rsidRPr="00F044FD">
        <w:rPr>
          <w:lang w:val="en-US"/>
        </w:rPr>
        <w:t xml:space="preserve">, </w:t>
      </w:r>
      <w:proofErr w:type="spellStart"/>
      <w:r w:rsidRPr="00F044FD">
        <w:rPr>
          <w:lang w:val="en-US"/>
        </w:rPr>
        <w:t>Fikret</w:t>
      </w:r>
      <w:proofErr w:type="spellEnd"/>
      <w:r w:rsidRPr="00F044FD">
        <w:rPr>
          <w:lang w:val="en-US"/>
        </w:rPr>
        <w:t xml:space="preserve"> </w:t>
      </w:r>
      <w:proofErr w:type="spellStart"/>
      <w:r w:rsidRPr="00F044FD">
        <w:rPr>
          <w:lang w:val="en-US"/>
        </w:rPr>
        <w:t>Adaman</w:t>
      </w:r>
      <w:proofErr w:type="spellEnd"/>
      <w:r w:rsidRPr="00F044FD">
        <w:rPr>
          <w:lang w:val="en-US"/>
        </w:rPr>
        <w:t xml:space="preserve">, Zeynep </w:t>
      </w:r>
      <w:proofErr w:type="spellStart"/>
      <w:r w:rsidRPr="00F044FD">
        <w:rPr>
          <w:lang w:val="en-US"/>
        </w:rPr>
        <w:t>Kadirbeyoğlu</w:t>
      </w:r>
      <w:proofErr w:type="spellEnd"/>
      <w:r w:rsidRPr="00F044FD">
        <w:rPr>
          <w:lang w:val="en-US"/>
        </w:rPr>
        <w:t xml:space="preserve"> and Begum </w:t>
      </w:r>
      <w:proofErr w:type="spellStart"/>
      <w:r w:rsidRPr="00F044FD">
        <w:rPr>
          <w:lang w:val="en-US"/>
        </w:rPr>
        <w:t>Özkaynak</w:t>
      </w:r>
      <w:proofErr w:type="spellEnd"/>
      <w:r w:rsidRPr="00F044FD">
        <w:rPr>
          <w:lang w:val="en-US"/>
        </w:rPr>
        <w:t xml:space="preserve">. “Environmental </w:t>
      </w:r>
      <w:proofErr w:type="spellStart"/>
      <w:r w:rsidRPr="00F044FD">
        <w:rPr>
          <w:lang w:val="en-US"/>
        </w:rPr>
        <w:t>Organisations</w:t>
      </w:r>
      <w:proofErr w:type="spellEnd"/>
      <w:r w:rsidRPr="00F044FD">
        <w:rPr>
          <w:lang w:val="en-US"/>
        </w:rPr>
        <w:t xml:space="preserve"> in Turkey: Engaging the State and Capital. </w:t>
      </w:r>
      <w:r w:rsidRPr="00F044FD">
        <w:rPr>
          <w:i/>
          <w:lang w:val="en-US"/>
        </w:rPr>
        <w:t>Environmental Politics</w:t>
      </w:r>
      <w:r w:rsidRPr="00F044FD">
        <w:rPr>
          <w:lang w:val="en-US"/>
        </w:rPr>
        <w:t xml:space="preserve"> 22, no 5 (2013): 760–778.</w:t>
      </w:r>
    </w:p>
    <w:p w:rsidR="002B2FF1" w:rsidRPr="00F044FD" w:rsidRDefault="002B2FF1" w:rsidP="00E3744D">
      <w:pPr>
        <w:autoSpaceDE w:val="0"/>
        <w:autoSpaceDN w:val="0"/>
        <w:adjustRightInd w:val="0"/>
        <w:rPr>
          <w:rFonts w:eastAsia="Calibri"/>
          <w:lang w:val="en-US" w:eastAsia="en-US"/>
        </w:rPr>
      </w:pPr>
      <w:r w:rsidRPr="00F044FD">
        <w:rPr>
          <w:rFonts w:eastAsia="Calibri"/>
          <w:lang w:val="en-US" w:eastAsia="en-US"/>
        </w:rPr>
        <w:t xml:space="preserve">Pfeffer, Jeffrey and Gerald R. </w:t>
      </w:r>
      <w:proofErr w:type="spellStart"/>
      <w:r w:rsidRPr="00F044FD">
        <w:rPr>
          <w:rFonts w:eastAsia="Calibri"/>
          <w:lang w:val="en-US" w:eastAsia="en-US"/>
        </w:rPr>
        <w:t>Salancik</w:t>
      </w:r>
      <w:proofErr w:type="spellEnd"/>
      <w:r w:rsidRPr="00F044FD">
        <w:rPr>
          <w:rFonts w:eastAsia="Calibri"/>
          <w:lang w:val="en-US" w:eastAsia="en-US"/>
        </w:rPr>
        <w:t xml:space="preserve">. </w:t>
      </w:r>
      <w:r w:rsidRPr="00F044FD">
        <w:rPr>
          <w:rFonts w:eastAsia="Calibri"/>
          <w:i/>
          <w:lang w:val="en-US" w:eastAsia="en-US"/>
        </w:rPr>
        <w:t>The External Control of Organizations</w:t>
      </w:r>
      <w:r w:rsidR="006B3F95" w:rsidRPr="00F044FD">
        <w:rPr>
          <w:rFonts w:eastAsia="Calibri"/>
          <w:i/>
          <w:lang w:val="en-US" w:eastAsia="en-US"/>
        </w:rPr>
        <w:t>: A Resource Dependency Perspective.</w:t>
      </w:r>
      <w:r w:rsidR="006B3F95" w:rsidRPr="00F044FD">
        <w:rPr>
          <w:rFonts w:eastAsia="Calibri"/>
          <w:lang w:val="en-US" w:eastAsia="en-US"/>
        </w:rPr>
        <w:t xml:space="preserve"> </w:t>
      </w:r>
      <w:proofErr w:type="spellStart"/>
      <w:r w:rsidR="005156EC" w:rsidRPr="00F044FD">
        <w:rPr>
          <w:rFonts w:eastAsia="Calibri"/>
          <w:lang w:val="en-US" w:eastAsia="en-US"/>
        </w:rPr>
        <w:t>Standford</w:t>
      </w:r>
      <w:proofErr w:type="spellEnd"/>
      <w:r w:rsidR="005156EC" w:rsidRPr="00F044FD">
        <w:rPr>
          <w:rFonts w:eastAsia="Calibri"/>
          <w:lang w:val="en-US" w:eastAsia="en-US"/>
        </w:rPr>
        <w:t xml:space="preserve">, CA: </w:t>
      </w:r>
      <w:proofErr w:type="spellStart"/>
      <w:r w:rsidR="005156EC" w:rsidRPr="00F044FD">
        <w:rPr>
          <w:rFonts w:eastAsia="Calibri"/>
          <w:lang w:val="en-US" w:eastAsia="en-US"/>
        </w:rPr>
        <w:t>Standford</w:t>
      </w:r>
      <w:proofErr w:type="spellEnd"/>
      <w:r w:rsidR="005156EC" w:rsidRPr="00F044FD">
        <w:rPr>
          <w:rFonts w:eastAsia="Calibri"/>
          <w:lang w:val="en-US" w:eastAsia="en-US"/>
        </w:rPr>
        <w:t xml:space="preserve"> University Press</w:t>
      </w:r>
      <w:r w:rsidR="006B3F95" w:rsidRPr="00F044FD">
        <w:rPr>
          <w:rFonts w:eastAsia="Calibri"/>
          <w:lang w:val="en-US" w:eastAsia="en-US"/>
        </w:rPr>
        <w:t>, 1978.</w:t>
      </w:r>
    </w:p>
    <w:p w:rsidR="009B1F54" w:rsidRPr="00F044FD" w:rsidRDefault="009B1F54" w:rsidP="00E3744D">
      <w:pPr>
        <w:autoSpaceDE w:val="0"/>
        <w:autoSpaceDN w:val="0"/>
        <w:adjustRightInd w:val="0"/>
        <w:rPr>
          <w:rFonts w:eastAsia="Calibri"/>
          <w:lang w:val="en-US" w:eastAsia="en-US"/>
        </w:rPr>
      </w:pPr>
      <w:r w:rsidRPr="00F044FD">
        <w:rPr>
          <w:rFonts w:eastAsia="Calibri"/>
          <w:lang w:val="en-US" w:eastAsia="en-US"/>
        </w:rPr>
        <w:t xml:space="preserve">Prakash, </w:t>
      </w:r>
      <w:proofErr w:type="spellStart"/>
      <w:r w:rsidR="00E05E30" w:rsidRPr="00F044FD">
        <w:rPr>
          <w:rFonts w:eastAsia="Calibri"/>
          <w:lang w:val="en-US" w:eastAsia="en-US"/>
        </w:rPr>
        <w:t>A</w:t>
      </w:r>
      <w:r w:rsidR="0053337C" w:rsidRPr="00F044FD">
        <w:rPr>
          <w:rFonts w:eastAsia="Calibri"/>
          <w:lang w:val="en-US" w:eastAsia="en-US"/>
        </w:rPr>
        <w:t>seem</w:t>
      </w:r>
      <w:proofErr w:type="spellEnd"/>
      <w:r w:rsidRPr="00F044FD">
        <w:rPr>
          <w:rFonts w:eastAsia="Calibri"/>
          <w:lang w:val="en-US" w:eastAsia="en-US"/>
        </w:rPr>
        <w:t xml:space="preserve"> and </w:t>
      </w:r>
      <w:r w:rsidR="0053337C" w:rsidRPr="00F044FD">
        <w:rPr>
          <w:rFonts w:eastAsia="Calibri"/>
          <w:lang w:val="en-US" w:eastAsia="en-US"/>
        </w:rPr>
        <w:t>Mary Kay</w:t>
      </w:r>
      <w:r w:rsidRPr="00F044FD">
        <w:rPr>
          <w:rFonts w:eastAsia="Calibri"/>
          <w:lang w:val="en-US" w:eastAsia="en-US"/>
        </w:rPr>
        <w:t xml:space="preserve"> </w:t>
      </w:r>
      <w:proofErr w:type="spellStart"/>
      <w:r w:rsidRPr="00F044FD">
        <w:rPr>
          <w:rFonts w:eastAsia="Calibri"/>
          <w:lang w:val="en-US" w:eastAsia="en-US"/>
        </w:rPr>
        <w:t>Gugerty</w:t>
      </w:r>
      <w:proofErr w:type="spellEnd"/>
      <w:r w:rsidRPr="00F044FD">
        <w:rPr>
          <w:rFonts w:eastAsia="Calibri"/>
          <w:lang w:val="en-US" w:eastAsia="en-US"/>
        </w:rPr>
        <w:t xml:space="preserve">, ed. </w:t>
      </w:r>
      <w:r w:rsidRPr="00F044FD">
        <w:rPr>
          <w:rFonts w:eastAsia="Calibri"/>
          <w:i/>
          <w:lang w:val="en-US" w:eastAsia="en-US"/>
        </w:rPr>
        <w:t>Advocacy Organizations and Collective Action</w:t>
      </w:r>
      <w:r w:rsidRPr="00F044FD">
        <w:rPr>
          <w:rFonts w:eastAsia="Calibri"/>
          <w:lang w:val="en-US" w:eastAsia="en-US"/>
        </w:rPr>
        <w:t xml:space="preserve">. Cambridge, UK: Cambridge University Press, 2010. </w:t>
      </w:r>
    </w:p>
    <w:p w:rsidR="009B1F54" w:rsidRPr="00F044FD" w:rsidRDefault="009B1F54" w:rsidP="009B1F54">
      <w:pPr>
        <w:rPr>
          <w:lang w:val="en-US"/>
        </w:rPr>
      </w:pPr>
      <w:r w:rsidRPr="00F044FD">
        <w:rPr>
          <w:lang w:val="en-US"/>
        </w:rPr>
        <w:t xml:space="preserve">Roy, </w:t>
      </w:r>
      <w:r w:rsidR="00E05E30" w:rsidRPr="00F044FD">
        <w:rPr>
          <w:lang w:val="en-US"/>
        </w:rPr>
        <w:t>A</w:t>
      </w:r>
      <w:r w:rsidR="0053337C" w:rsidRPr="00F044FD">
        <w:rPr>
          <w:lang w:val="en-US"/>
        </w:rPr>
        <w:t>rundhati</w:t>
      </w:r>
      <w:r w:rsidRPr="00F044FD">
        <w:rPr>
          <w:lang w:val="en-US"/>
        </w:rPr>
        <w:t>. “The NGO-</w:t>
      </w:r>
      <w:proofErr w:type="spellStart"/>
      <w:r w:rsidRPr="00F044FD">
        <w:rPr>
          <w:lang w:val="en-US"/>
        </w:rPr>
        <w:t>ization</w:t>
      </w:r>
      <w:proofErr w:type="spellEnd"/>
      <w:r w:rsidRPr="00F044FD">
        <w:rPr>
          <w:lang w:val="en-US"/>
        </w:rPr>
        <w:t xml:space="preserve"> of Resistance.” </w:t>
      </w:r>
      <w:proofErr w:type="spellStart"/>
      <w:r w:rsidRPr="00F044FD">
        <w:rPr>
          <w:i/>
          <w:lang w:val="en-US"/>
        </w:rPr>
        <w:t>Massalijin</w:t>
      </w:r>
      <w:proofErr w:type="spellEnd"/>
      <w:r w:rsidRPr="00F044FD">
        <w:rPr>
          <w:i/>
          <w:lang w:val="en-US"/>
        </w:rPr>
        <w:t xml:space="preserve"> News.</w:t>
      </w:r>
      <w:r w:rsidRPr="00F044FD">
        <w:rPr>
          <w:lang w:val="en-US"/>
        </w:rPr>
        <w:t xml:space="preserve"> Accessed September 4, 2014. </w:t>
      </w:r>
      <w:hyperlink r:id="rId12" w:history="1">
        <w:r w:rsidRPr="00F044FD">
          <w:rPr>
            <w:color w:val="0000FF"/>
            <w:u w:val="single"/>
            <w:lang w:val="en-US"/>
          </w:rPr>
          <w:t>http://massalijn.nl/new/the-ngo-ization-of-resistance</w:t>
        </w:r>
      </w:hyperlink>
      <w:r w:rsidRPr="00F044FD">
        <w:rPr>
          <w:lang w:val="en-US"/>
        </w:rPr>
        <w:t>.</w:t>
      </w:r>
    </w:p>
    <w:p w:rsidR="009B1F54" w:rsidRPr="00F044FD" w:rsidRDefault="009B1F54" w:rsidP="009B1F54">
      <w:pPr>
        <w:rPr>
          <w:shd w:val="clear" w:color="auto" w:fill="FFFFFF"/>
          <w:lang w:val="en-US"/>
        </w:rPr>
      </w:pPr>
      <w:r w:rsidRPr="00F044FD">
        <w:rPr>
          <w:lang w:val="en-US"/>
        </w:rPr>
        <w:t xml:space="preserve">Roy, </w:t>
      </w:r>
      <w:proofErr w:type="spellStart"/>
      <w:r w:rsidR="00E05E30" w:rsidRPr="00F044FD">
        <w:rPr>
          <w:lang w:val="en-US"/>
        </w:rPr>
        <w:t>S</w:t>
      </w:r>
      <w:r w:rsidR="0053337C" w:rsidRPr="00F044FD">
        <w:rPr>
          <w:lang w:val="en-US"/>
        </w:rPr>
        <w:t>rila</w:t>
      </w:r>
      <w:proofErr w:type="spellEnd"/>
      <w:r w:rsidRPr="00F044FD">
        <w:rPr>
          <w:lang w:val="en-US"/>
        </w:rPr>
        <w:t xml:space="preserve">. “The Indian Women’s Movement: Within and Beyond </w:t>
      </w:r>
      <w:proofErr w:type="spellStart"/>
      <w:r w:rsidRPr="00F044FD">
        <w:rPr>
          <w:lang w:val="en-US"/>
        </w:rPr>
        <w:t>NGOization</w:t>
      </w:r>
      <w:proofErr w:type="spellEnd"/>
      <w:r w:rsidRPr="00F044FD">
        <w:rPr>
          <w:lang w:val="en-US"/>
        </w:rPr>
        <w:t xml:space="preserve">.” </w:t>
      </w:r>
      <w:r w:rsidRPr="00F044FD">
        <w:rPr>
          <w:i/>
          <w:lang w:val="en-US"/>
        </w:rPr>
        <w:t xml:space="preserve">Journal of South Asian Development </w:t>
      </w:r>
      <w:r w:rsidRPr="00F044FD">
        <w:rPr>
          <w:lang w:val="en-US"/>
        </w:rPr>
        <w:t>10, no. 1 (2015): 96-117.</w:t>
      </w:r>
    </w:p>
    <w:p w:rsidR="009B1F54" w:rsidRPr="00F044FD" w:rsidRDefault="009B1F54" w:rsidP="009B1F54">
      <w:pPr>
        <w:rPr>
          <w:lang w:val="en-US"/>
        </w:rPr>
      </w:pPr>
      <w:proofErr w:type="spellStart"/>
      <w:r w:rsidRPr="00F044FD">
        <w:rPr>
          <w:lang w:val="en-US"/>
        </w:rPr>
        <w:t>Rumelili</w:t>
      </w:r>
      <w:proofErr w:type="spellEnd"/>
      <w:r w:rsidRPr="00F044FD">
        <w:rPr>
          <w:lang w:val="en-US"/>
        </w:rPr>
        <w:t xml:space="preserve">, </w:t>
      </w:r>
      <w:proofErr w:type="spellStart"/>
      <w:r w:rsidR="00E05E30" w:rsidRPr="00F044FD">
        <w:rPr>
          <w:lang w:val="en-US"/>
        </w:rPr>
        <w:t>B</w:t>
      </w:r>
      <w:r w:rsidR="0053337C" w:rsidRPr="00F044FD">
        <w:rPr>
          <w:lang w:val="en-US"/>
        </w:rPr>
        <w:t>ahar</w:t>
      </w:r>
      <w:proofErr w:type="spellEnd"/>
      <w:r w:rsidRPr="00F044FD">
        <w:rPr>
          <w:lang w:val="en-US"/>
        </w:rPr>
        <w:t xml:space="preserve"> and </w:t>
      </w:r>
      <w:proofErr w:type="spellStart"/>
      <w:r w:rsidR="0053337C" w:rsidRPr="00F044FD">
        <w:rPr>
          <w:lang w:val="en-US"/>
        </w:rPr>
        <w:t>Büke</w:t>
      </w:r>
      <w:proofErr w:type="spellEnd"/>
      <w:r w:rsidRPr="00F044FD">
        <w:rPr>
          <w:lang w:val="en-US"/>
        </w:rPr>
        <w:t xml:space="preserve"> </w:t>
      </w:r>
      <w:proofErr w:type="spellStart"/>
      <w:r w:rsidRPr="00F044FD">
        <w:rPr>
          <w:lang w:val="en-US"/>
        </w:rPr>
        <w:t>Bosnak</w:t>
      </w:r>
      <w:proofErr w:type="spellEnd"/>
      <w:r w:rsidRPr="00F044FD">
        <w:rPr>
          <w:lang w:val="en-US"/>
        </w:rPr>
        <w:t xml:space="preserve">. “Taking Stock of Europeanization of Civil Society in Turkey: The Case of NGOs.” In </w:t>
      </w:r>
      <w:proofErr w:type="gramStart"/>
      <w:r w:rsidRPr="00F044FD">
        <w:rPr>
          <w:i/>
          <w:lang w:val="en-US"/>
        </w:rPr>
        <w:t>The</w:t>
      </w:r>
      <w:proofErr w:type="gramEnd"/>
      <w:r w:rsidRPr="00F044FD">
        <w:rPr>
          <w:i/>
          <w:lang w:val="en-US"/>
        </w:rPr>
        <w:t xml:space="preserve"> Europeanization of Turkey: Polity and Politics</w:t>
      </w:r>
      <w:r w:rsidRPr="00F044FD">
        <w:rPr>
          <w:lang w:val="en-US"/>
        </w:rPr>
        <w:t xml:space="preserve">, edited by A. </w:t>
      </w:r>
      <w:proofErr w:type="spellStart"/>
      <w:r w:rsidRPr="00F044FD">
        <w:rPr>
          <w:lang w:val="en-US"/>
        </w:rPr>
        <w:t>Tekin</w:t>
      </w:r>
      <w:proofErr w:type="spellEnd"/>
      <w:r w:rsidRPr="00F044FD">
        <w:rPr>
          <w:lang w:val="en-US"/>
        </w:rPr>
        <w:t xml:space="preserve"> and A. </w:t>
      </w:r>
      <w:proofErr w:type="spellStart"/>
      <w:r w:rsidRPr="00F044FD">
        <w:rPr>
          <w:lang w:val="en-US"/>
        </w:rPr>
        <w:t>Güney</w:t>
      </w:r>
      <w:proofErr w:type="spellEnd"/>
      <w:r w:rsidRPr="00F044FD">
        <w:rPr>
          <w:lang w:val="en-US"/>
        </w:rPr>
        <w:t>. London: Routledge, 2015.</w:t>
      </w:r>
    </w:p>
    <w:p w:rsidR="009B1F54" w:rsidRPr="00F044FD" w:rsidRDefault="009B1F54" w:rsidP="009B1F54">
      <w:pPr>
        <w:rPr>
          <w:lang w:val="en-US"/>
        </w:rPr>
      </w:pPr>
      <w:proofErr w:type="spellStart"/>
      <w:r w:rsidRPr="00F044FD">
        <w:rPr>
          <w:lang w:val="en-US"/>
        </w:rPr>
        <w:lastRenderedPageBreak/>
        <w:t>Salamon</w:t>
      </w:r>
      <w:proofErr w:type="spellEnd"/>
      <w:r w:rsidRPr="00F044FD">
        <w:rPr>
          <w:lang w:val="en-US"/>
        </w:rPr>
        <w:t xml:space="preserve">, </w:t>
      </w:r>
      <w:r w:rsidR="00E05E30" w:rsidRPr="00F044FD">
        <w:rPr>
          <w:lang w:val="en-US"/>
        </w:rPr>
        <w:t>L</w:t>
      </w:r>
      <w:r w:rsidR="0053337C" w:rsidRPr="00F044FD">
        <w:rPr>
          <w:lang w:val="en-US"/>
        </w:rPr>
        <w:t>ester</w:t>
      </w:r>
      <w:r w:rsidRPr="00F044FD">
        <w:rPr>
          <w:lang w:val="en-US"/>
        </w:rPr>
        <w:t xml:space="preserve">. “The Rise of the Nonprofit Sector.” </w:t>
      </w:r>
      <w:r w:rsidRPr="00F044FD">
        <w:rPr>
          <w:i/>
          <w:lang w:val="en-US"/>
        </w:rPr>
        <w:t>Foreign Affairs</w:t>
      </w:r>
      <w:r w:rsidRPr="00F044FD">
        <w:rPr>
          <w:lang w:val="en-US"/>
        </w:rPr>
        <w:t xml:space="preserve"> 73 (1994): 109–122.</w:t>
      </w:r>
    </w:p>
    <w:p w:rsidR="009B1F54" w:rsidRPr="00F044FD" w:rsidRDefault="009B1F54" w:rsidP="009B1F54">
      <w:pPr>
        <w:rPr>
          <w:rFonts w:eastAsia="Calibri"/>
          <w:lang w:val="en-US" w:eastAsia="en-US"/>
        </w:rPr>
      </w:pPr>
      <w:proofErr w:type="spellStart"/>
      <w:r w:rsidRPr="00F044FD">
        <w:rPr>
          <w:rFonts w:eastAsia="Calibri"/>
          <w:lang w:val="en-US" w:eastAsia="en-US"/>
        </w:rPr>
        <w:t>Sinwell</w:t>
      </w:r>
      <w:proofErr w:type="spellEnd"/>
      <w:r w:rsidRPr="00F044FD">
        <w:rPr>
          <w:rFonts w:eastAsia="Calibri"/>
          <w:lang w:val="en-US" w:eastAsia="en-US"/>
        </w:rPr>
        <w:t>, L</w:t>
      </w:r>
      <w:r w:rsidR="0053337C" w:rsidRPr="00F044FD">
        <w:rPr>
          <w:rFonts w:eastAsia="Calibri"/>
          <w:lang w:val="en-US" w:eastAsia="en-US"/>
        </w:rPr>
        <w:t>uke</w:t>
      </w:r>
      <w:r w:rsidRPr="00F044FD">
        <w:rPr>
          <w:rFonts w:eastAsia="Calibri"/>
          <w:lang w:val="en-US" w:eastAsia="en-US"/>
        </w:rPr>
        <w:t>. “From Radical Movement to Conservative NGO and Back Again? A Case Study of the Democratic Left Front in South Africa.” In</w:t>
      </w:r>
      <w:r w:rsidRPr="00F044FD">
        <w:rPr>
          <w:rFonts w:eastAsia="Calibri"/>
          <w:i/>
          <w:lang w:val="en-US" w:eastAsia="en-US"/>
        </w:rPr>
        <w:t xml:space="preserve"> </w:t>
      </w:r>
      <w:proofErr w:type="spellStart"/>
      <w:r w:rsidRPr="00F044FD">
        <w:rPr>
          <w:rFonts w:eastAsia="Calibri"/>
          <w:i/>
          <w:lang w:val="en-US" w:eastAsia="en-US"/>
        </w:rPr>
        <w:t>NGOization</w:t>
      </w:r>
      <w:proofErr w:type="spellEnd"/>
      <w:r w:rsidRPr="00F044FD">
        <w:rPr>
          <w:rFonts w:eastAsia="Calibri"/>
          <w:i/>
          <w:lang w:val="en-US" w:eastAsia="en-US"/>
        </w:rPr>
        <w:t xml:space="preserve"> Complicity, Contradictions and Prospects</w:t>
      </w:r>
      <w:r w:rsidRPr="00F044FD">
        <w:rPr>
          <w:rFonts w:eastAsia="Calibri"/>
          <w:lang w:val="en-US" w:eastAsia="en-US"/>
        </w:rPr>
        <w:t xml:space="preserve">, edited by Aziz </w:t>
      </w:r>
      <w:proofErr w:type="spellStart"/>
      <w:r w:rsidRPr="00F044FD">
        <w:rPr>
          <w:rFonts w:eastAsia="Calibri"/>
          <w:lang w:val="en-US" w:eastAsia="en-US"/>
        </w:rPr>
        <w:t>Choudry</w:t>
      </w:r>
      <w:proofErr w:type="spellEnd"/>
      <w:r w:rsidRPr="00F044FD">
        <w:rPr>
          <w:rFonts w:eastAsia="Calibri"/>
          <w:lang w:val="en-US" w:eastAsia="en-US"/>
        </w:rPr>
        <w:t xml:space="preserve"> and Dip Kapoor. USA: Zed Books, 2013.</w:t>
      </w:r>
    </w:p>
    <w:p w:rsidR="009B1F54" w:rsidRPr="00F044FD" w:rsidRDefault="009B1F54" w:rsidP="009B1F54">
      <w:pPr>
        <w:suppressAutoHyphens/>
        <w:autoSpaceDN w:val="0"/>
        <w:rPr>
          <w:bCs/>
          <w:kern w:val="3"/>
          <w:lang w:val="en-US" w:eastAsia="tr-TR" w:bidi="hi-IN"/>
        </w:rPr>
      </w:pPr>
      <w:r w:rsidRPr="00F044FD">
        <w:rPr>
          <w:bCs/>
          <w:kern w:val="3"/>
          <w:lang w:val="en-US" w:eastAsia="tr-TR" w:bidi="hi-IN"/>
        </w:rPr>
        <w:t xml:space="preserve">TUSEV (Third Sector Foundation of Turkey). </w:t>
      </w:r>
      <w:r w:rsidRPr="00F044FD">
        <w:rPr>
          <w:bCs/>
          <w:i/>
          <w:kern w:val="3"/>
          <w:lang w:val="en-US" w:eastAsia="tr-TR" w:bidi="hi-IN"/>
        </w:rPr>
        <w:t>Civil Society Monitoring Report 2013-2014</w:t>
      </w:r>
      <w:r w:rsidRPr="00F044FD">
        <w:rPr>
          <w:bCs/>
          <w:kern w:val="3"/>
          <w:lang w:val="en-US" w:eastAsia="tr-TR" w:bidi="hi-IN"/>
        </w:rPr>
        <w:t>. Istanbul: TUSEV Publications, 2015.</w:t>
      </w:r>
    </w:p>
    <w:p w:rsidR="00A90AD0" w:rsidRPr="00F044FD" w:rsidRDefault="00A90AD0" w:rsidP="009B1F54">
      <w:pPr>
        <w:rPr>
          <w:lang w:val="en-US"/>
        </w:rPr>
      </w:pPr>
      <w:proofErr w:type="spellStart"/>
      <w:r w:rsidRPr="00F044FD">
        <w:rPr>
          <w:lang w:val="en-US"/>
        </w:rPr>
        <w:t>Yanacopulos</w:t>
      </w:r>
      <w:proofErr w:type="spellEnd"/>
      <w:r w:rsidRPr="00F044FD">
        <w:rPr>
          <w:lang w:val="en-US"/>
        </w:rPr>
        <w:t xml:space="preserve">, Helen. “The Strategies Than Bind: NGO Coalitions and Their Influence.” </w:t>
      </w:r>
      <w:r w:rsidRPr="00F044FD">
        <w:rPr>
          <w:i/>
          <w:lang w:val="en-US"/>
        </w:rPr>
        <w:t xml:space="preserve">Global Networks </w:t>
      </w:r>
      <w:r w:rsidRPr="00F044FD">
        <w:rPr>
          <w:lang w:val="en-US"/>
        </w:rPr>
        <w:t>5 (2005): 93-110.</w:t>
      </w:r>
    </w:p>
    <w:p w:rsidR="009B1F54" w:rsidRPr="00F044FD" w:rsidRDefault="009B1F54" w:rsidP="009B1F54">
      <w:pPr>
        <w:rPr>
          <w:bCs/>
          <w:lang w:val="en-US" w:eastAsia="tr-TR"/>
        </w:rPr>
      </w:pPr>
      <w:r w:rsidRPr="00F044FD">
        <w:rPr>
          <w:lang w:val="en-US"/>
        </w:rPr>
        <w:t xml:space="preserve">Youngs, </w:t>
      </w:r>
      <w:r w:rsidR="00112663" w:rsidRPr="00F044FD">
        <w:rPr>
          <w:lang w:val="en-US"/>
        </w:rPr>
        <w:t>R</w:t>
      </w:r>
      <w:r w:rsidR="0053337C" w:rsidRPr="00F044FD">
        <w:rPr>
          <w:lang w:val="en-US"/>
        </w:rPr>
        <w:t>ichard</w:t>
      </w:r>
      <w:r w:rsidRPr="00F044FD">
        <w:rPr>
          <w:lang w:val="en-US"/>
        </w:rPr>
        <w:t xml:space="preserve">. </w:t>
      </w:r>
      <w:r w:rsidRPr="00F044FD">
        <w:rPr>
          <w:i/>
          <w:lang w:val="en-US"/>
        </w:rPr>
        <w:t>The European Union and the Promotion of Democracy: Europe’s Mediterranean and Asian Policies.</w:t>
      </w:r>
      <w:r w:rsidRPr="00F044FD">
        <w:rPr>
          <w:lang w:val="en-US"/>
        </w:rPr>
        <w:t xml:space="preserve"> Oxford: Oxford University Press, 2001. </w:t>
      </w:r>
    </w:p>
    <w:p w:rsidR="009B1F54" w:rsidRPr="00F044FD" w:rsidRDefault="009B1F54" w:rsidP="009B1F54">
      <w:pPr>
        <w:rPr>
          <w:lang w:val="en-US"/>
        </w:rPr>
      </w:pPr>
      <w:r w:rsidRPr="00F044FD">
        <w:rPr>
          <w:lang w:val="en-US"/>
        </w:rPr>
        <w:t xml:space="preserve">Youngs, </w:t>
      </w:r>
      <w:r w:rsidR="0053337C" w:rsidRPr="00F044FD">
        <w:rPr>
          <w:lang w:val="en-US"/>
        </w:rPr>
        <w:t>Richard</w:t>
      </w:r>
      <w:r w:rsidRPr="00F044FD">
        <w:rPr>
          <w:lang w:val="en-US"/>
        </w:rPr>
        <w:t xml:space="preserve">. “What Has Europe Been Doing?” </w:t>
      </w:r>
      <w:r w:rsidRPr="00F044FD">
        <w:rPr>
          <w:i/>
          <w:lang w:val="en-US"/>
        </w:rPr>
        <w:t>Journal of Democracy</w:t>
      </w:r>
      <w:r w:rsidRPr="00F044FD">
        <w:rPr>
          <w:lang w:val="en-US"/>
        </w:rPr>
        <w:t xml:space="preserve"> 19, no. 2 (2008): 160–169.</w:t>
      </w:r>
    </w:p>
    <w:p w:rsidR="009B1F54" w:rsidRPr="00F044FD" w:rsidRDefault="009B1F54" w:rsidP="009B1F54">
      <w:pPr>
        <w:suppressAutoHyphens/>
        <w:autoSpaceDN w:val="0"/>
        <w:rPr>
          <w:bCs/>
          <w:kern w:val="3"/>
          <w:lang w:val="en-US" w:eastAsia="tr-TR" w:bidi="hi-IN"/>
        </w:rPr>
      </w:pPr>
      <w:r w:rsidRPr="00F044FD">
        <w:rPr>
          <w:bCs/>
          <w:kern w:val="3"/>
          <w:lang w:val="en-US" w:eastAsia="tr-TR" w:bidi="hi-IN"/>
        </w:rPr>
        <w:t xml:space="preserve">Youngs, </w:t>
      </w:r>
      <w:r w:rsidR="0020311D" w:rsidRPr="00F044FD">
        <w:rPr>
          <w:lang w:val="en-US"/>
        </w:rPr>
        <w:t>Richard</w:t>
      </w:r>
      <w:r w:rsidRPr="00F044FD">
        <w:rPr>
          <w:bCs/>
          <w:kern w:val="3"/>
          <w:lang w:val="en-US" w:eastAsia="tr-TR" w:bidi="hi-IN"/>
        </w:rPr>
        <w:t xml:space="preserve"> and </w:t>
      </w:r>
      <w:proofErr w:type="spellStart"/>
      <w:r w:rsidR="0020311D" w:rsidRPr="00F044FD">
        <w:rPr>
          <w:bCs/>
          <w:kern w:val="3"/>
          <w:lang w:val="en-US" w:eastAsia="tr-TR" w:bidi="hi-IN"/>
        </w:rPr>
        <w:t>Müjge</w:t>
      </w:r>
      <w:proofErr w:type="spellEnd"/>
      <w:r w:rsidRPr="00F044FD">
        <w:rPr>
          <w:bCs/>
          <w:kern w:val="3"/>
          <w:lang w:val="en-US" w:eastAsia="tr-TR" w:bidi="hi-IN"/>
        </w:rPr>
        <w:t xml:space="preserve"> </w:t>
      </w:r>
      <w:proofErr w:type="spellStart"/>
      <w:r w:rsidRPr="00F044FD">
        <w:rPr>
          <w:bCs/>
          <w:kern w:val="3"/>
          <w:lang w:val="en-US" w:eastAsia="tr-TR" w:bidi="hi-IN"/>
        </w:rPr>
        <w:t>Küçükkeleş</w:t>
      </w:r>
      <w:proofErr w:type="spellEnd"/>
      <w:r w:rsidRPr="00F044FD">
        <w:rPr>
          <w:bCs/>
          <w:kern w:val="3"/>
          <w:lang w:val="en-US" w:eastAsia="tr-TR" w:bidi="hi-IN"/>
        </w:rPr>
        <w:t xml:space="preserve">. </w:t>
      </w:r>
      <w:r w:rsidRPr="00F044FD">
        <w:rPr>
          <w:bCs/>
          <w:i/>
          <w:kern w:val="3"/>
          <w:shd w:val="clear" w:color="auto" w:fill="FFFFFF"/>
          <w:lang w:val="en-US" w:eastAsia="tr-TR" w:bidi="hi-IN"/>
        </w:rPr>
        <w:t>New Directions for European Assistance in Turkey.</w:t>
      </w:r>
      <w:r w:rsidRPr="00F044FD">
        <w:rPr>
          <w:bCs/>
          <w:kern w:val="3"/>
          <w:shd w:val="clear" w:color="auto" w:fill="FFFFFF"/>
          <w:lang w:val="en-US" w:eastAsia="tr-TR" w:bidi="hi-IN"/>
        </w:rPr>
        <w:t xml:space="preserve"> Istanbul, Turkey: Istanbul Policy Center, </w:t>
      </w:r>
      <w:r w:rsidRPr="00F044FD">
        <w:rPr>
          <w:bCs/>
          <w:kern w:val="3"/>
          <w:lang w:val="en-US" w:eastAsia="tr-TR" w:bidi="hi-IN"/>
        </w:rPr>
        <w:t>2017.</w:t>
      </w:r>
      <w:r w:rsidRPr="00F044FD">
        <w:rPr>
          <w:bCs/>
          <w:kern w:val="3"/>
          <w:shd w:val="clear" w:color="auto" w:fill="FFFFFF"/>
          <w:lang w:val="en-US" w:eastAsia="tr-TR" w:bidi="hi-IN"/>
        </w:rPr>
        <w:t xml:space="preserve"> Available at</w:t>
      </w:r>
      <w:r w:rsidRPr="00F044FD">
        <w:rPr>
          <w:bCs/>
          <w:color w:val="333333"/>
          <w:kern w:val="3"/>
          <w:shd w:val="clear" w:color="auto" w:fill="FFFFFF"/>
          <w:lang w:val="en-US" w:eastAsia="tr-TR" w:bidi="hi-IN"/>
        </w:rPr>
        <w:t> </w:t>
      </w:r>
      <w:hyperlink r:id="rId13" w:history="1">
        <w:r w:rsidRPr="00F044FD">
          <w:rPr>
            <w:bCs/>
            <w:color w:val="235EBD"/>
            <w:kern w:val="3"/>
            <w:u w:val="single"/>
            <w:shd w:val="clear" w:color="auto" w:fill="FFFFFF"/>
            <w:lang w:val="en-US" w:eastAsia="tr-TR" w:bidi="hi-IN"/>
          </w:rPr>
          <w:t>http://ipc.sabanciuniv.edu/publication/english-new-directions-for-european-assistance-in-turkey/?lang=en</w:t>
        </w:r>
      </w:hyperlink>
      <w:r w:rsidRPr="00F044FD">
        <w:rPr>
          <w:bCs/>
          <w:color w:val="333333"/>
          <w:kern w:val="3"/>
          <w:shd w:val="clear" w:color="auto" w:fill="FFFFFF"/>
          <w:lang w:val="en-US" w:eastAsia="tr-TR" w:bidi="hi-IN"/>
        </w:rPr>
        <w:t>.</w:t>
      </w:r>
    </w:p>
    <w:p w:rsidR="004654CE" w:rsidRPr="00F044FD" w:rsidRDefault="004654CE" w:rsidP="009B1F54">
      <w:pPr>
        <w:rPr>
          <w:bCs/>
          <w:color w:val="235EBD"/>
          <w:kern w:val="3"/>
          <w:u w:val="single"/>
          <w:shd w:val="clear" w:color="auto" w:fill="FFFFFF"/>
          <w:lang w:val="en-US" w:eastAsia="tr-TR" w:bidi="hi-IN"/>
        </w:rPr>
      </w:pPr>
      <w:r w:rsidRPr="009A17C0">
        <w:rPr>
          <w:lang w:val="en-US"/>
        </w:rPr>
        <w:t xml:space="preserve">Third Sector Foundation of Turkey. </w:t>
      </w:r>
      <w:proofErr w:type="spellStart"/>
      <w:r w:rsidRPr="009A17C0">
        <w:rPr>
          <w:i/>
          <w:lang w:val="en-US"/>
        </w:rPr>
        <w:t>Sivil</w:t>
      </w:r>
      <w:proofErr w:type="spellEnd"/>
      <w:r w:rsidRPr="009A17C0">
        <w:rPr>
          <w:i/>
          <w:lang w:val="en-US"/>
        </w:rPr>
        <w:t xml:space="preserve"> </w:t>
      </w:r>
      <w:proofErr w:type="spellStart"/>
      <w:r w:rsidRPr="009A17C0">
        <w:rPr>
          <w:i/>
          <w:lang w:val="en-US"/>
        </w:rPr>
        <w:t>Toplum</w:t>
      </w:r>
      <w:proofErr w:type="spellEnd"/>
      <w:r w:rsidRPr="009A17C0">
        <w:rPr>
          <w:i/>
          <w:lang w:val="en-US"/>
        </w:rPr>
        <w:t xml:space="preserve"> </w:t>
      </w:r>
      <w:proofErr w:type="spellStart"/>
      <w:r w:rsidRPr="009A17C0">
        <w:rPr>
          <w:i/>
          <w:lang w:val="en-US"/>
        </w:rPr>
        <w:t>İzleme</w:t>
      </w:r>
      <w:proofErr w:type="spellEnd"/>
      <w:r w:rsidRPr="009A17C0">
        <w:rPr>
          <w:i/>
          <w:lang w:val="en-US"/>
        </w:rPr>
        <w:t xml:space="preserve"> </w:t>
      </w:r>
      <w:proofErr w:type="spellStart"/>
      <w:r w:rsidRPr="009A17C0">
        <w:rPr>
          <w:i/>
          <w:lang w:val="en-US"/>
        </w:rPr>
        <w:t>Raporu</w:t>
      </w:r>
      <w:proofErr w:type="spellEnd"/>
      <w:r w:rsidRPr="009A17C0">
        <w:rPr>
          <w:i/>
          <w:lang w:val="en-US"/>
        </w:rPr>
        <w:t xml:space="preserve"> 2013- 2014</w:t>
      </w:r>
      <w:r w:rsidRPr="009A17C0">
        <w:rPr>
          <w:lang w:val="en-US"/>
        </w:rPr>
        <w:t xml:space="preserve"> [The Civil Society Monitoring Report 2013-2014]. 2015.</w:t>
      </w:r>
      <w:r w:rsidR="00095EC0" w:rsidRPr="009A17C0">
        <w:rPr>
          <w:lang w:val="en-US"/>
        </w:rPr>
        <w:t xml:space="preserve"> Available at</w:t>
      </w:r>
      <w:r w:rsidRPr="009A17C0">
        <w:rPr>
          <w:lang w:val="en-US"/>
        </w:rPr>
        <w:t xml:space="preserve"> </w:t>
      </w:r>
      <w:r w:rsidRPr="00F044FD">
        <w:rPr>
          <w:bCs/>
          <w:color w:val="235EBD"/>
          <w:kern w:val="3"/>
          <w:u w:val="single"/>
          <w:shd w:val="clear" w:color="auto" w:fill="FFFFFF"/>
          <w:lang w:val="en-US" w:eastAsia="tr-TR" w:bidi="hi-IN"/>
        </w:rPr>
        <w:t>http://www.tusev.org.tr/tr/arastirma-ve-yayinlar/ sivil-toplum-izleme-raporu-1/sivil-toplum-izlemeraporu-2013-2014</w:t>
      </w:r>
      <w:r w:rsidR="00095EC0" w:rsidRPr="00F044FD">
        <w:rPr>
          <w:lang w:val="en-US"/>
        </w:rPr>
        <w:t xml:space="preserve"> Accessed March 10, 2016.</w:t>
      </w:r>
    </w:p>
    <w:p w:rsidR="009B1F54" w:rsidRPr="00F044FD" w:rsidRDefault="009B1F54" w:rsidP="009B1F54">
      <w:pPr>
        <w:rPr>
          <w:lang w:val="en-US"/>
        </w:rPr>
      </w:pPr>
      <w:proofErr w:type="spellStart"/>
      <w:r w:rsidRPr="00F044FD">
        <w:rPr>
          <w:lang w:val="en-US"/>
        </w:rPr>
        <w:t>Zihnioğlu</w:t>
      </w:r>
      <w:proofErr w:type="spellEnd"/>
      <w:r w:rsidRPr="00F044FD">
        <w:rPr>
          <w:lang w:val="en-US"/>
        </w:rPr>
        <w:t xml:space="preserve">, </w:t>
      </w:r>
      <w:proofErr w:type="spellStart"/>
      <w:r w:rsidR="00112663" w:rsidRPr="00F044FD">
        <w:rPr>
          <w:lang w:val="en-US"/>
        </w:rPr>
        <w:t>Ö</w:t>
      </w:r>
      <w:r w:rsidR="00EF74FF" w:rsidRPr="00F044FD">
        <w:rPr>
          <w:lang w:val="en-US"/>
        </w:rPr>
        <w:t>zge</w:t>
      </w:r>
      <w:proofErr w:type="spellEnd"/>
      <w:r w:rsidRPr="00F044FD">
        <w:rPr>
          <w:lang w:val="en-US"/>
        </w:rPr>
        <w:t xml:space="preserve">. “The ‘Civil Society Policy’ of the European Union for Promoting Democracy in Turkey: Golden Goose or Dead Duck?” </w:t>
      </w:r>
      <w:r w:rsidRPr="00F044FD">
        <w:rPr>
          <w:i/>
          <w:lang w:val="en-US" w:eastAsia="en-US"/>
        </w:rPr>
        <w:t>Journal of Southeast European and Black Sea Studies</w:t>
      </w:r>
      <w:r w:rsidRPr="00F044FD">
        <w:rPr>
          <w:lang w:val="en-US"/>
        </w:rPr>
        <w:t xml:space="preserve"> 13, no. 3 (2013a): 381-400.</w:t>
      </w:r>
    </w:p>
    <w:p w:rsidR="009B1F54" w:rsidRPr="00F044FD" w:rsidRDefault="009B1F54" w:rsidP="009B1F54">
      <w:pPr>
        <w:rPr>
          <w:lang w:val="en-US"/>
        </w:rPr>
      </w:pPr>
      <w:proofErr w:type="spellStart"/>
      <w:r w:rsidRPr="00F044FD">
        <w:rPr>
          <w:lang w:val="en-US"/>
        </w:rPr>
        <w:lastRenderedPageBreak/>
        <w:t>Zihnioğlu</w:t>
      </w:r>
      <w:proofErr w:type="spellEnd"/>
      <w:r w:rsidRPr="00F044FD">
        <w:rPr>
          <w:lang w:val="en-US"/>
        </w:rPr>
        <w:t xml:space="preserve">, </w:t>
      </w:r>
      <w:proofErr w:type="spellStart"/>
      <w:r w:rsidR="00E05E30" w:rsidRPr="00F044FD">
        <w:rPr>
          <w:lang w:val="en-US"/>
        </w:rPr>
        <w:t>Ö</w:t>
      </w:r>
      <w:r w:rsidR="00EF74FF" w:rsidRPr="00F044FD">
        <w:rPr>
          <w:lang w:val="en-US"/>
        </w:rPr>
        <w:t>zge</w:t>
      </w:r>
      <w:proofErr w:type="spellEnd"/>
      <w:r w:rsidRPr="00F044FD">
        <w:rPr>
          <w:lang w:val="en-US"/>
        </w:rPr>
        <w:t xml:space="preserve">. </w:t>
      </w:r>
      <w:r w:rsidRPr="00F044FD">
        <w:rPr>
          <w:i/>
          <w:lang w:val="en-US"/>
        </w:rPr>
        <w:t>European Union Civil Society Policy and Turkey: A Bridge Too Far?</w:t>
      </w:r>
      <w:r w:rsidRPr="00F044FD">
        <w:rPr>
          <w:lang w:val="en-US"/>
        </w:rPr>
        <w:t xml:space="preserve"> New York: Palgrave Macmillan, 2013b.</w:t>
      </w:r>
    </w:p>
    <w:p w:rsidR="009B1F54" w:rsidRPr="00F044FD" w:rsidRDefault="009B1F54" w:rsidP="009B1F54">
      <w:pPr>
        <w:rPr>
          <w:rFonts w:eastAsia="Calibri"/>
          <w:lang w:val="en-US" w:eastAsia="en-US"/>
        </w:rPr>
      </w:pPr>
    </w:p>
    <w:p w:rsidR="009B1F54" w:rsidRPr="00F044FD" w:rsidRDefault="009B1F54" w:rsidP="009B1F54">
      <w:pPr>
        <w:rPr>
          <w:rFonts w:eastAsia="Calibri"/>
          <w:lang w:val="en-US" w:eastAsia="en-US"/>
        </w:rPr>
      </w:pPr>
      <w:r w:rsidRPr="00F044FD">
        <w:rPr>
          <w:rFonts w:eastAsia="Calibri"/>
          <w:lang w:val="en-US" w:eastAsia="en-US"/>
        </w:rPr>
        <w:t>Interviews:</w:t>
      </w:r>
    </w:p>
    <w:p w:rsidR="009B1F54" w:rsidRPr="00F044FD" w:rsidRDefault="009B1F54" w:rsidP="00623176">
      <w:pPr>
        <w:autoSpaceDE w:val="0"/>
        <w:autoSpaceDN w:val="0"/>
        <w:adjustRightInd w:val="0"/>
        <w:jc w:val="both"/>
        <w:rPr>
          <w:rFonts w:eastAsia="Calibri"/>
          <w:lang w:val="en-US" w:eastAsia="en-US"/>
        </w:rPr>
      </w:pPr>
      <w:r w:rsidRPr="00F044FD">
        <w:rPr>
          <w:rFonts w:eastAsia="Calibri"/>
          <w:lang w:val="en-US" w:eastAsia="en-US"/>
        </w:rPr>
        <w:t xml:space="preserve">Interview, Hale </w:t>
      </w:r>
      <w:proofErr w:type="spellStart"/>
      <w:r w:rsidRPr="00F044FD">
        <w:rPr>
          <w:rFonts w:eastAsia="Calibri"/>
          <w:lang w:val="en-US" w:eastAsia="en-US"/>
        </w:rPr>
        <w:t>Akay</w:t>
      </w:r>
      <w:proofErr w:type="spellEnd"/>
      <w:r w:rsidRPr="00F044FD">
        <w:rPr>
          <w:rFonts w:eastAsia="Calibri"/>
          <w:lang w:val="en-US" w:eastAsia="en-US"/>
        </w:rPr>
        <w:t xml:space="preserve">, </w:t>
      </w:r>
      <w:r w:rsidR="00B1110C" w:rsidRPr="00F044FD">
        <w:rPr>
          <w:rFonts w:eastAsia="Calibri"/>
          <w:lang w:val="en-US" w:eastAsia="en-US"/>
        </w:rPr>
        <w:t xml:space="preserve">August </w:t>
      </w:r>
      <w:r w:rsidRPr="00F044FD">
        <w:rPr>
          <w:rFonts w:eastAsia="Calibri"/>
          <w:lang w:val="en-US" w:eastAsia="en-US"/>
        </w:rPr>
        <w:t>18</w:t>
      </w:r>
      <w:r w:rsidR="00B1110C" w:rsidRPr="00F044FD">
        <w:rPr>
          <w:rFonts w:eastAsia="Calibri"/>
          <w:lang w:val="en-US" w:eastAsia="en-US"/>
        </w:rPr>
        <w:t>,</w:t>
      </w:r>
      <w:r w:rsidRPr="00F044FD">
        <w:rPr>
          <w:rFonts w:eastAsia="Calibri"/>
          <w:lang w:val="en-US" w:eastAsia="en-US"/>
        </w:rPr>
        <w:t xml:space="preserve"> 2016</w:t>
      </w:r>
    </w:p>
    <w:p w:rsidR="00BB3358" w:rsidRPr="00F044FD" w:rsidRDefault="00BB3358" w:rsidP="00623176">
      <w:pPr>
        <w:autoSpaceDE w:val="0"/>
        <w:autoSpaceDN w:val="0"/>
        <w:adjustRightInd w:val="0"/>
        <w:jc w:val="both"/>
        <w:rPr>
          <w:rFonts w:eastAsia="Calibri"/>
          <w:lang w:val="en-US" w:eastAsia="en-US"/>
        </w:rPr>
      </w:pPr>
      <w:r w:rsidRPr="00F044FD">
        <w:rPr>
          <w:rFonts w:eastAsia="Calibri"/>
          <w:lang w:val="en-US" w:eastAsia="en-US"/>
        </w:rPr>
        <w:t xml:space="preserve">Interview, </w:t>
      </w:r>
      <w:proofErr w:type="spellStart"/>
      <w:r w:rsidRPr="00F044FD">
        <w:rPr>
          <w:rFonts w:eastAsia="Calibri"/>
          <w:lang w:val="en-US" w:eastAsia="en-US"/>
        </w:rPr>
        <w:t>Sevgi</w:t>
      </w:r>
      <w:proofErr w:type="spellEnd"/>
      <w:r w:rsidRPr="00F044FD">
        <w:rPr>
          <w:rFonts w:eastAsia="Calibri"/>
          <w:lang w:val="en-US" w:eastAsia="en-US"/>
        </w:rPr>
        <w:t xml:space="preserve"> </w:t>
      </w:r>
      <w:proofErr w:type="spellStart"/>
      <w:r w:rsidRPr="00F044FD">
        <w:rPr>
          <w:rFonts w:eastAsia="Calibri"/>
          <w:lang w:val="en-US" w:eastAsia="en-US"/>
        </w:rPr>
        <w:t>Kunt</w:t>
      </w:r>
      <w:proofErr w:type="spellEnd"/>
      <w:r w:rsidR="00B00A65" w:rsidRPr="00F044FD">
        <w:rPr>
          <w:rFonts w:eastAsia="Calibri"/>
          <w:lang w:val="en-US" w:eastAsia="en-US"/>
        </w:rPr>
        <w:t xml:space="preserve"> </w:t>
      </w:r>
      <w:proofErr w:type="spellStart"/>
      <w:r w:rsidR="00B00A65" w:rsidRPr="00F044FD">
        <w:rPr>
          <w:rFonts w:eastAsia="Calibri"/>
          <w:lang w:val="en-US" w:eastAsia="en-US"/>
        </w:rPr>
        <w:t>Açan</w:t>
      </w:r>
      <w:proofErr w:type="spellEnd"/>
      <w:r w:rsidR="00B1110C" w:rsidRPr="00F044FD">
        <w:rPr>
          <w:rFonts w:eastAsia="Calibri"/>
          <w:lang w:val="en-US" w:eastAsia="en-US"/>
        </w:rPr>
        <w:t>, January, 5, 2017</w:t>
      </w:r>
    </w:p>
    <w:p w:rsidR="008A4110" w:rsidRPr="00F044FD" w:rsidRDefault="008A4110" w:rsidP="008A4110">
      <w:pPr>
        <w:pStyle w:val="Acknowledgements"/>
        <w:rPr>
          <w:lang w:val="en-US"/>
        </w:rPr>
      </w:pPr>
    </w:p>
    <w:p w:rsidR="008A4110" w:rsidRPr="00F044FD" w:rsidRDefault="008A4110" w:rsidP="00623176">
      <w:pPr>
        <w:autoSpaceDE w:val="0"/>
        <w:autoSpaceDN w:val="0"/>
        <w:adjustRightInd w:val="0"/>
        <w:jc w:val="both"/>
        <w:rPr>
          <w:rFonts w:eastAsia="Calibri"/>
          <w:lang w:val="en-US" w:eastAsia="en-US"/>
        </w:rPr>
      </w:pPr>
    </w:p>
    <w:tbl>
      <w:tblPr>
        <w:tblStyle w:val="TableGrid"/>
        <w:tblpPr w:leftFromText="141" w:rightFromText="141" w:horzAnchor="margin" w:tblpX="134" w:tblpY="-1423"/>
        <w:tblW w:w="13920" w:type="dxa"/>
        <w:tblLayout w:type="fixed"/>
        <w:tblLook w:val="04A0" w:firstRow="1" w:lastRow="0" w:firstColumn="1" w:lastColumn="0" w:noHBand="0" w:noVBand="1"/>
      </w:tblPr>
      <w:tblGrid>
        <w:gridCol w:w="993"/>
        <w:gridCol w:w="1134"/>
        <w:gridCol w:w="1275"/>
        <w:gridCol w:w="2410"/>
        <w:gridCol w:w="1276"/>
        <w:gridCol w:w="1276"/>
        <w:gridCol w:w="5556"/>
      </w:tblGrid>
      <w:tr w:rsidR="009B1F54" w:rsidRPr="00F044FD" w:rsidTr="00332AF9">
        <w:trPr>
          <w:trHeight w:val="196"/>
        </w:trPr>
        <w:tc>
          <w:tcPr>
            <w:tcW w:w="13920" w:type="dxa"/>
            <w:gridSpan w:val="7"/>
            <w:tcBorders>
              <w:top w:val="nil"/>
              <w:left w:val="nil"/>
              <w:bottom w:val="nil"/>
              <w:right w:val="nil"/>
            </w:tcBorders>
          </w:tcPr>
          <w:p w:rsidR="009B1F54" w:rsidRPr="00F044FD" w:rsidRDefault="009B1F54" w:rsidP="00332AF9">
            <w:pPr>
              <w:pStyle w:val="Heading1"/>
              <w:tabs>
                <w:tab w:val="left" w:pos="8232"/>
              </w:tabs>
              <w:ind w:left="-250" w:firstLine="142"/>
              <w:outlineLvl w:val="0"/>
              <w:rPr>
                <w:rFonts w:ascii="Times New Roman" w:hAnsi="Times New Roman" w:cs="Times New Roman"/>
                <w:lang w:val="en-US"/>
              </w:rPr>
            </w:pPr>
            <w:r w:rsidRPr="00F044FD">
              <w:rPr>
                <w:rFonts w:cs="Times New Roman"/>
                <w:lang w:val="en-US"/>
              </w:rPr>
              <w:lastRenderedPageBreak/>
              <w:t>Annex 1: List of Interviewed CSOs</w:t>
            </w:r>
          </w:p>
          <w:p w:rsidR="009B1F54" w:rsidRPr="00F044FD" w:rsidRDefault="009B1F54" w:rsidP="00332AF9">
            <w:pPr>
              <w:pStyle w:val="Heading1"/>
              <w:ind w:left="-108"/>
              <w:outlineLvl w:val="0"/>
              <w:rPr>
                <w:rFonts w:ascii="Times New Roman" w:hAnsi="Times New Roman" w:cs="Times New Roman"/>
                <w:lang w:val="en-US"/>
              </w:rPr>
            </w:pPr>
          </w:p>
        </w:tc>
      </w:tr>
      <w:tr w:rsidR="00DB1DBB" w:rsidRPr="00F044FD" w:rsidTr="00332AF9">
        <w:trPr>
          <w:gridAfter w:val="1"/>
          <w:wAfter w:w="5556" w:type="dxa"/>
          <w:trHeight w:val="196"/>
        </w:trPr>
        <w:tc>
          <w:tcPr>
            <w:tcW w:w="993" w:type="dxa"/>
            <w:tcBorders>
              <w:top w:val="single" w:sz="4" w:space="0" w:color="auto"/>
              <w:left w:val="single" w:sz="4" w:space="0" w:color="auto"/>
              <w:bottom w:val="single" w:sz="4" w:space="0" w:color="auto"/>
              <w:right w:val="single" w:sz="4" w:space="0" w:color="auto"/>
            </w:tcBorders>
          </w:tcPr>
          <w:p w:rsidR="00DB1DBB" w:rsidRPr="00F044FD" w:rsidRDefault="00DB1DBB" w:rsidP="00332AF9">
            <w:pPr>
              <w:ind w:left="-108"/>
              <w:jc w:val="center"/>
              <w:rPr>
                <w:rFonts w:ascii="Times New Roman" w:hAnsi="Times New Roman"/>
                <w:b/>
                <w:lang w:val="en-US"/>
              </w:rPr>
            </w:pPr>
          </w:p>
        </w:tc>
        <w:tc>
          <w:tcPr>
            <w:tcW w:w="1134" w:type="dxa"/>
            <w:tcBorders>
              <w:top w:val="single" w:sz="4" w:space="0" w:color="auto"/>
              <w:left w:val="single" w:sz="4" w:space="0" w:color="auto"/>
              <w:bottom w:val="single" w:sz="4" w:space="0" w:color="auto"/>
              <w:right w:val="single" w:sz="4" w:space="0" w:color="auto"/>
            </w:tcBorders>
          </w:tcPr>
          <w:p w:rsidR="00DB1DBB" w:rsidRPr="00F044FD" w:rsidRDefault="00DB1DBB" w:rsidP="00332AF9">
            <w:pPr>
              <w:ind w:left="-108"/>
              <w:jc w:val="center"/>
              <w:rPr>
                <w:rFonts w:ascii="Times New Roman" w:hAnsi="Times New Roman"/>
                <w:b/>
                <w:lang w:val="en-US"/>
              </w:rPr>
            </w:pPr>
            <w:r w:rsidRPr="00F044FD">
              <w:rPr>
                <w:b/>
                <w:lang w:val="en-US"/>
              </w:rPr>
              <w:t>Location</w:t>
            </w:r>
          </w:p>
          <w:p w:rsidR="00DB1DBB" w:rsidRPr="00F044FD" w:rsidRDefault="00DB1DBB" w:rsidP="00332AF9">
            <w:pPr>
              <w:ind w:left="-108"/>
              <w:jc w:val="center"/>
              <w:rPr>
                <w:rFonts w:ascii="Times New Roman" w:hAnsi="Times New Roman"/>
                <w:b/>
                <w:lang w:val="en-US"/>
              </w:rPr>
            </w:pPr>
          </w:p>
        </w:tc>
        <w:tc>
          <w:tcPr>
            <w:tcW w:w="1275" w:type="dxa"/>
            <w:tcBorders>
              <w:top w:val="single" w:sz="4" w:space="0" w:color="auto"/>
              <w:left w:val="single" w:sz="4" w:space="0" w:color="auto"/>
              <w:bottom w:val="single" w:sz="4" w:space="0" w:color="auto"/>
              <w:right w:val="single" w:sz="4" w:space="0" w:color="auto"/>
            </w:tcBorders>
          </w:tcPr>
          <w:p w:rsidR="00DB1DBB" w:rsidRPr="00F044FD" w:rsidRDefault="00DB1DBB" w:rsidP="00332AF9">
            <w:pPr>
              <w:ind w:left="-108"/>
              <w:jc w:val="center"/>
              <w:rPr>
                <w:rFonts w:ascii="Times New Roman" w:hAnsi="Times New Roman"/>
                <w:b/>
                <w:lang w:val="en-US"/>
              </w:rPr>
            </w:pPr>
            <w:r w:rsidRPr="00F044FD">
              <w:rPr>
                <w:b/>
                <w:lang w:val="en-US"/>
              </w:rPr>
              <w:t>Founding Year</w:t>
            </w:r>
          </w:p>
        </w:tc>
        <w:tc>
          <w:tcPr>
            <w:tcW w:w="2410" w:type="dxa"/>
            <w:tcBorders>
              <w:top w:val="single" w:sz="4" w:space="0" w:color="auto"/>
              <w:left w:val="single" w:sz="4" w:space="0" w:color="auto"/>
              <w:bottom w:val="single" w:sz="4" w:space="0" w:color="auto"/>
              <w:right w:val="single" w:sz="4" w:space="0" w:color="auto"/>
            </w:tcBorders>
          </w:tcPr>
          <w:p w:rsidR="00DB1DBB" w:rsidRPr="00F044FD" w:rsidRDefault="00DB1DBB" w:rsidP="00332AF9">
            <w:pPr>
              <w:ind w:left="-108"/>
              <w:jc w:val="center"/>
              <w:rPr>
                <w:rFonts w:ascii="Times New Roman" w:hAnsi="Times New Roman"/>
                <w:b/>
                <w:lang w:val="en-US"/>
              </w:rPr>
            </w:pPr>
            <w:r w:rsidRPr="00F044FD">
              <w:rPr>
                <w:b/>
                <w:lang w:val="en-US"/>
              </w:rPr>
              <w:t>Working Are</w:t>
            </w:r>
          </w:p>
        </w:tc>
        <w:tc>
          <w:tcPr>
            <w:tcW w:w="1276" w:type="dxa"/>
            <w:tcBorders>
              <w:top w:val="single" w:sz="4" w:space="0" w:color="auto"/>
              <w:left w:val="single" w:sz="4" w:space="0" w:color="auto"/>
              <w:bottom w:val="single" w:sz="4" w:space="0" w:color="auto"/>
              <w:right w:val="single" w:sz="4" w:space="0" w:color="auto"/>
            </w:tcBorders>
          </w:tcPr>
          <w:p w:rsidR="00DB1DBB" w:rsidRPr="00F044FD" w:rsidRDefault="00DB1DBB" w:rsidP="00332AF9">
            <w:pPr>
              <w:ind w:left="-108"/>
              <w:jc w:val="center"/>
              <w:rPr>
                <w:rFonts w:ascii="Times New Roman" w:hAnsi="Times New Roman"/>
                <w:b/>
                <w:lang w:val="en-US"/>
              </w:rPr>
            </w:pPr>
            <w:r w:rsidRPr="00F044FD">
              <w:rPr>
                <w:b/>
                <w:lang w:val="en-US"/>
              </w:rPr>
              <w:t>EU-Funded Project</w:t>
            </w:r>
          </w:p>
        </w:tc>
        <w:tc>
          <w:tcPr>
            <w:tcW w:w="1276" w:type="dxa"/>
            <w:tcBorders>
              <w:top w:val="single" w:sz="4" w:space="0" w:color="auto"/>
              <w:left w:val="single" w:sz="4" w:space="0" w:color="auto"/>
              <w:bottom w:val="single" w:sz="4" w:space="0" w:color="auto"/>
              <w:right w:val="single" w:sz="4" w:space="0" w:color="auto"/>
            </w:tcBorders>
          </w:tcPr>
          <w:p w:rsidR="00DB1DBB" w:rsidRPr="00F044FD" w:rsidRDefault="00DB1DBB" w:rsidP="00332AF9">
            <w:pPr>
              <w:ind w:left="-108"/>
              <w:jc w:val="center"/>
              <w:rPr>
                <w:rFonts w:ascii="Times New Roman" w:hAnsi="Times New Roman"/>
                <w:b/>
                <w:lang w:val="en-US"/>
              </w:rPr>
            </w:pPr>
            <w:r w:rsidRPr="00F044FD">
              <w:rPr>
                <w:b/>
                <w:lang w:val="en-US"/>
              </w:rPr>
              <w:t>Scope of Work</w:t>
            </w:r>
          </w:p>
        </w:tc>
      </w:tr>
      <w:tr w:rsidR="00DB1DBB" w:rsidRPr="00F044FD" w:rsidTr="00332AF9">
        <w:trPr>
          <w:gridAfter w:val="1"/>
          <w:wAfter w:w="5556" w:type="dxa"/>
          <w:trHeight w:val="519"/>
        </w:trPr>
        <w:tc>
          <w:tcPr>
            <w:tcW w:w="993" w:type="dxa"/>
            <w:tcBorders>
              <w:top w:val="single" w:sz="4" w:space="0" w:color="auto"/>
            </w:tcBorders>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CSO1</w:t>
            </w:r>
          </w:p>
        </w:tc>
        <w:tc>
          <w:tcPr>
            <w:tcW w:w="1134" w:type="dxa"/>
            <w:tcBorders>
              <w:top w:val="single" w:sz="4" w:space="0" w:color="auto"/>
            </w:tcBorders>
          </w:tcPr>
          <w:p w:rsidR="00DB1DBB" w:rsidRPr="00F044FD" w:rsidRDefault="00DB1DBB" w:rsidP="00332AF9">
            <w:pPr>
              <w:ind w:left="-108"/>
              <w:jc w:val="center"/>
              <w:rPr>
                <w:rFonts w:ascii="Times New Roman" w:hAnsi="Times New Roman"/>
                <w:lang w:val="en-US"/>
              </w:rPr>
            </w:pPr>
            <w:r w:rsidRPr="00F044FD">
              <w:rPr>
                <w:lang w:val="en-US"/>
              </w:rPr>
              <w:t>İzmir</w:t>
            </w:r>
          </w:p>
        </w:tc>
        <w:tc>
          <w:tcPr>
            <w:tcW w:w="1275" w:type="dxa"/>
            <w:tcBorders>
              <w:top w:val="single" w:sz="4" w:space="0" w:color="auto"/>
            </w:tcBorders>
          </w:tcPr>
          <w:p w:rsidR="00DB1DBB" w:rsidRPr="00F044FD" w:rsidRDefault="00DB1DBB" w:rsidP="00332AF9">
            <w:pPr>
              <w:ind w:left="-108"/>
              <w:jc w:val="center"/>
              <w:rPr>
                <w:rFonts w:ascii="Times New Roman" w:hAnsi="Times New Roman"/>
                <w:lang w:val="en-US"/>
              </w:rPr>
            </w:pPr>
            <w:r w:rsidRPr="00F044FD">
              <w:rPr>
                <w:lang w:val="en-US"/>
              </w:rPr>
              <w:t>1999</w:t>
            </w:r>
          </w:p>
        </w:tc>
        <w:tc>
          <w:tcPr>
            <w:tcW w:w="2410" w:type="dxa"/>
            <w:tcBorders>
              <w:top w:val="single" w:sz="4" w:space="0" w:color="auto"/>
            </w:tcBorders>
          </w:tcPr>
          <w:p w:rsidR="00DB1DBB" w:rsidRPr="00F044FD" w:rsidRDefault="00DB1DBB" w:rsidP="00332AF9">
            <w:pPr>
              <w:ind w:left="-108"/>
              <w:jc w:val="center"/>
              <w:rPr>
                <w:rFonts w:ascii="Times New Roman" w:hAnsi="Times New Roman"/>
                <w:lang w:val="en-US"/>
              </w:rPr>
            </w:pPr>
            <w:r w:rsidRPr="00F044FD">
              <w:rPr>
                <w:lang w:val="en-US"/>
              </w:rPr>
              <w:t>disabled groups</w:t>
            </w:r>
          </w:p>
        </w:tc>
        <w:tc>
          <w:tcPr>
            <w:tcW w:w="1276" w:type="dxa"/>
            <w:tcBorders>
              <w:top w:val="single" w:sz="4" w:space="0" w:color="auto"/>
            </w:tcBorders>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Borders>
              <w:top w:val="single" w:sz="4" w:space="0" w:color="auto"/>
            </w:tcBorders>
          </w:tcPr>
          <w:p w:rsidR="00DB1DBB" w:rsidRPr="00F044FD" w:rsidRDefault="00DB1DBB" w:rsidP="00332AF9">
            <w:pPr>
              <w:ind w:left="-108"/>
              <w:jc w:val="center"/>
              <w:rPr>
                <w:rFonts w:ascii="Times New Roman" w:hAnsi="Times New Roman"/>
                <w:lang w:val="en-US"/>
              </w:rPr>
            </w:pPr>
            <w:r w:rsidRPr="00F044FD">
              <w:rPr>
                <w:lang w:val="en-US"/>
              </w:rPr>
              <w:t>Local</w:t>
            </w:r>
          </w:p>
        </w:tc>
      </w:tr>
      <w:tr w:rsidR="00DB1DBB" w:rsidRPr="00F044FD" w:rsidTr="00332AF9">
        <w:trPr>
          <w:gridAfter w:val="1"/>
          <w:wAfter w:w="5556" w:type="dxa"/>
          <w:trHeight w:val="388"/>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CSO2</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İzmir</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2010</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women’s rights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Local</w:t>
            </w:r>
          </w:p>
        </w:tc>
      </w:tr>
      <w:tr w:rsidR="00DB1DBB" w:rsidRPr="00F044FD" w:rsidTr="00332AF9">
        <w:trPr>
          <w:gridAfter w:val="1"/>
          <w:wAfter w:w="5556" w:type="dxa"/>
          <w:trHeight w:val="187"/>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CSO3</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İstanbul</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2006</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culture</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Local</w:t>
            </w:r>
          </w:p>
        </w:tc>
      </w:tr>
      <w:tr w:rsidR="00DB1DBB" w:rsidRPr="00F044FD" w:rsidTr="00332AF9">
        <w:trPr>
          <w:gridAfter w:val="1"/>
          <w:wAfter w:w="5556" w:type="dxa"/>
          <w:trHeight w:val="221"/>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CSO4</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İzmir</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2009</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LGBT</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Local</w:t>
            </w:r>
          </w:p>
        </w:tc>
      </w:tr>
      <w:tr w:rsidR="00DB1DBB" w:rsidRPr="00F044FD" w:rsidTr="00332AF9">
        <w:trPr>
          <w:gridAfter w:val="1"/>
          <w:wAfter w:w="5556" w:type="dxa"/>
          <w:trHeight w:val="233"/>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CSO5</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İstanbul</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1994</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culture/environment</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Local</w:t>
            </w:r>
          </w:p>
        </w:tc>
      </w:tr>
      <w:tr w:rsidR="00DB1DBB" w:rsidRPr="00F044FD" w:rsidTr="00332AF9">
        <w:trPr>
          <w:gridAfter w:val="1"/>
          <w:wAfter w:w="5556" w:type="dxa"/>
          <w:trHeight w:val="152"/>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CSO6</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İstanbul</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2009</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youth</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Local</w:t>
            </w:r>
          </w:p>
        </w:tc>
      </w:tr>
      <w:tr w:rsidR="00DB1DBB" w:rsidRPr="00F044FD" w:rsidTr="00332AF9">
        <w:trPr>
          <w:gridAfter w:val="1"/>
          <w:wAfter w:w="5556" w:type="dxa"/>
          <w:trHeight w:val="156"/>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CSO7</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Ankara</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2004</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youth</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Local</w:t>
            </w:r>
          </w:p>
        </w:tc>
      </w:tr>
      <w:tr w:rsidR="00DB1DBB" w:rsidRPr="00F044FD" w:rsidTr="00332AF9">
        <w:trPr>
          <w:gridAfter w:val="1"/>
          <w:wAfter w:w="5556" w:type="dxa"/>
          <w:trHeight w:val="156"/>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CSO8</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İzmir</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1988</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youth</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National</w:t>
            </w:r>
          </w:p>
        </w:tc>
      </w:tr>
      <w:tr w:rsidR="00DB1DBB" w:rsidRPr="00F044FD" w:rsidTr="00332AF9">
        <w:trPr>
          <w:gridAfter w:val="1"/>
          <w:wAfter w:w="5556" w:type="dxa"/>
          <w:trHeight w:val="76"/>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CSO9</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İstanbul</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1986</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human rights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No</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Local</w:t>
            </w:r>
          </w:p>
        </w:tc>
      </w:tr>
      <w:tr w:rsidR="00DB1DBB" w:rsidRPr="00F044FD" w:rsidTr="00332AF9">
        <w:trPr>
          <w:gridAfter w:val="1"/>
          <w:wAfter w:w="5556" w:type="dxa"/>
          <w:trHeight w:val="373"/>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CSO10</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İstanbul</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2002</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women’s rights</w:t>
            </w:r>
          </w:p>
        </w:tc>
        <w:tc>
          <w:tcPr>
            <w:tcW w:w="1276" w:type="dxa"/>
          </w:tcPr>
          <w:p w:rsidR="00DB1DBB" w:rsidRPr="00F044FD" w:rsidRDefault="006E64E8"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National</w:t>
            </w:r>
          </w:p>
        </w:tc>
      </w:tr>
      <w:tr w:rsidR="00DB1DBB" w:rsidRPr="00F044FD" w:rsidTr="00332AF9">
        <w:trPr>
          <w:gridAfter w:val="1"/>
          <w:wAfter w:w="5556" w:type="dxa"/>
          <w:trHeight w:val="252"/>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CSO11</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Samsun</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2010</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disadvantaged groups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Local</w:t>
            </w:r>
          </w:p>
        </w:tc>
      </w:tr>
      <w:tr w:rsidR="00DB1DBB" w:rsidRPr="00F044FD" w:rsidTr="00332AF9">
        <w:trPr>
          <w:gridAfter w:val="1"/>
          <w:wAfter w:w="5556" w:type="dxa"/>
          <w:trHeight w:val="243"/>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CSO12</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Samsun</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2007</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education</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Local</w:t>
            </w:r>
          </w:p>
        </w:tc>
      </w:tr>
      <w:tr w:rsidR="00DB1DBB" w:rsidRPr="00F044FD" w:rsidTr="00332AF9">
        <w:trPr>
          <w:gridAfter w:val="1"/>
          <w:wAfter w:w="5556" w:type="dxa"/>
          <w:trHeight w:val="235"/>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CSO13</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Samsun</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1989</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professional/sectorial</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Local</w:t>
            </w:r>
          </w:p>
        </w:tc>
      </w:tr>
      <w:tr w:rsidR="00DB1DBB" w:rsidRPr="00F044FD" w:rsidTr="00332AF9">
        <w:trPr>
          <w:gridAfter w:val="1"/>
          <w:wAfter w:w="5556" w:type="dxa"/>
          <w:trHeight w:val="76"/>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CSO14</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Samsun</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2005</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education/solidarity</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Local</w:t>
            </w:r>
          </w:p>
        </w:tc>
      </w:tr>
      <w:tr w:rsidR="00DB1DBB" w:rsidRPr="00F044FD" w:rsidTr="00332AF9">
        <w:trPr>
          <w:gridAfter w:val="1"/>
          <w:wAfter w:w="5556" w:type="dxa"/>
          <w:trHeight w:val="76"/>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CSO15</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Samsun</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1987</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disabled groups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Local</w:t>
            </w:r>
          </w:p>
        </w:tc>
      </w:tr>
      <w:tr w:rsidR="00DB1DBB" w:rsidRPr="00F044FD" w:rsidTr="00332AF9">
        <w:trPr>
          <w:gridAfter w:val="1"/>
          <w:wAfter w:w="5556" w:type="dxa"/>
          <w:trHeight w:val="76"/>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CSO16</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İstanbul</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2002</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professional/sectorial</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National</w:t>
            </w:r>
          </w:p>
        </w:tc>
      </w:tr>
      <w:tr w:rsidR="00DB1DBB" w:rsidRPr="00F044FD" w:rsidTr="00332AF9">
        <w:trPr>
          <w:gridAfter w:val="1"/>
          <w:wAfter w:w="5556" w:type="dxa"/>
          <w:trHeight w:val="342"/>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CSO17</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İstanbul</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1997</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consumer rights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Local</w:t>
            </w:r>
          </w:p>
        </w:tc>
      </w:tr>
      <w:tr w:rsidR="00DB1DBB" w:rsidRPr="00F044FD" w:rsidTr="00332AF9">
        <w:trPr>
          <w:gridAfter w:val="1"/>
          <w:wAfter w:w="5556" w:type="dxa"/>
          <w:trHeight w:val="260"/>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CSO18</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İstanbul</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1960</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disabled groups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National</w:t>
            </w:r>
          </w:p>
        </w:tc>
      </w:tr>
      <w:tr w:rsidR="00DB1DBB" w:rsidRPr="00F044FD" w:rsidTr="00332AF9">
        <w:trPr>
          <w:gridAfter w:val="1"/>
          <w:wAfter w:w="5556" w:type="dxa"/>
          <w:trHeight w:val="232"/>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CSO19</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İstanbul</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1990</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consumer rights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National</w:t>
            </w:r>
          </w:p>
        </w:tc>
      </w:tr>
      <w:tr w:rsidR="00DB1DBB" w:rsidRPr="00F044FD" w:rsidTr="00332AF9">
        <w:trPr>
          <w:gridAfter w:val="1"/>
          <w:wAfter w:w="5556" w:type="dxa"/>
          <w:trHeight w:val="848"/>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lastRenderedPageBreak/>
              <w:t>CSO20</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İstanbul</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1992</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professional/sectorial</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National</w:t>
            </w:r>
          </w:p>
        </w:tc>
      </w:tr>
      <w:tr w:rsidR="00DB1DBB" w:rsidRPr="00F044FD" w:rsidTr="00332AF9">
        <w:trPr>
          <w:gridAfter w:val="1"/>
          <w:wAfter w:w="5556" w:type="dxa"/>
          <w:trHeight w:val="40"/>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CSO21</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İstanbul</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1999</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professional/sectorial</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Local</w:t>
            </w:r>
          </w:p>
        </w:tc>
      </w:tr>
      <w:tr w:rsidR="00DB1DBB" w:rsidRPr="00F044FD" w:rsidTr="00332AF9">
        <w:trPr>
          <w:gridAfter w:val="1"/>
          <w:wAfter w:w="5556" w:type="dxa"/>
          <w:trHeight w:val="223"/>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CSO22</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Kayseri</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1991</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disabled groups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National</w:t>
            </w:r>
          </w:p>
        </w:tc>
      </w:tr>
      <w:tr w:rsidR="00DB1DBB" w:rsidRPr="00F044FD" w:rsidTr="00332AF9">
        <w:trPr>
          <w:gridAfter w:val="1"/>
          <w:wAfter w:w="5556" w:type="dxa"/>
          <w:trHeight w:val="40"/>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CSO23</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Kayseri</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2005</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education</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Local</w:t>
            </w:r>
          </w:p>
        </w:tc>
      </w:tr>
      <w:tr w:rsidR="00DB1DBB" w:rsidRPr="00F044FD" w:rsidTr="00332AF9">
        <w:trPr>
          <w:gridAfter w:val="1"/>
          <w:wAfter w:w="5556" w:type="dxa"/>
          <w:trHeight w:val="40"/>
        </w:trPr>
        <w:tc>
          <w:tcPr>
            <w:tcW w:w="993" w:type="dxa"/>
          </w:tcPr>
          <w:p w:rsidR="00DB1DBB" w:rsidRPr="00F044FD" w:rsidRDefault="00DB1DBB" w:rsidP="00332AF9">
            <w:pPr>
              <w:ind w:left="-108"/>
              <w:jc w:val="center"/>
              <w:rPr>
                <w:rFonts w:ascii="Times New Roman" w:hAnsi="Times New Roman"/>
                <w:lang w:val="en-US"/>
              </w:rPr>
            </w:pPr>
            <w:r w:rsidRPr="00F044FD">
              <w:rPr>
                <w:rFonts w:ascii="Times New Roman" w:hAnsi="Times New Roman"/>
                <w:lang w:val="en-US"/>
              </w:rPr>
              <w:t>CSO2</w:t>
            </w:r>
            <w:r w:rsidR="009E09EE" w:rsidRPr="00F044FD">
              <w:rPr>
                <w:lang w:val="en-US"/>
              </w:rPr>
              <w:t>4</w:t>
            </w:r>
          </w:p>
        </w:tc>
        <w:tc>
          <w:tcPr>
            <w:tcW w:w="1134" w:type="dxa"/>
          </w:tcPr>
          <w:p w:rsidR="00DB1DBB" w:rsidRPr="00F044FD" w:rsidRDefault="00DB1DBB" w:rsidP="00332AF9">
            <w:pPr>
              <w:ind w:left="-108"/>
              <w:jc w:val="center"/>
              <w:rPr>
                <w:rFonts w:ascii="Times New Roman" w:hAnsi="Times New Roman"/>
                <w:lang w:val="en-US"/>
              </w:rPr>
            </w:pPr>
            <w:r w:rsidRPr="00F044FD">
              <w:rPr>
                <w:lang w:val="en-US"/>
              </w:rPr>
              <w:t>Kayseri</w:t>
            </w:r>
          </w:p>
        </w:tc>
        <w:tc>
          <w:tcPr>
            <w:tcW w:w="1275" w:type="dxa"/>
          </w:tcPr>
          <w:p w:rsidR="00DB1DBB" w:rsidRPr="00F044FD" w:rsidRDefault="00DB1DBB" w:rsidP="00332AF9">
            <w:pPr>
              <w:ind w:left="-108"/>
              <w:jc w:val="center"/>
              <w:rPr>
                <w:rFonts w:ascii="Times New Roman" w:hAnsi="Times New Roman"/>
                <w:lang w:val="en-US"/>
              </w:rPr>
            </w:pPr>
            <w:r w:rsidRPr="00F044FD">
              <w:rPr>
                <w:lang w:val="en-US"/>
              </w:rPr>
              <w:t>2005</w:t>
            </w:r>
          </w:p>
        </w:tc>
        <w:tc>
          <w:tcPr>
            <w:tcW w:w="2410" w:type="dxa"/>
          </w:tcPr>
          <w:p w:rsidR="00DB1DBB" w:rsidRPr="00F044FD" w:rsidRDefault="00DB1DBB" w:rsidP="00332AF9">
            <w:pPr>
              <w:ind w:left="-108"/>
              <w:jc w:val="center"/>
              <w:rPr>
                <w:rFonts w:ascii="Times New Roman" w:hAnsi="Times New Roman"/>
                <w:lang w:val="en-US"/>
              </w:rPr>
            </w:pPr>
            <w:r w:rsidRPr="00F044FD">
              <w:rPr>
                <w:lang w:val="en-US"/>
              </w:rPr>
              <w:t>culture</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Yes</w:t>
            </w:r>
          </w:p>
        </w:tc>
        <w:tc>
          <w:tcPr>
            <w:tcW w:w="1276" w:type="dxa"/>
          </w:tcPr>
          <w:p w:rsidR="00DB1DBB" w:rsidRPr="00F044FD" w:rsidRDefault="00DB1DBB" w:rsidP="00332AF9">
            <w:pPr>
              <w:ind w:left="-108"/>
              <w:jc w:val="center"/>
              <w:rPr>
                <w:rFonts w:ascii="Times New Roman" w:hAnsi="Times New Roman"/>
                <w:lang w:val="en-US"/>
              </w:rPr>
            </w:pPr>
            <w:r w:rsidRPr="00F044FD">
              <w:rPr>
                <w:lang w:val="en-US"/>
              </w:rPr>
              <w:t>Local</w:t>
            </w:r>
          </w:p>
        </w:tc>
      </w:tr>
      <w:tr w:rsidR="009E09EE" w:rsidRPr="00F044FD" w:rsidTr="00332AF9">
        <w:trPr>
          <w:gridAfter w:val="1"/>
          <w:wAfter w:w="5556" w:type="dxa"/>
          <w:trHeight w:val="40"/>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CSO25</w:t>
            </w:r>
          </w:p>
        </w:tc>
        <w:tc>
          <w:tcPr>
            <w:tcW w:w="1134" w:type="dxa"/>
          </w:tcPr>
          <w:p w:rsidR="009E09EE" w:rsidRPr="00F044FD" w:rsidRDefault="009E09EE" w:rsidP="00332AF9">
            <w:pPr>
              <w:ind w:left="-108"/>
              <w:jc w:val="center"/>
              <w:rPr>
                <w:rFonts w:ascii="Times New Roman" w:hAnsi="Times New Roman"/>
                <w:lang w:val="en-US"/>
              </w:rPr>
            </w:pPr>
            <w:r w:rsidRPr="00F044FD">
              <w:rPr>
                <w:lang w:val="en-US"/>
              </w:rPr>
              <w:t>Kayseri</w:t>
            </w:r>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1964</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minority rights/solidarity</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Yes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w:t>
            </w:r>
          </w:p>
        </w:tc>
      </w:tr>
      <w:tr w:rsidR="009E09EE" w:rsidRPr="00F044FD" w:rsidTr="00332AF9">
        <w:trPr>
          <w:gridAfter w:val="1"/>
          <w:wAfter w:w="5556" w:type="dxa"/>
          <w:trHeight w:val="218"/>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CSO26</w:t>
            </w:r>
          </w:p>
        </w:tc>
        <w:tc>
          <w:tcPr>
            <w:tcW w:w="1134" w:type="dxa"/>
          </w:tcPr>
          <w:p w:rsidR="009E09EE" w:rsidRPr="00F044FD" w:rsidRDefault="009E09EE" w:rsidP="00332AF9">
            <w:pPr>
              <w:ind w:left="-108"/>
              <w:jc w:val="center"/>
              <w:rPr>
                <w:rFonts w:ascii="Times New Roman" w:hAnsi="Times New Roman"/>
                <w:lang w:val="en-US"/>
              </w:rPr>
            </w:pPr>
            <w:r w:rsidRPr="00F044FD">
              <w:rPr>
                <w:lang w:val="en-US"/>
              </w:rPr>
              <w:t>İstanbul</w:t>
            </w:r>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1992</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professional/sectorial</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No</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w:t>
            </w:r>
          </w:p>
        </w:tc>
      </w:tr>
      <w:tr w:rsidR="009E09EE" w:rsidRPr="00F044FD" w:rsidTr="00332AF9">
        <w:trPr>
          <w:gridAfter w:val="1"/>
          <w:wAfter w:w="5556" w:type="dxa"/>
          <w:trHeight w:val="40"/>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CSO27</w:t>
            </w:r>
          </w:p>
        </w:tc>
        <w:tc>
          <w:tcPr>
            <w:tcW w:w="1134" w:type="dxa"/>
          </w:tcPr>
          <w:p w:rsidR="009E09EE" w:rsidRPr="00F044FD" w:rsidRDefault="009E09EE" w:rsidP="00332AF9">
            <w:pPr>
              <w:ind w:left="-108"/>
              <w:jc w:val="center"/>
              <w:rPr>
                <w:rFonts w:ascii="Times New Roman" w:hAnsi="Times New Roman"/>
                <w:lang w:val="en-US"/>
              </w:rPr>
            </w:pPr>
            <w:proofErr w:type="spellStart"/>
            <w:r w:rsidRPr="00F044FD">
              <w:rPr>
                <w:lang w:val="en-US"/>
              </w:rPr>
              <w:t>Iğdır</w:t>
            </w:r>
            <w:proofErr w:type="spellEnd"/>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2007</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culture</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No</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w:t>
            </w:r>
          </w:p>
        </w:tc>
      </w:tr>
      <w:tr w:rsidR="009E09EE" w:rsidRPr="00F044FD" w:rsidTr="00332AF9">
        <w:trPr>
          <w:gridAfter w:val="1"/>
          <w:wAfter w:w="5556" w:type="dxa"/>
          <w:trHeight w:val="40"/>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CSO28</w:t>
            </w:r>
          </w:p>
        </w:tc>
        <w:tc>
          <w:tcPr>
            <w:tcW w:w="1134" w:type="dxa"/>
          </w:tcPr>
          <w:p w:rsidR="009E09EE" w:rsidRPr="00F044FD" w:rsidRDefault="009E09EE" w:rsidP="00332AF9">
            <w:pPr>
              <w:ind w:left="-108"/>
              <w:jc w:val="center"/>
              <w:rPr>
                <w:rFonts w:ascii="Times New Roman" w:hAnsi="Times New Roman"/>
                <w:lang w:val="en-US"/>
              </w:rPr>
            </w:pPr>
            <w:proofErr w:type="spellStart"/>
            <w:r w:rsidRPr="00F044FD">
              <w:rPr>
                <w:lang w:val="en-US"/>
              </w:rPr>
              <w:t>Iğdır</w:t>
            </w:r>
            <w:proofErr w:type="spellEnd"/>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1924</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women’s rights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No</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 (branch)</w:t>
            </w:r>
          </w:p>
        </w:tc>
      </w:tr>
      <w:tr w:rsidR="009E09EE" w:rsidRPr="00F044FD" w:rsidTr="00332AF9">
        <w:trPr>
          <w:gridAfter w:val="1"/>
          <w:wAfter w:w="5556" w:type="dxa"/>
          <w:trHeight w:val="40"/>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CSO29</w:t>
            </w:r>
          </w:p>
        </w:tc>
        <w:tc>
          <w:tcPr>
            <w:tcW w:w="1134" w:type="dxa"/>
          </w:tcPr>
          <w:p w:rsidR="009E09EE" w:rsidRPr="00F044FD" w:rsidRDefault="009E09EE" w:rsidP="00332AF9">
            <w:pPr>
              <w:ind w:left="-108"/>
              <w:jc w:val="center"/>
              <w:rPr>
                <w:rFonts w:ascii="Times New Roman" w:hAnsi="Times New Roman"/>
                <w:lang w:val="en-US"/>
              </w:rPr>
            </w:pPr>
            <w:proofErr w:type="spellStart"/>
            <w:r w:rsidRPr="00F044FD">
              <w:rPr>
                <w:lang w:val="en-US"/>
              </w:rPr>
              <w:t>Iğdır</w:t>
            </w:r>
            <w:proofErr w:type="spellEnd"/>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2012</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professional/solidarity</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No</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w:t>
            </w:r>
          </w:p>
        </w:tc>
      </w:tr>
      <w:tr w:rsidR="009E09EE" w:rsidRPr="00F044FD" w:rsidTr="00332AF9">
        <w:trPr>
          <w:gridAfter w:val="1"/>
          <w:wAfter w:w="5556" w:type="dxa"/>
          <w:trHeight w:val="40"/>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CSO30</w:t>
            </w:r>
          </w:p>
        </w:tc>
        <w:tc>
          <w:tcPr>
            <w:tcW w:w="1134" w:type="dxa"/>
          </w:tcPr>
          <w:p w:rsidR="009E09EE" w:rsidRPr="00F044FD" w:rsidRDefault="009E09EE" w:rsidP="00332AF9">
            <w:pPr>
              <w:ind w:left="-108"/>
              <w:jc w:val="center"/>
              <w:rPr>
                <w:rFonts w:ascii="Times New Roman" w:hAnsi="Times New Roman"/>
                <w:lang w:val="en-US"/>
              </w:rPr>
            </w:pPr>
            <w:proofErr w:type="spellStart"/>
            <w:r w:rsidRPr="00F044FD">
              <w:rPr>
                <w:lang w:val="en-US"/>
              </w:rPr>
              <w:t>Iğdır</w:t>
            </w:r>
            <w:proofErr w:type="spellEnd"/>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2002</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foreign policy</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No</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w:t>
            </w:r>
          </w:p>
        </w:tc>
      </w:tr>
      <w:tr w:rsidR="009E09EE" w:rsidRPr="00F044FD" w:rsidTr="00332AF9">
        <w:trPr>
          <w:gridAfter w:val="1"/>
          <w:wAfter w:w="5556" w:type="dxa"/>
          <w:trHeight w:val="123"/>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CSO31</w:t>
            </w:r>
          </w:p>
        </w:tc>
        <w:tc>
          <w:tcPr>
            <w:tcW w:w="1134" w:type="dxa"/>
          </w:tcPr>
          <w:p w:rsidR="009E09EE" w:rsidRPr="00F044FD" w:rsidRDefault="009E09EE" w:rsidP="00332AF9">
            <w:pPr>
              <w:ind w:left="-108"/>
              <w:jc w:val="center"/>
              <w:rPr>
                <w:rFonts w:ascii="Times New Roman" w:hAnsi="Times New Roman"/>
                <w:lang w:val="en-US"/>
              </w:rPr>
            </w:pPr>
            <w:proofErr w:type="spellStart"/>
            <w:r w:rsidRPr="00F044FD">
              <w:rPr>
                <w:lang w:val="en-US"/>
              </w:rPr>
              <w:t>Iğdır</w:t>
            </w:r>
            <w:proofErr w:type="spellEnd"/>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2010</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culture</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No</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w:t>
            </w:r>
          </w:p>
        </w:tc>
      </w:tr>
      <w:tr w:rsidR="009E09EE" w:rsidRPr="00F044FD" w:rsidTr="00332AF9">
        <w:trPr>
          <w:gridAfter w:val="1"/>
          <w:wAfter w:w="5556" w:type="dxa"/>
          <w:trHeight w:val="123"/>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CSO32</w:t>
            </w:r>
          </w:p>
          <w:p w:rsidR="009E09EE" w:rsidRPr="00F044FD" w:rsidRDefault="009E09EE" w:rsidP="00332AF9">
            <w:pPr>
              <w:ind w:left="-108"/>
              <w:rPr>
                <w:rFonts w:ascii="Times New Roman" w:hAnsi="Times New Roman"/>
                <w:lang w:val="en-US"/>
              </w:rPr>
            </w:pPr>
          </w:p>
        </w:tc>
        <w:tc>
          <w:tcPr>
            <w:tcW w:w="1134" w:type="dxa"/>
          </w:tcPr>
          <w:p w:rsidR="009E09EE" w:rsidRPr="00F044FD" w:rsidRDefault="009E09EE" w:rsidP="00332AF9">
            <w:pPr>
              <w:ind w:left="-108"/>
              <w:jc w:val="center"/>
              <w:rPr>
                <w:rFonts w:ascii="Times New Roman" w:hAnsi="Times New Roman"/>
                <w:lang w:val="en-US"/>
              </w:rPr>
            </w:pPr>
            <w:r w:rsidRPr="00F044FD">
              <w:rPr>
                <w:lang w:val="en-US"/>
              </w:rPr>
              <w:t>İstanbul</w:t>
            </w:r>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1963</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professional/sectorial</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No</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w:t>
            </w:r>
          </w:p>
        </w:tc>
      </w:tr>
      <w:tr w:rsidR="009E09EE" w:rsidRPr="00F044FD" w:rsidTr="00332AF9">
        <w:trPr>
          <w:gridAfter w:val="1"/>
          <w:wAfter w:w="5556" w:type="dxa"/>
          <w:trHeight w:val="123"/>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CSO33</w:t>
            </w:r>
          </w:p>
        </w:tc>
        <w:tc>
          <w:tcPr>
            <w:tcW w:w="1134" w:type="dxa"/>
          </w:tcPr>
          <w:p w:rsidR="009E09EE" w:rsidRPr="00F044FD" w:rsidRDefault="009E09EE" w:rsidP="00332AF9">
            <w:pPr>
              <w:ind w:left="-108"/>
              <w:jc w:val="center"/>
              <w:rPr>
                <w:rFonts w:ascii="Times New Roman" w:hAnsi="Times New Roman"/>
                <w:lang w:val="en-US"/>
              </w:rPr>
            </w:pPr>
            <w:r w:rsidRPr="00F044FD">
              <w:rPr>
                <w:lang w:val="en-US"/>
              </w:rPr>
              <w:t>İstanbul</w:t>
            </w:r>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1994</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professional/sectorial</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Yes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 (branch)</w:t>
            </w:r>
          </w:p>
        </w:tc>
      </w:tr>
      <w:tr w:rsidR="009E09EE" w:rsidRPr="00F044FD" w:rsidTr="00332AF9">
        <w:trPr>
          <w:gridAfter w:val="1"/>
          <w:wAfter w:w="5556" w:type="dxa"/>
          <w:trHeight w:val="123"/>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CSO34</w:t>
            </w:r>
          </w:p>
        </w:tc>
        <w:tc>
          <w:tcPr>
            <w:tcW w:w="1134" w:type="dxa"/>
          </w:tcPr>
          <w:p w:rsidR="009E09EE" w:rsidRPr="00F044FD" w:rsidRDefault="009E09EE" w:rsidP="00332AF9">
            <w:pPr>
              <w:ind w:left="-108"/>
              <w:jc w:val="center"/>
              <w:rPr>
                <w:rFonts w:ascii="Times New Roman" w:hAnsi="Times New Roman"/>
                <w:lang w:val="en-US"/>
              </w:rPr>
            </w:pPr>
            <w:r w:rsidRPr="00F044FD">
              <w:rPr>
                <w:lang w:val="en-US"/>
              </w:rPr>
              <w:t>Van</w:t>
            </w:r>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2002</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culture/sports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Yes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w:t>
            </w:r>
          </w:p>
        </w:tc>
      </w:tr>
      <w:tr w:rsidR="009E09EE" w:rsidRPr="00F044FD" w:rsidTr="00332AF9">
        <w:trPr>
          <w:gridAfter w:val="1"/>
          <w:wAfter w:w="5556" w:type="dxa"/>
          <w:trHeight w:val="123"/>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CSO35</w:t>
            </w:r>
          </w:p>
        </w:tc>
        <w:tc>
          <w:tcPr>
            <w:tcW w:w="1134" w:type="dxa"/>
          </w:tcPr>
          <w:p w:rsidR="009E09EE" w:rsidRPr="00F044FD" w:rsidRDefault="009E09EE" w:rsidP="00332AF9">
            <w:pPr>
              <w:ind w:left="-108"/>
              <w:jc w:val="center"/>
              <w:rPr>
                <w:rFonts w:ascii="Times New Roman" w:hAnsi="Times New Roman"/>
                <w:lang w:val="en-US"/>
              </w:rPr>
            </w:pPr>
            <w:r w:rsidRPr="00F044FD">
              <w:rPr>
                <w:lang w:val="en-US"/>
              </w:rPr>
              <w:t>Van</w:t>
            </w:r>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2004</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women’s rights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Yes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w:t>
            </w:r>
          </w:p>
        </w:tc>
      </w:tr>
      <w:tr w:rsidR="009E09EE" w:rsidRPr="00F044FD" w:rsidTr="00332AF9">
        <w:trPr>
          <w:gridAfter w:val="1"/>
          <w:wAfter w:w="5556" w:type="dxa"/>
          <w:trHeight w:val="123"/>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CSO36</w:t>
            </w:r>
          </w:p>
        </w:tc>
        <w:tc>
          <w:tcPr>
            <w:tcW w:w="1134" w:type="dxa"/>
          </w:tcPr>
          <w:p w:rsidR="009E09EE" w:rsidRPr="00F044FD" w:rsidRDefault="009E09EE" w:rsidP="00332AF9">
            <w:pPr>
              <w:ind w:left="-108"/>
              <w:jc w:val="center"/>
              <w:rPr>
                <w:rFonts w:ascii="Times New Roman" w:hAnsi="Times New Roman"/>
                <w:lang w:val="en-US"/>
              </w:rPr>
            </w:pPr>
            <w:r w:rsidRPr="00F044FD">
              <w:rPr>
                <w:lang w:val="en-US"/>
              </w:rPr>
              <w:t>Van</w:t>
            </w:r>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2005</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disabled groups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No</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w:t>
            </w:r>
          </w:p>
        </w:tc>
      </w:tr>
      <w:tr w:rsidR="009E09EE" w:rsidRPr="00F044FD" w:rsidTr="00332AF9">
        <w:trPr>
          <w:gridAfter w:val="1"/>
          <w:wAfter w:w="5556" w:type="dxa"/>
          <w:trHeight w:val="123"/>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CSO37</w:t>
            </w:r>
          </w:p>
        </w:tc>
        <w:tc>
          <w:tcPr>
            <w:tcW w:w="1134" w:type="dxa"/>
          </w:tcPr>
          <w:p w:rsidR="009E09EE" w:rsidRPr="00F044FD" w:rsidRDefault="009E09EE" w:rsidP="00332AF9">
            <w:pPr>
              <w:ind w:left="-108"/>
              <w:jc w:val="center"/>
              <w:rPr>
                <w:rFonts w:ascii="Times New Roman" w:hAnsi="Times New Roman"/>
                <w:lang w:val="en-US"/>
              </w:rPr>
            </w:pPr>
            <w:r w:rsidRPr="00F044FD">
              <w:rPr>
                <w:lang w:val="en-US"/>
              </w:rPr>
              <w:t>Van</w:t>
            </w:r>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2005</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professional/sectorial</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Yes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w:t>
            </w:r>
          </w:p>
        </w:tc>
      </w:tr>
      <w:tr w:rsidR="009E09EE" w:rsidRPr="00F044FD" w:rsidTr="00332AF9">
        <w:trPr>
          <w:gridAfter w:val="1"/>
          <w:wAfter w:w="5556" w:type="dxa"/>
          <w:trHeight w:val="123"/>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CSO38</w:t>
            </w:r>
          </w:p>
        </w:tc>
        <w:tc>
          <w:tcPr>
            <w:tcW w:w="1134" w:type="dxa"/>
          </w:tcPr>
          <w:p w:rsidR="009E09EE" w:rsidRPr="00F044FD" w:rsidRDefault="009E09EE" w:rsidP="00332AF9">
            <w:pPr>
              <w:ind w:left="-108"/>
              <w:jc w:val="center"/>
              <w:rPr>
                <w:rFonts w:ascii="Times New Roman" w:hAnsi="Times New Roman"/>
                <w:lang w:val="en-US"/>
              </w:rPr>
            </w:pPr>
            <w:r w:rsidRPr="00F044FD">
              <w:rPr>
                <w:lang w:val="en-US"/>
              </w:rPr>
              <w:t>Antalya</w:t>
            </w:r>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2008</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professional/sectorial</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Yes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w:t>
            </w:r>
          </w:p>
        </w:tc>
      </w:tr>
      <w:tr w:rsidR="009E09EE" w:rsidRPr="00F044FD" w:rsidTr="00332AF9">
        <w:trPr>
          <w:gridAfter w:val="1"/>
          <w:wAfter w:w="5556" w:type="dxa"/>
          <w:trHeight w:val="123"/>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lastRenderedPageBreak/>
              <w:t>CSO39</w:t>
            </w:r>
          </w:p>
        </w:tc>
        <w:tc>
          <w:tcPr>
            <w:tcW w:w="1134" w:type="dxa"/>
          </w:tcPr>
          <w:p w:rsidR="009E09EE" w:rsidRPr="00F044FD" w:rsidRDefault="009E09EE" w:rsidP="00332AF9">
            <w:pPr>
              <w:ind w:left="-108"/>
              <w:jc w:val="center"/>
              <w:rPr>
                <w:rFonts w:ascii="Times New Roman" w:hAnsi="Times New Roman"/>
                <w:lang w:val="en-US"/>
              </w:rPr>
            </w:pPr>
            <w:r w:rsidRPr="00F044FD">
              <w:rPr>
                <w:lang w:val="en-US"/>
              </w:rPr>
              <w:t>Antalya</w:t>
            </w:r>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2014</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women’s rights, worker’s rights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Yes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 (branch)</w:t>
            </w:r>
          </w:p>
        </w:tc>
      </w:tr>
      <w:tr w:rsidR="009E09EE" w:rsidRPr="00F044FD" w:rsidTr="00332AF9">
        <w:trPr>
          <w:gridAfter w:val="1"/>
          <w:wAfter w:w="5556" w:type="dxa"/>
          <w:trHeight w:val="123"/>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 40</w:t>
            </w:r>
          </w:p>
        </w:tc>
        <w:tc>
          <w:tcPr>
            <w:tcW w:w="1134" w:type="dxa"/>
          </w:tcPr>
          <w:p w:rsidR="009E09EE" w:rsidRPr="00F044FD" w:rsidRDefault="009E09EE" w:rsidP="00332AF9">
            <w:pPr>
              <w:ind w:left="-108"/>
              <w:jc w:val="center"/>
              <w:rPr>
                <w:rFonts w:ascii="Times New Roman" w:hAnsi="Times New Roman"/>
                <w:lang w:val="en-US"/>
              </w:rPr>
            </w:pPr>
            <w:r w:rsidRPr="00F044FD">
              <w:rPr>
                <w:lang w:val="en-US"/>
              </w:rPr>
              <w:t>Antalya</w:t>
            </w:r>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2012</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disabled groups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Yes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w:t>
            </w:r>
          </w:p>
        </w:tc>
      </w:tr>
      <w:tr w:rsidR="009E09EE" w:rsidRPr="00F044FD" w:rsidTr="00332AF9">
        <w:trPr>
          <w:gridAfter w:val="1"/>
          <w:wAfter w:w="5556" w:type="dxa"/>
          <w:trHeight w:val="123"/>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CSO41</w:t>
            </w:r>
          </w:p>
        </w:tc>
        <w:tc>
          <w:tcPr>
            <w:tcW w:w="1134" w:type="dxa"/>
          </w:tcPr>
          <w:p w:rsidR="009E09EE" w:rsidRPr="00F044FD" w:rsidRDefault="009E09EE" w:rsidP="00332AF9">
            <w:pPr>
              <w:ind w:left="-108"/>
              <w:jc w:val="center"/>
              <w:rPr>
                <w:rFonts w:ascii="Times New Roman" w:hAnsi="Times New Roman"/>
                <w:lang w:val="en-US"/>
              </w:rPr>
            </w:pPr>
            <w:r w:rsidRPr="00F044FD">
              <w:rPr>
                <w:lang w:val="en-US"/>
              </w:rPr>
              <w:t>Antalya</w:t>
            </w:r>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2012</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culture</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Yes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w:t>
            </w:r>
          </w:p>
        </w:tc>
      </w:tr>
      <w:tr w:rsidR="009E09EE" w:rsidRPr="00F044FD" w:rsidTr="00332AF9">
        <w:trPr>
          <w:gridAfter w:val="1"/>
          <w:wAfter w:w="5556" w:type="dxa"/>
          <w:trHeight w:val="123"/>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CSO42</w:t>
            </w:r>
          </w:p>
        </w:tc>
        <w:tc>
          <w:tcPr>
            <w:tcW w:w="1134" w:type="dxa"/>
          </w:tcPr>
          <w:p w:rsidR="009E09EE" w:rsidRPr="00F044FD" w:rsidRDefault="009E09EE" w:rsidP="00332AF9">
            <w:pPr>
              <w:ind w:left="-108"/>
              <w:jc w:val="center"/>
              <w:rPr>
                <w:rFonts w:ascii="Times New Roman" w:hAnsi="Times New Roman"/>
                <w:lang w:val="en-US"/>
              </w:rPr>
            </w:pPr>
            <w:r w:rsidRPr="00F044FD">
              <w:rPr>
                <w:lang w:val="en-US"/>
              </w:rPr>
              <w:t>Ankara</w:t>
            </w:r>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2008</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youth</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Yes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w:t>
            </w:r>
          </w:p>
        </w:tc>
      </w:tr>
      <w:tr w:rsidR="009E09EE" w:rsidRPr="00F044FD" w:rsidTr="00332AF9">
        <w:trPr>
          <w:gridAfter w:val="1"/>
          <w:wAfter w:w="5556" w:type="dxa"/>
          <w:trHeight w:val="123"/>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CSO43</w:t>
            </w:r>
          </w:p>
        </w:tc>
        <w:tc>
          <w:tcPr>
            <w:tcW w:w="1134" w:type="dxa"/>
          </w:tcPr>
          <w:p w:rsidR="009E09EE" w:rsidRPr="00F044FD" w:rsidRDefault="009E09EE" w:rsidP="00332AF9">
            <w:pPr>
              <w:ind w:left="-108"/>
              <w:jc w:val="center"/>
              <w:rPr>
                <w:rFonts w:ascii="Times New Roman" w:hAnsi="Times New Roman"/>
                <w:lang w:val="en-US"/>
              </w:rPr>
            </w:pPr>
            <w:r w:rsidRPr="00F044FD">
              <w:rPr>
                <w:lang w:val="en-US"/>
              </w:rPr>
              <w:t>Ankara</w:t>
            </w:r>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2001</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women’s rights, youth</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Yes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Local</w:t>
            </w:r>
          </w:p>
        </w:tc>
      </w:tr>
      <w:tr w:rsidR="009E09EE" w:rsidRPr="00F044FD" w:rsidTr="00332AF9">
        <w:trPr>
          <w:gridAfter w:val="1"/>
          <w:wAfter w:w="5556" w:type="dxa"/>
          <w:trHeight w:val="123"/>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CSO44</w:t>
            </w:r>
          </w:p>
        </w:tc>
        <w:tc>
          <w:tcPr>
            <w:tcW w:w="1134" w:type="dxa"/>
          </w:tcPr>
          <w:p w:rsidR="009E09EE" w:rsidRPr="00F044FD" w:rsidRDefault="009E09EE" w:rsidP="00332AF9">
            <w:pPr>
              <w:ind w:left="-108"/>
              <w:jc w:val="center"/>
              <w:rPr>
                <w:rFonts w:ascii="Times New Roman" w:hAnsi="Times New Roman"/>
                <w:lang w:val="en-US"/>
              </w:rPr>
            </w:pPr>
            <w:r w:rsidRPr="00F044FD">
              <w:rPr>
                <w:lang w:val="en-US"/>
              </w:rPr>
              <w:t>Ankara</w:t>
            </w:r>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1997</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women’s rights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No</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National</w:t>
            </w:r>
          </w:p>
        </w:tc>
      </w:tr>
      <w:tr w:rsidR="009E09EE" w:rsidRPr="00F044FD" w:rsidTr="00332AF9">
        <w:trPr>
          <w:gridAfter w:val="1"/>
          <w:wAfter w:w="5556" w:type="dxa"/>
          <w:trHeight w:val="123"/>
        </w:trPr>
        <w:tc>
          <w:tcPr>
            <w:tcW w:w="993" w:type="dxa"/>
          </w:tcPr>
          <w:p w:rsidR="009E09EE" w:rsidRPr="00F044FD" w:rsidRDefault="009E09EE" w:rsidP="00332AF9">
            <w:pPr>
              <w:ind w:left="-108"/>
              <w:jc w:val="center"/>
              <w:rPr>
                <w:rFonts w:ascii="Times New Roman" w:hAnsi="Times New Roman"/>
                <w:lang w:val="en-US"/>
              </w:rPr>
            </w:pPr>
            <w:r w:rsidRPr="00F044FD">
              <w:rPr>
                <w:rFonts w:ascii="Times New Roman" w:hAnsi="Times New Roman"/>
                <w:lang w:val="en-US"/>
              </w:rPr>
              <w:t>CSO45</w:t>
            </w:r>
          </w:p>
        </w:tc>
        <w:tc>
          <w:tcPr>
            <w:tcW w:w="1134" w:type="dxa"/>
          </w:tcPr>
          <w:p w:rsidR="009E09EE" w:rsidRPr="00F044FD" w:rsidRDefault="009E09EE" w:rsidP="00332AF9">
            <w:pPr>
              <w:ind w:left="-108"/>
              <w:jc w:val="center"/>
              <w:rPr>
                <w:rFonts w:ascii="Times New Roman" w:hAnsi="Times New Roman"/>
                <w:lang w:val="en-US"/>
              </w:rPr>
            </w:pPr>
            <w:r w:rsidRPr="00F044FD">
              <w:rPr>
                <w:lang w:val="en-US"/>
              </w:rPr>
              <w:t>Ankara</w:t>
            </w:r>
          </w:p>
        </w:tc>
        <w:tc>
          <w:tcPr>
            <w:tcW w:w="1275" w:type="dxa"/>
          </w:tcPr>
          <w:p w:rsidR="009E09EE" w:rsidRPr="00F044FD" w:rsidRDefault="009E09EE" w:rsidP="00332AF9">
            <w:pPr>
              <w:ind w:left="-108"/>
              <w:jc w:val="center"/>
              <w:rPr>
                <w:rFonts w:ascii="Times New Roman" w:hAnsi="Times New Roman"/>
                <w:lang w:val="en-US"/>
              </w:rPr>
            </w:pPr>
            <w:r w:rsidRPr="00F044FD">
              <w:rPr>
                <w:lang w:val="en-US"/>
              </w:rPr>
              <w:t>1989</w:t>
            </w:r>
          </w:p>
        </w:tc>
        <w:tc>
          <w:tcPr>
            <w:tcW w:w="2410" w:type="dxa"/>
          </w:tcPr>
          <w:p w:rsidR="009E09EE" w:rsidRPr="00F044FD" w:rsidRDefault="009E09EE" w:rsidP="00332AF9">
            <w:pPr>
              <w:ind w:left="-108"/>
              <w:jc w:val="center"/>
              <w:rPr>
                <w:rFonts w:ascii="Times New Roman" w:hAnsi="Times New Roman"/>
                <w:lang w:val="en-US"/>
              </w:rPr>
            </w:pPr>
            <w:r w:rsidRPr="00F044FD">
              <w:rPr>
                <w:lang w:val="en-US"/>
              </w:rPr>
              <w:t>disabled groups</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No</w:t>
            </w:r>
          </w:p>
        </w:tc>
        <w:tc>
          <w:tcPr>
            <w:tcW w:w="1276" w:type="dxa"/>
          </w:tcPr>
          <w:p w:rsidR="009E09EE" w:rsidRPr="00F044FD" w:rsidRDefault="009E09EE" w:rsidP="00332AF9">
            <w:pPr>
              <w:ind w:left="-108"/>
              <w:jc w:val="center"/>
              <w:rPr>
                <w:rFonts w:ascii="Times New Roman" w:hAnsi="Times New Roman"/>
                <w:lang w:val="en-US"/>
              </w:rPr>
            </w:pPr>
            <w:r w:rsidRPr="00F044FD">
              <w:rPr>
                <w:lang w:val="en-US"/>
              </w:rPr>
              <w:t>National</w:t>
            </w:r>
          </w:p>
        </w:tc>
      </w:tr>
    </w:tbl>
    <w:p w:rsidR="0032702A" w:rsidRPr="00F044FD" w:rsidRDefault="005B3FBA" w:rsidP="0032702A">
      <w:pPr>
        <w:pStyle w:val="Tabletitle"/>
        <w:rPr>
          <w:lang w:val="en-US"/>
        </w:rPr>
      </w:pPr>
      <w:r w:rsidRPr="00F044FD">
        <w:rPr>
          <w:highlight w:val="yellow"/>
          <w:lang w:val="en-US"/>
        </w:rPr>
        <w:br w:type="page"/>
      </w:r>
    </w:p>
    <w:p w:rsidR="00FE4713" w:rsidRPr="00F044FD" w:rsidRDefault="00623176" w:rsidP="00623176">
      <w:pPr>
        <w:pStyle w:val="Heading1"/>
        <w:rPr>
          <w:lang w:val="en-US"/>
        </w:rPr>
      </w:pPr>
      <w:r w:rsidRPr="00F044FD">
        <w:rPr>
          <w:lang w:val="en-US"/>
        </w:rPr>
        <w:lastRenderedPageBreak/>
        <w:t>Notes</w:t>
      </w:r>
    </w:p>
    <w:sectPr w:rsidR="00FE4713" w:rsidRPr="00F044FD" w:rsidSect="00074B81">
      <w:footerReference w:type="default" r:id="rId14"/>
      <w:endnotePr>
        <w:numFmt w:val="decimal"/>
      </w:endnotePr>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FCD" w:rsidRDefault="00D52FCD" w:rsidP="00AF2C92">
      <w:r>
        <w:separator/>
      </w:r>
    </w:p>
  </w:endnote>
  <w:endnote w:type="continuationSeparator" w:id="0">
    <w:p w:rsidR="00D52FCD" w:rsidRDefault="00D52FCD" w:rsidP="00AF2C92">
      <w:r>
        <w:continuationSeparator/>
      </w:r>
    </w:p>
  </w:endnote>
  <w:endnote w:id="1">
    <w:p w:rsidR="006A41EF" w:rsidRPr="00332AF9" w:rsidRDefault="006A41EF" w:rsidP="00A166EE">
      <w:pPr>
        <w:pStyle w:val="Footnotes"/>
        <w:rPr>
          <w:szCs w:val="22"/>
          <w:lang w:val="tr-TR"/>
        </w:rPr>
      </w:pPr>
      <w:r w:rsidRPr="00332AF9">
        <w:rPr>
          <w:rStyle w:val="EndnoteReference"/>
          <w:szCs w:val="22"/>
        </w:rPr>
        <w:endnoteRef/>
      </w:r>
      <w:r w:rsidRPr="00332AF9">
        <w:rPr>
          <w:szCs w:val="22"/>
        </w:rPr>
        <w:t xml:space="preserve"> Salamon, “The Rise of the Nonprofit Sector.”</w:t>
      </w:r>
    </w:p>
  </w:endnote>
  <w:endnote w:id="2">
    <w:p w:rsidR="006A41EF" w:rsidRPr="00332AF9" w:rsidRDefault="006A41EF" w:rsidP="00A166EE">
      <w:pPr>
        <w:pStyle w:val="Footnotes"/>
        <w:rPr>
          <w:szCs w:val="22"/>
        </w:rPr>
      </w:pPr>
      <w:r w:rsidRPr="00332AF9">
        <w:rPr>
          <w:rStyle w:val="EndnoteReference"/>
          <w:szCs w:val="22"/>
        </w:rPr>
        <w:endnoteRef/>
      </w:r>
      <w:r w:rsidRPr="00332AF9">
        <w:rPr>
          <w:szCs w:val="22"/>
        </w:rPr>
        <w:t xml:space="preserve"> The terms “West” and “Western” in this article denote major Western donor countries, organizations and private institutions.</w:t>
      </w:r>
    </w:p>
  </w:endnote>
  <w:endnote w:id="3">
    <w:p w:rsidR="006A41EF" w:rsidRPr="009A17C0" w:rsidRDefault="006A41EF">
      <w:pPr>
        <w:pStyle w:val="EndnoteText"/>
        <w:rPr>
          <w:lang w:val="tr-TR"/>
        </w:rPr>
      </w:pPr>
      <w:r>
        <w:rPr>
          <w:rStyle w:val="EndnoteReference"/>
        </w:rPr>
        <w:endnoteRef/>
      </w:r>
      <w:r>
        <w:t xml:space="preserve"> </w:t>
      </w:r>
      <w:r w:rsidRPr="00332AF9">
        <w:rPr>
          <w:szCs w:val="22"/>
        </w:rPr>
        <w:t>Hearn, “African NGOs,” 1096.</w:t>
      </w:r>
    </w:p>
  </w:endnote>
  <w:endnote w:id="4">
    <w:p w:rsidR="006A41EF" w:rsidRPr="009A17C0" w:rsidRDefault="006A41EF">
      <w:pPr>
        <w:pStyle w:val="EndnoteText"/>
        <w:rPr>
          <w:lang w:val="tr-TR"/>
        </w:rPr>
      </w:pPr>
      <w:r>
        <w:rPr>
          <w:rStyle w:val="EndnoteReference"/>
        </w:rPr>
        <w:endnoteRef/>
      </w:r>
      <w:r>
        <w:t xml:space="preserve"> </w:t>
      </w:r>
      <w:r w:rsidRPr="00332AF9">
        <w:rPr>
          <w:szCs w:val="22"/>
        </w:rPr>
        <w:t>Edwards and Hulme, “Too Close for Comfort.”</w:t>
      </w:r>
    </w:p>
  </w:endnote>
  <w:endnote w:id="5">
    <w:p w:rsidR="006A41EF" w:rsidRPr="00332AF9" w:rsidRDefault="006A41EF" w:rsidP="00041B65">
      <w:pPr>
        <w:pStyle w:val="Footnotes"/>
        <w:rPr>
          <w:szCs w:val="22"/>
          <w:lang w:val="tr-TR"/>
        </w:rPr>
      </w:pPr>
      <w:r>
        <w:rPr>
          <w:rStyle w:val="EndnoteReference"/>
        </w:rPr>
        <w:endnoteRef/>
      </w:r>
      <w:r>
        <w:t xml:space="preserve"> </w:t>
      </w:r>
      <w:r w:rsidRPr="00332AF9">
        <w:rPr>
          <w:szCs w:val="22"/>
        </w:rPr>
        <w:t xml:space="preserve">Choudry and Kapoor, </w:t>
      </w:r>
      <w:r w:rsidRPr="00332AF9">
        <w:rPr>
          <w:i/>
          <w:szCs w:val="22"/>
        </w:rPr>
        <w:t>Learning from the Ground Up</w:t>
      </w:r>
      <w:r w:rsidRPr="00332AF9">
        <w:rPr>
          <w:szCs w:val="22"/>
        </w:rPr>
        <w:t xml:space="preserve">; Henderson, “Selling Civil Society”; Alvarez, “Advocating Feminism”; Howell and Pearce, </w:t>
      </w:r>
      <w:r w:rsidRPr="00332AF9">
        <w:rPr>
          <w:i/>
          <w:szCs w:val="22"/>
        </w:rPr>
        <w:t>Civil Society and Development</w:t>
      </w:r>
      <w:r w:rsidRPr="00332AF9">
        <w:rPr>
          <w:szCs w:val="22"/>
        </w:rPr>
        <w:t xml:space="preserve">; Lang, “The NGOization of Feminism”; Mercer, “NGOs, Civil Society and Democratization”; Prakash and Gugerty, </w:t>
      </w:r>
      <w:r w:rsidRPr="00332AF9">
        <w:rPr>
          <w:i/>
          <w:szCs w:val="22"/>
        </w:rPr>
        <w:t>Advocacy Organizations and Collective Action.</w:t>
      </w:r>
    </w:p>
    <w:p w:rsidR="006A41EF" w:rsidRPr="009A17C0" w:rsidRDefault="006A41EF" w:rsidP="009A17C0">
      <w:pPr>
        <w:pStyle w:val="EndnoteText"/>
        <w:ind w:left="0" w:firstLine="0"/>
        <w:rPr>
          <w:lang w:val="tr-TR"/>
        </w:rPr>
      </w:pPr>
    </w:p>
  </w:endnote>
  <w:endnote w:id="6">
    <w:p w:rsidR="006A41EF" w:rsidRPr="00332AF9" w:rsidRDefault="006A41EF" w:rsidP="00EC1BE4">
      <w:pPr>
        <w:pStyle w:val="Footnotes"/>
        <w:rPr>
          <w:bCs/>
          <w:szCs w:val="22"/>
          <w:lang w:eastAsia="tr-TR"/>
        </w:rPr>
      </w:pPr>
      <w:r w:rsidRPr="00332AF9">
        <w:rPr>
          <w:rStyle w:val="EndnoteReference"/>
          <w:szCs w:val="22"/>
        </w:rPr>
        <w:endnoteRef/>
      </w:r>
      <w:r w:rsidRPr="00332AF9">
        <w:rPr>
          <w:szCs w:val="22"/>
        </w:rPr>
        <w:t xml:space="preserve"> </w:t>
      </w:r>
      <w:r w:rsidRPr="00332AF9">
        <w:rPr>
          <w:bCs/>
          <w:szCs w:val="22"/>
          <w:lang w:eastAsia="tr-TR"/>
        </w:rPr>
        <w:t>In this article, CSO is used as an overarching term to denote a non-profit and voluntary organization of people outside of market, state and family working</w:t>
      </w:r>
      <w:r>
        <w:rPr>
          <w:bCs/>
          <w:szCs w:val="22"/>
          <w:lang w:eastAsia="tr-TR"/>
        </w:rPr>
        <w:t xml:space="preserve"> for a common purpose.</w:t>
      </w:r>
    </w:p>
  </w:endnote>
  <w:endnote w:id="7">
    <w:p w:rsidR="006A41EF" w:rsidRDefault="006A41EF" w:rsidP="007D575E">
      <w:pPr>
        <w:pStyle w:val="EndnoteText"/>
      </w:pPr>
      <w:r>
        <w:rPr>
          <w:rStyle w:val="EndnoteReference"/>
        </w:rPr>
        <w:endnoteRef/>
      </w:r>
      <w:r>
        <w:t xml:space="preserve"> Cumming, “French NGOs in the Global Era,” p. 89; Fowler, “The virtuous spiral,” p. 105.</w:t>
      </w:r>
    </w:p>
  </w:endnote>
  <w:endnote w:id="8">
    <w:p w:rsidR="006A41EF" w:rsidRDefault="006A41EF" w:rsidP="007D575E">
      <w:pPr>
        <w:pStyle w:val="EndnoteText"/>
      </w:pPr>
      <w:r>
        <w:rPr>
          <w:rStyle w:val="EndnoteReference"/>
        </w:rPr>
        <w:endnoteRef/>
      </w:r>
      <w:r>
        <w:t xml:space="preserve"> Korten, “The role of non-governmental organizations in development,” p. 36.</w:t>
      </w:r>
    </w:p>
  </w:endnote>
  <w:endnote w:id="9">
    <w:p w:rsidR="006A41EF" w:rsidRDefault="006A41EF" w:rsidP="007D575E">
      <w:pPr>
        <w:pStyle w:val="EndnoteText"/>
      </w:pPr>
      <w:r>
        <w:rPr>
          <w:rStyle w:val="EndnoteReference"/>
        </w:rPr>
        <w:endnoteRef/>
      </w:r>
      <w:r>
        <w:t xml:space="preserve"> Alvarez, “Advocating Feminism,” p. 185</w:t>
      </w:r>
    </w:p>
  </w:endnote>
  <w:endnote w:id="10">
    <w:p w:rsidR="006A41EF" w:rsidRDefault="006A41EF" w:rsidP="007D575E">
      <w:pPr>
        <w:pStyle w:val="EndnoteText"/>
      </w:pPr>
      <w:r>
        <w:rPr>
          <w:rStyle w:val="EndnoteReference"/>
        </w:rPr>
        <w:endnoteRef/>
      </w:r>
      <w:r>
        <w:t xml:space="preserve"> Banks et al, “NGOs, States, and Donors Revisited.”</w:t>
      </w:r>
    </w:p>
  </w:endnote>
  <w:endnote w:id="11">
    <w:p w:rsidR="006A41EF" w:rsidRPr="00332AF9" w:rsidRDefault="006A41EF" w:rsidP="003F5493">
      <w:pPr>
        <w:pStyle w:val="Footnotes"/>
        <w:rPr>
          <w:szCs w:val="22"/>
          <w:lang w:val="tr-TR"/>
        </w:rPr>
      </w:pPr>
      <w:r w:rsidRPr="00332AF9">
        <w:rPr>
          <w:rStyle w:val="EndnoteReference"/>
          <w:szCs w:val="22"/>
        </w:rPr>
        <w:endnoteRef/>
      </w:r>
      <w:r w:rsidRPr="00332AF9">
        <w:rPr>
          <w:szCs w:val="22"/>
        </w:rPr>
        <w:t xml:space="preserve"> Youngs, </w:t>
      </w:r>
      <w:r w:rsidRPr="00332AF9">
        <w:rPr>
          <w:i/>
          <w:szCs w:val="22"/>
        </w:rPr>
        <w:t>The European Union and the Promotion of Democracy;</w:t>
      </w:r>
      <w:r w:rsidRPr="00332AF9">
        <w:rPr>
          <w:szCs w:val="22"/>
        </w:rPr>
        <w:t xml:space="preserve"> Youngs, “What Has Europe Been Doing?”</w:t>
      </w:r>
    </w:p>
  </w:endnote>
  <w:endnote w:id="12">
    <w:p w:rsidR="006A41EF" w:rsidRPr="00332AF9" w:rsidRDefault="006A41EF" w:rsidP="00623176">
      <w:pPr>
        <w:pStyle w:val="Footnotes"/>
        <w:rPr>
          <w:i/>
          <w:szCs w:val="22"/>
          <w:lang w:val="tr-TR"/>
        </w:rPr>
      </w:pPr>
      <w:r w:rsidRPr="00332AF9">
        <w:rPr>
          <w:rStyle w:val="EndnoteReference"/>
          <w:szCs w:val="22"/>
        </w:rPr>
        <w:endnoteRef/>
      </w:r>
      <w:r w:rsidRPr="00332AF9">
        <w:rPr>
          <w:szCs w:val="22"/>
        </w:rPr>
        <w:t xml:space="preserve"> Jacobsson and Saxonberg, </w:t>
      </w:r>
      <w:r w:rsidRPr="00332AF9">
        <w:rPr>
          <w:i/>
          <w:szCs w:val="22"/>
        </w:rPr>
        <w:t>Beyond NGO-ization.</w:t>
      </w:r>
    </w:p>
  </w:endnote>
  <w:endnote w:id="13">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Kurki, “Governmentality and EU Democracy Promotion”; Kurki, “Democracy through Technocracy”; Kurki, </w:t>
      </w:r>
      <w:r w:rsidRPr="00332AF9">
        <w:rPr>
          <w:i/>
          <w:szCs w:val="22"/>
        </w:rPr>
        <w:t>Democratic Futures;</w:t>
      </w:r>
      <w:r w:rsidRPr="00332AF9">
        <w:rPr>
          <w:szCs w:val="22"/>
        </w:rPr>
        <w:t xml:space="preserve"> Mühlenhoff, “Funding Democracy?”</w:t>
      </w:r>
    </w:p>
  </w:endnote>
  <w:endnote w:id="14">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Rumelili and Boşnak, “Taking Stock of Europeanization of Civil Society in Turkey.”</w:t>
      </w:r>
    </w:p>
  </w:endnote>
  <w:endnote w:id="15">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Kubicek, “Political Conditionality and European Union’s Cultivation of Democracy in Turkey”; İçduygu, “Interacting Actors”; Ketola, “</w:t>
      </w:r>
      <w:r w:rsidRPr="00332AF9">
        <w:rPr>
          <w:i/>
          <w:szCs w:val="22"/>
        </w:rPr>
        <w:t>Europeanization and Civil Society</w:t>
      </w:r>
      <w:r w:rsidRPr="00332AF9">
        <w:rPr>
          <w:szCs w:val="22"/>
        </w:rPr>
        <w:t>; Zihnioğlu,”The ‘Civil Society Policy’ of the European Union for Promoting Democracy in Turkey.”</w:t>
      </w:r>
    </w:p>
  </w:endnote>
  <w:endnote w:id="16">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Kaliber, “De-Europeanisation of Civil Society and Public Debates in Turkey”; Boşnak, “Europeanisation and De-Europeanisation Dynamics in Turkey.”</w:t>
      </w:r>
    </w:p>
  </w:endnote>
  <w:endnote w:id="17">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Mühlenhoff, “Funding Democracy?”</w:t>
      </w:r>
    </w:p>
  </w:endnote>
  <w:endnote w:id="18">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Kuzmanovic, “Project Culture and Turkish Civil Society”; Ergun, “Civil Society in Turkey and Local Dimensions of Europeanization.”</w:t>
      </w:r>
    </w:p>
  </w:endnote>
  <w:endnote w:id="19">
    <w:p w:rsidR="006A41EF" w:rsidRPr="00436D9A" w:rsidRDefault="006A41EF" w:rsidP="003A04B2">
      <w:pPr>
        <w:pStyle w:val="EndnoteText"/>
        <w:rPr>
          <w:szCs w:val="22"/>
        </w:rPr>
      </w:pPr>
      <w:r w:rsidRPr="00436D9A">
        <w:rPr>
          <w:rStyle w:val="EndnoteReference"/>
          <w:szCs w:val="22"/>
        </w:rPr>
        <w:endnoteRef/>
      </w:r>
      <w:r w:rsidRPr="00436D9A">
        <w:rPr>
          <w:szCs w:val="22"/>
        </w:rPr>
        <w:t xml:space="preserve"> “The External Control of Organizations.”</w:t>
      </w:r>
    </w:p>
  </w:endnote>
  <w:endnote w:id="20">
    <w:p w:rsidR="006A41EF" w:rsidRPr="00436D9A" w:rsidRDefault="006A41EF" w:rsidP="003A04B2">
      <w:pPr>
        <w:pStyle w:val="EndnoteText"/>
        <w:rPr>
          <w:szCs w:val="22"/>
        </w:rPr>
      </w:pPr>
      <w:r w:rsidRPr="00436D9A">
        <w:rPr>
          <w:rStyle w:val="EndnoteReference"/>
          <w:szCs w:val="22"/>
        </w:rPr>
        <w:endnoteRef/>
      </w:r>
      <w:r w:rsidRPr="00436D9A">
        <w:rPr>
          <w:szCs w:val="22"/>
        </w:rPr>
        <w:t xml:space="preserve"> </w:t>
      </w:r>
      <w:r w:rsidRPr="00436D9A">
        <w:rPr>
          <w:szCs w:val="22"/>
          <w:lang w:val="en-US"/>
        </w:rPr>
        <w:t>Pfeffer and Salancik, “</w:t>
      </w:r>
      <w:r w:rsidRPr="00436D9A">
        <w:rPr>
          <w:szCs w:val="22"/>
        </w:rPr>
        <w:t>The External Control of Organizations.”</w:t>
      </w:r>
    </w:p>
  </w:endnote>
  <w:endnote w:id="21">
    <w:p w:rsidR="006A41EF" w:rsidRPr="00436D9A" w:rsidRDefault="006A41EF" w:rsidP="005C72CE">
      <w:pPr>
        <w:pStyle w:val="EndnoteText"/>
        <w:rPr>
          <w:szCs w:val="22"/>
        </w:rPr>
      </w:pPr>
      <w:r w:rsidRPr="00436D9A">
        <w:rPr>
          <w:rStyle w:val="EndnoteReference"/>
          <w:szCs w:val="22"/>
        </w:rPr>
        <w:endnoteRef/>
      </w:r>
      <w:r w:rsidRPr="00436D9A">
        <w:rPr>
          <w:szCs w:val="22"/>
        </w:rPr>
        <w:t xml:space="preserve"> </w:t>
      </w:r>
      <w:r w:rsidRPr="00436D9A">
        <w:rPr>
          <w:szCs w:val="22"/>
          <w:lang w:val="en-US"/>
        </w:rPr>
        <w:t>Falkner, “International Strategic Alliances,” p. 16.</w:t>
      </w:r>
    </w:p>
  </w:endnote>
  <w:endnote w:id="22">
    <w:p w:rsidR="006A41EF" w:rsidRPr="00436D9A" w:rsidRDefault="006A41EF" w:rsidP="003A04B2">
      <w:pPr>
        <w:pStyle w:val="EndnoteText"/>
        <w:rPr>
          <w:szCs w:val="22"/>
        </w:rPr>
      </w:pPr>
      <w:r w:rsidRPr="00436D9A">
        <w:rPr>
          <w:rStyle w:val="EndnoteReference"/>
          <w:szCs w:val="22"/>
        </w:rPr>
        <w:endnoteRef/>
      </w:r>
      <w:r w:rsidRPr="00436D9A">
        <w:rPr>
          <w:szCs w:val="22"/>
        </w:rPr>
        <w:t xml:space="preserve"> “The External Control of Organizations,” p. 177.</w:t>
      </w:r>
    </w:p>
  </w:endnote>
  <w:endnote w:id="23">
    <w:p w:rsidR="006A41EF" w:rsidRPr="00436D9A" w:rsidRDefault="006A41EF" w:rsidP="003A04B2">
      <w:pPr>
        <w:pStyle w:val="EndnoteText"/>
        <w:rPr>
          <w:szCs w:val="22"/>
        </w:rPr>
      </w:pPr>
      <w:r w:rsidRPr="00436D9A">
        <w:rPr>
          <w:rStyle w:val="EndnoteReference"/>
          <w:szCs w:val="22"/>
        </w:rPr>
        <w:endnoteRef/>
      </w:r>
      <w:r w:rsidRPr="00436D9A">
        <w:rPr>
          <w:szCs w:val="22"/>
        </w:rPr>
        <w:t xml:space="preserve"> </w:t>
      </w:r>
      <w:r w:rsidRPr="00436D9A">
        <w:rPr>
          <w:szCs w:val="22"/>
          <w:lang w:val="en-US"/>
        </w:rPr>
        <w:t>Yanacopulos, “The Strategies That Bind”, p. 97</w:t>
      </w:r>
    </w:p>
  </w:endnote>
  <w:endnote w:id="24">
    <w:p w:rsidR="006A41EF" w:rsidRPr="00436D9A" w:rsidRDefault="006A41EF" w:rsidP="003A04B2">
      <w:pPr>
        <w:pStyle w:val="EndnoteText"/>
        <w:rPr>
          <w:szCs w:val="22"/>
        </w:rPr>
      </w:pPr>
      <w:r w:rsidRPr="00436D9A">
        <w:rPr>
          <w:rStyle w:val="EndnoteReference"/>
          <w:szCs w:val="22"/>
        </w:rPr>
        <w:endnoteRef/>
      </w:r>
      <w:r w:rsidRPr="00436D9A">
        <w:rPr>
          <w:szCs w:val="22"/>
        </w:rPr>
        <w:t xml:space="preserve"> </w:t>
      </w:r>
      <w:r w:rsidRPr="00436D9A">
        <w:rPr>
          <w:szCs w:val="22"/>
          <w:lang w:val="en-US"/>
        </w:rPr>
        <w:t>Hatch, “Organization Theory,” p. 78.</w:t>
      </w:r>
    </w:p>
  </w:endnote>
  <w:endnote w:id="25">
    <w:p w:rsidR="006A41EF" w:rsidRPr="009A17C0" w:rsidRDefault="006A41EF">
      <w:pPr>
        <w:pStyle w:val="EndnoteText"/>
        <w:rPr>
          <w:lang w:val="tr-TR"/>
        </w:rPr>
      </w:pPr>
      <w:r>
        <w:rPr>
          <w:rStyle w:val="EndnoteReference"/>
        </w:rPr>
        <w:endnoteRef/>
      </w:r>
      <w:r>
        <w:t xml:space="preserve"> </w:t>
      </w:r>
      <w:r>
        <w:rPr>
          <w:lang w:val="tr-TR"/>
        </w:rPr>
        <w:t>Froelich, “Diversification of Revenue Strategies.”</w:t>
      </w:r>
    </w:p>
  </w:endnote>
  <w:endnote w:id="26">
    <w:p w:rsidR="006A41EF" w:rsidRPr="00332AF9" w:rsidRDefault="006A41EF" w:rsidP="00230EFC">
      <w:pPr>
        <w:pStyle w:val="Footnotes"/>
        <w:rPr>
          <w:szCs w:val="22"/>
          <w:lang w:val="tr-TR"/>
        </w:rPr>
      </w:pPr>
      <w:r w:rsidRPr="00332AF9">
        <w:rPr>
          <w:rStyle w:val="EndnoteReference"/>
          <w:szCs w:val="22"/>
        </w:rPr>
        <w:endnoteRef/>
      </w:r>
      <w:r w:rsidRPr="00332AF9">
        <w:rPr>
          <w:szCs w:val="22"/>
        </w:rPr>
        <w:t xml:space="preserve"> Hearn, “African NGOs,” 1096.</w:t>
      </w:r>
    </w:p>
  </w:endnote>
  <w:endnote w:id="27">
    <w:p w:rsidR="006A41EF" w:rsidRPr="00332AF9" w:rsidRDefault="006A41EF" w:rsidP="00230EFC">
      <w:pPr>
        <w:pStyle w:val="Footnotes"/>
        <w:rPr>
          <w:szCs w:val="22"/>
          <w:lang w:val="tr-TR"/>
        </w:rPr>
      </w:pPr>
      <w:r w:rsidRPr="00332AF9">
        <w:rPr>
          <w:rStyle w:val="EndnoteReference"/>
          <w:szCs w:val="22"/>
        </w:rPr>
        <w:endnoteRef/>
      </w:r>
      <w:r w:rsidRPr="00332AF9">
        <w:rPr>
          <w:szCs w:val="22"/>
        </w:rPr>
        <w:t xml:space="preserve"> Edwards and Hulme, “Too Close for Comfort.”</w:t>
      </w:r>
    </w:p>
  </w:endnote>
  <w:endnote w:id="28">
    <w:p w:rsidR="006A41EF" w:rsidRPr="00332AF9" w:rsidRDefault="006A41EF" w:rsidP="00230EFC">
      <w:pPr>
        <w:pStyle w:val="Footnotes"/>
        <w:rPr>
          <w:szCs w:val="22"/>
          <w:lang w:val="tr-TR"/>
        </w:rPr>
      </w:pPr>
      <w:r w:rsidRPr="00332AF9">
        <w:rPr>
          <w:rStyle w:val="EndnoteReference"/>
          <w:szCs w:val="22"/>
        </w:rPr>
        <w:endnoteRef/>
      </w:r>
      <w:r w:rsidRPr="00332AF9">
        <w:rPr>
          <w:szCs w:val="22"/>
        </w:rPr>
        <w:t xml:space="preserve"> Choudry and Kapoor, </w:t>
      </w:r>
      <w:r w:rsidRPr="00332AF9">
        <w:rPr>
          <w:i/>
          <w:szCs w:val="22"/>
        </w:rPr>
        <w:t>Learning from the Ground Up</w:t>
      </w:r>
      <w:r w:rsidRPr="00332AF9">
        <w:rPr>
          <w:szCs w:val="22"/>
        </w:rPr>
        <w:t xml:space="preserve">; Henderson, “Selling Civil Society”; Alvarez, “Advocating Feminism”; Howell and Pearce, </w:t>
      </w:r>
      <w:r w:rsidRPr="00332AF9">
        <w:rPr>
          <w:i/>
          <w:szCs w:val="22"/>
        </w:rPr>
        <w:t>Civil Society and Development</w:t>
      </w:r>
      <w:r w:rsidRPr="00332AF9">
        <w:rPr>
          <w:szCs w:val="22"/>
        </w:rPr>
        <w:t xml:space="preserve">; Lang, “The NGOization of Feminism”; Mercer, “NGOs, Civil Society and Democratization”; Prakash and Gugerty, </w:t>
      </w:r>
      <w:r w:rsidRPr="00332AF9">
        <w:rPr>
          <w:i/>
          <w:szCs w:val="22"/>
        </w:rPr>
        <w:t>Advocacy Organizations and Collective Action.</w:t>
      </w:r>
    </w:p>
  </w:endnote>
  <w:endnote w:id="29">
    <w:p w:rsidR="006A41EF" w:rsidRPr="00332AF9" w:rsidRDefault="006A41EF" w:rsidP="00230EFC">
      <w:pPr>
        <w:pStyle w:val="Footnotes"/>
        <w:rPr>
          <w:szCs w:val="22"/>
          <w:lang w:val="tr-TR"/>
        </w:rPr>
      </w:pPr>
      <w:r w:rsidRPr="00332AF9">
        <w:rPr>
          <w:rStyle w:val="EndnoteReference"/>
          <w:szCs w:val="22"/>
        </w:rPr>
        <w:endnoteRef/>
      </w:r>
      <w:r w:rsidRPr="00332AF9">
        <w:rPr>
          <w:szCs w:val="22"/>
        </w:rPr>
        <w:t xml:space="preserve"> Alvarez, “Advocating Feminism.”</w:t>
      </w:r>
    </w:p>
  </w:endnote>
  <w:endnote w:id="30">
    <w:p w:rsidR="006A41EF" w:rsidRPr="00332AF9" w:rsidRDefault="006A41EF" w:rsidP="00230EFC">
      <w:pPr>
        <w:pStyle w:val="Footnotes"/>
        <w:rPr>
          <w:szCs w:val="22"/>
          <w:lang w:val="tr-TR"/>
        </w:rPr>
      </w:pPr>
      <w:r w:rsidRPr="00332AF9">
        <w:rPr>
          <w:rStyle w:val="EndnoteReference"/>
          <w:szCs w:val="22"/>
        </w:rPr>
        <w:endnoteRef/>
      </w:r>
      <w:r w:rsidRPr="00332AF9">
        <w:rPr>
          <w:szCs w:val="22"/>
        </w:rPr>
        <w:t xml:space="preserve"> Jad, “NGOs.”</w:t>
      </w:r>
    </w:p>
  </w:endnote>
  <w:endnote w:id="31">
    <w:p w:rsidR="006A41EF" w:rsidRPr="00332AF9" w:rsidRDefault="006A41EF" w:rsidP="00230EFC">
      <w:pPr>
        <w:pStyle w:val="Footnotes"/>
        <w:rPr>
          <w:szCs w:val="22"/>
          <w:lang w:val="tr-TR"/>
        </w:rPr>
      </w:pPr>
      <w:r w:rsidRPr="00332AF9">
        <w:rPr>
          <w:rStyle w:val="EndnoteReference"/>
          <w:szCs w:val="22"/>
        </w:rPr>
        <w:endnoteRef/>
      </w:r>
      <w:r w:rsidRPr="00332AF9">
        <w:rPr>
          <w:szCs w:val="22"/>
        </w:rPr>
        <w:t xml:space="preserve"> Roy, “The NGO-ization of Resistance.”</w:t>
      </w:r>
    </w:p>
  </w:endnote>
  <w:endnote w:id="32">
    <w:p w:rsidR="006A41EF" w:rsidRPr="00332AF9" w:rsidRDefault="006A41EF" w:rsidP="00230EFC">
      <w:pPr>
        <w:pStyle w:val="Footnotes"/>
        <w:rPr>
          <w:szCs w:val="22"/>
        </w:rPr>
      </w:pPr>
      <w:r w:rsidRPr="00332AF9">
        <w:rPr>
          <w:rStyle w:val="EndnoteReference"/>
          <w:szCs w:val="22"/>
        </w:rPr>
        <w:endnoteRef/>
      </w:r>
      <w:r w:rsidRPr="00332AF9">
        <w:rPr>
          <w:szCs w:val="22"/>
        </w:rPr>
        <w:t xml:space="preserve"> Lesbian, gay, bisexual and transgender</w:t>
      </w:r>
    </w:p>
  </w:endnote>
  <w:endnote w:id="33">
    <w:p w:rsidR="006A41EF" w:rsidRPr="00332AF9" w:rsidRDefault="006A41EF" w:rsidP="00230EFC">
      <w:pPr>
        <w:pStyle w:val="Footnotes"/>
        <w:rPr>
          <w:szCs w:val="22"/>
          <w:lang w:val="tr-TR"/>
        </w:rPr>
      </w:pPr>
      <w:r w:rsidRPr="00332AF9">
        <w:rPr>
          <w:rStyle w:val="EndnoteReference"/>
          <w:szCs w:val="22"/>
        </w:rPr>
        <w:endnoteRef/>
      </w:r>
      <w:r w:rsidRPr="00332AF9">
        <w:rPr>
          <w:szCs w:val="22"/>
        </w:rPr>
        <w:t xml:space="preserve"> Paternotte, “The NGOization of LGBT Activism.”</w:t>
      </w:r>
    </w:p>
  </w:endnote>
  <w:endnote w:id="34">
    <w:p w:rsidR="006A41EF" w:rsidRPr="00332AF9" w:rsidRDefault="006A41EF" w:rsidP="00230EFC">
      <w:pPr>
        <w:pStyle w:val="Footnotes"/>
        <w:rPr>
          <w:szCs w:val="22"/>
          <w:lang w:val="tr-TR"/>
        </w:rPr>
      </w:pPr>
      <w:r w:rsidRPr="00332AF9">
        <w:rPr>
          <w:rStyle w:val="EndnoteReference"/>
          <w:szCs w:val="22"/>
        </w:rPr>
        <w:endnoteRef/>
      </w:r>
      <w:r w:rsidRPr="00332AF9">
        <w:rPr>
          <w:szCs w:val="22"/>
        </w:rPr>
        <w:t xml:space="preserve"> Kapoor, “Social Action and NGOization in Context of Development Dispossession in Rural India.”</w:t>
      </w:r>
    </w:p>
  </w:endnote>
  <w:endnote w:id="35">
    <w:p w:rsidR="006A41EF" w:rsidRPr="00332AF9" w:rsidRDefault="006A41EF" w:rsidP="00230EFC">
      <w:pPr>
        <w:pStyle w:val="Footnotes"/>
        <w:rPr>
          <w:szCs w:val="22"/>
          <w:lang w:val="tr-TR"/>
        </w:rPr>
      </w:pPr>
      <w:r w:rsidRPr="00332AF9">
        <w:rPr>
          <w:rStyle w:val="EndnoteReference"/>
          <w:szCs w:val="22"/>
        </w:rPr>
        <w:endnoteRef/>
      </w:r>
      <w:r w:rsidRPr="00332AF9">
        <w:rPr>
          <w:szCs w:val="22"/>
        </w:rPr>
        <w:t xml:space="preserve"> Sinwell, “From Radical Movement to Conservative NGO and Back Again?”</w:t>
      </w:r>
    </w:p>
  </w:endnote>
  <w:endnote w:id="36">
    <w:p w:rsidR="006A41EF" w:rsidRPr="00332AF9" w:rsidRDefault="006A41EF" w:rsidP="00230EFC">
      <w:pPr>
        <w:pStyle w:val="Footnotes"/>
        <w:rPr>
          <w:szCs w:val="22"/>
          <w:lang w:val="tr-TR"/>
        </w:rPr>
      </w:pPr>
      <w:r w:rsidRPr="00332AF9">
        <w:rPr>
          <w:rStyle w:val="EndnoteReference"/>
          <w:szCs w:val="22"/>
        </w:rPr>
        <w:endnoteRef/>
      </w:r>
      <w:r w:rsidRPr="00332AF9">
        <w:rPr>
          <w:szCs w:val="22"/>
        </w:rPr>
        <w:t xml:space="preserve"> Hearn, “The ‘Uses and Abuses’ of Civil Society in Africa.”</w:t>
      </w:r>
    </w:p>
  </w:endnote>
  <w:endnote w:id="37">
    <w:p w:rsidR="006A41EF" w:rsidRPr="00332AF9" w:rsidRDefault="006A41EF" w:rsidP="00230EFC">
      <w:pPr>
        <w:pStyle w:val="Footnotes"/>
        <w:rPr>
          <w:szCs w:val="22"/>
          <w:lang w:val="tr-TR"/>
        </w:rPr>
      </w:pPr>
      <w:r w:rsidRPr="00332AF9">
        <w:rPr>
          <w:rStyle w:val="EndnoteReference"/>
          <w:szCs w:val="22"/>
        </w:rPr>
        <w:endnoteRef/>
      </w:r>
      <w:r w:rsidRPr="00332AF9">
        <w:rPr>
          <w:szCs w:val="22"/>
        </w:rPr>
        <w:t xml:space="preserve"> Hulme</w:t>
      </w:r>
      <w:r w:rsidRPr="00332AF9">
        <w:rPr>
          <w:szCs w:val="22"/>
          <w:lang w:val="tr-TR"/>
        </w:rPr>
        <w:t xml:space="preserve"> and Edwards, “Too Close for Comfort.”</w:t>
      </w:r>
    </w:p>
  </w:endnote>
  <w:endnote w:id="38">
    <w:p w:rsidR="006A41EF" w:rsidRPr="00332AF9" w:rsidRDefault="006A41EF" w:rsidP="00230EFC">
      <w:pPr>
        <w:pStyle w:val="Footnotes"/>
        <w:rPr>
          <w:szCs w:val="22"/>
          <w:lang w:val="tr-TR"/>
        </w:rPr>
      </w:pPr>
      <w:r w:rsidRPr="00332AF9">
        <w:rPr>
          <w:rStyle w:val="EndnoteReference"/>
          <w:szCs w:val="22"/>
        </w:rPr>
        <w:endnoteRef/>
      </w:r>
      <w:r w:rsidRPr="00332AF9">
        <w:rPr>
          <w:szCs w:val="22"/>
        </w:rPr>
        <w:t xml:space="preserve"> Banks</w:t>
      </w:r>
      <w:r w:rsidRPr="00332AF9">
        <w:rPr>
          <w:szCs w:val="22"/>
          <w:lang w:val="tr-TR"/>
        </w:rPr>
        <w:t xml:space="preserve"> et al, “NGOs, States, and D</w:t>
      </w:r>
      <w:r w:rsidRPr="00332AF9">
        <w:rPr>
          <w:szCs w:val="22"/>
          <w:lang w:val="tr-TR"/>
        </w:rPr>
        <w:t>onors Revisited.”</w:t>
      </w:r>
    </w:p>
  </w:endnote>
  <w:endnote w:id="39">
    <w:p w:rsidR="006A41EF" w:rsidRPr="00332AF9" w:rsidRDefault="006A41EF" w:rsidP="00A53ED4">
      <w:pPr>
        <w:pStyle w:val="Footnotes"/>
        <w:rPr>
          <w:szCs w:val="22"/>
        </w:rPr>
      </w:pPr>
      <w:r w:rsidRPr="00332AF9">
        <w:rPr>
          <w:rStyle w:val="EndnoteReference"/>
          <w:szCs w:val="22"/>
        </w:rPr>
        <w:endnoteRef/>
      </w:r>
      <w:r w:rsidRPr="00332AF9">
        <w:rPr>
          <w:szCs w:val="22"/>
        </w:rPr>
        <w:t xml:space="preserve"> Grassroots organizations are self-organized group of local people working voluntarily to find solution to problems in their community.</w:t>
      </w:r>
    </w:p>
  </w:endnote>
  <w:endnote w:id="40">
    <w:p w:rsidR="006A41EF" w:rsidRPr="00332AF9" w:rsidRDefault="006A41EF" w:rsidP="00230EFC">
      <w:pPr>
        <w:pStyle w:val="Footnotes"/>
        <w:rPr>
          <w:szCs w:val="22"/>
          <w:lang w:val="tr-TR"/>
        </w:rPr>
      </w:pPr>
      <w:r w:rsidRPr="00332AF9">
        <w:rPr>
          <w:rStyle w:val="EndnoteReference"/>
          <w:szCs w:val="22"/>
        </w:rPr>
        <w:endnoteRef/>
      </w:r>
      <w:r w:rsidRPr="00332AF9">
        <w:rPr>
          <w:szCs w:val="22"/>
        </w:rPr>
        <w:t xml:space="preserve"> Alvarez, “Advocating Feminism.”</w:t>
      </w:r>
    </w:p>
  </w:endnote>
  <w:endnote w:id="41">
    <w:p w:rsidR="006A41EF" w:rsidRPr="00332AF9" w:rsidRDefault="006A41EF" w:rsidP="00B8388F">
      <w:pPr>
        <w:pStyle w:val="Footnotes"/>
        <w:rPr>
          <w:szCs w:val="22"/>
          <w:lang w:val="tr-TR"/>
        </w:rPr>
      </w:pPr>
      <w:r w:rsidRPr="00332AF9">
        <w:rPr>
          <w:rStyle w:val="EndnoteReference"/>
          <w:szCs w:val="22"/>
        </w:rPr>
        <w:endnoteRef/>
      </w:r>
      <w:r w:rsidRPr="00332AF9">
        <w:rPr>
          <w:szCs w:val="22"/>
        </w:rPr>
        <w:t xml:space="preserve"> Gupta, “From Demanding to Delivering Development”; Roy, “The Indian Women’s Movement,” 102; Roy, “The NGO-ization of Resistance.”</w:t>
      </w:r>
    </w:p>
  </w:endnote>
  <w:endnote w:id="42">
    <w:p w:rsidR="006A41EF" w:rsidRPr="00332AF9" w:rsidRDefault="006A41EF" w:rsidP="00B8388F">
      <w:pPr>
        <w:pStyle w:val="Footnotes"/>
        <w:rPr>
          <w:i/>
          <w:szCs w:val="22"/>
          <w:lang w:val="tr-TR"/>
        </w:rPr>
      </w:pPr>
      <w:r w:rsidRPr="00332AF9">
        <w:rPr>
          <w:rStyle w:val="EndnoteReference"/>
          <w:szCs w:val="22"/>
        </w:rPr>
        <w:endnoteRef/>
      </w:r>
      <w:r w:rsidRPr="00332AF9">
        <w:rPr>
          <w:szCs w:val="22"/>
        </w:rPr>
        <w:t xml:space="preserve"> Biekart, </w:t>
      </w:r>
      <w:r w:rsidRPr="00332AF9">
        <w:rPr>
          <w:i/>
          <w:szCs w:val="22"/>
        </w:rPr>
        <w:t>The Politics of Civil Society Building..</w:t>
      </w:r>
    </w:p>
  </w:endnote>
  <w:endnote w:id="43">
    <w:p w:rsidR="006A41EF" w:rsidRPr="00332AF9" w:rsidRDefault="006A41EF" w:rsidP="00B8388F">
      <w:pPr>
        <w:pStyle w:val="Footnotes"/>
        <w:rPr>
          <w:szCs w:val="22"/>
        </w:rPr>
      </w:pPr>
      <w:r w:rsidRPr="00332AF9">
        <w:rPr>
          <w:rStyle w:val="EndnoteReference"/>
          <w:szCs w:val="22"/>
        </w:rPr>
        <w:endnoteRef/>
      </w:r>
      <w:r w:rsidRPr="00332AF9">
        <w:rPr>
          <w:szCs w:val="22"/>
        </w:rPr>
        <w:t xml:space="preserve"> </w:t>
      </w:r>
      <w:r w:rsidRPr="00332AF9">
        <w:rPr>
          <w:noProof/>
          <w:szCs w:val="22"/>
        </w:rPr>
        <w:t xml:space="preserve">Howell and Pearce, </w:t>
      </w:r>
      <w:r w:rsidRPr="00332AF9">
        <w:rPr>
          <w:i/>
          <w:szCs w:val="22"/>
        </w:rPr>
        <w:t>Civil Society and Development</w:t>
      </w:r>
      <w:r w:rsidRPr="00332AF9">
        <w:rPr>
          <w:szCs w:val="22"/>
        </w:rPr>
        <w:t>;</w:t>
      </w:r>
      <w:r w:rsidRPr="00332AF9">
        <w:rPr>
          <w:noProof/>
          <w:szCs w:val="22"/>
        </w:rPr>
        <w:t xml:space="preserve"> Kihika, “Development or Underdevelopment” ; Mercer, </w:t>
      </w:r>
      <w:r w:rsidRPr="00332AF9">
        <w:rPr>
          <w:szCs w:val="22"/>
        </w:rPr>
        <w:t>“NGOs, Civil Society and Democratization.”</w:t>
      </w:r>
    </w:p>
  </w:endnote>
  <w:endnote w:id="44">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Alvarez, “Advocating Feminism”; Armstrong and Prashad, “Exiles from a Future Land”; Jad, “The NGO-isation of Arab Women’s Movement”; Choudry, “Global Justice”; Kamat, “The Privatization of Public Interest.”</w:t>
      </w:r>
    </w:p>
  </w:endnote>
  <w:endnote w:id="45">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De Schutter, “Europe in Search of Its Civil Society,” 206.</w:t>
      </w:r>
    </w:p>
  </w:endnote>
  <w:endnote w:id="46">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Zihnioğlu </w:t>
      </w:r>
      <w:r w:rsidRPr="00332AF9">
        <w:rPr>
          <w:i/>
          <w:szCs w:val="22"/>
        </w:rPr>
        <w:t>European Union Civil Society Policy and Turkey</w:t>
      </w:r>
      <w:r w:rsidRPr="00332AF9">
        <w:rPr>
          <w:szCs w:val="22"/>
        </w:rPr>
        <w:t>, 52-53.</w:t>
      </w:r>
    </w:p>
  </w:endnote>
  <w:endnote w:id="47">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Choudry and Kapoor, “Introduction,” 14.</w:t>
      </w:r>
    </w:p>
  </w:endnote>
  <w:endnote w:id="48">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w:t>
      </w:r>
      <w:r w:rsidRPr="00332AF9">
        <w:rPr>
          <w:szCs w:val="22"/>
          <w:lang w:val="tr-TR"/>
        </w:rPr>
        <w:t>Roy, “The NGO-ization of Resistance.”</w:t>
      </w:r>
    </w:p>
  </w:endnote>
  <w:endnote w:id="49">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Hulme and Edwards, “NGOs, States and Donors,” 6.</w:t>
      </w:r>
    </w:p>
  </w:endnote>
  <w:endnote w:id="50">
    <w:p w:rsidR="006A41EF" w:rsidRPr="00B4453F" w:rsidRDefault="006A41EF" w:rsidP="00B4453F">
      <w:pPr>
        <w:pStyle w:val="Footnotes"/>
        <w:rPr>
          <w:lang w:val="tr-TR"/>
        </w:rPr>
      </w:pPr>
      <w:r>
        <w:rPr>
          <w:rStyle w:val="EndnoteReference"/>
        </w:rPr>
        <w:endnoteRef/>
      </w:r>
      <w:r>
        <w:t xml:space="preserve"> </w:t>
      </w:r>
      <w:r w:rsidRPr="00332AF9">
        <w:rPr>
          <w:szCs w:val="22"/>
        </w:rPr>
        <w:t>Banks</w:t>
      </w:r>
      <w:r w:rsidRPr="00332AF9">
        <w:rPr>
          <w:szCs w:val="22"/>
          <w:lang w:val="tr-TR"/>
        </w:rPr>
        <w:t xml:space="preserve"> et al, “NGOs</w:t>
      </w:r>
      <w:r>
        <w:rPr>
          <w:szCs w:val="22"/>
          <w:lang w:val="tr-TR"/>
        </w:rPr>
        <w:t xml:space="preserve">, </w:t>
      </w:r>
      <w:r w:rsidRPr="00B4453F">
        <w:rPr>
          <w:szCs w:val="22"/>
        </w:rPr>
        <w:t>States</w:t>
      </w:r>
      <w:r>
        <w:rPr>
          <w:szCs w:val="22"/>
          <w:lang w:val="tr-TR"/>
        </w:rPr>
        <w:t>, and Deonors Revisited,</w:t>
      </w:r>
      <w:r w:rsidRPr="00332AF9">
        <w:rPr>
          <w:szCs w:val="22"/>
          <w:lang w:val="tr-TR"/>
        </w:rPr>
        <w:t>”</w:t>
      </w:r>
      <w:r>
        <w:rPr>
          <w:szCs w:val="22"/>
          <w:lang w:val="tr-TR"/>
        </w:rPr>
        <w:t xml:space="preserve"> 710.</w:t>
      </w:r>
    </w:p>
  </w:endnote>
  <w:endnote w:id="51">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Hearn “African NGOs.”</w:t>
      </w:r>
    </w:p>
  </w:endnote>
  <w:endnote w:id="52">
    <w:p w:rsidR="006A41EF" w:rsidRPr="00332AF9" w:rsidRDefault="006A41EF" w:rsidP="00F328AB">
      <w:pPr>
        <w:pStyle w:val="Footnotes"/>
        <w:rPr>
          <w:szCs w:val="22"/>
          <w:lang w:val="tr-TR"/>
        </w:rPr>
      </w:pPr>
      <w:r w:rsidRPr="00332AF9">
        <w:rPr>
          <w:rStyle w:val="EndnoteReference"/>
          <w:szCs w:val="22"/>
        </w:rPr>
        <w:endnoteRef/>
      </w:r>
      <w:r w:rsidRPr="00332AF9">
        <w:rPr>
          <w:szCs w:val="22"/>
        </w:rPr>
        <w:t xml:space="preserve"> Ergun “Civil Society in Turkey and Local Dimensions of Europeanization,” 514; Rumelili and Boşnak, “Taking Stock of Europeanization of Civil Society in Turkey,” 135.</w:t>
      </w:r>
    </w:p>
  </w:endnote>
  <w:endnote w:id="53">
    <w:p w:rsidR="006A41EF" w:rsidRPr="00332AF9" w:rsidRDefault="006A41EF" w:rsidP="00EB6017">
      <w:pPr>
        <w:pStyle w:val="Footnotes"/>
        <w:rPr>
          <w:szCs w:val="22"/>
          <w:lang w:val="tr-TR"/>
        </w:rPr>
      </w:pPr>
      <w:r w:rsidRPr="00332AF9">
        <w:rPr>
          <w:rStyle w:val="EndnoteReference"/>
          <w:szCs w:val="22"/>
        </w:rPr>
        <w:endnoteRef/>
      </w:r>
      <w:r w:rsidRPr="00332AF9">
        <w:rPr>
          <w:szCs w:val="22"/>
        </w:rPr>
        <w:t xml:space="preserve"> Paker</w:t>
      </w:r>
      <w:r w:rsidRPr="00332AF9">
        <w:rPr>
          <w:szCs w:val="22"/>
          <w:lang w:val="tr-TR"/>
        </w:rPr>
        <w:t xml:space="preserve"> et.al., “Environmental Organisations in Turkey,” 770-771.</w:t>
      </w:r>
    </w:p>
  </w:endnote>
  <w:endnote w:id="54">
    <w:p w:rsidR="006A41EF" w:rsidRPr="00332AF9" w:rsidRDefault="006A41EF" w:rsidP="00EB6017">
      <w:pPr>
        <w:pStyle w:val="Footnotes"/>
        <w:rPr>
          <w:szCs w:val="22"/>
          <w:lang w:val="tr-TR"/>
        </w:rPr>
      </w:pPr>
      <w:r w:rsidRPr="00332AF9">
        <w:rPr>
          <w:rStyle w:val="EndnoteReference"/>
          <w:szCs w:val="22"/>
        </w:rPr>
        <w:endnoteRef/>
      </w:r>
      <w:r w:rsidRPr="00332AF9">
        <w:rPr>
          <w:szCs w:val="22"/>
        </w:rPr>
        <w:t xml:space="preserve"> Kuzmanovic, “Project Culture and Turkish Civil Society,” 436.</w:t>
      </w:r>
    </w:p>
  </w:endnote>
  <w:endnote w:id="55">
    <w:p w:rsidR="006A41EF" w:rsidRPr="00332AF9" w:rsidRDefault="006A41EF" w:rsidP="00D405A1">
      <w:pPr>
        <w:pStyle w:val="Footnotes"/>
        <w:rPr>
          <w:szCs w:val="22"/>
        </w:rPr>
      </w:pPr>
      <w:r w:rsidRPr="00332AF9">
        <w:rPr>
          <w:rStyle w:val="EndnoteReference"/>
          <w:szCs w:val="22"/>
        </w:rPr>
        <w:endnoteRef/>
      </w:r>
      <w:r w:rsidRPr="00332AF9">
        <w:rPr>
          <w:szCs w:val="22"/>
        </w:rPr>
        <w:t xml:space="preserve"> CFCU is responsible for the procedural operations for distributing nearly all EU funds under IPA in Turkey. Exception to this are the small number of programmes run by the Human Resources Development Programme Authority established 2012 and EU Delegation in Ankara. The impact of their non-inclusion into sampling is minimal since CFCU’s database provides a sufficiently comprehensive list of CSOs benefited from EU funds.</w:t>
      </w:r>
    </w:p>
  </w:endnote>
  <w:endnote w:id="56">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Together with its 2007-2013 budget, the EU’s financial assistance mechanism for the candidate and potential candidate countries were consolidated under a single framework called Instrument for Pre-Accession (IPA).</w:t>
      </w:r>
    </w:p>
  </w:endnote>
  <w:endnote w:id="57">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w:t>
      </w:r>
      <w:r w:rsidRPr="00332AF9">
        <w:rPr>
          <w:rStyle w:val="nlmstring-name"/>
          <w:szCs w:val="22"/>
          <w:shd w:val="clear" w:color="auto" w:fill="FFFFFF"/>
        </w:rPr>
        <w:t>Ministry for EU Affairs</w:t>
      </w:r>
      <w:r w:rsidRPr="00332AF9">
        <w:rPr>
          <w:szCs w:val="22"/>
        </w:rPr>
        <w:t>, “Turkey-EU Financial Cooperation.”</w:t>
      </w:r>
    </w:p>
  </w:endnote>
  <w:endnote w:id="58">
    <w:p w:rsidR="006A41EF" w:rsidRPr="00332AF9" w:rsidRDefault="006A41EF" w:rsidP="00623176">
      <w:pPr>
        <w:pStyle w:val="Footnotes"/>
        <w:rPr>
          <w:i/>
          <w:szCs w:val="22"/>
          <w:lang w:val="tr-TR"/>
        </w:rPr>
      </w:pPr>
      <w:r w:rsidRPr="00332AF9">
        <w:rPr>
          <w:rStyle w:val="EndnoteReference"/>
          <w:szCs w:val="22"/>
        </w:rPr>
        <w:endnoteRef/>
      </w:r>
      <w:r w:rsidRPr="00332AF9">
        <w:rPr>
          <w:szCs w:val="22"/>
        </w:rPr>
        <w:t xml:space="preserve"> </w:t>
      </w:r>
      <w:r w:rsidRPr="00332AF9">
        <w:rPr>
          <w:szCs w:val="22"/>
          <w:shd w:val="clear" w:color="auto" w:fill="FFFFFF"/>
        </w:rPr>
        <w:t xml:space="preserve">European Commission, </w:t>
      </w:r>
      <w:r w:rsidRPr="00332AF9">
        <w:rPr>
          <w:i/>
          <w:szCs w:val="22"/>
          <w:shd w:val="clear" w:color="auto" w:fill="FFFFFF"/>
        </w:rPr>
        <w:t>Civil Society Dialogue.</w:t>
      </w:r>
    </w:p>
  </w:endnote>
  <w:endnote w:id="59">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w:t>
      </w:r>
      <w:r w:rsidRPr="00332AF9">
        <w:rPr>
          <w:szCs w:val="22"/>
          <w:shd w:val="clear" w:color="auto" w:fill="FFFFFF"/>
        </w:rPr>
        <w:t xml:space="preserve">European Council, </w:t>
      </w:r>
      <w:r w:rsidRPr="00332AF9">
        <w:rPr>
          <w:i/>
          <w:szCs w:val="22"/>
          <w:shd w:val="clear" w:color="auto" w:fill="FFFFFF"/>
        </w:rPr>
        <w:t>Regulation No 1085/2006,</w:t>
      </w:r>
      <w:r w:rsidRPr="00332AF9">
        <w:rPr>
          <w:szCs w:val="22"/>
          <w:shd w:val="clear" w:color="auto" w:fill="FFFFFF"/>
        </w:rPr>
        <w:t xml:space="preserve"> Title I, Article 2; European Commission, </w:t>
      </w:r>
      <w:r w:rsidRPr="00332AF9">
        <w:rPr>
          <w:i/>
          <w:szCs w:val="22"/>
          <w:shd w:val="clear" w:color="auto" w:fill="FFFFFF"/>
        </w:rPr>
        <w:t>The Enlargement Strategy and Main Challenges</w:t>
      </w:r>
      <w:r w:rsidRPr="00332AF9">
        <w:rPr>
          <w:szCs w:val="22"/>
          <w:shd w:val="clear" w:color="auto" w:fill="FFFFFF"/>
        </w:rPr>
        <w:t xml:space="preserve">, Sections 3.2 and 3.5; European Commission, </w:t>
      </w:r>
      <w:r w:rsidRPr="00332AF9">
        <w:rPr>
          <w:i/>
          <w:szCs w:val="22"/>
          <w:shd w:val="clear" w:color="auto" w:fill="FFFFFF"/>
        </w:rPr>
        <w:t>Civil Society Dialogue</w:t>
      </w:r>
      <w:r w:rsidRPr="00332AF9">
        <w:rPr>
          <w:szCs w:val="22"/>
          <w:shd w:val="clear" w:color="auto" w:fill="FFFFFF"/>
        </w:rPr>
        <w:t xml:space="preserve">, </w:t>
      </w:r>
      <w:r w:rsidRPr="00332AF9">
        <w:rPr>
          <w:rFonts w:eastAsia="StoneSerif"/>
          <w:szCs w:val="22"/>
        </w:rPr>
        <w:t>2.2.3.1</w:t>
      </w:r>
      <w:r w:rsidRPr="00332AF9">
        <w:rPr>
          <w:szCs w:val="22"/>
        </w:rPr>
        <w:t>.</w:t>
      </w:r>
    </w:p>
  </w:endnote>
  <w:endnote w:id="60">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w:t>
      </w:r>
      <w:r w:rsidRPr="00332AF9">
        <w:rPr>
          <w:szCs w:val="22"/>
          <w:shd w:val="clear" w:color="auto" w:fill="FFFFFF"/>
        </w:rPr>
        <w:t xml:space="preserve">European Commission </w:t>
      </w:r>
      <w:r w:rsidRPr="00332AF9">
        <w:rPr>
          <w:i/>
          <w:szCs w:val="22"/>
        </w:rPr>
        <w:t>The Roots of Democracy and Sustainable Development,</w:t>
      </w:r>
      <w:r w:rsidRPr="00332AF9">
        <w:rPr>
          <w:szCs w:val="22"/>
          <w:shd w:val="clear" w:color="auto" w:fill="FFFFFF"/>
        </w:rPr>
        <w:t xml:space="preserve"> 3.</w:t>
      </w:r>
    </w:p>
  </w:endnote>
  <w:endnote w:id="61">
    <w:p w:rsidR="006A41EF" w:rsidRPr="00332AF9" w:rsidRDefault="006A41EF" w:rsidP="007225F0">
      <w:pPr>
        <w:pStyle w:val="Footnotes"/>
        <w:rPr>
          <w:szCs w:val="22"/>
          <w:lang w:val="tr-TR"/>
        </w:rPr>
      </w:pPr>
      <w:r w:rsidRPr="00332AF9">
        <w:rPr>
          <w:rStyle w:val="EndnoteReference"/>
          <w:szCs w:val="22"/>
        </w:rPr>
        <w:endnoteRef/>
      </w:r>
      <w:r w:rsidRPr="00332AF9">
        <w:rPr>
          <w:szCs w:val="22"/>
        </w:rPr>
        <w:t xml:space="preserve"> </w:t>
      </w:r>
      <w:r w:rsidRPr="00332AF9">
        <w:rPr>
          <w:szCs w:val="22"/>
          <w:lang w:val="tr-TR"/>
        </w:rPr>
        <w:t>The EU’s pre-accession financial assistance instrument providing financial and technical support to Turkey’s political and economic reforms during the accession process.</w:t>
      </w:r>
    </w:p>
  </w:endnote>
  <w:endnote w:id="62">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w:t>
      </w:r>
      <w:r w:rsidRPr="00332AF9">
        <w:rPr>
          <w:szCs w:val="22"/>
          <w:shd w:val="clear" w:color="auto" w:fill="FFFFFF"/>
        </w:rPr>
        <w:t>Ministry for EU Affairs, 53.</w:t>
      </w:r>
    </w:p>
  </w:endnote>
  <w:endnote w:id="63">
    <w:p w:rsidR="006A41EF" w:rsidRPr="00332AF9" w:rsidRDefault="006A41EF" w:rsidP="00623176">
      <w:pPr>
        <w:pStyle w:val="Footnotes"/>
        <w:rPr>
          <w:szCs w:val="22"/>
        </w:rPr>
      </w:pPr>
      <w:r w:rsidRPr="00332AF9">
        <w:rPr>
          <w:rStyle w:val="EndnoteReference"/>
          <w:szCs w:val="22"/>
        </w:rPr>
        <w:endnoteRef/>
      </w:r>
      <w:r w:rsidRPr="00332AF9">
        <w:rPr>
          <w:szCs w:val="22"/>
        </w:rPr>
        <w:t xml:space="preserve"> </w:t>
      </w:r>
      <w:r w:rsidRPr="00332AF9">
        <w:rPr>
          <w:szCs w:val="22"/>
          <w:shd w:val="clear" w:color="auto" w:fill="FFFFFF"/>
        </w:rPr>
        <w:t xml:space="preserve">Central Finance and Contracts Unit, “Grants Database.” </w:t>
      </w:r>
      <w:r w:rsidRPr="00332AF9">
        <w:rPr>
          <w:szCs w:val="22"/>
        </w:rPr>
        <w:t xml:space="preserve">See Youngs and Küçükkeleş, </w:t>
      </w:r>
      <w:r w:rsidRPr="00332AF9">
        <w:rPr>
          <w:i/>
          <w:szCs w:val="22"/>
        </w:rPr>
        <w:t>New Directions for European Assistance in Turkey</w:t>
      </w:r>
      <w:r w:rsidRPr="00332AF9">
        <w:rPr>
          <w:szCs w:val="22"/>
        </w:rPr>
        <w:t xml:space="preserve"> for a detailed summary of recent EU support programmes to CSOs and other civic actors in Turkey.</w:t>
      </w:r>
    </w:p>
  </w:endnote>
  <w:endnote w:id="64">
    <w:p w:rsidR="006A41EF" w:rsidRPr="00766721" w:rsidRDefault="006A41EF" w:rsidP="00284AD0">
      <w:pPr>
        <w:pStyle w:val="Footnotes"/>
        <w:rPr>
          <w:lang w:val="tr-TR"/>
        </w:rPr>
      </w:pPr>
      <w:r>
        <w:rPr>
          <w:rStyle w:val="EndnoteReference"/>
        </w:rPr>
        <w:endnoteRef/>
      </w:r>
      <w:r>
        <w:t xml:space="preserve"> </w:t>
      </w:r>
      <w:r w:rsidRPr="00240B3F">
        <w:rPr>
          <w:lang w:val="tr-TR"/>
        </w:rPr>
        <w:t>Interview</w:t>
      </w:r>
      <w:r>
        <w:rPr>
          <w:lang w:val="tr-TR"/>
        </w:rPr>
        <w:t>, CSO 41</w:t>
      </w:r>
    </w:p>
  </w:endnote>
  <w:endnote w:id="65">
    <w:p w:rsidR="006A41EF" w:rsidRPr="00240B3F" w:rsidRDefault="006A41EF" w:rsidP="00240B3F">
      <w:pPr>
        <w:pStyle w:val="Footnotes"/>
        <w:rPr>
          <w:lang w:val="tr-TR"/>
        </w:rPr>
      </w:pPr>
      <w:r>
        <w:rPr>
          <w:rStyle w:val="EndnoteReference"/>
        </w:rPr>
        <w:endnoteRef/>
      </w:r>
      <w:r>
        <w:t xml:space="preserve"> </w:t>
      </w:r>
      <w:r>
        <w:rPr>
          <w:lang w:val="tr-TR"/>
        </w:rPr>
        <w:t>The interviewee refers to social security and means officially employed.</w:t>
      </w:r>
    </w:p>
  </w:endnote>
  <w:endnote w:id="66">
    <w:p w:rsidR="006A41EF" w:rsidRPr="00240B3F" w:rsidRDefault="006A41EF" w:rsidP="00240B3F">
      <w:pPr>
        <w:pStyle w:val="Footnotes"/>
        <w:rPr>
          <w:lang w:val="tr-TR"/>
        </w:rPr>
      </w:pPr>
      <w:r>
        <w:rPr>
          <w:rStyle w:val="EndnoteReference"/>
        </w:rPr>
        <w:endnoteRef/>
      </w:r>
      <w:r>
        <w:t xml:space="preserve"> </w:t>
      </w:r>
      <w:r w:rsidRPr="00240B3F">
        <w:rPr>
          <w:lang w:val="tr-TR"/>
        </w:rPr>
        <w:t>Interview</w:t>
      </w:r>
      <w:r>
        <w:rPr>
          <w:lang w:val="tr-TR"/>
        </w:rPr>
        <w:t>, CSO 23</w:t>
      </w:r>
    </w:p>
  </w:endnote>
  <w:endnote w:id="67">
    <w:p w:rsidR="006A41EF" w:rsidRPr="00240B3F" w:rsidRDefault="006A41EF" w:rsidP="00240B3F">
      <w:pPr>
        <w:pStyle w:val="Footnotes"/>
        <w:rPr>
          <w:lang w:val="tr-TR"/>
        </w:rPr>
      </w:pPr>
      <w:r>
        <w:rPr>
          <w:rStyle w:val="EndnoteReference"/>
        </w:rPr>
        <w:endnoteRef/>
      </w:r>
      <w:r>
        <w:t xml:space="preserve"> </w:t>
      </w:r>
      <w:r w:rsidRPr="00240B3F">
        <w:rPr>
          <w:lang w:val="tr-TR"/>
        </w:rPr>
        <w:t>Interview</w:t>
      </w:r>
      <w:r>
        <w:rPr>
          <w:lang w:val="tr-TR"/>
        </w:rPr>
        <w:t>, CSO 38</w:t>
      </w:r>
    </w:p>
  </w:endnote>
  <w:endnote w:id="68">
    <w:p w:rsidR="006A41EF" w:rsidRPr="00240B3F" w:rsidRDefault="006A41EF" w:rsidP="00240B3F">
      <w:pPr>
        <w:pStyle w:val="Footnotes"/>
        <w:rPr>
          <w:lang w:val="tr-TR"/>
        </w:rPr>
      </w:pPr>
      <w:r>
        <w:rPr>
          <w:rStyle w:val="EndnoteReference"/>
        </w:rPr>
        <w:endnoteRef/>
      </w:r>
      <w:r>
        <w:t xml:space="preserve"> </w:t>
      </w:r>
      <w:r w:rsidRPr="00727FD5">
        <w:rPr>
          <w:szCs w:val="22"/>
        </w:rPr>
        <w:t>Interview</w:t>
      </w:r>
      <w:r>
        <w:rPr>
          <w:lang w:val="tr-TR"/>
        </w:rPr>
        <w:t xml:space="preserve">, </w:t>
      </w:r>
      <w:r w:rsidRPr="006F3884">
        <w:rPr>
          <w:lang w:val="tr-TR"/>
        </w:rPr>
        <w:t>CSO 34</w:t>
      </w:r>
    </w:p>
  </w:endnote>
  <w:endnote w:id="69">
    <w:p w:rsidR="006A41EF" w:rsidRPr="000F11F4" w:rsidRDefault="006A41EF" w:rsidP="000F11F4">
      <w:pPr>
        <w:pStyle w:val="Footnotes"/>
        <w:rPr>
          <w:lang w:val="tr-TR"/>
        </w:rPr>
      </w:pPr>
      <w:r>
        <w:rPr>
          <w:rStyle w:val="EndnoteReference"/>
        </w:rPr>
        <w:endnoteRef/>
      </w:r>
      <w:r>
        <w:t xml:space="preserve"> </w:t>
      </w:r>
      <w:r>
        <w:rPr>
          <w:lang w:val="tr-TR"/>
        </w:rPr>
        <w:t>See Roy</w:t>
      </w:r>
      <w:r>
        <w:rPr>
          <w:szCs w:val="22"/>
        </w:rPr>
        <w:t>, “The NGO-ization of Resistance;</w:t>
      </w:r>
      <w:r w:rsidRPr="00332AF9">
        <w:rPr>
          <w:szCs w:val="22"/>
        </w:rPr>
        <w:t>”</w:t>
      </w:r>
      <w:r>
        <w:rPr>
          <w:szCs w:val="22"/>
        </w:rPr>
        <w:t xml:space="preserve"> </w:t>
      </w:r>
      <w:r w:rsidRPr="00332AF9">
        <w:rPr>
          <w:szCs w:val="22"/>
        </w:rPr>
        <w:t>Ergun “Civil Society in Turkey and Local Dimensions of Europeanization,” 514; Rumelili and Boşnak, “Taking Stock of Europeanization of Civil Society in Turkey,” 135.</w:t>
      </w:r>
    </w:p>
  </w:endnote>
  <w:endnote w:id="70">
    <w:p w:rsidR="006A41EF" w:rsidRPr="00240B3F" w:rsidRDefault="006A41EF" w:rsidP="00240B3F">
      <w:pPr>
        <w:pStyle w:val="Footnotes"/>
        <w:rPr>
          <w:lang w:val="tr-TR"/>
        </w:rPr>
      </w:pPr>
      <w:r>
        <w:rPr>
          <w:rStyle w:val="EndnoteReference"/>
        </w:rPr>
        <w:endnoteRef/>
      </w:r>
      <w:r>
        <w:t xml:space="preserve"> </w:t>
      </w:r>
      <w:r w:rsidRPr="00727FD5">
        <w:rPr>
          <w:szCs w:val="22"/>
        </w:rPr>
        <w:t>Interview</w:t>
      </w:r>
      <w:r>
        <w:rPr>
          <w:lang w:val="tr-TR"/>
        </w:rPr>
        <w:t>, CSO 18</w:t>
      </w:r>
    </w:p>
  </w:endnote>
  <w:endnote w:id="71">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Interview, Hale Akay.</w:t>
      </w:r>
    </w:p>
  </w:endnote>
  <w:endnote w:id="72">
    <w:p w:rsidR="006A41EF" w:rsidRPr="00BE02E3" w:rsidRDefault="006A41EF" w:rsidP="009D051B">
      <w:pPr>
        <w:pStyle w:val="Footnotes"/>
        <w:rPr>
          <w:lang w:val="tr-TR"/>
        </w:rPr>
      </w:pPr>
      <w:r w:rsidRPr="00332AF9">
        <w:rPr>
          <w:rStyle w:val="EndnoteReference"/>
          <w:szCs w:val="22"/>
        </w:rPr>
        <w:endnoteRef/>
      </w:r>
      <w:r w:rsidRPr="00332AF9">
        <w:rPr>
          <w:szCs w:val="22"/>
        </w:rPr>
        <w:t xml:space="preserve"> Interview, CSO 4</w:t>
      </w:r>
    </w:p>
  </w:endnote>
  <w:endnote w:id="73">
    <w:p w:rsidR="006A41EF" w:rsidRPr="00006128" w:rsidRDefault="006A41EF" w:rsidP="009D051B">
      <w:pPr>
        <w:pStyle w:val="Footnotes"/>
        <w:rPr>
          <w:highlight w:val="yellow"/>
        </w:rPr>
      </w:pPr>
      <w:r w:rsidRPr="00C90026">
        <w:rPr>
          <w:rStyle w:val="EndnoteReference"/>
        </w:rPr>
        <w:endnoteRef/>
      </w:r>
      <w:r w:rsidRPr="00C90026">
        <w:t xml:space="preserve"> </w:t>
      </w:r>
      <w:r w:rsidRPr="00006128">
        <w:rPr>
          <w:szCs w:val="22"/>
        </w:rPr>
        <w:t>See</w:t>
      </w:r>
      <w:r w:rsidRPr="00C90026">
        <w:t xml:space="preserve"> for instance </w:t>
      </w:r>
      <w:r w:rsidRPr="00095EC0">
        <w:t>World Values Survey, European Social Survey and International Social Survey Programme of OECD; World Map of Interpersonal Trust</w:t>
      </w:r>
      <w:r>
        <w:t>.</w:t>
      </w:r>
    </w:p>
  </w:endnote>
  <w:endnote w:id="74">
    <w:p w:rsidR="006A41EF" w:rsidRPr="00024843" w:rsidRDefault="006A41EF" w:rsidP="009D051B">
      <w:pPr>
        <w:pStyle w:val="Footnotes"/>
      </w:pPr>
      <w:r w:rsidRPr="00095EC0">
        <w:rPr>
          <w:rStyle w:val="EndnoteReference"/>
        </w:rPr>
        <w:endnoteRef/>
      </w:r>
      <w:r w:rsidRPr="00095EC0">
        <w:t xml:space="preserve"> Third </w:t>
      </w:r>
      <w:r w:rsidRPr="00095EC0">
        <w:rPr>
          <w:szCs w:val="22"/>
        </w:rPr>
        <w:t>Sector</w:t>
      </w:r>
      <w:r w:rsidRPr="00095EC0">
        <w:t xml:space="preserve"> Foundation, “</w:t>
      </w:r>
      <w:r w:rsidRPr="00095EC0">
        <w:rPr>
          <w:i/>
        </w:rPr>
        <w:t>Sivil Toplum İzleme Raporu 2013-2014</w:t>
      </w:r>
      <w:r w:rsidRPr="00095EC0">
        <w:t>”;</w:t>
      </w:r>
      <w:r w:rsidRPr="00095EC0">
        <w:rPr>
          <w:i/>
        </w:rPr>
        <w:t xml:space="preserve"> </w:t>
      </w:r>
      <w:r>
        <w:t>Charities Aid Foundation,</w:t>
      </w:r>
      <w:r w:rsidRPr="00095EC0">
        <w:t xml:space="preserve"> </w:t>
      </w:r>
      <w:r>
        <w:t>“</w:t>
      </w:r>
      <w:r>
        <w:rPr>
          <w:i/>
        </w:rPr>
        <w:t>World Giving Index.</w:t>
      </w:r>
      <w:r>
        <w:t>”</w:t>
      </w:r>
      <w:r w:rsidRPr="00095EC0">
        <w:t xml:space="preserve">  </w:t>
      </w:r>
    </w:p>
  </w:endnote>
  <w:endnote w:id="75">
    <w:p w:rsidR="006A41EF" w:rsidRPr="00332AF9" w:rsidRDefault="006A41EF" w:rsidP="006D1936">
      <w:pPr>
        <w:pStyle w:val="Footnotes"/>
        <w:rPr>
          <w:szCs w:val="22"/>
          <w:lang w:val="tr-TR"/>
        </w:rPr>
      </w:pPr>
      <w:r w:rsidRPr="00332AF9">
        <w:rPr>
          <w:rStyle w:val="EndnoteReference"/>
          <w:szCs w:val="22"/>
        </w:rPr>
        <w:endnoteRef/>
      </w:r>
      <w:r w:rsidRPr="00332AF9">
        <w:rPr>
          <w:szCs w:val="22"/>
        </w:rPr>
        <w:t xml:space="preserve"> Interview</w:t>
      </w:r>
      <w:r w:rsidRPr="00332AF9">
        <w:rPr>
          <w:szCs w:val="22"/>
          <w:lang w:val="tr-TR"/>
        </w:rPr>
        <w:t>, CSO 4.</w:t>
      </w:r>
    </w:p>
  </w:endnote>
  <w:endnote w:id="76">
    <w:p w:rsidR="006A41EF" w:rsidRPr="00946664" w:rsidRDefault="006A41EF" w:rsidP="00946664">
      <w:pPr>
        <w:pStyle w:val="Footnotes"/>
        <w:rPr>
          <w:lang w:val="tr-TR"/>
        </w:rPr>
      </w:pPr>
      <w:r>
        <w:rPr>
          <w:rStyle w:val="EndnoteReference"/>
        </w:rPr>
        <w:endnoteRef/>
      </w:r>
      <w:r>
        <w:t xml:space="preserve"> </w:t>
      </w:r>
      <w:r w:rsidRPr="00946664">
        <w:rPr>
          <w:szCs w:val="22"/>
        </w:rPr>
        <w:t>Interview</w:t>
      </w:r>
      <w:r>
        <w:rPr>
          <w:lang w:val="tr-TR"/>
        </w:rPr>
        <w:t>, CSO 22.</w:t>
      </w:r>
    </w:p>
  </w:endnote>
  <w:endnote w:id="77">
    <w:p w:rsidR="006A41EF" w:rsidRPr="00332AF9" w:rsidRDefault="006A41EF" w:rsidP="00BB3358">
      <w:pPr>
        <w:pStyle w:val="Footnotes"/>
        <w:rPr>
          <w:szCs w:val="22"/>
          <w:lang w:val="tr-TR"/>
        </w:rPr>
      </w:pPr>
      <w:r w:rsidRPr="00332AF9">
        <w:rPr>
          <w:rStyle w:val="EndnoteReference"/>
          <w:szCs w:val="22"/>
        </w:rPr>
        <w:endnoteRef/>
      </w:r>
      <w:r w:rsidRPr="00332AF9">
        <w:rPr>
          <w:szCs w:val="22"/>
        </w:rPr>
        <w:t xml:space="preserve"> Hulme and Edwards, “NGOs, States and Donors.”</w:t>
      </w:r>
    </w:p>
  </w:endnote>
  <w:endnote w:id="78">
    <w:p w:rsidR="006A41EF" w:rsidRPr="00332AF9" w:rsidRDefault="006A41EF" w:rsidP="00BB3358">
      <w:pPr>
        <w:pStyle w:val="Footnotes"/>
        <w:rPr>
          <w:szCs w:val="22"/>
          <w:lang w:val="tr-TR"/>
        </w:rPr>
      </w:pPr>
      <w:r w:rsidRPr="00332AF9">
        <w:rPr>
          <w:rStyle w:val="EndnoteReference"/>
          <w:szCs w:val="22"/>
        </w:rPr>
        <w:endnoteRef/>
      </w:r>
      <w:r w:rsidRPr="00332AF9">
        <w:rPr>
          <w:szCs w:val="22"/>
        </w:rPr>
        <w:t xml:space="preserve"> Interview, CSO 1.</w:t>
      </w:r>
    </w:p>
  </w:endnote>
  <w:endnote w:id="79">
    <w:p w:rsidR="006A41EF" w:rsidRPr="00332AF9" w:rsidRDefault="006A41EF" w:rsidP="00BB3358">
      <w:pPr>
        <w:pStyle w:val="Footnotes"/>
        <w:rPr>
          <w:szCs w:val="22"/>
          <w:lang w:val="tr-TR"/>
        </w:rPr>
      </w:pPr>
      <w:r w:rsidRPr="00332AF9">
        <w:rPr>
          <w:rStyle w:val="EndnoteReference"/>
          <w:szCs w:val="22"/>
        </w:rPr>
        <w:endnoteRef/>
      </w:r>
      <w:r w:rsidRPr="00332AF9">
        <w:rPr>
          <w:szCs w:val="22"/>
        </w:rPr>
        <w:t xml:space="preserve"> Interview</w:t>
      </w:r>
      <w:r w:rsidRPr="00332AF9">
        <w:rPr>
          <w:szCs w:val="22"/>
          <w:lang w:val="tr-TR"/>
        </w:rPr>
        <w:t>, Sevgi Kunt Açan</w:t>
      </w:r>
    </w:p>
  </w:endnote>
  <w:endnote w:id="80">
    <w:p w:rsidR="006A41EF" w:rsidRPr="00332AF9" w:rsidRDefault="006A41EF" w:rsidP="00D506DB">
      <w:pPr>
        <w:pStyle w:val="Footnotes"/>
        <w:rPr>
          <w:szCs w:val="22"/>
          <w:lang w:val="tr-TR"/>
        </w:rPr>
      </w:pPr>
      <w:r w:rsidRPr="00332AF9">
        <w:rPr>
          <w:rStyle w:val="EndnoteReference"/>
          <w:szCs w:val="22"/>
        </w:rPr>
        <w:endnoteRef/>
      </w:r>
      <w:r w:rsidRPr="00332AF9">
        <w:rPr>
          <w:szCs w:val="22"/>
        </w:rPr>
        <w:t xml:space="preserve"> Paker</w:t>
      </w:r>
      <w:r w:rsidRPr="00332AF9">
        <w:rPr>
          <w:szCs w:val="22"/>
          <w:lang w:val="tr-TR"/>
        </w:rPr>
        <w:t xml:space="preserve"> et.al., “Environmental Organisations in Turkey,” 770-771.</w:t>
      </w:r>
    </w:p>
  </w:endnote>
  <w:endnote w:id="81">
    <w:p w:rsidR="006A41EF" w:rsidRPr="00642B50" w:rsidRDefault="006A41EF" w:rsidP="00D506DB">
      <w:pPr>
        <w:pStyle w:val="Footnotes"/>
        <w:rPr>
          <w:lang w:val="tr-TR"/>
        </w:rPr>
      </w:pPr>
      <w:r>
        <w:rPr>
          <w:rStyle w:val="EndnoteReference"/>
        </w:rPr>
        <w:endnoteRef/>
      </w:r>
      <w:r>
        <w:t xml:space="preserve"> </w:t>
      </w:r>
      <w:r>
        <w:rPr>
          <w:lang w:val="tr-TR"/>
        </w:rPr>
        <w:t xml:space="preserve">For </w:t>
      </w:r>
      <w:r w:rsidRPr="00642B50">
        <w:rPr>
          <w:szCs w:val="22"/>
        </w:rPr>
        <w:t>example</w:t>
      </w:r>
      <w:r>
        <w:rPr>
          <w:lang w:val="tr-TR"/>
        </w:rPr>
        <w:t xml:space="preserve"> interviews CSO 14, CSO 23, CSO 43.</w:t>
      </w:r>
    </w:p>
  </w:endnote>
  <w:endnote w:id="82">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Interview, CSO 43.</w:t>
      </w:r>
    </w:p>
  </w:endnote>
  <w:endnote w:id="83">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Interview, CSO 34.</w:t>
      </w:r>
    </w:p>
  </w:endnote>
  <w:endnote w:id="84">
    <w:p w:rsidR="006A41EF" w:rsidRPr="00332AF9" w:rsidRDefault="006A41EF" w:rsidP="00623176">
      <w:pPr>
        <w:pStyle w:val="Footnotes"/>
        <w:rPr>
          <w:szCs w:val="22"/>
          <w:lang w:val="tr-TR"/>
        </w:rPr>
      </w:pPr>
      <w:r w:rsidRPr="00332AF9">
        <w:rPr>
          <w:rStyle w:val="EndnoteReference"/>
          <w:szCs w:val="22"/>
        </w:rPr>
        <w:endnoteRef/>
      </w:r>
      <w:r w:rsidRPr="00332AF9">
        <w:rPr>
          <w:szCs w:val="22"/>
        </w:rPr>
        <w:t xml:space="preserve"> Interview, CSO 35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toneSerif">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4610278"/>
      <w:docPartObj>
        <w:docPartGallery w:val="Page Numbers (Bottom of Page)"/>
        <w:docPartUnique/>
      </w:docPartObj>
    </w:sdtPr>
    <w:sdtEndPr/>
    <w:sdtContent>
      <w:p w:rsidR="006A41EF" w:rsidRDefault="006A41EF">
        <w:pPr>
          <w:pStyle w:val="Footer"/>
          <w:jc w:val="center"/>
        </w:pPr>
        <w:r>
          <w:fldChar w:fldCharType="begin"/>
        </w:r>
        <w:r>
          <w:instrText>PAGE   \* MERGEFORMAT</w:instrText>
        </w:r>
        <w:r>
          <w:fldChar w:fldCharType="separate"/>
        </w:r>
        <w:r w:rsidR="00E01907" w:rsidRPr="00E01907">
          <w:rPr>
            <w:noProof/>
            <w:lang w:val="tr-TR"/>
          </w:rPr>
          <w:t>21</w:t>
        </w:r>
        <w:r>
          <w:fldChar w:fldCharType="end"/>
        </w:r>
      </w:p>
    </w:sdtContent>
  </w:sdt>
  <w:p w:rsidR="006A41EF" w:rsidRDefault="006A4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FCD" w:rsidRDefault="00D52FCD" w:rsidP="00AF2C92">
      <w:r>
        <w:separator/>
      </w:r>
    </w:p>
  </w:footnote>
  <w:footnote w:type="continuationSeparator" w:id="0">
    <w:p w:rsidR="00D52FCD" w:rsidRDefault="00D52FCD"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2MjIytLQwMLQwMjZQ0lEKTi0uzszPAykwNKwFAFubNmctAAAA"/>
  </w:docVars>
  <w:rsids>
    <w:rsidRoot w:val="003154C5"/>
    <w:rsid w:val="00001899"/>
    <w:rsid w:val="000049AD"/>
    <w:rsid w:val="00006128"/>
    <w:rsid w:val="0000681B"/>
    <w:rsid w:val="000133C0"/>
    <w:rsid w:val="0001438F"/>
    <w:rsid w:val="00014C4E"/>
    <w:rsid w:val="00017107"/>
    <w:rsid w:val="000176F2"/>
    <w:rsid w:val="000202E2"/>
    <w:rsid w:val="00022441"/>
    <w:rsid w:val="0002261E"/>
    <w:rsid w:val="00024839"/>
    <w:rsid w:val="00026871"/>
    <w:rsid w:val="00034569"/>
    <w:rsid w:val="000351DF"/>
    <w:rsid w:val="00037A98"/>
    <w:rsid w:val="00041B65"/>
    <w:rsid w:val="000427FB"/>
    <w:rsid w:val="0004455E"/>
    <w:rsid w:val="00047CB5"/>
    <w:rsid w:val="0005180E"/>
    <w:rsid w:val="00051FAA"/>
    <w:rsid w:val="0005506F"/>
    <w:rsid w:val="000551D1"/>
    <w:rsid w:val="00055DF3"/>
    <w:rsid w:val="000572A9"/>
    <w:rsid w:val="00060884"/>
    <w:rsid w:val="00061325"/>
    <w:rsid w:val="000653DD"/>
    <w:rsid w:val="000667C6"/>
    <w:rsid w:val="000709FE"/>
    <w:rsid w:val="000733AC"/>
    <w:rsid w:val="00074B81"/>
    <w:rsid w:val="00074D22"/>
    <w:rsid w:val="00075081"/>
    <w:rsid w:val="0007528A"/>
    <w:rsid w:val="00076CF5"/>
    <w:rsid w:val="000811AB"/>
    <w:rsid w:val="00083C5F"/>
    <w:rsid w:val="0009172C"/>
    <w:rsid w:val="000930EC"/>
    <w:rsid w:val="00095E61"/>
    <w:rsid w:val="00095EC0"/>
    <w:rsid w:val="000966C1"/>
    <w:rsid w:val="000970AC"/>
    <w:rsid w:val="000A075E"/>
    <w:rsid w:val="000A09A3"/>
    <w:rsid w:val="000A1167"/>
    <w:rsid w:val="000A4428"/>
    <w:rsid w:val="000A4B69"/>
    <w:rsid w:val="000A6D40"/>
    <w:rsid w:val="000A7BC3"/>
    <w:rsid w:val="000B0B7A"/>
    <w:rsid w:val="000B1661"/>
    <w:rsid w:val="000B1F0B"/>
    <w:rsid w:val="000B2E88"/>
    <w:rsid w:val="000B4603"/>
    <w:rsid w:val="000C09BE"/>
    <w:rsid w:val="000C1380"/>
    <w:rsid w:val="000C355A"/>
    <w:rsid w:val="000C519B"/>
    <w:rsid w:val="000C554F"/>
    <w:rsid w:val="000D0DC5"/>
    <w:rsid w:val="000D15FF"/>
    <w:rsid w:val="000D28DF"/>
    <w:rsid w:val="000D488B"/>
    <w:rsid w:val="000D68DF"/>
    <w:rsid w:val="000E138D"/>
    <w:rsid w:val="000E187A"/>
    <w:rsid w:val="000E2C19"/>
    <w:rsid w:val="000E2D61"/>
    <w:rsid w:val="000E2F9B"/>
    <w:rsid w:val="000E450E"/>
    <w:rsid w:val="000E6259"/>
    <w:rsid w:val="000F11F4"/>
    <w:rsid w:val="000F1B8F"/>
    <w:rsid w:val="000F4677"/>
    <w:rsid w:val="000F5BE0"/>
    <w:rsid w:val="000F7975"/>
    <w:rsid w:val="00100587"/>
    <w:rsid w:val="00100DD1"/>
    <w:rsid w:val="0010188A"/>
    <w:rsid w:val="0010284E"/>
    <w:rsid w:val="00103122"/>
    <w:rsid w:val="0010336A"/>
    <w:rsid w:val="001050F1"/>
    <w:rsid w:val="00105AEA"/>
    <w:rsid w:val="00106DAF"/>
    <w:rsid w:val="00112663"/>
    <w:rsid w:val="00112790"/>
    <w:rsid w:val="00112AF3"/>
    <w:rsid w:val="00114ABE"/>
    <w:rsid w:val="00116023"/>
    <w:rsid w:val="001222E1"/>
    <w:rsid w:val="001328A0"/>
    <w:rsid w:val="00132E7F"/>
    <w:rsid w:val="00134484"/>
    <w:rsid w:val="00134A51"/>
    <w:rsid w:val="001370B6"/>
    <w:rsid w:val="00140727"/>
    <w:rsid w:val="00140BD6"/>
    <w:rsid w:val="001461D1"/>
    <w:rsid w:val="001514CC"/>
    <w:rsid w:val="00160628"/>
    <w:rsid w:val="00161344"/>
    <w:rsid w:val="00162195"/>
    <w:rsid w:val="0016322A"/>
    <w:rsid w:val="00163C84"/>
    <w:rsid w:val="00163DF0"/>
    <w:rsid w:val="00165A21"/>
    <w:rsid w:val="00167B0F"/>
    <w:rsid w:val="001705CE"/>
    <w:rsid w:val="0017289B"/>
    <w:rsid w:val="0017714B"/>
    <w:rsid w:val="001804DF"/>
    <w:rsid w:val="00181BDC"/>
    <w:rsid w:val="00181DB0"/>
    <w:rsid w:val="001829E3"/>
    <w:rsid w:val="00185051"/>
    <w:rsid w:val="00191C55"/>
    <w:rsid w:val="001924C0"/>
    <w:rsid w:val="0019731E"/>
    <w:rsid w:val="00197726"/>
    <w:rsid w:val="001A09FE"/>
    <w:rsid w:val="001A6258"/>
    <w:rsid w:val="001A67C9"/>
    <w:rsid w:val="001A69DE"/>
    <w:rsid w:val="001A713C"/>
    <w:rsid w:val="001B1360"/>
    <w:rsid w:val="001B1C7C"/>
    <w:rsid w:val="001B398F"/>
    <w:rsid w:val="001B46C6"/>
    <w:rsid w:val="001B4B48"/>
    <w:rsid w:val="001B4D1F"/>
    <w:rsid w:val="001B5288"/>
    <w:rsid w:val="001B5EEE"/>
    <w:rsid w:val="001B6D14"/>
    <w:rsid w:val="001B7681"/>
    <w:rsid w:val="001B7CAE"/>
    <w:rsid w:val="001C0735"/>
    <w:rsid w:val="001C0772"/>
    <w:rsid w:val="001C0D4F"/>
    <w:rsid w:val="001C1BA3"/>
    <w:rsid w:val="001C1DEC"/>
    <w:rsid w:val="001C5736"/>
    <w:rsid w:val="001C5C8D"/>
    <w:rsid w:val="001D55CF"/>
    <w:rsid w:val="001D5C63"/>
    <w:rsid w:val="001D647F"/>
    <w:rsid w:val="001D6857"/>
    <w:rsid w:val="001E0572"/>
    <w:rsid w:val="001E0A67"/>
    <w:rsid w:val="001E1028"/>
    <w:rsid w:val="001E14E2"/>
    <w:rsid w:val="001E6302"/>
    <w:rsid w:val="001E7DCB"/>
    <w:rsid w:val="001F3411"/>
    <w:rsid w:val="001F4287"/>
    <w:rsid w:val="001F4368"/>
    <w:rsid w:val="001F4DBA"/>
    <w:rsid w:val="00201E9B"/>
    <w:rsid w:val="0020311D"/>
    <w:rsid w:val="00203409"/>
    <w:rsid w:val="0020415E"/>
    <w:rsid w:val="00204FF4"/>
    <w:rsid w:val="00205F3A"/>
    <w:rsid w:val="00206A0D"/>
    <w:rsid w:val="00206D0B"/>
    <w:rsid w:val="0021056E"/>
    <w:rsid w:val="0021075D"/>
    <w:rsid w:val="0021165A"/>
    <w:rsid w:val="00211BC9"/>
    <w:rsid w:val="00213975"/>
    <w:rsid w:val="0021620C"/>
    <w:rsid w:val="002163E2"/>
    <w:rsid w:val="00216E78"/>
    <w:rsid w:val="00217275"/>
    <w:rsid w:val="00217FCC"/>
    <w:rsid w:val="00230643"/>
    <w:rsid w:val="00230EFC"/>
    <w:rsid w:val="00231062"/>
    <w:rsid w:val="0023512C"/>
    <w:rsid w:val="00236107"/>
    <w:rsid w:val="00236F4B"/>
    <w:rsid w:val="00240B3F"/>
    <w:rsid w:val="00242B0D"/>
    <w:rsid w:val="00242D8C"/>
    <w:rsid w:val="002465B3"/>
    <w:rsid w:val="002467C6"/>
    <w:rsid w:val="0024692A"/>
    <w:rsid w:val="002512B8"/>
    <w:rsid w:val="002514F5"/>
    <w:rsid w:val="00252BBA"/>
    <w:rsid w:val="00253123"/>
    <w:rsid w:val="00253752"/>
    <w:rsid w:val="00264001"/>
    <w:rsid w:val="00266354"/>
    <w:rsid w:val="00267A18"/>
    <w:rsid w:val="00273462"/>
    <w:rsid w:val="0027395B"/>
    <w:rsid w:val="00275854"/>
    <w:rsid w:val="0027761E"/>
    <w:rsid w:val="00283B41"/>
    <w:rsid w:val="00284AD0"/>
    <w:rsid w:val="00285F28"/>
    <w:rsid w:val="00286398"/>
    <w:rsid w:val="00287188"/>
    <w:rsid w:val="002925EC"/>
    <w:rsid w:val="0029560E"/>
    <w:rsid w:val="002A3C42"/>
    <w:rsid w:val="002A4CB3"/>
    <w:rsid w:val="002A5D75"/>
    <w:rsid w:val="002B1B1A"/>
    <w:rsid w:val="002B2FF1"/>
    <w:rsid w:val="002B327E"/>
    <w:rsid w:val="002B3905"/>
    <w:rsid w:val="002B417B"/>
    <w:rsid w:val="002B6408"/>
    <w:rsid w:val="002B7228"/>
    <w:rsid w:val="002C37D6"/>
    <w:rsid w:val="002C53EE"/>
    <w:rsid w:val="002C6F57"/>
    <w:rsid w:val="002D24F7"/>
    <w:rsid w:val="002D2799"/>
    <w:rsid w:val="002D2CD7"/>
    <w:rsid w:val="002D4DDC"/>
    <w:rsid w:val="002D4F75"/>
    <w:rsid w:val="002D6493"/>
    <w:rsid w:val="002D7AB6"/>
    <w:rsid w:val="002E06D0"/>
    <w:rsid w:val="002E3C27"/>
    <w:rsid w:val="002E403A"/>
    <w:rsid w:val="002E712F"/>
    <w:rsid w:val="002E7F3A"/>
    <w:rsid w:val="002F2B52"/>
    <w:rsid w:val="002F33E1"/>
    <w:rsid w:val="002F4EDB"/>
    <w:rsid w:val="002F6054"/>
    <w:rsid w:val="002F64C1"/>
    <w:rsid w:val="003020D9"/>
    <w:rsid w:val="00305E16"/>
    <w:rsid w:val="00310E13"/>
    <w:rsid w:val="00312091"/>
    <w:rsid w:val="003154C5"/>
    <w:rsid w:val="00315713"/>
    <w:rsid w:val="0031686C"/>
    <w:rsid w:val="00316B29"/>
    <w:rsid w:val="00316FE0"/>
    <w:rsid w:val="003204D2"/>
    <w:rsid w:val="0032605E"/>
    <w:rsid w:val="0032702A"/>
    <w:rsid w:val="003275D1"/>
    <w:rsid w:val="00330B2A"/>
    <w:rsid w:val="00331285"/>
    <w:rsid w:val="00331335"/>
    <w:rsid w:val="00331E17"/>
    <w:rsid w:val="003321FF"/>
    <w:rsid w:val="003328E4"/>
    <w:rsid w:val="00332AF9"/>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2BBB"/>
    <w:rsid w:val="003744A7"/>
    <w:rsid w:val="00374D2F"/>
    <w:rsid w:val="00376235"/>
    <w:rsid w:val="00381FB6"/>
    <w:rsid w:val="003836D3"/>
    <w:rsid w:val="00383A52"/>
    <w:rsid w:val="00391652"/>
    <w:rsid w:val="0039507F"/>
    <w:rsid w:val="003969A6"/>
    <w:rsid w:val="003A04B2"/>
    <w:rsid w:val="003A1260"/>
    <w:rsid w:val="003A295F"/>
    <w:rsid w:val="003A41DD"/>
    <w:rsid w:val="003A7033"/>
    <w:rsid w:val="003B2370"/>
    <w:rsid w:val="003B35F6"/>
    <w:rsid w:val="003B47FE"/>
    <w:rsid w:val="003B5673"/>
    <w:rsid w:val="003B6287"/>
    <w:rsid w:val="003B62C9"/>
    <w:rsid w:val="003C1849"/>
    <w:rsid w:val="003C41DD"/>
    <w:rsid w:val="003C7176"/>
    <w:rsid w:val="003D0929"/>
    <w:rsid w:val="003D4729"/>
    <w:rsid w:val="003D5336"/>
    <w:rsid w:val="003D7DD6"/>
    <w:rsid w:val="003E5373"/>
    <w:rsid w:val="003E5AAF"/>
    <w:rsid w:val="003E600D"/>
    <w:rsid w:val="003E64DF"/>
    <w:rsid w:val="003E6A5D"/>
    <w:rsid w:val="003E6FE5"/>
    <w:rsid w:val="003F193A"/>
    <w:rsid w:val="003F4207"/>
    <w:rsid w:val="003F5493"/>
    <w:rsid w:val="003F5C46"/>
    <w:rsid w:val="003F6B8B"/>
    <w:rsid w:val="003F7CBB"/>
    <w:rsid w:val="003F7D34"/>
    <w:rsid w:val="00404D9E"/>
    <w:rsid w:val="00412937"/>
    <w:rsid w:val="00412C8E"/>
    <w:rsid w:val="0041518D"/>
    <w:rsid w:val="0042221D"/>
    <w:rsid w:val="00424DD3"/>
    <w:rsid w:val="004269C5"/>
    <w:rsid w:val="00435939"/>
    <w:rsid w:val="00437CC7"/>
    <w:rsid w:val="00442B9C"/>
    <w:rsid w:val="00442C24"/>
    <w:rsid w:val="0044498C"/>
    <w:rsid w:val="004450BA"/>
    <w:rsid w:val="00445EFA"/>
    <w:rsid w:val="0044738A"/>
    <w:rsid w:val="004473D3"/>
    <w:rsid w:val="00452231"/>
    <w:rsid w:val="00452FC8"/>
    <w:rsid w:val="00460C13"/>
    <w:rsid w:val="00461208"/>
    <w:rsid w:val="00462F7F"/>
    <w:rsid w:val="00463228"/>
    <w:rsid w:val="004632D6"/>
    <w:rsid w:val="00463782"/>
    <w:rsid w:val="00463F87"/>
    <w:rsid w:val="004654CE"/>
    <w:rsid w:val="004667E0"/>
    <w:rsid w:val="0046760E"/>
    <w:rsid w:val="00470E10"/>
    <w:rsid w:val="00470ECB"/>
    <w:rsid w:val="00477126"/>
    <w:rsid w:val="00477A97"/>
    <w:rsid w:val="00481343"/>
    <w:rsid w:val="00484D6F"/>
    <w:rsid w:val="0048549E"/>
    <w:rsid w:val="004870E2"/>
    <w:rsid w:val="00493347"/>
    <w:rsid w:val="00496092"/>
    <w:rsid w:val="004A08DB"/>
    <w:rsid w:val="004A25D0"/>
    <w:rsid w:val="004A37E8"/>
    <w:rsid w:val="004A7549"/>
    <w:rsid w:val="004B09D4"/>
    <w:rsid w:val="004B309D"/>
    <w:rsid w:val="004B330A"/>
    <w:rsid w:val="004B6BE6"/>
    <w:rsid w:val="004B7C8E"/>
    <w:rsid w:val="004B7E78"/>
    <w:rsid w:val="004C3D3C"/>
    <w:rsid w:val="004D0EDC"/>
    <w:rsid w:val="004D0FF0"/>
    <w:rsid w:val="004D1220"/>
    <w:rsid w:val="004D14B3"/>
    <w:rsid w:val="004D1529"/>
    <w:rsid w:val="004D2253"/>
    <w:rsid w:val="004D3708"/>
    <w:rsid w:val="004D458F"/>
    <w:rsid w:val="004D5514"/>
    <w:rsid w:val="004D55F5"/>
    <w:rsid w:val="004D56C3"/>
    <w:rsid w:val="004D59A2"/>
    <w:rsid w:val="004D601D"/>
    <w:rsid w:val="004E02C5"/>
    <w:rsid w:val="004E0338"/>
    <w:rsid w:val="004E104D"/>
    <w:rsid w:val="004E2B5B"/>
    <w:rsid w:val="004E4079"/>
    <w:rsid w:val="004E4FF3"/>
    <w:rsid w:val="004E56A8"/>
    <w:rsid w:val="004E5E32"/>
    <w:rsid w:val="004F066C"/>
    <w:rsid w:val="004F16A8"/>
    <w:rsid w:val="004F3B55"/>
    <w:rsid w:val="004F4E46"/>
    <w:rsid w:val="004F6B7D"/>
    <w:rsid w:val="005015F6"/>
    <w:rsid w:val="005030C4"/>
    <w:rsid w:val="005031C5"/>
    <w:rsid w:val="00504CDD"/>
    <w:rsid w:val="00504FDC"/>
    <w:rsid w:val="00505BAF"/>
    <w:rsid w:val="005120CC"/>
    <w:rsid w:val="00512B7B"/>
    <w:rsid w:val="00514EA1"/>
    <w:rsid w:val="005156EC"/>
    <w:rsid w:val="0051798B"/>
    <w:rsid w:val="00521F5A"/>
    <w:rsid w:val="00525E06"/>
    <w:rsid w:val="00526454"/>
    <w:rsid w:val="00527063"/>
    <w:rsid w:val="00531823"/>
    <w:rsid w:val="0053337C"/>
    <w:rsid w:val="00534ECC"/>
    <w:rsid w:val="005368EF"/>
    <w:rsid w:val="0053720D"/>
    <w:rsid w:val="00540EF5"/>
    <w:rsid w:val="00541BF3"/>
    <w:rsid w:val="00541CD3"/>
    <w:rsid w:val="005476FA"/>
    <w:rsid w:val="005510E0"/>
    <w:rsid w:val="0055595E"/>
    <w:rsid w:val="00555E09"/>
    <w:rsid w:val="00557491"/>
    <w:rsid w:val="00557988"/>
    <w:rsid w:val="00562C49"/>
    <w:rsid w:val="00562DEF"/>
    <w:rsid w:val="0056321A"/>
    <w:rsid w:val="00563A35"/>
    <w:rsid w:val="00566596"/>
    <w:rsid w:val="005708C5"/>
    <w:rsid w:val="005741E9"/>
    <w:rsid w:val="005748CF"/>
    <w:rsid w:val="00576AD6"/>
    <w:rsid w:val="00577DAD"/>
    <w:rsid w:val="00584270"/>
    <w:rsid w:val="00584738"/>
    <w:rsid w:val="005920B0"/>
    <w:rsid w:val="0059380D"/>
    <w:rsid w:val="00595A8F"/>
    <w:rsid w:val="005977C2"/>
    <w:rsid w:val="00597BF2"/>
    <w:rsid w:val="005A7450"/>
    <w:rsid w:val="005B07F2"/>
    <w:rsid w:val="005B0F8E"/>
    <w:rsid w:val="005B134E"/>
    <w:rsid w:val="005B2039"/>
    <w:rsid w:val="005B2B0F"/>
    <w:rsid w:val="005B32EE"/>
    <w:rsid w:val="005B344F"/>
    <w:rsid w:val="005B3FBA"/>
    <w:rsid w:val="005B4A1D"/>
    <w:rsid w:val="005B674D"/>
    <w:rsid w:val="005C0CBE"/>
    <w:rsid w:val="005C1FCF"/>
    <w:rsid w:val="005C72CE"/>
    <w:rsid w:val="005D1885"/>
    <w:rsid w:val="005D4A38"/>
    <w:rsid w:val="005D70D8"/>
    <w:rsid w:val="005E2EEA"/>
    <w:rsid w:val="005E3708"/>
    <w:rsid w:val="005E3CCD"/>
    <w:rsid w:val="005E3D6B"/>
    <w:rsid w:val="005E47C0"/>
    <w:rsid w:val="005E5B55"/>
    <w:rsid w:val="005E5E4A"/>
    <w:rsid w:val="005E693D"/>
    <w:rsid w:val="005E75BF"/>
    <w:rsid w:val="005F1758"/>
    <w:rsid w:val="005F57BA"/>
    <w:rsid w:val="005F5A7D"/>
    <w:rsid w:val="005F61E6"/>
    <w:rsid w:val="005F63A7"/>
    <w:rsid w:val="005F6C45"/>
    <w:rsid w:val="005F6F4E"/>
    <w:rsid w:val="00604B45"/>
    <w:rsid w:val="00605A69"/>
    <w:rsid w:val="00606C54"/>
    <w:rsid w:val="00614084"/>
    <w:rsid w:val="00614375"/>
    <w:rsid w:val="00615B0A"/>
    <w:rsid w:val="006168CF"/>
    <w:rsid w:val="0062011B"/>
    <w:rsid w:val="00623176"/>
    <w:rsid w:val="00626DE0"/>
    <w:rsid w:val="00630901"/>
    <w:rsid w:val="00631127"/>
    <w:rsid w:val="00631F8E"/>
    <w:rsid w:val="00633613"/>
    <w:rsid w:val="00633838"/>
    <w:rsid w:val="00636EE9"/>
    <w:rsid w:val="00640950"/>
    <w:rsid w:val="00641AE7"/>
    <w:rsid w:val="00642629"/>
    <w:rsid w:val="00642B50"/>
    <w:rsid w:val="006507E1"/>
    <w:rsid w:val="0065293D"/>
    <w:rsid w:val="00653EFC"/>
    <w:rsid w:val="00654021"/>
    <w:rsid w:val="006549BD"/>
    <w:rsid w:val="00661045"/>
    <w:rsid w:val="00664952"/>
    <w:rsid w:val="00666DA8"/>
    <w:rsid w:val="00671057"/>
    <w:rsid w:val="00673FCC"/>
    <w:rsid w:val="00675AAF"/>
    <w:rsid w:val="0068031A"/>
    <w:rsid w:val="00681080"/>
    <w:rsid w:val="00681B2F"/>
    <w:rsid w:val="0068335F"/>
    <w:rsid w:val="0068659A"/>
    <w:rsid w:val="00687217"/>
    <w:rsid w:val="00693302"/>
    <w:rsid w:val="0069640B"/>
    <w:rsid w:val="006A1053"/>
    <w:rsid w:val="006A1B83"/>
    <w:rsid w:val="006A21CD"/>
    <w:rsid w:val="006A29B3"/>
    <w:rsid w:val="006A41EF"/>
    <w:rsid w:val="006A5918"/>
    <w:rsid w:val="006B21B2"/>
    <w:rsid w:val="006B32F9"/>
    <w:rsid w:val="006B3F95"/>
    <w:rsid w:val="006B4A4A"/>
    <w:rsid w:val="006C19B2"/>
    <w:rsid w:val="006C2C07"/>
    <w:rsid w:val="006C4246"/>
    <w:rsid w:val="006C4409"/>
    <w:rsid w:val="006C5BB8"/>
    <w:rsid w:val="006C6936"/>
    <w:rsid w:val="006C7B01"/>
    <w:rsid w:val="006D0FE8"/>
    <w:rsid w:val="006D1936"/>
    <w:rsid w:val="006D280B"/>
    <w:rsid w:val="006D4B2B"/>
    <w:rsid w:val="006D4F3C"/>
    <w:rsid w:val="006D5C66"/>
    <w:rsid w:val="006E1B3C"/>
    <w:rsid w:val="006E23FB"/>
    <w:rsid w:val="006E325A"/>
    <w:rsid w:val="006E33EC"/>
    <w:rsid w:val="006E3802"/>
    <w:rsid w:val="006E4239"/>
    <w:rsid w:val="006E64E8"/>
    <w:rsid w:val="006E6C02"/>
    <w:rsid w:val="006E7154"/>
    <w:rsid w:val="006F231A"/>
    <w:rsid w:val="006F3884"/>
    <w:rsid w:val="006F6B55"/>
    <w:rsid w:val="006F72EF"/>
    <w:rsid w:val="006F788D"/>
    <w:rsid w:val="006F78E1"/>
    <w:rsid w:val="00701072"/>
    <w:rsid w:val="00702054"/>
    <w:rsid w:val="007035A4"/>
    <w:rsid w:val="0070783D"/>
    <w:rsid w:val="00711799"/>
    <w:rsid w:val="00712B78"/>
    <w:rsid w:val="0071393B"/>
    <w:rsid w:val="00713EE2"/>
    <w:rsid w:val="007177FC"/>
    <w:rsid w:val="00720C5E"/>
    <w:rsid w:val="00721701"/>
    <w:rsid w:val="007225F0"/>
    <w:rsid w:val="00731835"/>
    <w:rsid w:val="007341F8"/>
    <w:rsid w:val="00734372"/>
    <w:rsid w:val="00734EB8"/>
    <w:rsid w:val="00735F8B"/>
    <w:rsid w:val="0074236A"/>
    <w:rsid w:val="00742D1F"/>
    <w:rsid w:val="00743EBA"/>
    <w:rsid w:val="00744C8E"/>
    <w:rsid w:val="0074707E"/>
    <w:rsid w:val="007516DC"/>
    <w:rsid w:val="00752E58"/>
    <w:rsid w:val="0075423B"/>
    <w:rsid w:val="00754B80"/>
    <w:rsid w:val="00761918"/>
    <w:rsid w:val="00762F03"/>
    <w:rsid w:val="0076413B"/>
    <w:rsid w:val="007648AE"/>
    <w:rsid w:val="00764BF8"/>
    <w:rsid w:val="0076514D"/>
    <w:rsid w:val="007727F0"/>
    <w:rsid w:val="00772B07"/>
    <w:rsid w:val="00772B8E"/>
    <w:rsid w:val="00773D32"/>
    <w:rsid w:val="00773D59"/>
    <w:rsid w:val="00781003"/>
    <w:rsid w:val="00783801"/>
    <w:rsid w:val="007906AC"/>
    <w:rsid w:val="007911FD"/>
    <w:rsid w:val="00791E27"/>
    <w:rsid w:val="00793930"/>
    <w:rsid w:val="00793DD1"/>
    <w:rsid w:val="00794FEC"/>
    <w:rsid w:val="007A003E"/>
    <w:rsid w:val="007A1965"/>
    <w:rsid w:val="007A2ED1"/>
    <w:rsid w:val="007A4BE6"/>
    <w:rsid w:val="007B0DC6"/>
    <w:rsid w:val="007B1094"/>
    <w:rsid w:val="007B1762"/>
    <w:rsid w:val="007B3297"/>
    <w:rsid w:val="007B3320"/>
    <w:rsid w:val="007C301F"/>
    <w:rsid w:val="007C4540"/>
    <w:rsid w:val="007C65AF"/>
    <w:rsid w:val="007C65B2"/>
    <w:rsid w:val="007C7E45"/>
    <w:rsid w:val="007D135D"/>
    <w:rsid w:val="007D575E"/>
    <w:rsid w:val="007D730F"/>
    <w:rsid w:val="007D7CD8"/>
    <w:rsid w:val="007E3AA7"/>
    <w:rsid w:val="007E5352"/>
    <w:rsid w:val="007F2EAA"/>
    <w:rsid w:val="007F5D08"/>
    <w:rsid w:val="007F6281"/>
    <w:rsid w:val="007F737D"/>
    <w:rsid w:val="0080308E"/>
    <w:rsid w:val="00803EDD"/>
    <w:rsid w:val="00805303"/>
    <w:rsid w:val="00806705"/>
    <w:rsid w:val="00806738"/>
    <w:rsid w:val="0081213F"/>
    <w:rsid w:val="008176DC"/>
    <w:rsid w:val="008216D5"/>
    <w:rsid w:val="008249CE"/>
    <w:rsid w:val="00827BE6"/>
    <w:rsid w:val="00831323"/>
    <w:rsid w:val="00831A50"/>
    <w:rsid w:val="00831B3C"/>
    <w:rsid w:val="00831C89"/>
    <w:rsid w:val="00832114"/>
    <w:rsid w:val="00834C46"/>
    <w:rsid w:val="0084093E"/>
    <w:rsid w:val="008413AC"/>
    <w:rsid w:val="00841CE1"/>
    <w:rsid w:val="00842E48"/>
    <w:rsid w:val="008473D8"/>
    <w:rsid w:val="008525A4"/>
    <w:rsid w:val="008528DC"/>
    <w:rsid w:val="00852B8C"/>
    <w:rsid w:val="00854981"/>
    <w:rsid w:val="0085686D"/>
    <w:rsid w:val="00864B2E"/>
    <w:rsid w:val="00865171"/>
    <w:rsid w:val="00865963"/>
    <w:rsid w:val="00865C4D"/>
    <w:rsid w:val="00865D4C"/>
    <w:rsid w:val="00871C1D"/>
    <w:rsid w:val="00872B5A"/>
    <w:rsid w:val="0087450E"/>
    <w:rsid w:val="00875A82"/>
    <w:rsid w:val="00876CA3"/>
    <w:rsid w:val="008772FE"/>
    <w:rsid w:val="008775F1"/>
    <w:rsid w:val="008821AE"/>
    <w:rsid w:val="00882643"/>
    <w:rsid w:val="00883415"/>
    <w:rsid w:val="00883D3A"/>
    <w:rsid w:val="008854F7"/>
    <w:rsid w:val="00885A9D"/>
    <w:rsid w:val="008870ED"/>
    <w:rsid w:val="008929D2"/>
    <w:rsid w:val="00892F5C"/>
    <w:rsid w:val="00893636"/>
    <w:rsid w:val="00893B94"/>
    <w:rsid w:val="00893BAF"/>
    <w:rsid w:val="00896E9D"/>
    <w:rsid w:val="00896F11"/>
    <w:rsid w:val="008A0DBF"/>
    <w:rsid w:val="008A1049"/>
    <w:rsid w:val="008A1C98"/>
    <w:rsid w:val="008A322D"/>
    <w:rsid w:val="008A4110"/>
    <w:rsid w:val="008A4D72"/>
    <w:rsid w:val="008A6285"/>
    <w:rsid w:val="008A63B2"/>
    <w:rsid w:val="008B011D"/>
    <w:rsid w:val="008B13E7"/>
    <w:rsid w:val="008B345D"/>
    <w:rsid w:val="008B60D4"/>
    <w:rsid w:val="008B63B3"/>
    <w:rsid w:val="008C1FC2"/>
    <w:rsid w:val="008C2980"/>
    <w:rsid w:val="008C4DD6"/>
    <w:rsid w:val="008C5AFB"/>
    <w:rsid w:val="008C6890"/>
    <w:rsid w:val="008D07FB"/>
    <w:rsid w:val="008D0C02"/>
    <w:rsid w:val="008D357D"/>
    <w:rsid w:val="008D435A"/>
    <w:rsid w:val="008D4B0E"/>
    <w:rsid w:val="008E387B"/>
    <w:rsid w:val="008E6087"/>
    <w:rsid w:val="008E758D"/>
    <w:rsid w:val="008F084E"/>
    <w:rsid w:val="008F10A7"/>
    <w:rsid w:val="008F268F"/>
    <w:rsid w:val="008F755D"/>
    <w:rsid w:val="008F7A39"/>
    <w:rsid w:val="009021E8"/>
    <w:rsid w:val="00904677"/>
    <w:rsid w:val="00905EE2"/>
    <w:rsid w:val="0091048D"/>
    <w:rsid w:val="00910A19"/>
    <w:rsid w:val="00911440"/>
    <w:rsid w:val="0091154C"/>
    <w:rsid w:val="00911712"/>
    <w:rsid w:val="00911B27"/>
    <w:rsid w:val="00914C84"/>
    <w:rsid w:val="009170BE"/>
    <w:rsid w:val="00920B55"/>
    <w:rsid w:val="00921714"/>
    <w:rsid w:val="009262C9"/>
    <w:rsid w:val="00930EB9"/>
    <w:rsid w:val="0093339E"/>
    <w:rsid w:val="00933DC7"/>
    <w:rsid w:val="0093463B"/>
    <w:rsid w:val="00940C3A"/>
    <w:rsid w:val="009418F4"/>
    <w:rsid w:val="00942BBC"/>
    <w:rsid w:val="00944180"/>
    <w:rsid w:val="00944AA0"/>
    <w:rsid w:val="00946664"/>
    <w:rsid w:val="00947DA2"/>
    <w:rsid w:val="00951177"/>
    <w:rsid w:val="009624DE"/>
    <w:rsid w:val="009673E8"/>
    <w:rsid w:val="00974DB8"/>
    <w:rsid w:val="00980661"/>
    <w:rsid w:val="0098093B"/>
    <w:rsid w:val="009876D4"/>
    <w:rsid w:val="009914A5"/>
    <w:rsid w:val="0099548E"/>
    <w:rsid w:val="00996456"/>
    <w:rsid w:val="00996A12"/>
    <w:rsid w:val="00997B0F"/>
    <w:rsid w:val="009A0CC3"/>
    <w:rsid w:val="009A17C0"/>
    <w:rsid w:val="009A1CAD"/>
    <w:rsid w:val="009A3440"/>
    <w:rsid w:val="009A4BA3"/>
    <w:rsid w:val="009A5832"/>
    <w:rsid w:val="009A6838"/>
    <w:rsid w:val="009B1F54"/>
    <w:rsid w:val="009B24B5"/>
    <w:rsid w:val="009B31DC"/>
    <w:rsid w:val="009B4EBC"/>
    <w:rsid w:val="009B5ABB"/>
    <w:rsid w:val="009B73CE"/>
    <w:rsid w:val="009C2461"/>
    <w:rsid w:val="009C483D"/>
    <w:rsid w:val="009C6FE2"/>
    <w:rsid w:val="009C7674"/>
    <w:rsid w:val="009D004A"/>
    <w:rsid w:val="009D051B"/>
    <w:rsid w:val="009D5880"/>
    <w:rsid w:val="009D5A3B"/>
    <w:rsid w:val="009E09EE"/>
    <w:rsid w:val="009E0ABF"/>
    <w:rsid w:val="009E1FD4"/>
    <w:rsid w:val="009E3B07"/>
    <w:rsid w:val="009E51D1"/>
    <w:rsid w:val="009E5531"/>
    <w:rsid w:val="009E6287"/>
    <w:rsid w:val="009F171E"/>
    <w:rsid w:val="009F3D2F"/>
    <w:rsid w:val="009F6693"/>
    <w:rsid w:val="009F7052"/>
    <w:rsid w:val="00A02668"/>
    <w:rsid w:val="00A02801"/>
    <w:rsid w:val="00A04C3F"/>
    <w:rsid w:val="00A053F1"/>
    <w:rsid w:val="00A06A39"/>
    <w:rsid w:val="00A07F58"/>
    <w:rsid w:val="00A131CB"/>
    <w:rsid w:val="00A14847"/>
    <w:rsid w:val="00A166EE"/>
    <w:rsid w:val="00A16D6D"/>
    <w:rsid w:val="00A20E26"/>
    <w:rsid w:val="00A21383"/>
    <w:rsid w:val="00A2199F"/>
    <w:rsid w:val="00A21B31"/>
    <w:rsid w:val="00A2360E"/>
    <w:rsid w:val="00A24504"/>
    <w:rsid w:val="00A26E0C"/>
    <w:rsid w:val="00A30511"/>
    <w:rsid w:val="00A32FCB"/>
    <w:rsid w:val="00A34C25"/>
    <w:rsid w:val="00A3507D"/>
    <w:rsid w:val="00A35702"/>
    <w:rsid w:val="00A365F9"/>
    <w:rsid w:val="00A3717A"/>
    <w:rsid w:val="00A4088C"/>
    <w:rsid w:val="00A41D10"/>
    <w:rsid w:val="00A4456B"/>
    <w:rsid w:val="00A448D4"/>
    <w:rsid w:val="00A452E0"/>
    <w:rsid w:val="00A516C4"/>
    <w:rsid w:val="00A51EA5"/>
    <w:rsid w:val="00A53742"/>
    <w:rsid w:val="00A53ED4"/>
    <w:rsid w:val="00A557A1"/>
    <w:rsid w:val="00A60D43"/>
    <w:rsid w:val="00A63059"/>
    <w:rsid w:val="00A63AE3"/>
    <w:rsid w:val="00A651A4"/>
    <w:rsid w:val="00A656CD"/>
    <w:rsid w:val="00A65D32"/>
    <w:rsid w:val="00A66E98"/>
    <w:rsid w:val="00A71361"/>
    <w:rsid w:val="00A73051"/>
    <w:rsid w:val="00A746E2"/>
    <w:rsid w:val="00A776BD"/>
    <w:rsid w:val="00A81FF2"/>
    <w:rsid w:val="00A83904"/>
    <w:rsid w:val="00A90A79"/>
    <w:rsid w:val="00A90AD0"/>
    <w:rsid w:val="00A969CC"/>
    <w:rsid w:val="00A96B30"/>
    <w:rsid w:val="00AA5414"/>
    <w:rsid w:val="00AA59B5"/>
    <w:rsid w:val="00AA7777"/>
    <w:rsid w:val="00AA7B84"/>
    <w:rsid w:val="00AC0B4C"/>
    <w:rsid w:val="00AC1164"/>
    <w:rsid w:val="00AC2296"/>
    <w:rsid w:val="00AC23C6"/>
    <w:rsid w:val="00AC2754"/>
    <w:rsid w:val="00AC48B0"/>
    <w:rsid w:val="00AC4ACD"/>
    <w:rsid w:val="00AC5DFB"/>
    <w:rsid w:val="00AD13DC"/>
    <w:rsid w:val="00AD6DE2"/>
    <w:rsid w:val="00AE0116"/>
    <w:rsid w:val="00AE0A40"/>
    <w:rsid w:val="00AE1ED4"/>
    <w:rsid w:val="00AE21E1"/>
    <w:rsid w:val="00AE2F8D"/>
    <w:rsid w:val="00AE3BAE"/>
    <w:rsid w:val="00AE49DA"/>
    <w:rsid w:val="00AE6A21"/>
    <w:rsid w:val="00AF1C8F"/>
    <w:rsid w:val="00AF2B68"/>
    <w:rsid w:val="00AF2C92"/>
    <w:rsid w:val="00AF3EC1"/>
    <w:rsid w:val="00AF5025"/>
    <w:rsid w:val="00AF519F"/>
    <w:rsid w:val="00AF5387"/>
    <w:rsid w:val="00AF55F5"/>
    <w:rsid w:val="00AF7E86"/>
    <w:rsid w:val="00B00A65"/>
    <w:rsid w:val="00B024B9"/>
    <w:rsid w:val="00B077FA"/>
    <w:rsid w:val="00B10875"/>
    <w:rsid w:val="00B1110C"/>
    <w:rsid w:val="00B127D7"/>
    <w:rsid w:val="00B13B0C"/>
    <w:rsid w:val="00B1453A"/>
    <w:rsid w:val="00B178AF"/>
    <w:rsid w:val="00B20776"/>
    <w:rsid w:val="00B20F82"/>
    <w:rsid w:val="00B25182"/>
    <w:rsid w:val="00B25BD5"/>
    <w:rsid w:val="00B33476"/>
    <w:rsid w:val="00B34079"/>
    <w:rsid w:val="00B34E91"/>
    <w:rsid w:val="00B3793A"/>
    <w:rsid w:val="00B401BA"/>
    <w:rsid w:val="00B407E4"/>
    <w:rsid w:val="00B425B6"/>
    <w:rsid w:val="00B42A72"/>
    <w:rsid w:val="00B441AE"/>
    <w:rsid w:val="00B4453F"/>
    <w:rsid w:val="00B45A65"/>
    <w:rsid w:val="00B45F33"/>
    <w:rsid w:val="00B46D50"/>
    <w:rsid w:val="00B53170"/>
    <w:rsid w:val="00B548B9"/>
    <w:rsid w:val="00B56DBE"/>
    <w:rsid w:val="00B62999"/>
    <w:rsid w:val="00B63AAD"/>
    <w:rsid w:val="00B63BE3"/>
    <w:rsid w:val="00B64885"/>
    <w:rsid w:val="00B66810"/>
    <w:rsid w:val="00B701DD"/>
    <w:rsid w:val="00B72BE3"/>
    <w:rsid w:val="00B73B80"/>
    <w:rsid w:val="00B770C7"/>
    <w:rsid w:val="00B80F26"/>
    <w:rsid w:val="00B822BD"/>
    <w:rsid w:val="00B8388F"/>
    <w:rsid w:val="00B83AB9"/>
    <w:rsid w:val="00B842F4"/>
    <w:rsid w:val="00B855BE"/>
    <w:rsid w:val="00B91A7B"/>
    <w:rsid w:val="00B929DD"/>
    <w:rsid w:val="00B93AF6"/>
    <w:rsid w:val="00B95405"/>
    <w:rsid w:val="00B963F1"/>
    <w:rsid w:val="00BA020A"/>
    <w:rsid w:val="00BA50B3"/>
    <w:rsid w:val="00BB025A"/>
    <w:rsid w:val="00BB02A4"/>
    <w:rsid w:val="00BB1270"/>
    <w:rsid w:val="00BB1E44"/>
    <w:rsid w:val="00BB3358"/>
    <w:rsid w:val="00BB4BEF"/>
    <w:rsid w:val="00BB5267"/>
    <w:rsid w:val="00BB52B8"/>
    <w:rsid w:val="00BB59D8"/>
    <w:rsid w:val="00BB7E69"/>
    <w:rsid w:val="00BC0E51"/>
    <w:rsid w:val="00BC13D9"/>
    <w:rsid w:val="00BC2D6E"/>
    <w:rsid w:val="00BC3C1F"/>
    <w:rsid w:val="00BC7CE7"/>
    <w:rsid w:val="00BD295E"/>
    <w:rsid w:val="00BD4664"/>
    <w:rsid w:val="00BE1193"/>
    <w:rsid w:val="00BE24D1"/>
    <w:rsid w:val="00BE290B"/>
    <w:rsid w:val="00BF4849"/>
    <w:rsid w:val="00BF4EA7"/>
    <w:rsid w:val="00C00EDB"/>
    <w:rsid w:val="00C016F1"/>
    <w:rsid w:val="00C02863"/>
    <w:rsid w:val="00C0383A"/>
    <w:rsid w:val="00C067FF"/>
    <w:rsid w:val="00C12862"/>
    <w:rsid w:val="00C13D28"/>
    <w:rsid w:val="00C13E1D"/>
    <w:rsid w:val="00C14585"/>
    <w:rsid w:val="00C15983"/>
    <w:rsid w:val="00C165A0"/>
    <w:rsid w:val="00C16EA3"/>
    <w:rsid w:val="00C16F40"/>
    <w:rsid w:val="00C216CE"/>
    <w:rsid w:val="00C2184F"/>
    <w:rsid w:val="00C22A78"/>
    <w:rsid w:val="00C23C7E"/>
    <w:rsid w:val="00C2457A"/>
    <w:rsid w:val="00C246C5"/>
    <w:rsid w:val="00C25A82"/>
    <w:rsid w:val="00C26544"/>
    <w:rsid w:val="00C30A2A"/>
    <w:rsid w:val="00C33993"/>
    <w:rsid w:val="00C4069E"/>
    <w:rsid w:val="00C41ADC"/>
    <w:rsid w:val="00C44149"/>
    <w:rsid w:val="00C44410"/>
    <w:rsid w:val="00C44A15"/>
    <w:rsid w:val="00C4630A"/>
    <w:rsid w:val="00C523F0"/>
    <w:rsid w:val="00C526D2"/>
    <w:rsid w:val="00C53A91"/>
    <w:rsid w:val="00C5794E"/>
    <w:rsid w:val="00C60968"/>
    <w:rsid w:val="00C62AC9"/>
    <w:rsid w:val="00C63D39"/>
    <w:rsid w:val="00C63EDD"/>
    <w:rsid w:val="00C65B36"/>
    <w:rsid w:val="00C7292E"/>
    <w:rsid w:val="00C73773"/>
    <w:rsid w:val="00C73FC5"/>
    <w:rsid w:val="00C74E88"/>
    <w:rsid w:val="00C80924"/>
    <w:rsid w:val="00C8286B"/>
    <w:rsid w:val="00C911E9"/>
    <w:rsid w:val="00C923BF"/>
    <w:rsid w:val="00C947F8"/>
    <w:rsid w:val="00C9515F"/>
    <w:rsid w:val="00C963C5"/>
    <w:rsid w:val="00CA030C"/>
    <w:rsid w:val="00CA1F41"/>
    <w:rsid w:val="00CA32EE"/>
    <w:rsid w:val="00CA5771"/>
    <w:rsid w:val="00CA67C3"/>
    <w:rsid w:val="00CA6A1A"/>
    <w:rsid w:val="00CB38DF"/>
    <w:rsid w:val="00CC1E75"/>
    <w:rsid w:val="00CC2694"/>
    <w:rsid w:val="00CC2E0E"/>
    <w:rsid w:val="00CC361C"/>
    <w:rsid w:val="00CC474B"/>
    <w:rsid w:val="00CC658C"/>
    <w:rsid w:val="00CC67BF"/>
    <w:rsid w:val="00CC7F59"/>
    <w:rsid w:val="00CD0843"/>
    <w:rsid w:val="00CD4E31"/>
    <w:rsid w:val="00CD5A78"/>
    <w:rsid w:val="00CD7345"/>
    <w:rsid w:val="00CE14B9"/>
    <w:rsid w:val="00CE372E"/>
    <w:rsid w:val="00CF0A1B"/>
    <w:rsid w:val="00CF0D21"/>
    <w:rsid w:val="00CF19F6"/>
    <w:rsid w:val="00CF2F4F"/>
    <w:rsid w:val="00CF536D"/>
    <w:rsid w:val="00D02E9D"/>
    <w:rsid w:val="00D03A7A"/>
    <w:rsid w:val="00D03EF9"/>
    <w:rsid w:val="00D10CB8"/>
    <w:rsid w:val="00D12806"/>
    <w:rsid w:val="00D12D44"/>
    <w:rsid w:val="00D15018"/>
    <w:rsid w:val="00D158AC"/>
    <w:rsid w:val="00D1694C"/>
    <w:rsid w:val="00D20F5E"/>
    <w:rsid w:val="00D22C20"/>
    <w:rsid w:val="00D22C23"/>
    <w:rsid w:val="00D23B76"/>
    <w:rsid w:val="00D24B4A"/>
    <w:rsid w:val="00D379A3"/>
    <w:rsid w:val="00D405A1"/>
    <w:rsid w:val="00D45FF3"/>
    <w:rsid w:val="00D506DB"/>
    <w:rsid w:val="00D50EE9"/>
    <w:rsid w:val="00D512CF"/>
    <w:rsid w:val="00D528B9"/>
    <w:rsid w:val="00D52FCD"/>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37F0"/>
    <w:rsid w:val="00DA6470"/>
    <w:rsid w:val="00DA6A9A"/>
    <w:rsid w:val="00DB1DBB"/>
    <w:rsid w:val="00DB1EFD"/>
    <w:rsid w:val="00DB3EAF"/>
    <w:rsid w:val="00DB46C6"/>
    <w:rsid w:val="00DB5E6A"/>
    <w:rsid w:val="00DB704C"/>
    <w:rsid w:val="00DC1C91"/>
    <w:rsid w:val="00DC1DB4"/>
    <w:rsid w:val="00DC3203"/>
    <w:rsid w:val="00DC3C99"/>
    <w:rsid w:val="00DC526E"/>
    <w:rsid w:val="00DC52F5"/>
    <w:rsid w:val="00DC5FD0"/>
    <w:rsid w:val="00DC71BB"/>
    <w:rsid w:val="00DD0354"/>
    <w:rsid w:val="00DD27D7"/>
    <w:rsid w:val="00DD458C"/>
    <w:rsid w:val="00DD72E9"/>
    <w:rsid w:val="00DD7605"/>
    <w:rsid w:val="00DE2020"/>
    <w:rsid w:val="00DE3476"/>
    <w:rsid w:val="00DE3F61"/>
    <w:rsid w:val="00DE79C0"/>
    <w:rsid w:val="00DE7BEA"/>
    <w:rsid w:val="00DF4B2F"/>
    <w:rsid w:val="00DF556D"/>
    <w:rsid w:val="00DF5B84"/>
    <w:rsid w:val="00DF6D5B"/>
    <w:rsid w:val="00DF771B"/>
    <w:rsid w:val="00DF7EE2"/>
    <w:rsid w:val="00E01907"/>
    <w:rsid w:val="00E01BAA"/>
    <w:rsid w:val="00E0282A"/>
    <w:rsid w:val="00E02F9B"/>
    <w:rsid w:val="00E05E30"/>
    <w:rsid w:val="00E07E14"/>
    <w:rsid w:val="00E12BFA"/>
    <w:rsid w:val="00E1331F"/>
    <w:rsid w:val="00E14F94"/>
    <w:rsid w:val="00E15489"/>
    <w:rsid w:val="00E17336"/>
    <w:rsid w:val="00E17D15"/>
    <w:rsid w:val="00E22B95"/>
    <w:rsid w:val="00E23AA0"/>
    <w:rsid w:val="00E30331"/>
    <w:rsid w:val="00E30BB8"/>
    <w:rsid w:val="00E31F9C"/>
    <w:rsid w:val="00E3530B"/>
    <w:rsid w:val="00E3744D"/>
    <w:rsid w:val="00E40488"/>
    <w:rsid w:val="00E50367"/>
    <w:rsid w:val="00E51ABA"/>
    <w:rsid w:val="00E524CB"/>
    <w:rsid w:val="00E65456"/>
    <w:rsid w:val="00E65A91"/>
    <w:rsid w:val="00E66188"/>
    <w:rsid w:val="00E664FB"/>
    <w:rsid w:val="00E672F0"/>
    <w:rsid w:val="00E70373"/>
    <w:rsid w:val="00E7176A"/>
    <w:rsid w:val="00E71C91"/>
    <w:rsid w:val="00E722D1"/>
    <w:rsid w:val="00E72E40"/>
    <w:rsid w:val="00E73665"/>
    <w:rsid w:val="00E73999"/>
    <w:rsid w:val="00E73BDC"/>
    <w:rsid w:val="00E73E9E"/>
    <w:rsid w:val="00E81660"/>
    <w:rsid w:val="00E854FE"/>
    <w:rsid w:val="00E8650D"/>
    <w:rsid w:val="00E8727C"/>
    <w:rsid w:val="00E87796"/>
    <w:rsid w:val="00E906CC"/>
    <w:rsid w:val="00E939A0"/>
    <w:rsid w:val="00E97E4E"/>
    <w:rsid w:val="00EA1CC2"/>
    <w:rsid w:val="00EA2D76"/>
    <w:rsid w:val="00EA4644"/>
    <w:rsid w:val="00EA758A"/>
    <w:rsid w:val="00EB096F"/>
    <w:rsid w:val="00EB199F"/>
    <w:rsid w:val="00EB27C4"/>
    <w:rsid w:val="00EB38C9"/>
    <w:rsid w:val="00EB5387"/>
    <w:rsid w:val="00EB5C10"/>
    <w:rsid w:val="00EB6017"/>
    <w:rsid w:val="00EB7322"/>
    <w:rsid w:val="00EC0FE9"/>
    <w:rsid w:val="00EC198B"/>
    <w:rsid w:val="00EC1BE4"/>
    <w:rsid w:val="00EC3097"/>
    <w:rsid w:val="00EC426D"/>
    <w:rsid w:val="00EC571B"/>
    <w:rsid w:val="00EC57D7"/>
    <w:rsid w:val="00EC6385"/>
    <w:rsid w:val="00ED1DE9"/>
    <w:rsid w:val="00ED21D3"/>
    <w:rsid w:val="00ED23D4"/>
    <w:rsid w:val="00ED5E0B"/>
    <w:rsid w:val="00ED5F3C"/>
    <w:rsid w:val="00EE294D"/>
    <w:rsid w:val="00EE37B6"/>
    <w:rsid w:val="00EE731D"/>
    <w:rsid w:val="00EF0F45"/>
    <w:rsid w:val="00EF7463"/>
    <w:rsid w:val="00EF74FF"/>
    <w:rsid w:val="00EF7971"/>
    <w:rsid w:val="00F002EF"/>
    <w:rsid w:val="00F01EE9"/>
    <w:rsid w:val="00F041E5"/>
    <w:rsid w:val="00F044FD"/>
    <w:rsid w:val="00F04900"/>
    <w:rsid w:val="00F065A4"/>
    <w:rsid w:val="00F126B9"/>
    <w:rsid w:val="00F12715"/>
    <w:rsid w:val="00F12A4E"/>
    <w:rsid w:val="00F144D5"/>
    <w:rsid w:val="00F146F0"/>
    <w:rsid w:val="00F15039"/>
    <w:rsid w:val="00F20FF3"/>
    <w:rsid w:val="00F210E1"/>
    <w:rsid w:val="00F2190B"/>
    <w:rsid w:val="00F228B5"/>
    <w:rsid w:val="00F2389C"/>
    <w:rsid w:val="00F25C67"/>
    <w:rsid w:val="00F30DFF"/>
    <w:rsid w:val="00F328AB"/>
    <w:rsid w:val="00F32B80"/>
    <w:rsid w:val="00F340EB"/>
    <w:rsid w:val="00F35285"/>
    <w:rsid w:val="00F434CB"/>
    <w:rsid w:val="00F43B9D"/>
    <w:rsid w:val="00F44D5E"/>
    <w:rsid w:val="00F467F0"/>
    <w:rsid w:val="00F53A35"/>
    <w:rsid w:val="00F55A3D"/>
    <w:rsid w:val="00F5675A"/>
    <w:rsid w:val="00F5744B"/>
    <w:rsid w:val="00F61209"/>
    <w:rsid w:val="00F6259E"/>
    <w:rsid w:val="00F64B89"/>
    <w:rsid w:val="00F65DD4"/>
    <w:rsid w:val="00F672B2"/>
    <w:rsid w:val="00F7289C"/>
    <w:rsid w:val="00F83973"/>
    <w:rsid w:val="00F87FA3"/>
    <w:rsid w:val="00F93D8C"/>
    <w:rsid w:val="00FA2D0E"/>
    <w:rsid w:val="00FA2FA2"/>
    <w:rsid w:val="00FA3102"/>
    <w:rsid w:val="00FA48D4"/>
    <w:rsid w:val="00FA54FA"/>
    <w:rsid w:val="00FA6D39"/>
    <w:rsid w:val="00FB227E"/>
    <w:rsid w:val="00FB3D61"/>
    <w:rsid w:val="00FB44CE"/>
    <w:rsid w:val="00FB48D0"/>
    <w:rsid w:val="00FB5009"/>
    <w:rsid w:val="00FB76AB"/>
    <w:rsid w:val="00FD03FE"/>
    <w:rsid w:val="00FD126E"/>
    <w:rsid w:val="00FD3C36"/>
    <w:rsid w:val="00FD4D81"/>
    <w:rsid w:val="00FD7498"/>
    <w:rsid w:val="00FD7FB3"/>
    <w:rsid w:val="00FE265E"/>
    <w:rsid w:val="00FE4713"/>
    <w:rsid w:val="00FF1F44"/>
    <w:rsid w:val="00FF225E"/>
    <w:rsid w:val="00FF4F71"/>
    <w:rsid w:val="00FF672C"/>
    <w:rsid w:val="00FF6CE8"/>
    <w:rsid w:val="00FF71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07DA27-78A5-4031-A8C6-362604B7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uiPriority="9"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uiPriority w:val="99"/>
    <w:rsid w:val="006C19B2"/>
    <w:pPr>
      <w:ind w:left="284" w:hanging="284"/>
    </w:pPr>
    <w:rPr>
      <w:sz w:val="22"/>
      <w:szCs w:val="20"/>
    </w:rPr>
  </w:style>
  <w:style w:type="character" w:customStyle="1" w:styleId="EndnoteTextChar">
    <w:name w:val="Endnote Text Char"/>
    <w:basedOn w:val="DefaultParagraphFont"/>
    <w:link w:val="EndnoteText"/>
    <w:uiPriority w:val="99"/>
    <w:rsid w:val="006C19B2"/>
    <w:rPr>
      <w:sz w:val="22"/>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112790"/>
    <w:rPr>
      <w:color w:val="0000FF" w:themeColor="hyperlink"/>
      <w:u w:val="single"/>
    </w:rPr>
  </w:style>
  <w:style w:type="numbering" w:customStyle="1" w:styleId="ListeYok1">
    <w:name w:val="Liste Yok1"/>
    <w:next w:val="NoList"/>
    <w:uiPriority w:val="99"/>
    <w:semiHidden/>
    <w:unhideWhenUsed/>
    <w:rsid w:val="009B1F54"/>
  </w:style>
  <w:style w:type="paragraph" w:customStyle="1" w:styleId="Standard">
    <w:name w:val="Standard"/>
    <w:rsid w:val="009B1F54"/>
    <w:pPr>
      <w:suppressAutoHyphens/>
      <w:autoSpaceDN w:val="0"/>
    </w:pPr>
    <w:rPr>
      <w:bCs/>
      <w:kern w:val="3"/>
      <w:sz w:val="24"/>
      <w:szCs w:val="24"/>
      <w:lang w:val="en-US" w:eastAsia="tr-TR" w:bidi="hi-IN"/>
    </w:rPr>
  </w:style>
  <w:style w:type="character" w:customStyle="1" w:styleId="Bodytext2">
    <w:name w:val="Body text (2)_"/>
    <w:basedOn w:val="DefaultParagraphFont"/>
    <w:link w:val="Bodytext21"/>
    <w:uiPriority w:val="99"/>
    <w:locked/>
    <w:rsid w:val="009B1F54"/>
    <w:rPr>
      <w:shd w:val="clear" w:color="auto" w:fill="FFFFFF"/>
    </w:rPr>
  </w:style>
  <w:style w:type="paragraph" w:customStyle="1" w:styleId="Bodytext21">
    <w:name w:val="Body text (2)1"/>
    <w:basedOn w:val="Normal"/>
    <w:link w:val="Bodytext2"/>
    <w:uiPriority w:val="99"/>
    <w:rsid w:val="009B1F54"/>
    <w:pPr>
      <w:widowControl w:val="0"/>
      <w:shd w:val="clear" w:color="auto" w:fill="FFFFFF"/>
      <w:spacing w:before="420" w:after="60" w:line="252" w:lineRule="exact"/>
      <w:ind w:hanging="120"/>
    </w:pPr>
    <w:rPr>
      <w:sz w:val="20"/>
      <w:szCs w:val="20"/>
    </w:rPr>
  </w:style>
  <w:style w:type="character" w:customStyle="1" w:styleId="nlmstring-name">
    <w:name w:val="nlm_string-name"/>
    <w:basedOn w:val="DefaultParagraphFont"/>
    <w:rsid w:val="009B1F54"/>
  </w:style>
  <w:style w:type="character" w:customStyle="1" w:styleId="apple-converted-space">
    <w:name w:val="apple-converted-space"/>
    <w:basedOn w:val="DefaultParagraphFont"/>
    <w:rsid w:val="009B1F54"/>
  </w:style>
  <w:style w:type="character" w:customStyle="1" w:styleId="nlmyear">
    <w:name w:val="nlm_year"/>
    <w:basedOn w:val="DefaultParagraphFont"/>
    <w:rsid w:val="009B1F54"/>
  </w:style>
  <w:style w:type="character" w:customStyle="1" w:styleId="nlmarticle-title">
    <w:name w:val="nlm_article-title"/>
    <w:basedOn w:val="DefaultParagraphFont"/>
    <w:rsid w:val="009B1F54"/>
  </w:style>
  <w:style w:type="character" w:customStyle="1" w:styleId="nlmfpage">
    <w:name w:val="nlm_fpage"/>
    <w:basedOn w:val="DefaultParagraphFont"/>
    <w:rsid w:val="009B1F54"/>
  </w:style>
  <w:style w:type="character" w:customStyle="1" w:styleId="nlmlpage">
    <w:name w:val="nlm_lpage"/>
    <w:basedOn w:val="DefaultParagraphFont"/>
    <w:rsid w:val="009B1F54"/>
  </w:style>
  <w:style w:type="character" w:customStyle="1" w:styleId="reference-text">
    <w:name w:val="reference-text"/>
    <w:rsid w:val="009B1F54"/>
  </w:style>
  <w:style w:type="character" w:styleId="Strong">
    <w:name w:val="Strong"/>
    <w:basedOn w:val="DefaultParagraphFont"/>
    <w:uiPriority w:val="22"/>
    <w:qFormat/>
    <w:rsid w:val="009B1F54"/>
    <w:rPr>
      <w:b/>
      <w:bCs/>
    </w:rPr>
  </w:style>
  <w:style w:type="paragraph" w:styleId="BalloonText">
    <w:name w:val="Balloon Text"/>
    <w:basedOn w:val="Normal"/>
    <w:link w:val="BalloonTextChar"/>
    <w:uiPriority w:val="99"/>
    <w:semiHidden/>
    <w:unhideWhenUsed/>
    <w:rsid w:val="009B1F54"/>
    <w:pPr>
      <w:spacing w:line="240" w:lineRule="auto"/>
    </w:pPr>
    <w:rPr>
      <w:rFonts w:ascii="Tahoma" w:eastAsia="Calibri" w:hAnsi="Tahoma" w:cs="Tahoma"/>
      <w:sz w:val="16"/>
      <w:szCs w:val="16"/>
      <w:lang w:val="tr-TR" w:eastAsia="en-US"/>
    </w:rPr>
  </w:style>
  <w:style w:type="character" w:customStyle="1" w:styleId="BalloonTextChar">
    <w:name w:val="Balloon Text Char"/>
    <w:basedOn w:val="DefaultParagraphFont"/>
    <w:link w:val="BalloonText"/>
    <w:uiPriority w:val="99"/>
    <w:semiHidden/>
    <w:rsid w:val="009B1F54"/>
    <w:rPr>
      <w:rFonts w:ascii="Tahoma" w:eastAsia="Calibri" w:hAnsi="Tahoma" w:cs="Tahoma"/>
      <w:sz w:val="16"/>
      <w:szCs w:val="16"/>
      <w:lang w:val="tr-TR" w:eastAsia="en-US"/>
    </w:rPr>
  </w:style>
  <w:style w:type="paragraph" w:styleId="ListParagraph">
    <w:name w:val="List Paragraph"/>
    <w:basedOn w:val="Normal"/>
    <w:uiPriority w:val="34"/>
    <w:qFormat/>
    <w:rsid w:val="009B1F54"/>
    <w:pPr>
      <w:spacing w:after="200" w:line="276" w:lineRule="auto"/>
      <w:ind w:left="720"/>
      <w:contextualSpacing/>
    </w:pPr>
    <w:rPr>
      <w:rFonts w:ascii="Calibri" w:eastAsia="Calibri" w:hAnsi="Calibri"/>
      <w:sz w:val="22"/>
      <w:szCs w:val="22"/>
      <w:lang w:val="tr-TR" w:eastAsia="en-US"/>
    </w:rPr>
  </w:style>
  <w:style w:type="table" w:styleId="TableGrid">
    <w:name w:val="Table Grid"/>
    <w:basedOn w:val="TableNormal"/>
    <w:uiPriority w:val="59"/>
    <w:rsid w:val="009B1F54"/>
    <w:rPr>
      <w:rFonts w:ascii="Calibri" w:eastAsia="Calibri" w:hAnsi="Calibr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cu.gov.tr/" TargetMode="External"/><Relationship Id="rId13" Type="http://schemas.openxmlformats.org/officeDocument/2006/relationships/hyperlink" Target="http://ipc.sabanciuniv.edu/publication/english-new-directions-for-european-assistance-in-turkey/?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ssalijn.nl/new/the-ngo-ization-of-resista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gov.tr/5_en.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ernekler.gov.tr/tr/AnasayfaLinkler/calisan-sayisi.aspx" TargetMode="External"/><Relationship Id="rId4" Type="http://schemas.openxmlformats.org/officeDocument/2006/relationships/settings" Target="settings.xml"/><Relationship Id="rId9" Type="http://schemas.openxmlformats.org/officeDocument/2006/relationships/hyperlink" Target="https://www.cafonline.org/docs/default-source/about-us-publications/caf_wgi2014_report_1555awebfinal.pdf?sfvrsn=fcdcf440_4"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D7752-CE78-40AB-8DAF-9D99BBF9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TF_Template_Word_Windows_2013.dotx</Template>
  <TotalTime>2048</TotalTime>
  <Pages>37</Pages>
  <Words>8118</Words>
  <Characters>47498</Characters>
  <Application>Microsoft Office Word</Application>
  <DocSecurity>0</DocSecurity>
  <Lines>395</Lines>
  <Paragraphs>111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TF_Template_Word_Windows_2013</vt:lpstr>
      <vt:lpstr>TF_Template_Word_Windows_2013</vt:lpstr>
    </vt:vector>
  </TitlesOfParts>
  <Company>Informa Plc</Company>
  <LinksUpToDate>false</LinksUpToDate>
  <CharactersWithSpaces>55505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creator>admin</dc:creator>
  <cp:lastModifiedBy>Zihnioglu, Ozge</cp:lastModifiedBy>
  <cp:revision>73</cp:revision>
  <cp:lastPrinted>2018-07-31T13:17:00Z</cp:lastPrinted>
  <dcterms:created xsi:type="dcterms:W3CDTF">2018-07-29T07:18:00Z</dcterms:created>
  <dcterms:modified xsi:type="dcterms:W3CDTF">2019-10-04T08:29:00Z</dcterms:modified>
</cp:coreProperties>
</file>